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0" w:rsidRPr="00115606" w:rsidRDefault="00683260" w:rsidP="00706DDB">
      <w:pPr>
        <w:jc w:val="center"/>
        <w:rPr>
          <w:b/>
          <w:bCs/>
          <w:lang w:val="lv-LV" w:eastAsia="lv-LV"/>
        </w:rPr>
      </w:pPr>
      <w:bookmarkStart w:id="0" w:name="OLE_LINK7"/>
      <w:bookmarkStart w:id="1" w:name="OLE_LINK8"/>
      <w:r w:rsidRPr="00115606">
        <w:rPr>
          <w:b/>
          <w:lang w:val="lv-LV" w:eastAsia="lv-LV"/>
        </w:rPr>
        <w:t xml:space="preserve">Ministru kabineta </w:t>
      </w:r>
      <w:r w:rsidR="002153BF" w:rsidRPr="00115606">
        <w:rPr>
          <w:b/>
          <w:lang w:val="lv-LV" w:eastAsia="lv-LV"/>
        </w:rPr>
        <w:t>noteikumu</w:t>
      </w:r>
      <w:r w:rsidRPr="00115606">
        <w:rPr>
          <w:b/>
          <w:lang w:val="lv-LV" w:eastAsia="lv-LV"/>
        </w:rPr>
        <w:t xml:space="preserve"> projekta </w:t>
      </w:r>
      <w:r w:rsidRPr="00115606">
        <w:rPr>
          <w:b/>
          <w:bCs/>
          <w:lang w:val="lv-LV" w:eastAsia="lv-LV"/>
        </w:rPr>
        <w:t>„</w:t>
      </w:r>
      <w:r w:rsidR="0075263C" w:rsidRPr="00115606">
        <w:rPr>
          <w:b/>
          <w:bCs/>
          <w:color w:val="000000"/>
          <w:lang w:val="lv-LV"/>
        </w:rPr>
        <w:t xml:space="preserve"> Eiropas Savienības pagaidu ārkārtas </w:t>
      </w:r>
      <w:r w:rsidR="00045EBC" w:rsidRPr="00115606">
        <w:rPr>
          <w:b/>
          <w:bCs/>
          <w:color w:val="000000"/>
          <w:lang w:val="lv-LV"/>
        </w:rPr>
        <w:t xml:space="preserve">atbalsta </w:t>
      </w:r>
      <w:r w:rsidR="00145F1B" w:rsidRPr="00115606">
        <w:rPr>
          <w:b/>
          <w:bCs/>
          <w:color w:val="000000"/>
          <w:lang w:val="lv-LV"/>
        </w:rPr>
        <w:t>piešķiršanas kārtība</w:t>
      </w:r>
      <w:r w:rsidR="00145F1B">
        <w:rPr>
          <w:b/>
          <w:bCs/>
          <w:color w:val="000000"/>
          <w:lang w:val="lv-LV"/>
        </w:rPr>
        <w:t xml:space="preserve"> </w:t>
      </w:r>
      <w:r w:rsidR="00F56256">
        <w:rPr>
          <w:b/>
          <w:bCs/>
          <w:color w:val="000000"/>
          <w:lang w:val="lv-LV"/>
        </w:rPr>
        <w:t>piena ražotājiem un cūku ganāmpulku īpašniekiem</w:t>
      </w:r>
      <w:r w:rsidR="006F4D57" w:rsidRPr="00115606">
        <w:rPr>
          <w:b/>
          <w:bCs/>
          <w:lang w:val="lv-LV" w:eastAsia="lv-LV"/>
        </w:rPr>
        <w:t>”</w:t>
      </w:r>
      <w:r w:rsidRPr="00115606">
        <w:rPr>
          <w:b/>
          <w:bCs/>
          <w:lang w:val="lv-LV" w:eastAsia="lv-LV"/>
        </w:rPr>
        <w:t xml:space="preserve"> sākotnējās ietekmes novērtējuma ziņojums (anotācija)</w:t>
      </w:r>
    </w:p>
    <w:p w:rsidR="00683260" w:rsidRPr="00115606" w:rsidRDefault="00683260" w:rsidP="00706DDB">
      <w:pPr>
        <w:widowControl w:val="0"/>
        <w:jc w:val="center"/>
        <w:rPr>
          <w:b/>
          <w:bCs/>
          <w:lang w:val="lv-LV" w:eastAsia="lv-LV"/>
        </w:rPr>
      </w:pPr>
    </w:p>
    <w:tbl>
      <w:tblPr>
        <w:tblW w:w="4913"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78"/>
        <w:gridCol w:w="1811"/>
        <w:gridCol w:w="1423"/>
        <w:gridCol w:w="5091"/>
      </w:tblGrid>
      <w:tr w:rsidR="009A332E" w:rsidRPr="00115606" w:rsidTr="00517BC0">
        <w:tc>
          <w:tcPr>
            <w:tcW w:w="5000" w:type="pct"/>
            <w:gridSpan w:val="4"/>
            <w:vAlign w:val="center"/>
          </w:tcPr>
          <w:p w:rsidR="00683260" w:rsidRPr="00115606" w:rsidRDefault="00683260" w:rsidP="00706DDB">
            <w:pPr>
              <w:pStyle w:val="naisf"/>
              <w:spacing w:before="0" w:beforeAutospacing="0" w:after="0" w:afterAutospacing="0"/>
              <w:jc w:val="center"/>
              <w:rPr>
                <w:b/>
                <w:bCs/>
                <w:lang w:val="lv-LV"/>
              </w:rPr>
            </w:pPr>
            <w:r w:rsidRPr="00115606">
              <w:rPr>
                <w:b/>
                <w:bCs/>
                <w:lang w:val="lv-LV"/>
              </w:rPr>
              <w:t>I. Tiesību akta projekta izstrādes nepieciešamība</w:t>
            </w:r>
          </w:p>
        </w:tc>
      </w:tr>
      <w:tr w:rsidR="004E6A12" w:rsidRPr="00FE3D7C" w:rsidTr="0087436B">
        <w:tc>
          <w:tcPr>
            <w:tcW w:w="325" w:type="pct"/>
          </w:tcPr>
          <w:p w:rsidR="00683260" w:rsidRPr="00115606" w:rsidRDefault="00683260" w:rsidP="00706DDB">
            <w:pPr>
              <w:pStyle w:val="naisf"/>
              <w:spacing w:before="0" w:beforeAutospacing="0" w:after="0" w:afterAutospacing="0"/>
              <w:rPr>
                <w:lang w:val="lv-LV"/>
              </w:rPr>
            </w:pPr>
            <w:r w:rsidRPr="00115606">
              <w:rPr>
                <w:lang w:val="lv-LV"/>
              </w:rPr>
              <w:t>1.</w:t>
            </w:r>
          </w:p>
        </w:tc>
        <w:tc>
          <w:tcPr>
            <w:tcW w:w="1816" w:type="pct"/>
            <w:gridSpan w:val="2"/>
          </w:tcPr>
          <w:p w:rsidR="00683260" w:rsidRPr="00115606" w:rsidRDefault="00683260" w:rsidP="00706DDB">
            <w:pPr>
              <w:pStyle w:val="naisf"/>
              <w:spacing w:before="0" w:beforeAutospacing="0" w:after="0" w:afterAutospacing="0"/>
              <w:rPr>
                <w:lang w:val="lv-LV"/>
              </w:rPr>
            </w:pPr>
            <w:r w:rsidRPr="00115606">
              <w:rPr>
                <w:lang w:val="lv-LV"/>
              </w:rPr>
              <w:t>Pamatojums</w:t>
            </w:r>
          </w:p>
        </w:tc>
        <w:tc>
          <w:tcPr>
            <w:tcW w:w="2859" w:type="pct"/>
          </w:tcPr>
          <w:p w:rsidR="00683260" w:rsidRPr="00115606" w:rsidRDefault="00414978" w:rsidP="00145F1B">
            <w:pPr>
              <w:pStyle w:val="naisf"/>
              <w:spacing w:before="0" w:beforeAutospacing="0" w:after="0" w:afterAutospacing="0"/>
              <w:rPr>
                <w:lang w:val="lv-LV"/>
              </w:rPr>
            </w:pPr>
            <w:r w:rsidRPr="00115606">
              <w:rPr>
                <w:lang w:val="lv-LV"/>
              </w:rPr>
              <w:t>Ministru kabineta n</w:t>
            </w:r>
            <w:r w:rsidR="00A46DE1" w:rsidRPr="00115606">
              <w:rPr>
                <w:lang w:val="lv-LV"/>
              </w:rPr>
              <w:t xml:space="preserve">oteikumu projekts </w:t>
            </w:r>
            <w:r w:rsidRPr="00115606">
              <w:rPr>
                <w:bCs/>
                <w:lang w:val="lv-LV" w:eastAsia="lv-LV"/>
              </w:rPr>
              <w:t>„</w:t>
            </w:r>
            <w:r w:rsidRPr="00115606">
              <w:rPr>
                <w:bCs/>
                <w:color w:val="000000"/>
                <w:lang w:val="lv-LV"/>
              </w:rPr>
              <w:t xml:space="preserve">Eiropas Savienības pagaidu ārkārtas </w:t>
            </w:r>
            <w:r w:rsidR="00045EBC" w:rsidRPr="00115606">
              <w:rPr>
                <w:bCs/>
                <w:color w:val="000000"/>
                <w:lang w:val="lv-LV"/>
              </w:rPr>
              <w:t xml:space="preserve">atbalsta </w:t>
            </w:r>
            <w:r w:rsidR="00145F1B" w:rsidRPr="00115606">
              <w:rPr>
                <w:bCs/>
                <w:color w:val="000000"/>
                <w:lang w:val="lv-LV"/>
              </w:rPr>
              <w:t>piešķiršanas kārtība</w:t>
            </w:r>
            <w:r w:rsidR="00145F1B">
              <w:rPr>
                <w:bCs/>
                <w:color w:val="000000"/>
                <w:lang w:val="lv-LV"/>
              </w:rPr>
              <w:t xml:space="preserve"> </w:t>
            </w:r>
            <w:r w:rsidR="00F56256">
              <w:rPr>
                <w:bCs/>
                <w:color w:val="000000"/>
                <w:lang w:val="lv-LV"/>
              </w:rPr>
              <w:t>piena ražotājiem un cūku ganāmpulku īpašniekiem</w:t>
            </w:r>
            <w:r w:rsidRPr="00115606">
              <w:rPr>
                <w:bCs/>
                <w:lang w:val="lv-LV" w:eastAsia="lv-LV"/>
              </w:rPr>
              <w:t>” (turpmāk – noteikumu projekts)</w:t>
            </w:r>
            <w:r w:rsidRPr="00115606">
              <w:rPr>
                <w:b/>
                <w:bCs/>
                <w:sz w:val="28"/>
                <w:szCs w:val="28"/>
                <w:lang w:val="lv-LV" w:eastAsia="lv-LV"/>
              </w:rPr>
              <w:t xml:space="preserve"> </w:t>
            </w:r>
            <w:r w:rsidR="00A46DE1" w:rsidRPr="00115606">
              <w:rPr>
                <w:lang w:val="lv-LV"/>
              </w:rPr>
              <w:t>sagatavots atbilstoši Lauksaimniecības un lauku attīstības likuma 5.</w:t>
            </w:r>
            <w:r w:rsidR="00573E8A" w:rsidRPr="00115606">
              <w:rPr>
                <w:lang w:val="lv-LV"/>
              </w:rPr>
              <w:t xml:space="preserve"> </w:t>
            </w:r>
            <w:r w:rsidR="00A46DE1" w:rsidRPr="00115606">
              <w:rPr>
                <w:lang w:val="lv-LV"/>
              </w:rPr>
              <w:t>panta ceturtajai daļa</w:t>
            </w:r>
            <w:r w:rsidR="00146163" w:rsidRPr="00115606">
              <w:rPr>
                <w:lang w:val="lv-LV"/>
              </w:rPr>
              <w:t>i</w:t>
            </w:r>
            <w:r w:rsidR="00400DDB" w:rsidRPr="00115606">
              <w:rPr>
                <w:lang w:val="lv-LV"/>
              </w:rPr>
              <w:t xml:space="preserve">. </w:t>
            </w:r>
          </w:p>
        </w:tc>
      </w:tr>
      <w:tr w:rsidR="004E6A12" w:rsidRPr="00FE3D7C" w:rsidTr="0087436B">
        <w:tc>
          <w:tcPr>
            <w:tcW w:w="325" w:type="pct"/>
          </w:tcPr>
          <w:p w:rsidR="00683260" w:rsidRPr="00115606" w:rsidRDefault="00683260" w:rsidP="00706DDB">
            <w:pPr>
              <w:pStyle w:val="naisf"/>
              <w:spacing w:before="0" w:beforeAutospacing="0" w:after="0" w:afterAutospacing="0"/>
              <w:rPr>
                <w:lang w:val="lv-LV"/>
              </w:rPr>
            </w:pPr>
            <w:r w:rsidRPr="00115606">
              <w:rPr>
                <w:lang w:val="lv-LV"/>
              </w:rPr>
              <w:t>2.</w:t>
            </w:r>
          </w:p>
        </w:tc>
        <w:tc>
          <w:tcPr>
            <w:tcW w:w="1816" w:type="pct"/>
            <w:gridSpan w:val="2"/>
          </w:tcPr>
          <w:p w:rsidR="00594ED5" w:rsidRPr="00115606" w:rsidRDefault="00683260" w:rsidP="00706DDB">
            <w:pPr>
              <w:pStyle w:val="naisf"/>
              <w:spacing w:before="0" w:beforeAutospacing="0" w:after="0" w:afterAutospacing="0"/>
              <w:rPr>
                <w:lang w:val="lv-LV"/>
              </w:rPr>
            </w:pPr>
            <w:r w:rsidRPr="00115606">
              <w:rPr>
                <w:lang w:val="lv-LV"/>
              </w:rPr>
              <w:t>Pašreizējā situācija un problēmas, kuru risināšanai tiesību akta projekts izstrādāts, tiesiskā regulējuma mērķis un būtība</w:t>
            </w: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594ED5" w:rsidRPr="00115606" w:rsidRDefault="00594ED5" w:rsidP="00706DDB">
            <w:pPr>
              <w:rPr>
                <w:lang w:val="lv-LV"/>
              </w:rPr>
            </w:pPr>
          </w:p>
          <w:p w:rsidR="00683260" w:rsidRPr="00115606" w:rsidRDefault="00683260" w:rsidP="00706DDB">
            <w:pPr>
              <w:rPr>
                <w:lang w:val="lv-LV"/>
              </w:rPr>
            </w:pPr>
          </w:p>
        </w:tc>
        <w:tc>
          <w:tcPr>
            <w:tcW w:w="2859" w:type="pct"/>
          </w:tcPr>
          <w:p w:rsidR="00573E8A" w:rsidRPr="00115606" w:rsidRDefault="002762AD" w:rsidP="00573E8A">
            <w:pPr>
              <w:ind w:left="49" w:right="142"/>
              <w:jc w:val="both"/>
              <w:rPr>
                <w:rFonts w:eastAsia="Arial Unicode MS"/>
                <w:lang w:val="lv-LV"/>
              </w:rPr>
            </w:pPr>
            <w:r w:rsidRPr="00115606">
              <w:rPr>
                <w:rFonts w:eastAsia="Arial Unicode MS"/>
                <w:lang w:val="lv-LV"/>
              </w:rPr>
              <w:t xml:space="preserve">Krievijas </w:t>
            </w:r>
            <w:r w:rsidR="00A46DE1" w:rsidRPr="00115606">
              <w:rPr>
                <w:rFonts w:eastAsia="Arial Unicode MS"/>
                <w:lang w:val="lv-LV"/>
              </w:rPr>
              <w:t>Federācija</w:t>
            </w:r>
            <w:r w:rsidRPr="00115606">
              <w:rPr>
                <w:rFonts w:eastAsia="Arial Unicode MS"/>
                <w:lang w:val="lv-LV"/>
              </w:rPr>
              <w:t xml:space="preserve"> </w:t>
            </w:r>
            <w:proofErr w:type="gramStart"/>
            <w:r w:rsidRPr="00115606">
              <w:rPr>
                <w:rFonts w:eastAsia="Arial Unicode MS"/>
                <w:lang w:val="lv-LV"/>
              </w:rPr>
              <w:t>2014.gada</w:t>
            </w:r>
            <w:proofErr w:type="gramEnd"/>
            <w:r w:rsidRPr="00115606">
              <w:rPr>
                <w:rFonts w:eastAsia="Arial Unicode MS"/>
                <w:lang w:val="lv-LV"/>
              </w:rPr>
              <w:t xml:space="preserve"> 7.augustā ieviesa konkrētu produktu, tostarp piena produktu</w:t>
            </w:r>
            <w:r w:rsidR="00573E8A" w:rsidRPr="00115606">
              <w:rPr>
                <w:rFonts w:eastAsia="Arial Unicode MS"/>
                <w:lang w:val="lv-LV"/>
              </w:rPr>
              <w:t xml:space="preserve"> un cūkgaļas un tās produktu</w:t>
            </w:r>
            <w:r w:rsidRPr="00115606">
              <w:rPr>
                <w:rFonts w:eastAsia="Arial Unicode MS"/>
                <w:lang w:val="lv-LV"/>
              </w:rPr>
              <w:t xml:space="preserve">, importa aizliegumu no </w:t>
            </w:r>
            <w:r w:rsidR="00A46DE1" w:rsidRPr="00115606">
              <w:rPr>
                <w:rFonts w:eastAsia="Arial Unicode MS"/>
                <w:lang w:val="lv-LV"/>
              </w:rPr>
              <w:t xml:space="preserve">Eiropas </w:t>
            </w:r>
            <w:r w:rsidRPr="00115606">
              <w:rPr>
                <w:rFonts w:eastAsia="Arial Unicode MS"/>
                <w:lang w:val="lv-LV"/>
              </w:rPr>
              <w:t>Savienības uz Krieviju</w:t>
            </w:r>
            <w:r w:rsidR="00573E8A" w:rsidRPr="00115606">
              <w:rPr>
                <w:rFonts w:eastAsia="Arial Unicode MS"/>
                <w:lang w:val="lv-LV"/>
              </w:rPr>
              <w:t xml:space="preserve"> (turpmāk – Krievijas embargo)</w:t>
            </w:r>
            <w:r w:rsidRPr="00115606">
              <w:rPr>
                <w:rFonts w:eastAsia="Arial Unicode MS"/>
                <w:lang w:val="lv-LV"/>
              </w:rPr>
              <w:t xml:space="preserve">. </w:t>
            </w:r>
            <w:r w:rsidR="00573E8A" w:rsidRPr="00115606">
              <w:rPr>
                <w:rFonts w:eastAsia="Arial Unicode MS"/>
                <w:lang w:val="lv-LV"/>
              </w:rPr>
              <w:t xml:space="preserve">2015.gadā šis aizliegums tika pagarināts vēl līdz 2016.gada augustam. </w:t>
            </w:r>
          </w:p>
          <w:p w:rsidR="00573E8A" w:rsidRPr="00115606" w:rsidRDefault="00573E8A" w:rsidP="00573E8A">
            <w:pPr>
              <w:ind w:left="49" w:right="142"/>
              <w:jc w:val="both"/>
              <w:rPr>
                <w:rFonts w:eastAsia="Arial Unicode MS"/>
                <w:lang w:val="lv-LV"/>
              </w:rPr>
            </w:pPr>
            <w:r w:rsidRPr="00115606">
              <w:rPr>
                <w:rFonts w:eastAsia="Arial Unicode MS"/>
                <w:lang w:val="lv-LV"/>
              </w:rPr>
              <w:t xml:space="preserve">Bez tam, no </w:t>
            </w:r>
            <w:proofErr w:type="gramStart"/>
            <w:r w:rsidRPr="00115606">
              <w:rPr>
                <w:rFonts w:eastAsia="Arial Unicode MS"/>
                <w:lang w:val="lv-LV"/>
              </w:rPr>
              <w:t>2014.gada</w:t>
            </w:r>
            <w:proofErr w:type="gramEnd"/>
            <w:r w:rsidRPr="00115606">
              <w:rPr>
                <w:rFonts w:eastAsia="Arial Unicode MS"/>
                <w:lang w:val="lv-LV"/>
              </w:rPr>
              <w:t xml:space="preserve"> piena produktu importa apjomus samazinājusi Ķīna, kas ir pasaulē lielākā piena produktu importētāja. Šie faktori kopumā  izraisījuši piena produktu pieprasījuma samazināšanos pasaulē. </w:t>
            </w:r>
          </w:p>
          <w:p w:rsidR="00816FDE" w:rsidRPr="00115606" w:rsidRDefault="00573E8A" w:rsidP="00573E8A">
            <w:pPr>
              <w:ind w:left="49" w:right="142"/>
              <w:jc w:val="both"/>
              <w:rPr>
                <w:rFonts w:eastAsia="Arial Unicode MS"/>
                <w:lang w:val="lv-LV"/>
              </w:rPr>
            </w:pPr>
            <w:r w:rsidRPr="00115606">
              <w:rPr>
                <w:rFonts w:eastAsia="Arial Unicode MS"/>
                <w:lang w:val="lv-LV"/>
              </w:rPr>
              <w:t xml:space="preserve">2014. un 2015. gadā samazinājās Eiropas Savienības cūkgaļas tirgus. Cūkgaļas ražošanas apjomu tendence bija pieaugoša, taču Krievijas embargo ietekmē cūkgaļas eksports būtiski samazinājās, </w:t>
            </w:r>
            <w:r w:rsidR="00816FDE" w:rsidRPr="00115606">
              <w:rPr>
                <w:rFonts w:eastAsia="Arial Unicode MS"/>
                <w:lang w:val="lv-LV"/>
              </w:rPr>
              <w:t xml:space="preserve">radot ievērojamu pārprodukciju Eiropas Savienības iekšējā tirgū, tā rezultātā veidojoties ilgstošam cenu spiedienam. </w:t>
            </w:r>
          </w:p>
          <w:p w:rsidR="00816FDE" w:rsidRPr="00115606" w:rsidRDefault="00816FDE" w:rsidP="00816FDE">
            <w:pPr>
              <w:ind w:left="49" w:right="142"/>
              <w:jc w:val="both"/>
              <w:rPr>
                <w:rFonts w:eastAsia="Arial Unicode MS"/>
                <w:lang w:val="lv-LV"/>
              </w:rPr>
            </w:pPr>
            <w:r w:rsidRPr="00115606">
              <w:rPr>
                <w:rFonts w:eastAsia="Arial Unicode MS"/>
                <w:lang w:val="lv-LV"/>
              </w:rPr>
              <w:t>Tādēļ Eiropas Savienības piena un piena produktu un cūkgaļas nozares piedzīvo tirgus traucējumus, ko izraisa liela neatbilstība starp piedāvājumu un pieprasījumu.</w:t>
            </w:r>
          </w:p>
          <w:p w:rsidR="00816FDE" w:rsidRPr="00115606" w:rsidRDefault="00816FDE" w:rsidP="00816FDE">
            <w:pPr>
              <w:ind w:left="49" w:right="142"/>
              <w:jc w:val="both"/>
              <w:rPr>
                <w:rFonts w:eastAsia="Arial Unicode MS"/>
                <w:lang w:val="lv-LV"/>
              </w:rPr>
            </w:pPr>
            <w:r w:rsidRPr="00115606">
              <w:rPr>
                <w:rFonts w:eastAsia="Arial Unicode MS"/>
                <w:lang w:val="lv-LV"/>
              </w:rPr>
              <w:t xml:space="preserve">Turklāt vairākās dalībvalstīs pavasara un vasaras kultūraugu ražu negatīvi ietekmēja augstā temperatūra jūlijā un augustā un ļoti mazais nokrišņu daudzums. Šie apstākļi visvairāk skāra liellopu gaļas, piena un piena produktu, cūkgaļas, aitas un kazas gaļas nozares, palielinot ražošanas izmaksas lopbarības trūkuma dēļ.  </w:t>
            </w:r>
          </w:p>
          <w:p w:rsidR="00816FDE" w:rsidRPr="00115606" w:rsidRDefault="00816FDE" w:rsidP="00816FDE">
            <w:pPr>
              <w:ind w:left="49" w:right="142"/>
              <w:jc w:val="both"/>
              <w:rPr>
                <w:rFonts w:eastAsia="Arial Unicode MS"/>
                <w:lang w:val="lv-LV"/>
              </w:rPr>
            </w:pPr>
            <w:r w:rsidRPr="00115606">
              <w:rPr>
                <w:rFonts w:eastAsia="Arial Unicode MS"/>
                <w:lang w:val="lv-LV"/>
              </w:rPr>
              <w:t>Lai nepieļautu cenu turpmāku pazemināšanos un tirgus traucējumu padziļināšanos, Eiropas</w:t>
            </w:r>
            <w:r w:rsidR="00FC179D">
              <w:rPr>
                <w:rFonts w:eastAsia="Arial Unicode MS"/>
                <w:lang w:val="lv-LV"/>
              </w:rPr>
              <w:t xml:space="preserve"> Komisija ar </w:t>
            </w:r>
            <w:proofErr w:type="gramStart"/>
            <w:r w:rsidR="00FC179D">
              <w:rPr>
                <w:rFonts w:eastAsia="Arial Unicode MS"/>
                <w:lang w:val="lv-LV"/>
              </w:rPr>
              <w:t>2015.gada</w:t>
            </w:r>
            <w:proofErr w:type="gramEnd"/>
            <w:r w:rsidR="00FC179D">
              <w:rPr>
                <w:rFonts w:eastAsia="Arial Unicode MS"/>
                <w:lang w:val="lv-LV"/>
              </w:rPr>
              <w:t xml:space="preserve"> 15.oktobr</w:t>
            </w:r>
            <w:r w:rsidRPr="00115606">
              <w:rPr>
                <w:rFonts w:eastAsia="Arial Unicode MS"/>
                <w:lang w:val="lv-LV"/>
              </w:rPr>
              <w:t>a deleģēto regulu (ES) Nr.1853/2015, ar ko paredz pagaidu ārkārtas atbalstu lopkopības nozaru lauksaimniekiem</w:t>
            </w:r>
            <w:r w:rsidR="00A94DEB">
              <w:rPr>
                <w:rFonts w:eastAsia="Arial Unicode MS"/>
                <w:lang w:val="lv-LV"/>
              </w:rPr>
              <w:t>,</w:t>
            </w:r>
            <w:r w:rsidRPr="00115606">
              <w:rPr>
                <w:rFonts w:eastAsia="Arial Unicode MS"/>
                <w:lang w:val="lv-LV"/>
              </w:rPr>
              <w:t xml:space="preserve"> (turpmāk – Regula Nr.1853/2015) piešķīra finansiālu atbalstu kopējā apmērā 420 milj. </w:t>
            </w:r>
            <w:proofErr w:type="spellStart"/>
            <w:r w:rsidRPr="00115606">
              <w:rPr>
                <w:rFonts w:eastAsia="Arial Unicode MS"/>
                <w:i/>
                <w:lang w:val="lv-LV"/>
              </w:rPr>
              <w:t>eur</w:t>
            </w:r>
            <w:r w:rsidRPr="00A94DEB">
              <w:rPr>
                <w:rFonts w:eastAsia="Arial Unicode MS"/>
                <w:i/>
                <w:lang w:val="lv-LV"/>
              </w:rPr>
              <w:t>o</w:t>
            </w:r>
            <w:proofErr w:type="spellEnd"/>
            <w:r w:rsidR="00FC179D">
              <w:rPr>
                <w:rFonts w:eastAsia="Arial Unicode MS"/>
                <w:lang w:val="lv-LV"/>
              </w:rPr>
              <w:t xml:space="preserve">. Atbalsts </w:t>
            </w:r>
            <w:r w:rsidRPr="00115606">
              <w:rPr>
                <w:rFonts w:eastAsia="Arial Unicode MS"/>
                <w:lang w:val="lv-LV"/>
              </w:rPr>
              <w:t xml:space="preserve">izmaksājams kā mērķtiecīgs tiešs finansiāls atbalsts ražotājiem visvairāk skartajās lopkopības nozarēs, atbilstoši Regulas </w:t>
            </w:r>
            <w:r w:rsidRPr="00115606">
              <w:rPr>
                <w:rFonts w:eastAsia="Arial Unicode MS"/>
                <w:lang w:val="lv-LV"/>
              </w:rPr>
              <w:lastRenderedPageBreak/>
              <w:t xml:space="preserve">Nr.1853/2015 pielikumā noteiktajam finansējuma sadalījumam starp dalībvalstīm. </w:t>
            </w:r>
          </w:p>
          <w:p w:rsidR="00AD69D1" w:rsidRPr="00115606" w:rsidRDefault="00AD69D1" w:rsidP="00816FDE">
            <w:pPr>
              <w:ind w:left="49" w:right="142"/>
              <w:jc w:val="both"/>
              <w:rPr>
                <w:rFonts w:eastAsia="Arial Unicode MS"/>
                <w:lang w:val="lv-LV"/>
              </w:rPr>
            </w:pPr>
          </w:p>
          <w:p w:rsidR="00AD69D1" w:rsidRPr="00115606" w:rsidRDefault="00AD69D1" w:rsidP="00AD69D1">
            <w:pPr>
              <w:ind w:left="49" w:right="142"/>
              <w:jc w:val="both"/>
              <w:rPr>
                <w:rFonts w:eastAsia="Arial Unicode MS"/>
                <w:lang w:val="lv-LV"/>
              </w:rPr>
            </w:pPr>
            <w:r w:rsidRPr="00115606">
              <w:rPr>
                <w:rFonts w:eastAsia="Arial Unicode MS"/>
                <w:lang w:val="lv-LV"/>
              </w:rPr>
              <w:t>No Regulas Nr.1853/2015 11.preambul</w:t>
            </w:r>
            <w:r w:rsidR="00145F1B">
              <w:rPr>
                <w:rFonts w:eastAsia="Arial Unicode MS"/>
                <w:lang w:val="lv-LV"/>
              </w:rPr>
              <w:t>as</w:t>
            </w:r>
            <w:r w:rsidRPr="00115606">
              <w:rPr>
                <w:rFonts w:eastAsia="Arial Unicode MS"/>
                <w:lang w:val="lv-LV"/>
              </w:rPr>
              <w:t xml:space="preserve"> izriet, ka katrai dalībvalstij piešķirtais finansējums aprēķināts, pamatojoties uz 2014./2015. gada piena kvotu un cūku populāciju valstī, un proporcionāli novērotajam piena iepirkuma un cūku liemeņu cenu pazeminājumam, atkarības pakāpei no Krievijas tirgus un sausuma ietekmei uz lopbarības kultūraugu ražošanu un cenu. </w:t>
            </w:r>
          </w:p>
          <w:p w:rsidR="00AD69D1" w:rsidRPr="00115606" w:rsidRDefault="00AD69D1" w:rsidP="00AD69D1">
            <w:pPr>
              <w:ind w:left="49" w:right="142"/>
              <w:jc w:val="both"/>
              <w:rPr>
                <w:rFonts w:eastAsia="Arial Unicode MS"/>
                <w:lang w:val="lv-LV"/>
              </w:rPr>
            </w:pPr>
            <w:r w:rsidRPr="00115606">
              <w:rPr>
                <w:rFonts w:eastAsia="Arial Unicode MS"/>
                <w:lang w:val="lv-LV"/>
              </w:rPr>
              <w:t>Latvijai Regulā Nr.1853/2015 piešķirt</w:t>
            </w:r>
            <w:r w:rsidR="00A94DEB">
              <w:rPr>
                <w:rFonts w:eastAsia="Arial Unicode MS"/>
                <w:lang w:val="lv-LV"/>
              </w:rPr>
              <w:t>ai</w:t>
            </w:r>
            <w:r w:rsidRPr="00115606">
              <w:rPr>
                <w:rFonts w:eastAsia="Arial Unicode MS"/>
                <w:lang w:val="lv-LV"/>
              </w:rPr>
              <w:t>s finansējums</w:t>
            </w:r>
            <w:r w:rsidR="00145F1B">
              <w:rPr>
                <w:rFonts w:eastAsia="Arial Unicode MS"/>
                <w:lang w:val="lv-LV"/>
              </w:rPr>
              <w:t xml:space="preserve"> ir</w:t>
            </w:r>
            <w:r w:rsidRPr="00115606">
              <w:rPr>
                <w:rFonts w:eastAsia="Arial Unicode MS"/>
                <w:lang w:val="lv-LV"/>
              </w:rPr>
              <w:t xml:space="preserve"> 8 452 333 </w:t>
            </w:r>
            <w:proofErr w:type="spellStart"/>
            <w:r w:rsidRPr="00115606">
              <w:rPr>
                <w:rFonts w:eastAsia="Arial Unicode MS"/>
                <w:i/>
                <w:lang w:val="lv-LV"/>
              </w:rPr>
              <w:t>euro</w:t>
            </w:r>
            <w:proofErr w:type="spellEnd"/>
            <w:r w:rsidRPr="00115606">
              <w:rPr>
                <w:rFonts w:eastAsia="Arial Unicode MS"/>
                <w:lang w:val="lv-LV"/>
              </w:rPr>
              <w:t xml:space="preserve"> apmērā. </w:t>
            </w:r>
          </w:p>
          <w:p w:rsidR="00AD69D1" w:rsidRPr="00115606" w:rsidRDefault="00AD69D1" w:rsidP="00816FDE">
            <w:pPr>
              <w:ind w:left="49" w:right="142"/>
              <w:jc w:val="both"/>
              <w:rPr>
                <w:rFonts w:eastAsia="Arial Unicode MS"/>
                <w:lang w:val="lv-LV"/>
              </w:rPr>
            </w:pPr>
          </w:p>
          <w:p w:rsidR="00717C5D" w:rsidRPr="00115606" w:rsidRDefault="00AD69D1" w:rsidP="00816FDE">
            <w:pPr>
              <w:ind w:left="49" w:right="142"/>
              <w:jc w:val="both"/>
              <w:rPr>
                <w:rFonts w:eastAsia="Arial Unicode MS"/>
                <w:lang w:val="lv-LV"/>
              </w:rPr>
            </w:pPr>
            <w:r w:rsidRPr="00115606">
              <w:rPr>
                <w:rFonts w:eastAsia="Arial Unicode MS"/>
                <w:lang w:val="lv-LV"/>
              </w:rPr>
              <w:t>Tādējādi t</w:t>
            </w:r>
            <w:r w:rsidR="00816FDE" w:rsidRPr="00115606">
              <w:rPr>
                <w:rFonts w:eastAsia="Arial Unicode MS"/>
                <w:lang w:val="lv-LV"/>
              </w:rPr>
              <w:t xml:space="preserve">iesiskā regulējuma mērķis ir noteikt kārtību šī atbalsta mērķtiecīgai piešķiršanai Latvijas piena ražotājiem un cūkaudzētājiem, nosakot objektīvus kritērijus un ņemot vērā </w:t>
            </w:r>
            <w:r w:rsidR="00717C5D" w:rsidRPr="00115606">
              <w:rPr>
                <w:rFonts w:eastAsia="Arial Unicode MS"/>
                <w:lang w:val="lv-LV"/>
              </w:rPr>
              <w:t>nelabvēlīgās globālās tirgus situācijas ietekmi uz konkrētiem ražotājiem.</w:t>
            </w:r>
          </w:p>
          <w:p w:rsidR="00AD69D1" w:rsidRPr="00115606" w:rsidRDefault="00AD69D1" w:rsidP="00573E8A">
            <w:pPr>
              <w:ind w:left="49" w:right="142"/>
              <w:jc w:val="both"/>
              <w:rPr>
                <w:rFonts w:eastAsia="Arial Unicode MS"/>
                <w:lang w:val="lv-LV"/>
              </w:rPr>
            </w:pPr>
          </w:p>
          <w:p w:rsidR="00AD69D1" w:rsidRPr="00115606" w:rsidRDefault="00573E8A" w:rsidP="00573E8A">
            <w:pPr>
              <w:ind w:left="49" w:right="142"/>
              <w:jc w:val="both"/>
              <w:rPr>
                <w:rFonts w:eastAsia="Arial Unicode MS"/>
                <w:lang w:val="lv-LV"/>
              </w:rPr>
            </w:pPr>
            <w:r w:rsidRPr="00115606">
              <w:rPr>
                <w:rFonts w:eastAsia="Arial Unicode MS"/>
                <w:lang w:val="lv-LV"/>
              </w:rPr>
              <w:t xml:space="preserve">Ņemot vērā, ka Latvijas piena nozare ir izteikti </w:t>
            </w:r>
            <w:proofErr w:type="spellStart"/>
            <w:r w:rsidRPr="00115606">
              <w:rPr>
                <w:rFonts w:eastAsia="Arial Unicode MS"/>
                <w:lang w:val="lv-LV"/>
              </w:rPr>
              <w:t>eksportatkarīga</w:t>
            </w:r>
            <w:proofErr w:type="spellEnd"/>
            <w:r w:rsidRPr="00115606">
              <w:rPr>
                <w:rFonts w:eastAsia="Arial Unicode MS"/>
                <w:lang w:val="lv-LV"/>
              </w:rPr>
              <w:t>, gatavo produktu veidā eksportējot ap 60% visa saražotā svaigpiena, turklāt tieši Krievija bija ļoti nozīmīgs piena produktu eksporta tirgus</w:t>
            </w:r>
            <w:r w:rsidR="00B07DE8" w:rsidRPr="00115606">
              <w:rPr>
                <w:rFonts w:eastAsia="Arial Unicode MS"/>
                <w:lang w:val="lv-LV"/>
              </w:rPr>
              <w:t xml:space="preserve"> (aptuveni 88% svaigpiena iepērk pārstrādes uzņēmumi, kas eksportēja produkciju uz Krieviju)</w:t>
            </w:r>
            <w:r w:rsidRPr="00115606">
              <w:rPr>
                <w:rFonts w:eastAsia="Arial Unicode MS"/>
                <w:lang w:val="lv-LV"/>
              </w:rPr>
              <w:t>, Krievijas embargo izraisīja dramatisku piena iepirkuma cenu kritumu Latvijā</w:t>
            </w:r>
            <w:r w:rsidR="00DB3935">
              <w:rPr>
                <w:rFonts w:eastAsia="Arial Unicode MS"/>
                <w:lang w:val="lv-LV"/>
              </w:rPr>
              <w:t>.</w:t>
            </w:r>
            <w:r w:rsidR="00AD69D1" w:rsidRPr="00115606">
              <w:rPr>
                <w:rFonts w:eastAsia="Arial Unicode MS"/>
                <w:lang w:val="lv-LV"/>
              </w:rPr>
              <w:t xml:space="preserve"> Kopš </w:t>
            </w:r>
            <w:r w:rsidRPr="00115606">
              <w:rPr>
                <w:rFonts w:eastAsia="Arial Unicode MS"/>
                <w:lang w:val="lv-LV"/>
              </w:rPr>
              <w:t xml:space="preserve">embargo noteikšanas līdz </w:t>
            </w:r>
            <w:proofErr w:type="gramStart"/>
            <w:r w:rsidRPr="00115606">
              <w:rPr>
                <w:rFonts w:eastAsia="Arial Unicode MS"/>
                <w:lang w:val="lv-LV"/>
              </w:rPr>
              <w:t>2015.gada</w:t>
            </w:r>
            <w:proofErr w:type="gramEnd"/>
            <w:r w:rsidRPr="00115606">
              <w:rPr>
                <w:rFonts w:eastAsia="Arial Unicode MS"/>
                <w:lang w:val="lv-LV"/>
              </w:rPr>
              <w:t xml:space="preserve"> septembrim </w:t>
            </w:r>
            <w:r w:rsidR="00AD69D1" w:rsidRPr="00115606">
              <w:rPr>
                <w:rFonts w:eastAsia="Arial Unicode MS"/>
                <w:lang w:val="lv-LV"/>
              </w:rPr>
              <w:t>piena iepirkuma vidējā cena Latvijā</w:t>
            </w:r>
            <w:r w:rsidR="00DB3935">
              <w:rPr>
                <w:rFonts w:eastAsia="Arial Unicode MS"/>
                <w:lang w:val="lv-LV"/>
              </w:rPr>
              <w:t xml:space="preserve"> ir</w:t>
            </w:r>
            <w:r w:rsidR="00AD69D1" w:rsidRPr="00115606">
              <w:rPr>
                <w:rFonts w:eastAsia="Arial Unicode MS"/>
                <w:lang w:val="lv-LV"/>
              </w:rPr>
              <w:t xml:space="preserve"> </w:t>
            </w:r>
            <w:r w:rsidRPr="00115606">
              <w:rPr>
                <w:rFonts w:eastAsia="Arial Unicode MS"/>
                <w:lang w:val="lv-LV"/>
              </w:rPr>
              <w:t>pazemin</w:t>
            </w:r>
            <w:r w:rsidR="00AD69D1" w:rsidRPr="00115606">
              <w:rPr>
                <w:rFonts w:eastAsia="Arial Unicode MS"/>
                <w:lang w:val="lv-LV"/>
              </w:rPr>
              <w:t>ājusies</w:t>
            </w:r>
            <w:r w:rsidRPr="00115606">
              <w:rPr>
                <w:rFonts w:eastAsia="Arial Unicode MS"/>
                <w:lang w:val="lv-LV"/>
              </w:rPr>
              <w:t xml:space="preserve"> par 31%. Šādā situācij</w:t>
            </w:r>
            <w:r w:rsidR="00A94DEB">
              <w:rPr>
                <w:rFonts w:eastAsia="Arial Unicode MS"/>
                <w:lang w:val="lv-LV"/>
              </w:rPr>
              <w:t>ā</w:t>
            </w:r>
            <w:r w:rsidRPr="00115606">
              <w:rPr>
                <w:rFonts w:eastAsia="Arial Unicode MS"/>
                <w:lang w:val="lv-LV"/>
              </w:rPr>
              <w:t xml:space="preserve"> piena ražotāji Latvijā ilgstoši saskaras </w:t>
            </w:r>
            <w:r w:rsidR="00AD69D1" w:rsidRPr="00115606">
              <w:rPr>
                <w:rFonts w:eastAsia="Arial Unicode MS"/>
                <w:lang w:val="lv-LV"/>
              </w:rPr>
              <w:t xml:space="preserve">ar finansiālām problēmām, ņemot vērā, ka cena nenosedz ražošanas izmaksas (piena ražošanas pašizmaksa atbilstoši Latvijas Lauku konsultāciju un izglītības centra rīcībā esošajiem un apkopotajiem datiem vidēji Latvijā ir 0,269 </w:t>
            </w:r>
            <w:proofErr w:type="spellStart"/>
            <w:r w:rsidR="00AD69D1" w:rsidRPr="00115606">
              <w:rPr>
                <w:rFonts w:eastAsia="Arial Unicode MS"/>
                <w:i/>
                <w:lang w:val="lv-LV"/>
              </w:rPr>
              <w:t>euro</w:t>
            </w:r>
            <w:proofErr w:type="spellEnd"/>
            <w:r w:rsidR="00AD69D1" w:rsidRPr="00115606">
              <w:rPr>
                <w:rFonts w:eastAsia="Arial Unicode MS"/>
                <w:lang w:val="lv-LV"/>
              </w:rPr>
              <w:t xml:space="preserve"> par kilogramu)</w:t>
            </w:r>
            <w:r w:rsidR="00145F1B">
              <w:rPr>
                <w:rFonts w:eastAsia="Arial Unicode MS"/>
                <w:lang w:val="lv-LV"/>
              </w:rPr>
              <w:t>.</w:t>
            </w:r>
            <w:r w:rsidR="00AD69D1" w:rsidRPr="00115606">
              <w:rPr>
                <w:rFonts w:eastAsia="Arial Unicode MS"/>
                <w:lang w:val="lv-LV"/>
              </w:rPr>
              <w:t xml:space="preserve"> </w:t>
            </w:r>
            <w:r w:rsidR="00145F1B">
              <w:rPr>
                <w:rFonts w:eastAsia="Arial Unicode MS"/>
                <w:lang w:val="lv-LV"/>
              </w:rPr>
              <w:t>T</w:t>
            </w:r>
            <w:r w:rsidR="00AD69D1" w:rsidRPr="00115606">
              <w:rPr>
                <w:rFonts w:eastAsia="Arial Unicode MS"/>
                <w:lang w:val="lv-LV"/>
              </w:rPr>
              <w:t xml:space="preserve">urklāt lielai daļai ražotāju jāpilda iepriekšējos gados ražošanas modernizācijai un paplašināšanai uzņemtās kredītsaistības. </w:t>
            </w:r>
          </w:p>
          <w:p w:rsidR="00B07DE8" w:rsidRPr="00115606" w:rsidRDefault="00B07DE8" w:rsidP="00573E8A">
            <w:pPr>
              <w:ind w:left="49" w:right="142"/>
              <w:jc w:val="both"/>
              <w:rPr>
                <w:rFonts w:eastAsia="Arial Unicode MS"/>
                <w:lang w:val="lv-LV"/>
              </w:rPr>
            </w:pPr>
            <w:r w:rsidRPr="00115606">
              <w:rPr>
                <w:rFonts w:eastAsia="Arial Unicode MS"/>
                <w:lang w:val="lv-LV"/>
              </w:rPr>
              <w:t xml:space="preserve">Arī piena pārstrādes uzņēmumi nespēj palielināt piena iepirkuma cenu, jo piena produktu tirgus cenas ir ievērojami kritušās kopš </w:t>
            </w:r>
            <w:r w:rsidR="00DB3935">
              <w:rPr>
                <w:rFonts w:eastAsia="Arial Unicode MS"/>
                <w:lang w:val="lv-LV"/>
              </w:rPr>
              <w:t xml:space="preserve">Krievijas </w:t>
            </w:r>
            <w:r w:rsidRPr="00115606">
              <w:rPr>
                <w:rFonts w:eastAsia="Arial Unicode MS"/>
                <w:lang w:val="lv-LV"/>
              </w:rPr>
              <w:t>embargo</w:t>
            </w:r>
            <w:r w:rsidR="00145F1B">
              <w:rPr>
                <w:rFonts w:eastAsia="Arial Unicode MS"/>
                <w:lang w:val="lv-LV"/>
              </w:rPr>
              <w:t>. P</w:t>
            </w:r>
            <w:r w:rsidRPr="00115606">
              <w:rPr>
                <w:rFonts w:eastAsia="Arial Unicode MS"/>
                <w:lang w:val="lv-LV"/>
              </w:rPr>
              <w:t xml:space="preserve">iemēram, vājpiena pulverim </w:t>
            </w:r>
            <w:r w:rsidR="00145F1B">
              <w:rPr>
                <w:rFonts w:eastAsia="Arial Unicode MS"/>
                <w:lang w:val="lv-LV"/>
              </w:rPr>
              <w:t xml:space="preserve">cena kritusies </w:t>
            </w:r>
            <w:r w:rsidRPr="00115606">
              <w:rPr>
                <w:rFonts w:eastAsia="Arial Unicode MS"/>
                <w:lang w:val="lv-LV"/>
              </w:rPr>
              <w:t xml:space="preserve">par 42%, sviestam </w:t>
            </w:r>
            <w:r w:rsidR="00145F1B">
              <w:rPr>
                <w:rFonts w:eastAsia="Arial Unicode MS"/>
                <w:lang w:val="lv-LV"/>
              </w:rPr>
              <w:t xml:space="preserve">– </w:t>
            </w:r>
            <w:r w:rsidRPr="00115606">
              <w:rPr>
                <w:rFonts w:eastAsia="Arial Unicode MS"/>
                <w:lang w:val="lv-LV"/>
              </w:rPr>
              <w:t xml:space="preserve">par 19% un Čedaras sieram </w:t>
            </w:r>
            <w:r w:rsidR="00145F1B">
              <w:rPr>
                <w:rFonts w:eastAsia="Arial Unicode MS"/>
                <w:lang w:val="lv-LV"/>
              </w:rPr>
              <w:t xml:space="preserve">– </w:t>
            </w:r>
            <w:r w:rsidRPr="00115606">
              <w:rPr>
                <w:rFonts w:eastAsia="Arial Unicode MS"/>
                <w:lang w:val="lv-LV"/>
              </w:rPr>
              <w:t>par 22%.</w:t>
            </w:r>
          </w:p>
          <w:p w:rsidR="00B07DE8" w:rsidRPr="00115606" w:rsidRDefault="00B07DE8" w:rsidP="00573E8A">
            <w:pPr>
              <w:ind w:left="49" w:right="142"/>
              <w:jc w:val="both"/>
              <w:rPr>
                <w:rFonts w:eastAsia="Arial Unicode MS"/>
                <w:lang w:val="lv-LV"/>
              </w:rPr>
            </w:pPr>
          </w:p>
          <w:p w:rsidR="00B07DE8" w:rsidRPr="00115606" w:rsidRDefault="00B07DE8" w:rsidP="00573E8A">
            <w:pPr>
              <w:ind w:left="49" w:right="142"/>
              <w:jc w:val="both"/>
              <w:rPr>
                <w:rFonts w:eastAsia="Arial Unicode MS"/>
                <w:lang w:val="lv-LV"/>
              </w:rPr>
            </w:pPr>
            <w:r w:rsidRPr="00115606">
              <w:rPr>
                <w:rFonts w:eastAsia="Arial Unicode MS"/>
                <w:lang w:val="lv-LV"/>
              </w:rPr>
              <w:t xml:space="preserve">Cūkgaļas nozarē </w:t>
            </w:r>
            <w:r w:rsidR="00DB3935">
              <w:rPr>
                <w:rFonts w:eastAsia="Arial Unicode MS"/>
                <w:lang w:val="lv-LV"/>
              </w:rPr>
              <w:t xml:space="preserve">Krievijas </w:t>
            </w:r>
            <w:r w:rsidRPr="00115606">
              <w:rPr>
                <w:rFonts w:eastAsia="Arial Unicode MS"/>
                <w:lang w:val="lv-LV"/>
              </w:rPr>
              <w:t>embargo ietekme ir netieša, jo saistībā ar infekcijas slimību uzliesmojumu (</w:t>
            </w:r>
            <w:r w:rsidRPr="00115606">
              <w:rPr>
                <w:rFonts w:eastAsia="Arial Unicode MS"/>
                <w:i/>
                <w:lang w:val="lv-LV"/>
              </w:rPr>
              <w:t>klasiskais cūku mēris</w:t>
            </w:r>
            <w:r w:rsidRPr="00115606">
              <w:rPr>
                <w:rFonts w:eastAsia="Arial Unicode MS"/>
                <w:lang w:val="lv-LV"/>
              </w:rPr>
              <w:t xml:space="preserve">) cūkgaļas un </w:t>
            </w:r>
            <w:r w:rsidRPr="00115606">
              <w:rPr>
                <w:rFonts w:eastAsia="Arial Unicode MS"/>
                <w:lang w:val="lv-LV"/>
              </w:rPr>
              <w:lastRenderedPageBreak/>
              <w:t xml:space="preserve">tās produktu eksports uz Krieviju </w:t>
            </w:r>
            <w:r w:rsidR="00145F1B">
              <w:rPr>
                <w:rFonts w:eastAsia="Arial Unicode MS"/>
                <w:lang w:val="lv-LV"/>
              </w:rPr>
              <w:t>ir</w:t>
            </w:r>
            <w:r w:rsidR="00145F1B" w:rsidRPr="00115606">
              <w:rPr>
                <w:rFonts w:eastAsia="Arial Unicode MS"/>
                <w:lang w:val="lv-LV"/>
              </w:rPr>
              <w:t xml:space="preserve"> </w:t>
            </w:r>
            <w:r w:rsidRPr="00115606">
              <w:rPr>
                <w:rFonts w:eastAsia="Arial Unicode MS"/>
                <w:lang w:val="lv-LV"/>
              </w:rPr>
              <w:t xml:space="preserve">aizliegts jau kopš </w:t>
            </w:r>
            <w:proofErr w:type="gramStart"/>
            <w:r w:rsidRPr="00115606">
              <w:rPr>
                <w:rFonts w:eastAsia="Arial Unicode MS"/>
                <w:lang w:val="lv-LV"/>
              </w:rPr>
              <w:t>2012.gada</w:t>
            </w:r>
            <w:proofErr w:type="gramEnd"/>
            <w:r w:rsidRPr="00115606">
              <w:rPr>
                <w:rFonts w:eastAsia="Arial Unicode MS"/>
                <w:lang w:val="lv-LV"/>
              </w:rPr>
              <w:t>. Taču, ņemot vērā, ka vairākām citām Eiropas Savienības dalībvalstīm (Dānija</w:t>
            </w:r>
            <w:r w:rsidR="00145F1B">
              <w:rPr>
                <w:rFonts w:eastAsia="Arial Unicode MS"/>
                <w:lang w:val="lv-LV"/>
              </w:rPr>
              <w:t>i</w:t>
            </w:r>
            <w:r w:rsidRPr="00115606">
              <w:rPr>
                <w:rFonts w:eastAsia="Arial Unicode MS"/>
                <w:lang w:val="lv-LV"/>
              </w:rPr>
              <w:t>, Polija</w:t>
            </w:r>
            <w:r w:rsidR="00145F1B">
              <w:rPr>
                <w:rFonts w:eastAsia="Arial Unicode MS"/>
                <w:lang w:val="lv-LV"/>
              </w:rPr>
              <w:t>i</w:t>
            </w:r>
            <w:r w:rsidRPr="00115606">
              <w:rPr>
                <w:rFonts w:eastAsia="Arial Unicode MS"/>
                <w:lang w:val="lv-LV"/>
              </w:rPr>
              <w:t>, Nīderlande</w:t>
            </w:r>
            <w:r w:rsidR="00145F1B">
              <w:rPr>
                <w:rFonts w:eastAsia="Arial Unicode MS"/>
                <w:lang w:val="lv-LV"/>
              </w:rPr>
              <w:t>i</w:t>
            </w:r>
            <w:r w:rsidRPr="00115606">
              <w:rPr>
                <w:rFonts w:eastAsia="Arial Unicode MS"/>
                <w:lang w:val="lv-LV"/>
              </w:rPr>
              <w:t>, Beļģija</w:t>
            </w:r>
            <w:r w:rsidR="00145F1B">
              <w:rPr>
                <w:rFonts w:eastAsia="Arial Unicode MS"/>
                <w:lang w:val="lv-LV"/>
              </w:rPr>
              <w:t>i</w:t>
            </w:r>
            <w:r w:rsidRPr="00115606">
              <w:rPr>
                <w:rFonts w:eastAsia="Arial Unicode MS"/>
                <w:lang w:val="lv-LV"/>
              </w:rPr>
              <w:t xml:space="preserve">) Krievija bija nozīmīgs cūkgaļas nozares tirgus, tad </w:t>
            </w:r>
            <w:r w:rsidR="00AF6DE3">
              <w:rPr>
                <w:rFonts w:eastAsia="Arial Unicode MS"/>
                <w:lang w:val="lv-LV"/>
              </w:rPr>
              <w:t xml:space="preserve">Krievijas </w:t>
            </w:r>
            <w:r w:rsidRPr="00115606">
              <w:rPr>
                <w:rFonts w:eastAsia="Arial Unicode MS"/>
                <w:lang w:val="lv-LV"/>
              </w:rPr>
              <w:t xml:space="preserve">embargo izraisītā iekšējā tirgus pārprodukcija skar arī Latvijas ražotājus, jo Krievijas tirgum domātā produkcija paliek ES iekšējā tirgū, tai skaitā Latvijā. Cūkgaļas iepirkuma vidējā cena Latvijā E klases cūku liemeņiem kopš embargo noteikšanas līdz oktobra sākumam bija samazinājusies par 16%. </w:t>
            </w:r>
          </w:p>
          <w:p w:rsidR="003E3583" w:rsidRPr="00115606" w:rsidRDefault="003E3583" w:rsidP="00573E8A">
            <w:pPr>
              <w:ind w:left="49" w:right="142"/>
              <w:jc w:val="both"/>
              <w:rPr>
                <w:rFonts w:eastAsia="Arial Unicode MS"/>
                <w:lang w:val="lv-LV"/>
              </w:rPr>
            </w:pPr>
          </w:p>
          <w:p w:rsidR="003E3583" w:rsidRPr="00115606" w:rsidRDefault="003E3583" w:rsidP="00573E8A">
            <w:pPr>
              <w:ind w:left="49" w:right="142"/>
              <w:jc w:val="both"/>
              <w:rPr>
                <w:rFonts w:eastAsia="Arial Unicode MS"/>
                <w:lang w:val="lv-LV"/>
              </w:rPr>
            </w:pPr>
            <w:r w:rsidRPr="00115606">
              <w:rPr>
                <w:rFonts w:eastAsia="Arial Unicode MS"/>
                <w:lang w:val="lv-LV"/>
              </w:rPr>
              <w:t xml:space="preserve">Pārējās lopkopības nozares no </w:t>
            </w:r>
            <w:r w:rsidR="00AF6DE3">
              <w:rPr>
                <w:rFonts w:eastAsia="Arial Unicode MS"/>
                <w:lang w:val="lv-LV"/>
              </w:rPr>
              <w:t xml:space="preserve">Krievijas </w:t>
            </w:r>
            <w:r w:rsidRPr="00115606">
              <w:rPr>
                <w:rFonts w:eastAsia="Arial Unicode MS"/>
                <w:lang w:val="lv-LV"/>
              </w:rPr>
              <w:t>embargo un globālā tirgus problēmām ir cietušas mazāk, jo to eksports nebija tik nozīmīgs.</w:t>
            </w:r>
          </w:p>
          <w:p w:rsidR="003E3583" w:rsidRPr="00115606" w:rsidRDefault="003E3583" w:rsidP="003E3583">
            <w:pPr>
              <w:ind w:right="142"/>
              <w:jc w:val="both"/>
              <w:rPr>
                <w:rFonts w:eastAsia="Arial Unicode MS"/>
                <w:lang w:val="lv-LV"/>
              </w:rPr>
            </w:pPr>
          </w:p>
          <w:p w:rsidR="00B07DE8" w:rsidRPr="00115606" w:rsidRDefault="0014344A" w:rsidP="003E3583">
            <w:pPr>
              <w:ind w:right="142"/>
              <w:jc w:val="both"/>
              <w:rPr>
                <w:rFonts w:eastAsia="Arial Unicode MS"/>
                <w:lang w:val="lv-LV"/>
              </w:rPr>
            </w:pPr>
            <w:r>
              <w:rPr>
                <w:rFonts w:eastAsia="Arial Unicode MS"/>
                <w:lang w:val="lv-LV"/>
              </w:rPr>
              <w:t>Tā kā</w:t>
            </w:r>
            <w:r w:rsidR="00B07DE8" w:rsidRPr="00115606">
              <w:rPr>
                <w:rFonts w:eastAsia="Arial Unicode MS"/>
                <w:lang w:val="lv-LV"/>
              </w:rPr>
              <w:t xml:space="preserve"> piena un cūkgaļas nozare ir </w:t>
            </w:r>
            <w:r w:rsidRPr="00115606">
              <w:rPr>
                <w:rFonts w:eastAsia="Arial Unicode MS"/>
                <w:lang w:val="lv-LV"/>
              </w:rPr>
              <w:t>visvairāk cietuš</w:t>
            </w:r>
            <w:r w:rsidR="00AF6DE3">
              <w:rPr>
                <w:rFonts w:eastAsia="Arial Unicode MS"/>
                <w:lang w:val="lv-LV"/>
              </w:rPr>
              <w:t>a</w:t>
            </w:r>
            <w:r w:rsidRPr="00115606">
              <w:rPr>
                <w:rFonts w:eastAsia="Arial Unicode MS"/>
                <w:lang w:val="lv-LV"/>
              </w:rPr>
              <w:t xml:space="preserve">s </w:t>
            </w:r>
            <w:r w:rsidR="00B07DE8" w:rsidRPr="00115606">
              <w:rPr>
                <w:rFonts w:eastAsia="Arial Unicode MS"/>
                <w:lang w:val="lv-LV"/>
              </w:rPr>
              <w:t>no ilgstoši nelabvēlīgās tirgus situācijas, Eiropas Savienības piešķirtais ārkārtas atbalsts būtu piešķirams š</w:t>
            </w:r>
            <w:r>
              <w:rPr>
                <w:rFonts w:eastAsia="Arial Unicode MS"/>
                <w:lang w:val="lv-LV"/>
              </w:rPr>
              <w:t>o</w:t>
            </w:r>
            <w:r w:rsidR="00B07DE8" w:rsidRPr="00115606">
              <w:rPr>
                <w:rFonts w:eastAsia="Arial Unicode MS"/>
                <w:lang w:val="lv-LV"/>
              </w:rPr>
              <w:t xml:space="preserve"> nozar</w:t>
            </w:r>
            <w:r>
              <w:rPr>
                <w:rFonts w:eastAsia="Arial Unicode MS"/>
                <w:lang w:val="lv-LV"/>
              </w:rPr>
              <w:t>u ražotājiem</w:t>
            </w:r>
            <w:r w:rsidR="00B07DE8" w:rsidRPr="00115606">
              <w:rPr>
                <w:rFonts w:eastAsia="Arial Unicode MS"/>
                <w:lang w:val="lv-LV"/>
              </w:rPr>
              <w:t xml:space="preserve">. </w:t>
            </w:r>
          </w:p>
          <w:p w:rsidR="00B07DE8" w:rsidRPr="00115606" w:rsidRDefault="00B07DE8" w:rsidP="00573E8A">
            <w:pPr>
              <w:ind w:left="49" w:right="142"/>
              <w:jc w:val="both"/>
              <w:rPr>
                <w:rFonts w:eastAsia="Arial Unicode MS"/>
                <w:lang w:val="lv-LV"/>
              </w:rPr>
            </w:pPr>
          </w:p>
          <w:p w:rsidR="003E3583" w:rsidRPr="00115606" w:rsidRDefault="003E3583" w:rsidP="00706DDB">
            <w:pPr>
              <w:ind w:left="49" w:right="142"/>
              <w:jc w:val="both"/>
              <w:rPr>
                <w:rFonts w:eastAsia="Arial Unicode MS"/>
                <w:lang w:val="lv-LV"/>
              </w:rPr>
            </w:pPr>
            <w:r w:rsidRPr="00115606">
              <w:rPr>
                <w:rFonts w:eastAsia="Arial Unicode MS"/>
                <w:lang w:val="lv-LV"/>
              </w:rPr>
              <w:t xml:space="preserve">Regulas Nr.1853/2015 11.preambulā teikts, ka dalībvalstīm jādod elastīga pieeja, lai tās varētu izplatīt pieejamo summu, izmantojot visefektīvākos līdzekļus, pamatojoties uz objektīviem un nediskriminējošiem kritērijiem, vienlaikus nodrošinot, ka lopkopības nozaru lauksaimnieki ir mērķtiecīgā atbalsta galvenie labuma guvēji, un nepieļaujot tirgus un konkurences kropļošanu. </w:t>
            </w:r>
          </w:p>
          <w:p w:rsidR="00AF6DE3" w:rsidRDefault="003E3583" w:rsidP="00706DDB">
            <w:pPr>
              <w:ind w:left="49" w:right="142"/>
              <w:jc w:val="both"/>
              <w:rPr>
                <w:rFonts w:eastAsia="Arial Unicode MS"/>
                <w:lang w:val="lv-LV"/>
              </w:rPr>
            </w:pPr>
            <w:r w:rsidRPr="00115606">
              <w:rPr>
                <w:rFonts w:eastAsia="Arial Unicode MS"/>
                <w:lang w:val="lv-LV"/>
              </w:rPr>
              <w:t xml:space="preserve">Tiesiskais regulējums paredz kopējo finansējumu sadalīt, piešķirot piena ražotājiem atbalstu </w:t>
            </w:r>
            <w:r w:rsidR="00F56256">
              <w:rPr>
                <w:rFonts w:eastAsia="Arial Unicode MS"/>
                <w:lang w:val="lv-LV"/>
              </w:rPr>
              <w:t xml:space="preserve">85% apmērā no kopējā finansējuma jeb </w:t>
            </w:r>
            <w:r w:rsidRPr="00115606">
              <w:rPr>
                <w:rFonts w:eastAsia="Arial Unicode MS"/>
                <w:lang w:val="lv-LV"/>
              </w:rPr>
              <w:t xml:space="preserve">7,15 milj. </w:t>
            </w:r>
            <w:proofErr w:type="spellStart"/>
            <w:r w:rsidRPr="00115606">
              <w:rPr>
                <w:rFonts w:eastAsia="Arial Unicode MS"/>
                <w:i/>
                <w:lang w:val="lv-LV"/>
              </w:rPr>
              <w:t>euro</w:t>
            </w:r>
            <w:proofErr w:type="spellEnd"/>
            <w:r w:rsidRPr="00115606">
              <w:rPr>
                <w:rFonts w:eastAsia="Arial Unicode MS"/>
                <w:lang w:val="lv-LV"/>
              </w:rPr>
              <w:t xml:space="preserve"> un </w:t>
            </w:r>
            <w:r w:rsidR="0014344A" w:rsidRPr="00115606">
              <w:rPr>
                <w:rFonts w:eastAsia="Arial Unicode MS"/>
                <w:lang w:val="lv-LV"/>
              </w:rPr>
              <w:t>cūkaudzētājiem</w:t>
            </w:r>
            <w:r w:rsidR="0014344A">
              <w:rPr>
                <w:rFonts w:eastAsia="Arial Unicode MS"/>
                <w:lang w:val="lv-LV"/>
              </w:rPr>
              <w:t xml:space="preserve"> –</w:t>
            </w:r>
            <w:r w:rsidRPr="00115606">
              <w:rPr>
                <w:rFonts w:eastAsia="Arial Unicode MS"/>
                <w:lang w:val="lv-LV"/>
              </w:rPr>
              <w:t xml:space="preserve"> </w:t>
            </w:r>
            <w:r w:rsidR="00F56256">
              <w:rPr>
                <w:rFonts w:eastAsia="Arial Unicode MS"/>
                <w:lang w:val="lv-LV"/>
              </w:rPr>
              <w:t xml:space="preserve">15% apmērā no kopējā finansējuma jeb </w:t>
            </w:r>
            <w:r w:rsidRPr="00115606">
              <w:rPr>
                <w:rFonts w:eastAsia="Arial Unicode MS"/>
                <w:lang w:val="lv-LV"/>
              </w:rPr>
              <w:t xml:space="preserve">1,30 milj. </w:t>
            </w:r>
            <w:proofErr w:type="spellStart"/>
            <w:r w:rsidRPr="00115606">
              <w:rPr>
                <w:rFonts w:eastAsia="Arial Unicode MS"/>
                <w:i/>
                <w:lang w:val="lv-LV"/>
              </w:rPr>
              <w:t>euro</w:t>
            </w:r>
            <w:proofErr w:type="spellEnd"/>
            <w:r w:rsidRPr="00115606">
              <w:rPr>
                <w:rFonts w:eastAsia="Arial Unicode MS"/>
                <w:lang w:val="lv-LV"/>
              </w:rPr>
              <w:t>. Sadalījums tika noteikts proporcionāli</w:t>
            </w:r>
            <w:r w:rsidR="0014344A">
              <w:rPr>
                <w:rFonts w:eastAsia="Arial Unicode MS"/>
                <w:lang w:val="lv-LV"/>
              </w:rPr>
              <w:t xml:space="preserve"> </w:t>
            </w:r>
            <w:r w:rsidR="00AF6DE3">
              <w:rPr>
                <w:rFonts w:eastAsia="Arial Unicode MS"/>
                <w:lang w:val="lv-LV"/>
              </w:rPr>
              <w:t xml:space="preserve">Krievijas </w:t>
            </w:r>
            <w:r w:rsidR="0014344A">
              <w:rPr>
                <w:rFonts w:eastAsia="Arial Unicode MS"/>
                <w:lang w:val="lv-LV"/>
              </w:rPr>
              <w:t xml:space="preserve">embargo ietekmē radītajiem </w:t>
            </w:r>
            <w:r w:rsidR="0014344A" w:rsidRPr="00115606">
              <w:rPr>
                <w:rFonts w:eastAsia="Arial Unicode MS"/>
                <w:lang w:val="lv-LV"/>
              </w:rPr>
              <w:t>zaudējumiem</w:t>
            </w:r>
            <w:r w:rsidR="0014344A" w:rsidRPr="00115606" w:rsidDel="0014344A">
              <w:rPr>
                <w:rFonts w:eastAsia="Arial Unicode MS"/>
                <w:lang w:val="lv-LV"/>
              </w:rPr>
              <w:t xml:space="preserve"> </w:t>
            </w:r>
            <w:r w:rsidRPr="00115606">
              <w:rPr>
                <w:rFonts w:eastAsia="Arial Unicode MS"/>
                <w:lang w:val="lv-LV"/>
              </w:rPr>
              <w:t>nozar</w:t>
            </w:r>
            <w:r w:rsidR="0014344A">
              <w:rPr>
                <w:rFonts w:eastAsia="Arial Unicode MS"/>
                <w:lang w:val="lv-LV"/>
              </w:rPr>
              <w:t>ei</w:t>
            </w:r>
            <w:r w:rsidRPr="00115606">
              <w:rPr>
                <w:rFonts w:eastAsia="Arial Unicode MS"/>
                <w:lang w:val="lv-LV"/>
              </w:rPr>
              <w:t xml:space="preserve">, ko Zemkopības ministrija aprēķināja </w:t>
            </w:r>
            <w:proofErr w:type="gramStart"/>
            <w:r w:rsidRPr="00115606">
              <w:rPr>
                <w:rFonts w:eastAsia="Arial Unicode MS"/>
                <w:lang w:val="lv-LV"/>
              </w:rPr>
              <w:t>2015.gada</w:t>
            </w:r>
            <w:proofErr w:type="gramEnd"/>
            <w:r w:rsidRPr="00115606">
              <w:rPr>
                <w:rFonts w:eastAsia="Arial Unicode MS"/>
                <w:lang w:val="lv-LV"/>
              </w:rPr>
              <w:t xml:space="preserve"> augustā</w:t>
            </w:r>
            <w:r w:rsidR="00DC5D31" w:rsidRPr="00115606">
              <w:rPr>
                <w:rFonts w:eastAsia="Arial Unicode MS"/>
                <w:lang w:val="lv-LV"/>
              </w:rPr>
              <w:t>.</w:t>
            </w:r>
          </w:p>
          <w:p w:rsidR="00DC5D31" w:rsidRPr="00115606" w:rsidRDefault="00DC5D31" w:rsidP="00706DDB">
            <w:pPr>
              <w:ind w:left="49" w:right="142"/>
              <w:jc w:val="both"/>
              <w:rPr>
                <w:rFonts w:eastAsia="Arial Unicode MS"/>
                <w:lang w:val="lv-LV"/>
              </w:rPr>
            </w:pPr>
            <w:r w:rsidRPr="00115606">
              <w:rPr>
                <w:rFonts w:eastAsia="Arial Unicode MS"/>
                <w:lang w:val="lv-LV"/>
              </w:rPr>
              <w:t xml:space="preserve"> </w:t>
            </w:r>
          </w:p>
          <w:p w:rsidR="00DC5D31" w:rsidRPr="00115606" w:rsidRDefault="0014344A" w:rsidP="00706DDB">
            <w:pPr>
              <w:ind w:left="49" w:right="142"/>
              <w:jc w:val="both"/>
              <w:rPr>
                <w:rFonts w:eastAsia="Arial Unicode MS"/>
                <w:lang w:val="lv-LV"/>
              </w:rPr>
            </w:pPr>
            <w:r>
              <w:rPr>
                <w:rFonts w:eastAsia="Arial Unicode MS"/>
                <w:lang w:val="lv-LV"/>
              </w:rPr>
              <w:t>Noteikumu projekta</w:t>
            </w:r>
            <w:r w:rsidR="00DC5D31" w:rsidRPr="00115606">
              <w:rPr>
                <w:rFonts w:eastAsia="Arial Unicode MS"/>
                <w:lang w:val="lv-LV"/>
              </w:rPr>
              <w:t xml:space="preserve"> regulējums paredz piena ražotājiem piešķirt atbalstu par piena daudzumu</w:t>
            </w:r>
            <w:r w:rsidR="00AF6DE3">
              <w:rPr>
                <w:rFonts w:eastAsia="Arial Unicode MS"/>
                <w:lang w:val="lv-LV"/>
              </w:rPr>
              <w:t xml:space="preserve"> tonnās, kas laika periodā</w:t>
            </w:r>
            <w:r w:rsidR="00DC5D31" w:rsidRPr="00115606">
              <w:rPr>
                <w:rFonts w:eastAsia="Arial Unicode MS"/>
                <w:lang w:val="lv-LV"/>
              </w:rPr>
              <w:t xml:space="preserve"> no </w:t>
            </w:r>
            <w:proofErr w:type="gramStart"/>
            <w:r w:rsidR="00DC5D31" w:rsidRPr="00115606">
              <w:rPr>
                <w:rFonts w:eastAsia="Arial Unicode MS"/>
                <w:lang w:val="lv-LV"/>
              </w:rPr>
              <w:t>2015.gada</w:t>
            </w:r>
            <w:proofErr w:type="gramEnd"/>
            <w:r w:rsidR="00DC5D31" w:rsidRPr="00115606">
              <w:rPr>
                <w:rFonts w:eastAsia="Arial Unicode MS"/>
                <w:lang w:val="lv-LV"/>
              </w:rPr>
              <w:t xml:space="preserve"> 1.janvāra līdz 31.septembrim piegādāts pārstrādei (t.i., svaigpiena pirmajam pircējam), ja ražotājs </w:t>
            </w:r>
            <w:r w:rsidR="00DC5D31" w:rsidRPr="00115606">
              <w:rPr>
                <w:lang w:val="lv-LV"/>
              </w:rPr>
              <w:t>ir veicis piena piegādi pārstrādei 2015.gada septembrī un tam saimniecībā pēc stāvokļa uz 2015.gada 1.oktobri atbilstoši normatīvajiem aktiem par lauksaimniecības dzīvnieku, to ganāmpulku un novietņu reģistrēšanu ir reģistrētas slaucamas govis vai teles, kas ir vecākas par 18 mēnešiem</w:t>
            </w:r>
            <w:r w:rsidR="00DC5D31" w:rsidRPr="00115606">
              <w:rPr>
                <w:rFonts w:eastAsia="Arial Unicode MS"/>
                <w:lang w:val="lv-LV"/>
              </w:rPr>
              <w:t xml:space="preserve">. </w:t>
            </w:r>
          </w:p>
          <w:p w:rsidR="00AF6DE3" w:rsidRDefault="00925C33" w:rsidP="00925C33">
            <w:pPr>
              <w:ind w:left="49" w:right="142"/>
              <w:jc w:val="both"/>
              <w:rPr>
                <w:rFonts w:eastAsia="Arial Unicode MS"/>
                <w:lang w:val="lv-LV"/>
              </w:rPr>
            </w:pPr>
            <w:r w:rsidRPr="00115606">
              <w:rPr>
                <w:rFonts w:eastAsia="Arial Unicode MS"/>
                <w:lang w:val="lv-LV"/>
              </w:rPr>
              <w:lastRenderedPageBreak/>
              <w:t xml:space="preserve">Par šādiem atbalsta sadales kritērijiem tika panākta vienošanās </w:t>
            </w:r>
            <w:r w:rsidR="0014344A">
              <w:rPr>
                <w:rFonts w:eastAsia="Arial Unicode MS"/>
                <w:lang w:val="lv-LV"/>
              </w:rPr>
              <w:t>2015</w:t>
            </w:r>
            <w:r w:rsidRPr="00115606">
              <w:rPr>
                <w:rFonts w:eastAsia="Arial Unicode MS"/>
                <w:lang w:val="lv-LV"/>
              </w:rPr>
              <w:t xml:space="preserve">. </w:t>
            </w:r>
            <w:r w:rsidR="0014344A">
              <w:rPr>
                <w:rFonts w:eastAsia="Arial Unicode MS"/>
                <w:lang w:val="lv-LV"/>
              </w:rPr>
              <w:t xml:space="preserve">gada </w:t>
            </w:r>
            <w:r w:rsidRPr="00115606">
              <w:rPr>
                <w:rFonts w:eastAsia="Arial Unicode MS"/>
                <w:lang w:val="lv-LV"/>
              </w:rPr>
              <w:t xml:space="preserve">4. novembra Lauksaimnieku </w:t>
            </w:r>
            <w:r w:rsidR="00644905">
              <w:rPr>
                <w:rFonts w:eastAsia="Arial Unicode MS"/>
                <w:lang w:val="lv-LV"/>
              </w:rPr>
              <w:t xml:space="preserve">nevalstisko organizāciju </w:t>
            </w:r>
            <w:r w:rsidRPr="00115606">
              <w:rPr>
                <w:rFonts w:eastAsia="Arial Unicode MS"/>
                <w:lang w:val="lv-LV"/>
              </w:rPr>
              <w:t>konsultatīvās padomes sēdē.</w:t>
            </w:r>
          </w:p>
          <w:p w:rsidR="00925C33" w:rsidRPr="00115606" w:rsidRDefault="00925C33" w:rsidP="00925C33">
            <w:pPr>
              <w:ind w:left="49" w:right="142"/>
              <w:jc w:val="both"/>
              <w:rPr>
                <w:rFonts w:eastAsia="Arial Unicode MS"/>
                <w:lang w:val="lv-LV"/>
              </w:rPr>
            </w:pPr>
            <w:r w:rsidRPr="00115606">
              <w:rPr>
                <w:rFonts w:eastAsia="Arial Unicode MS"/>
                <w:lang w:val="lv-LV"/>
              </w:rPr>
              <w:t xml:space="preserve"> </w:t>
            </w:r>
          </w:p>
          <w:p w:rsidR="00AF6DE3" w:rsidRDefault="0014344A" w:rsidP="00706DDB">
            <w:pPr>
              <w:ind w:left="49" w:right="142"/>
              <w:jc w:val="both"/>
              <w:rPr>
                <w:rFonts w:eastAsia="Arial Unicode MS"/>
                <w:lang w:val="lv-LV"/>
              </w:rPr>
            </w:pPr>
            <w:r>
              <w:rPr>
                <w:rFonts w:eastAsia="Arial Unicode MS"/>
                <w:lang w:val="lv-LV"/>
              </w:rPr>
              <w:t xml:space="preserve">Noteikumu projekta regulējums </w:t>
            </w:r>
            <w:r w:rsidR="00DC5D31" w:rsidRPr="00115606">
              <w:rPr>
                <w:rFonts w:eastAsia="Arial Unicode MS"/>
                <w:lang w:val="lv-LV"/>
              </w:rPr>
              <w:t xml:space="preserve">paredz </w:t>
            </w:r>
            <w:r w:rsidR="00AF6DE3">
              <w:rPr>
                <w:rFonts w:eastAsia="Arial Unicode MS"/>
                <w:lang w:val="lv-LV"/>
              </w:rPr>
              <w:t>piešķirt</w:t>
            </w:r>
            <w:r w:rsidR="00AF6DE3" w:rsidRPr="00115606">
              <w:rPr>
                <w:rFonts w:eastAsia="Arial Unicode MS"/>
                <w:lang w:val="lv-LV"/>
              </w:rPr>
              <w:t xml:space="preserve"> </w:t>
            </w:r>
            <w:r w:rsidR="00DC5D31" w:rsidRPr="00115606">
              <w:rPr>
                <w:rFonts w:eastAsia="Arial Unicode MS"/>
                <w:lang w:val="lv-LV"/>
              </w:rPr>
              <w:t>atbalstu</w:t>
            </w:r>
            <w:r w:rsidR="00AF6DE3">
              <w:rPr>
                <w:rFonts w:eastAsia="Arial Unicode MS"/>
                <w:lang w:val="lv-LV"/>
              </w:rPr>
              <w:t xml:space="preserve"> </w:t>
            </w:r>
            <w:r w:rsidR="009A455E">
              <w:rPr>
                <w:rFonts w:eastAsia="Arial Unicode MS"/>
                <w:lang w:val="lv-LV"/>
              </w:rPr>
              <w:t xml:space="preserve">cūku ganāmpulku īpašniekiem </w:t>
            </w:r>
            <w:r w:rsidR="00467853">
              <w:rPr>
                <w:rFonts w:eastAsia="Arial Unicode MS"/>
                <w:lang w:val="lv-LV"/>
              </w:rPr>
              <w:t xml:space="preserve">par katru uz </w:t>
            </w:r>
            <w:proofErr w:type="gramStart"/>
            <w:r w:rsidR="00467853">
              <w:rPr>
                <w:rFonts w:eastAsia="Arial Unicode MS"/>
                <w:lang w:val="lv-LV"/>
              </w:rPr>
              <w:t>2015.gada</w:t>
            </w:r>
            <w:proofErr w:type="gramEnd"/>
            <w:r w:rsidR="00467853">
              <w:rPr>
                <w:rFonts w:eastAsia="Arial Unicode MS"/>
                <w:lang w:val="lv-LV"/>
              </w:rPr>
              <w:t xml:space="preserve"> 1.oktobr</w:t>
            </w:r>
            <w:r w:rsidR="00F56256">
              <w:rPr>
                <w:rFonts w:eastAsia="Arial Unicode MS"/>
                <w:lang w:val="lv-LV"/>
              </w:rPr>
              <w:t xml:space="preserve">i novietnē reģistrētu sivēnmāti, ja šādu sivēnmāšu skaits ir vismaz piecas, </w:t>
            </w:r>
            <w:r w:rsidR="00467853">
              <w:rPr>
                <w:rFonts w:eastAsia="Arial Unicode MS"/>
                <w:lang w:val="lv-LV"/>
              </w:rPr>
              <w:t xml:space="preserve">vai </w:t>
            </w:r>
            <w:r w:rsidR="00DC5D31" w:rsidRPr="00115606">
              <w:rPr>
                <w:rFonts w:eastAsia="Arial Unicode MS"/>
                <w:lang w:val="lv-LV"/>
              </w:rPr>
              <w:t xml:space="preserve">par katru kautuvei </w:t>
            </w:r>
            <w:r w:rsidR="00F56256">
              <w:rPr>
                <w:rFonts w:eastAsia="Arial Unicode MS"/>
                <w:lang w:val="lv-LV"/>
              </w:rPr>
              <w:t>realizēto</w:t>
            </w:r>
            <w:r w:rsidR="00DC5D31" w:rsidRPr="00115606">
              <w:rPr>
                <w:rFonts w:eastAsia="Arial Unicode MS"/>
                <w:lang w:val="lv-LV"/>
              </w:rPr>
              <w:t xml:space="preserve"> v</w:t>
            </w:r>
            <w:r w:rsidR="00AF6DE3">
              <w:rPr>
                <w:rFonts w:eastAsia="Arial Unicode MS"/>
                <w:lang w:val="lv-LV"/>
              </w:rPr>
              <w:t>ai eksportēto dzīvo cūku laika periodā</w:t>
            </w:r>
            <w:r w:rsidR="00DC5D31" w:rsidRPr="00115606">
              <w:rPr>
                <w:rFonts w:eastAsia="Arial Unicode MS"/>
                <w:lang w:val="lv-LV"/>
              </w:rPr>
              <w:t xml:space="preserve"> no 2015.gada 1.janvāra līdz 31.septembrim</w:t>
            </w:r>
            <w:r w:rsidR="00F56256">
              <w:rPr>
                <w:rFonts w:eastAsia="Arial Unicode MS"/>
                <w:lang w:val="lv-LV"/>
              </w:rPr>
              <w:t>, ja šādu cūku skaits ir vismaz 10</w:t>
            </w:r>
            <w:r w:rsidR="00AF6DE3">
              <w:rPr>
                <w:rFonts w:eastAsia="Arial Unicode MS"/>
                <w:lang w:val="lv-LV"/>
              </w:rPr>
              <w:t xml:space="preserve">  un ja ganāmpulka īpašnieks nesaņem iepriekšminēto atbalstu par sivēnmāti.</w:t>
            </w:r>
          </w:p>
          <w:p w:rsidR="00F56256" w:rsidRDefault="00326A31" w:rsidP="00706DDB">
            <w:pPr>
              <w:ind w:left="49" w:right="142"/>
              <w:jc w:val="both"/>
              <w:rPr>
                <w:rFonts w:eastAsia="Arial Unicode MS"/>
                <w:lang w:val="lv-LV"/>
              </w:rPr>
            </w:pPr>
            <w:r>
              <w:rPr>
                <w:rFonts w:eastAsia="Arial Unicode MS"/>
                <w:lang w:val="lv-LV"/>
              </w:rPr>
              <w:t>Ar šādiem minimālā skaita kritērijiem no atbalsta saņēmēju loka paredzēts izslēgt saimniecības, kas ir ļoti nelielas un uzskatāmas par pašpatēriņa saimniecībām, un tādējādi būtiski necieš no cenu lejupslīdes.</w:t>
            </w:r>
          </w:p>
          <w:p w:rsidR="00925C33" w:rsidRDefault="00925C33" w:rsidP="00706DDB">
            <w:pPr>
              <w:ind w:left="49" w:right="142"/>
              <w:jc w:val="both"/>
              <w:rPr>
                <w:rFonts w:eastAsia="Arial Unicode MS"/>
                <w:lang w:val="lv-LV"/>
              </w:rPr>
            </w:pPr>
            <w:r>
              <w:rPr>
                <w:rFonts w:eastAsia="Arial Unicode MS"/>
                <w:lang w:val="lv-LV"/>
              </w:rPr>
              <w:t>Šādi atbalsta sadales kritēriji tika izstrādāti pēc Latvijas Cūkaudzētāju asociācijas priekšlikumiem, kas ir lielākā cūkgaļas nozari pārstāvošā nevalstiskā organizācija Latvijā.</w:t>
            </w:r>
          </w:p>
          <w:p w:rsidR="00AF6DE3" w:rsidRDefault="00AF6DE3" w:rsidP="00706DDB">
            <w:pPr>
              <w:ind w:left="49" w:right="142"/>
              <w:jc w:val="both"/>
              <w:rPr>
                <w:rFonts w:eastAsia="Arial Unicode MS"/>
                <w:lang w:val="lv-LV"/>
              </w:rPr>
            </w:pPr>
          </w:p>
          <w:p w:rsidR="003D2C2C" w:rsidRPr="003D2C2C" w:rsidRDefault="00F56256" w:rsidP="00706DDB">
            <w:pPr>
              <w:ind w:left="49" w:right="142"/>
              <w:jc w:val="both"/>
              <w:rPr>
                <w:b/>
                <w:lang w:val="lv-LV"/>
              </w:rPr>
            </w:pPr>
            <w:r>
              <w:rPr>
                <w:rFonts w:eastAsia="Arial Unicode MS"/>
                <w:lang w:val="lv-LV"/>
              </w:rPr>
              <w:t xml:space="preserve">Ņemot vērā, ka projekts neparedz iesnieguma atbalsta saņemšanai iesniegšanu, projekts papildus paredz prasību, ka atbalsta </w:t>
            </w:r>
            <w:r w:rsidR="009A455E">
              <w:rPr>
                <w:rFonts w:eastAsia="Arial Unicode MS"/>
                <w:lang w:val="lv-LV"/>
              </w:rPr>
              <w:t xml:space="preserve">saņēmējam jābūt </w:t>
            </w:r>
            <w:r>
              <w:rPr>
                <w:rFonts w:eastAsia="Arial Unicode MS"/>
                <w:lang w:val="lv-LV"/>
              </w:rPr>
              <w:t>reģistr</w:t>
            </w:r>
            <w:r w:rsidR="009A455E">
              <w:rPr>
                <w:rFonts w:eastAsia="Arial Unicode MS"/>
                <w:lang w:val="lv-LV"/>
              </w:rPr>
              <w:t>ētam</w:t>
            </w:r>
            <w:r>
              <w:rPr>
                <w:rFonts w:eastAsia="Arial Unicode MS"/>
                <w:lang w:val="lv-LV"/>
              </w:rPr>
              <w:t xml:space="preserve"> </w:t>
            </w:r>
            <w:r w:rsidR="00DC5D31" w:rsidRPr="00115606">
              <w:rPr>
                <w:lang w:val="lv-LV"/>
              </w:rPr>
              <w:t>vienotajā zemkopības nozares informācijas sistēmā</w:t>
            </w:r>
            <w:r>
              <w:rPr>
                <w:lang w:val="lv-LV"/>
              </w:rPr>
              <w:t xml:space="preserve"> ne vēlāk </w:t>
            </w:r>
            <w:r w:rsidR="003D2C2C" w:rsidRPr="00FE3D7C">
              <w:rPr>
                <w:b/>
                <w:lang w:val="lv-LV"/>
              </w:rPr>
              <w:t>kā mēnesi pirms</w:t>
            </w:r>
            <w:r w:rsidR="003D2C2C" w:rsidRPr="00FE3D7C">
              <w:rPr>
                <w:lang w:val="lv-LV"/>
              </w:rPr>
              <w:t xml:space="preserve"> </w:t>
            </w:r>
            <w:r w:rsidR="003D2C2C" w:rsidRPr="00FE3D7C">
              <w:rPr>
                <w:b/>
                <w:lang w:val="lv-LV"/>
              </w:rPr>
              <w:t xml:space="preserve">Regulas Nr.1853/2015 </w:t>
            </w:r>
            <w:proofErr w:type="gramStart"/>
            <w:r w:rsidR="003D2C2C" w:rsidRPr="00FE3D7C">
              <w:rPr>
                <w:b/>
                <w:lang w:val="lv-LV"/>
              </w:rPr>
              <w:t>1.panta</w:t>
            </w:r>
            <w:proofErr w:type="gramEnd"/>
            <w:r w:rsidR="003D2C2C" w:rsidRPr="00FE3D7C">
              <w:rPr>
                <w:b/>
                <w:lang w:val="lv-LV"/>
              </w:rPr>
              <w:t xml:space="preserve"> 1.punkta ceturtajā daļā noteiktā termiņa beigām</w:t>
            </w:r>
            <w:r>
              <w:rPr>
                <w:lang w:val="lv-LV"/>
              </w:rPr>
              <w:t xml:space="preserve">. </w:t>
            </w:r>
            <w:r w:rsidR="009A455E" w:rsidRPr="003D2C2C">
              <w:rPr>
                <w:b/>
                <w:lang w:val="lv-LV"/>
              </w:rPr>
              <w:t>T</w:t>
            </w:r>
            <w:r w:rsidRPr="003D2C2C">
              <w:rPr>
                <w:b/>
                <w:lang w:val="lv-LV"/>
              </w:rPr>
              <w:t>as no</w:t>
            </w:r>
            <w:r w:rsidR="003D2C2C" w:rsidRPr="003D2C2C">
              <w:rPr>
                <w:b/>
                <w:lang w:val="lv-LV"/>
              </w:rPr>
              <w:t xml:space="preserve">drošinās Lauku atbalsta dienestam pietiekamu laiku maksājuma administrēšanai. </w:t>
            </w:r>
          </w:p>
          <w:p w:rsidR="00AF6DE3" w:rsidRPr="00115606" w:rsidRDefault="00AF6DE3" w:rsidP="00706DDB">
            <w:pPr>
              <w:ind w:left="49" w:right="142"/>
              <w:jc w:val="both"/>
              <w:rPr>
                <w:rFonts w:eastAsia="Arial Unicode MS"/>
                <w:lang w:val="lv-LV"/>
              </w:rPr>
            </w:pPr>
          </w:p>
          <w:p w:rsidR="00DC5D31" w:rsidRDefault="00DC5D31" w:rsidP="00706DDB">
            <w:pPr>
              <w:ind w:left="49" w:right="142"/>
              <w:jc w:val="both"/>
              <w:rPr>
                <w:rFonts w:eastAsia="Arial Unicode MS"/>
                <w:lang w:val="lv-LV"/>
              </w:rPr>
            </w:pPr>
            <w:r w:rsidRPr="00115606">
              <w:rPr>
                <w:rFonts w:eastAsia="Arial Unicode MS"/>
                <w:lang w:val="lv-LV"/>
              </w:rPr>
              <w:t>Atbalsta aprēķināšanai un izmaksāšanai nepi</w:t>
            </w:r>
            <w:r w:rsidR="009A058A" w:rsidRPr="00115606">
              <w:rPr>
                <w:rFonts w:eastAsia="Arial Unicode MS"/>
                <w:lang w:val="lv-LV"/>
              </w:rPr>
              <w:t>e</w:t>
            </w:r>
            <w:r w:rsidRPr="00115606">
              <w:rPr>
                <w:rFonts w:eastAsia="Arial Unicode MS"/>
                <w:lang w:val="lv-LV"/>
              </w:rPr>
              <w:t xml:space="preserve">ciešamā informācija par katra piena ražotāja piegādātajiem piena daudzumiem un govju skaitu, kā arī par katra cūkaudzētāja realizēto </w:t>
            </w:r>
            <w:r w:rsidR="00AF6DE3">
              <w:rPr>
                <w:rFonts w:eastAsia="Arial Unicode MS"/>
                <w:lang w:val="lv-LV"/>
              </w:rPr>
              <w:t xml:space="preserve">vai eksportēto </w:t>
            </w:r>
            <w:r w:rsidRPr="00115606">
              <w:rPr>
                <w:rFonts w:eastAsia="Arial Unicode MS"/>
                <w:lang w:val="lv-LV"/>
              </w:rPr>
              <w:t xml:space="preserve">cūku </w:t>
            </w:r>
            <w:r w:rsidR="00AF6DE3">
              <w:rPr>
                <w:rFonts w:eastAsia="Arial Unicode MS"/>
                <w:lang w:val="lv-LV"/>
              </w:rPr>
              <w:t xml:space="preserve">vai sivēnmāšu </w:t>
            </w:r>
            <w:r w:rsidRPr="00115606">
              <w:rPr>
                <w:rFonts w:eastAsia="Arial Unicode MS"/>
                <w:lang w:val="lv-LV"/>
              </w:rPr>
              <w:t xml:space="preserve">skaitu tiks iegūta no Lauksaimniecības datu centra </w:t>
            </w:r>
            <w:r w:rsidR="009A058A" w:rsidRPr="00115606">
              <w:rPr>
                <w:rFonts w:eastAsia="Arial Unicode MS"/>
                <w:lang w:val="lv-LV"/>
              </w:rPr>
              <w:t xml:space="preserve">apkopotajiem reģistru datiem. </w:t>
            </w:r>
          </w:p>
          <w:p w:rsidR="00AF6DE3" w:rsidRPr="00115606" w:rsidRDefault="00AF6DE3" w:rsidP="00706DDB">
            <w:pPr>
              <w:ind w:left="49" w:right="142"/>
              <w:jc w:val="both"/>
              <w:rPr>
                <w:rFonts w:eastAsia="Arial Unicode MS"/>
                <w:lang w:val="lv-LV"/>
              </w:rPr>
            </w:pPr>
          </w:p>
          <w:p w:rsidR="009A058A" w:rsidRDefault="009A058A" w:rsidP="00706DDB">
            <w:pPr>
              <w:ind w:left="49" w:right="142"/>
              <w:jc w:val="both"/>
              <w:rPr>
                <w:rFonts w:eastAsia="Arial Unicode MS"/>
                <w:lang w:val="lv-LV"/>
              </w:rPr>
            </w:pPr>
            <w:r w:rsidRPr="00115606">
              <w:rPr>
                <w:rFonts w:eastAsia="Arial Unicode MS"/>
                <w:lang w:val="lv-LV"/>
              </w:rPr>
              <w:t xml:space="preserve">Pēc Zemkopības ministrijas provizoriskiem aprēķiniem, kas veikti, analizējot Lauksaimniecības datu centra datus, kopējais </w:t>
            </w:r>
            <w:proofErr w:type="spellStart"/>
            <w:r w:rsidRPr="00115606">
              <w:rPr>
                <w:rFonts w:eastAsia="Arial Unicode MS"/>
                <w:lang w:val="lv-LV"/>
              </w:rPr>
              <w:t>atbalsttiesīgais</w:t>
            </w:r>
            <w:proofErr w:type="spellEnd"/>
            <w:r w:rsidRPr="00115606">
              <w:rPr>
                <w:rFonts w:eastAsia="Arial Unicode MS"/>
                <w:lang w:val="lv-LV"/>
              </w:rPr>
              <w:t xml:space="preserve"> piena daudzums ir ap 607 tūkst. tonn</w:t>
            </w:r>
            <w:r w:rsidR="009A455E">
              <w:rPr>
                <w:rFonts w:eastAsia="Arial Unicode MS"/>
                <w:lang w:val="lv-LV"/>
              </w:rPr>
              <w:t>ām</w:t>
            </w:r>
            <w:r w:rsidRPr="00115606">
              <w:rPr>
                <w:rFonts w:eastAsia="Arial Unicode MS"/>
                <w:lang w:val="lv-LV"/>
              </w:rPr>
              <w:t xml:space="preserve">, kopējais </w:t>
            </w:r>
            <w:proofErr w:type="spellStart"/>
            <w:r w:rsidR="00925C33">
              <w:rPr>
                <w:rFonts w:eastAsia="Arial Unicode MS"/>
                <w:lang w:val="lv-LV"/>
              </w:rPr>
              <w:t>atbalsttiesīgo</w:t>
            </w:r>
            <w:proofErr w:type="spellEnd"/>
            <w:r w:rsidR="00925C33">
              <w:rPr>
                <w:rFonts w:eastAsia="Arial Unicode MS"/>
                <w:lang w:val="lv-LV"/>
              </w:rPr>
              <w:t xml:space="preserve"> sivēnmāšu skaits – ap 22 tūkst., bet </w:t>
            </w:r>
            <w:proofErr w:type="spellStart"/>
            <w:r w:rsidR="00925C33">
              <w:rPr>
                <w:rFonts w:eastAsia="Arial Unicode MS"/>
                <w:lang w:val="lv-LV"/>
              </w:rPr>
              <w:t>atbalsttiesīgo</w:t>
            </w:r>
            <w:proofErr w:type="spellEnd"/>
            <w:r w:rsidR="00925C33">
              <w:rPr>
                <w:rFonts w:eastAsia="Arial Unicode MS"/>
                <w:lang w:val="lv-LV"/>
              </w:rPr>
              <w:t xml:space="preserve"> </w:t>
            </w:r>
            <w:r w:rsidRPr="00115606">
              <w:rPr>
                <w:rFonts w:eastAsia="Arial Unicode MS"/>
                <w:lang w:val="lv-LV"/>
              </w:rPr>
              <w:t>realizēto cūku skaits – ap 27</w:t>
            </w:r>
            <w:r w:rsidR="00925C33">
              <w:rPr>
                <w:rFonts w:eastAsia="Arial Unicode MS"/>
                <w:lang w:val="lv-LV"/>
              </w:rPr>
              <w:t>2 tūkst</w:t>
            </w:r>
            <w:r w:rsidRPr="00115606">
              <w:rPr>
                <w:rFonts w:eastAsia="Arial Unicode MS"/>
                <w:lang w:val="lv-LV"/>
              </w:rPr>
              <w:t>. Tādējādi provizoriskie aprēķini liecina, ka atbalsta likme piena ražotājiem par tonnu piena būt</w:t>
            </w:r>
            <w:r w:rsidR="009A455E">
              <w:rPr>
                <w:rFonts w:eastAsia="Arial Unicode MS"/>
                <w:lang w:val="lv-LV"/>
              </w:rPr>
              <w:t>u</w:t>
            </w:r>
            <w:r w:rsidRPr="00115606">
              <w:rPr>
                <w:rFonts w:eastAsia="Arial Unicode MS"/>
                <w:lang w:val="lv-LV"/>
              </w:rPr>
              <w:t xml:space="preserve"> ap 11,7 </w:t>
            </w:r>
            <w:proofErr w:type="spellStart"/>
            <w:r w:rsidRPr="00115606">
              <w:rPr>
                <w:rFonts w:eastAsia="Arial Unicode MS"/>
                <w:i/>
                <w:lang w:val="lv-LV"/>
              </w:rPr>
              <w:t>euro</w:t>
            </w:r>
            <w:proofErr w:type="spellEnd"/>
            <w:r w:rsidRPr="00115606">
              <w:rPr>
                <w:rFonts w:eastAsia="Arial Unicode MS"/>
                <w:lang w:val="lv-LV"/>
              </w:rPr>
              <w:t xml:space="preserve">, bet atbalsta likme </w:t>
            </w:r>
            <w:r w:rsidRPr="00115606">
              <w:rPr>
                <w:rFonts w:eastAsia="Arial Unicode MS"/>
                <w:lang w:val="lv-LV"/>
              </w:rPr>
              <w:lastRenderedPageBreak/>
              <w:t xml:space="preserve">cūkaudzētājiem par </w:t>
            </w:r>
            <w:r w:rsidR="00467853">
              <w:rPr>
                <w:rFonts w:eastAsia="Arial Unicode MS"/>
                <w:lang w:val="lv-LV"/>
              </w:rPr>
              <w:t xml:space="preserve">sivēnmāti – ap </w:t>
            </w:r>
            <w:r w:rsidR="00326A31">
              <w:rPr>
                <w:rFonts w:eastAsia="Arial Unicode MS"/>
                <w:lang w:val="lv-LV"/>
              </w:rPr>
              <w:t>38</w:t>
            </w:r>
            <w:r w:rsidR="00467853">
              <w:rPr>
                <w:rFonts w:eastAsia="Arial Unicode MS"/>
                <w:lang w:val="lv-LV"/>
              </w:rPr>
              <w:t xml:space="preserve"> </w:t>
            </w:r>
            <w:proofErr w:type="spellStart"/>
            <w:r w:rsidR="00467853" w:rsidRPr="00467853">
              <w:rPr>
                <w:rFonts w:eastAsia="Arial Unicode MS"/>
                <w:i/>
                <w:lang w:val="lv-LV"/>
              </w:rPr>
              <w:t>euro</w:t>
            </w:r>
            <w:proofErr w:type="spellEnd"/>
            <w:r w:rsidR="00467853">
              <w:rPr>
                <w:rFonts w:eastAsia="Arial Unicode MS"/>
                <w:lang w:val="lv-LV"/>
              </w:rPr>
              <w:t xml:space="preserve"> un par </w:t>
            </w:r>
            <w:r w:rsidRPr="00115606">
              <w:rPr>
                <w:rFonts w:eastAsia="Arial Unicode MS"/>
                <w:lang w:val="lv-LV"/>
              </w:rPr>
              <w:t>realizētu</w:t>
            </w:r>
            <w:r w:rsidR="0037077B">
              <w:rPr>
                <w:rFonts w:eastAsia="Arial Unicode MS"/>
                <w:lang w:val="lv-LV"/>
              </w:rPr>
              <w:t xml:space="preserve"> vai eksportētu</w:t>
            </w:r>
            <w:r w:rsidRPr="00115606">
              <w:rPr>
                <w:rFonts w:eastAsia="Arial Unicode MS"/>
                <w:lang w:val="lv-LV"/>
              </w:rPr>
              <w:t xml:space="preserve"> cūku – </w:t>
            </w:r>
            <w:r w:rsidR="00925C33">
              <w:rPr>
                <w:rFonts w:eastAsia="Arial Unicode MS"/>
                <w:lang w:val="lv-LV"/>
              </w:rPr>
              <w:t xml:space="preserve">ap </w:t>
            </w:r>
            <w:r w:rsidR="00467853">
              <w:rPr>
                <w:rFonts w:eastAsia="Arial Unicode MS"/>
                <w:lang w:val="lv-LV"/>
              </w:rPr>
              <w:t>1,4</w:t>
            </w:r>
            <w:r w:rsidRPr="00115606">
              <w:rPr>
                <w:rFonts w:eastAsia="Arial Unicode MS"/>
                <w:lang w:val="lv-LV"/>
              </w:rPr>
              <w:t xml:space="preserve"> </w:t>
            </w:r>
            <w:proofErr w:type="spellStart"/>
            <w:r w:rsidRPr="00115606">
              <w:rPr>
                <w:rFonts w:eastAsia="Arial Unicode MS"/>
                <w:i/>
                <w:lang w:val="lv-LV"/>
              </w:rPr>
              <w:t>euro</w:t>
            </w:r>
            <w:proofErr w:type="spellEnd"/>
            <w:r w:rsidRPr="00115606">
              <w:rPr>
                <w:rFonts w:eastAsia="Arial Unicode MS"/>
                <w:lang w:val="lv-LV"/>
              </w:rPr>
              <w:t xml:space="preserve">. </w:t>
            </w:r>
          </w:p>
          <w:p w:rsidR="00147C5D" w:rsidRDefault="00147C5D" w:rsidP="00706DDB">
            <w:pPr>
              <w:ind w:left="49" w:right="142"/>
              <w:jc w:val="both"/>
              <w:rPr>
                <w:rFonts w:eastAsia="Arial Unicode MS"/>
                <w:lang w:val="lv-LV"/>
              </w:rPr>
            </w:pPr>
          </w:p>
          <w:p w:rsidR="00147C5D" w:rsidRDefault="00147C5D" w:rsidP="00706DDB">
            <w:pPr>
              <w:ind w:left="49" w:right="142"/>
              <w:jc w:val="both"/>
              <w:rPr>
                <w:rFonts w:eastAsia="Arial Unicode MS"/>
                <w:lang w:val="lv-LV"/>
              </w:rPr>
            </w:pPr>
            <w:r>
              <w:rPr>
                <w:rFonts w:eastAsia="Arial Unicode MS"/>
                <w:lang w:val="lv-LV"/>
              </w:rPr>
              <w:t>Projekts neparedz pienākumu ražotājam iesniegt iesniegumu atbalsta saņemšanai.</w:t>
            </w:r>
          </w:p>
          <w:p w:rsidR="0037077B" w:rsidRPr="00115606" w:rsidRDefault="0037077B" w:rsidP="00706DDB">
            <w:pPr>
              <w:ind w:left="49" w:right="142"/>
              <w:jc w:val="both"/>
              <w:rPr>
                <w:rFonts w:eastAsia="Arial Unicode MS"/>
                <w:lang w:val="lv-LV"/>
              </w:rPr>
            </w:pPr>
          </w:p>
          <w:p w:rsidR="009A058A" w:rsidRPr="00115606" w:rsidRDefault="00147C5D" w:rsidP="009A058A">
            <w:pPr>
              <w:ind w:left="49" w:right="142"/>
              <w:jc w:val="both"/>
              <w:rPr>
                <w:rFonts w:eastAsia="Arial Unicode MS"/>
                <w:lang w:val="lv-LV"/>
              </w:rPr>
            </w:pPr>
            <w:r>
              <w:rPr>
                <w:rFonts w:eastAsia="Arial Unicode MS"/>
                <w:lang w:val="lv-LV"/>
              </w:rPr>
              <w:t>Atbalsta saņēmēju atlasi pēc noteiktajiem kritērijiem, kā arī a</w:t>
            </w:r>
            <w:r w:rsidR="009A058A" w:rsidRPr="00115606">
              <w:rPr>
                <w:rFonts w:eastAsia="Arial Unicode MS"/>
                <w:lang w:val="lv-LV"/>
              </w:rPr>
              <w:t>tbalsta aprēķināšanu un izmaksāšanu veiks Lauku atbalsta dienests.</w:t>
            </w:r>
          </w:p>
          <w:p w:rsidR="00147C5D" w:rsidRDefault="00147C5D" w:rsidP="009A058A">
            <w:pPr>
              <w:ind w:left="49" w:right="142"/>
              <w:jc w:val="both"/>
              <w:rPr>
                <w:rFonts w:eastAsia="Arial Unicode MS"/>
                <w:lang w:val="lv-LV"/>
              </w:rPr>
            </w:pPr>
          </w:p>
          <w:p w:rsidR="00502744" w:rsidRPr="00115606" w:rsidRDefault="009A058A" w:rsidP="00A94DEB">
            <w:pPr>
              <w:ind w:left="49" w:right="142"/>
              <w:jc w:val="both"/>
              <w:rPr>
                <w:rFonts w:eastAsia="Arial Unicode MS"/>
                <w:lang w:val="lv-LV"/>
              </w:rPr>
            </w:pPr>
            <w:r w:rsidRPr="00115606">
              <w:rPr>
                <w:rFonts w:eastAsia="Arial Unicode MS"/>
                <w:lang w:val="lv-LV"/>
              </w:rPr>
              <w:t xml:space="preserve">Saskaņā ar Regulas Nr.1853/2015 </w:t>
            </w:r>
            <w:proofErr w:type="gramStart"/>
            <w:r w:rsidRPr="00115606">
              <w:rPr>
                <w:rFonts w:eastAsia="Arial Unicode MS"/>
                <w:lang w:val="lv-LV"/>
              </w:rPr>
              <w:t>1.pantu</w:t>
            </w:r>
            <w:proofErr w:type="gramEnd"/>
            <w:r w:rsidRPr="00115606">
              <w:rPr>
                <w:rFonts w:eastAsia="Arial Unicode MS"/>
                <w:lang w:val="lv-LV"/>
              </w:rPr>
              <w:t xml:space="preserve"> atbalsts jāizma</w:t>
            </w:r>
            <w:r w:rsidR="00A94DEB">
              <w:rPr>
                <w:rFonts w:eastAsia="Arial Unicode MS"/>
                <w:lang w:val="lv-LV"/>
              </w:rPr>
              <w:t xml:space="preserve">ksā līdz 2016.gada 30.jūnijam. </w:t>
            </w:r>
          </w:p>
        </w:tc>
      </w:tr>
      <w:tr w:rsidR="004E6A12" w:rsidRPr="00115606" w:rsidTr="0087436B">
        <w:tc>
          <w:tcPr>
            <w:tcW w:w="325" w:type="pct"/>
          </w:tcPr>
          <w:p w:rsidR="00683260" w:rsidRPr="00115606" w:rsidRDefault="00683260" w:rsidP="00706DDB">
            <w:pPr>
              <w:pStyle w:val="naisf"/>
              <w:spacing w:before="0" w:beforeAutospacing="0" w:after="0" w:afterAutospacing="0"/>
              <w:rPr>
                <w:lang w:val="lv-LV"/>
              </w:rPr>
            </w:pPr>
            <w:r w:rsidRPr="00115606">
              <w:rPr>
                <w:lang w:val="lv-LV"/>
              </w:rPr>
              <w:lastRenderedPageBreak/>
              <w:t>3.</w:t>
            </w:r>
          </w:p>
        </w:tc>
        <w:tc>
          <w:tcPr>
            <w:tcW w:w="1816" w:type="pct"/>
            <w:gridSpan w:val="2"/>
          </w:tcPr>
          <w:p w:rsidR="00683260" w:rsidRPr="00115606" w:rsidRDefault="00683260" w:rsidP="00706DDB">
            <w:pPr>
              <w:pStyle w:val="naisf"/>
              <w:spacing w:before="0" w:beforeAutospacing="0" w:after="0" w:afterAutospacing="0"/>
              <w:rPr>
                <w:lang w:val="lv-LV"/>
              </w:rPr>
            </w:pPr>
            <w:r w:rsidRPr="00115606">
              <w:rPr>
                <w:lang w:val="lv-LV"/>
              </w:rPr>
              <w:t>Projekta izstrādē iesaistītās institūcijas</w:t>
            </w:r>
          </w:p>
        </w:tc>
        <w:tc>
          <w:tcPr>
            <w:tcW w:w="2859" w:type="pct"/>
          </w:tcPr>
          <w:p w:rsidR="00683260" w:rsidRPr="00115606" w:rsidRDefault="00406F79" w:rsidP="00DC48B3">
            <w:pPr>
              <w:pStyle w:val="naisf"/>
              <w:spacing w:before="0" w:beforeAutospacing="0" w:after="0" w:afterAutospacing="0"/>
              <w:rPr>
                <w:lang w:val="lv-LV"/>
              </w:rPr>
            </w:pPr>
            <w:r w:rsidRPr="00115606">
              <w:rPr>
                <w:lang w:val="lv-LV"/>
              </w:rPr>
              <w:t xml:space="preserve">Lauku atbalsta dienests </w:t>
            </w:r>
            <w:r w:rsidR="00533138" w:rsidRPr="00115606">
              <w:rPr>
                <w:lang w:val="lv-LV"/>
              </w:rPr>
              <w:t>un</w:t>
            </w:r>
            <w:r w:rsidR="009A332E" w:rsidRPr="00115606">
              <w:rPr>
                <w:lang w:val="lv-LV"/>
              </w:rPr>
              <w:t xml:space="preserve"> </w:t>
            </w:r>
            <w:r w:rsidR="0075263C" w:rsidRPr="00115606">
              <w:rPr>
                <w:lang w:val="lv-LV"/>
              </w:rPr>
              <w:t>Lauksaimniecības datu centrs</w:t>
            </w:r>
          </w:p>
        </w:tc>
      </w:tr>
      <w:tr w:rsidR="004E6A12" w:rsidRPr="00115606" w:rsidTr="0087436B">
        <w:tc>
          <w:tcPr>
            <w:tcW w:w="325" w:type="pct"/>
          </w:tcPr>
          <w:p w:rsidR="00683260" w:rsidRPr="00115606" w:rsidRDefault="00683260" w:rsidP="00706DDB">
            <w:pPr>
              <w:pStyle w:val="naisf"/>
              <w:spacing w:before="0" w:beforeAutospacing="0" w:after="0" w:afterAutospacing="0"/>
              <w:rPr>
                <w:lang w:val="lv-LV"/>
              </w:rPr>
            </w:pPr>
            <w:r w:rsidRPr="00115606">
              <w:rPr>
                <w:lang w:val="lv-LV"/>
              </w:rPr>
              <w:t>4.</w:t>
            </w:r>
          </w:p>
        </w:tc>
        <w:tc>
          <w:tcPr>
            <w:tcW w:w="1816" w:type="pct"/>
            <w:gridSpan w:val="2"/>
          </w:tcPr>
          <w:p w:rsidR="00683260" w:rsidRPr="00115606" w:rsidRDefault="00683260" w:rsidP="00706DDB">
            <w:pPr>
              <w:pStyle w:val="naisf"/>
              <w:spacing w:before="0" w:beforeAutospacing="0" w:after="0" w:afterAutospacing="0"/>
              <w:rPr>
                <w:lang w:val="lv-LV"/>
              </w:rPr>
            </w:pPr>
            <w:r w:rsidRPr="00115606">
              <w:rPr>
                <w:lang w:val="lv-LV"/>
              </w:rPr>
              <w:t>Cita informācija</w:t>
            </w:r>
          </w:p>
        </w:tc>
        <w:tc>
          <w:tcPr>
            <w:tcW w:w="2859" w:type="pct"/>
          </w:tcPr>
          <w:p w:rsidR="00683260" w:rsidRPr="00115606" w:rsidRDefault="006C3DF7" w:rsidP="00706DDB">
            <w:pPr>
              <w:pStyle w:val="naisf"/>
              <w:spacing w:before="0" w:beforeAutospacing="0" w:after="0" w:afterAutospacing="0"/>
              <w:rPr>
                <w:lang w:val="lv-LV"/>
              </w:rPr>
            </w:pPr>
            <w:r w:rsidRPr="00115606">
              <w:rPr>
                <w:lang w:val="lv-LV"/>
              </w:rPr>
              <w:t>Nav</w:t>
            </w:r>
          </w:p>
        </w:tc>
      </w:tr>
      <w:tr w:rsidR="009A332E" w:rsidRPr="00115606"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4"/>
            <w:tcBorders>
              <w:top w:val="outset" w:sz="6" w:space="0" w:color="auto"/>
              <w:left w:val="outset" w:sz="6" w:space="0" w:color="auto"/>
              <w:bottom w:val="outset" w:sz="6" w:space="0" w:color="auto"/>
              <w:right w:val="outset" w:sz="6" w:space="0" w:color="auto"/>
            </w:tcBorders>
          </w:tcPr>
          <w:p w:rsidR="00683260" w:rsidRPr="00115606" w:rsidRDefault="00683260" w:rsidP="00706DDB">
            <w:pPr>
              <w:pStyle w:val="naisf"/>
              <w:spacing w:before="0" w:beforeAutospacing="0" w:after="0" w:afterAutospacing="0"/>
              <w:rPr>
                <w:b/>
                <w:lang w:val="lv-LV"/>
              </w:rPr>
            </w:pPr>
            <w:r w:rsidRPr="00115606">
              <w:rPr>
                <w:b/>
                <w:lang w:val="lv-LV"/>
              </w:rPr>
              <w:t>II. Tiesību akta projekta ietekme uz sabiedrību,</w:t>
            </w:r>
            <w:r w:rsidRPr="00115606">
              <w:rPr>
                <w:b/>
                <w:bCs/>
                <w:lang w:val="lv-LV"/>
              </w:rPr>
              <w:t xml:space="preserve"> tautsaimniecības attīstību un administratīvo slogu</w:t>
            </w:r>
          </w:p>
        </w:tc>
      </w:tr>
      <w:tr w:rsidR="009A332E" w:rsidRPr="00FE3D7C"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1.</w:t>
            </w:r>
          </w:p>
        </w:tc>
        <w:tc>
          <w:tcPr>
            <w:tcW w:w="1017"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Sabiedrības mērķ</w:t>
            </w:r>
            <w:r w:rsidR="000D58FB" w:rsidRPr="00115606">
              <w:rPr>
                <w:lang w:val="lv-LV"/>
              </w:rPr>
              <w:t xml:space="preserve">a </w:t>
            </w:r>
            <w:r w:rsidRPr="00115606">
              <w:rPr>
                <w:lang w:val="lv-LV"/>
              </w:rPr>
              <w:t>grupas, kuras tiesiskais regulējums ietekmē vai varētu ietekmēt</w:t>
            </w:r>
          </w:p>
        </w:tc>
        <w:tc>
          <w:tcPr>
            <w:tcW w:w="3658" w:type="pct"/>
            <w:gridSpan w:val="2"/>
            <w:tcBorders>
              <w:top w:val="outset" w:sz="6" w:space="0" w:color="auto"/>
              <w:left w:val="outset" w:sz="6" w:space="0" w:color="auto"/>
              <w:right w:val="outset" w:sz="6" w:space="0" w:color="auto"/>
            </w:tcBorders>
          </w:tcPr>
          <w:p w:rsidR="00311EE7" w:rsidRPr="00115606" w:rsidRDefault="00311EE7" w:rsidP="00706DDB">
            <w:pPr>
              <w:pStyle w:val="naiskr"/>
              <w:spacing w:before="0" w:after="0"/>
              <w:ind w:hanging="57"/>
              <w:jc w:val="both"/>
              <w:rPr>
                <w:iCs/>
              </w:rPr>
            </w:pPr>
            <w:r w:rsidRPr="00115606">
              <w:rPr>
                <w:iCs/>
              </w:rPr>
              <w:t>Tiesiskā regulējuma m</w:t>
            </w:r>
            <w:r w:rsidR="009A332E" w:rsidRPr="00115606">
              <w:rPr>
                <w:iCs/>
              </w:rPr>
              <w:t>ērķgrupa</w:t>
            </w:r>
            <w:r w:rsidRPr="00115606">
              <w:rPr>
                <w:iCs/>
              </w:rPr>
              <w:t xml:space="preserve">s </w:t>
            </w:r>
            <w:r w:rsidR="009A332E" w:rsidRPr="00115606">
              <w:rPr>
                <w:iCs/>
              </w:rPr>
              <w:t>ir</w:t>
            </w:r>
            <w:r w:rsidRPr="00115606">
              <w:rPr>
                <w:iCs/>
              </w:rPr>
              <w:t>:</w:t>
            </w:r>
          </w:p>
          <w:p w:rsidR="00311EE7" w:rsidRPr="00115606" w:rsidRDefault="00502744" w:rsidP="00311EE7">
            <w:pPr>
              <w:pStyle w:val="naiskr"/>
              <w:numPr>
                <w:ilvl w:val="0"/>
                <w:numId w:val="8"/>
              </w:numPr>
              <w:spacing w:before="0" w:after="0"/>
              <w:jc w:val="both"/>
              <w:rPr>
                <w:iCs/>
              </w:rPr>
            </w:pPr>
            <w:r w:rsidRPr="00115606">
              <w:rPr>
                <w:iCs/>
              </w:rPr>
              <w:t>piena ražotāji, kuri</w:t>
            </w:r>
            <w:r w:rsidR="00E26AFC" w:rsidRPr="00115606">
              <w:rPr>
                <w:iCs/>
              </w:rPr>
              <w:t xml:space="preserve"> saskaņā ar Lauksaimniecības datu centra piena reģistrā uzkrāto informāciju piegādā pienu pārstrādei un kuriem </w:t>
            </w:r>
            <w:r w:rsidR="00E26AFC" w:rsidRPr="00115606">
              <w:t>atbilstoši normatīvajiem aktiem par lauksaimniecības dzīvnieku, to ganāmpulku un novietņu reģistrēšanu ir reģistrētas slaucamas govis vai teles, kas ir vecākas par 18 mēnešiem</w:t>
            </w:r>
            <w:r w:rsidR="00311EE7" w:rsidRPr="00115606">
              <w:t>;</w:t>
            </w:r>
          </w:p>
          <w:p w:rsidR="00925C33" w:rsidRPr="00925C33" w:rsidRDefault="00925C33" w:rsidP="00311EE7">
            <w:pPr>
              <w:pStyle w:val="naiskr"/>
              <w:numPr>
                <w:ilvl w:val="0"/>
                <w:numId w:val="8"/>
              </w:numPr>
              <w:spacing w:before="0" w:after="0"/>
              <w:jc w:val="both"/>
              <w:rPr>
                <w:iCs/>
              </w:rPr>
            </w:pPr>
            <w:r>
              <w:t>cūku ganāmpulku īpašnieki</w:t>
            </w:r>
            <w:r w:rsidR="00311EE7" w:rsidRPr="00115606">
              <w:t xml:space="preserve">, </w:t>
            </w:r>
            <w:r>
              <w:t>kas tur sivēnmātes sivēnu iegūšanai un tālākai realizācijai vai nobarošanai;</w:t>
            </w:r>
          </w:p>
          <w:p w:rsidR="00311EE7" w:rsidRPr="00115606" w:rsidRDefault="00925C33" w:rsidP="00311EE7">
            <w:pPr>
              <w:pStyle w:val="naiskr"/>
              <w:numPr>
                <w:ilvl w:val="0"/>
                <w:numId w:val="8"/>
              </w:numPr>
              <w:spacing w:before="0" w:after="0"/>
              <w:jc w:val="both"/>
              <w:rPr>
                <w:iCs/>
              </w:rPr>
            </w:pPr>
            <w:r>
              <w:t xml:space="preserve">cūku ganāmpulku īpašnieki, </w:t>
            </w:r>
            <w:r w:rsidR="00311EE7" w:rsidRPr="00115606">
              <w:t xml:space="preserve">kas realizē cūkas, nododot tās kautuvei vai eksportējot. </w:t>
            </w:r>
          </w:p>
          <w:p w:rsidR="00DB2017" w:rsidRPr="00115606" w:rsidRDefault="00311EE7" w:rsidP="00326A31">
            <w:pPr>
              <w:pStyle w:val="naiskr"/>
              <w:spacing w:before="0" w:after="0"/>
              <w:jc w:val="both"/>
            </w:pPr>
            <w:r w:rsidRPr="00115606">
              <w:t xml:space="preserve">Novērtējot pēc tiesiskajā regulējumā noteiktajiem kritērijiem, atbalstu varētu saņemt aptuveni 8600 piena ražotāji un </w:t>
            </w:r>
            <w:r w:rsidR="00326A31">
              <w:t>aptuveni 250 cūku ganāmpulku īpašnieki</w:t>
            </w:r>
            <w:r w:rsidRPr="00115606">
              <w:t>.</w:t>
            </w:r>
          </w:p>
        </w:tc>
      </w:tr>
      <w:tr w:rsidR="009A332E" w:rsidRPr="00FE3D7C" w:rsidTr="00517BC0">
        <w:tblPrEx>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PrEx>
        <w:trPr>
          <w:trHeight w:val="1859"/>
        </w:trPr>
        <w:tc>
          <w:tcPr>
            <w:tcW w:w="325"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2.</w:t>
            </w:r>
          </w:p>
        </w:tc>
        <w:tc>
          <w:tcPr>
            <w:tcW w:w="1017"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Tiesiskā regulējuma ietekme uz tautsaimniecību un administratīvo slogu</w:t>
            </w:r>
          </w:p>
        </w:tc>
        <w:tc>
          <w:tcPr>
            <w:tcW w:w="3658" w:type="pct"/>
            <w:gridSpan w:val="2"/>
            <w:tcBorders>
              <w:top w:val="outset" w:sz="6" w:space="0" w:color="auto"/>
              <w:left w:val="outset" w:sz="6" w:space="0" w:color="auto"/>
              <w:right w:val="outset" w:sz="6" w:space="0" w:color="auto"/>
            </w:tcBorders>
          </w:tcPr>
          <w:p w:rsidR="00B31248" w:rsidRPr="00115606" w:rsidRDefault="00B31248" w:rsidP="00706DDB">
            <w:pPr>
              <w:pStyle w:val="naisf"/>
              <w:spacing w:before="0" w:beforeAutospacing="0" w:after="0" w:afterAutospacing="0"/>
              <w:rPr>
                <w:lang w:val="lv-LV"/>
              </w:rPr>
            </w:pPr>
            <w:r w:rsidRPr="00115606">
              <w:rPr>
                <w:lang w:val="lv-LV"/>
              </w:rPr>
              <w:t xml:space="preserve">Sabiedrības grupām un institūcijām projekta tiesiskais regulējums nemaina tiesības un pienākumus, </w:t>
            </w:r>
            <w:r w:rsidR="002251BE" w:rsidRPr="00115606">
              <w:rPr>
                <w:lang w:val="lv-LV"/>
              </w:rPr>
              <w:t>ne</w:t>
            </w:r>
            <w:r w:rsidRPr="00115606">
              <w:rPr>
                <w:lang w:val="lv-LV"/>
              </w:rPr>
              <w:t xml:space="preserve"> arī veicamās darbības.</w:t>
            </w:r>
          </w:p>
          <w:p w:rsidR="004D3984" w:rsidRPr="00115606" w:rsidRDefault="004D3984" w:rsidP="00706DDB">
            <w:pPr>
              <w:pStyle w:val="naisf"/>
              <w:spacing w:before="0" w:beforeAutospacing="0" w:after="0" w:afterAutospacing="0"/>
              <w:rPr>
                <w:lang w:val="lv-LV"/>
              </w:rPr>
            </w:pPr>
            <w:r w:rsidRPr="00115606">
              <w:rPr>
                <w:lang w:val="lv-LV"/>
              </w:rPr>
              <w:t xml:space="preserve">Noteikumu projekts neparedz piena ražotājam </w:t>
            </w:r>
            <w:r w:rsidR="00311EE7" w:rsidRPr="00115606">
              <w:rPr>
                <w:lang w:val="lv-LV"/>
              </w:rPr>
              <w:t xml:space="preserve">vai cūkaudzētājiem </w:t>
            </w:r>
            <w:r w:rsidRPr="00115606">
              <w:rPr>
                <w:lang w:val="lv-LV"/>
              </w:rPr>
              <w:t>iesniegt pieteikumu atbalsta saņemšanai</w:t>
            </w:r>
            <w:r w:rsidR="00405091" w:rsidRPr="00115606">
              <w:rPr>
                <w:lang w:val="lv-LV"/>
              </w:rPr>
              <w:t>, jo</w:t>
            </w:r>
            <w:r w:rsidRPr="00115606">
              <w:rPr>
                <w:lang w:val="lv-LV"/>
              </w:rPr>
              <w:t xml:space="preserve"> </w:t>
            </w:r>
            <w:r w:rsidR="00311EE7" w:rsidRPr="00115606">
              <w:rPr>
                <w:lang w:val="lv-LV"/>
              </w:rPr>
              <w:t xml:space="preserve">katram ražotājam izmaksājamo </w:t>
            </w:r>
            <w:r w:rsidRPr="00115606">
              <w:rPr>
                <w:lang w:val="lv-LV"/>
              </w:rPr>
              <w:t>atbalst</w:t>
            </w:r>
            <w:r w:rsidR="00311EE7" w:rsidRPr="00115606">
              <w:rPr>
                <w:lang w:val="lv-LV"/>
              </w:rPr>
              <w:t xml:space="preserve">u </w:t>
            </w:r>
            <w:r w:rsidRPr="00115606">
              <w:rPr>
                <w:lang w:val="lv-LV"/>
              </w:rPr>
              <w:t xml:space="preserve">Lauku atbalsta dienests aprēķinās un pārskaitīs vienotajā zemkopības nozares informācijas sistēmā norādītajos attiecīgo ražotāju kontos. </w:t>
            </w:r>
          </w:p>
          <w:p w:rsidR="007538CD" w:rsidRPr="00115606" w:rsidRDefault="002042E1" w:rsidP="00706DDB">
            <w:pPr>
              <w:pStyle w:val="naisf"/>
              <w:spacing w:before="0" w:beforeAutospacing="0" w:after="0" w:afterAutospacing="0"/>
              <w:rPr>
                <w:lang w:val="lv-LV"/>
              </w:rPr>
            </w:pPr>
            <w:r w:rsidRPr="00115606">
              <w:rPr>
                <w:lang w:val="lv-LV"/>
              </w:rPr>
              <w:t xml:space="preserve">Atbalsta aprēķināšanai </w:t>
            </w:r>
            <w:r w:rsidR="00E00A40" w:rsidRPr="00115606">
              <w:rPr>
                <w:lang w:val="lv-LV"/>
              </w:rPr>
              <w:t xml:space="preserve">nepieciešamos </w:t>
            </w:r>
            <w:r w:rsidRPr="00115606">
              <w:rPr>
                <w:lang w:val="lv-LV"/>
              </w:rPr>
              <w:t xml:space="preserve">datus </w:t>
            </w:r>
            <w:r w:rsidR="00E00A40" w:rsidRPr="00115606">
              <w:rPr>
                <w:lang w:val="lv-LV"/>
              </w:rPr>
              <w:t>L</w:t>
            </w:r>
            <w:r w:rsidR="002147B7" w:rsidRPr="00115606">
              <w:rPr>
                <w:lang w:val="lv-LV"/>
              </w:rPr>
              <w:t>auku atbalsta dienests</w:t>
            </w:r>
            <w:r w:rsidR="00E00A40" w:rsidRPr="00115606">
              <w:rPr>
                <w:lang w:val="lv-LV"/>
              </w:rPr>
              <w:t xml:space="preserve"> iegūs </w:t>
            </w:r>
            <w:r w:rsidRPr="00115606">
              <w:rPr>
                <w:lang w:val="lv-LV"/>
              </w:rPr>
              <w:t>no Lauksaimniecības datu centra.</w:t>
            </w:r>
            <w:r w:rsidR="007538CD" w:rsidRPr="00115606">
              <w:rPr>
                <w:lang w:val="lv-LV"/>
              </w:rPr>
              <w:t xml:space="preserve"> </w:t>
            </w:r>
          </w:p>
          <w:p w:rsidR="001809F5" w:rsidRPr="00115606" w:rsidRDefault="001809F5" w:rsidP="00706DDB">
            <w:pPr>
              <w:pStyle w:val="naisf"/>
              <w:spacing w:before="0" w:beforeAutospacing="0" w:after="0" w:afterAutospacing="0"/>
              <w:rPr>
                <w:lang w:val="lv-LV"/>
              </w:rPr>
            </w:pPr>
            <w:r w:rsidRPr="00115606">
              <w:rPr>
                <w:lang w:val="lv-LV"/>
              </w:rPr>
              <w:t>Saskaņā ar Regulas Nr.1</w:t>
            </w:r>
            <w:r w:rsidR="00311EE7" w:rsidRPr="00115606">
              <w:rPr>
                <w:lang w:val="lv-LV"/>
              </w:rPr>
              <w:t>85</w:t>
            </w:r>
            <w:r w:rsidRPr="00115606">
              <w:rPr>
                <w:lang w:val="lv-LV"/>
              </w:rPr>
              <w:t>3/201</w:t>
            </w:r>
            <w:r w:rsidR="00311EE7" w:rsidRPr="00115606">
              <w:rPr>
                <w:lang w:val="lv-LV"/>
              </w:rPr>
              <w:t>5</w:t>
            </w:r>
            <w:r w:rsidRPr="00115606">
              <w:rPr>
                <w:lang w:val="lv-LV"/>
              </w:rPr>
              <w:t xml:space="preserve"> </w:t>
            </w:r>
            <w:proofErr w:type="gramStart"/>
            <w:r w:rsidRPr="00115606">
              <w:rPr>
                <w:lang w:val="lv-LV"/>
              </w:rPr>
              <w:t>1.panta</w:t>
            </w:r>
            <w:proofErr w:type="gramEnd"/>
            <w:r w:rsidRPr="00115606">
              <w:rPr>
                <w:lang w:val="lv-LV"/>
              </w:rPr>
              <w:t xml:space="preserve"> nosacījumiem, atbalsts jāizmaksā līdz 201</w:t>
            </w:r>
            <w:r w:rsidR="00311EE7" w:rsidRPr="00115606">
              <w:rPr>
                <w:lang w:val="lv-LV"/>
              </w:rPr>
              <w:t>6</w:t>
            </w:r>
            <w:r w:rsidRPr="00115606">
              <w:rPr>
                <w:lang w:val="lv-LV"/>
              </w:rPr>
              <w:t>.gada 30.</w:t>
            </w:r>
            <w:r w:rsidR="00311EE7" w:rsidRPr="00115606">
              <w:rPr>
                <w:lang w:val="lv-LV"/>
              </w:rPr>
              <w:t>jūnijam</w:t>
            </w:r>
            <w:r w:rsidRPr="00115606">
              <w:rPr>
                <w:lang w:val="lv-LV"/>
              </w:rPr>
              <w:t xml:space="preserve">. Lauksaimniecības datu centram datu atlases veikšanai nepieciešams laiks aptuveni </w:t>
            </w:r>
            <w:r w:rsidR="002147B7" w:rsidRPr="00115606">
              <w:rPr>
                <w:lang w:val="lv-LV"/>
              </w:rPr>
              <w:t>viena</w:t>
            </w:r>
            <w:r w:rsidRPr="00115606">
              <w:rPr>
                <w:lang w:val="lv-LV"/>
              </w:rPr>
              <w:t xml:space="preserve"> darba diena, bet Lauku atbalsta dienestam iesūtīto datu apstrādei, atbalsta aprēķināšanai un atbalsta izmaksāšanas uzsākšanai nepieciešamais laiks ir aptuveni </w:t>
            </w:r>
            <w:r w:rsidR="002147B7" w:rsidRPr="00115606">
              <w:rPr>
                <w:lang w:val="lv-LV"/>
              </w:rPr>
              <w:t>septiņas</w:t>
            </w:r>
            <w:r w:rsidRPr="00115606">
              <w:rPr>
                <w:lang w:val="lv-LV"/>
              </w:rPr>
              <w:t xml:space="preserve"> darba dienas. </w:t>
            </w:r>
          </w:p>
          <w:p w:rsidR="00773A3D" w:rsidRPr="00115606" w:rsidRDefault="0037077B" w:rsidP="0037077B">
            <w:pPr>
              <w:pStyle w:val="naisf"/>
              <w:spacing w:before="0" w:beforeAutospacing="0" w:after="0" w:afterAutospacing="0"/>
              <w:rPr>
                <w:lang w:val="lv-LV"/>
              </w:rPr>
            </w:pPr>
            <w:r>
              <w:rPr>
                <w:lang w:val="lv-LV"/>
              </w:rPr>
              <w:lastRenderedPageBreak/>
              <w:t>Taču</w:t>
            </w:r>
            <w:r w:rsidR="00311EE7" w:rsidRPr="00115606">
              <w:rPr>
                <w:lang w:val="lv-LV"/>
              </w:rPr>
              <w:t xml:space="preserve"> ir ļ</w:t>
            </w:r>
            <w:r>
              <w:rPr>
                <w:lang w:val="lv-LV"/>
              </w:rPr>
              <w:t>oti svarīgi</w:t>
            </w:r>
            <w:r w:rsidR="001809F5" w:rsidRPr="00115606">
              <w:rPr>
                <w:lang w:val="lv-LV"/>
              </w:rPr>
              <w:t xml:space="preserve">, lai piena ražotāji </w:t>
            </w:r>
            <w:r w:rsidR="00311EE7" w:rsidRPr="00115606">
              <w:rPr>
                <w:lang w:val="lv-LV"/>
              </w:rPr>
              <w:t>un cūkaudzētāji</w:t>
            </w:r>
            <w:r w:rsidR="001809F5" w:rsidRPr="00115606">
              <w:rPr>
                <w:lang w:val="lv-LV"/>
              </w:rPr>
              <w:t xml:space="preserve"> atbalsta pārskaitījumu saņemtu pēc iespējas ātrāk, jo</w:t>
            </w:r>
            <w:r w:rsidR="00311EE7" w:rsidRPr="00115606">
              <w:rPr>
                <w:lang w:val="lv-LV"/>
              </w:rPr>
              <w:t xml:space="preserve"> tie jau ilgstoši atrodas nelabvēlīgā finan</w:t>
            </w:r>
            <w:r w:rsidR="00721B80" w:rsidRPr="00115606">
              <w:rPr>
                <w:lang w:val="lv-LV"/>
              </w:rPr>
              <w:t xml:space="preserve">siālā </w:t>
            </w:r>
            <w:r w:rsidR="00311EE7" w:rsidRPr="00115606">
              <w:rPr>
                <w:lang w:val="lv-LV"/>
              </w:rPr>
              <w:t>situācijā</w:t>
            </w:r>
            <w:r w:rsidR="00721B80" w:rsidRPr="00115606">
              <w:rPr>
                <w:lang w:val="lv-LV"/>
              </w:rPr>
              <w:t xml:space="preserve"> un cieš zaudējumus.  </w:t>
            </w:r>
          </w:p>
        </w:tc>
      </w:tr>
      <w:tr w:rsidR="009A332E" w:rsidRPr="00115606" w:rsidTr="002042E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lastRenderedPageBreak/>
              <w:t>3.</w:t>
            </w:r>
          </w:p>
        </w:tc>
        <w:tc>
          <w:tcPr>
            <w:tcW w:w="1017"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Administratīvo izmaksu monetārs novērtējums</w:t>
            </w:r>
          </w:p>
        </w:tc>
        <w:tc>
          <w:tcPr>
            <w:tcW w:w="3658" w:type="pct"/>
            <w:gridSpan w:val="2"/>
            <w:tcBorders>
              <w:top w:val="outset" w:sz="6" w:space="0" w:color="auto"/>
              <w:left w:val="outset" w:sz="6" w:space="0" w:color="auto"/>
              <w:right w:val="outset" w:sz="6" w:space="0" w:color="auto"/>
            </w:tcBorders>
            <w:shd w:val="clear" w:color="auto" w:fill="auto"/>
          </w:tcPr>
          <w:p w:rsidR="00683260" w:rsidRPr="00115606" w:rsidRDefault="00C47642" w:rsidP="00706DDB">
            <w:pPr>
              <w:pStyle w:val="naisf"/>
              <w:spacing w:before="0" w:beforeAutospacing="0" w:after="0" w:afterAutospacing="0"/>
              <w:rPr>
                <w:lang w:val="lv-LV"/>
              </w:rPr>
            </w:pPr>
            <w:r w:rsidRPr="00115606">
              <w:rPr>
                <w:lang w:val="lv-LV"/>
              </w:rPr>
              <w:t>Noteikumu p</w:t>
            </w:r>
            <w:r w:rsidR="00B31248" w:rsidRPr="00115606">
              <w:rPr>
                <w:lang w:val="lv-LV"/>
              </w:rPr>
              <w:t>rojekts šo jomu neskar.</w:t>
            </w:r>
          </w:p>
        </w:tc>
      </w:tr>
      <w:tr w:rsidR="009A332E" w:rsidRPr="00115606" w:rsidTr="00517B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325"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4.</w:t>
            </w:r>
          </w:p>
        </w:tc>
        <w:tc>
          <w:tcPr>
            <w:tcW w:w="1017" w:type="pct"/>
            <w:tcBorders>
              <w:top w:val="outset" w:sz="6" w:space="0" w:color="auto"/>
              <w:left w:val="outset" w:sz="6" w:space="0" w:color="auto"/>
              <w:right w:val="outset" w:sz="6" w:space="0" w:color="auto"/>
            </w:tcBorders>
          </w:tcPr>
          <w:p w:rsidR="00683260" w:rsidRPr="00115606" w:rsidRDefault="00683260" w:rsidP="00706DDB">
            <w:pPr>
              <w:pStyle w:val="naisf"/>
              <w:spacing w:before="0" w:beforeAutospacing="0" w:after="0" w:afterAutospacing="0"/>
              <w:rPr>
                <w:lang w:val="lv-LV"/>
              </w:rPr>
            </w:pPr>
            <w:r w:rsidRPr="00115606">
              <w:rPr>
                <w:lang w:val="lv-LV"/>
              </w:rPr>
              <w:t>Cita informācija</w:t>
            </w:r>
          </w:p>
        </w:tc>
        <w:tc>
          <w:tcPr>
            <w:tcW w:w="3658" w:type="pct"/>
            <w:gridSpan w:val="2"/>
            <w:tcBorders>
              <w:top w:val="outset" w:sz="6" w:space="0" w:color="auto"/>
              <w:left w:val="outset" w:sz="6" w:space="0" w:color="auto"/>
              <w:right w:val="outset" w:sz="6" w:space="0" w:color="auto"/>
            </w:tcBorders>
            <w:shd w:val="clear" w:color="auto" w:fill="auto"/>
          </w:tcPr>
          <w:p w:rsidR="00683260" w:rsidRPr="00115606" w:rsidRDefault="006C3DF7" w:rsidP="00706DDB">
            <w:pPr>
              <w:pStyle w:val="naisf"/>
              <w:spacing w:before="0" w:beforeAutospacing="0" w:after="0" w:afterAutospacing="0"/>
              <w:rPr>
                <w:lang w:val="lv-LV"/>
              </w:rPr>
            </w:pPr>
            <w:r w:rsidRPr="00115606">
              <w:rPr>
                <w:lang w:val="lv-LV"/>
              </w:rPr>
              <w:t>Nav</w:t>
            </w:r>
            <w:r w:rsidR="00C47642" w:rsidRPr="00115606">
              <w:rPr>
                <w:lang w:val="lv-LV"/>
              </w:rPr>
              <w:t>.</w:t>
            </w:r>
          </w:p>
        </w:tc>
      </w:tr>
    </w:tbl>
    <w:p w:rsidR="00683260" w:rsidRPr="00115606" w:rsidRDefault="00683260" w:rsidP="00706DDB">
      <w:pPr>
        <w:pStyle w:val="naisf"/>
        <w:spacing w:before="0" w:beforeAutospacing="0" w:after="0" w:afterAutospacing="0"/>
        <w:rPr>
          <w:i/>
          <w:lang w:val="lv-LV"/>
        </w:rPr>
      </w:pPr>
    </w:p>
    <w:tbl>
      <w:tblPr>
        <w:tblW w:w="482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04"/>
        <w:gridCol w:w="1126"/>
        <w:gridCol w:w="2199"/>
        <w:gridCol w:w="1127"/>
        <w:gridCol w:w="994"/>
        <w:gridCol w:w="994"/>
      </w:tblGrid>
      <w:tr w:rsidR="00D72308" w:rsidRPr="00FE3D7C" w:rsidTr="00E41E93">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III. Tiesību akta projekta ietekme uz valsts budžetu un pašvaldību budžetiem</w:t>
            </w:r>
          </w:p>
        </w:tc>
      </w:tr>
      <w:tr w:rsidR="00D72308" w:rsidRPr="00D72308" w:rsidTr="00637A40">
        <w:trPr>
          <w:jc w:val="center"/>
        </w:trPr>
        <w:tc>
          <w:tcPr>
            <w:tcW w:w="1320" w:type="pct"/>
            <w:vMerge w:val="restar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Rādītāji</w:t>
            </w:r>
          </w:p>
        </w:tc>
        <w:tc>
          <w:tcPr>
            <w:tcW w:w="190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2015.</w:t>
            </w:r>
          </w:p>
        </w:tc>
        <w:tc>
          <w:tcPr>
            <w:tcW w:w="1775" w:type="pct"/>
            <w:gridSpan w:val="3"/>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Turpmākie trīs gadi (</w:t>
            </w:r>
            <w:proofErr w:type="spellStart"/>
            <w:r w:rsidRPr="00D72308">
              <w:rPr>
                <w:i/>
                <w:iCs/>
              </w:rPr>
              <w:t>euro</w:t>
            </w:r>
            <w:proofErr w:type="spellEnd"/>
            <w:r w:rsidRPr="00D72308">
              <w:t>)</w:t>
            </w:r>
          </w:p>
        </w:tc>
      </w:tr>
      <w:tr w:rsidR="00D72308" w:rsidRPr="00D72308" w:rsidTr="00637A40">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b/>
                <w:bCs/>
                <w:lang w:val="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b/>
                <w:bCs/>
                <w:lang w:val="lv-LV"/>
              </w:rPr>
            </w:pP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2016.</w:t>
            </w:r>
          </w:p>
        </w:tc>
        <w:tc>
          <w:tcPr>
            <w:tcW w:w="564"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2017.</w:t>
            </w:r>
          </w:p>
        </w:tc>
        <w:tc>
          <w:tcPr>
            <w:tcW w:w="565"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rPr>
                <w:b/>
                <w:bCs/>
              </w:rPr>
            </w:pPr>
            <w:r w:rsidRPr="00D72308">
              <w:rPr>
                <w:b/>
                <w:bCs/>
              </w:rPr>
              <w:t>2018.</w:t>
            </w:r>
          </w:p>
        </w:tc>
      </w:tr>
      <w:tr w:rsidR="00D72308" w:rsidRPr="00D72308" w:rsidTr="00637A40">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b/>
                <w:bCs/>
                <w:lang w:val="lv-LV"/>
              </w:rPr>
            </w:pP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saskaņā ar valsts budžetu kārtējam gadam</w:t>
            </w:r>
          </w:p>
        </w:tc>
        <w:tc>
          <w:tcPr>
            <w:tcW w:w="1259"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izmaiņas kārtējā gadā, salīdzinot ar valsts budžetu kārtējam gadam</w:t>
            </w: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izmaiņas, salīdzinot ar kārtējo (n) gadu</w:t>
            </w:r>
          </w:p>
        </w:tc>
        <w:tc>
          <w:tcPr>
            <w:tcW w:w="564"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izmaiņas, salīdzinot ar kārtējo (n) gadu</w:t>
            </w:r>
          </w:p>
        </w:tc>
        <w:tc>
          <w:tcPr>
            <w:tcW w:w="565"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izmaiņas, salīdzinot ar kārtējo (n) gadu</w:t>
            </w: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pStyle w:val="tvhtml"/>
              <w:spacing w:before="0" w:beforeAutospacing="0" w:after="0" w:afterAutospacing="0"/>
              <w:jc w:val="center"/>
            </w:pPr>
            <w:r w:rsidRPr="00D72308">
              <w:t>1</w:t>
            </w: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D72308" w:rsidRPr="006F682B" w:rsidRDefault="00D72308" w:rsidP="00E41E93">
            <w:pPr>
              <w:pStyle w:val="tvhtml"/>
              <w:spacing w:before="0" w:beforeAutospacing="0" w:after="0" w:afterAutospacing="0"/>
              <w:jc w:val="center"/>
            </w:pPr>
            <w:r w:rsidRPr="006F682B">
              <w:t>2</w:t>
            </w:r>
          </w:p>
        </w:tc>
        <w:tc>
          <w:tcPr>
            <w:tcW w:w="1259" w:type="pct"/>
            <w:tcBorders>
              <w:top w:val="outset" w:sz="6" w:space="0" w:color="414142"/>
              <w:left w:val="outset" w:sz="6" w:space="0" w:color="414142"/>
              <w:bottom w:val="outset" w:sz="6" w:space="0" w:color="414142"/>
              <w:right w:val="outset" w:sz="6" w:space="0" w:color="414142"/>
            </w:tcBorders>
            <w:vAlign w:val="center"/>
            <w:hideMark/>
          </w:tcPr>
          <w:p w:rsidR="00D72308" w:rsidRPr="006F682B" w:rsidRDefault="00D72308" w:rsidP="00E41E93">
            <w:pPr>
              <w:pStyle w:val="tvhtml"/>
              <w:spacing w:before="0" w:beforeAutospacing="0" w:after="0" w:afterAutospacing="0"/>
              <w:jc w:val="center"/>
            </w:pPr>
            <w:r w:rsidRPr="006F682B">
              <w:t>3</w:t>
            </w:r>
          </w:p>
        </w:tc>
        <w:tc>
          <w:tcPr>
            <w:tcW w:w="646" w:type="pct"/>
            <w:tcBorders>
              <w:top w:val="outset" w:sz="6" w:space="0" w:color="414142"/>
              <w:left w:val="outset" w:sz="6" w:space="0" w:color="414142"/>
              <w:bottom w:val="outset" w:sz="6" w:space="0" w:color="414142"/>
              <w:right w:val="outset" w:sz="6" w:space="0" w:color="414142"/>
            </w:tcBorders>
            <w:vAlign w:val="center"/>
            <w:hideMark/>
          </w:tcPr>
          <w:p w:rsidR="00D72308" w:rsidRPr="006F682B" w:rsidRDefault="00D72308" w:rsidP="00E41E93">
            <w:pPr>
              <w:pStyle w:val="tvhtml"/>
              <w:spacing w:before="0" w:beforeAutospacing="0" w:after="0" w:afterAutospacing="0"/>
              <w:jc w:val="center"/>
            </w:pPr>
            <w:r w:rsidRPr="006F682B">
              <w:t>4</w:t>
            </w:r>
          </w:p>
        </w:tc>
        <w:tc>
          <w:tcPr>
            <w:tcW w:w="564" w:type="pct"/>
            <w:tcBorders>
              <w:top w:val="outset" w:sz="6" w:space="0" w:color="414142"/>
              <w:left w:val="outset" w:sz="6" w:space="0" w:color="414142"/>
              <w:bottom w:val="outset" w:sz="6" w:space="0" w:color="414142"/>
              <w:right w:val="outset" w:sz="6" w:space="0" w:color="414142"/>
            </w:tcBorders>
            <w:vAlign w:val="center"/>
            <w:hideMark/>
          </w:tcPr>
          <w:p w:rsidR="00D72308" w:rsidRPr="006F682B" w:rsidRDefault="00D72308" w:rsidP="00E41E93">
            <w:pPr>
              <w:pStyle w:val="tvhtml"/>
              <w:spacing w:before="0" w:beforeAutospacing="0" w:after="0" w:afterAutospacing="0"/>
              <w:jc w:val="center"/>
            </w:pPr>
            <w:r w:rsidRPr="006F682B">
              <w:t>5</w:t>
            </w:r>
          </w:p>
        </w:tc>
        <w:tc>
          <w:tcPr>
            <w:tcW w:w="565" w:type="pct"/>
            <w:tcBorders>
              <w:top w:val="outset" w:sz="6" w:space="0" w:color="414142"/>
              <w:left w:val="outset" w:sz="6" w:space="0" w:color="414142"/>
              <w:bottom w:val="outset" w:sz="6" w:space="0" w:color="414142"/>
              <w:right w:val="outset" w:sz="6" w:space="0" w:color="414142"/>
            </w:tcBorders>
            <w:vAlign w:val="center"/>
            <w:hideMark/>
          </w:tcPr>
          <w:p w:rsidR="00D72308" w:rsidRPr="006F682B" w:rsidRDefault="00D72308" w:rsidP="00E41E93">
            <w:pPr>
              <w:pStyle w:val="tvhtml"/>
              <w:spacing w:before="0" w:beforeAutospacing="0" w:after="0" w:afterAutospacing="0"/>
              <w:jc w:val="center"/>
            </w:pPr>
            <w:r w:rsidRPr="006F682B">
              <w:t>6</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1. Budžeta ieņēmumi:</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1.1. valsts pamatbudžets, tai skaitā ieņēmumi no maksas pakalpojumiem un citi pašu ieņēmumi</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1.2. valsts speciālais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1.3. pašvaldību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2. Budžeta izdevumi:</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2.1. valsts pamatbudžets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2.2. valsts speciālais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2.3. pašvaldību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p w:rsidR="00637A40" w:rsidRPr="00654E04" w:rsidRDefault="00637A40" w:rsidP="00637A40">
            <w:pPr>
              <w:rPr>
                <w:lang w:val="lv-LV"/>
              </w:rPr>
            </w:pP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3. Finansiālā ietekme:</w:t>
            </w: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D72308" w:rsidRPr="00654E04" w:rsidRDefault="00637A40" w:rsidP="00637A40">
            <w:pPr>
              <w:numPr>
                <w:ilvl w:val="0"/>
                <w:numId w:val="9"/>
              </w:numPr>
              <w:rPr>
                <w:lang w:val="lv-LV"/>
              </w:rPr>
            </w:pPr>
            <w:r w:rsidRPr="00654E04">
              <w:rPr>
                <w:lang w:val="lv-LV"/>
              </w:rPr>
              <w:t>8 452 333</w:t>
            </w: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637A40" w:rsidP="00E41E93">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3.1. valsts pamatbudžets</w:t>
            </w: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D72308" w:rsidRPr="00654E04" w:rsidRDefault="00637A40" w:rsidP="00E41E93">
            <w:pPr>
              <w:rPr>
                <w:lang w:val="lv-LV"/>
              </w:rPr>
            </w:pPr>
            <w:r w:rsidRPr="00654E04">
              <w:rPr>
                <w:lang w:val="lv-LV"/>
              </w:rPr>
              <w:t>-8 452 333</w:t>
            </w: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637A40" w:rsidP="00E41E93">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3.2. speciālais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lastRenderedPageBreak/>
              <w:t>3.3. pašvaldību budžets</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vMerge w:val="restar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4. Finanšu līdzekļi papildu izdevumu finansēšanai (kompensējošu izdevumu samazinājumu norāda ar "+" zīmi)</w:t>
            </w:r>
          </w:p>
        </w:tc>
        <w:tc>
          <w:tcPr>
            <w:tcW w:w="646" w:type="pct"/>
            <w:vMerge w:val="restart"/>
            <w:tcBorders>
              <w:top w:val="outset" w:sz="6" w:space="0" w:color="414142"/>
              <w:left w:val="outset" w:sz="6" w:space="0" w:color="414142"/>
              <w:bottom w:val="outset" w:sz="6" w:space="0" w:color="414142"/>
              <w:right w:val="outset" w:sz="6" w:space="0" w:color="414142"/>
            </w:tcBorders>
            <w:hideMark/>
          </w:tcPr>
          <w:p w:rsidR="00637A40" w:rsidRPr="00654E04" w:rsidRDefault="00637A40" w:rsidP="00637A40">
            <w:pPr>
              <w:pStyle w:val="tvhtml"/>
              <w:spacing w:before="0" w:beforeAutospacing="0" w:after="0" w:afterAutospacing="0"/>
              <w:jc w:val="center"/>
            </w:pPr>
            <w:r w:rsidRPr="00654E04">
              <w:t>X</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D72308" w:rsidRPr="00D72308" w:rsidTr="00637A40">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2308" w:rsidRPr="00654E04" w:rsidRDefault="00D72308" w:rsidP="00E41E93">
            <w:pPr>
              <w:rPr>
                <w:lang w:val="lv-LV"/>
              </w:rPr>
            </w:pPr>
          </w:p>
        </w:tc>
        <w:tc>
          <w:tcPr>
            <w:tcW w:w="1259"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564"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565"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r>
      <w:tr w:rsidR="00D72308" w:rsidRPr="00D72308" w:rsidTr="00637A40">
        <w:trPr>
          <w:jc w:val="center"/>
        </w:trPr>
        <w:tc>
          <w:tcPr>
            <w:tcW w:w="1320" w:type="pct"/>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lang w:val="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2308" w:rsidRPr="00654E04" w:rsidRDefault="00D72308" w:rsidP="00E41E93">
            <w:pPr>
              <w:rPr>
                <w:lang w:val="lv-LV"/>
              </w:rPr>
            </w:pPr>
          </w:p>
        </w:tc>
        <w:tc>
          <w:tcPr>
            <w:tcW w:w="1259"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646"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564"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c>
          <w:tcPr>
            <w:tcW w:w="565" w:type="pct"/>
            <w:tcBorders>
              <w:top w:val="outset" w:sz="6" w:space="0" w:color="414142"/>
              <w:left w:val="outset" w:sz="6" w:space="0" w:color="414142"/>
              <w:bottom w:val="outset" w:sz="6" w:space="0" w:color="414142"/>
              <w:right w:val="outset" w:sz="6" w:space="0" w:color="414142"/>
            </w:tcBorders>
          </w:tcPr>
          <w:p w:rsidR="00D72308" w:rsidRPr="00654E04" w:rsidRDefault="00D72308" w:rsidP="00E41E93">
            <w:pPr>
              <w:rPr>
                <w:lang w:val="lv-LV"/>
              </w:rPr>
            </w:pP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5. Precizēta finansiālā ietekme:</w:t>
            </w:r>
          </w:p>
        </w:tc>
        <w:tc>
          <w:tcPr>
            <w:tcW w:w="646" w:type="pct"/>
            <w:vMerge w:val="restart"/>
            <w:tcBorders>
              <w:top w:val="outset" w:sz="6" w:space="0" w:color="414142"/>
              <w:left w:val="outset" w:sz="6" w:space="0" w:color="414142"/>
              <w:bottom w:val="outset" w:sz="6" w:space="0" w:color="414142"/>
              <w:right w:val="outset" w:sz="6" w:space="0" w:color="414142"/>
            </w:tcBorders>
            <w:hideMark/>
          </w:tcPr>
          <w:p w:rsidR="00637A40" w:rsidRPr="00654E04" w:rsidRDefault="00637A40" w:rsidP="00637A40">
            <w:pPr>
              <w:pStyle w:val="tvhtml"/>
              <w:spacing w:before="0" w:beforeAutospacing="0" w:after="0" w:afterAutospacing="0"/>
              <w:jc w:val="center"/>
            </w:pPr>
            <w:r w:rsidRPr="00654E04">
              <w:t>X</w:t>
            </w: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7A40" w:rsidRPr="00654E04" w:rsidRDefault="00637A40" w:rsidP="00637A40">
            <w:pPr>
              <w:rPr>
                <w:lang w:val="lv-LV"/>
              </w:rPr>
            </w:pP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8 452 333</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7A40" w:rsidRPr="00654E04" w:rsidRDefault="00637A40" w:rsidP="00637A40">
            <w:pPr>
              <w:rPr>
                <w:lang w:val="lv-LV"/>
              </w:rPr>
            </w:pP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637A40"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637A40" w:rsidRPr="00D72308" w:rsidRDefault="00637A40" w:rsidP="00637A40">
            <w:pPr>
              <w:rPr>
                <w:lang w:val="lv-LV"/>
              </w:rPr>
            </w:pPr>
            <w:r w:rsidRPr="00D72308">
              <w:rPr>
                <w:lang w:val="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37A40" w:rsidRPr="00654E04" w:rsidRDefault="00637A40" w:rsidP="00637A40">
            <w:pPr>
              <w:rPr>
                <w:lang w:val="lv-LV"/>
              </w:rPr>
            </w:pPr>
          </w:p>
        </w:tc>
        <w:tc>
          <w:tcPr>
            <w:tcW w:w="1259"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646"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4"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c>
          <w:tcPr>
            <w:tcW w:w="565" w:type="pct"/>
            <w:tcBorders>
              <w:top w:val="outset" w:sz="6" w:space="0" w:color="414142"/>
              <w:left w:val="outset" w:sz="6" w:space="0" w:color="414142"/>
              <w:bottom w:val="outset" w:sz="6" w:space="0" w:color="414142"/>
              <w:right w:val="outset" w:sz="6" w:space="0" w:color="414142"/>
            </w:tcBorders>
          </w:tcPr>
          <w:p w:rsidR="00637A40" w:rsidRPr="00654E04" w:rsidRDefault="00637A40" w:rsidP="00637A40">
            <w:pPr>
              <w:rPr>
                <w:lang w:val="lv-LV"/>
              </w:rPr>
            </w:pPr>
            <w:r w:rsidRPr="00654E04">
              <w:rPr>
                <w:lang w:val="lv-LV"/>
              </w:rPr>
              <w:t>0</w:t>
            </w: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6. Detalizēts ieņēmumu un izdevumu aprēķins (ja nepieciešams, detalizētu ieņēmumu un izdevumu aprēķinu var pievienot anotācijas pielikumā):</w:t>
            </w:r>
          </w:p>
        </w:tc>
        <w:tc>
          <w:tcPr>
            <w:tcW w:w="3680" w:type="pct"/>
            <w:gridSpan w:val="5"/>
            <w:vMerge w:val="restart"/>
            <w:tcBorders>
              <w:top w:val="outset" w:sz="6" w:space="0" w:color="414142"/>
              <w:left w:val="outset" w:sz="6" w:space="0" w:color="414142"/>
              <w:bottom w:val="outset" w:sz="6" w:space="0" w:color="414142"/>
              <w:right w:val="outset" w:sz="6" w:space="0" w:color="414142"/>
            </w:tcBorders>
          </w:tcPr>
          <w:p w:rsidR="00D72308" w:rsidRPr="00D72308" w:rsidRDefault="00D72308" w:rsidP="00E41E93">
            <w:pPr>
              <w:pStyle w:val="tvhtml"/>
              <w:spacing w:before="0" w:beforeAutospacing="0" w:after="0" w:afterAutospacing="0"/>
              <w:jc w:val="both"/>
              <w:rPr>
                <w:bCs/>
              </w:rPr>
            </w:pPr>
            <w:r w:rsidRPr="00D72308">
              <w:rPr>
                <w:bCs/>
              </w:rPr>
              <w:t>Kopējie ieņēmumi –</w:t>
            </w:r>
            <w:r w:rsidRPr="00D72308">
              <w:rPr>
                <w:b/>
                <w:bCs/>
              </w:rPr>
              <w:t xml:space="preserve"> </w:t>
            </w:r>
            <w:r w:rsidRPr="00D72308">
              <w:rPr>
                <w:b/>
              </w:rPr>
              <w:t>8 452 333 EUR</w:t>
            </w:r>
            <w:r w:rsidRPr="00D72308">
              <w:rPr>
                <w:b/>
                <w:bCs/>
              </w:rPr>
              <w:t>:</w:t>
            </w:r>
          </w:p>
          <w:p w:rsidR="00D72308" w:rsidRPr="00D72308" w:rsidRDefault="00D72308" w:rsidP="00E41E93">
            <w:pPr>
              <w:pStyle w:val="tvhtml"/>
              <w:numPr>
                <w:ilvl w:val="0"/>
                <w:numId w:val="7"/>
              </w:numPr>
              <w:spacing w:before="0" w:beforeAutospacing="0" w:after="0" w:afterAutospacing="0"/>
              <w:jc w:val="both"/>
              <w:rPr>
                <w:b/>
                <w:bCs/>
              </w:rPr>
            </w:pPr>
            <w:r w:rsidRPr="00D72308">
              <w:rPr>
                <w:bCs/>
              </w:rPr>
              <w:t xml:space="preserve">Eiropas Savienības pagaidu ārkārtas atbalsts lopkopības nozarēm – </w:t>
            </w:r>
            <w:r w:rsidRPr="00D72308">
              <w:rPr>
                <w:b/>
              </w:rPr>
              <w:t>8 452 333</w:t>
            </w:r>
            <w:r w:rsidRPr="00D72308">
              <w:rPr>
                <w:b/>
                <w:bCs/>
              </w:rPr>
              <w:t xml:space="preserve"> EUR.</w:t>
            </w:r>
          </w:p>
          <w:p w:rsidR="00D72308" w:rsidRPr="00D72308" w:rsidRDefault="00D72308" w:rsidP="00E41E93">
            <w:pPr>
              <w:pStyle w:val="tvhtml"/>
              <w:spacing w:before="0" w:beforeAutospacing="0" w:after="0" w:afterAutospacing="0"/>
              <w:jc w:val="both"/>
              <w:rPr>
                <w:bCs/>
              </w:rPr>
            </w:pPr>
          </w:p>
          <w:p w:rsidR="00D72308" w:rsidRPr="00D72308" w:rsidRDefault="00D72308" w:rsidP="00E41E93">
            <w:pPr>
              <w:pStyle w:val="tvhtml"/>
              <w:spacing w:before="0" w:beforeAutospacing="0" w:after="0" w:afterAutospacing="0"/>
              <w:jc w:val="both"/>
              <w:rPr>
                <w:bCs/>
              </w:rPr>
            </w:pPr>
            <w:r w:rsidRPr="00D72308">
              <w:rPr>
                <w:bCs/>
              </w:rPr>
              <w:t xml:space="preserve">Kopējie izdevumi – </w:t>
            </w:r>
            <w:r w:rsidRPr="00D72308">
              <w:rPr>
                <w:b/>
              </w:rPr>
              <w:t>8 452 333</w:t>
            </w:r>
            <w:r w:rsidRPr="00D72308">
              <w:t xml:space="preserve"> </w:t>
            </w:r>
            <w:r w:rsidRPr="00D72308">
              <w:rPr>
                <w:b/>
                <w:bCs/>
              </w:rPr>
              <w:t>EUR:</w:t>
            </w:r>
          </w:p>
          <w:p w:rsidR="00D72308" w:rsidRPr="00D72308" w:rsidRDefault="00D72308" w:rsidP="00E41E93">
            <w:pPr>
              <w:pStyle w:val="tvhtml"/>
              <w:numPr>
                <w:ilvl w:val="0"/>
                <w:numId w:val="7"/>
              </w:numPr>
              <w:spacing w:before="0" w:beforeAutospacing="0" w:after="0" w:afterAutospacing="0"/>
              <w:jc w:val="both"/>
              <w:rPr>
                <w:b/>
                <w:bCs/>
              </w:rPr>
            </w:pPr>
            <w:r w:rsidRPr="00D72308">
              <w:rPr>
                <w:bCs/>
              </w:rPr>
              <w:t xml:space="preserve">Eiropas Savienības pagaidu ārkārtas atbalsts lopkopības nozarēm – </w:t>
            </w:r>
            <w:r w:rsidRPr="00D72308">
              <w:rPr>
                <w:b/>
              </w:rPr>
              <w:t>8 452 333</w:t>
            </w:r>
            <w:r w:rsidRPr="00D72308">
              <w:rPr>
                <w:b/>
                <w:bCs/>
              </w:rPr>
              <w:t xml:space="preserve"> EUR.</w:t>
            </w:r>
          </w:p>
          <w:p w:rsidR="00D72308" w:rsidRPr="00D72308" w:rsidRDefault="00D72308" w:rsidP="00E41E93">
            <w:pPr>
              <w:pStyle w:val="tvhtml"/>
              <w:spacing w:before="0" w:beforeAutospacing="0" w:after="0" w:afterAutospacing="0"/>
              <w:ind w:left="720"/>
              <w:jc w:val="both"/>
            </w:pP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p>
        </w:tc>
      </w:tr>
      <w:tr w:rsidR="00D72308" w:rsidRPr="00D72308" w:rsidTr="00637A40">
        <w:trPr>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2308" w:rsidRPr="00D72308" w:rsidRDefault="00D72308" w:rsidP="00E41E93">
            <w:pPr>
              <w:rPr>
                <w:lang w:val="lv-LV"/>
              </w:rPr>
            </w:pPr>
          </w:p>
        </w:tc>
      </w:tr>
      <w:tr w:rsidR="00D72308" w:rsidRPr="00FE3D7C" w:rsidTr="00637A40">
        <w:trPr>
          <w:trHeight w:val="555"/>
          <w:jc w:val="center"/>
        </w:trPr>
        <w:tc>
          <w:tcPr>
            <w:tcW w:w="1320" w:type="pct"/>
            <w:tcBorders>
              <w:top w:val="outset" w:sz="6" w:space="0" w:color="414142"/>
              <w:left w:val="outset" w:sz="6" w:space="0" w:color="414142"/>
              <w:bottom w:val="outset" w:sz="6" w:space="0" w:color="414142"/>
              <w:right w:val="outset" w:sz="6" w:space="0" w:color="414142"/>
            </w:tcBorders>
            <w:hideMark/>
          </w:tcPr>
          <w:p w:rsidR="00D72308" w:rsidRPr="00D72308" w:rsidRDefault="00D72308" w:rsidP="00E41E93">
            <w:pPr>
              <w:rPr>
                <w:lang w:val="lv-LV"/>
              </w:rPr>
            </w:pPr>
            <w:r w:rsidRPr="00D72308">
              <w:rPr>
                <w:lang w:val="lv-LV"/>
              </w:rPr>
              <w:t>7. Cita informācija</w:t>
            </w:r>
          </w:p>
        </w:tc>
        <w:tc>
          <w:tcPr>
            <w:tcW w:w="3680" w:type="pct"/>
            <w:gridSpan w:val="5"/>
            <w:tcBorders>
              <w:top w:val="outset" w:sz="6" w:space="0" w:color="414142"/>
              <w:left w:val="outset" w:sz="6" w:space="0" w:color="414142"/>
              <w:bottom w:val="outset" w:sz="6" w:space="0" w:color="414142"/>
              <w:right w:val="outset" w:sz="6" w:space="0" w:color="414142"/>
            </w:tcBorders>
          </w:tcPr>
          <w:p w:rsidR="00D72308" w:rsidRPr="00D72308" w:rsidRDefault="00D72308" w:rsidP="00E41E93">
            <w:pPr>
              <w:jc w:val="both"/>
              <w:rPr>
                <w:lang w:val="lv-LV"/>
              </w:rPr>
            </w:pPr>
            <w:r w:rsidRPr="00D72308">
              <w:rPr>
                <w:lang w:val="lv-LV"/>
              </w:rPr>
              <w:t>Atbalsts lopkopības nozarēm ir paredzēts kā 100% ES atbalsts, valsts līdzfinansējuma daļa nav paredzēta.</w:t>
            </w:r>
          </w:p>
          <w:p w:rsidR="00D72308" w:rsidRPr="00D72308" w:rsidRDefault="00D72308" w:rsidP="00E41E93">
            <w:pPr>
              <w:jc w:val="both"/>
              <w:rPr>
                <w:lang w:val="lv-LV"/>
              </w:rPr>
            </w:pPr>
            <w:r w:rsidRPr="00D72308">
              <w:rPr>
                <w:lang w:val="lv-LV"/>
              </w:rPr>
              <w:t xml:space="preserve">Atbalsts lopkopības nozarēm tiks izmaksāts </w:t>
            </w:r>
            <w:proofErr w:type="gramStart"/>
            <w:r w:rsidRPr="00D72308">
              <w:rPr>
                <w:lang w:val="lv-LV"/>
              </w:rPr>
              <w:t>2015.gada</w:t>
            </w:r>
            <w:proofErr w:type="gramEnd"/>
            <w:r w:rsidRPr="00D72308">
              <w:rPr>
                <w:lang w:val="lv-LV"/>
              </w:rPr>
              <w:t xml:space="preserve"> nogalē no Zemkopības ministrijas budžeta apakšprogrammas 64.08.00. „Izdevumi Eiropas Lauksaimniecības garantiju fonda (ELGF) projektu un pasākumu īstenošanai (2014–2020)” esošo budžeta izdevumu ietvaros. </w:t>
            </w:r>
          </w:p>
        </w:tc>
      </w:tr>
    </w:tbl>
    <w:p w:rsidR="009B0DF3" w:rsidRPr="00115606" w:rsidRDefault="009B0DF3" w:rsidP="00706DDB">
      <w:pPr>
        <w:pStyle w:val="naisf"/>
        <w:spacing w:before="0" w:beforeAutospacing="0" w:after="0" w:afterAutospacing="0"/>
        <w:rPr>
          <w:i/>
          <w:lang w:val="lv-LV"/>
        </w:rPr>
      </w:pPr>
    </w:p>
    <w:p w:rsidR="009D25BF" w:rsidRPr="00115606" w:rsidRDefault="009D25BF" w:rsidP="00706DDB">
      <w:pPr>
        <w:pStyle w:val="naisf"/>
        <w:spacing w:before="0" w:beforeAutospacing="0" w:after="0" w:afterAutospacing="0"/>
        <w:rPr>
          <w:i/>
          <w:lang w:val="lv-LV"/>
        </w:rPr>
      </w:pPr>
    </w:p>
    <w:p w:rsidR="009B0DF3" w:rsidRPr="00115606" w:rsidRDefault="002042E1" w:rsidP="00706DDB">
      <w:pPr>
        <w:pStyle w:val="naisf"/>
        <w:spacing w:before="0" w:beforeAutospacing="0" w:after="0" w:afterAutospacing="0"/>
        <w:rPr>
          <w:i/>
          <w:lang w:val="lv-LV"/>
        </w:rPr>
      </w:pPr>
      <w:r w:rsidRPr="00115606">
        <w:rPr>
          <w:i/>
          <w:lang w:val="lv-LV"/>
        </w:rPr>
        <w:t xml:space="preserve">Anotācijas IV un V sadaļas 2.tabula – </w:t>
      </w:r>
      <w:r w:rsidR="00C47642" w:rsidRPr="00115606">
        <w:rPr>
          <w:i/>
          <w:lang w:val="lv-LV"/>
        </w:rPr>
        <w:t xml:space="preserve">noteikumu </w:t>
      </w:r>
      <w:r w:rsidRPr="00115606">
        <w:rPr>
          <w:i/>
          <w:lang w:val="lv-LV"/>
        </w:rPr>
        <w:t>projekts šo jomu neskar.</w:t>
      </w:r>
    </w:p>
    <w:p w:rsidR="002042E1" w:rsidRPr="00115606" w:rsidRDefault="002042E1" w:rsidP="00706DDB">
      <w:pPr>
        <w:pStyle w:val="naisf"/>
        <w:spacing w:before="0" w:beforeAutospacing="0" w:after="0" w:afterAutospacing="0"/>
        <w:rPr>
          <w:i/>
          <w:lang w:val="lv-LV"/>
        </w:rPr>
      </w:pPr>
    </w:p>
    <w:tbl>
      <w:tblPr>
        <w:tblW w:w="4943"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41"/>
        <w:gridCol w:w="2351"/>
        <w:gridCol w:w="5860"/>
      </w:tblGrid>
      <w:tr w:rsidR="00683260" w:rsidRPr="00115606" w:rsidTr="0055626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683260" w:rsidRPr="00115606" w:rsidRDefault="00683260" w:rsidP="00706DDB">
            <w:pPr>
              <w:pStyle w:val="naisf"/>
              <w:spacing w:before="0" w:beforeAutospacing="0" w:after="0" w:afterAutospacing="0"/>
              <w:rPr>
                <w:b/>
                <w:bCs/>
                <w:lang w:val="lv-LV"/>
              </w:rPr>
            </w:pPr>
            <w:r w:rsidRPr="00115606">
              <w:rPr>
                <w:b/>
                <w:bCs/>
                <w:lang w:val="lv-LV"/>
              </w:rPr>
              <w:t xml:space="preserve">V. Tiesību akta projekta </w:t>
            </w:r>
            <w:r w:rsidR="001A6974" w:rsidRPr="00115606">
              <w:rPr>
                <w:b/>
                <w:bCs/>
                <w:lang w:val="lv-LV"/>
              </w:rPr>
              <w:t>atbilstība Latvijas Republikas starptautiskajām saistībām</w:t>
            </w:r>
          </w:p>
        </w:tc>
      </w:tr>
      <w:tr w:rsidR="00683260" w:rsidRPr="00115606" w:rsidTr="00556261">
        <w:tc>
          <w:tcPr>
            <w:tcW w:w="414" w:type="pct"/>
            <w:tcBorders>
              <w:top w:val="outset" w:sz="6" w:space="0" w:color="000000"/>
              <w:left w:val="outset" w:sz="6" w:space="0" w:color="000000"/>
              <w:bottom w:val="outset" w:sz="6" w:space="0" w:color="000000"/>
              <w:right w:val="outset" w:sz="6" w:space="0" w:color="000000"/>
            </w:tcBorders>
          </w:tcPr>
          <w:p w:rsidR="00683260" w:rsidRPr="00115606" w:rsidRDefault="00683260" w:rsidP="00706DDB">
            <w:pPr>
              <w:pStyle w:val="naisf"/>
              <w:spacing w:before="0" w:beforeAutospacing="0" w:after="0" w:afterAutospacing="0"/>
              <w:rPr>
                <w:lang w:val="lv-LV"/>
              </w:rPr>
            </w:pPr>
            <w:r w:rsidRPr="00115606">
              <w:rPr>
                <w:lang w:val="lv-LV"/>
              </w:rPr>
              <w:t>1.</w:t>
            </w:r>
          </w:p>
        </w:tc>
        <w:tc>
          <w:tcPr>
            <w:tcW w:w="1313" w:type="pct"/>
            <w:tcBorders>
              <w:top w:val="outset" w:sz="6" w:space="0" w:color="000000"/>
              <w:left w:val="outset" w:sz="6" w:space="0" w:color="000000"/>
              <w:bottom w:val="outset" w:sz="6" w:space="0" w:color="000000"/>
              <w:right w:val="outset" w:sz="6" w:space="0" w:color="000000"/>
            </w:tcBorders>
          </w:tcPr>
          <w:p w:rsidR="00683260" w:rsidRPr="00115606" w:rsidRDefault="001A6974" w:rsidP="00706DDB">
            <w:pPr>
              <w:pStyle w:val="naisf"/>
              <w:spacing w:before="0" w:beforeAutospacing="0" w:after="0" w:afterAutospacing="0"/>
              <w:rPr>
                <w:lang w:val="lv-LV"/>
              </w:rPr>
            </w:pPr>
            <w:r w:rsidRPr="00115606">
              <w:rPr>
                <w:lang w:val="lv-LV"/>
              </w:rPr>
              <w:t>Saistības pret Eiropas Savienību</w:t>
            </w:r>
          </w:p>
        </w:tc>
        <w:tc>
          <w:tcPr>
            <w:tcW w:w="3273" w:type="pct"/>
            <w:tcBorders>
              <w:top w:val="outset" w:sz="6" w:space="0" w:color="000000"/>
              <w:left w:val="outset" w:sz="6" w:space="0" w:color="000000"/>
              <w:bottom w:val="outset" w:sz="6" w:space="0" w:color="000000"/>
              <w:right w:val="outset" w:sz="6" w:space="0" w:color="000000"/>
            </w:tcBorders>
          </w:tcPr>
          <w:p w:rsidR="009B0DF3" w:rsidRPr="00115606" w:rsidRDefault="00984B07" w:rsidP="00721B80">
            <w:pPr>
              <w:pStyle w:val="naisf"/>
              <w:spacing w:before="0" w:beforeAutospacing="0" w:after="0" w:afterAutospacing="0"/>
              <w:rPr>
                <w:lang w:val="lv-LV"/>
              </w:rPr>
            </w:pPr>
            <w:r w:rsidRPr="00115606">
              <w:rPr>
                <w:lang w:val="lv-LV"/>
              </w:rPr>
              <w:t xml:space="preserve">Regula Nr. </w:t>
            </w:r>
            <w:r w:rsidR="0075263C" w:rsidRPr="00115606">
              <w:rPr>
                <w:lang w:val="lv-LV"/>
              </w:rPr>
              <w:t>1</w:t>
            </w:r>
            <w:r w:rsidR="00721B80" w:rsidRPr="00115606">
              <w:rPr>
                <w:lang w:val="lv-LV"/>
              </w:rPr>
              <w:t>85</w:t>
            </w:r>
            <w:r w:rsidR="0075263C" w:rsidRPr="00115606">
              <w:rPr>
                <w:lang w:val="lv-LV"/>
              </w:rPr>
              <w:t>3</w:t>
            </w:r>
            <w:r w:rsidRPr="00115606">
              <w:rPr>
                <w:lang w:val="lv-LV"/>
              </w:rPr>
              <w:t>/</w:t>
            </w:r>
            <w:r w:rsidR="0075263C" w:rsidRPr="00115606">
              <w:rPr>
                <w:lang w:val="lv-LV"/>
              </w:rPr>
              <w:t>201</w:t>
            </w:r>
            <w:r w:rsidR="00721B80" w:rsidRPr="00115606">
              <w:rPr>
                <w:lang w:val="lv-LV"/>
              </w:rPr>
              <w:t>5</w:t>
            </w:r>
          </w:p>
        </w:tc>
      </w:tr>
      <w:tr w:rsidR="00683260" w:rsidRPr="00115606" w:rsidTr="00556261">
        <w:tc>
          <w:tcPr>
            <w:tcW w:w="414" w:type="pct"/>
            <w:tcBorders>
              <w:top w:val="outset" w:sz="6" w:space="0" w:color="000000"/>
              <w:left w:val="outset" w:sz="6" w:space="0" w:color="000000"/>
              <w:bottom w:val="outset" w:sz="6" w:space="0" w:color="000000"/>
              <w:right w:val="outset" w:sz="6" w:space="0" w:color="000000"/>
            </w:tcBorders>
          </w:tcPr>
          <w:p w:rsidR="00683260" w:rsidRPr="00115606" w:rsidRDefault="00683260" w:rsidP="00706DDB">
            <w:pPr>
              <w:pStyle w:val="naisf"/>
              <w:spacing w:before="0" w:beforeAutospacing="0" w:after="0" w:afterAutospacing="0"/>
              <w:rPr>
                <w:lang w:val="lv-LV"/>
              </w:rPr>
            </w:pPr>
            <w:r w:rsidRPr="00115606">
              <w:rPr>
                <w:lang w:val="lv-LV"/>
              </w:rPr>
              <w:t>2.</w:t>
            </w:r>
          </w:p>
        </w:tc>
        <w:tc>
          <w:tcPr>
            <w:tcW w:w="1313" w:type="pct"/>
            <w:tcBorders>
              <w:top w:val="outset" w:sz="6" w:space="0" w:color="000000"/>
              <w:left w:val="outset" w:sz="6" w:space="0" w:color="000000"/>
              <w:bottom w:val="outset" w:sz="6" w:space="0" w:color="000000"/>
              <w:right w:val="outset" w:sz="6" w:space="0" w:color="000000"/>
            </w:tcBorders>
          </w:tcPr>
          <w:p w:rsidR="00683260" w:rsidRPr="00115606" w:rsidRDefault="001A6974" w:rsidP="00706DDB">
            <w:pPr>
              <w:pStyle w:val="naisf"/>
              <w:spacing w:before="0" w:beforeAutospacing="0" w:after="0" w:afterAutospacing="0"/>
              <w:rPr>
                <w:lang w:val="lv-LV"/>
              </w:rPr>
            </w:pPr>
            <w:r w:rsidRPr="00115606">
              <w:rPr>
                <w:lang w:val="lv-LV"/>
              </w:rPr>
              <w:t>Citas starptautiskās saistības</w:t>
            </w:r>
          </w:p>
        </w:tc>
        <w:tc>
          <w:tcPr>
            <w:tcW w:w="3273" w:type="pct"/>
            <w:tcBorders>
              <w:top w:val="outset" w:sz="6" w:space="0" w:color="000000"/>
              <w:left w:val="outset" w:sz="6" w:space="0" w:color="000000"/>
              <w:bottom w:val="outset" w:sz="6" w:space="0" w:color="000000"/>
              <w:right w:val="outset" w:sz="6" w:space="0" w:color="000000"/>
            </w:tcBorders>
          </w:tcPr>
          <w:p w:rsidR="00683260" w:rsidRPr="00115606" w:rsidRDefault="00515ACE" w:rsidP="00706DDB">
            <w:pPr>
              <w:pStyle w:val="naisf"/>
              <w:spacing w:before="0" w:beforeAutospacing="0" w:after="0" w:afterAutospacing="0"/>
              <w:rPr>
                <w:lang w:val="lv-LV"/>
              </w:rPr>
            </w:pPr>
            <w:r w:rsidRPr="00115606">
              <w:rPr>
                <w:lang w:val="lv-LV"/>
              </w:rPr>
              <w:t>Nav</w:t>
            </w:r>
          </w:p>
        </w:tc>
      </w:tr>
      <w:tr w:rsidR="00683260" w:rsidRPr="00115606" w:rsidTr="00556261">
        <w:tc>
          <w:tcPr>
            <w:tcW w:w="414" w:type="pct"/>
            <w:tcBorders>
              <w:top w:val="outset" w:sz="6" w:space="0" w:color="000000"/>
              <w:left w:val="outset" w:sz="6" w:space="0" w:color="000000"/>
              <w:bottom w:val="outset" w:sz="6" w:space="0" w:color="000000"/>
              <w:right w:val="outset" w:sz="6" w:space="0" w:color="000000"/>
            </w:tcBorders>
          </w:tcPr>
          <w:p w:rsidR="00683260" w:rsidRPr="00115606" w:rsidRDefault="00683260" w:rsidP="00706DDB">
            <w:pPr>
              <w:pStyle w:val="naisf"/>
              <w:spacing w:before="0" w:beforeAutospacing="0" w:after="0" w:afterAutospacing="0"/>
              <w:rPr>
                <w:lang w:val="lv-LV"/>
              </w:rPr>
            </w:pPr>
            <w:r w:rsidRPr="00115606">
              <w:rPr>
                <w:lang w:val="lv-LV"/>
              </w:rPr>
              <w:t>3.</w:t>
            </w:r>
          </w:p>
        </w:tc>
        <w:tc>
          <w:tcPr>
            <w:tcW w:w="1313" w:type="pct"/>
            <w:tcBorders>
              <w:top w:val="outset" w:sz="6" w:space="0" w:color="000000"/>
              <w:left w:val="outset" w:sz="6" w:space="0" w:color="000000"/>
              <w:bottom w:val="outset" w:sz="6" w:space="0" w:color="000000"/>
              <w:right w:val="outset" w:sz="6" w:space="0" w:color="000000"/>
            </w:tcBorders>
          </w:tcPr>
          <w:p w:rsidR="00683260" w:rsidRPr="00115606" w:rsidRDefault="00683260" w:rsidP="00706DDB">
            <w:pPr>
              <w:pStyle w:val="naisf"/>
              <w:spacing w:before="0" w:beforeAutospacing="0" w:after="0" w:afterAutospacing="0"/>
              <w:rPr>
                <w:lang w:val="lv-LV"/>
              </w:rPr>
            </w:pPr>
            <w:r w:rsidRPr="00115606">
              <w:rPr>
                <w:lang w:val="lv-LV"/>
              </w:rPr>
              <w:t>Cita informācija</w:t>
            </w:r>
          </w:p>
        </w:tc>
        <w:tc>
          <w:tcPr>
            <w:tcW w:w="3273" w:type="pct"/>
            <w:tcBorders>
              <w:top w:val="outset" w:sz="6" w:space="0" w:color="000000"/>
              <w:left w:val="outset" w:sz="6" w:space="0" w:color="000000"/>
              <w:bottom w:val="outset" w:sz="6" w:space="0" w:color="000000"/>
              <w:right w:val="outset" w:sz="6" w:space="0" w:color="000000"/>
            </w:tcBorders>
          </w:tcPr>
          <w:p w:rsidR="00683260" w:rsidRPr="00115606" w:rsidRDefault="00515ACE" w:rsidP="00706DDB">
            <w:pPr>
              <w:pStyle w:val="naisf"/>
              <w:spacing w:before="0" w:beforeAutospacing="0" w:after="0" w:afterAutospacing="0"/>
              <w:rPr>
                <w:lang w:val="lv-LV"/>
              </w:rPr>
            </w:pPr>
            <w:r w:rsidRPr="00115606">
              <w:rPr>
                <w:lang w:val="lv-LV"/>
              </w:rPr>
              <w:t>Nav</w:t>
            </w:r>
          </w:p>
        </w:tc>
      </w:tr>
    </w:tbl>
    <w:p w:rsidR="0036615E" w:rsidRPr="00115606" w:rsidRDefault="0036615E" w:rsidP="00706DDB">
      <w:pPr>
        <w:pStyle w:val="naisf"/>
        <w:spacing w:before="0" w:beforeAutospacing="0" w:after="0" w:afterAutospacing="0"/>
        <w:rPr>
          <w:lang w:val="lv-LV"/>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61"/>
        <w:gridCol w:w="1842"/>
        <w:gridCol w:w="3125"/>
        <w:gridCol w:w="1967"/>
      </w:tblGrid>
      <w:tr w:rsidR="0036615E" w:rsidRPr="00FE3D7C" w:rsidTr="00706DDB">
        <w:trPr>
          <w:trHeight w:val="523"/>
          <w:jc w:val="center"/>
        </w:trPr>
        <w:tc>
          <w:tcPr>
            <w:tcW w:w="8995" w:type="dxa"/>
            <w:gridSpan w:val="4"/>
            <w:vAlign w:val="center"/>
          </w:tcPr>
          <w:p w:rsidR="0036615E" w:rsidRPr="00115606" w:rsidRDefault="0036615E" w:rsidP="00706DDB">
            <w:pPr>
              <w:jc w:val="center"/>
              <w:rPr>
                <w:b/>
                <w:bCs/>
                <w:lang w:val="lv-LV" w:eastAsia="lv-LV"/>
              </w:rPr>
            </w:pPr>
            <w:r w:rsidRPr="00115606">
              <w:rPr>
                <w:b/>
                <w:bCs/>
                <w:lang w:val="lv-LV" w:eastAsia="lv-LV"/>
              </w:rPr>
              <w:lastRenderedPageBreak/>
              <w:t xml:space="preserve">1.tabula </w:t>
            </w:r>
          </w:p>
          <w:p w:rsidR="0036615E" w:rsidRPr="00115606" w:rsidRDefault="0036615E" w:rsidP="00706DDB">
            <w:pPr>
              <w:jc w:val="center"/>
              <w:rPr>
                <w:b/>
                <w:bCs/>
                <w:i/>
                <w:lang w:val="lv-LV" w:eastAsia="lv-LV"/>
              </w:rPr>
            </w:pPr>
            <w:r w:rsidRPr="00115606">
              <w:rPr>
                <w:b/>
                <w:bCs/>
                <w:lang w:val="lv-LV" w:eastAsia="lv-LV"/>
              </w:rPr>
              <w:t>Tiesību akta projekta atbilstība ES tiesību aktiem</w:t>
            </w:r>
          </w:p>
        </w:tc>
      </w:tr>
      <w:tr w:rsidR="0036615E" w:rsidRPr="00115606" w:rsidTr="00706DDB">
        <w:trPr>
          <w:trHeight w:val="1252"/>
          <w:jc w:val="center"/>
        </w:trPr>
        <w:tc>
          <w:tcPr>
            <w:tcW w:w="2061" w:type="dxa"/>
            <w:vAlign w:val="center"/>
          </w:tcPr>
          <w:p w:rsidR="0036615E" w:rsidRPr="00115606" w:rsidRDefault="0036615E" w:rsidP="00706DDB">
            <w:pPr>
              <w:ind w:hanging="10"/>
              <w:jc w:val="center"/>
              <w:rPr>
                <w:rFonts w:eastAsia="Arial Unicode MS"/>
                <w:lang w:val="lv-LV"/>
              </w:rPr>
            </w:pPr>
            <w:r w:rsidRPr="00115606">
              <w:rPr>
                <w:rFonts w:eastAsia="Arial Unicode MS"/>
                <w:lang w:val="lv-LV"/>
              </w:rPr>
              <w:t>Attiecīgā ES tiesību akta datums, numurs un nosaukums</w:t>
            </w:r>
          </w:p>
        </w:tc>
        <w:tc>
          <w:tcPr>
            <w:tcW w:w="6934" w:type="dxa"/>
            <w:gridSpan w:val="3"/>
            <w:vAlign w:val="center"/>
          </w:tcPr>
          <w:p w:rsidR="0036615E" w:rsidRPr="00115606" w:rsidRDefault="0036615E" w:rsidP="00706DDB">
            <w:pPr>
              <w:rPr>
                <w:rFonts w:eastAsia="Arial Unicode MS"/>
                <w:lang w:val="lv-LV"/>
              </w:rPr>
            </w:pPr>
          </w:p>
        </w:tc>
      </w:tr>
      <w:tr w:rsidR="0036615E" w:rsidRPr="00115606" w:rsidTr="00706DDB">
        <w:trPr>
          <w:trHeight w:val="165"/>
          <w:jc w:val="center"/>
        </w:trPr>
        <w:tc>
          <w:tcPr>
            <w:tcW w:w="2061" w:type="dxa"/>
            <w:vAlign w:val="center"/>
          </w:tcPr>
          <w:p w:rsidR="0036615E" w:rsidRPr="00115606" w:rsidRDefault="0036615E" w:rsidP="00706DDB">
            <w:pPr>
              <w:jc w:val="center"/>
              <w:rPr>
                <w:rFonts w:eastAsia="Arial Unicode MS"/>
                <w:lang w:val="lv-LV"/>
              </w:rPr>
            </w:pPr>
            <w:r w:rsidRPr="00115606">
              <w:rPr>
                <w:rFonts w:eastAsia="Arial Unicode MS"/>
                <w:lang w:val="lv-LV"/>
              </w:rPr>
              <w:t>A</w:t>
            </w:r>
          </w:p>
        </w:tc>
        <w:tc>
          <w:tcPr>
            <w:tcW w:w="1842" w:type="dxa"/>
            <w:vAlign w:val="center"/>
          </w:tcPr>
          <w:p w:rsidR="0036615E" w:rsidRPr="00115606" w:rsidRDefault="0036615E" w:rsidP="00706DDB">
            <w:pPr>
              <w:jc w:val="center"/>
              <w:rPr>
                <w:rFonts w:eastAsia="Arial Unicode MS"/>
                <w:lang w:val="lv-LV"/>
              </w:rPr>
            </w:pPr>
            <w:r w:rsidRPr="00115606">
              <w:rPr>
                <w:rFonts w:eastAsia="Arial Unicode MS"/>
                <w:lang w:val="lv-LV"/>
              </w:rPr>
              <w:t>B</w:t>
            </w:r>
          </w:p>
        </w:tc>
        <w:tc>
          <w:tcPr>
            <w:tcW w:w="3125" w:type="dxa"/>
            <w:vAlign w:val="center"/>
          </w:tcPr>
          <w:p w:rsidR="0036615E" w:rsidRPr="00115606" w:rsidRDefault="0036615E" w:rsidP="00706DDB">
            <w:pPr>
              <w:jc w:val="center"/>
              <w:rPr>
                <w:rFonts w:eastAsia="Arial Unicode MS"/>
                <w:lang w:val="lv-LV"/>
              </w:rPr>
            </w:pPr>
            <w:r w:rsidRPr="00115606">
              <w:rPr>
                <w:rFonts w:eastAsia="Arial Unicode MS"/>
                <w:lang w:val="lv-LV"/>
              </w:rPr>
              <w:t>C</w:t>
            </w:r>
          </w:p>
        </w:tc>
        <w:tc>
          <w:tcPr>
            <w:tcW w:w="1967" w:type="dxa"/>
            <w:vAlign w:val="center"/>
          </w:tcPr>
          <w:p w:rsidR="0036615E" w:rsidRPr="00115606" w:rsidRDefault="0036615E" w:rsidP="00706DDB">
            <w:pPr>
              <w:jc w:val="center"/>
              <w:rPr>
                <w:rFonts w:eastAsia="Arial Unicode MS"/>
                <w:lang w:val="lv-LV"/>
              </w:rPr>
            </w:pPr>
            <w:r w:rsidRPr="00115606">
              <w:rPr>
                <w:rFonts w:eastAsia="Arial Unicode MS"/>
                <w:lang w:val="lv-LV"/>
              </w:rPr>
              <w:t>D</w:t>
            </w:r>
          </w:p>
        </w:tc>
      </w:tr>
      <w:tr w:rsidR="0036615E" w:rsidRPr="00FE3D7C" w:rsidTr="00706DDB">
        <w:trPr>
          <w:trHeight w:val="4708"/>
          <w:jc w:val="center"/>
        </w:trPr>
        <w:tc>
          <w:tcPr>
            <w:tcW w:w="2061" w:type="dxa"/>
          </w:tcPr>
          <w:p w:rsidR="0036615E" w:rsidRPr="00115606" w:rsidRDefault="0036615E" w:rsidP="00706DDB">
            <w:pPr>
              <w:rPr>
                <w:rFonts w:eastAsia="Arial Unicode MS"/>
                <w:lang w:val="lv-LV"/>
              </w:rPr>
            </w:pPr>
            <w:r w:rsidRPr="00115606">
              <w:rPr>
                <w:rFonts w:eastAsia="Arial Unicode MS"/>
                <w:lang w:val="lv-LV"/>
              </w:rPr>
              <w:t xml:space="preserve">Attiecīgā ES tiesību akta panta numurs (uzskaitot katru tiesību akta </w:t>
            </w:r>
            <w:r w:rsidRPr="00115606">
              <w:rPr>
                <w:rFonts w:eastAsia="Arial Unicode MS"/>
                <w:lang w:val="lv-LV"/>
              </w:rPr>
              <w:br/>
              <w:t>vienību – pantu, daļu, punktu, apakšpunktu)</w:t>
            </w:r>
          </w:p>
        </w:tc>
        <w:tc>
          <w:tcPr>
            <w:tcW w:w="1842" w:type="dxa"/>
          </w:tcPr>
          <w:p w:rsidR="0036615E" w:rsidRPr="00115606" w:rsidRDefault="0036615E" w:rsidP="00706DDB">
            <w:pPr>
              <w:rPr>
                <w:rFonts w:eastAsia="Arial Unicode MS"/>
                <w:lang w:val="lv-LV"/>
              </w:rPr>
            </w:pPr>
            <w:r w:rsidRPr="00115606">
              <w:rPr>
                <w:rFonts w:eastAsia="Arial Unicode MS"/>
                <w:lang w:val="lv-LV"/>
              </w:rPr>
              <w:t>Projekta vienība, kas pārņem vai ievieš katru šīs tabulas A ailē minēto ES tiesību akta vienību, vai tiesību akts, kur attiecīgā ES tiesību akta vienība pārņemta vai ieviesta</w:t>
            </w:r>
          </w:p>
        </w:tc>
        <w:tc>
          <w:tcPr>
            <w:tcW w:w="3125" w:type="dxa"/>
          </w:tcPr>
          <w:p w:rsidR="0036615E" w:rsidRPr="00115606" w:rsidRDefault="0036615E" w:rsidP="00706DDB">
            <w:pPr>
              <w:rPr>
                <w:rFonts w:eastAsia="Arial Unicode MS"/>
                <w:lang w:val="lv-LV"/>
              </w:rPr>
            </w:pPr>
            <w:r w:rsidRPr="00115606">
              <w:rPr>
                <w:rFonts w:eastAsia="Arial Unicode MS"/>
                <w:lang w:val="lv-LV"/>
              </w:rPr>
              <w:t>Informācija par to, vai šīs tabulas A ailē minētās ES tiesību akta vienības tiek pārņemtas vai ieviestas pilnībā vai daļēji.</w:t>
            </w:r>
          </w:p>
          <w:p w:rsidR="0036615E" w:rsidRPr="00115606" w:rsidRDefault="0036615E" w:rsidP="00706DDB">
            <w:pPr>
              <w:rPr>
                <w:rFonts w:eastAsia="Arial Unicode MS"/>
                <w:lang w:val="lv-LV"/>
              </w:rPr>
            </w:pPr>
          </w:p>
          <w:p w:rsidR="0036615E" w:rsidRPr="00115606" w:rsidRDefault="0036615E" w:rsidP="00706DDB">
            <w:pPr>
              <w:rPr>
                <w:rFonts w:eastAsia="Arial Unicode MS"/>
                <w:lang w:val="lv-LV"/>
              </w:rPr>
            </w:pPr>
            <w:r w:rsidRPr="00115606">
              <w:rPr>
                <w:rFonts w:eastAsia="Arial Unicode MS"/>
                <w:lang w:val="lv-LV"/>
              </w:rPr>
              <w:t>Ja attiecīgā ES tiesību akta vienība tiek pārņemta vai ieviesta daļēji, – sniedz attiecīgu skaidrojumu, kā arī precīzi norāda, kad un kādā veidā ES tiesību akta vienība tiks pārņemta vai ieviesta pilnībā.</w:t>
            </w:r>
          </w:p>
          <w:p w:rsidR="0036615E" w:rsidRPr="00115606" w:rsidRDefault="0036615E" w:rsidP="00706DDB">
            <w:pPr>
              <w:rPr>
                <w:rFonts w:eastAsia="Arial Unicode MS"/>
                <w:lang w:val="lv-LV"/>
              </w:rPr>
            </w:pPr>
          </w:p>
          <w:p w:rsidR="0036615E" w:rsidRPr="00115606" w:rsidRDefault="0036615E" w:rsidP="00706DDB">
            <w:pPr>
              <w:rPr>
                <w:rFonts w:eastAsia="Arial Unicode MS"/>
                <w:lang w:val="lv-LV"/>
              </w:rPr>
            </w:pPr>
            <w:r w:rsidRPr="00115606">
              <w:rPr>
                <w:rFonts w:eastAsia="Arial Unicode MS"/>
                <w:lang w:val="lv-LV"/>
              </w:rPr>
              <w:t>Norāda institūciju, kas ir atbildīga par šo saistību izpildi pilnībā</w:t>
            </w:r>
          </w:p>
        </w:tc>
        <w:tc>
          <w:tcPr>
            <w:tcW w:w="1967" w:type="dxa"/>
          </w:tcPr>
          <w:p w:rsidR="0036615E" w:rsidRPr="00115606" w:rsidRDefault="0036615E" w:rsidP="00706DDB">
            <w:pPr>
              <w:rPr>
                <w:rFonts w:eastAsia="Arial Unicode MS"/>
                <w:lang w:val="lv-LV"/>
              </w:rPr>
            </w:pPr>
            <w:r w:rsidRPr="00115606">
              <w:rPr>
                <w:rFonts w:eastAsia="Arial Unicode MS"/>
                <w:lang w:val="lv-LV"/>
              </w:rPr>
              <w:t>Informācija par to, vai šīs tabulas B ailē minētās projekta vienības paredz stingrākas prasības nekā šīs tabulas A ailē minētās ES tiesību akta vienības.</w:t>
            </w:r>
          </w:p>
          <w:p w:rsidR="0036615E" w:rsidRPr="00115606" w:rsidRDefault="0036615E" w:rsidP="00706DDB">
            <w:pPr>
              <w:rPr>
                <w:rFonts w:eastAsia="Arial Unicode MS"/>
                <w:lang w:val="lv-LV"/>
              </w:rPr>
            </w:pPr>
          </w:p>
          <w:p w:rsidR="0036615E" w:rsidRPr="00115606" w:rsidRDefault="0036615E" w:rsidP="00706DDB">
            <w:pPr>
              <w:rPr>
                <w:rFonts w:eastAsia="Arial Unicode MS"/>
                <w:lang w:val="lv-LV"/>
              </w:rPr>
            </w:pPr>
            <w:r w:rsidRPr="00115606">
              <w:rPr>
                <w:rFonts w:eastAsia="Arial Unicode MS"/>
                <w:lang w:val="lv-LV"/>
              </w:rPr>
              <w:t xml:space="preserve">Ja projekts satur stingrākas prasības nekā attiecīgais ES tiesību </w:t>
            </w:r>
            <w:smartTag w:uri="schemas-tilde-lv/tildestengine" w:element="veidnes">
              <w:smartTagPr>
                <w:attr w:name="text" w:val="akts"/>
                <w:attr w:name="baseform" w:val="akts"/>
                <w:attr w:name="id" w:val="-1"/>
              </w:smartTagPr>
              <w:r w:rsidRPr="00115606">
                <w:rPr>
                  <w:rFonts w:eastAsia="Arial Unicode MS"/>
                  <w:lang w:val="lv-LV"/>
                </w:rPr>
                <w:t>akts</w:t>
              </w:r>
            </w:smartTag>
            <w:r w:rsidRPr="00115606">
              <w:rPr>
                <w:rFonts w:eastAsia="Arial Unicode MS"/>
                <w:lang w:val="lv-LV"/>
              </w:rPr>
              <w:t>, – norāda pamatojumu un samērīgumu.</w:t>
            </w:r>
          </w:p>
          <w:p w:rsidR="0036615E" w:rsidRPr="00115606" w:rsidRDefault="0036615E" w:rsidP="00706DDB">
            <w:pPr>
              <w:rPr>
                <w:rFonts w:eastAsia="Arial Unicode MS"/>
                <w:lang w:val="lv-LV"/>
              </w:rPr>
            </w:pPr>
          </w:p>
          <w:p w:rsidR="0036615E" w:rsidRPr="00115606" w:rsidRDefault="0036615E" w:rsidP="00706DDB">
            <w:pPr>
              <w:rPr>
                <w:rFonts w:eastAsia="Arial Unicode MS"/>
                <w:lang w:val="lv-LV"/>
              </w:rPr>
            </w:pPr>
            <w:r w:rsidRPr="00115606">
              <w:rPr>
                <w:rFonts w:eastAsia="Arial Unicode MS"/>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E05238" w:rsidRPr="00115606" w:rsidDel="0075263C" w:rsidTr="00706DDB">
        <w:trPr>
          <w:trHeight w:val="20"/>
          <w:jc w:val="center"/>
        </w:trPr>
        <w:tc>
          <w:tcPr>
            <w:tcW w:w="2061" w:type="dxa"/>
            <w:vAlign w:val="center"/>
          </w:tcPr>
          <w:p w:rsidR="00E05238" w:rsidRPr="00115606" w:rsidDel="0075263C" w:rsidRDefault="00E05238" w:rsidP="00721B80">
            <w:pPr>
              <w:jc w:val="center"/>
              <w:rPr>
                <w:rFonts w:eastAsia="Arial Unicode MS"/>
                <w:lang w:val="lv-LV"/>
              </w:rPr>
            </w:pPr>
            <w:r w:rsidRPr="00115606">
              <w:rPr>
                <w:rFonts w:eastAsia="Arial Unicode MS"/>
                <w:lang w:val="lv-LV"/>
              </w:rPr>
              <w:t>Regulas Nr.1</w:t>
            </w:r>
            <w:r w:rsidR="00721B80" w:rsidRPr="00115606">
              <w:rPr>
                <w:rFonts w:eastAsia="Arial Unicode MS"/>
                <w:lang w:val="lv-LV"/>
              </w:rPr>
              <w:t>85</w:t>
            </w:r>
            <w:r w:rsidRPr="00115606">
              <w:rPr>
                <w:rFonts w:eastAsia="Arial Unicode MS"/>
                <w:lang w:val="lv-LV"/>
              </w:rPr>
              <w:t>3/201</w:t>
            </w:r>
            <w:r w:rsidR="00721B80" w:rsidRPr="00115606">
              <w:rPr>
                <w:rFonts w:eastAsia="Arial Unicode MS"/>
                <w:lang w:val="lv-LV"/>
              </w:rPr>
              <w:t>5</w:t>
            </w:r>
            <w:r w:rsidR="009B264E" w:rsidRPr="00115606">
              <w:rPr>
                <w:rFonts w:eastAsia="Arial Unicode MS"/>
                <w:lang w:val="lv-LV"/>
              </w:rPr>
              <w:t xml:space="preserve"> </w:t>
            </w:r>
            <w:proofErr w:type="gramStart"/>
            <w:r w:rsidR="009B264E" w:rsidRPr="00115606">
              <w:rPr>
                <w:rFonts w:eastAsia="Arial Unicode MS"/>
                <w:lang w:val="lv-LV"/>
              </w:rPr>
              <w:t>1.pants</w:t>
            </w:r>
            <w:proofErr w:type="gramEnd"/>
          </w:p>
        </w:tc>
        <w:tc>
          <w:tcPr>
            <w:tcW w:w="1842" w:type="dxa"/>
            <w:shd w:val="clear" w:color="auto" w:fill="auto"/>
            <w:vAlign w:val="center"/>
          </w:tcPr>
          <w:p w:rsidR="00E05238" w:rsidRPr="00115606" w:rsidDel="0075263C" w:rsidRDefault="00BD4233" w:rsidP="00596390">
            <w:pPr>
              <w:jc w:val="center"/>
              <w:rPr>
                <w:rFonts w:eastAsia="Arial Unicode MS"/>
                <w:lang w:val="lv-LV"/>
              </w:rPr>
            </w:pPr>
            <w:r w:rsidRPr="00115606">
              <w:rPr>
                <w:rFonts w:eastAsia="Arial Unicode MS"/>
                <w:lang w:val="lv-LV"/>
              </w:rPr>
              <w:t>2.</w:t>
            </w:r>
            <w:r w:rsidR="00326A31">
              <w:rPr>
                <w:rFonts w:eastAsia="Arial Unicode MS"/>
                <w:lang w:val="lv-LV"/>
              </w:rPr>
              <w:t xml:space="preserve">, 3., 4., 5., 6. </w:t>
            </w:r>
            <w:r w:rsidRPr="00115606">
              <w:rPr>
                <w:rFonts w:eastAsia="Arial Unicode MS"/>
                <w:lang w:val="lv-LV"/>
              </w:rPr>
              <w:t>punkts</w:t>
            </w:r>
          </w:p>
        </w:tc>
        <w:tc>
          <w:tcPr>
            <w:tcW w:w="3125" w:type="dxa"/>
            <w:shd w:val="clear" w:color="auto" w:fill="auto"/>
            <w:vAlign w:val="center"/>
          </w:tcPr>
          <w:p w:rsidR="00E05238" w:rsidRPr="00115606" w:rsidDel="0075263C" w:rsidRDefault="00BD4233" w:rsidP="00706DDB">
            <w:pPr>
              <w:jc w:val="center"/>
              <w:rPr>
                <w:rFonts w:eastAsia="Arial Unicode MS"/>
                <w:lang w:val="lv-LV"/>
              </w:rPr>
            </w:pPr>
            <w:r w:rsidRPr="00115606">
              <w:rPr>
                <w:rFonts w:eastAsia="Arial Unicode MS"/>
                <w:lang w:val="lv-LV"/>
              </w:rPr>
              <w:t>Ieviests pilnībā</w:t>
            </w:r>
            <w:r w:rsidR="002251BE" w:rsidRPr="00115606">
              <w:rPr>
                <w:rFonts w:eastAsia="Arial Unicode MS"/>
                <w:lang w:val="lv-LV"/>
              </w:rPr>
              <w:t>.</w:t>
            </w:r>
          </w:p>
        </w:tc>
        <w:tc>
          <w:tcPr>
            <w:tcW w:w="1967" w:type="dxa"/>
            <w:shd w:val="clear" w:color="auto" w:fill="auto"/>
            <w:vAlign w:val="center"/>
          </w:tcPr>
          <w:p w:rsidR="00E05238" w:rsidRPr="00115606" w:rsidDel="0075263C" w:rsidRDefault="00C47642" w:rsidP="00706DDB">
            <w:pPr>
              <w:jc w:val="center"/>
              <w:rPr>
                <w:rFonts w:eastAsia="Arial Unicode MS"/>
                <w:lang w:val="lv-LV"/>
              </w:rPr>
            </w:pPr>
            <w:r w:rsidRPr="00115606">
              <w:rPr>
                <w:lang w:val="lv-LV"/>
              </w:rPr>
              <w:t>Noteikumu p</w:t>
            </w:r>
            <w:r w:rsidRPr="00115606">
              <w:rPr>
                <w:rFonts w:eastAsia="Arial Unicode MS"/>
                <w:lang w:val="lv-LV"/>
              </w:rPr>
              <w:t>rojekts</w:t>
            </w:r>
            <w:r w:rsidR="00BD4233" w:rsidRPr="00115606">
              <w:rPr>
                <w:rFonts w:eastAsia="Arial Unicode MS"/>
                <w:lang w:val="lv-LV"/>
              </w:rPr>
              <w:t xml:space="preserve"> neparedz stingrākas prasības</w:t>
            </w:r>
            <w:r w:rsidR="002251BE" w:rsidRPr="00115606">
              <w:rPr>
                <w:rFonts w:eastAsia="Arial Unicode MS"/>
                <w:lang w:val="lv-LV"/>
              </w:rPr>
              <w:t>.</w:t>
            </w:r>
          </w:p>
        </w:tc>
      </w:tr>
      <w:tr w:rsidR="00596390" w:rsidRPr="00115606" w:rsidDel="0075263C" w:rsidTr="00706DDB">
        <w:trPr>
          <w:trHeight w:val="20"/>
          <w:jc w:val="center"/>
        </w:trPr>
        <w:tc>
          <w:tcPr>
            <w:tcW w:w="2061" w:type="dxa"/>
            <w:vAlign w:val="center"/>
          </w:tcPr>
          <w:p w:rsidR="00596390" w:rsidRPr="00115606" w:rsidRDefault="00596390" w:rsidP="00596390">
            <w:pPr>
              <w:jc w:val="center"/>
              <w:rPr>
                <w:rFonts w:eastAsia="Arial Unicode MS"/>
                <w:lang w:val="lv-LV"/>
              </w:rPr>
            </w:pPr>
            <w:r w:rsidRPr="00115606">
              <w:rPr>
                <w:rFonts w:eastAsia="Arial Unicode MS"/>
                <w:lang w:val="lv-LV"/>
              </w:rPr>
              <w:t>Regulas Nr.1263/2014</w:t>
            </w:r>
          </w:p>
          <w:p w:rsidR="00596390" w:rsidRPr="00115606" w:rsidRDefault="00596390" w:rsidP="00721B80">
            <w:pPr>
              <w:jc w:val="center"/>
              <w:rPr>
                <w:rFonts w:eastAsia="Arial Unicode MS"/>
                <w:lang w:val="lv-LV"/>
              </w:rPr>
            </w:pPr>
            <w:r w:rsidRPr="00115606">
              <w:rPr>
                <w:rFonts w:eastAsia="Arial Unicode MS"/>
                <w:lang w:val="lv-LV"/>
              </w:rPr>
              <w:t>3.pant</w:t>
            </w:r>
            <w:r w:rsidR="00721B80" w:rsidRPr="00115606">
              <w:rPr>
                <w:rFonts w:eastAsia="Arial Unicode MS"/>
                <w:lang w:val="lv-LV"/>
              </w:rPr>
              <w:t>s</w:t>
            </w:r>
            <w:r w:rsidRPr="00115606">
              <w:rPr>
                <w:rFonts w:eastAsia="Arial Unicode MS"/>
                <w:lang w:val="lv-LV"/>
              </w:rPr>
              <w:t xml:space="preserve"> </w:t>
            </w:r>
          </w:p>
        </w:tc>
        <w:tc>
          <w:tcPr>
            <w:tcW w:w="1842" w:type="dxa"/>
            <w:shd w:val="clear" w:color="auto" w:fill="auto"/>
            <w:vAlign w:val="center"/>
          </w:tcPr>
          <w:p w:rsidR="00596390" w:rsidRPr="00115606" w:rsidRDefault="00326A31" w:rsidP="00596390">
            <w:pPr>
              <w:jc w:val="center"/>
              <w:rPr>
                <w:rFonts w:eastAsia="Arial Unicode MS"/>
                <w:lang w:val="lv-LV"/>
              </w:rPr>
            </w:pPr>
            <w:r>
              <w:rPr>
                <w:rFonts w:eastAsia="Arial Unicode MS"/>
                <w:lang w:val="lv-LV"/>
              </w:rPr>
              <w:t>11</w:t>
            </w:r>
            <w:r w:rsidR="00596390" w:rsidRPr="00115606">
              <w:rPr>
                <w:rFonts w:eastAsia="Arial Unicode MS"/>
                <w:lang w:val="lv-LV"/>
              </w:rPr>
              <w:t>.punkts</w:t>
            </w:r>
          </w:p>
        </w:tc>
        <w:tc>
          <w:tcPr>
            <w:tcW w:w="3125" w:type="dxa"/>
            <w:shd w:val="clear" w:color="auto" w:fill="auto"/>
            <w:vAlign w:val="center"/>
          </w:tcPr>
          <w:p w:rsidR="00596390" w:rsidRPr="00115606" w:rsidRDefault="00596390" w:rsidP="00596390">
            <w:pPr>
              <w:jc w:val="center"/>
              <w:rPr>
                <w:rFonts w:eastAsia="Arial Unicode MS"/>
                <w:lang w:val="lv-LV"/>
              </w:rPr>
            </w:pPr>
            <w:r w:rsidRPr="00115606">
              <w:rPr>
                <w:rFonts w:eastAsia="Arial Unicode MS"/>
                <w:lang w:val="lv-LV"/>
              </w:rPr>
              <w:t>Ieviests pilnībā.</w:t>
            </w:r>
          </w:p>
        </w:tc>
        <w:tc>
          <w:tcPr>
            <w:tcW w:w="1967" w:type="dxa"/>
            <w:shd w:val="clear" w:color="auto" w:fill="auto"/>
            <w:vAlign w:val="center"/>
          </w:tcPr>
          <w:p w:rsidR="00596390" w:rsidRPr="00115606" w:rsidRDefault="00596390" w:rsidP="00596390">
            <w:pPr>
              <w:jc w:val="center"/>
              <w:rPr>
                <w:lang w:val="lv-LV"/>
              </w:rPr>
            </w:pPr>
            <w:r w:rsidRPr="00115606">
              <w:rPr>
                <w:lang w:val="lv-LV"/>
              </w:rPr>
              <w:t>Noteikumu p</w:t>
            </w:r>
            <w:r w:rsidRPr="00115606">
              <w:rPr>
                <w:rFonts w:eastAsia="Arial Unicode MS"/>
                <w:lang w:val="lv-LV"/>
              </w:rPr>
              <w:t>rojekts neparedz stingrākas prasības.</w:t>
            </w:r>
          </w:p>
        </w:tc>
      </w:tr>
      <w:tr w:rsidR="00596390" w:rsidRPr="00115606" w:rsidDel="0075263C" w:rsidTr="00706DDB">
        <w:trPr>
          <w:trHeight w:val="20"/>
          <w:jc w:val="center"/>
        </w:trPr>
        <w:tc>
          <w:tcPr>
            <w:tcW w:w="2061" w:type="dxa"/>
            <w:vAlign w:val="center"/>
          </w:tcPr>
          <w:p w:rsidR="00596390" w:rsidRPr="00115606" w:rsidRDefault="00596390" w:rsidP="00596390">
            <w:pPr>
              <w:jc w:val="center"/>
              <w:rPr>
                <w:rFonts w:eastAsia="Arial Unicode MS"/>
                <w:lang w:val="lv-LV"/>
              </w:rPr>
            </w:pPr>
            <w:r w:rsidRPr="00115606">
              <w:rPr>
                <w:rFonts w:eastAsia="Arial Unicode MS"/>
                <w:lang w:val="lv-LV"/>
              </w:rPr>
              <w:t xml:space="preserve">Regulas Nr.1263/2014 </w:t>
            </w:r>
          </w:p>
          <w:p w:rsidR="00596390" w:rsidRPr="00115606" w:rsidRDefault="00596390" w:rsidP="00596390">
            <w:pPr>
              <w:jc w:val="center"/>
              <w:rPr>
                <w:rFonts w:eastAsia="Arial Unicode MS"/>
                <w:lang w:val="lv-LV"/>
              </w:rPr>
            </w:pPr>
            <w:r w:rsidRPr="00115606">
              <w:rPr>
                <w:rFonts w:eastAsia="Arial Unicode MS"/>
                <w:lang w:val="lv-LV"/>
              </w:rPr>
              <w:t>3.panta “</w:t>
            </w:r>
            <w:proofErr w:type="spellStart"/>
            <w:r w:rsidRPr="00115606">
              <w:rPr>
                <w:rFonts w:eastAsia="Arial Unicode MS"/>
                <w:lang w:val="lv-LV"/>
              </w:rPr>
              <w:t>b”punkts</w:t>
            </w:r>
            <w:proofErr w:type="spellEnd"/>
          </w:p>
        </w:tc>
        <w:tc>
          <w:tcPr>
            <w:tcW w:w="1842" w:type="dxa"/>
            <w:shd w:val="clear" w:color="auto" w:fill="auto"/>
            <w:vAlign w:val="center"/>
          </w:tcPr>
          <w:p w:rsidR="00596390" w:rsidRPr="00115606" w:rsidRDefault="00596390" w:rsidP="00596390">
            <w:pPr>
              <w:jc w:val="center"/>
              <w:rPr>
                <w:rFonts w:eastAsia="Arial Unicode MS"/>
                <w:lang w:val="lv-LV"/>
              </w:rPr>
            </w:pPr>
            <w:r w:rsidRPr="00115606">
              <w:rPr>
                <w:rFonts w:eastAsia="Arial Unicode MS"/>
                <w:lang w:val="lv-LV"/>
              </w:rPr>
              <w:t>6.punkts</w:t>
            </w:r>
          </w:p>
        </w:tc>
        <w:tc>
          <w:tcPr>
            <w:tcW w:w="3125" w:type="dxa"/>
            <w:shd w:val="clear" w:color="auto" w:fill="auto"/>
            <w:vAlign w:val="center"/>
          </w:tcPr>
          <w:p w:rsidR="00596390" w:rsidRPr="00115606" w:rsidRDefault="00596390" w:rsidP="00596390">
            <w:pPr>
              <w:jc w:val="center"/>
              <w:rPr>
                <w:rFonts w:eastAsia="Arial Unicode MS"/>
                <w:lang w:val="lv-LV"/>
              </w:rPr>
            </w:pPr>
            <w:r w:rsidRPr="00115606">
              <w:rPr>
                <w:rFonts w:eastAsia="Arial Unicode MS"/>
                <w:lang w:val="lv-LV"/>
              </w:rPr>
              <w:t>Ieviests pilnībā.</w:t>
            </w:r>
          </w:p>
        </w:tc>
        <w:tc>
          <w:tcPr>
            <w:tcW w:w="1967" w:type="dxa"/>
            <w:shd w:val="clear" w:color="auto" w:fill="auto"/>
            <w:vAlign w:val="center"/>
          </w:tcPr>
          <w:p w:rsidR="00596390" w:rsidRPr="00115606" w:rsidRDefault="00596390" w:rsidP="00596390">
            <w:pPr>
              <w:jc w:val="center"/>
              <w:rPr>
                <w:lang w:val="lv-LV"/>
              </w:rPr>
            </w:pPr>
            <w:r w:rsidRPr="00115606">
              <w:rPr>
                <w:lang w:val="lv-LV"/>
              </w:rPr>
              <w:t>Noteikumu p</w:t>
            </w:r>
            <w:r w:rsidRPr="00115606">
              <w:rPr>
                <w:rFonts w:eastAsia="Arial Unicode MS"/>
                <w:lang w:val="lv-LV"/>
              </w:rPr>
              <w:t>rojekts neparedz stingrākas prasības.</w:t>
            </w:r>
          </w:p>
        </w:tc>
      </w:tr>
      <w:tr w:rsidR="00596390" w:rsidRPr="00115606" w:rsidTr="00706DDB">
        <w:trPr>
          <w:trHeight w:val="281"/>
          <w:jc w:val="center"/>
        </w:trPr>
        <w:tc>
          <w:tcPr>
            <w:tcW w:w="2061" w:type="dxa"/>
            <w:vAlign w:val="center"/>
          </w:tcPr>
          <w:p w:rsidR="00596390" w:rsidRPr="00115606" w:rsidRDefault="00596390" w:rsidP="00596390">
            <w:pPr>
              <w:rPr>
                <w:rFonts w:eastAsia="Arial Unicode MS"/>
                <w:lang w:val="lv-LV"/>
              </w:rPr>
            </w:pPr>
            <w:r w:rsidRPr="00115606">
              <w:rPr>
                <w:rFonts w:eastAsia="Arial Unicode MS"/>
                <w:lang w:val="lv-LV"/>
              </w:rPr>
              <w:lastRenderedPageBreak/>
              <w:t>Kā ir izmantota ES tiesību aktā paredzētā rīcības brīvība dalībvalstij pārņemt vai ieviest noteiktas ES tiesību akta normas.</w:t>
            </w:r>
          </w:p>
          <w:p w:rsidR="00596390" w:rsidRPr="00115606" w:rsidRDefault="00596390" w:rsidP="00596390">
            <w:pPr>
              <w:rPr>
                <w:rFonts w:eastAsia="Arial Unicode MS"/>
                <w:lang w:val="lv-LV"/>
              </w:rPr>
            </w:pPr>
            <w:r w:rsidRPr="00115606">
              <w:rPr>
                <w:rFonts w:eastAsia="Arial Unicode MS"/>
                <w:lang w:val="lv-LV"/>
              </w:rPr>
              <w:t>Kādēļ?</w:t>
            </w:r>
          </w:p>
        </w:tc>
        <w:tc>
          <w:tcPr>
            <w:tcW w:w="6934" w:type="dxa"/>
            <w:gridSpan w:val="3"/>
          </w:tcPr>
          <w:p w:rsidR="00326A31" w:rsidRDefault="00596390" w:rsidP="00596390">
            <w:pPr>
              <w:jc w:val="both"/>
              <w:rPr>
                <w:rFonts w:eastAsia="Arial Unicode MS"/>
                <w:lang w:val="lv-LV"/>
              </w:rPr>
            </w:pPr>
            <w:r w:rsidRPr="00115606">
              <w:rPr>
                <w:lang w:val="lv-LV"/>
              </w:rPr>
              <w:t>Noteikumu p</w:t>
            </w:r>
            <w:r w:rsidRPr="00115606">
              <w:rPr>
                <w:rFonts w:eastAsia="Arial Unicode MS"/>
                <w:lang w:val="lv-LV"/>
              </w:rPr>
              <w:t>rojekta 2.</w:t>
            </w:r>
            <w:r w:rsidR="001B0E63" w:rsidRPr="00115606">
              <w:rPr>
                <w:rFonts w:eastAsia="Arial Unicode MS"/>
                <w:lang w:val="lv-LV"/>
              </w:rPr>
              <w:t>, 3.</w:t>
            </w:r>
            <w:r w:rsidR="00326A31">
              <w:rPr>
                <w:rFonts w:eastAsia="Arial Unicode MS"/>
                <w:lang w:val="lv-LV"/>
              </w:rPr>
              <w:t xml:space="preserve">, 4. un 5. </w:t>
            </w:r>
            <w:r w:rsidRPr="00115606">
              <w:rPr>
                <w:rFonts w:eastAsia="Arial Unicode MS"/>
                <w:lang w:val="lv-LV"/>
              </w:rPr>
              <w:t xml:space="preserve">punkts nosaka atbalsta </w:t>
            </w:r>
            <w:r w:rsidR="001B0E63" w:rsidRPr="00115606">
              <w:rPr>
                <w:rFonts w:eastAsia="Arial Unicode MS"/>
                <w:lang w:val="lv-LV"/>
              </w:rPr>
              <w:t xml:space="preserve">sadali starp nozarēm un atbalsta </w:t>
            </w:r>
            <w:r w:rsidRPr="00115606">
              <w:rPr>
                <w:rFonts w:eastAsia="Arial Unicode MS"/>
                <w:lang w:val="lv-LV"/>
              </w:rPr>
              <w:t xml:space="preserve">piešķiršanas kritērijus. </w:t>
            </w:r>
            <w:r w:rsidR="00326A31">
              <w:rPr>
                <w:rFonts w:eastAsia="Arial Unicode MS"/>
                <w:lang w:val="lv-LV"/>
              </w:rPr>
              <w:t>Projekta 6.punkts nosaka papildu prasību atbalsta saņēmējam reģistrēties vienotajā zemkopības nozares informācijas sistēmā, lai atvieglotu atbalsta izmaksāšanas procesu, ņemot vērā, ka liela daļa saņēmēju būs mazas saimniecības ar nelielām atbalsta summām, un</w:t>
            </w:r>
            <w:r w:rsidR="005251A0">
              <w:rPr>
                <w:rFonts w:eastAsia="Arial Unicode MS"/>
                <w:lang w:val="lv-LV"/>
              </w:rPr>
              <w:t xml:space="preserve">, </w:t>
            </w:r>
            <w:r w:rsidR="00326A31">
              <w:rPr>
                <w:rFonts w:eastAsia="Arial Unicode MS"/>
                <w:lang w:val="lv-LV"/>
              </w:rPr>
              <w:t xml:space="preserve">ņemot vērā, ka projekts neparedz iesnieguma atbalsta saņemšanai iesniegšanu. </w:t>
            </w:r>
          </w:p>
          <w:p w:rsidR="00596390" w:rsidRPr="00115606" w:rsidRDefault="00596390" w:rsidP="00596390">
            <w:pPr>
              <w:jc w:val="both"/>
              <w:rPr>
                <w:rFonts w:eastAsia="Arial Unicode MS"/>
                <w:lang w:val="lv-LV"/>
              </w:rPr>
            </w:pPr>
            <w:r w:rsidRPr="00115606">
              <w:rPr>
                <w:rFonts w:eastAsia="Arial Unicode MS"/>
                <w:lang w:val="lv-LV"/>
              </w:rPr>
              <w:t>Izvēlēto kritēriju pamatojums, arī par atbilstību Regulas Nr.1</w:t>
            </w:r>
            <w:r w:rsidR="001B0E63" w:rsidRPr="00115606">
              <w:rPr>
                <w:rFonts w:eastAsia="Arial Unicode MS"/>
                <w:lang w:val="lv-LV"/>
              </w:rPr>
              <w:t>85</w:t>
            </w:r>
            <w:r w:rsidRPr="00115606">
              <w:rPr>
                <w:rFonts w:eastAsia="Arial Unicode MS"/>
                <w:lang w:val="lv-LV"/>
              </w:rPr>
              <w:t>3/201</w:t>
            </w:r>
            <w:r w:rsidR="001B0E63" w:rsidRPr="00115606">
              <w:rPr>
                <w:rFonts w:eastAsia="Arial Unicode MS"/>
                <w:lang w:val="lv-LV"/>
              </w:rPr>
              <w:t>5</w:t>
            </w:r>
            <w:r w:rsidRPr="00115606">
              <w:rPr>
                <w:rFonts w:eastAsia="Arial Unicode MS"/>
                <w:lang w:val="lv-LV"/>
              </w:rPr>
              <w:t xml:space="preserve"> 1.pantā noteiktajām prasībām, sniegts anotācijas I sadaļas 2.punktā.</w:t>
            </w:r>
          </w:p>
          <w:p w:rsidR="00596390" w:rsidRPr="00115606" w:rsidRDefault="00596390" w:rsidP="00596390">
            <w:pPr>
              <w:jc w:val="both"/>
              <w:rPr>
                <w:rFonts w:eastAsia="Arial Unicode MS"/>
                <w:lang w:val="lv-LV"/>
              </w:rPr>
            </w:pPr>
          </w:p>
          <w:p w:rsidR="00596390" w:rsidRPr="00115606" w:rsidRDefault="00596390" w:rsidP="00596390">
            <w:pPr>
              <w:jc w:val="both"/>
              <w:rPr>
                <w:rFonts w:eastAsia="Arial Unicode MS"/>
                <w:lang w:val="lv-LV"/>
              </w:rPr>
            </w:pPr>
            <w:r w:rsidRPr="00115606">
              <w:rPr>
                <w:lang w:val="lv-LV"/>
              </w:rPr>
              <w:t>Noteikumu p</w:t>
            </w:r>
            <w:r w:rsidRPr="00115606">
              <w:rPr>
                <w:rFonts w:eastAsia="Arial Unicode MS"/>
                <w:lang w:val="lv-LV"/>
              </w:rPr>
              <w:t>rojekts neparedz piešķirt papildu atbalstu saskaņā ar Regulas Nr.1</w:t>
            </w:r>
            <w:r w:rsidR="00721B80" w:rsidRPr="00115606">
              <w:rPr>
                <w:rFonts w:eastAsia="Arial Unicode MS"/>
                <w:lang w:val="lv-LV"/>
              </w:rPr>
              <w:t>85</w:t>
            </w:r>
            <w:r w:rsidRPr="00115606">
              <w:rPr>
                <w:rFonts w:eastAsia="Arial Unicode MS"/>
                <w:lang w:val="lv-LV"/>
              </w:rPr>
              <w:t>5/201</w:t>
            </w:r>
            <w:r w:rsidR="00721B80" w:rsidRPr="00115606">
              <w:rPr>
                <w:rFonts w:eastAsia="Arial Unicode MS"/>
                <w:lang w:val="lv-LV"/>
              </w:rPr>
              <w:t>5</w:t>
            </w:r>
            <w:r w:rsidRPr="00115606">
              <w:rPr>
                <w:rFonts w:eastAsia="Arial Unicode MS"/>
                <w:lang w:val="lv-LV"/>
              </w:rPr>
              <w:t xml:space="preserve"> 2.pantu.</w:t>
            </w:r>
          </w:p>
        </w:tc>
      </w:tr>
      <w:tr w:rsidR="00596390" w:rsidRPr="00115606" w:rsidTr="00706DDB">
        <w:trPr>
          <w:trHeight w:val="913"/>
          <w:jc w:val="center"/>
        </w:trPr>
        <w:tc>
          <w:tcPr>
            <w:tcW w:w="2061" w:type="dxa"/>
            <w:vAlign w:val="center"/>
          </w:tcPr>
          <w:p w:rsidR="00596390" w:rsidRPr="00115606" w:rsidRDefault="00596390" w:rsidP="00596390">
            <w:pPr>
              <w:rPr>
                <w:rFonts w:eastAsia="Arial Unicode MS"/>
                <w:lang w:val="lv-LV"/>
              </w:rPr>
            </w:pPr>
            <w:r w:rsidRPr="00115606">
              <w:rPr>
                <w:rFonts w:eastAsia="Arial Unicode MS"/>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34" w:type="dxa"/>
            <w:gridSpan w:val="3"/>
          </w:tcPr>
          <w:p w:rsidR="00596390" w:rsidRPr="00115606" w:rsidRDefault="00596390" w:rsidP="00596390">
            <w:pPr>
              <w:rPr>
                <w:rFonts w:eastAsia="Arial Unicode MS"/>
                <w:lang w:val="lv-LV"/>
              </w:rPr>
            </w:pPr>
            <w:r w:rsidRPr="00115606">
              <w:rPr>
                <w:lang w:val="lv-LV"/>
              </w:rPr>
              <w:t>Noteikumu projekts</w:t>
            </w:r>
            <w:r w:rsidRPr="00115606">
              <w:rPr>
                <w:rFonts w:eastAsia="Arial Unicode MS"/>
                <w:lang w:val="lv-LV"/>
              </w:rPr>
              <w:t xml:space="preserve"> šo jomu neskar.</w:t>
            </w:r>
          </w:p>
        </w:tc>
      </w:tr>
      <w:tr w:rsidR="00596390" w:rsidRPr="00115606" w:rsidTr="00706DDB">
        <w:trPr>
          <w:trHeight w:val="579"/>
          <w:jc w:val="center"/>
        </w:trPr>
        <w:tc>
          <w:tcPr>
            <w:tcW w:w="2061" w:type="dxa"/>
          </w:tcPr>
          <w:p w:rsidR="00596390" w:rsidRPr="00115606" w:rsidRDefault="00596390" w:rsidP="00596390">
            <w:pPr>
              <w:rPr>
                <w:rFonts w:eastAsia="Arial Unicode MS"/>
                <w:lang w:val="lv-LV"/>
              </w:rPr>
            </w:pPr>
            <w:r w:rsidRPr="00115606">
              <w:rPr>
                <w:rFonts w:eastAsia="Arial Unicode MS"/>
                <w:lang w:val="lv-LV"/>
              </w:rPr>
              <w:t>Cita informācija</w:t>
            </w:r>
          </w:p>
        </w:tc>
        <w:tc>
          <w:tcPr>
            <w:tcW w:w="6934" w:type="dxa"/>
            <w:gridSpan w:val="3"/>
          </w:tcPr>
          <w:p w:rsidR="00596390" w:rsidRPr="00115606" w:rsidRDefault="00596390" w:rsidP="00596390">
            <w:pPr>
              <w:rPr>
                <w:rFonts w:eastAsia="Arial Unicode MS"/>
                <w:lang w:val="lv-LV"/>
              </w:rPr>
            </w:pPr>
            <w:r w:rsidRPr="00115606">
              <w:rPr>
                <w:rFonts w:eastAsia="Arial Unicode MS"/>
                <w:lang w:val="lv-LV"/>
              </w:rPr>
              <w:t>Nav</w:t>
            </w:r>
          </w:p>
        </w:tc>
      </w:tr>
    </w:tbl>
    <w:p w:rsidR="0036615E" w:rsidRPr="00115606" w:rsidRDefault="0036615E" w:rsidP="00706DDB">
      <w:pPr>
        <w:pStyle w:val="naisf"/>
        <w:spacing w:before="0" w:beforeAutospacing="0" w:after="0" w:afterAutospacing="0"/>
        <w:rPr>
          <w:lang w:val="lv-LV"/>
        </w:rPr>
      </w:pPr>
    </w:p>
    <w:p w:rsidR="0036615E" w:rsidRPr="00115606" w:rsidRDefault="0036615E" w:rsidP="00706DDB">
      <w:pPr>
        <w:pStyle w:val="naisf"/>
        <w:spacing w:before="0" w:beforeAutospacing="0" w:after="0" w:afterAutospacing="0"/>
        <w:rPr>
          <w:lang w:val="lv-LV"/>
        </w:rPr>
      </w:pP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52"/>
        <w:gridCol w:w="5801"/>
      </w:tblGrid>
      <w:tr w:rsidR="009A332E" w:rsidRPr="00FE3D7C" w:rsidTr="00414978">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jc w:val="center"/>
              <w:rPr>
                <w:b/>
                <w:bCs/>
                <w:lang w:val="lv-LV"/>
              </w:rPr>
            </w:pPr>
            <w:r w:rsidRPr="00115606">
              <w:rPr>
                <w:b/>
                <w:bCs/>
                <w:lang w:val="lv-LV"/>
              </w:rPr>
              <w:t>VI. Sabiedrības līdzdalība un komunikācijas aktivitātes</w:t>
            </w:r>
          </w:p>
        </w:tc>
      </w:tr>
      <w:tr w:rsidR="009A332E" w:rsidRPr="00FE3D7C"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Plānotās sabiedrības līdzdalības un komunikācijas aktivitātes saistībā ar projektu</w:t>
            </w:r>
          </w:p>
        </w:tc>
        <w:tc>
          <w:tcPr>
            <w:tcW w:w="3328" w:type="pct"/>
            <w:tcBorders>
              <w:top w:val="outset" w:sz="6" w:space="0" w:color="000000"/>
              <w:left w:val="outset" w:sz="6" w:space="0" w:color="000000"/>
              <w:bottom w:val="outset" w:sz="6" w:space="0" w:color="000000"/>
              <w:right w:val="outset" w:sz="6" w:space="0" w:color="000000"/>
            </w:tcBorders>
          </w:tcPr>
          <w:p w:rsidR="009A332E" w:rsidRPr="00115606" w:rsidRDefault="005251A0" w:rsidP="00F41311">
            <w:pPr>
              <w:pStyle w:val="naisf"/>
              <w:spacing w:before="0" w:beforeAutospacing="0" w:after="0" w:afterAutospacing="0"/>
              <w:rPr>
                <w:lang w:val="lv-LV"/>
              </w:rPr>
            </w:pPr>
            <w:r w:rsidRPr="00115606">
              <w:rPr>
                <w:lang w:val="lv-LV"/>
              </w:rPr>
              <w:t xml:space="preserve">Sagatavotais projekts izsūtīts iepriekšminētajām organizācijām </w:t>
            </w:r>
            <w:r>
              <w:rPr>
                <w:lang w:val="lv-LV"/>
              </w:rPr>
              <w:t>vienlaikus ar projekta virzīšanu saskaņošanai ministrijām saskaņā ar Ministru kabineta Kārtības ruļļa 11</w:t>
            </w:r>
            <w:r w:rsidR="00E62C77">
              <w:rPr>
                <w:lang w:val="lv-LV"/>
              </w:rPr>
              <w:t>6. un 11</w:t>
            </w:r>
            <w:r>
              <w:rPr>
                <w:lang w:val="lv-LV"/>
              </w:rPr>
              <w:t xml:space="preserve">7.punktu.  </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Sabiedrības līdzdalība projekta izstrādē</w:t>
            </w:r>
          </w:p>
        </w:tc>
        <w:tc>
          <w:tcPr>
            <w:tcW w:w="3328" w:type="pct"/>
            <w:tcBorders>
              <w:top w:val="outset" w:sz="6" w:space="0" w:color="000000"/>
              <w:left w:val="outset" w:sz="6" w:space="0" w:color="000000"/>
              <w:bottom w:val="outset" w:sz="6" w:space="0" w:color="000000"/>
              <w:right w:val="outset" w:sz="6" w:space="0" w:color="000000"/>
            </w:tcBorders>
          </w:tcPr>
          <w:p w:rsidR="001B0E63" w:rsidRPr="00115606" w:rsidRDefault="001B0E63" w:rsidP="00706DDB">
            <w:pPr>
              <w:pStyle w:val="naisf"/>
              <w:spacing w:before="0" w:beforeAutospacing="0" w:after="0" w:afterAutospacing="0"/>
              <w:rPr>
                <w:lang w:val="lv-LV"/>
              </w:rPr>
            </w:pPr>
            <w:r w:rsidRPr="00115606">
              <w:rPr>
                <w:lang w:val="lv-LV"/>
              </w:rPr>
              <w:t>2015.gada 25.septembrī nosūtīja vēstuli galvenajām lauksaimnieku nevalstiskajām organizācijām – Lauksaimnieku organizāciju sadarbība Padomei (LOSP), Zemnieku Saeimai (ZSA), Latvijas lauksaimnie</w:t>
            </w:r>
            <w:r w:rsidR="00AB2DC0">
              <w:rPr>
                <w:lang w:val="lv-LV"/>
              </w:rPr>
              <w:t>c</w:t>
            </w:r>
            <w:r w:rsidRPr="00115606">
              <w:rPr>
                <w:lang w:val="lv-LV"/>
              </w:rPr>
              <w:t>ības kooperatīvu asociācijai (LLKA) un Latvijas Cūku audzētāju asociācijai (LCAA), lūdzot sniegt priekšlikumus atbalsta sadalei starp nozarēm un atbalsta piešķiršanai ražotājiem nozaru iekšienē. Termiņš priekšlikumiem bija noteikts 01.10.2015.</w:t>
            </w:r>
          </w:p>
          <w:p w:rsidR="001B0E63" w:rsidRPr="00115606" w:rsidRDefault="001B0E63" w:rsidP="00706DDB">
            <w:pPr>
              <w:pStyle w:val="naisf"/>
              <w:spacing w:before="0" w:beforeAutospacing="0" w:after="0" w:afterAutospacing="0"/>
              <w:rPr>
                <w:lang w:val="lv-LV"/>
              </w:rPr>
            </w:pPr>
            <w:r w:rsidRPr="00115606">
              <w:rPr>
                <w:lang w:val="lv-LV"/>
              </w:rPr>
              <w:t xml:space="preserve">Priekšlikumus iesniedza 7 organizācijas (tai skaitā </w:t>
            </w:r>
            <w:r w:rsidR="00EF2B72" w:rsidRPr="00115606">
              <w:rPr>
                <w:lang w:val="lv-LV"/>
              </w:rPr>
              <w:t xml:space="preserve">3 iepriekšminēto organizāciju biedru organizācijas). </w:t>
            </w:r>
          </w:p>
          <w:p w:rsidR="00EF2B72" w:rsidRDefault="00EF2B72" w:rsidP="00706DDB">
            <w:pPr>
              <w:pStyle w:val="naisf"/>
              <w:spacing w:before="0" w:beforeAutospacing="0" w:after="0" w:afterAutospacing="0"/>
              <w:rPr>
                <w:lang w:val="lv-LV"/>
              </w:rPr>
            </w:pPr>
            <w:r w:rsidRPr="00115606">
              <w:rPr>
                <w:lang w:val="lv-LV"/>
              </w:rPr>
              <w:lastRenderedPageBreak/>
              <w:t xml:space="preserve">Zemkopības ministrija veica </w:t>
            </w:r>
            <w:r w:rsidR="005251A0">
              <w:rPr>
                <w:lang w:val="lv-LV"/>
              </w:rPr>
              <w:t xml:space="preserve">provizoriskos </w:t>
            </w:r>
            <w:r w:rsidRPr="00115606">
              <w:rPr>
                <w:lang w:val="lv-LV"/>
              </w:rPr>
              <w:t xml:space="preserve">aprēķinus par provizoriskiem finansējuma apmēriem un atbalsta likmēm katram no piedāvātajiem atbalsta sadales variantiem, un š.g. 27.oktobrī nosūtīja šos aprēķinus izvērtēšanai LOSP, ZSA, LLKA un LCAA. </w:t>
            </w:r>
          </w:p>
          <w:p w:rsidR="00644905" w:rsidRPr="00115606" w:rsidRDefault="005251A0" w:rsidP="005251A0">
            <w:pPr>
              <w:pStyle w:val="naisf"/>
              <w:spacing w:before="0" w:beforeAutospacing="0" w:after="0" w:afterAutospacing="0"/>
              <w:rPr>
                <w:lang w:val="lv-LV"/>
              </w:rPr>
            </w:pPr>
            <w:r>
              <w:rPr>
                <w:lang w:val="lv-LV"/>
              </w:rPr>
              <w:t xml:space="preserve">2015.gada 4.novembrī notika Lauksaimnieku </w:t>
            </w:r>
            <w:r w:rsidR="00644905">
              <w:rPr>
                <w:lang w:val="lv-LV"/>
              </w:rPr>
              <w:t xml:space="preserve">nevalstisko organizāciju </w:t>
            </w:r>
            <w:r>
              <w:rPr>
                <w:lang w:val="lv-LV"/>
              </w:rPr>
              <w:t>konsultatīvās padomes sēde, kurā piedalījās lauksaimnieku nevalstisko organizāciju pārstāvji (izņemot Latvijas cūk</w:t>
            </w:r>
            <w:r w:rsidR="009705C3">
              <w:rPr>
                <w:lang w:val="lv-LV"/>
              </w:rPr>
              <w:t xml:space="preserve">u </w:t>
            </w:r>
            <w:r>
              <w:rPr>
                <w:lang w:val="lv-LV"/>
              </w:rPr>
              <w:t>audzētāju asociāciju), un tika pieaicināts zemkopības ministrs. Sēdē tika izskatīti Zemkopības ministrijas sagatavoti atbalsta sadales varianti.</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lastRenderedPageBreak/>
              <w:t>3.</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Sabiedrības līdzdalības rezultāti</w:t>
            </w:r>
          </w:p>
        </w:tc>
        <w:tc>
          <w:tcPr>
            <w:tcW w:w="3328" w:type="pct"/>
            <w:tcBorders>
              <w:top w:val="outset" w:sz="6" w:space="0" w:color="000000"/>
              <w:left w:val="outset" w:sz="6" w:space="0" w:color="000000"/>
              <w:bottom w:val="outset" w:sz="6" w:space="0" w:color="000000"/>
              <w:right w:val="outset" w:sz="6" w:space="0" w:color="000000"/>
            </w:tcBorders>
          </w:tcPr>
          <w:p w:rsidR="005251A0" w:rsidRDefault="00644905" w:rsidP="005251A0">
            <w:pPr>
              <w:pStyle w:val="naisf"/>
              <w:spacing w:before="0" w:beforeAutospacing="0" w:after="0" w:afterAutospacing="0"/>
              <w:rPr>
                <w:lang w:val="lv-LV"/>
              </w:rPr>
            </w:pPr>
            <w:r>
              <w:rPr>
                <w:lang w:val="lv-LV"/>
              </w:rPr>
              <w:t>Š.</w:t>
            </w:r>
            <w:r w:rsidR="005251A0">
              <w:rPr>
                <w:lang w:val="lv-LV"/>
              </w:rPr>
              <w:t xml:space="preserve">g. </w:t>
            </w:r>
            <w:r w:rsidR="005251A0" w:rsidRPr="00115606">
              <w:rPr>
                <w:lang w:val="lv-LV"/>
              </w:rPr>
              <w:t xml:space="preserve">4.novembra Lauksaimnieku </w:t>
            </w:r>
            <w:r>
              <w:rPr>
                <w:lang w:val="lv-LV"/>
              </w:rPr>
              <w:t>nevalstisko organizāciju konsultatīvās p</w:t>
            </w:r>
            <w:r w:rsidR="005251A0" w:rsidRPr="00115606">
              <w:rPr>
                <w:lang w:val="lv-LV"/>
              </w:rPr>
              <w:t>adomes sēdē</w:t>
            </w:r>
            <w:r w:rsidR="009705C3">
              <w:rPr>
                <w:lang w:val="lv-LV"/>
              </w:rPr>
              <w:t xml:space="preserve"> tika panākta vienošanās, ka </w:t>
            </w:r>
            <w:r w:rsidR="005251A0">
              <w:rPr>
                <w:lang w:val="lv-LV"/>
              </w:rPr>
              <w:t xml:space="preserve">piena ražotājiem </w:t>
            </w:r>
            <w:r w:rsidR="009705C3">
              <w:rPr>
                <w:lang w:val="lv-LV"/>
              </w:rPr>
              <w:t xml:space="preserve">atbalstu jāpiešķir </w:t>
            </w:r>
            <w:r w:rsidR="005251A0">
              <w:rPr>
                <w:lang w:val="lv-LV"/>
              </w:rPr>
              <w:t xml:space="preserve">par pārstrādei piegādāto pienu (saskaņā ar projekta nosacījumiem), savukārt cūku ganāmpulku īpašniekiem maksāt tikai par realizētām vai eksportētām cūkām. </w:t>
            </w:r>
          </w:p>
          <w:p w:rsidR="009705C3" w:rsidRDefault="009705C3" w:rsidP="005251A0">
            <w:pPr>
              <w:pStyle w:val="naisf"/>
              <w:spacing w:before="0" w:beforeAutospacing="0" w:after="0" w:afterAutospacing="0"/>
              <w:rPr>
                <w:lang w:val="lv-LV"/>
              </w:rPr>
            </w:pPr>
            <w:r>
              <w:rPr>
                <w:lang w:val="lv-LV"/>
              </w:rPr>
              <w:t>Tā kā Latvijas cūku audzētāju asociācija nepiedalījās 4.novembra sēdē, tā š.g. 10.novembrī iesniedza Zemkopības ministrijai vēstuli, norādot, ka atbalsts jāpiešķir par sivēnmātēm, ja to skaits ir vismaz 5, un par realizētām un eksportētām cūkām, ja to skaits ir vismaz 10, turklāt, ja atbalsts ir piešķirts par sivēnmāti, tad tam pašam ražotājam nepienākas atbalsts par realizētām cūkām.</w:t>
            </w:r>
          </w:p>
          <w:p w:rsidR="009A332E" w:rsidRPr="00115606" w:rsidRDefault="009705C3" w:rsidP="009705C3">
            <w:pPr>
              <w:pStyle w:val="naisf"/>
              <w:spacing w:before="0" w:beforeAutospacing="0" w:after="0" w:afterAutospacing="0"/>
              <w:rPr>
                <w:lang w:val="lv-LV"/>
              </w:rPr>
            </w:pPr>
            <w:r>
              <w:rPr>
                <w:lang w:val="lv-LV"/>
              </w:rPr>
              <w:t>Projektā ir ņemts vērā šis organizācijas priekšlikums.</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4.</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Nav</w:t>
            </w:r>
            <w:r w:rsidR="00C47642" w:rsidRPr="00115606">
              <w:rPr>
                <w:lang w:val="lv-LV"/>
              </w:rPr>
              <w:t>.</w:t>
            </w:r>
          </w:p>
        </w:tc>
      </w:tr>
    </w:tbl>
    <w:p w:rsidR="009A332E" w:rsidRPr="00115606" w:rsidRDefault="009A332E" w:rsidP="00706DDB">
      <w:pPr>
        <w:pStyle w:val="naisf"/>
        <w:spacing w:before="0" w:beforeAutospacing="0" w:after="0" w:afterAutospacing="0"/>
        <w:rPr>
          <w:lang w:val="lv-LV"/>
        </w:rPr>
      </w:pPr>
    </w:p>
    <w:p w:rsidR="009A332E" w:rsidRPr="00115606" w:rsidRDefault="009A332E" w:rsidP="00706DDB">
      <w:pPr>
        <w:pStyle w:val="naisf"/>
        <w:spacing w:before="0" w:beforeAutospacing="0" w:after="0" w:afterAutospacing="0"/>
        <w:rPr>
          <w:lang w:val="lv-LV"/>
        </w:rPr>
      </w:pPr>
    </w:p>
    <w:tbl>
      <w:tblPr>
        <w:tblW w:w="4813" w:type="pct"/>
        <w:tblInd w:w="17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3"/>
        <w:gridCol w:w="2352"/>
        <w:gridCol w:w="5801"/>
      </w:tblGrid>
      <w:tr w:rsidR="009A332E" w:rsidRPr="00FE3D7C" w:rsidTr="00414978">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b/>
                <w:bCs/>
                <w:lang w:val="lv-LV"/>
              </w:rPr>
            </w:pPr>
            <w:r w:rsidRPr="00115606">
              <w:rPr>
                <w:b/>
                <w:bCs/>
                <w:lang w:val="lv-LV"/>
              </w:rPr>
              <w:t>VII. Tiesību akta projekta izpildes nodrošināšana un tās ietekme uz institūcijām</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1.</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Projekta izpildē iesaistītās institūcijas</w:t>
            </w:r>
          </w:p>
        </w:tc>
        <w:tc>
          <w:tcPr>
            <w:tcW w:w="3328" w:type="pct"/>
            <w:tcBorders>
              <w:top w:val="outset" w:sz="6" w:space="0" w:color="000000"/>
              <w:left w:val="outset" w:sz="6" w:space="0" w:color="000000"/>
              <w:bottom w:val="outset" w:sz="6" w:space="0" w:color="000000"/>
              <w:right w:val="outset" w:sz="6" w:space="0" w:color="000000"/>
            </w:tcBorders>
          </w:tcPr>
          <w:p w:rsidR="009A332E" w:rsidRPr="00115606" w:rsidRDefault="00533138" w:rsidP="002147B7">
            <w:pPr>
              <w:pStyle w:val="naisf"/>
              <w:spacing w:before="0" w:beforeAutospacing="0" w:after="0" w:afterAutospacing="0"/>
              <w:rPr>
                <w:lang w:val="lv-LV"/>
              </w:rPr>
            </w:pPr>
            <w:r w:rsidRPr="00115606">
              <w:rPr>
                <w:lang w:val="lv-LV"/>
              </w:rPr>
              <w:t>L</w:t>
            </w:r>
            <w:r w:rsidR="002147B7" w:rsidRPr="00115606">
              <w:rPr>
                <w:lang w:val="lv-LV"/>
              </w:rPr>
              <w:t>auku atbalsta dienests</w:t>
            </w:r>
            <w:r w:rsidRPr="00115606">
              <w:rPr>
                <w:lang w:val="lv-LV"/>
              </w:rPr>
              <w:t xml:space="preserve"> un </w:t>
            </w:r>
            <w:r w:rsidR="0075263C" w:rsidRPr="00115606">
              <w:rPr>
                <w:lang w:val="lv-LV"/>
              </w:rPr>
              <w:t>Lauksaimniecības datu centrs</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2.</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 xml:space="preserve">Projekta izpildes ietekme uz pārvaldes funkcijām un institucionālo struktūru. </w:t>
            </w:r>
          </w:p>
          <w:p w:rsidR="009A332E" w:rsidRPr="00115606" w:rsidRDefault="009A332E" w:rsidP="00706DDB">
            <w:pPr>
              <w:pStyle w:val="naisf"/>
              <w:spacing w:before="0" w:beforeAutospacing="0" w:after="0" w:afterAutospacing="0"/>
              <w:rPr>
                <w:lang w:val="lv-LV"/>
              </w:rPr>
            </w:pPr>
            <w:r w:rsidRPr="00115606">
              <w:rPr>
                <w:lang w:val="lv-LV"/>
              </w:rPr>
              <w:t>Jaunu institūciju izveide, esošu institūciju likvidācija vai reorganizācija, to ietekme uz institūcijas cilvēkresursiem</w:t>
            </w:r>
          </w:p>
        </w:tc>
        <w:tc>
          <w:tcPr>
            <w:tcW w:w="3328"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Projekts šo jomu neskar.</w:t>
            </w:r>
          </w:p>
        </w:tc>
      </w:tr>
      <w:tr w:rsidR="009A332E" w:rsidRPr="00115606" w:rsidTr="00414978">
        <w:tc>
          <w:tcPr>
            <w:tcW w:w="323"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3.</w:t>
            </w:r>
          </w:p>
        </w:tc>
        <w:tc>
          <w:tcPr>
            <w:tcW w:w="1349"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Cita informācija</w:t>
            </w:r>
          </w:p>
        </w:tc>
        <w:tc>
          <w:tcPr>
            <w:tcW w:w="3328" w:type="pct"/>
            <w:tcBorders>
              <w:top w:val="outset" w:sz="6" w:space="0" w:color="000000"/>
              <w:left w:val="outset" w:sz="6" w:space="0" w:color="000000"/>
              <w:bottom w:val="outset" w:sz="6" w:space="0" w:color="000000"/>
              <w:right w:val="outset" w:sz="6" w:space="0" w:color="000000"/>
            </w:tcBorders>
          </w:tcPr>
          <w:p w:rsidR="009A332E" w:rsidRPr="00115606" w:rsidRDefault="009A332E" w:rsidP="00706DDB">
            <w:pPr>
              <w:pStyle w:val="naisf"/>
              <w:spacing w:before="0" w:beforeAutospacing="0" w:after="0" w:afterAutospacing="0"/>
              <w:rPr>
                <w:lang w:val="lv-LV"/>
              </w:rPr>
            </w:pPr>
            <w:r w:rsidRPr="00115606">
              <w:rPr>
                <w:lang w:val="lv-LV"/>
              </w:rPr>
              <w:t>Nav.</w:t>
            </w:r>
          </w:p>
        </w:tc>
      </w:tr>
    </w:tbl>
    <w:p w:rsidR="0087436B" w:rsidRPr="00115606" w:rsidRDefault="0087436B" w:rsidP="00706DDB">
      <w:pPr>
        <w:pStyle w:val="naisf"/>
        <w:spacing w:before="0" w:beforeAutospacing="0" w:after="0" w:afterAutospacing="0"/>
        <w:rPr>
          <w:lang w:val="lv-LV"/>
        </w:rPr>
      </w:pPr>
    </w:p>
    <w:p w:rsidR="00683260" w:rsidRPr="00115606" w:rsidRDefault="00683260" w:rsidP="00DD3CA9">
      <w:pPr>
        <w:pStyle w:val="naisf"/>
        <w:spacing w:before="0" w:beforeAutospacing="0" w:after="0" w:afterAutospacing="0"/>
        <w:rPr>
          <w:lang w:val="lv-LV"/>
        </w:rPr>
      </w:pPr>
      <w:r w:rsidRPr="00115606">
        <w:rPr>
          <w:lang w:val="lv-LV"/>
        </w:rPr>
        <w:t>Zemkopības mi</w:t>
      </w:r>
      <w:r w:rsidR="00335733" w:rsidRPr="00115606">
        <w:rPr>
          <w:lang w:val="lv-LV"/>
        </w:rPr>
        <w:t>nistr</w:t>
      </w:r>
      <w:r w:rsidR="00F41311">
        <w:rPr>
          <w:lang w:val="lv-LV"/>
        </w:rPr>
        <w:t>s</w:t>
      </w:r>
      <w:r w:rsidR="00F41311">
        <w:rPr>
          <w:lang w:val="lv-LV"/>
        </w:rPr>
        <w:tab/>
      </w:r>
      <w:r w:rsidR="00F41311">
        <w:rPr>
          <w:lang w:val="lv-LV"/>
        </w:rPr>
        <w:tab/>
      </w:r>
      <w:r w:rsidR="00F41311">
        <w:rPr>
          <w:lang w:val="lv-LV"/>
        </w:rPr>
        <w:tab/>
      </w:r>
      <w:r w:rsidR="00BE6E76">
        <w:rPr>
          <w:lang w:val="lv-LV"/>
        </w:rPr>
        <w:tab/>
      </w:r>
      <w:r w:rsidR="00F41311">
        <w:rPr>
          <w:lang w:val="lv-LV"/>
        </w:rPr>
        <w:tab/>
      </w:r>
      <w:r w:rsidR="00F41311">
        <w:rPr>
          <w:lang w:val="lv-LV"/>
        </w:rPr>
        <w:tab/>
      </w:r>
      <w:r w:rsidR="00F41311">
        <w:rPr>
          <w:lang w:val="lv-LV"/>
        </w:rPr>
        <w:tab/>
      </w:r>
      <w:r w:rsidR="00F41311">
        <w:rPr>
          <w:lang w:val="lv-LV"/>
        </w:rPr>
        <w:tab/>
      </w:r>
      <w:r w:rsidRPr="00115606">
        <w:rPr>
          <w:lang w:val="lv-LV"/>
        </w:rPr>
        <w:tab/>
      </w:r>
      <w:proofErr w:type="spellStart"/>
      <w:r w:rsidR="00F41311">
        <w:rPr>
          <w:lang w:val="lv-LV"/>
        </w:rPr>
        <w:t>J.Dūklavs</w:t>
      </w:r>
      <w:proofErr w:type="spellEnd"/>
    </w:p>
    <w:p w:rsidR="00683260" w:rsidRPr="00115606" w:rsidRDefault="00683260" w:rsidP="00706DDB">
      <w:pPr>
        <w:pStyle w:val="naisf"/>
        <w:spacing w:before="0" w:beforeAutospacing="0" w:after="0" w:afterAutospacing="0"/>
        <w:rPr>
          <w:lang w:val="lv-LV"/>
        </w:rPr>
      </w:pPr>
    </w:p>
    <w:p w:rsidR="00683260" w:rsidRPr="00115606" w:rsidRDefault="00683260" w:rsidP="00706DDB">
      <w:pPr>
        <w:pStyle w:val="naisf"/>
        <w:spacing w:before="0" w:beforeAutospacing="0" w:after="0" w:afterAutospacing="0"/>
        <w:rPr>
          <w:lang w:val="lv-LV"/>
        </w:rPr>
      </w:pPr>
    </w:p>
    <w:p w:rsidR="00262109" w:rsidRDefault="00262109" w:rsidP="00706DDB">
      <w:pPr>
        <w:pStyle w:val="naisf"/>
        <w:spacing w:before="0" w:beforeAutospacing="0" w:after="0" w:afterAutospacing="0"/>
        <w:rPr>
          <w:sz w:val="20"/>
          <w:szCs w:val="20"/>
          <w:lang w:val="lv-LV"/>
        </w:rPr>
      </w:pPr>
      <w:r>
        <w:rPr>
          <w:sz w:val="20"/>
          <w:szCs w:val="20"/>
          <w:lang w:val="lv-LV"/>
        </w:rPr>
        <w:t>24.11.2015. 9:22</w:t>
      </w:r>
    </w:p>
    <w:p w:rsidR="00262109" w:rsidRDefault="00262109" w:rsidP="00706DDB">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2474</w:t>
      </w:r>
      <w:r>
        <w:rPr>
          <w:sz w:val="20"/>
          <w:szCs w:val="20"/>
          <w:lang w:val="lv-LV"/>
        </w:rPr>
        <w:fldChar w:fldCharType="end"/>
      </w:r>
    </w:p>
    <w:p w:rsidR="004242BE" w:rsidRPr="00115606" w:rsidRDefault="00497DA6" w:rsidP="00706DDB">
      <w:pPr>
        <w:pStyle w:val="naisf"/>
        <w:spacing w:before="0" w:beforeAutospacing="0" w:after="0" w:afterAutospacing="0"/>
        <w:rPr>
          <w:sz w:val="20"/>
          <w:szCs w:val="20"/>
          <w:lang w:val="lv-LV"/>
        </w:rPr>
      </w:pPr>
      <w:bookmarkStart w:id="2" w:name="_GoBack"/>
      <w:bookmarkEnd w:id="2"/>
      <w:r w:rsidRPr="00115606">
        <w:rPr>
          <w:sz w:val="20"/>
          <w:szCs w:val="20"/>
          <w:lang w:val="lv-LV"/>
        </w:rPr>
        <w:t>I.Orlova</w:t>
      </w:r>
    </w:p>
    <w:p w:rsidR="004242BE" w:rsidRPr="00115606" w:rsidRDefault="00497DA6" w:rsidP="00706DDB">
      <w:pPr>
        <w:pStyle w:val="naisf"/>
        <w:spacing w:before="0" w:beforeAutospacing="0" w:after="0" w:afterAutospacing="0"/>
        <w:rPr>
          <w:sz w:val="20"/>
          <w:szCs w:val="20"/>
          <w:lang w:val="lv-LV"/>
        </w:rPr>
      </w:pPr>
      <w:r w:rsidRPr="00115606">
        <w:rPr>
          <w:sz w:val="20"/>
          <w:szCs w:val="20"/>
          <w:lang w:val="lv-LV"/>
        </w:rPr>
        <w:t>67027376</w:t>
      </w:r>
      <w:r w:rsidR="004242BE" w:rsidRPr="00115606">
        <w:rPr>
          <w:sz w:val="20"/>
          <w:szCs w:val="20"/>
          <w:lang w:val="lv-LV"/>
        </w:rPr>
        <w:t xml:space="preserve">, </w:t>
      </w:r>
      <w:r w:rsidRPr="00115606">
        <w:rPr>
          <w:sz w:val="20"/>
          <w:szCs w:val="20"/>
          <w:lang w:val="lv-LV"/>
        </w:rPr>
        <w:t>Inga.Orlova</w:t>
      </w:r>
      <w:r w:rsidR="00ED5261" w:rsidRPr="00115606">
        <w:rPr>
          <w:sz w:val="20"/>
          <w:szCs w:val="20"/>
          <w:lang w:val="lv-LV"/>
        </w:rPr>
        <w:t>@zm.gov.lv</w:t>
      </w:r>
      <w:bookmarkEnd w:id="0"/>
      <w:bookmarkEnd w:id="1"/>
    </w:p>
    <w:sectPr w:rsidR="004242BE" w:rsidRPr="00115606" w:rsidSect="00BE6E76">
      <w:headerReference w:type="even" r:id="rId8"/>
      <w:headerReference w:type="default" r:id="rId9"/>
      <w:footerReference w:type="default" r:id="rId10"/>
      <w:footerReference w:type="first" r:id="rId11"/>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BC" w:rsidRDefault="00FD4CBC" w:rsidP="002232F9">
      <w:r>
        <w:separator/>
      </w:r>
    </w:p>
  </w:endnote>
  <w:endnote w:type="continuationSeparator" w:id="0">
    <w:p w:rsidR="00FD4CBC" w:rsidRDefault="00FD4CBC"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FC" w:rsidRPr="00BE6E76" w:rsidRDefault="00E26AFC" w:rsidP="002232F9">
    <w:pPr>
      <w:pStyle w:val="Bezatstarpm"/>
      <w:jc w:val="both"/>
    </w:pPr>
    <w:r>
      <w:rPr>
        <w:sz w:val="20"/>
        <w:szCs w:val="20"/>
        <w:lang w:val="lv-LV"/>
      </w:rPr>
      <w:t>ZMAnot_</w:t>
    </w:r>
    <w:r w:rsidR="005C4102">
      <w:rPr>
        <w:sz w:val="20"/>
        <w:szCs w:val="20"/>
        <w:lang w:val="lv-LV"/>
      </w:rPr>
      <w:t>2</w:t>
    </w:r>
    <w:r w:rsidR="003D2C2C">
      <w:rPr>
        <w:sz w:val="20"/>
        <w:szCs w:val="20"/>
        <w:lang w:val="lv-LV"/>
      </w:rPr>
      <w:t>3</w:t>
    </w:r>
    <w:r w:rsidR="00EF2B72">
      <w:rPr>
        <w:sz w:val="20"/>
        <w:szCs w:val="20"/>
        <w:lang w:val="lv-LV"/>
      </w:rPr>
      <w:t>11</w:t>
    </w:r>
    <w:r>
      <w:rPr>
        <w:sz w:val="20"/>
        <w:szCs w:val="20"/>
        <w:lang w:val="lv-LV"/>
      </w:rPr>
      <w:t>15_</w:t>
    </w:r>
    <w:r w:rsidR="00824E5C">
      <w:rPr>
        <w:sz w:val="20"/>
        <w:szCs w:val="20"/>
        <w:lang w:val="lv-LV"/>
      </w:rPr>
      <w:t>arka</w:t>
    </w:r>
    <w:r w:rsidR="00BE6E76">
      <w:rPr>
        <w:sz w:val="20"/>
        <w:szCs w:val="20"/>
        <w:lang w:val="lv-LV"/>
      </w:rPr>
      <w:t>rtas</w:t>
    </w:r>
    <w:r w:rsidR="00FE3D7C">
      <w:rPr>
        <w:sz w:val="20"/>
        <w:szCs w:val="20"/>
        <w:lang w:val="lv-LV"/>
      </w:rPr>
      <w:t>_atb</w:t>
    </w:r>
    <w:r>
      <w:rPr>
        <w:sz w:val="20"/>
        <w:szCs w:val="20"/>
        <w:lang w:val="lv-LV"/>
      </w:rPr>
      <w:t xml:space="preserve">; </w:t>
    </w:r>
    <w:r w:rsidRPr="001C724C">
      <w:rPr>
        <w:bCs/>
        <w:color w:val="000000"/>
        <w:sz w:val="20"/>
        <w:szCs w:val="20"/>
        <w:lang w:val="lv-LV"/>
      </w:rPr>
      <w:t xml:space="preserve">Eiropas Savienības pagaidu ārkārtas atbalsta </w:t>
    </w:r>
    <w:r w:rsidR="00FC179D" w:rsidRPr="001C724C">
      <w:rPr>
        <w:bCs/>
        <w:color w:val="000000"/>
        <w:sz w:val="20"/>
        <w:szCs w:val="20"/>
        <w:lang w:val="lv-LV"/>
      </w:rPr>
      <w:t xml:space="preserve">piešķiršanas kārtība </w:t>
    </w:r>
    <w:r w:rsidR="009705C3">
      <w:rPr>
        <w:bCs/>
        <w:color w:val="000000"/>
        <w:sz w:val="20"/>
        <w:szCs w:val="20"/>
        <w:lang w:val="lv-LV"/>
      </w:rPr>
      <w:t>piena ražotājiem un cūku ganāmpulku īpašniekiem</w:t>
    </w:r>
    <w:r w:rsidR="00EF2B72">
      <w:rPr>
        <w:bCs/>
        <w:color w:val="000000"/>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FC" w:rsidRPr="006C3DF7" w:rsidRDefault="00EF2B72" w:rsidP="006F7729">
    <w:pPr>
      <w:pStyle w:val="Bezatstarpm"/>
      <w:jc w:val="both"/>
    </w:pPr>
    <w:r>
      <w:rPr>
        <w:sz w:val="20"/>
        <w:szCs w:val="20"/>
        <w:lang w:val="lv-LV"/>
      </w:rPr>
      <w:t>ZMAnot_</w:t>
    </w:r>
    <w:r w:rsidR="003D2C2C">
      <w:rPr>
        <w:sz w:val="20"/>
        <w:szCs w:val="20"/>
        <w:lang w:val="lv-LV"/>
      </w:rPr>
      <w:t>23</w:t>
    </w:r>
    <w:r w:rsidR="00824E5C">
      <w:rPr>
        <w:sz w:val="20"/>
        <w:szCs w:val="20"/>
        <w:lang w:val="lv-LV"/>
      </w:rPr>
      <w:t>1115_arka</w:t>
    </w:r>
    <w:r w:rsidR="00BE6E76">
      <w:rPr>
        <w:sz w:val="20"/>
        <w:szCs w:val="20"/>
        <w:lang w:val="lv-LV"/>
      </w:rPr>
      <w:t>rtas</w:t>
    </w:r>
    <w:r w:rsidR="00FE3D7C">
      <w:rPr>
        <w:sz w:val="20"/>
        <w:szCs w:val="20"/>
        <w:lang w:val="lv-LV"/>
      </w:rPr>
      <w:t>_atb</w:t>
    </w:r>
    <w:r>
      <w:rPr>
        <w:sz w:val="20"/>
        <w:szCs w:val="20"/>
        <w:lang w:val="lv-LV"/>
      </w:rPr>
      <w:t xml:space="preserve">; </w:t>
    </w:r>
    <w:r w:rsidRPr="001C724C">
      <w:rPr>
        <w:bCs/>
        <w:color w:val="000000"/>
        <w:sz w:val="20"/>
        <w:szCs w:val="20"/>
        <w:lang w:val="lv-LV"/>
      </w:rPr>
      <w:t xml:space="preserve">Eiropas Savienības pagaidu ārkārtas atbalsta </w:t>
    </w:r>
    <w:r w:rsidR="00FC179D" w:rsidRPr="001C724C">
      <w:rPr>
        <w:bCs/>
        <w:color w:val="000000"/>
        <w:sz w:val="20"/>
        <w:szCs w:val="20"/>
        <w:lang w:val="lv-LV"/>
      </w:rPr>
      <w:t>piešķiršanas kārtība</w:t>
    </w:r>
    <w:r w:rsidR="00FC179D" w:rsidRPr="0093421B">
      <w:rPr>
        <w:bCs/>
        <w:color w:val="000000"/>
        <w:sz w:val="20"/>
        <w:szCs w:val="20"/>
        <w:lang w:val="lv-LV"/>
      </w:rPr>
      <w:t xml:space="preserve"> </w:t>
    </w:r>
    <w:r w:rsidR="009705C3">
      <w:rPr>
        <w:bCs/>
        <w:color w:val="000000"/>
        <w:sz w:val="20"/>
        <w:szCs w:val="20"/>
        <w:lang w:val="lv-LV"/>
      </w:rPr>
      <w:t>piena ražotājiem un cūku ganāmpulku īpašniekiem</w:t>
    </w:r>
    <w:r>
      <w:rPr>
        <w:bCs/>
        <w:color w:val="000000"/>
        <w:sz w:val="20"/>
        <w:szCs w:val="20"/>
        <w:lang w:val="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BC" w:rsidRDefault="00FD4CBC" w:rsidP="002232F9">
      <w:r>
        <w:separator/>
      </w:r>
    </w:p>
  </w:footnote>
  <w:footnote w:type="continuationSeparator" w:id="0">
    <w:p w:rsidR="00FD4CBC" w:rsidRDefault="00FD4CBC"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FC" w:rsidRDefault="00E26A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26AFC" w:rsidRDefault="00E26A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FC" w:rsidRDefault="00E26A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62109">
      <w:rPr>
        <w:rStyle w:val="Lappusesnumurs"/>
        <w:noProof/>
      </w:rPr>
      <w:t>9</w:t>
    </w:r>
    <w:r>
      <w:rPr>
        <w:rStyle w:val="Lappusesnumurs"/>
      </w:rPr>
      <w:fldChar w:fldCharType="end"/>
    </w:r>
  </w:p>
  <w:p w:rsidR="00E26AFC" w:rsidRDefault="00E26AF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C17"/>
    <w:multiLevelType w:val="hybridMultilevel"/>
    <w:tmpl w:val="3FF40300"/>
    <w:lvl w:ilvl="0" w:tplc="6AAE1210">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 w15:restartNumberingAfterBreak="0">
    <w:nsid w:val="269E2766"/>
    <w:multiLevelType w:val="hybridMultilevel"/>
    <w:tmpl w:val="465486B0"/>
    <w:lvl w:ilvl="0" w:tplc="04090011">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2B593A7D"/>
    <w:multiLevelType w:val="hybridMultilevel"/>
    <w:tmpl w:val="A97A4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B42"/>
    <w:multiLevelType w:val="hybridMultilevel"/>
    <w:tmpl w:val="A8740D16"/>
    <w:lvl w:ilvl="0" w:tplc="4FBE987E">
      <w:start w:val="3"/>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57C44919"/>
    <w:multiLevelType w:val="hybridMultilevel"/>
    <w:tmpl w:val="879AB164"/>
    <w:lvl w:ilvl="0" w:tplc="149E6860">
      <w:start w:val="1"/>
      <w:numFmt w:val="decimal"/>
      <w:lvlText w:val="%1)"/>
      <w:lvlJc w:val="left"/>
      <w:pPr>
        <w:ind w:left="409"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5" w15:restartNumberingAfterBreak="0">
    <w:nsid w:val="628667F5"/>
    <w:multiLevelType w:val="hybridMultilevel"/>
    <w:tmpl w:val="BB3091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75639"/>
    <w:multiLevelType w:val="hybridMultilevel"/>
    <w:tmpl w:val="772C3B48"/>
    <w:lvl w:ilvl="0" w:tplc="04090001">
      <w:start w:val="1"/>
      <w:numFmt w:val="bullet"/>
      <w:lvlText w:val=""/>
      <w:lvlJc w:val="left"/>
      <w:pPr>
        <w:ind w:left="795" w:hanging="360"/>
      </w:pPr>
      <w:rPr>
        <w:rFonts w:ascii="Symbol" w:hAnsi="Symbol"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78AB1320"/>
    <w:multiLevelType w:val="hybridMultilevel"/>
    <w:tmpl w:val="B9F224DE"/>
    <w:lvl w:ilvl="0" w:tplc="AEF0D4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60"/>
    <w:rsid w:val="000040C5"/>
    <w:rsid w:val="00006C0F"/>
    <w:rsid w:val="00016F1C"/>
    <w:rsid w:val="00023681"/>
    <w:rsid w:val="00045EBC"/>
    <w:rsid w:val="000769AC"/>
    <w:rsid w:val="00097F5D"/>
    <w:rsid w:val="000B3472"/>
    <w:rsid w:val="000B7A8A"/>
    <w:rsid w:val="000D338D"/>
    <w:rsid w:val="000D58FB"/>
    <w:rsid w:val="000E4FC4"/>
    <w:rsid w:val="000F0DC0"/>
    <w:rsid w:val="000F6A7F"/>
    <w:rsid w:val="00115606"/>
    <w:rsid w:val="00133B13"/>
    <w:rsid w:val="0014344A"/>
    <w:rsid w:val="00144C50"/>
    <w:rsid w:val="00145F1B"/>
    <w:rsid w:val="00146163"/>
    <w:rsid w:val="0014672F"/>
    <w:rsid w:val="00147C5D"/>
    <w:rsid w:val="00163AB2"/>
    <w:rsid w:val="001703D3"/>
    <w:rsid w:val="0017674B"/>
    <w:rsid w:val="001809F5"/>
    <w:rsid w:val="00191197"/>
    <w:rsid w:val="001A6974"/>
    <w:rsid w:val="001B0E63"/>
    <w:rsid w:val="002042E1"/>
    <w:rsid w:val="002147B7"/>
    <w:rsid w:val="002153BF"/>
    <w:rsid w:val="002232F9"/>
    <w:rsid w:val="002251BE"/>
    <w:rsid w:val="00232B21"/>
    <w:rsid w:val="00242D9B"/>
    <w:rsid w:val="00254168"/>
    <w:rsid w:val="002571ED"/>
    <w:rsid w:val="00261AC4"/>
    <w:rsid w:val="00262109"/>
    <w:rsid w:val="002762AD"/>
    <w:rsid w:val="00281417"/>
    <w:rsid w:val="00286E71"/>
    <w:rsid w:val="002A27EA"/>
    <w:rsid w:val="002B4679"/>
    <w:rsid w:val="002D57AA"/>
    <w:rsid w:val="00311EE7"/>
    <w:rsid w:val="003120CE"/>
    <w:rsid w:val="00326A31"/>
    <w:rsid w:val="00335733"/>
    <w:rsid w:val="0036615E"/>
    <w:rsid w:val="0037077B"/>
    <w:rsid w:val="00395B02"/>
    <w:rsid w:val="003D2C2C"/>
    <w:rsid w:val="003E2DCB"/>
    <w:rsid w:val="003E3583"/>
    <w:rsid w:val="00400DDB"/>
    <w:rsid w:val="00402230"/>
    <w:rsid w:val="00405091"/>
    <w:rsid w:val="00405EAC"/>
    <w:rsid w:val="00406F79"/>
    <w:rsid w:val="004101EF"/>
    <w:rsid w:val="00414978"/>
    <w:rsid w:val="004242BE"/>
    <w:rsid w:val="00443949"/>
    <w:rsid w:val="004518D1"/>
    <w:rsid w:val="00467853"/>
    <w:rsid w:val="0047791F"/>
    <w:rsid w:val="00487BC6"/>
    <w:rsid w:val="00494505"/>
    <w:rsid w:val="00497A95"/>
    <w:rsid w:val="00497DA6"/>
    <w:rsid w:val="004D22A8"/>
    <w:rsid w:val="004D3984"/>
    <w:rsid w:val="004E38E5"/>
    <w:rsid w:val="004E6064"/>
    <w:rsid w:val="004E6A12"/>
    <w:rsid w:val="004F79DD"/>
    <w:rsid w:val="00502744"/>
    <w:rsid w:val="00505D08"/>
    <w:rsid w:val="00506D8F"/>
    <w:rsid w:val="00511B57"/>
    <w:rsid w:val="00515ACE"/>
    <w:rsid w:val="00517BC0"/>
    <w:rsid w:val="005202F7"/>
    <w:rsid w:val="005251A0"/>
    <w:rsid w:val="00533138"/>
    <w:rsid w:val="00556261"/>
    <w:rsid w:val="00564D50"/>
    <w:rsid w:val="005737E5"/>
    <w:rsid w:val="00573E8A"/>
    <w:rsid w:val="00594ED5"/>
    <w:rsid w:val="00596390"/>
    <w:rsid w:val="005A12B7"/>
    <w:rsid w:val="005C0337"/>
    <w:rsid w:val="005C24AB"/>
    <w:rsid w:val="005C4102"/>
    <w:rsid w:val="005D0EDC"/>
    <w:rsid w:val="005D11D5"/>
    <w:rsid w:val="005D71E0"/>
    <w:rsid w:val="005E707F"/>
    <w:rsid w:val="005E75EF"/>
    <w:rsid w:val="005F222B"/>
    <w:rsid w:val="0061283F"/>
    <w:rsid w:val="00637A40"/>
    <w:rsid w:val="00644905"/>
    <w:rsid w:val="00654E04"/>
    <w:rsid w:val="00671F7E"/>
    <w:rsid w:val="00683260"/>
    <w:rsid w:val="006979B8"/>
    <w:rsid w:val="006B0B44"/>
    <w:rsid w:val="006C3DF7"/>
    <w:rsid w:val="006C40D3"/>
    <w:rsid w:val="006D38A1"/>
    <w:rsid w:val="006F27F8"/>
    <w:rsid w:val="006F4D57"/>
    <w:rsid w:val="006F682B"/>
    <w:rsid w:val="006F7729"/>
    <w:rsid w:val="00706DDB"/>
    <w:rsid w:val="00717C5D"/>
    <w:rsid w:val="00721B80"/>
    <w:rsid w:val="00736A8F"/>
    <w:rsid w:val="007400E9"/>
    <w:rsid w:val="007408EC"/>
    <w:rsid w:val="00747132"/>
    <w:rsid w:val="0075263C"/>
    <w:rsid w:val="007535E1"/>
    <w:rsid w:val="007538CD"/>
    <w:rsid w:val="00757679"/>
    <w:rsid w:val="00773A3D"/>
    <w:rsid w:val="007819EE"/>
    <w:rsid w:val="00796BEE"/>
    <w:rsid w:val="007A7F3A"/>
    <w:rsid w:val="007C39A4"/>
    <w:rsid w:val="007D49DB"/>
    <w:rsid w:val="008030B6"/>
    <w:rsid w:val="00816FDE"/>
    <w:rsid w:val="00824E5C"/>
    <w:rsid w:val="0085475C"/>
    <w:rsid w:val="00870E5E"/>
    <w:rsid w:val="0087436B"/>
    <w:rsid w:val="00884015"/>
    <w:rsid w:val="008F32CB"/>
    <w:rsid w:val="00922BE6"/>
    <w:rsid w:val="00925C33"/>
    <w:rsid w:val="0093421B"/>
    <w:rsid w:val="00951D8E"/>
    <w:rsid w:val="009705C3"/>
    <w:rsid w:val="00984B07"/>
    <w:rsid w:val="009A058A"/>
    <w:rsid w:val="009A332E"/>
    <w:rsid w:val="009A455E"/>
    <w:rsid w:val="009B0DF3"/>
    <w:rsid w:val="009B264E"/>
    <w:rsid w:val="009C0031"/>
    <w:rsid w:val="009D25BF"/>
    <w:rsid w:val="00A46DE1"/>
    <w:rsid w:val="00A477F5"/>
    <w:rsid w:val="00A52509"/>
    <w:rsid w:val="00A55BF6"/>
    <w:rsid w:val="00A66447"/>
    <w:rsid w:val="00A9009E"/>
    <w:rsid w:val="00A932F0"/>
    <w:rsid w:val="00A94DEB"/>
    <w:rsid w:val="00AB2DC0"/>
    <w:rsid w:val="00AC73DB"/>
    <w:rsid w:val="00AC76E1"/>
    <w:rsid w:val="00AD69D1"/>
    <w:rsid w:val="00AF6B1C"/>
    <w:rsid w:val="00AF6DE3"/>
    <w:rsid w:val="00B07DE8"/>
    <w:rsid w:val="00B31248"/>
    <w:rsid w:val="00B7421C"/>
    <w:rsid w:val="00B851EF"/>
    <w:rsid w:val="00BB2D3B"/>
    <w:rsid w:val="00BD4233"/>
    <w:rsid w:val="00BE6E76"/>
    <w:rsid w:val="00BF226E"/>
    <w:rsid w:val="00BF551E"/>
    <w:rsid w:val="00C3320F"/>
    <w:rsid w:val="00C47642"/>
    <w:rsid w:val="00C70754"/>
    <w:rsid w:val="00C71085"/>
    <w:rsid w:val="00C71980"/>
    <w:rsid w:val="00C7304B"/>
    <w:rsid w:val="00C75D56"/>
    <w:rsid w:val="00C841BE"/>
    <w:rsid w:val="00C94917"/>
    <w:rsid w:val="00CB4FAC"/>
    <w:rsid w:val="00CB554F"/>
    <w:rsid w:val="00CC3899"/>
    <w:rsid w:val="00CE179C"/>
    <w:rsid w:val="00CF3BD2"/>
    <w:rsid w:val="00D01D35"/>
    <w:rsid w:val="00D204BD"/>
    <w:rsid w:val="00D72308"/>
    <w:rsid w:val="00D950A3"/>
    <w:rsid w:val="00D97D1B"/>
    <w:rsid w:val="00DB2017"/>
    <w:rsid w:val="00DB3935"/>
    <w:rsid w:val="00DC48B3"/>
    <w:rsid w:val="00DC5D31"/>
    <w:rsid w:val="00DD010C"/>
    <w:rsid w:val="00DD3CA9"/>
    <w:rsid w:val="00DD51F0"/>
    <w:rsid w:val="00DE4A1C"/>
    <w:rsid w:val="00DF6E5F"/>
    <w:rsid w:val="00E00A40"/>
    <w:rsid w:val="00E05238"/>
    <w:rsid w:val="00E26AFC"/>
    <w:rsid w:val="00E3614F"/>
    <w:rsid w:val="00E41E93"/>
    <w:rsid w:val="00E62C77"/>
    <w:rsid w:val="00E9472B"/>
    <w:rsid w:val="00EA2C5D"/>
    <w:rsid w:val="00EB479C"/>
    <w:rsid w:val="00ED5261"/>
    <w:rsid w:val="00ED57E5"/>
    <w:rsid w:val="00EF2B72"/>
    <w:rsid w:val="00EF62D2"/>
    <w:rsid w:val="00F2498C"/>
    <w:rsid w:val="00F40411"/>
    <w:rsid w:val="00F40CB6"/>
    <w:rsid w:val="00F41311"/>
    <w:rsid w:val="00F47525"/>
    <w:rsid w:val="00F56256"/>
    <w:rsid w:val="00F562EC"/>
    <w:rsid w:val="00F8534C"/>
    <w:rsid w:val="00F866C0"/>
    <w:rsid w:val="00FC179D"/>
    <w:rsid w:val="00FD4CBC"/>
    <w:rsid w:val="00FE3CBD"/>
    <w:rsid w:val="00FE3D7C"/>
    <w:rsid w:val="00FE7B78"/>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1"/>
    <o:shapelayout v:ext="edit">
      <o:idmap v:ext="edit" data="1"/>
    </o:shapelayout>
  </w:shapeDefaults>
  <w:decimalSymbol w:val=","/>
  <w:listSeparator w:val=";"/>
  <w15:docId w15:val="{C6D694B5-F0C0-4202-94A4-C36504C5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rPr>
      <w:rFonts w:ascii="Times New Roman" w:eastAsia="Times New Roman" w:hAnsi="Times New Roman"/>
      <w:sz w:val="24"/>
      <w:szCs w:val="24"/>
      <w:lang w:val="en-GB"/>
    </w:rPr>
  </w:style>
  <w:style w:type="paragraph" w:styleId="Virsraksts3">
    <w:name w:val="heading 3"/>
    <w:basedOn w:val="Parasts"/>
    <w:link w:val="Virsraksts3Rakstz"/>
    <w:uiPriority w:val="9"/>
    <w:qFormat/>
    <w:rsid w:val="00C7304B"/>
    <w:pPr>
      <w:spacing w:before="100" w:beforeAutospacing="1" w:after="100" w:afterAutospacing="1"/>
      <w:outlineLvl w:val="2"/>
    </w:pPr>
    <w:rPr>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link w:val="Kjene"/>
    <w:rsid w:val="00683260"/>
    <w:rPr>
      <w:rFonts w:ascii="RimTimes" w:eastAsia="Times New Roman" w:hAnsi="RimTimes" w:cs="Times New Roman"/>
      <w:sz w:val="28"/>
      <w:szCs w:val="20"/>
    </w:rPr>
  </w:style>
  <w:style w:type="paragraph" w:styleId="Galvene">
    <w:name w:val="header"/>
    <w:basedOn w:val="Parasts"/>
    <w:link w:val="GalveneRakstz"/>
    <w:uiPriority w:val="99"/>
    <w:rsid w:val="00683260"/>
    <w:pPr>
      <w:tabs>
        <w:tab w:val="center" w:pos="4153"/>
        <w:tab w:val="right" w:pos="8306"/>
      </w:tabs>
    </w:pPr>
  </w:style>
  <w:style w:type="character" w:customStyle="1" w:styleId="GalveneRakstz">
    <w:name w:val="Galvene Rakstz."/>
    <w:link w:val="Galvene"/>
    <w:uiPriority w:val="99"/>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uiPriority w:val="99"/>
    <w:unhideWhenUsed/>
    <w:rsid w:val="002232F9"/>
    <w:rPr>
      <w:color w:val="0000FF"/>
      <w:u w:val="single"/>
    </w:rPr>
  </w:style>
  <w:style w:type="paragraph" w:styleId="Bezatstarpm">
    <w:name w:val="No Spacing"/>
    <w:uiPriority w:val="1"/>
    <w:qFormat/>
    <w:rsid w:val="002232F9"/>
    <w:rPr>
      <w:rFonts w:ascii="Times New Roman" w:eastAsia="Times New Roman" w:hAnsi="Times New Roman"/>
      <w:sz w:val="24"/>
      <w:szCs w:val="24"/>
      <w:lang w:val="en-GB"/>
    </w:rPr>
  </w:style>
  <w:style w:type="paragraph" w:styleId="Sarakstarindkopa">
    <w:name w:val="List Paragraph"/>
    <w:basedOn w:val="Parasts"/>
    <w:uiPriority w:val="99"/>
    <w:qFormat/>
    <w:rsid w:val="004E6A12"/>
    <w:pPr>
      <w:ind w:left="720"/>
    </w:pPr>
    <w:rPr>
      <w:lang w:val="lv-LV" w:eastAsia="lv-LV"/>
    </w:rPr>
  </w:style>
  <w:style w:type="paragraph" w:styleId="Balonteksts">
    <w:name w:val="Balloon Text"/>
    <w:basedOn w:val="Parasts"/>
    <w:link w:val="BalontekstsRakstz"/>
    <w:uiPriority w:val="99"/>
    <w:semiHidden/>
    <w:unhideWhenUsed/>
    <w:rsid w:val="004E6A12"/>
    <w:rPr>
      <w:rFonts w:ascii="Tahoma" w:hAnsi="Tahoma" w:cs="Tahoma"/>
      <w:sz w:val="16"/>
      <w:szCs w:val="16"/>
    </w:rPr>
  </w:style>
  <w:style w:type="character" w:customStyle="1" w:styleId="BalontekstsRakstz">
    <w:name w:val="Balonteksts Rakstz."/>
    <w:link w:val="Balonteksts"/>
    <w:uiPriority w:val="99"/>
    <w:semiHidden/>
    <w:rsid w:val="004E6A12"/>
    <w:rPr>
      <w:rFonts w:ascii="Tahoma" w:eastAsia="Times New Roman" w:hAnsi="Tahoma" w:cs="Tahoma"/>
      <w:sz w:val="16"/>
      <w:szCs w:val="16"/>
      <w:lang w:val="en-GB"/>
    </w:rPr>
  </w:style>
  <w:style w:type="paragraph" w:customStyle="1" w:styleId="naiskr">
    <w:name w:val="naiskr"/>
    <w:basedOn w:val="Parasts"/>
    <w:rsid w:val="009A332E"/>
    <w:pPr>
      <w:spacing w:before="75" w:after="75"/>
    </w:pPr>
    <w:rPr>
      <w:lang w:val="lv-LV" w:eastAsia="lv-LV"/>
    </w:rPr>
  </w:style>
  <w:style w:type="paragraph" w:customStyle="1" w:styleId="tvhtml">
    <w:name w:val="tv_html"/>
    <w:basedOn w:val="Parasts"/>
    <w:rsid w:val="009A332E"/>
    <w:pPr>
      <w:spacing w:before="100" w:beforeAutospacing="1" w:after="100" w:afterAutospacing="1"/>
    </w:pPr>
    <w:rPr>
      <w:lang w:val="lv-LV" w:eastAsia="lv-LV"/>
    </w:rPr>
  </w:style>
  <w:style w:type="character" w:styleId="Komentraatsauce">
    <w:name w:val="annotation reference"/>
    <w:uiPriority w:val="99"/>
    <w:semiHidden/>
    <w:unhideWhenUsed/>
    <w:rsid w:val="00BF551E"/>
    <w:rPr>
      <w:sz w:val="16"/>
      <w:szCs w:val="16"/>
    </w:rPr>
  </w:style>
  <w:style w:type="paragraph" w:styleId="Komentrateksts">
    <w:name w:val="annotation text"/>
    <w:basedOn w:val="Parasts"/>
    <w:link w:val="KomentratekstsRakstz"/>
    <w:uiPriority w:val="99"/>
    <w:semiHidden/>
    <w:unhideWhenUsed/>
    <w:rsid w:val="00BF551E"/>
    <w:rPr>
      <w:sz w:val="20"/>
      <w:szCs w:val="20"/>
    </w:rPr>
  </w:style>
  <w:style w:type="character" w:customStyle="1" w:styleId="KomentratekstsRakstz">
    <w:name w:val="Komentāra teksts Rakstz."/>
    <w:link w:val="Komentrateksts"/>
    <w:uiPriority w:val="99"/>
    <w:semiHidden/>
    <w:rsid w:val="00BF551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BF551E"/>
    <w:rPr>
      <w:b/>
      <w:bCs/>
    </w:rPr>
  </w:style>
  <w:style w:type="character" w:customStyle="1" w:styleId="KomentratmaRakstz">
    <w:name w:val="Komentāra tēma Rakstz."/>
    <w:link w:val="Komentratma"/>
    <w:uiPriority w:val="99"/>
    <w:semiHidden/>
    <w:rsid w:val="00BF551E"/>
    <w:rPr>
      <w:rFonts w:ascii="Times New Roman" w:eastAsia="Times New Roman" w:hAnsi="Times New Roman" w:cs="Times New Roman"/>
      <w:b/>
      <w:bCs/>
      <w:sz w:val="20"/>
      <w:szCs w:val="20"/>
      <w:lang w:val="en-GB"/>
    </w:rPr>
  </w:style>
  <w:style w:type="character" w:customStyle="1" w:styleId="Virsraksts3Rakstz">
    <w:name w:val="Virsraksts 3 Rakstz."/>
    <w:link w:val="Virsraksts3"/>
    <w:uiPriority w:val="9"/>
    <w:rsid w:val="00C7304B"/>
    <w:rPr>
      <w:rFonts w:ascii="Times New Roman" w:eastAsia="Times New Roman" w:hAnsi="Times New Roman" w:cs="Times New Roman"/>
      <w:b/>
      <w:bCs/>
      <w:sz w:val="27"/>
      <w:szCs w:val="27"/>
      <w:lang w:val="en-US"/>
    </w:rPr>
  </w:style>
  <w:style w:type="paragraph" w:styleId="Prskatjums">
    <w:name w:val="Revision"/>
    <w:hidden/>
    <w:uiPriority w:val="99"/>
    <w:semiHidden/>
    <w:rsid w:val="00DE4A1C"/>
    <w:rPr>
      <w:rFonts w:ascii="Times New Roman" w:eastAsia="Times New Roman" w:hAnsi="Times New Roman"/>
      <w:sz w:val="24"/>
      <w:szCs w:val="24"/>
      <w:lang w:val="en-GB"/>
    </w:rPr>
  </w:style>
  <w:style w:type="paragraph" w:customStyle="1" w:styleId="Default">
    <w:name w:val="Default"/>
    <w:rsid w:val="002762AD"/>
    <w:pPr>
      <w:autoSpaceDE w:val="0"/>
      <w:autoSpaceDN w:val="0"/>
      <w:adjustRightInd w:val="0"/>
    </w:pPr>
    <w:rPr>
      <w:rFonts w:ascii="EUAlbertina" w:hAnsi="EUAlbertina" w:cs="EUAlbertina"/>
      <w:color w:val="000000"/>
      <w:sz w:val="24"/>
      <w:szCs w:val="24"/>
    </w:rPr>
  </w:style>
  <w:style w:type="paragraph" w:customStyle="1" w:styleId="naislab">
    <w:name w:val="naislab"/>
    <w:basedOn w:val="Parasts"/>
    <w:rsid w:val="00144C50"/>
    <w:pPr>
      <w:spacing w:before="75" w:after="75"/>
      <w:jc w:val="right"/>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83">
      <w:bodyDiv w:val="1"/>
      <w:marLeft w:val="0"/>
      <w:marRight w:val="0"/>
      <w:marTop w:val="0"/>
      <w:marBottom w:val="0"/>
      <w:divBdr>
        <w:top w:val="none" w:sz="0" w:space="0" w:color="auto"/>
        <w:left w:val="none" w:sz="0" w:space="0" w:color="auto"/>
        <w:bottom w:val="none" w:sz="0" w:space="0" w:color="auto"/>
        <w:right w:val="none" w:sz="0" w:space="0" w:color="auto"/>
      </w:divBdr>
    </w:div>
    <w:div w:id="732313448">
      <w:bodyDiv w:val="1"/>
      <w:marLeft w:val="0"/>
      <w:marRight w:val="0"/>
      <w:marTop w:val="0"/>
      <w:marBottom w:val="0"/>
      <w:divBdr>
        <w:top w:val="none" w:sz="0" w:space="0" w:color="auto"/>
        <w:left w:val="none" w:sz="0" w:space="0" w:color="auto"/>
        <w:bottom w:val="none" w:sz="0" w:space="0" w:color="auto"/>
        <w:right w:val="none" w:sz="0" w:space="0" w:color="auto"/>
      </w:divBdr>
    </w:div>
    <w:div w:id="762990000">
      <w:bodyDiv w:val="1"/>
      <w:marLeft w:val="0"/>
      <w:marRight w:val="0"/>
      <w:marTop w:val="0"/>
      <w:marBottom w:val="0"/>
      <w:divBdr>
        <w:top w:val="none" w:sz="0" w:space="0" w:color="auto"/>
        <w:left w:val="none" w:sz="0" w:space="0" w:color="auto"/>
        <w:bottom w:val="none" w:sz="0" w:space="0" w:color="auto"/>
        <w:right w:val="none" w:sz="0" w:space="0" w:color="auto"/>
      </w:divBdr>
    </w:div>
    <w:div w:id="1022125257">
      <w:bodyDiv w:val="1"/>
      <w:marLeft w:val="0"/>
      <w:marRight w:val="0"/>
      <w:marTop w:val="0"/>
      <w:marBottom w:val="0"/>
      <w:divBdr>
        <w:top w:val="none" w:sz="0" w:space="0" w:color="auto"/>
        <w:left w:val="none" w:sz="0" w:space="0" w:color="auto"/>
        <w:bottom w:val="none" w:sz="0" w:space="0" w:color="auto"/>
        <w:right w:val="none" w:sz="0" w:space="0" w:color="auto"/>
      </w:divBdr>
    </w:div>
    <w:div w:id="1711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235C-70A6-430A-8410-B2FFC059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2505</Words>
  <Characters>16863</Characters>
  <Application>Microsoft Office Word</Application>
  <DocSecurity>0</DocSecurity>
  <Lines>766</Lines>
  <Paragraphs>302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Eiropas Savienības pagaidu ārkārtas atbalstu piena nozarē</vt:lpstr>
      <vt:lpstr>Kārtība, kādā piešķir Eiropas Savienības pagaidu ārkārtas atbalstu piena nozarē</vt:lpstr>
    </vt:vector>
  </TitlesOfParts>
  <Manager>Veterinārais un pārtikas departaments</Manager>
  <Company>Zemkopības Ministrija</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Eiropas Savienības pagaidu ārkārtas atbalstu piena nozarē</dc:title>
  <dc:subject>anotācija</dc:subject>
  <dc:creator>Inga Orlova</dc:creator>
  <cp:keywords/>
  <dc:description>Inga.Orlova, Inga.Orlova@zm.gov.lv, 67027376</dc:description>
  <cp:lastModifiedBy>Antra Dāldere</cp:lastModifiedBy>
  <cp:revision>5</cp:revision>
  <cp:lastPrinted>2015-11-13T07:16:00Z</cp:lastPrinted>
  <dcterms:created xsi:type="dcterms:W3CDTF">2015-11-23T13:16:00Z</dcterms:created>
  <dcterms:modified xsi:type="dcterms:W3CDTF">2015-11-24T07:23:00Z</dcterms:modified>
</cp:coreProperties>
</file>