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9B7D" w14:textId="6B2265C9" w:rsidR="00A52629" w:rsidRPr="00155E21" w:rsidRDefault="00A1669A" w:rsidP="00FD486A">
      <w:pPr>
        <w:ind w:firstLine="720"/>
        <w:jc w:val="right"/>
      </w:pPr>
      <w:r w:rsidRPr="00155E21">
        <w:t>4</w:t>
      </w:r>
      <w:r w:rsidR="00D66EFD" w:rsidRPr="00155E21">
        <w:t>.p</w:t>
      </w:r>
      <w:r w:rsidR="00A52629" w:rsidRPr="00155E21">
        <w:t>ielikums</w:t>
      </w:r>
    </w:p>
    <w:p w14:paraId="2ED9B7C4" w14:textId="77777777" w:rsidR="00155E21" w:rsidRPr="0030636F" w:rsidRDefault="00155E21" w:rsidP="00155E21">
      <w:pPr>
        <w:ind w:firstLine="720"/>
        <w:jc w:val="right"/>
      </w:pPr>
      <w:r w:rsidRPr="0030636F">
        <w:t>Ministru kabineta</w:t>
      </w:r>
    </w:p>
    <w:p w14:paraId="716B9BB0" w14:textId="77777777" w:rsidR="00155E21" w:rsidRPr="0030636F" w:rsidRDefault="00155E21" w:rsidP="00155E21">
      <w:pPr>
        <w:ind w:firstLine="720"/>
        <w:jc w:val="right"/>
      </w:pPr>
      <w:r w:rsidRPr="0030636F">
        <w:t>2015. gada</w:t>
      </w:r>
      <w:r w:rsidRPr="0030636F">
        <w:tab/>
        <w:t>.novembra</w:t>
      </w:r>
    </w:p>
    <w:p w14:paraId="2A3775C6" w14:textId="21A7B7A6" w:rsidR="0041630F" w:rsidRDefault="00155E21" w:rsidP="00155E21">
      <w:pPr>
        <w:jc w:val="right"/>
      </w:pPr>
      <w:r w:rsidRPr="0030636F">
        <w:t>noteikumiem Nr</w:t>
      </w:r>
      <w:r>
        <w:t>.</w:t>
      </w:r>
      <w:r>
        <w:tab/>
      </w:r>
    </w:p>
    <w:p w14:paraId="28484EB3" w14:textId="77777777" w:rsidR="00155E21" w:rsidRPr="00155E21" w:rsidRDefault="00155E21" w:rsidP="00E15EB9">
      <w:pPr>
        <w:jc w:val="center"/>
      </w:pPr>
    </w:p>
    <w:p w14:paraId="2CADFA42" w14:textId="77777777" w:rsidR="00A1669A" w:rsidRPr="00155E21" w:rsidRDefault="00A1669A" w:rsidP="00A1669A">
      <w:pPr>
        <w:jc w:val="center"/>
        <w:rPr>
          <w:b/>
        </w:rPr>
      </w:pPr>
      <w:r w:rsidRPr="00155E21">
        <w:rPr>
          <w:b/>
        </w:rPr>
        <w:t xml:space="preserve">Reducējošo cukuru noteikšana, izsakot to saturu kā </w:t>
      </w:r>
      <w:proofErr w:type="spellStart"/>
      <w:r w:rsidRPr="00155E21">
        <w:rPr>
          <w:b/>
        </w:rPr>
        <w:t>invertcukuru</w:t>
      </w:r>
      <w:proofErr w:type="spellEnd"/>
    </w:p>
    <w:p w14:paraId="29667AD6" w14:textId="77777777" w:rsidR="00A1669A" w:rsidRPr="00155E21" w:rsidRDefault="00A1669A" w:rsidP="00A1669A">
      <w:pPr>
        <w:jc w:val="center"/>
        <w:rPr>
          <w:b/>
        </w:rPr>
      </w:pPr>
      <w:r w:rsidRPr="00155E21">
        <w:rPr>
          <w:b/>
        </w:rPr>
        <w:t>(Berlīnes institūta metode)</w:t>
      </w:r>
    </w:p>
    <w:p w14:paraId="5B833ACF" w14:textId="77777777" w:rsidR="00A1669A" w:rsidRPr="00155E21" w:rsidRDefault="00A1669A" w:rsidP="00A1669A">
      <w:pPr>
        <w:jc w:val="both"/>
      </w:pPr>
    </w:p>
    <w:p w14:paraId="5473F396" w14:textId="6C7E2CB2" w:rsidR="00A1669A" w:rsidRPr="00155E21" w:rsidRDefault="00155E21" w:rsidP="00155E21">
      <w:pPr>
        <w:ind w:firstLine="720"/>
        <w:jc w:val="both"/>
      </w:pPr>
      <w:r>
        <w:t xml:space="preserve">1. </w:t>
      </w:r>
      <w:r w:rsidR="00A1669A" w:rsidRPr="00155E21">
        <w:t xml:space="preserve">Izmantojot šo metodi, nosaka reducējošo cukuru saturu, kas izteikts kā </w:t>
      </w:r>
      <w:proofErr w:type="spellStart"/>
      <w:r w:rsidR="00A1669A" w:rsidRPr="00155E21">
        <w:t>invertcukurs</w:t>
      </w:r>
      <w:proofErr w:type="spellEnd"/>
      <w:r w:rsidR="00A1669A" w:rsidRPr="00155E21">
        <w:t>, otrās šķiras baltajam cukuram.</w:t>
      </w:r>
    </w:p>
    <w:p w14:paraId="7F5499E7" w14:textId="77777777" w:rsidR="00A1669A" w:rsidRPr="00155E21" w:rsidRDefault="00A1669A" w:rsidP="00155E21">
      <w:pPr>
        <w:ind w:firstLine="720"/>
        <w:jc w:val="both"/>
      </w:pPr>
    </w:p>
    <w:p w14:paraId="6BA14001" w14:textId="0203088F" w:rsidR="00A1669A" w:rsidRPr="00155E21" w:rsidRDefault="00155E21" w:rsidP="00155E21">
      <w:pPr>
        <w:ind w:firstLine="720"/>
        <w:jc w:val="both"/>
      </w:pPr>
      <w:r>
        <w:t xml:space="preserve">2. </w:t>
      </w:r>
      <w:r w:rsidR="00A1669A" w:rsidRPr="00155E21">
        <w:t xml:space="preserve">Lielums, kas noteikts, izmantojot šo metodi, ir reducējošais cukurs, izteikts kā </w:t>
      </w:r>
      <w:proofErr w:type="spellStart"/>
      <w:r w:rsidR="00A1669A" w:rsidRPr="00155E21">
        <w:t>invertcukurs</w:t>
      </w:r>
      <w:proofErr w:type="spellEnd"/>
      <w:r w:rsidR="00A1669A" w:rsidRPr="00155E21">
        <w:t>.</w:t>
      </w:r>
    </w:p>
    <w:p w14:paraId="242167C4" w14:textId="77777777" w:rsidR="00A1669A" w:rsidRPr="00155E21" w:rsidRDefault="00A1669A" w:rsidP="00155E21">
      <w:pPr>
        <w:ind w:firstLine="720"/>
        <w:jc w:val="both"/>
      </w:pPr>
    </w:p>
    <w:p w14:paraId="3096985B" w14:textId="51C93FBA" w:rsidR="00A1669A" w:rsidRPr="00155E21" w:rsidRDefault="00155E21" w:rsidP="00155E21">
      <w:pPr>
        <w:ind w:firstLine="720"/>
        <w:jc w:val="both"/>
      </w:pPr>
      <w:r>
        <w:t xml:space="preserve">3. </w:t>
      </w:r>
      <w:r w:rsidR="00A1669A" w:rsidRPr="00155E21">
        <w:t xml:space="preserve">Parauga šķīdums, kas satur reducējošos cukurus, reducē vara (II) kompleksa šķīdumu. Reakcijas laikā radušos vara (I) oksīdu oksidē ar joda šķīduma pārākumu. Neizreaģējušā joda daudzumu nosaka, titrējot ar nātrija </w:t>
      </w:r>
      <w:proofErr w:type="spellStart"/>
      <w:r w:rsidR="00A1669A" w:rsidRPr="00155E21">
        <w:t>tiosulfāta</w:t>
      </w:r>
      <w:proofErr w:type="spellEnd"/>
      <w:r w:rsidR="00A1669A" w:rsidRPr="00155E21">
        <w:t xml:space="preserve"> standartšķīdumu.</w:t>
      </w:r>
    </w:p>
    <w:p w14:paraId="1C5F9FD8" w14:textId="77777777" w:rsidR="00A1669A" w:rsidRPr="00155E21" w:rsidRDefault="00A1669A" w:rsidP="00155E21">
      <w:pPr>
        <w:ind w:firstLine="720"/>
        <w:jc w:val="both"/>
      </w:pPr>
    </w:p>
    <w:p w14:paraId="1B83F192" w14:textId="50DA6EB2" w:rsidR="00A1669A" w:rsidRPr="00155E21" w:rsidRDefault="00155E21" w:rsidP="00155E21">
      <w:pPr>
        <w:ind w:firstLine="720"/>
        <w:jc w:val="both"/>
      </w:pPr>
      <w:r>
        <w:t xml:space="preserve">4. </w:t>
      </w:r>
      <w:r w:rsidR="00A1669A" w:rsidRPr="00155E21">
        <w:t>Reaģenti:</w:t>
      </w:r>
    </w:p>
    <w:p w14:paraId="2FD7282F" w14:textId="25A64317" w:rsidR="00A1669A" w:rsidRPr="00155E21" w:rsidRDefault="00155E21" w:rsidP="00155E21">
      <w:pPr>
        <w:ind w:firstLine="720"/>
        <w:jc w:val="both"/>
      </w:pPr>
      <w:r>
        <w:t xml:space="preserve">4.1. </w:t>
      </w:r>
      <w:r w:rsidR="00A1669A" w:rsidRPr="00155E21">
        <w:t>vara (II) šķīdums (Millera (</w:t>
      </w:r>
      <w:proofErr w:type="spellStart"/>
      <w:r w:rsidR="00A1669A" w:rsidRPr="00155E21">
        <w:rPr>
          <w:i/>
        </w:rPr>
        <w:t>Müller</w:t>
      </w:r>
      <w:proofErr w:type="spellEnd"/>
      <w:r w:rsidR="00A1669A" w:rsidRPr="00155E21">
        <w:t>) šķīdums):</w:t>
      </w:r>
    </w:p>
    <w:p w14:paraId="6C2D6B1D" w14:textId="25C8582B" w:rsidR="00A1669A" w:rsidRPr="00155E21" w:rsidRDefault="00155E21" w:rsidP="00155E21">
      <w:pPr>
        <w:ind w:firstLine="720"/>
        <w:jc w:val="both"/>
      </w:pPr>
      <w:r>
        <w:t xml:space="preserve">4.1.1. </w:t>
      </w:r>
      <w:r w:rsidR="004D3247" w:rsidRPr="00155E21">
        <w:t>35 g vara (II) sulfāta pentahidrātu (CuSO</w:t>
      </w:r>
      <w:r w:rsidR="004D3247" w:rsidRPr="00155E21">
        <w:rPr>
          <w:vertAlign w:val="subscript"/>
        </w:rPr>
        <w:t xml:space="preserve">4 </w:t>
      </w:r>
      <w:r w:rsidR="004D3247" w:rsidRPr="00155E21">
        <w:t>* 5H</w:t>
      </w:r>
      <w:r w:rsidR="004D3247" w:rsidRPr="00155E21">
        <w:rPr>
          <w:vertAlign w:val="subscript"/>
        </w:rPr>
        <w:t>2</w:t>
      </w:r>
      <w:r w:rsidR="004D3247" w:rsidRPr="00155E21">
        <w:t>O) izšķīdina 400 ml karstā ūdenī</w:t>
      </w:r>
      <w:r w:rsidR="00A1669A" w:rsidRPr="00155E21">
        <w:t>, atdzesē;</w:t>
      </w:r>
    </w:p>
    <w:p w14:paraId="257321C9" w14:textId="05FB8069" w:rsidR="00A1669A" w:rsidRPr="00155E21" w:rsidRDefault="00155E21" w:rsidP="00155E21">
      <w:pPr>
        <w:ind w:firstLine="720"/>
        <w:jc w:val="both"/>
      </w:pPr>
      <w:r>
        <w:t xml:space="preserve">4.1.2. </w:t>
      </w:r>
      <w:r w:rsidR="00A1669A" w:rsidRPr="00155E21">
        <w:t xml:space="preserve">173 g nātrija-kālija tartrāta </w:t>
      </w:r>
      <w:proofErr w:type="spellStart"/>
      <w:r w:rsidR="00A1669A" w:rsidRPr="00155E21">
        <w:t>tetrahidrāta</w:t>
      </w:r>
      <w:proofErr w:type="spellEnd"/>
      <w:r w:rsidR="00A1669A" w:rsidRPr="00155E21">
        <w:t xml:space="preserve"> (</w:t>
      </w:r>
      <w:proofErr w:type="spellStart"/>
      <w:r w:rsidR="00A1669A" w:rsidRPr="00155E21">
        <w:t>Rochela</w:t>
      </w:r>
      <w:proofErr w:type="spellEnd"/>
      <w:r w:rsidR="00A1669A" w:rsidRPr="00155E21">
        <w:t xml:space="preserve"> vai </w:t>
      </w:r>
      <w:proofErr w:type="spellStart"/>
      <w:r w:rsidR="00A1669A" w:rsidRPr="00155E21">
        <w:t>Segneta</w:t>
      </w:r>
      <w:proofErr w:type="spellEnd"/>
      <w:r w:rsidR="00A1669A" w:rsidRPr="00155E21">
        <w:t xml:space="preserve"> sāli: (KNaC</w:t>
      </w:r>
      <w:r w:rsidR="00A1669A" w:rsidRPr="00155E21">
        <w:rPr>
          <w:vertAlign w:val="subscript"/>
        </w:rPr>
        <w:t>4</w:t>
      </w:r>
      <w:r w:rsidR="00A1669A" w:rsidRPr="00155E21">
        <w:t>H</w:t>
      </w:r>
      <w:r w:rsidR="00A1669A" w:rsidRPr="00155E21">
        <w:rPr>
          <w:vertAlign w:val="subscript"/>
        </w:rPr>
        <w:t>4</w:t>
      </w:r>
      <w:r w:rsidR="00A1669A" w:rsidRPr="00155E21">
        <w:t>O</w:t>
      </w:r>
      <w:r w:rsidR="006716ED" w:rsidRPr="00155E21">
        <w:rPr>
          <w:vertAlign w:val="subscript"/>
        </w:rPr>
        <w:t>6</w:t>
      </w:r>
      <w:r w:rsidR="00A1669A" w:rsidRPr="00155E21">
        <w:t xml:space="preserve"> * 4H</w:t>
      </w:r>
      <w:r w:rsidR="00A1669A" w:rsidRPr="00155E21">
        <w:rPr>
          <w:vertAlign w:val="subscript"/>
        </w:rPr>
        <w:t>2</w:t>
      </w:r>
      <w:r w:rsidR="00A1669A" w:rsidRPr="00155E21">
        <w:t>O)) un 68 g bezūdens nātrija karbonāta</w:t>
      </w:r>
      <w:r w:rsidR="004D3247" w:rsidRPr="00155E21">
        <w:t xml:space="preserve"> izšķīdina 500 ml karstā ūdenī</w:t>
      </w:r>
      <w:r w:rsidR="00A1669A" w:rsidRPr="00155E21">
        <w:t>, atdzesē;</w:t>
      </w:r>
    </w:p>
    <w:p w14:paraId="4CE3E560" w14:textId="0C88BCD6" w:rsidR="00A1669A" w:rsidRPr="00155E21" w:rsidRDefault="00155E21" w:rsidP="00155E21">
      <w:pPr>
        <w:ind w:firstLine="720"/>
        <w:jc w:val="both"/>
      </w:pPr>
      <w:r>
        <w:t xml:space="preserve">4.1.3. </w:t>
      </w:r>
      <w:r w:rsidR="00A1669A" w:rsidRPr="00155E21">
        <w:t>abus sagatavotos šķīdumus ielej viena litra mērkolbā un uzpilda ar ūdeni līdz viena litra atzīmei. Pievieno 2 g aktīvās ogles, samaisa, ļauj šķīdumam pāris stundu nostāties, tad filtrē to caur blīvu papīra vai membrānas filtru. Ja uzglabāšanas laikā parādās neliels daudzums vara (I) oksīda, šķīdums jāpārfiltrē</w:t>
      </w:r>
      <w:r w:rsidR="004D3247" w:rsidRPr="00155E21">
        <w:t xml:space="preserve"> atkārtoti</w:t>
      </w:r>
      <w:r w:rsidR="00A1669A" w:rsidRPr="00155E21">
        <w:t xml:space="preserve">. </w:t>
      </w:r>
    </w:p>
    <w:p w14:paraId="5DE3670B" w14:textId="2BAD7AD0" w:rsidR="00A1669A" w:rsidRPr="00155E21" w:rsidRDefault="00155E21" w:rsidP="00155E21">
      <w:pPr>
        <w:ind w:firstLine="720"/>
        <w:jc w:val="both"/>
      </w:pPr>
      <w:r>
        <w:t xml:space="preserve">4.2. </w:t>
      </w:r>
      <w:r w:rsidR="00A1669A" w:rsidRPr="00155E21">
        <w:t>etiķskābes šķīdums 5 mol/litrā;</w:t>
      </w:r>
    </w:p>
    <w:p w14:paraId="77F502A9" w14:textId="65BA6C20" w:rsidR="00A1669A" w:rsidRPr="00155E21" w:rsidRDefault="00155E21" w:rsidP="00155E21">
      <w:pPr>
        <w:ind w:firstLine="720"/>
        <w:jc w:val="both"/>
      </w:pPr>
      <w:r>
        <w:t xml:space="preserve">4.3. </w:t>
      </w:r>
      <w:r w:rsidR="00A1669A" w:rsidRPr="00155E21">
        <w:t>joda šķīdums 0,01665 mol/litrā (t.i., 0,0333 N, 4,2258 g/litrā);</w:t>
      </w:r>
    </w:p>
    <w:p w14:paraId="0D73FC4B" w14:textId="25E68F79" w:rsidR="00A1669A" w:rsidRPr="00155E21" w:rsidRDefault="00155E21" w:rsidP="00155E21">
      <w:pPr>
        <w:ind w:firstLine="720"/>
        <w:jc w:val="both"/>
      </w:pPr>
      <w:r>
        <w:t xml:space="preserve">4.4. </w:t>
      </w:r>
      <w:r w:rsidR="00A1669A" w:rsidRPr="00155E21">
        <w:t xml:space="preserve">nātrija </w:t>
      </w:r>
      <w:proofErr w:type="spellStart"/>
      <w:r w:rsidR="00A1669A" w:rsidRPr="00155E21">
        <w:t>tiosulfāta</w:t>
      </w:r>
      <w:proofErr w:type="spellEnd"/>
      <w:r w:rsidR="00A1669A" w:rsidRPr="00155E21">
        <w:t xml:space="preserve"> šķīdums 0,0333 mol/litrā;</w:t>
      </w:r>
    </w:p>
    <w:p w14:paraId="35A27621" w14:textId="339F1AF6" w:rsidR="00A1669A" w:rsidRPr="00155E21" w:rsidRDefault="00155E21" w:rsidP="00155E21">
      <w:pPr>
        <w:ind w:firstLine="720"/>
        <w:jc w:val="both"/>
      </w:pPr>
      <w:r>
        <w:t xml:space="preserve">4.5. </w:t>
      </w:r>
      <w:r w:rsidR="00A1669A" w:rsidRPr="00155E21">
        <w:t>cietes šķīdums. Vienam litram vār</w:t>
      </w:r>
      <w:r w:rsidR="004D3247" w:rsidRPr="00155E21">
        <w:t>oša</w:t>
      </w:r>
      <w:r w:rsidR="00A1669A" w:rsidRPr="00155E21">
        <w:t xml:space="preserve"> ūdens pievieno maisījumu, kas sastāv no 5 g šķīstošās cietes, kas izšķīdināta 30 ml ūdens. Vāra trīs minūtes</w:t>
      </w:r>
      <w:r w:rsidR="00DE49B6" w:rsidRPr="00155E21">
        <w:t>,</w:t>
      </w:r>
      <w:r w:rsidR="00A1669A" w:rsidRPr="00155E21">
        <w:t xml:space="preserve"> atdzesē</w:t>
      </w:r>
      <w:r w:rsidR="00DE49B6" w:rsidRPr="00155E21">
        <w:t xml:space="preserve"> un</w:t>
      </w:r>
      <w:r w:rsidR="00A1669A" w:rsidRPr="00155E21">
        <w:t>, ja nepieciešams, par konservantu pievieno 10 mg dzīvsudraba (II) jodīda.</w:t>
      </w:r>
    </w:p>
    <w:p w14:paraId="349AA243" w14:textId="77777777" w:rsidR="00A1669A" w:rsidRPr="00155E21" w:rsidRDefault="00A1669A" w:rsidP="00155E21">
      <w:pPr>
        <w:ind w:firstLine="720"/>
        <w:jc w:val="both"/>
      </w:pPr>
    </w:p>
    <w:p w14:paraId="2B4FA8C0" w14:textId="42295F64" w:rsidR="00A1669A" w:rsidRPr="00155E21" w:rsidRDefault="00A1669A" w:rsidP="00155E21">
      <w:pPr>
        <w:ind w:firstLine="720"/>
        <w:jc w:val="both"/>
      </w:pPr>
      <w:r w:rsidRPr="00155E21">
        <w:t>5</w:t>
      </w:r>
      <w:r w:rsidR="00155E21">
        <w:t xml:space="preserve">. </w:t>
      </w:r>
      <w:r w:rsidRPr="00155E21">
        <w:t>Iekārtas:</w:t>
      </w:r>
    </w:p>
    <w:p w14:paraId="2A09A15F" w14:textId="73FD1F04" w:rsidR="00A1669A" w:rsidRPr="00155E21" w:rsidRDefault="00155E21" w:rsidP="00155E21">
      <w:pPr>
        <w:ind w:firstLine="720"/>
        <w:jc w:val="both"/>
      </w:pPr>
      <w:r>
        <w:t xml:space="preserve">5.1. </w:t>
      </w:r>
      <w:r w:rsidR="00A1669A" w:rsidRPr="00155E21">
        <w:t>300 ml koniska kolba, kalibrētas biretes un pipetes; </w:t>
      </w:r>
    </w:p>
    <w:p w14:paraId="4E808843" w14:textId="03FA46FA" w:rsidR="00A1669A" w:rsidRPr="00155E21" w:rsidRDefault="00155E21" w:rsidP="00155E21">
      <w:pPr>
        <w:ind w:firstLine="720"/>
        <w:jc w:val="both"/>
      </w:pPr>
      <w:r>
        <w:t xml:space="preserve">5.2. </w:t>
      </w:r>
      <w:r w:rsidR="00A1669A" w:rsidRPr="00155E21">
        <w:t>verdoša ūdens vanna.</w:t>
      </w:r>
    </w:p>
    <w:p w14:paraId="33F84882" w14:textId="77777777" w:rsidR="00A1669A" w:rsidRPr="00155E21" w:rsidRDefault="00A1669A" w:rsidP="00155E21">
      <w:pPr>
        <w:ind w:firstLine="720"/>
        <w:jc w:val="both"/>
      </w:pPr>
    </w:p>
    <w:p w14:paraId="570278B8" w14:textId="0B5DE893" w:rsidR="00A1669A" w:rsidRPr="00155E21" w:rsidRDefault="00155E21" w:rsidP="00155E21">
      <w:pPr>
        <w:ind w:firstLine="720"/>
        <w:jc w:val="both"/>
      </w:pPr>
      <w:r>
        <w:t xml:space="preserve">6. </w:t>
      </w:r>
      <w:r w:rsidR="00A1669A" w:rsidRPr="00155E21">
        <w:t>Procedūra:</w:t>
      </w:r>
    </w:p>
    <w:p w14:paraId="14DE0E5A" w14:textId="77777777" w:rsidR="00A1669A" w:rsidRPr="00155E21" w:rsidRDefault="00A1669A" w:rsidP="00155E21">
      <w:pPr>
        <w:ind w:firstLine="720"/>
        <w:jc w:val="both"/>
      </w:pPr>
    </w:p>
    <w:p w14:paraId="25D94E91" w14:textId="756E7A4C" w:rsidR="00A1669A" w:rsidRPr="00155E21" w:rsidRDefault="00155E21" w:rsidP="00155E21">
      <w:pPr>
        <w:ind w:firstLine="720"/>
        <w:jc w:val="both"/>
      </w:pPr>
      <w:r>
        <w:t xml:space="preserve">6.1. </w:t>
      </w:r>
      <w:r w:rsidR="00A1669A" w:rsidRPr="00155E21">
        <w:t xml:space="preserve">paraugu (10 g vai mazāk), kas satur ne vairāk par 30 mg </w:t>
      </w:r>
      <w:proofErr w:type="spellStart"/>
      <w:r w:rsidR="00A1669A" w:rsidRPr="00155E21">
        <w:t>invertcukura</w:t>
      </w:r>
      <w:proofErr w:type="spellEnd"/>
      <w:r w:rsidR="00A1669A" w:rsidRPr="00155E21">
        <w:t>, iesver 300 ml koniskā kolbā un izšķīdina apmēram 100 ml ūdens:</w:t>
      </w:r>
    </w:p>
    <w:p w14:paraId="1CA7C92D" w14:textId="3CE644E1" w:rsidR="00A1669A" w:rsidRPr="00155E21" w:rsidRDefault="00A1669A" w:rsidP="00155E21">
      <w:pPr>
        <w:ind w:firstLine="720"/>
        <w:jc w:val="both"/>
      </w:pPr>
      <w:r w:rsidRPr="00155E21">
        <w:t>6.1.1</w:t>
      </w:r>
      <w:r w:rsidR="00155E21">
        <w:t xml:space="preserve">. </w:t>
      </w:r>
      <w:r w:rsidRPr="00155E21">
        <w:t>ar pipeti pievieno 10 ml vara (II) šķīduma (4.1.apakšpunkts) kolbā, kurā atrodas parauga šķīdums. Kolbas</w:t>
      </w:r>
      <w:proofErr w:type="gramStart"/>
      <w:r w:rsidRPr="00155E21">
        <w:t xml:space="preserve"> saturu sakratot</w:t>
      </w:r>
      <w:proofErr w:type="gramEnd"/>
      <w:r w:rsidRPr="00155E21">
        <w:t xml:space="preserve"> sajauc un precī</w:t>
      </w:r>
      <w:r w:rsidR="004D3247" w:rsidRPr="00155E21">
        <w:t>zi uz 10</w:t>
      </w:r>
      <w:r w:rsidR="00DE49B6" w:rsidRPr="00155E21">
        <w:t> </w:t>
      </w:r>
      <w:r w:rsidR="004D3247" w:rsidRPr="00155E21">
        <w:t>minūtēm ievieto verdošā</w:t>
      </w:r>
      <w:r w:rsidRPr="00155E21">
        <w:t xml:space="preserve"> ūdens vannā;</w:t>
      </w:r>
    </w:p>
    <w:p w14:paraId="6BDD752C" w14:textId="05A598DF" w:rsidR="00A1669A" w:rsidRPr="00155E21" w:rsidRDefault="00155E21" w:rsidP="00155E21">
      <w:pPr>
        <w:ind w:firstLine="720"/>
        <w:jc w:val="both"/>
      </w:pPr>
      <w:r>
        <w:t xml:space="preserve">6.1.2. </w:t>
      </w:r>
      <w:r w:rsidR="00A1669A" w:rsidRPr="00155E21">
        <w:t xml:space="preserve">parauga šķīduma līmenis koniskajā kolbā ir vismaz par 20 mm zemāks nekā ūdens līmenis ūdens vannā. Pēc tam kolbu strauji atdzesē zem tekoša </w:t>
      </w:r>
      <w:r w:rsidR="004D3247" w:rsidRPr="00155E21">
        <w:t xml:space="preserve">auksta </w:t>
      </w:r>
      <w:r w:rsidR="00A1669A" w:rsidRPr="00155E21">
        <w:t>ūdens strūklas. Dzesēšanas laikā šķīdumu nedrīkst maisīt, jo tad gaisā esošais skābeklis pāroksidēs vara (I) oksīda nogulsnes;</w:t>
      </w:r>
    </w:p>
    <w:p w14:paraId="29E5112C" w14:textId="722889B6" w:rsidR="00A1669A" w:rsidRPr="00155E21" w:rsidRDefault="00155E21" w:rsidP="00155E21">
      <w:pPr>
        <w:ind w:firstLine="720"/>
        <w:jc w:val="both"/>
      </w:pPr>
      <w:r>
        <w:lastRenderedPageBreak/>
        <w:t xml:space="preserve">6.1.3. </w:t>
      </w:r>
      <w:r w:rsidR="00A1669A" w:rsidRPr="00155E21">
        <w:t>atdzesētajam paraugam ar pipeti lēnām, nemaisot pievieno 5</w:t>
      </w:r>
      <w:r w:rsidR="00DE49B6" w:rsidRPr="00155E21">
        <w:t> </w:t>
      </w:r>
      <w:r w:rsidR="00A1669A" w:rsidRPr="00155E21">
        <w:t>ml 5</w:t>
      </w:r>
      <w:r w:rsidR="00DE49B6" w:rsidRPr="00155E21">
        <w:t> </w:t>
      </w:r>
      <w:r w:rsidR="00A1669A" w:rsidRPr="00155E21">
        <w:t>mol/l etiķskābes un nekavējoties no biretes pievieno (20</w:t>
      </w:r>
      <w:r w:rsidR="00EA64EB" w:rsidRPr="00155E21">
        <w:t>–</w:t>
      </w:r>
      <w:r w:rsidR="00A1669A" w:rsidRPr="00155E21">
        <w:t>40 ml) 0,01665 mol/l joda šķīduma;</w:t>
      </w:r>
    </w:p>
    <w:p w14:paraId="53D085F2" w14:textId="35A7821C" w:rsidR="00A1669A" w:rsidRPr="00155E21" w:rsidRDefault="00155E21" w:rsidP="00155E21">
      <w:pPr>
        <w:ind w:firstLine="720"/>
        <w:jc w:val="both"/>
      </w:pPr>
      <w:r>
        <w:t xml:space="preserve">6.1.4. </w:t>
      </w:r>
      <w:r w:rsidR="00A1669A" w:rsidRPr="00155E21">
        <w:t xml:space="preserve">maisa, lai izšķīdinātu vara nogulsnes. Joda pārpalikumu titrē ar 0,0333 mol/l nātrija </w:t>
      </w:r>
      <w:proofErr w:type="spellStart"/>
      <w:r w:rsidR="00A1669A" w:rsidRPr="00155E21">
        <w:t>tiosulfāta</w:t>
      </w:r>
      <w:proofErr w:type="spellEnd"/>
      <w:r w:rsidR="00A1669A" w:rsidRPr="00155E21">
        <w:t xml:space="preserve"> šķīduma, par indikatoru izmantojot cietes šķīdumu. Indikatoru pievieno titrēšanas beigās;</w:t>
      </w:r>
    </w:p>
    <w:p w14:paraId="01AF8144" w14:textId="41C2100C" w:rsidR="00A1669A" w:rsidRPr="00155E21" w:rsidRDefault="00155E21" w:rsidP="00155E21">
      <w:pPr>
        <w:ind w:firstLine="720"/>
        <w:jc w:val="both"/>
      </w:pPr>
      <w:r>
        <w:t xml:space="preserve">6.2. </w:t>
      </w:r>
      <w:r w:rsidR="00A1669A" w:rsidRPr="00155E21">
        <w:t>veic "tukšo" testu ar ūdeni</w:t>
      </w:r>
      <w:r w:rsidR="00DE49B6" w:rsidRPr="00155E21">
        <w:t>, izmantojot</w:t>
      </w:r>
      <w:r w:rsidR="00A1669A" w:rsidRPr="00155E21">
        <w:t xml:space="preserve"> ikvienu jaunu vara (II) šķīdumu. Titrēšanā izlietotais daudzums nepārsniedz 0,1 ml;</w:t>
      </w:r>
    </w:p>
    <w:p w14:paraId="44FEB3D7" w14:textId="71B265C9" w:rsidR="00A1669A" w:rsidRPr="00155E21" w:rsidRDefault="00155E21" w:rsidP="00155E21">
      <w:pPr>
        <w:ind w:firstLine="720"/>
        <w:jc w:val="both"/>
      </w:pPr>
      <w:r>
        <w:t xml:space="preserve">6.3. </w:t>
      </w:r>
      <w:r w:rsidR="00A1669A" w:rsidRPr="00155E21">
        <w:t>cukura šķīdumam veic pārbaudes testu bez karsēšanas. To nostādina istabas temperatūrā 10 minūtes, lai iespējamās klātesošās reducējošās aktīvās vielas, piemēram, sēra dioksīds, varētu izreaģēt.</w:t>
      </w:r>
    </w:p>
    <w:p w14:paraId="7A462A67" w14:textId="77777777" w:rsidR="00A1669A" w:rsidRPr="00155E21" w:rsidRDefault="00A1669A" w:rsidP="00155E21">
      <w:pPr>
        <w:ind w:firstLine="720"/>
        <w:jc w:val="both"/>
      </w:pPr>
    </w:p>
    <w:p w14:paraId="70D5A674" w14:textId="32ABC719" w:rsidR="00A1669A" w:rsidRPr="00155E21" w:rsidRDefault="00155E21" w:rsidP="00155E21">
      <w:pPr>
        <w:ind w:firstLine="720"/>
        <w:jc w:val="both"/>
      </w:pPr>
      <w:r>
        <w:t xml:space="preserve">7. </w:t>
      </w:r>
      <w:r w:rsidR="00A1669A" w:rsidRPr="00155E21">
        <w:t>Rezultātu izteikšana:</w:t>
      </w:r>
    </w:p>
    <w:p w14:paraId="4F5FA5DA" w14:textId="7689B4D5" w:rsidR="00A1669A" w:rsidRPr="00155E21" w:rsidRDefault="00155E21" w:rsidP="00155E21">
      <w:pPr>
        <w:ind w:firstLine="720"/>
        <w:jc w:val="both"/>
      </w:pPr>
      <w:r>
        <w:t xml:space="preserve">7.1. </w:t>
      </w:r>
      <w:r w:rsidR="00A1669A" w:rsidRPr="00155E21">
        <w:t>analīzes gaitā patērētā 0,01665 mol/l joda šķīduma tilpumu (ml)</w:t>
      </w:r>
      <w:r w:rsidR="00DE49B6" w:rsidRPr="00155E21">
        <w:t xml:space="preserve"> aprēķina pēc</w:t>
      </w:r>
      <w:r w:rsidR="00A1669A" w:rsidRPr="00155E21">
        <w:t xml:space="preserve"> šād</w:t>
      </w:r>
      <w:r w:rsidR="00DE49B6" w:rsidRPr="00155E21">
        <w:t>as</w:t>
      </w:r>
      <w:r w:rsidR="00A1669A" w:rsidRPr="00155E21">
        <w:t xml:space="preserve"> formul</w:t>
      </w:r>
      <w:r w:rsidR="00DE49B6" w:rsidRPr="00155E21">
        <w:t>as</w:t>
      </w:r>
      <w:r w:rsidR="00A1669A" w:rsidRPr="00155E21">
        <w:t>:</w:t>
      </w:r>
    </w:p>
    <w:p w14:paraId="236A83D3" w14:textId="77777777" w:rsidR="00A1669A" w:rsidRPr="00155E21" w:rsidRDefault="00A1669A" w:rsidP="00155E21">
      <w:pPr>
        <w:ind w:firstLine="720"/>
        <w:jc w:val="both"/>
      </w:pPr>
      <w:r w:rsidRPr="00155E21">
        <w:t>V = V</w:t>
      </w:r>
      <w:r w:rsidRPr="00155E21">
        <w:rPr>
          <w:vertAlign w:val="subscript"/>
        </w:rPr>
        <w:t>1</w:t>
      </w:r>
      <w:r w:rsidRPr="00155E21">
        <w:t xml:space="preserve"> </w:t>
      </w:r>
      <w:r w:rsidR="00EA64EB" w:rsidRPr="00155E21">
        <w:t>–</w:t>
      </w:r>
      <w:r w:rsidRPr="00155E21">
        <w:t xml:space="preserve"> V</w:t>
      </w:r>
      <w:r w:rsidRPr="00155E21">
        <w:rPr>
          <w:vertAlign w:val="subscript"/>
        </w:rPr>
        <w:t>2</w:t>
      </w:r>
      <w:r w:rsidRPr="00155E21">
        <w:t>, kur</w:t>
      </w:r>
    </w:p>
    <w:p w14:paraId="484FF125" w14:textId="77777777" w:rsidR="00A1669A" w:rsidRPr="00155E21" w:rsidRDefault="00A1669A" w:rsidP="00155E21">
      <w:pPr>
        <w:ind w:firstLine="720"/>
        <w:jc w:val="both"/>
      </w:pPr>
      <w:r w:rsidRPr="00155E21">
        <w:t>V</w:t>
      </w:r>
      <w:r w:rsidRPr="00155E21">
        <w:rPr>
          <w:vertAlign w:val="subscript"/>
        </w:rPr>
        <w:t>1</w:t>
      </w:r>
      <w:r w:rsidRPr="00155E21">
        <w:t xml:space="preserve"> </w:t>
      </w:r>
      <w:r w:rsidR="00EA64EB" w:rsidRPr="00155E21">
        <w:t>–</w:t>
      </w:r>
      <w:r w:rsidRPr="00155E21">
        <w:t xml:space="preserve"> 0,01665 mol/l joda šķīduma tilpums, kas ņemts vara oksīda nogulšņu izšķīdināšanai (ml);</w:t>
      </w:r>
    </w:p>
    <w:p w14:paraId="3DE2FAD3" w14:textId="77777777" w:rsidR="00A1669A" w:rsidRPr="00155E21" w:rsidRDefault="00A1669A" w:rsidP="00155E21">
      <w:pPr>
        <w:ind w:firstLine="720"/>
        <w:jc w:val="both"/>
      </w:pPr>
      <w:r w:rsidRPr="00155E21">
        <w:t>V</w:t>
      </w:r>
      <w:r w:rsidRPr="00155E21">
        <w:rPr>
          <w:vertAlign w:val="subscript"/>
        </w:rPr>
        <w:t xml:space="preserve">2 </w:t>
      </w:r>
      <w:r w:rsidR="00EA64EB" w:rsidRPr="00155E21">
        <w:t>–</w:t>
      </w:r>
      <w:r w:rsidRPr="00155E21">
        <w:t xml:space="preserve"> 0,0333 mol/l nātrija </w:t>
      </w:r>
      <w:proofErr w:type="spellStart"/>
      <w:r w:rsidRPr="00155E21">
        <w:t>tiosulfāta</w:t>
      </w:r>
      <w:proofErr w:type="spellEnd"/>
      <w:r w:rsidRPr="00155E21">
        <w:t xml:space="preserve"> šķīduma tilpums, kas patērēts joda pārākuma attitrēšanai (ml);</w:t>
      </w:r>
    </w:p>
    <w:p w14:paraId="47BD3716" w14:textId="2AC6AD7F" w:rsidR="00A1669A" w:rsidRPr="00155E21" w:rsidRDefault="00155E21" w:rsidP="00155E21">
      <w:pPr>
        <w:ind w:firstLine="720"/>
        <w:jc w:val="both"/>
      </w:pPr>
      <w:r>
        <w:t xml:space="preserve">7.2. </w:t>
      </w:r>
      <w:r w:rsidR="00A1669A" w:rsidRPr="00155E21">
        <w:t>iegūto rezultātu precizē, atņemot:</w:t>
      </w:r>
    </w:p>
    <w:p w14:paraId="40F716F1" w14:textId="0534D968" w:rsidR="00A1669A" w:rsidRPr="00155E21" w:rsidRDefault="00155E21" w:rsidP="00155E21">
      <w:pPr>
        <w:ind w:firstLine="720"/>
        <w:jc w:val="both"/>
      </w:pPr>
      <w:r>
        <w:t xml:space="preserve">7.2.1. </w:t>
      </w:r>
      <w:r w:rsidR="00A1669A" w:rsidRPr="00155E21">
        <w:t>ar ūdeni (V</w:t>
      </w:r>
      <w:r w:rsidR="00A1669A" w:rsidRPr="00155E21">
        <w:rPr>
          <w:vertAlign w:val="subscript"/>
        </w:rPr>
        <w:t>X</w:t>
      </w:r>
      <w:r w:rsidR="00A1669A" w:rsidRPr="00155E21">
        <w:t>) veiktajā tukšajā analīzē izmantoto joda šķīduma daudzumu (ml);</w:t>
      </w:r>
    </w:p>
    <w:p w14:paraId="6237EE1F" w14:textId="26F55206" w:rsidR="00A1669A" w:rsidRPr="00155E21" w:rsidRDefault="00155E21" w:rsidP="00155E21">
      <w:pPr>
        <w:ind w:firstLine="720"/>
        <w:jc w:val="both"/>
      </w:pPr>
      <w:r>
        <w:t xml:space="preserve">7.2.2. </w:t>
      </w:r>
      <w:r w:rsidR="00A1669A" w:rsidRPr="00155E21">
        <w:t>ar cukura šķīdumu veiktajā aukstajā (V</w:t>
      </w:r>
      <w:r w:rsidR="00A1669A" w:rsidRPr="00155E21">
        <w:rPr>
          <w:vertAlign w:val="subscript"/>
        </w:rPr>
        <w:t>A</w:t>
      </w:r>
      <w:r w:rsidR="00A1669A" w:rsidRPr="00155E21">
        <w:t>) analīzē izmantoto joda šķīduma daudzumu (ml);</w:t>
      </w:r>
    </w:p>
    <w:p w14:paraId="16B6FB8C" w14:textId="593E2FCF" w:rsidR="00605552" w:rsidRPr="00155E21" w:rsidRDefault="00155E21" w:rsidP="00155E21">
      <w:pPr>
        <w:ind w:firstLine="720"/>
        <w:jc w:val="both"/>
      </w:pPr>
      <w:r>
        <w:t xml:space="preserve">7.2.3. </w:t>
      </w:r>
      <w:r w:rsidR="00E3642D" w:rsidRPr="00155E21">
        <w:t>2,0 ml par katru 10 saharozes gramu izmantotajā alikvota daļā vai proporcionālu daudzumu, ja paraugā ir mazāk par 10 gramiem saharozes. S</w:t>
      </w:r>
      <w:r w:rsidR="00A1669A" w:rsidRPr="00155E21">
        <w:t>aharozes korekciju (</w:t>
      </w:r>
      <w:proofErr w:type="spellStart"/>
      <w:r w:rsidR="00A1669A" w:rsidRPr="00155E21">
        <w:t>Vg</w:t>
      </w:r>
      <w:proofErr w:type="spellEnd"/>
      <w:r w:rsidR="00A1669A" w:rsidRPr="00155E21">
        <w:t>) rēķina uz katriem 10 g saharozes, k</w:t>
      </w:r>
      <w:r w:rsidR="00DE49B6" w:rsidRPr="00155E21">
        <w:t>o</w:t>
      </w:r>
      <w:r w:rsidR="00A1669A" w:rsidRPr="00155E21">
        <w:t xml:space="preserve"> satur 2</w:t>
      </w:r>
      <w:r w:rsidR="00DE49B6" w:rsidRPr="00155E21">
        <w:t> </w:t>
      </w:r>
      <w:r w:rsidR="00A1669A" w:rsidRPr="00155E21">
        <w:t>ml paraugs. Ja parauga porcija satur mazāk vai vairāk par 10 g saharozes, atņemamo tilpumu proporcionāli pārrēķina V</w:t>
      </w:r>
      <w:r w:rsidR="00A1669A" w:rsidRPr="00155E21">
        <w:rPr>
          <w:vertAlign w:val="subscript"/>
        </w:rPr>
        <w:t>1</w:t>
      </w:r>
      <w:r w:rsidR="00A1669A" w:rsidRPr="00155E21">
        <w:t xml:space="preserve"> </w:t>
      </w:r>
      <w:r w:rsidR="00EA64EB" w:rsidRPr="00155E21">
        <w:t>–</w:t>
      </w:r>
      <w:r w:rsidR="00A1669A" w:rsidRPr="00155E21">
        <w:t xml:space="preserve"> V</w:t>
      </w:r>
      <w:r w:rsidR="00A1669A" w:rsidRPr="00155E21">
        <w:rPr>
          <w:vertAlign w:val="subscript"/>
        </w:rPr>
        <w:t>X</w:t>
      </w:r>
      <w:r w:rsidR="00A1669A" w:rsidRPr="00155E21">
        <w:t xml:space="preserve"> </w:t>
      </w:r>
      <w:r w:rsidR="00EA64EB" w:rsidRPr="00155E21">
        <w:t>–</w:t>
      </w:r>
      <w:r w:rsidR="00A1669A" w:rsidRPr="00155E21">
        <w:t xml:space="preserve"> V</w:t>
      </w:r>
      <w:r w:rsidR="00A1669A" w:rsidRPr="00155E21">
        <w:rPr>
          <w:vertAlign w:val="subscript"/>
        </w:rPr>
        <w:t>A</w:t>
      </w:r>
      <w:r w:rsidR="00A1669A" w:rsidRPr="00155E21">
        <w:t xml:space="preserve"> </w:t>
      </w:r>
      <w:r w:rsidR="00EA64EB" w:rsidRPr="00155E21">
        <w:t>–</w:t>
      </w:r>
      <w:r w:rsidR="00A1669A" w:rsidRPr="00155E21">
        <w:t xml:space="preserve"> V</w:t>
      </w:r>
      <w:r w:rsidR="008C4BA8" w:rsidRPr="00155E21">
        <w:rPr>
          <w:vertAlign w:val="subscript"/>
        </w:rPr>
        <w:t>S</w:t>
      </w:r>
      <w:r w:rsidR="00A1669A" w:rsidRPr="00155E21">
        <w:t xml:space="preserve">. Pēc izdarītajām korekcijām katrs reaģējušā joda šķīduma mililitrs atbilst 1 mg </w:t>
      </w:r>
      <w:proofErr w:type="spellStart"/>
      <w:r w:rsidR="00A1669A" w:rsidRPr="00155E21">
        <w:t>invertcukura</w:t>
      </w:r>
      <w:proofErr w:type="spellEnd"/>
      <w:r w:rsidR="00A1669A" w:rsidRPr="00155E21">
        <w:t xml:space="preserve">. </w:t>
      </w:r>
      <w:proofErr w:type="spellStart"/>
      <w:r w:rsidR="00A1669A" w:rsidRPr="00155E21">
        <w:t>Invertcukura</w:t>
      </w:r>
      <w:proofErr w:type="spellEnd"/>
      <w:r w:rsidR="00A1669A" w:rsidRPr="00155E21">
        <w:t xml:space="preserve"> saturu paraugā aprēķina procentos</w:t>
      </w:r>
      <w:r w:rsidR="00DE49B6" w:rsidRPr="00155E21">
        <w:t xml:space="preserve"> pēc</w:t>
      </w:r>
      <w:r w:rsidR="00A1669A" w:rsidRPr="00155E21">
        <w:t xml:space="preserve"> šād</w:t>
      </w:r>
      <w:r w:rsidR="00DE49B6" w:rsidRPr="00155E21">
        <w:t>as</w:t>
      </w:r>
      <w:r w:rsidR="00A1669A" w:rsidRPr="00155E21">
        <w:t xml:space="preserve"> formul</w:t>
      </w:r>
      <w:r w:rsidR="00DE49B6" w:rsidRPr="00155E21">
        <w:t>as</w:t>
      </w:r>
      <w:r w:rsidR="00A1669A" w:rsidRPr="00155E21">
        <w:t>:</w:t>
      </w:r>
    </w:p>
    <w:p w14:paraId="0A170912" w14:textId="77777777" w:rsidR="00716233" w:rsidRPr="00155E21" w:rsidRDefault="00716233" w:rsidP="00155E21">
      <w:pPr>
        <w:ind w:firstLine="720"/>
        <w:jc w:val="both"/>
      </w:pPr>
    </w:p>
    <w:tbl>
      <w:tblPr>
        <w:tblW w:w="259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3518"/>
        <w:gridCol w:w="1031"/>
        <w:gridCol w:w="50"/>
        <w:gridCol w:w="57"/>
      </w:tblGrid>
      <w:tr w:rsidR="00605552" w:rsidRPr="00155E21" w14:paraId="7250A511" w14:textId="77777777" w:rsidTr="00605552">
        <w:trPr>
          <w:trHeight w:val="482"/>
          <w:tblCellSpacing w:w="7" w:type="dxa"/>
        </w:trPr>
        <w:tc>
          <w:tcPr>
            <w:tcW w:w="0" w:type="auto"/>
            <w:vAlign w:val="center"/>
            <w:hideMark/>
          </w:tcPr>
          <w:p w14:paraId="04DCED00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  <w:tc>
          <w:tcPr>
            <w:tcW w:w="3689" w:type="dxa"/>
            <w:vAlign w:val="center"/>
            <w:hideMark/>
          </w:tcPr>
          <w:p w14:paraId="2A7CC2E3" w14:textId="77777777" w:rsidR="00605552" w:rsidRPr="00155E21" w:rsidRDefault="00605552" w:rsidP="00155E21">
            <w:pPr>
              <w:ind w:firstLine="720"/>
              <w:jc w:val="both"/>
            </w:pPr>
          </w:p>
        </w:tc>
        <w:tc>
          <w:tcPr>
            <w:tcW w:w="749" w:type="dxa"/>
            <w:tcBorders>
              <w:bottom w:val="single" w:sz="6" w:space="0" w:color="000000"/>
            </w:tcBorders>
            <w:vAlign w:val="center"/>
            <w:hideMark/>
          </w:tcPr>
          <w:p w14:paraId="0F4D468D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i/>
                <w:iCs/>
                <w:color w:val="414142"/>
              </w:rPr>
            </w:pPr>
            <w:r w:rsidRPr="00155E21">
              <w:rPr>
                <w:rFonts w:ascii="Arial" w:hAnsi="Arial" w:cs="Arial"/>
                <w:i/>
                <w:iCs/>
                <w:color w:val="414142"/>
              </w:rPr>
              <w:t>V</w:t>
            </w:r>
            <w:r w:rsidRPr="00155E21">
              <w:rPr>
                <w:rFonts w:ascii="Arial" w:hAnsi="Arial" w:cs="Arial"/>
                <w:i/>
                <w:iCs/>
                <w:color w:val="414142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9838A9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  <w:tc>
          <w:tcPr>
            <w:tcW w:w="0" w:type="auto"/>
            <w:vAlign w:val="center"/>
            <w:hideMark/>
          </w:tcPr>
          <w:p w14:paraId="44C27007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</w:tr>
      <w:tr w:rsidR="00605552" w:rsidRPr="00155E21" w14:paraId="51F024D4" w14:textId="77777777" w:rsidTr="00605552">
        <w:trPr>
          <w:trHeight w:val="335"/>
          <w:tblCellSpacing w:w="7" w:type="dxa"/>
        </w:trPr>
        <w:tc>
          <w:tcPr>
            <w:tcW w:w="0" w:type="auto"/>
            <w:vAlign w:val="center"/>
            <w:hideMark/>
          </w:tcPr>
          <w:p w14:paraId="1AD965EE" w14:textId="77777777" w:rsidR="00605552" w:rsidRPr="00155E21" w:rsidRDefault="00605552" w:rsidP="00155E21">
            <w:pPr>
              <w:ind w:firstLine="720"/>
              <w:jc w:val="both"/>
            </w:pPr>
          </w:p>
        </w:tc>
        <w:tc>
          <w:tcPr>
            <w:tcW w:w="3689" w:type="dxa"/>
            <w:vAlign w:val="center"/>
            <w:hideMark/>
          </w:tcPr>
          <w:p w14:paraId="21280C8B" w14:textId="77777777" w:rsidR="00605552" w:rsidRPr="00155E21" w:rsidRDefault="00605552" w:rsidP="00155E21">
            <w:pPr>
              <w:ind w:firstLine="720"/>
              <w:jc w:val="both"/>
            </w:pPr>
          </w:p>
        </w:tc>
        <w:tc>
          <w:tcPr>
            <w:tcW w:w="749" w:type="dxa"/>
            <w:vAlign w:val="center"/>
            <w:hideMark/>
          </w:tcPr>
          <w:p w14:paraId="1875E300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  <w:r w:rsidRPr="00155E21">
              <w:rPr>
                <w:rFonts w:ascii="Arial" w:hAnsi="Arial" w:cs="Arial"/>
                <w:color w:val="414142"/>
              </w:rPr>
              <w:t xml:space="preserve">10 x </w:t>
            </w:r>
            <w:r w:rsidRPr="00155E21">
              <w:rPr>
                <w:rFonts w:ascii="Arial" w:hAnsi="Arial" w:cs="Arial"/>
                <w:i/>
                <w:iCs/>
                <w:color w:val="414142"/>
              </w:rPr>
              <w:t>m</w:t>
            </w:r>
            <w:r w:rsidRPr="00155E21">
              <w:rPr>
                <w:rFonts w:ascii="Arial" w:hAnsi="Arial" w:cs="Arial"/>
                <w:i/>
                <w:iCs/>
                <w:color w:val="414142"/>
                <w:vertAlign w:val="subscript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7D923ACF" w14:textId="77777777" w:rsidR="00605552" w:rsidRPr="00155E21" w:rsidRDefault="00605552" w:rsidP="00155E21">
            <w:pPr>
              <w:ind w:firstLine="720"/>
              <w:jc w:val="both"/>
              <w:rPr>
                <w:rFonts w:ascii="Arial" w:hAnsi="Arial" w:cs="Arial"/>
                <w:color w:val="414142"/>
              </w:rPr>
            </w:pPr>
          </w:p>
        </w:tc>
        <w:tc>
          <w:tcPr>
            <w:tcW w:w="0" w:type="auto"/>
            <w:vAlign w:val="center"/>
            <w:hideMark/>
          </w:tcPr>
          <w:p w14:paraId="6DE6FFCC" w14:textId="77777777" w:rsidR="00605552" w:rsidRPr="00155E21" w:rsidRDefault="00605552" w:rsidP="00155E21">
            <w:pPr>
              <w:ind w:firstLine="720"/>
              <w:jc w:val="both"/>
            </w:pPr>
          </w:p>
        </w:tc>
      </w:tr>
    </w:tbl>
    <w:p w14:paraId="04C1AC44" w14:textId="77777777" w:rsidR="00605552" w:rsidRPr="00155E21" w:rsidRDefault="00605552" w:rsidP="00155E21">
      <w:pPr>
        <w:ind w:firstLine="720"/>
        <w:jc w:val="both"/>
      </w:pPr>
    </w:p>
    <w:p w14:paraId="14FA589D" w14:textId="77777777" w:rsidR="006716ED" w:rsidRPr="00155E21" w:rsidRDefault="006716ED" w:rsidP="00155E21">
      <w:pPr>
        <w:ind w:firstLine="720"/>
        <w:jc w:val="both"/>
      </w:pPr>
    </w:p>
    <w:p w14:paraId="63264371" w14:textId="77777777" w:rsidR="006716ED" w:rsidRPr="00155E21" w:rsidRDefault="00605552" w:rsidP="00155E21">
      <w:pPr>
        <w:ind w:firstLine="720"/>
        <w:jc w:val="both"/>
      </w:pPr>
      <w:r w:rsidRPr="00155E21">
        <w:t xml:space="preserve">kur </w:t>
      </w:r>
    </w:p>
    <w:p w14:paraId="4DF64009" w14:textId="77777777" w:rsidR="00605552" w:rsidRPr="00155E21" w:rsidRDefault="00A1669A" w:rsidP="00155E21">
      <w:pPr>
        <w:ind w:firstLine="720"/>
        <w:jc w:val="both"/>
      </w:pPr>
      <w:r w:rsidRPr="00155E21">
        <w:t>V</w:t>
      </w:r>
      <w:r w:rsidRPr="00155E21">
        <w:rPr>
          <w:vertAlign w:val="subscript"/>
        </w:rPr>
        <w:t>1</w:t>
      </w:r>
      <w:r w:rsidRPr="00155E21">
        <w:t xml:space="preserve"> </w:t>
      </w:r>
      <w:r w:rsidR="00EA64EB" w:rsidRPr="00155E21">
        <w:t>–</w:t>
      </w:r>
      <w:r w:rsidRPr="00155E21">
        <w:t xml:space="preserve"> joda šķīduma tilpums pēc precizēšanas (mililitros); </w:t>
      </w:r>
    </w:p>
    <w:p w14:paraId="7B036804" w14:textId="77777777" w:rsidR="00A1669A" w:rsidRPr="00155E21" w:rsidRDefault="00A1669A" w:rsidP="00155E21">
      <w:pPr>
        <w:ind w:firstLine="720"/>
        <w:jc w:val="both"/>
      </w:pPr>
      <w:r w:rsidRPr="00155E21">
        <w:t>m</w:t>
      </w:r>
      <w:r w:rsidRPr="00155E21">
        <w:rPr>
          <w:vertAlign w:val="subscript"/>
        </w:rPr>
        <w:t>0</w:t>
      </w:r>
      <w:r w:rsidRPr="00155E21">
        <w:t xml:space="preserve"> </w:t>
      </w:r>
      <w:r w:rsidR="00EA64EB" w:rsidRPr="00155E21">
        <w:t>–</w:t>
      </w:r>
      <w:r w:rsidRPr="00155E21">
        <w:t xml:space="preserve"> parauga masa (gramos);</w:t>
      </w:r>
    </w:p>
    <w:p w14:paraId="4CBA5DFC" w14:textId="77777777" w:rsidR="00605552" w:rsidRPr="00155E21" w:rsidRDefault="00605552" w:rsidP="00155E21">
      <w:pPr>
        <w:ind w:firstLine="720"/>
        <w:jc w:val="both"/>
      </w:pPr>
    </w:p>
    <w:p w14:paraId="24B46231" w14:textId="0B92394C" w:rsidR="00A1669A" w:rsidRPr="00155E21" w:rsidRDefault="00155E21" w:rsidP="00155E21">
      <w:pPr>
        <w:ind w:firstLine="720"/>
        <w:jc w:val="both"/>
      </w:pPr>
      <w:r>
        <w:t xml:space="preserve">7.3. </w:t>
      </w:r>
      <w:r w:rsidR="00A1669A" w:rsidRPr="00155E21">
        <w:t>atkārtojamība: atšķirība starp diviem vienādos apstākļos viena analītiķa iegūtiem rezultātiem, kas noteikti paralēli vai secīgi vienam un tam pašam paraugam, nedrīkst pārsniegt 0,02 g uz 100 g parauga.</w:t>
      </w:r>
    </w:p>
    <w:p w14:paraId="57883FF0" w14:textId="77777777" w:rsidR="00A66CC5" w:rsidRPr="00155E21" w:rsidRDefault="00A66CC5" w:rsidP="00A1669A">
      <w:pPr>
        <w:jc w:val="both"/>
      </w:pPr>
    </w:p>
    <w:p w14:paraId="4E927F8E" w14:textId="4E7712F4" w:rsidR="00155E21" w:rsidRDefault="00A66CC5" w:rsidP="00A66CC5">
      <w:r w:rsidRPr="00155E21">
        <w:t xml:space="preserve">Zemkopības ministrs </w:t>
      </w:r>
      <w:r w:rsidRPr="00155E21">
        <w:tab/>
      </w:r>
      <w:r w:rsidRPr="00155E21">
        <w:tab/>
      </w:r>
      <w:r w:rsidR="00155E21">
        <w:tab/>
      </w:r>
      <w:r w:rsidR="00155E21">
        <w:tab/>
      </w:r>
      <w:r w:rsidR="00155E21">
        <w:tab/>
      </w:r>
      <w:r w:rsidR="00155E21">
        <w:tab/>
      </w:r>
      <w:r w:rsidR="00155E21">
        <w:tab/>
      </w:r>
      <w:r w:rsidRPr="00155E21">
        <w:tab/>
      </w:r>
      <w:r w:rsidRPr="00155E21">
        <w:tab/>
      </w:r>
      <w:proofErr w:type="spellStart"/>
      <w:r w:rsidRPr="00155E21">
        <w:t>J.Dūklavs</w:t>
      </w:r>
      <w:proofErr w:type="spellEnd"/>
    </w:p>
    <w:p w14:paraId="491F015E" w14:textId="77777777" w:rsidR="00155E21" w:rsidRDefault="00155E21" w:rsidP="00A66CC5">
      <w:bookmarkStart w:id="0" w:name="_GoBack"/>
      <w:bookmarkEnd w:id="0"/>
    </w:p>
    <w:p w14:paraId="45844E1D" w14:textId="77777777" w:rsidR="00155E21" w:rsidRDefault="00155E21" w:rsidP="00A66CC5"/>
    <w:p w14:paraId="6F6EFCE0" w14:textId="77777777" w:rsidR="00155E21" w:rsidRPr="00EF240E" w:rsidRDefault="00155E21" w:rsidP="00A66CC5">
      <w:pPr>
        <w:rPr>
          <w:sz w:val="20"/>
          <w:szCs w:val="20"/>
        </w:rPr>
      </w:pPr>
    </w:p>
    <w:p w14:paraId="55DD92DC" w14:textId="77777777" w:rsidR="00155E21" w:rsidRPr="00EF240E" w:rsidRDefault="00155E21" w:rsidP="00A66CC5">
      <w:pPr>
        <w:pStyle w:val="Pamattekstsaratkpi"/>
        <w:ind w:firstLine="0"/>
        <w:rPr>
          <w:sz w:val="20"/>
        </w:rPr>
      </w:pPr>
      <w:r w:rsidRPr="00EF240E">
        <w:rPr>
          <w:sz w:val="20"/>
        </w:rPr>
        <w:t>12.11.2015. 10:50</w:t>
      </w:r>
    </w:p>
    <w:p w14:paraId="6703730D" w14:textId="77777777" w:rsidR="00155E21" w:rsidRPr="00EF240E" w:rsidRDefault="00155E21" w:rsidP="00A66CC5">
      <w:pPr>
        <w:pStyle w:val="Pamattekstsaratkpi"/>
        <w:ind w:firstLine="0"/>
        <w:rPr>
          <w:sz w:val="20"/>
        </w:rPr>
      </w:pPr>
      <w:r w:rsidRPr="00EF240E">
        <w:rPr>
          <w:sz w:val="20"/>
        </w:rPr>
        <w:fldChar w:fldCharType="begin"/>
      </w:r>
      <w:r w:rsidRPr="00EF240E">
        <w:rPr>
          <w:sz w:val="20"/>
        </w:rPr>
        <w:instrText xml:space="preserve"> NUMWORDS   \* MERGEFORMAT </w:instrText>
      </w:r>
      <w:r w:rsidRPr="00EF240E">
        <w:rPr>
          <w:sz w:val="20"/>
        </w:rPr>
        <w:fldChar w:fldCharType="separate"/>
      </w:r>
      <w:r w:rsidRPr="00EF240E">
        <w:rPr>
          <w:noProof/>
          <w:sz w:val="20"/>
        </w:rPr>
        <w:t>645</w:t>
      </w:r>
      <w:r w:rsidRPr="00EF240E">
        <w:rPr>
          <w:sz w:val="20"/>
        </w:rPr>
        <w:fldChar w:fldCharType="end"/>
      </w:r>
    </w:p>
    <w:p w14:paraId="339653EF" w14:textId="0A619810" w:rsidR="00A66CC5" w:rsidRPr="00EF240E" w:rsidRDefault="00A66CC5" w:rsidP="00A66CC5">
      <w:pPr>
        <w:pStyle w:val="Pamattekstsaratkpi"/>
        <w:ind w:firstLine="0"/>
        <w:rPr>
          <w:sz w:val="20"/>
        </w:rPr>
      </w:pPr>
      <w:r w:rsidRPr="00EF240E">
        <w:rPr>
          <w:sz w:val="20"/>
        </w:rPr>
        <w:t>G.Evardsone</w:t>
      </w:r>
    </w:p>
    <w:p w14:paraId="63DBABE1" w14:textId="75D38497" w:rsidR="00A66CC5" w:rsidRPr="00EF240E" w:rsidRDefault="00A66CC5" w:rsidP="00155E21">
      <w:pPr>
        <w:pStyle w:val="Pamattekstsaratkpi"/>
        <w:ind w:firstLine="0"/>
        <w:outlineLvl w:val="0"/>
        <w:rPr>
          <w:sz w:val="20"/>
        </w:rPr>
      </w:pPr>
      <w:r w:rsidRPr="00EF240E">
        <w:rPr>
          <w:sz w:val="20"/>
        </w:rPr>
        <w:t>67027629, Gunta.Evardsone@zm.gov.lv</w:t>
      </w:r>
    </w:p>
    <w:sectPr w:rsidR="00A66CC5" w:rsidRPr="00EF240E" w:rsidSect="00155E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AD574" w14:textId="77777777" w:rsidR="005439F4" w:rsidRDefault="005439F4">
      <w:r>
        <w:separator/>
      </w:r>
    </w:p>
  </w:endnote>
  <w:endnote w:type="continuationSeparator" w:id="0">
    <w:p w14:paraId="00961498" w14:textId="77777777" w:rsidR="005439F4" w:rsidRDefault="0054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9A74" w14:textId="77777777" w:rsidR="002B3039" w:rsidRDefault="002B303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EB17BA" w14:textId="77777777" w:rsidR="002B3039" w:rsidRDefault="002B303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1C6C" w14:textId="4FE32BB4" w:rsidR="002B3039" w:rsidRPr="00D66EFD" w:rsidRDefault="00D66EFD" w:rsidP="00D66EFD">
    <w:pPr>
      <w:pStyle w:val="Kjene"/>
    </w:pPr>
    <w:r w:rsidRPr="00D66EFD">
      <w:rPr>
        <w:sz w:val="20"/>
      </w:rPr>
      <w:t>ZMnot</w:t>
    </w:r>
    <w:r w:rsidR="001C3DC5">
      <w:rPr>
        <w:sz w:val="20"/>
      </w:rPr>
      <w:t>p</w:t>
    </w:r>
    <w:r w:rsidR="00155E21">
      <w:rPr>
        <w:sz w:val="20"/>
      </w:rPr>
      <w:t>4_1111</w:t>
    </w:r>
    <w:r w:rsidRPr="00D66EFD">
      <w:rPr>
        <w:sz w:val="20"/>
      </w:rPr>
      <w:t>15_cukurs; Ministru kabineta noteikumu projekts „</w:t>
    </w:r>
    <w:r w:rsidR="007654CF" w:rsidRPr="009044CE">
      <w:rPr>
        <w:sz w:val="20"/>
        <w:szCs w:val="20"/>
      </w:rPr>
      <w:t>Dažādu veidu cukura kvalitātes, klasifikācijas un papildu marķējuma prasības</w:t>
    </w:r>
    <w:r w:rsidRPr="00D66EFD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F906" w14:textId="0FFF1159" w:rsidR="00F93E97" w:rsidRPr="00A27D39" w:rsidRDefault="00F93E97" w:rsidP="00F93E97">
    <w:pPr>
      <w:pStyle w:val="Kjene"/>
      <w:rPr>
        <w:sz w:val="20"/>
        <w:szCs w:val="20"/>
      </w:rPr>
    </w:pPr>
    <w:r w:rsidRPr="00A27D39">
      <w:rPr>
        <w:sz w:val="20"/>
        <w:szCs w:val="20"/>
      </w:rPr>
      <w:t>Z</w:t>
    </w:r>
    <w:r w:rsidR="00D66EFD">
      <w:rPr>
        <w:sz w:val="20"/>
        <w:szCs w:val="20"/>
      </w:rPr>
      <w:t>Mnot</w:t>
    </w:r>
    <w:r w:rsidR="001C3DC5">
      <w:rPr>
        <w:sz w:val="20"/>
        <w:szCs w:val="20"/>
      </w:rPr>
      <w:t>p</w:t>
    </w:r>
    <w:r w:rsidR="00155E21">
      <w:rPr>
        <w:sz w:val="20"/>
        <w:szCs w:val="20"/>
      </w:rPr>
      <w:t>4_1111</w:t>
    </w:r>
    <w:r w:rsidR="00D66EFD">
      <w:rPr>
        <w:sz w:val="20"/>
        <w:szCs w:val="20"/>
      </w:rPr>
      <w:t>15</w:t>
    </w:r>
    <w:r w:rsidRPr="00A27D39">
      <w:rPr>
        <w:sz w:val="20"/>
        <w:szCs w:val="20"/>
      </w:rPr>
      <w:t>_</w:t>
    </w:r>
    <w:r w:rsidR="00D66EFD">
      <w:rPr>
        <w:sz w:val="20"/>
        <w:szCs w:val="20"/>
      </w:rPr>
      <w:t>cukurs</w:t>
    </w:r>
    <w:r w:rsidRPr="00A27D39">
      <w:rPr>
        <w:sz w:val="20"/>
        <w:szCs w:val="20"/>
      </w:rPr>
      <w:t>; Ministru kabineta noteikumu projekts „</w:t>
    </w:r>
    <w:r w:rsidR="007654CF" w:rsidRPr="009044CE">
      <w:rPr>
        <w:sz w:val="20"/>
        <w:szCs w:val="20"/>
      </w:rPr>
      <w:t>Dažādu veidu cukura kvalitātes, klasifikācijas un papildu marķējuma prasības</w:t>
    </w:r>
    <w:r w:rsidRPr="00A27D3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A3D6" w14:textId="77777777" w:rsidR="005439F4" w:rsidRDefault="005439F4">
      <w:r>
        <w:separator/>
      </w:r>
    </w:p>
  </w:footnote>
  <w:footnote w:type="continuationSeparator" w:id="0">
    <w:p w14:paraId="79727CB2" w14:textId="77777777" w:rsidR="005439F4" w:rsidRDefault="0054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0C27" w14:textId="77777777"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71115B0" w14:textId="77777777" w:rsidR="002B3039" w:rsidRDefault="002B303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DC2C" w14:textId="77777777" w:rsidR="002B3039" w:rsidRDefault="002B30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240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94B635E" w14:textId="77777777" w:rsidR="002B3039" w:rsidRDefault="002B303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5FA"/>
    <w:multiLevelType w:val="hybridMultilevel"/>
    <w:tmpl w:val="5CA0DD62"/>
    <w:lvl w:ilvl="0" w:tplc="1E3C6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F04EE"/>
    <w:multiLevelType w:val="hybridMultilevel"/>
    <w:tmpl w:val="BAE0BEC0"/>
    <w:lvl w:ilvl="0" w:tplc="AA0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03417"/>
    <w:rsid w:val="00006330"/>
    <w:rsid w:val="000066D2"/>
    <w:rsid w:val="00026D19"/>
    <w:rsid w:val="00031312"/>
    <w:rsid w:val="00034301"/>
    <w:rsid w:val="00034BF7"/>
    <w:rsid w:val="00040614"/>
    <w:rsid w:val="00045958"/>
    <w:rsid w:val="00053FF7"/>
    <w:rsid w:val="00054AA3"/>
    <w:rsid w:val="000748EF"/>
    <w:rsid w:val="00092ACF"/>
    <w:rsid w:val="000A62F5"/>
    <w:rsid w:val="000A7DB2"/>
    <w:rsid w:val="000B3CDA"/>
    <w:rsid w:val="000C1F9E"/>
    <w:rsid w:val="000E31D8"/>
    <w:rsid w:val="000E42E3"/>
    <w:rsid w:val="000F37EF"/>
    <w:rsid w:val="001106C0"/>
    <w:rsid w:val="001111E2"/>
    <w:rsid w:val="00125CFC"/>
    <w:rsid w:val="001323AB"/>
    <w:rsid w:val="00137B21"/>
    <w:rsid w:val="00137E1D"/>
    <w:rsid w:val="00150A73"/>
    <w:rsid w:val="00155E21"/>
    <w:rsid w:val="00167EDB"/>
    <w:rsid w:val="00176C6D"/>
    <w:rsid w:val="001A75D8"/>
    <w:rsid w:val="001C1866"/>
    <w:rsid w:val="001C3DC5"/>
    <w:rsid w:val="001C6AF2"/>
    <w:rsid w:val="001D0841"/>
    <w:rsid w:val="001D6720"/>
    <w:rsid w:val="001D7D94"/>
    <w:rsid w:val="00224B68"/>
    <w:rsid w:val="00243428"/>
    <w:rsid w:val="00253A80"/>
    <w:rsid w:val="00265BEA"/>
    <w:rsid w:val="0027442C"/>
    <w:rsid w:val="0027548D"/>
    <w:rsid w:val="0027690B"/>
    <w:rsid w:val="0028332F"/>
    <w:rsid w:val="00285BD2"/>
    <w:rsid w:val="002A3F0E"/>
    <w:rsid w:val="002B0C4C"/>
    <w:rsid w:val="002B3039"/>
    <w:rsid w:val="002D3C24"/>
    <w:rsid w:val="002E43E0"/>
    <w:rsid w:val="002F1E40"/>
    <w:rsid w:val="003055E6"/>
    <w:rsid w:val="003058FF"/>
    <w:rsid w:val="003078B9"/>
    <w:rsid w:val="0031059E"/>
    <w:rsid w:val="00316C50"/>
    <w:rsid w:val="003208A9"/>
    <w:rsid w:val="003361B2"/>
    <w:rsid w:val="00361CFF"/>
    <w:rsid w:val="00363AFE"/>
    <w:rsid w:val="00363CE2"/>
    <w:rsid w:val="00372AFF"/>
    <w:rsid w:val="003732CB"/>
    <w:rsid w:val="00376A7A"/>
    <w:rsid w:val="003777F5"/>
    <w:rsid w:val="003834BA"/>
    <w:rsid w:val="003930DB"/>
    <w:rsid w:val="003C00AD"/>
    <w:rsid w:val="003C2220"/>
    <w:rsid w:val="003C4D76"/>
    <w:rsid w:val="003D048D"/>
    <w:rsid w:val="003D2566"/>
    <w:rsid w:val="003E5869"/>
    <w:rsid w:val="003F7BBC"/>
    <w:rsid w:val="00400999"/>
    <w:rsid w:val="00410B55"/>
    <w:rsid w:val="0041630F"/>
    <w:rsid w:val="00422283"/>
    <w:rsid w:val="0043388C"/>
    <w:rsid w:val="004414F6"/>
    <w:rsid w:val="00442775"/>
    <w:rsid w:val="00453535"/>
    <w:rsid w:val="00481680"/>
    <w:rsid w:val="0048565D"/>
    <w:rsid w:val="0049421A"/>
    <w:rsid w:val="004A168B"/>
    <w:rsid w:val="004B1529"/>
    <w:rsid w:val="004C1FFF"/>
    <w:rsid w:val="004C77AF"/>
    <w:rsid w:val="004D3247"/>
    <w:rsid w:val="004D488B"/>
    <w:rsid w:val="004D4B35"/>
    <w:rsid w:val="004E5E10"/>
    <w:rsid w:val="00501E0B"/>
    <w:rsid w:val="005073DE"/>
    <w:rsid w:val="00514992"/>
    <w:rsid w:val="005165F0"/>
    <w:rsid w:val="00541FD4"/>
    <w:rsid w:val="00542496"/>
    <w:rsid w:val="00543526"/>
    <w:rsid w:val="005439F4"/>
    <w:rsid w:val="00544B54"/>
    <w:rsid w:val="0055070F"/>
    <w:rsid w:val="005658FA"/>
    <w:rsid w:val="005773DF"/>
    <w:rsid w:val="00577FC8"/>
    <w:rsid w:val="00580DF9"/>
    <w:rsid w:val="0058377F"/>
    <w:rsid w:val="005C1DCB"/>
    <w:rsid w:val="005C4D72"/>
    <w:rsid w:val="005D0D97"/>
    <w:rsid w:val="005D41E6"/>
    <w:rsid w:val="005E76AC"/>
    <w:rsid w:val="005E7CBA"/>
    <w:rsid w:val="0060140D"/>
    <w:rsid w:val="00605552"/>
    <w:rsid w:val="00606609"/>
    <w:rsid w:val="006127BC"/>
    <w:rsid w:val="0061794F"/>
    <w:rsid w:val="00626149"/>
    <w:rsid w:val="0063016F"/>
    <w:rsid w:val="00634258"/>
    <w:rsid w:val="00646722"/>
    <w:rsid w:val="00650029"/>
    <w:rsid w:val="0067106F"/>
    <w:rsid w:val="006716ED"/>
    <w:rsid w:val="0067694F"/>
    <w:rsid w:val="00676AEB"/>
    <w:rsid w:val="00685B27"/>
    <w:rsid w:val="006917C6"/>
    <w:rsid w:val="006934A5"/>
    <w:rsid w:val="00694156"/>
    <w:rsid w:val="006A2517"/>
    <w:rsid w:val="006B1E21"/>
    <w:rsid w:val="006B26D9"/>
    <w:rsid w:val="006B7357"/>
    <w:rsid w:val="006D4072"/>
    <w:rsid w:val="006D56E2"/>
    <w:rsid w:val="006E3001"/>
    <w:rsid w:val="006E7365"/>
    <w:rsid w:val="006F3558"/>
    <w:rsid w:val="006F5D5B"/>
    <w:rsid w:val="00712A73"/>
    <w:rsid w:val="0071408D"/>
    <w:rsid w:val="00716233"/>
    <w:rsid w:val="00724A2B"/>
    <w:rsid w:val="00762641"/>
    <w:rsid w:val="007654CF"/>
    <w:rsid w:val="00775907"/>
    <w:rsid w:val="00777F5E"/>
    <w:rsid w:val="007873C2"/>
    <w:rsid w:val="007901DF"/>
    <w:rsid w:val="007905C4"/>
    <w:rsid w:val="007A57C2"/>
    <w:rsid w:val="007A5B52"/>
    <w:rsid w:val="007B11AB"/>
    <w:rsid w:val="007B6917"/>
    <w:rsid w:val="007D5A2C"/>
    <w:rsid w:val="007E01A6"/>
    <w:rsid w:val="007E60FB"/>
    <w:rsid w:val="007E7044"/>
    <w:rsid w:val="007E7CE5"/>
    <w:rsid w:val="0080653D"/>
    <w:rsid w:val="008255B9"/>
    <w:rsid w:val="00835A53"/>
    <w:rsid w:val="00835AF5"/>
    <w:rsid w:val="00844745"/>
    <w:rsid w:val="00847B0E"/>
    <w:rsid w:val="00852D80"/>
    <w:rsid w:val="008563F2"/>
    <w:rsid w:val="0086217D"/>
    <w:rsid w:val="0087153D"/>
    <w:rsid w:val="0088160F"/>
    <w:rsid w:val="008963DF"/>
    <w:rsid w:val="008A20DE"/>
    <w:rsid w:val="008A5F5E"/>
    <w:rsid w:val="008C4BA8"/>
    <w:rsid w:val="008D17C6"/>
    <w:rsid w:val="008F4958"/>
    <w:rsid w:val="0090308F"/>
    <w:rsid w:val="009208E9"/>
    <w:rsid w:val="009238CA"/>
    <w:rsid w:val="009254CA"/>
    <w:rsid w:val="0093322B"/>
    <w:rsid w:val="00953A32"/>
    <w:rsid w:val="00967A87"/>
    <w:rsid w:val="00976B0A"/>
    <w:rsid w:val="00981A85"/>
    <w:rsid w:val="009858E0"/>
    <w:rsid w:val="009966CD"/>
    <w:rsid w:val="009A411F"/>
    <w:rsid w:val="009B1238"/>
    <w:rsid w:val="009B6C52"/>
    <w:rsid w:val="009C04A5"/>
    <w:rsid w:val="009D3A47"/>
    <w:rsid w:val="009E035F"/>
    <w:rsid w:val="009E09BA"/>
    <w:rsid w:val="009E3FB8"/>
    <w:rsid w:val="009F6783"/>
    <w:rsid w:val="009F7742"/>
    <w:rsid w:val="00A1669A"/>
    <w:rsid w:val="00A27D39"/>
    <w:rsid w:val="00A30230"/>
    <w:rsid w:val="00A3192E"/>
    <w:rsid w:val="00A52629"/>
    <w:rsid w:val="00A5529F"/>
    <w:rsid w:val="00A62577"/>
    <w:rsid w:val="00A6308A"/>
    <w:rsid w:val="00A66CC5"/>
    <w:rsid w:val="00A804E1"/>
    <w:rsid w:val="00AA128A"/>
    <w:rsid w:val="00AA47E3"/>
    <w:rsid w:val="00AC7A11"/>
    <w:rsid w:val="00AD1FEA"/>
    <w:rsid w:val="00AD5A02"/>
    <w:rsid w:val="00AE0342"/>
    <w:rsid w:val="00AE677C"/>
    <w:rsid w:val="00AF7A34"/>
    <w:rsid w:val="00B077D6"/>
    <w:rsid w:val="00B07EBD"/>
    <w:rsid w:val="00B16BD0"/>
    <w:rsid w:val="00B17327"/>
    <w:rsid w:val="00B278FA"/>
    <w:rsid w:val="00B32743"/>
    <w:rsid w:val="00B50569"/>
    <w:rsid w:val="00B542DE"/>
    <w:rsid w:val="00B5436B"/>
    <w:rsid w:val="00B565F8"/>
    <w:rsid w:val="00B66ECE"/>
    <w:rsid w:val="00B707BA"/>
    <w:rsid w:val="00B738C3"/>
    <w:rsid w:val="00B821E0"/>
    <w:rsid w:val="00B95CBA"/>
    <w:rsid w:val="00BB3993"/>
    <w:rsid w:val="00BD0E1D"/>
    <w:rsid w:val="00BD1541"/>
    <w:rsid w:val="00BF06F5"/>
    <w:rsid w:val="00C05975"/>
    <w:rsid w:val="00C11050"/>
    <w:rsid w:val="00C11382"/>
    <w:rsid w:val="00C17C10"/>
    <w:rsid w:val="00C27B3F"/>
    <w:rsid w:val="00C31D15"/>
    <w:rsid w:val="00C31DC4"/>
    <w:rsid w:val="00C40369"/>
    <w:rsid w:val="00C42DE3"/>
    <w:rsid w:val="00C43BA9"/>
    <w:rsid w:val="00C4402E"/>
    <w:rsid w:val="00C53551"/>
    <w:rsid w:val="00C56723"/>
    <w:rsid w:val="00C60015"/>
    <w:rsid w:val="00C6617D"/>
    <w:rsid w:val="00C6691D"/>
    <w:rsid w:val="00C81C97"/>
    <w:rsid w:val="00C84E83"/>
    <w:rsid w:val="00C919D3"/>
    <w:rsid w:val="00C923EA"/>
    <w:rsid w:val="00CA0417"/>
    <w:rsid w:val="00CA7507"/>
    <w:rsid w:val="00CB0315"/>
    <w:rsid w:val="00CC24CF"/>
    <w:rsid w:val="00CC55FA"/>
    <w:rsid w:val="00CD059B"/>
    <w:rsid w:val="00CE3DDD"/>
    <w:rsid w:val="00CE67BE"/>
    <w:rsid w:val="00D03269"/>
    <w:rsid w:val="00D05AEB"/>
    <w:rsid w:val="00D1090B"/>
    <w:rsid w:val="00D34B0E"/>
    <w:rsid w:val="00D37013"/>
    <w:rsid w:val="00D45576"/>
    <w:rsid w:val="00D535D2"/>
    <w:rsid w:val="00D56DD2"/>
    <w:rsid w:val="00D66EFD"/>
    <w:rsid w:val="00D71BEB"/>
    <w:rsid w:val="00D76A6E"/>
    <w:rsid w:val="00D87F76"/>
    <w:rsid w:val="00D90035"/>
    <w:rsid w:val="00D90CEF"/>
    <w:rsid w:val="00DB4A14"/>
    <w:rsid w:val="00DC5993"/>
    <w:rsid w:val="00DD2864"/>
    <w:rsid w:val="00DE1C73"/>
    <w:rsid w:val="00DE49B6"/>
    <w:rsid w:val="00DF689E"/>
    <w:rsid w:val="00E027D3"/>
    <w:rsid w:val="00E15EB9"/>
    <w:rsid w:val="00E2309B"/>
    <w:rsid w:val="00E2405A"/>
    <w:rsid w:val="00E26C1C"/>
    <w:rsid w:val="00E31D6C"/>
    <w:rsid w:val="00E34606"/>
    <w:rsid w:val="00E3642D"/>
    <w:rsid w:val="00E40A2F"/>
    <w:rsid w:val="00E449FA"/>
    <w:rsid w:val="00E51DE6"/>
    <w:rsid w:val="00E5455D"/>
    <w:rsid w:val="00E55173"/>
    <w:rsid w:val="00E554CB"/>
    <w:rsid w:val="00E56FD3"/>
    <w:rsid w:val="00E6751E"/>
    <w:rsid w:val="00E678F8"/>
    <w:rsid w:val="00E73D1B"/>
    <w:rsid w:val="00E75135"/>
    <w:rsid w:val="00E75D55"/>
    <w:rsid w:val="00E811BA"/>
    <w:rsid w:val="00E905AF"/>
    <w:rsid w:val="00E91C98"/>
    <w:rsid w:val="00EA5893"/>
    <w:rsid w:val="00EA64EB"/>
    <w:rsid w:val="00EB7834"/>
    <w:rsid w:val="00EC01E6"/>
    <w:rsid w:val="00EC23AF"/>
    <w:rsid w:val="00EE0797"/>
    <w:rsid w:val="00EF240E"/>
    <w:rsid w:val="00EF4433"/>
    <w:rsid w:val="00F11679"/>
    <w:rsid w:val="00F1226F"/>
    <w:rsid w:val="00F1246F"/>
    <w:rsid w:val="00F4520B"/>
    <w:rsid w:val="00F4545A"/>
    <w:rsid w:val="00F50B6B"/>
    <w:rsid w:val="00F61238"/>
    <w:rsid w:val="00F61D8E"/>
    <w:rsid w:val="00F620A6"/>
    <w:rsid w:val="00F62A2C"/>
    <w:rsid w:val="00F64A0B"/>
    <w:rsid w:val="00F76897"/>
    <w:rsid w:val="00F93E97"/>
    <w:rsid w:val="00FA2E80"/>
    <w:rsid w:val="00FA30D4"/>
    <w:rsid w:val="00FB069A"/>
    <w:rsid w:val="00FB1849"/>
    <w:rsid w:val="00FD44EC"/>
    <w:rsid w:val="00FD486A"/>
    <w:rsid w:val="00FD586F"/>
    <w:rsid w:val="00FE02B4"/>
    <w:rsid w:val="00FE1733"/>
    <w:rsid w:val="00FF23B8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3ADD52"/>
  <w15:docId w15:val="{3A8CAC6E-3839-4144-9EDF-730C897A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hps">
    <w:name w:val="hps"/>
    <w:rsid w:val="00D05AEB"/>
  </w:style>
  <w:style w:type="character" w:styleId="Lappusesnumurs">
    <w:name w:val="page number"/>
    <w:basedOn w:val="Noklusjumarindkopasfonts"/>
  </w:style>
  <w:style w:type="paragraph" w:customStyle="1" w:styleId="naislab">
    <w:name w:val="naislab"/>
    <w:basedOn w:val="Parasts"/>
    <w:pPr>
      <w:spacing w:before="79" w:after="79"/>
      <w:jc w:val="right"/>
    </w:pPr>
  </w:style>
  <w:style w:type="paragraph" w:customStyle="1" w:styleId="naisnod">
    <w:name w:val="naisnod"/>
    <w:basedOn w:val="Parasts"/>
    <w:pPr>
      <w:spacing w:before="100" w:beforeAutospacing="1" w:after="100" w:afterAutospacing="1"/>
    </w:pPr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naiskr">
    <w:name w:val="naiskr"/>
    <w:basedOn w:val="Parasts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rsid w:val="00B66E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66ECE"/>
    <w:rPr>
      <w:rFonts w:ascii="Segoe UI" w:hAnsi="Segoe UI" w:cs="Segoe UI"/>
      <w:sz w:val="18"/>
      <w:szCs w:val="18"/>
    </w:rPr>
  </w:style>
  <w:style w:type="character" w:styleId="Hipersaite">
    <w:name w:val="Hyperlink"/>
    <w:rsid w:val="00C43BA9"/>
    <w:rPr>
      <w:color w:val="0563C1"/>
      <w:u w:val="single"/>
    </w:rPr>
  </w:style>
  <w:style w:type="character" w:styleId="Komentraatsauce">
    <w:name w:val="annotation reference"/>
    <w:rsid w:val="001106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106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106C0"/>
  </w:style>
  <w:style w:type="paragraph" w:styleId="Komentratma">
    <w:name w:val="annotation subject"/>
    <w:basedOn w:val="Komentrateksts"/>
    <w:next w:val="Komentrateksts"/>
    <w:link w:val="KomentratmaRakstz"/>
    <w:rsid w:val="001106C0"/>
    <w:rPr>
      <w:b/>
      <w:bCs/>
    </w:rPr>
  </w:style>
  <w:style w:type="character" w:customStyle="1" w:styleId="KomentratmaRakstz">
    <w:name w:val="Komentāra tēma Rakstz."/>
    <w:link w:val="Komentratma"/>
    <w:rsid w:val="001106C0"/>
    <w:rPr>
      <w:b/>
      <w:bCs/>
    </w:rPr>
  </w:style>
  <w:style w:type="table" w:styleId="Reatabula">
    <w:name w:val="Table Grid"/>
    <w:basedOn w:val="Parastatabula"/>
    <w:rsid w:val="00A5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B821E0"/>
    <w:rPr>
      <w:color w:val="808080"/>
    </w:rPr>
  </w:style>
  <w:style w:type="paragraph" w:styleId="Sarakstarindkopa">
    <w:name w:val="List Paragraph"/>
    <w:basedOn w:val="Parasts"/>
    <w:uiPriority w:val="34"/>
    <w:qFormat/>
    <w:rsid w:val="009B1238"/>
    <w:pPr>
      <w:ind w:left="720"/>
      <w:contextualSpacing/>
    </w:pPr>
  </w:style>
  <w:style w:type="character" w:customStyle="1" w:styleId="Tablecaption">
    <w:name w:val="Table caption_"/>
    <w:basedOn w:val="Noklusjumarindkopasfonts"/>
    <w:link w:val="Tablecaption0"/>
    <w:rsid w:val="00E551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"/>
    <w:basedOn w:val="Noklusjumarindkopasfonts"/>
    <w:rsid w:val="00E55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Tablecaption0">
    <w:name w:val="Table caption"/>
    <w:basedOn w:val="Parasts"/>
    <w:link w:val="Tablecaption"/>
    <w:rsid w:val="00E5517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A66CC5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66CC5"/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081">
              <w:marLeft w:val="58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42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47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103">
                          <w:marLeft w:val="232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FA4C-3927-4FB0-A5CE-F932225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3972</Characters>
  <Application>Microsoft Office Word</Application>
  <DocSecurity>0</DocSecurity>
  <Lines>110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23.novembra noteikumos Nr.964 "Pārtikas preču marķēšanas noteikumi"</vt:lpstr>
      <vt:lpstr>Grozījumi Ministru kabineta 2004.gada 23.novembra noteikumos Nr.964 "Pārtikas preču marķēšanas noteikumi"</vt:lpstr>
    </vt:vector>
  </TitlesOfParts>
  <Company>ZM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Nr.964 "Pārtikas preču marķēšanas noteikumi"</dc:title>
  <dc:subject>noteikumu projekts</dc:subject>
  <dc:creator>Daina Krastiņa</dc:creator>
  <cp:keywords/>
  <dc:description/>
  <cp:lastModifiedBy>Antra Dāldere</cp:lastModifiedBy>
  <cp:revision>4</cp:revision>
  <cp:lastPrinted>2014-12-04T07:45:00Z</cp:lastPrinted>
  <dcterms:created xsi:type="dcterms:W3CDTF">2015-11-12T06:42:00Z</dcterms:created>
  <dcterms:modified xsi:type="dcterms:W3CDTF">2015-11-12T08:50:00Z</dcterms:modified>
</cp:coreProperties>
</file>