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945DC" w14:textId="4579AE12" w:rsidR="00A52629" w:rsidRPr="002A18B6" w:rsidRDefault="00341B75" w:rsidP="00FD486A">
      <w:pPr>
        <w:ind w:firstLine="720"/>
        <w:jc w:val="right"/>
      </w:pPr>
      <w:r w:rsidRPr="002A18B6">
        <w:t>8</w:t>
      </w:r>
      <w:r w:rsidR="00D66EFD" w:rsidRPr="002A18B6">
        <w:t>.p</w:t>
      </w:r>
      <w:r w:rsidR="00A52629" w:rsidRPr="002A18B6">
        <w:t>ielikums</w:t>
      </w:r>
    </w:p>
    <w:p w14:paraId="56396832" w14:textId="77777777" w:rsidR="002A18B6" w:rsidRPr="0030636F" w:rsidRDefault="002A18B6" w:rsidP="002A18B6">
      <w:pPr>
        <w:ind w:firstLine="720"/>
        <w:jc w:val="right"/>
      </w:pPr>
      <w:r w:rsidRPr="0030636F">
        <w:t>Ministru kabineta</w:t>
      </w:r>
    </w:p>
    <w:p w14:paraId="735F294B" w14:textId="77777777" w:rsidR="002A18B6" w:rsidRPr="0030636F" w:rsidRDefault="002A18B6" w:rsidP="002A18B6">
      <w:pPr>
        <w:ind w:firstLine="720"/>
        <w:jc w:val="right"/>
      </w:pPr>
      <w:r w:rsidRPr="0030636F">
        <w:t>2015. gada</w:t>
      </w:r>
      <w:r w:rsidRPr="0030636F">
        <w:tab/>
        <w:t>.novembra</w:t>
      </w:r>
    </w:p>
    <w:p w14:paraId="24C00800" w14:textId="77777777" w:rsidR="002A18B6" w:rsidRDefault="002A18B6" w:rsidP="002A18B6">
      <w:pPr>
        <w:jc w:val="right"/>
      </w:pPr>
      <w:r w:rsidRPr="0030636F">
        <w:t>noteikumiem Nr</w:t>
      </w:r>
      <w:r>
        <w:t>.</w:t>
      </w:r>
      <w:r>
        <w:tab/>
      </w:r>
    </w:p>
    <w:p w14:paraId="2720D668" w14:textId="77777777" w:rsidR="0041630F" w:rsidRPr="002A18B6" w:rsidRDefault="0041630F" w:rsidP="00E15EB9">
      <w:pPr>
        <w:jc w:val="center"/>
      </w:pPr>
    </w:p>
    <w:p w14:paraId="31CE1485" w14:textId="77777777" w:rsidR="003012EB" w:rsidRPr="002A18B6" w:rsidRDefault="00341B75" w:rsidP="003012EB">
      <w:pPr>
        <w:ind w:firstLine="720"/>
        <w:jc w:val="center"/>
        <w:rPr>
          <w:b/>
        </w:rPr>
      </w:pPr>
      <w:r w:rsidRPr="002A18B6">
        <w:rPr>
          <w:b/>
        </w:rPr>
        <w:t>Dekstrozes ekvivalenta noteikšana</w:t>
      </w:r>
    </w:p>
    <w:p w14:paraId="49F609C2" w14:textId="77777777" w:rsidR="00341B75" w:rsidRPr="002A18B6" w:rsidRDefault="00341B75" w:rsidP="003012EB">
      <w:pPr>
        <w:ind w:firstLine="720"/>
        <w:jc w:val="center"/>
        <w:rPr>
          <w:b/>
        </w:rPr>
      </w:pPr>
      <w:r w:rsidRPr="002A18B6">
        <w:rPr>
          <w:b/>
        </w:rPr>
        <w:t>(</w:t>
      </w:r>
      <w:proofErr w:type="spellStart"/>
      <w:r w:rsidRPr="002A18B6">
        <w:rPr>
          <w:b/>
          <w:i/>
        </w:rPr>
        <w:t>Lane</w:t>
      </w:r>
      <w:proofErr w:type="spellEnd"/>
      <w:r w:rsidRPr="002A18B6">
        <w:rPr>
          <w:b/>
        </w:rPr>
        <w:t xml:space="preserve"> un </w:t>
      </w:r>
      <w:proofErr w:type="spellStart"/>
      <w:r w:rsidRPr="002A18B6">
        <w:rPr>
          <w:b/>
          <w:i/>
        </w:rPr>
        <w:t>Eynon</w:t>
      </w:r>
      <w:proofErr w:type="spellEnd"/>
      <w:r w:rsidRPr="002A18B6">
        <w:rPr>
          <w:b/>
        </w:rPr>
        <w:t xml:space="preserve"> konstante)</w:t>
      </w:r>
    </w:p>
    <w:p w14:paraId="7EE13057" w14:textId="77777777" w:rsidR="003012EB" w:rsidRPr="002A18B6" w:rsidRDefault="003012EB" w:rsidP="003012EB">
      <w:pPr>
        <w:ind w:firstLine="720"/>
        <w:jc w:val="center"/>
      </w:pPr>
    </w:p>
    <w:p w14:paraId="200863C8" w14:textId="6DD93C80" w:rsidR="00341B75" w:rsidRPr="002A18B6" w:rsidRDefault="002A18B6" w:rsidP="002A18B6">
      <w:pPr>
        <w:ind w:firstLine="720"/>
        <w:jc w:val="both"/>
      </w:pPr>
      <w:r>
        <w:t xml:space="preserve">1. </w:t>
      </w:r>
      <w:r w:rsidR="00341B75" w:rsidRPr="002A18B6">
        <w:t>Izmantojot šo metodi, nosaka dekstrozes ekvivalentu šādiem cukura veidiem:</w:t>
      </w:r>
    </w:p>
    <w:p w14:paraId="7CE8B1F7" w14:textId="21C21A8E" w:rsidR="00341B75" w:rsidRPr="002A18B6" w:rsidRDefault="002A18B6" w:rsidP="002A18B6">
      <w:pPr>
        <w:ind w:firstLine="720"/>
        <w:jc w:val="both"/>
      </w:pPr>
      <w:r>
        <w:t xml:space="preserve">1.1. </w:t>
      </w:r>
      <w:r w:rsidR="00341B75" w:rsidRPr="002A18B6">
        <w:t>glikozes sīrupam;</w:t>
      </w:r>
    </w:p>
    <w:p w14:paraId="0600476C" w14:textId="36616F10" w:rsidR="00341B75" w:rsidRPr="002A18B6" w:rsidRDefault="002A18B6" w:rsidP="002A18B6">
      <w:pPr>
        <w:ind w:firstLine="720"/>
        <w:jc w:val="both"/>
      </w:pPr>
      <w:r>
        <w:t xml:space="preserve">1.2. </w:t>
      </w:r>
      <w:r w:rsidR="00341B75" w:rsidRPr="002A18B6">
        <w:t>sausajam glikozes sīrupam;</w:t>
      </w:r>
    </w:p>
    <w:p w14:paraId="53C0A2EB" w14:textId="24604F25" w:rsidR="00341B75" w:rsidRPr="002A18B6" w:rsidRDefault="002A18B6" w:rsidP="002A18B6">
      <w:pPr>
        <w:ind w:firstLine="720"/>
        <w:jc w:val="both"/>
      </w:pPr>
      <w:r>
        <w:t xml:space="preserve">1.3. </w:t>
      </w:r>
      <w:r w:rsidR="00341B75" w:rsidRPr="002A18B6">
        <w:t>dekstrozes monohidrātam;</w:t>
      </w:r>
    </w:p>
    <w:p w14:paraId="2037036A" w14:textId="448A8CCA" w:rsidR="00341B75" w:rsidRPr="002A18B6" w:rsidRDefault="002A18B6" w:rsidP="002A18B6">
      <w:pPr>
        <w:ind w:firstLine="720"/>
        <w:jc w:val="both"/>
      </w:pPr>
      <w:r>
        <w:t xml:space="preserve">1.4. </w:t>
      </w:r>
      <w:r w:rsidR="00341B75" w:rsidRPr="002A18B6">
        <w:t>bezūdens dekstrozei.</w:t>
      </w:r>
    </w:p>
    <w:p w14:paraId="798ABE83" w14:textId="77777777" w:rsidR="003012EB" w:rsidRPr="002A18B6" w:rsidRDefault="003012EB" w:rsidP="002A18B6">
      <w:pPr>
        <w:ind w:firstLine="720"/>
        <w:jc w:val="both"/>
      </w:pPr>
    </w:p>
    <w:p w14:paraId="5ABBB2F5" w14:textId="6CE27DDF" w:rsidR="00341B75" w:rsidRPr="002A18B6" w:rsidRDefault="002A18B6" w:rsidP="002A18B6">
      <w:pPr>
        <w:ind w:firstLine="720"/>
        <w:jc w:val="both"/>
      </w:pPr>
      <w:r>
        <w:t xml:space="preserve">2. </w:t>
      </w:r>
      <w:r w:rsidR="00341B75" w:rsidRPr="002A18B6">
        <w:t>Dekstrozes ekvivalents ir reducēšanas spēja, kas aprēķināta procentos no parauga sausnas masas. Reducēšanas spēja ir reducējošo cukuru saturs, kas izteikta kā bezūdens dekstroze (D</w:t>
      </w:r>
      <w:r w:rsidR="00C7168D" w:rsidRPr="002A18B6">
        <w:t>-</w:t>
      </w:r>
      <w:r w:rsidR="00341B75" w:rsidRPr="002A18B6">
        <w:t xml:space="preserve">glikoze) un </w:t>
      </w:r>
      <w:proofErr w:type="gramStart"/>
      <w:r w:rsidR="00341B75" w:rsidRPr="002A18B6">
        <w:t>aprēķināta procentos no parauga masas,</w:t>
      </w:r>
      <w:proofErr w:type="gramEnd"/>
      <w:r w:rsidR="00341B75" w:rsidRPr="002A18B6">
        <w:t xml:space="preserve"> un noteikta ar šo metodi.</w:t>
      </w:r>
    </w:p>
    <w:p w14:paraId="6DCD3525" w14:textId="77777777" w:rsidR="003012EB" w:rsidRPr="002A18B6" w:rsidRDefault="003012EB" w:rsidP="002A18B6">
      <w:pPr>
        <w:ind w:firstLine="720"/>
        <w:jc w:val="both"/>
      </w:pPr>
    </w:p>
    <w:p w14:paraId="747CCBF7" w14:textId="5233DEDE" w:rsidR="00341B75" w:rsidRPr="002A18B6" w:rsidRDefault="002A18B6" w:rsidP="002A18B6">
      <w:pPr>
        <w:ind w:firstLine="720"/>
        <w:jc w:val="both"/>
      </w:pPr>
      <w:r>
        <w:t xml:space="preserve">3. </w:t>
      </w:r>
      <w:r w:rsidR="00341B75" w:rsidRPr="002A18B6">
        <w:t xml:space="preserve">Ar parauga šķīdumu titrē noteiktu daudzumu </w:t>
      </w:r>
      <w:proofErr w:type="spellStart"/>
      <w:r w:rsidR="00341B75" w:rsidRPr="002A18B6">
        <w:t>Fēlinga</w:t>
      </w:r>
      <w:proofErr w:type="spellEnd"/>
      <w:r w:rsidR="00341B75" w:rsidRPr="002A18B6">
        <w:t xml:space="preserve"> šķīdumu maisījumu stingri noteiktos apstākļos viršanas temperatūrā, par indikatoru izmantojot </w:t>
      </w:r>
      <w:proofErr w:type="spellStart"/>
      <w:r w:rsidR="00341B75" w:rsidRPr="002A18B6">
        <w:t>metilēnzilo</w:t>
      </w:r>
      <w:proofErr w:type="spellEnd"/>
      <w:r w:rsidR="00341B75" w:rsidRPr="002A18B6">
        <w:t>.</w:t>
      </w:r>
    </w:p>
    <w:p w14:paraId="72A9C8ED" w14:textId="77777777" w:rsidR="003012EB" w:rsidRPr="002A18B6" w:rsidRDefault="003012EB" w:rsidP="002A18B6">
      <w:pPr>
        <w:ind w:firstLine="720"/>
        <w:jc w:val="both"/>
      </w:pPr>
    </w:p>
    <w:p w14:paraId="768E1239" w14:textId="4BA8D8EF" w:rsidR="00341B75" w:rsidRPr="002A18B6" w:rsidRDefault="002A18B6" w:rsidP="002A18B6">
      <w:pPr>
        <w:ind w:firstLine="720"/>
        <w:jc w:val="both"/>
      </w:pPr>
      <w:r>
        <w:t xml:space="preserve">4. </w:t>
      </w:r>
      <w:r w:rsidR="00341B75" w:rsidRPr="002A18B6">
        <w:t>Reaģenti:</w:t>
      </w:r>
    </w:p>
    <w:p w14:paraId="435E04BA" w14:textId="6D5E76D0" w:rsidR="00341B75" w:rsidRPr="002A18B6" w:rsidRDefault="002A18B6" w:rsidP="002A18B6">
      <w:pPr>
        <w:ind w:firstLine="720"/>
        <w:jc w:val="both"/>
      </w:pPr>
      <w:r>
        <w:t xml:space="preserve">4.1. </w:t>
      </w:r>
      <w:proofErr w:type="spellStart"/>
      <w:r w:rsidR="00341B75" w:rsidRPr="002A18B6">
        <w:t>Fēlinga</w:t>
      </w:r>
      <w:proofErr w:type="spellEnd"/>
      <w:r w:rsidR="00341B75" w:rsidRPr="002A18B6">
        <w:t xml:space="preserve"> šķīdums:</w:t>
      </w:r>
    </w:p>
    <w:p w14:paraId="08E81C54" w14:textId="2E031FFC" w:rsidR="00341B75" w:rsidRPr="002A18B6" w:rsidRDefault="002A18B6" w:rsidP="002A18B6">
      <w:pPr>
        <w:ind w:firstLine="720"/>
        <w:jc w:val="both"/>
      </w:pPr>
      <w:r>
        <w:t xml:space="preserve">4.1.1. </w:t>
      </w:r>
      <w:r w:rsidR="00341B75" w:rsidRPr="002A18B6">
        <w:t xml:space="preserve">A šķīdums </w:t>
      </w:r>
      <w:r w:rsidR="005025B3" w:rsidRPr="002A18B6">
        <w:t>–</w:t>
      </w:r>
      <w:r w:rsidR="00341B75" w:rsidRPr="002A18B6">
        <w:t xml:space="preserve"> izšķīdina 69,3 g vara (II) sulfāta pentahidrāta(CuS0</w:t>
      </w:r>
      <w:r w:rsidR="00341B75" w:rsidRPr="002A18B6">
        <w:rPr>
          <w:vertAlign w:val="subscript"/>
        </w:rPr>
        <w:t xml:space="preserve">4 </w:t>
      </w:r>
      <w:r w:rsidR="00341B75" w:rsidRPr="002A18B6">
        <w:t>* 5H</w:t>
      </w:r>
      <w:r w:rsidR="00341B75" w:rsidRPr="002A18B6">
        <w:rPr>
          <w:vertAlign w:val="subscript"/>
        </w:rPr>
        <w:t>2</w:t>
      </w:r>
      <w:r w:rsidR="00341B75" w:rsidRPr="002A18B6">
        <w:t>O) ūdenī un uzpilda mērkolbu līdz 1000 ml;</w:t>
      </w:r>
    </w:p>
    <w:p w14:paraId="4B93844D" w14:textId="0CF8409A" w:rsidR="00341B75" w:rsidRPr="002A18B6" w:rsidRDefault="002A18B6" w:rsidP="002A18B6">
      <w:pPr>
        <w:ind w:firstLine="720"/>
        <w:jc w:val="both"/>
      </w:pPr>
      <w:r>
        <w:t xml:space="preserve">4.1.2. </w:t>
      </w:r>
      <w:r w:rsidR="00341B75" w:rsidRPr="002A18B6">
        <w:t xml:space="preserve">B šķīdums </w:t>
      </w:r>
      <w:r w:rsidR="005025B3" w:rsidRPr="002A18B6">
        <w:t>–</w:t>
      </w:r>
      <w:r w:rsidR="00341B75" w:rsidRPr="002A18B6">
        <w:t xml:space="preserve"> ūdenī izšķīdina 346 g nātrija kālija </w:t>
      </w:r>
      <w:proofErr w:type="spellStart"/>
      <w:r w:rsidR="00341B75" w:rsidRPr="002A18B6">
        <w:t>tatrāta</w:t>
      </w:r>
      <w:proofErr w:type="spellEnd"/>
      <w:r w:rsidR="00341B75" w:rsidRPr="002A18B6">
        <w:t xml:space="preserve"> </w:t>
      </w:r>
      <w:proofErr w:type="spellStart"/>
      <w:r w:rsidR="00341B75" w:rsidRPr="002A18B6">
        <w:t>tetrahidrāta</w:t>
      </w:r>
      <w:proofErr w:type="spellEnd"/>
      <w:r w:rsidR="00341B75" w:rsidRPr="002A18B6">
        <w:t xml:space="preserve"> (KNaC</w:t>
      </w:r>
      <w:r w:rsidR="00341B75" w:rsidRPr="002A18B6">
        <w:rPr>
          <w:vertAlign w:val="subscript"/>
        </w:rPr>
        <w:t>4</w:t>
      </w:r>
      <w:r w:rsidR="00341B75" w:rsidRPr="002A18B6">
        <w:t>H</w:t>
      </w:r>
      <w:r w:rsidR="00341B75" w:rsidRPr="002A18B6">
        <w:rPr>
          <w:vertAlign w:val="subscript"/>
        </w:rPr>
        <w:t>4</w:t>
      </w:r>
      <w:r w:rsidR="00341B75" w:rsidRPr="002A18B6">
        <w:t>0</w:t>
      </w:r>
      <w:r w:rsidR="00341B75" w:rsidRPr="002A18B6">
        <w:rPr>
          <w:vertAlign w:val="subscript"/>
        </w:rPr>
        <w:t>6</w:t>
      </w:r>
      <w:r w:rsidR="00341B75" w:rsidRPr="002A18B6">
        <w:t xml:space="preserve"> x 4H</w:t>
      </w:r>
      <w:r w:rsidR="00341B75" w:rsidRPr="002A18B6">
        <w:rPr>
          <w:vertAlign w:val="subscript"/>
        </w:rPr>
        <w:t>2</w:t>
      </w:r>
      <w:r w:rsidR="00341B75" w:rsidRPr="002A18B6">
        <w:t>O) un 100 g nātrija hidroksīda. Mērkolbu uzpilda līdz 1000</w:t>
      </w:r>
      <w:r w:rsidR="00C7168D" w:rsidRPr="002A18B6">
        <w:t> </w:t>
      </w:r>
      <w:r w:rsidR="00341B75" w:rsidRPr="002A18B6">
        <w:t xml:space="preserve">ml tilpumam. Dzidro šķīdumu dekantē no nogulsnēm, kas laiku pa laikam </w:t>
      </w:r>
      <w:r w:rsidR="00C7168D" w:rsidRPr="002A18B6">
        <w:t xml:space="preserve">var </w:t>
      </w:r>
      <w:r w:rsidR="00341B75" w:rsidRPr="002A18B6">
        <w:t>rasties;</w:t>
      </w:r>
    </w:p>
    <w:p w14:paraId="75476A3E" w14:textId="3FDDFC8A" w:rsidR="00341B75" w:rsidRPr="002A18B6" w:rsidRDefault="003012EB" w:rsidP="002A18B6">
      <w:pPr>
        <w:ind w:firstLine="720"/>
        <w:jc w:val="both"/>
      </w:pPr>
      <w:r w:rsidRPr="002A18B6">
        <w:t>4.</w:t>
      </w:r>
      <w:r w:rsidR="00E206A9" w:rsidRPr="002A18B6">
        <w:t>2</w:t>
      </w:r>
      <w:r w:rsidRPr="002A18B6">
        <w:t xml:space="preserve">. </w:t>
      </w:r>
      <w:r w:rsidR="00341B75" w:rsidRPr="002A18B6">
        <w:t>šī pielikuma 4.1.1. un 4.1.2.</w:t>
      </w:r>
      <w:r w:rsidR="00C7168D" w:rsidRPr="002A18B6">
        <w:t> </w:t>
      </w:r>
      <w:r w:rsidR="00341B75" w:rsidRPr="002A18B6">
        <w:t>apakšpunktā</w:t>
      </w:r>
      <w:r w:rsidRPr="002A18B6">
        <w:t xml:space="preserve"> minētos šķīdumus uz</w:t>
      </w:r>
      <w:r w:rsidR="00341B75" w:rsidRPr="002A18B6">
        <w:t>glabā tumšās stikla pudelēs;</w:t>
      </w:r>
    </w:p>
    <w:p w14:paraId="4FC3B86B" w14:textId="607BF3DD" w:rsidR="00341B75" w:rsidRPr="002A18B6" w:rsidRDefault="003012EB" w:rsidP="002A18B6">
      <w:pPr>
        <w:ind w:firstLine="720"/>
        <w:jc w:val="both"/>
      </w:pPr>
      <w:r w:rsidRPr="002A18B6">
        <w:t>4.</w:t>
      </w:r>
      <w:r w:rsidR="00E206A9" w:rsidRPr="002A18B6">
        <w:t>3</w:t>
      </w:r>
      <w:r w:rsidR="002A18B6">
        <w:t>.</w:t>
      </w:r>
      <w:r w:rsidR="005F6E14" w:rsidRPr="002A18B6">
        <w:t xml:space="preserve"> j</w:t>
      </w:r>
      <w:r w:rsidRPr="002A18B6">
        <w:t xml:space="preserve">auktā </w:t>
      </w:r>
      <w:proofErr w:type="spellStart"/>
      <w:r w:rsidR="00341B75" w:rsidRPr="002A18B6">
        <w:t>Fēlinga</w:t>
      </w:r>
      <w:proofErr w:type="spellEnd"/>
      <w:r w:rsidR="00341B75" w:rsidRPr="002A18B6">
        <w:t xml:space="preserve"> šķīduma gatavošana: tīrā, sausā kolbā ar </w:t>
      </w:r>
      <w:proofErr w:type="spellStart"/>
      <w:r w:rsidR="00341B75" w:rsidRPr="002A18B6">
        <w:t>mērpipeti</w:t>
      </w:r>
      <w:proofErr w:type="spellEnd"/>
      <w:r w:rsidR="00341B75" w:rsidRPr="002A18B6">
        <w:t xml:space="preserve"> pārnes 50 ml B šķīduma un pēc tam 50 ml A šķīduma un labi samaisa;</w:t>
      </w:r>
    </w:p>
    <w:p w14:paraId="2286D04B" w14:textId="7990ADDB" w:rsidR="003012EB" w:rsidRPr="002A18B6" w:rsidRDefault="005F6E14" w:rsidP="002A18B6">
      <w:pPr>
        <w:ind w:firstLine="720"/>
        <w:jc w:val="both"/>
      </w:pPr>
      <w:r w:rsidRPr="002A18B6">
        <w:t>4.</w:t>
      </w:r>
      <w:r w:rsidR="00E206A9" w:rsidRPr="002A18B6">
        <w:t>4</w:t>
      </w:r>
      <w:r w:rsidRPr="002A18B6">
        <w:t xml:space="preserve"> j</w:t>
      </w:r>
      <w:r w:rsidR="003012EB" w:rsidRPr="002A18B6">
        <w:t xml:space="preserve">aukto </w:t>
      </w:r>
      <w:proofErr w:type="spellStart"/>
      <w:r w:rsidR="00341B75" w:rsidRPr="002A18B6">
        <w:t>Fēlinga</w:t>
      </w:r>
      <w:proofErr w:type="spellEnd"/>
      <w:r w:rsidR="00341B75" w:rsidRPr="002A18B6">
        <w:t xml:space="preserve"> šķīdumu nedrīkst uzglabāt, bet to katru dienu gatavo svaigu un standartizē;</w:t>
      </w:r>
    </w:p>
    <w:p w14:paraId="28F1848B" w14:textId="5F029826" w:rsidR="00341B75" w:rsidRPr="002A18B6" w:rsidRDefault="00341B75" w:rsidP="002A18B6">
      <w:pPr>
        <w:ind w:firstLine="720"/>
        <w:jc w:val="both"/>
      </w:pPr>
      <w:r w:rsidRPr="002A18B6">
        <w:t>4.</w:t>
      </w:r>
      <w:r w:rsidR="00E206A9" w:rsidRPr="002A18B6">
        <w:t>5</w:t>
      </w:r>
      <w:r w:rsidR="002A18B6">
        <w:t xml:space="preserve">. </w:t>
      </w:r>
      <w:r w:rsidRPr="002A18B6">
        <w:t>bezūdens dekstroze (D-glikoze) C</w:t>
      </w:r>
      <w:r w:rsidR="003012EB" w:rsidRPr="002A18B6">
        <w:rPr>
          <w:vertAlign w:val="subscript"/>
        </w:rPr>
        <w:t>6</w:t>
      </w:r>
      <w:r w:rsidRPr="002A18B6">
        <w:t>H</w:t>
      </w:r>
      <w:r w:rsidR="003012EB" w:rsidRPr="002A18B6">
        <w:rPr>
          <w:vertAlign w:val="subscript"/>
        </w:rPr>
        <w:t>12</w:t>
      </w:r>
      <w:r w:rsidRPr="002A18B6">
        <w:t>O</w:t>
      </w:r>
      <w:r w:rsidR="003012EB" w:rsidRPr="002A18B6">
        <w:rPr>
          <w:vertAlign w:val="subscript"/>
        </w:rPr>
        <w:t>6</w:t>
      </w:r>
      <w:r w:rsidRPr="002A18B6">
        <w:t xml:space="preserve"> </w:t>
      </w:r>
      <w:r w:rsidR="005025B3" w:rsidRPr="002A18B6">
        <w:t>–</w:t>
      </w:r>
      <w:r w:rsidRPr="002A18B6">
        <w:t xml:space="preserve"> šo reaģentu pirms lietošanas četras stundas žāvē vakuuma žāvēšanas skapī 100 ± 1 °C temperatūrā</w:t>
      </w:r>
      <w:r w:rsidR="00C7168D" w:rsidRPr="002A18B6">
        <w:t xml:space="preserve"> ar</w:t>
      </w:r>
      <w:r w:rsidRPr="002A18B6">
        <w:t xml:space="preserve"> spiedien</w:t>
      </w:r>
      <w:r w:rsidR="00C7168D" w:rsidRPr="002A18B6">
        <w:t>u</w:t>
      </w:r>
      <w:r w:rsidRPr="002A18B6">
        <w:t xml:space="preserve"> aptuveni 10 </w:t>
      </w:r>
      <w:proofErr w:type="spellStart"/>
      <w:r w:rsidRPr="002A18B6">
        <w:t>kPa</w:t>
      </w:r>
      <w:proofErr w:type="spellEnd"/>
      <w:r w:rsidRPr="002A18B6">
        <w:t xml:space="preserve"> (103 </w:t>
      </w:r>
      <w:proofErr w:type="spellStart"/>
      <w:r w:rsidRPr="002A18B6">
        <w:t>mbar</w:t>
      </w:r>
      <w:proofErr w:type="spellEnd"/>
      <w:r w:rsidRPr="002A18B6">
        <w:t>);</w:t>
      </w:r>
    </w:p>
    <w:p w14:paraId="5476A448" w14:textId="1E0A3400" w:rsidR="00341B75" w:rsidRPr="002A18B6" w:rsidRDefault="00341B75" w:rsidP="002A18B6">
      <w:pPr>
        <w:ind w:firstLine="720"/>
        <w:jc w:val="both"/>
      </w:pPr>
      <w:r w:rsidRPr="002A18B6">
        <w:t>4.</w:t>
      </w:r>
      <w:r w:rsidR="00E206A9" w:rsidRPr="002A18B6">
        <w:t>6</w:t>
      </w:r>
      <w:r w:rsidR="002A18B6">
        <w:t xml:space="preserve">. </w:t>
      </w:r>
      <w:r w:rsidRPr="002A18B6">
        <w:t>standarta dekstrozes šķīdums 0,600 g/100 ml. Ar precizitāti līdz 0,1</w:t>
      </w:r>
      <w:r w:rsidR="00C7168D" w:rsidRPr="002A18B6">
        <w:t> </w:t>
      </w:r>
      <w:r w:rsidRPr="002A18B6">
        <w:t>mg nosver 0,6 g bezūdens dekstrozes, izšķīdina ūdenī, šķīdumu kvantitatīvi pārnes 100 ml mērkolbā, līdz zīmei atšķaida ar ūdeni un samaisa. Šo šķīdumu gatavo no jauna katrai lietošanas dienai;</w:t>
      </w:r>
    </w:p>
    <w:p w14:paraId="66894B8D" w14:textId="4097683D" w:rsidR="00341B75" w:rsidRPr="002A18B6" w:rsidRDefault="005F6E14" w:rsidP="002A18B6">
      <w:pPr>
        <w:ind w:firstLine="720"/>
        <w:jc w:val="both"/>
      </w:pPr>
      <w:r w:rsidRPr="002A18B6">
        <w:t>4.</w:t>
      </w:r>
      <w:r w:rsidR="00E206A9" w:rsidRPr="002A18B6">
        <w:t>7</w:t>
      </w:r>
      <w:r w:rsidR="002A18B6">
        <w:t xml:space="preserve">. </w:t>
      </w:r>
      <w:proofErr w:type="spellStart"/>
      <w:r w:rsidRPr="002A18B6">
        <w:t>metilēnzilā</w:t>
      </w:r>
      <w:proofErr w:type="spellEnd"/>
      <w:r w:rsidRPr="002A18B6">
        <w:t xml:space="preserve"> šķīdums,</w:t>
      </w:r>
      <w:r w:rsidR="00341B75" w:rsidRPr="002A18B6">
        <w:t xml:space="preserve"> 0,1 g </w:t>
      </w:r>
      <w:proofErr w:type="spellStart"/>
      <w:r w:rsidR="00341B75" w:rsidRPr="002A18B6">
        <w:t>metilēnzilā</w:t>
      </w:r>
      <w:proofErr w:type="spellEnd"/>
      <w:r w:rsidR="00341B75" w:rsidRPr="002A18B6">
        <w:t xml:space="preserve"> izšķīdina 100 ml ūdens.</w:t>
      </w:r>
    </w:p>
    <w:p w14:paraId="3C24418E" w14:textId="77777777" w:rsidR="003012EB" w:rsidRPr="002A18B6" w:rsidRDefault="003012EB" w:rsidP="002A18B6">
      <w:pPr>
        <w:ind w:firstLine="720"/>
        <w:jc w:val="both"/>
      </w:pPr>
    </w:p>
    <w:p w14:paraId="55F3BC8D" w14:textId="4A57475E" w:rsidR="00341B75" w:rsidRPr="002A18B6" w:rsidRDefault="002A18B6" w:rsidP="002A18B6">
      <w:pPr>
        <w:ind w:firstLine="720"/>
        <w:jc w:val="both"/>
      </w:pPr>
      <w:r>
        <w:t xml:space="preserve">5. </w:t>
      </w:r>
      <w:r w:rsidR="00341B75" w:rsidRPr="002A18B6">
        <w:t>Iekārtas:</w:t>
      </w:r>
    </w:p>
    <w:p w14:paraId="02955082" w14:textId="38286773" w:rsidR="00341B75" w:rsidRPr="002A18B6" w:rsidRDefault="002A18B6" w:rsidP="002A18B6">
      <w:pPr>
        <w:ind w:firstLine="720"/>
        <w:jc w:val="both"/>
      </w:pPr>
      <w:r>
        <w:t xml:space="preserve">5.1. </w:t>
      </w:r>
      <w:r w:rsidR="00341B75" w:rsidRPr="002A18B6">
        <w:t>250 ml termoizturīga kolba ar šauru kaklu;</w:t>
      </w:r>
    </w:p>
    <w:p w14:paraId="353E3231" w14:textId="2DEBE1FD" w:rsidR="00341B75" w:rsidRPr="002A18B6" w:rsidRDefault="002A18B6" w:rsidP="002A18B6">
      <w:pPr>
        <w:ind w:firstLine="720"/>
        <w:jc w:val="both"/>
      </w:pPr>
      <w:r>
        <w:t xml:space="preserve">5.2. </w:t>
      </w:r>
      <w:r w:rsidR="00341B75" w:rsidRPr="002A18B6">
        <w:t>50 ml birete ar iedaļas vērtību 0,05 ml;</w:t>
      </w:r>
    </w:p>
    <w:p w14:paraId="2E1846AA" w14:textId="17D1A372" w:rsidR="00341B75" w:rsidRPr="002A18B6" w:rsidRDefault="002A18B6" w:rsidP="002A18B6">
      <w:pPr>
        <w:ind w:firstLine="720"/>
        <w:jc w:val="both"/>
      </w:pPr>
      <w:r>
        <w:t xml:space="preserve">5.3. </w:t>
      </w:r>
      <w:r w:rsidR="00341B75" w:rsidRPr="002A18B6">
        <w:t xml:space="preserve">25 un 50 ml </w:t>
      </w:r>
      <w:proofErr w:type="spellStart"/>
      <w:r w:rsidR="00341B75" w:rsidRPr="002A18B6">
        <w:t>mērpipetes</w:t>
      </w:r>
      <w:proofErr w:type="spellEnd"/>
      <w:r w:rsidR="00341B75" w:rsidRPr="002A18B6">
        <w:t>;</w:t>
      </w:r>
    </w:p>
    <w:p w14:paraId="745BAF76" w14:textId="75788CD1" w:rsidR="00341B75" w:rsidRPr="002A18B6" w:rsidRDefault="002A18B6" w:rsidP="002A18B6">
      <w:pPr>
        <w:ind w:firstLine="720"/>
        <w:jc w:val="both"/>
      </w:pPr>
      <w:r>
        <w:t xml:space="preserve">5.4. </w:t>
      </w:r>
      <w:r w:rsidR="00341B75" w:rsidRPr="002A18B6">
        <w:t>100 un 500 ml mērkolbas;</w:t>
      </w:r>
    </w:p>
    <w:p w14:paraId="7C673B8C" w14:textId="3DA71652" w:rsidR="00341B75" w:rsidRPr="002A18B6" w:rsidRDefault="002A18B6" w:rsidP="002A18B6">
      <w:pPr>
        <w:ind w:firstLine="720"/>
        <w:jc w:val="both"/>
      </w:pPr>
      <w:r>
        <w:t xml:space="preserve">5.5. </w:t>
      </w:r>
      <w:r w:rsidR="00341B75" w:rsidRPr="002A18B6">
        <w:t>karsēšanas ierīce, ar kuru var nodrošināt viršanu šī pielikuma 6.1.</w:t>
      </w:r>
      <w:r w:rsidR="00C7168D" w:rsidRPr="002A18B6">
        <w:t> </w:t>
      </w:r>
      <w:r w:rsidR="00341B75" w:rsidRPr="002A18B6">
        <w:t>apakšpunktā aprakstītajos apstākļos, kas ļauj vērot beigu punkta krāsas maiņu, nenoņemot kolbu no siltuma avota;</w:t>
      </w:r>
    </w:p>
    <w:p w14:paraId="1F646977" w14:textId="58BF3380" w:rsidR="00341B75" w:rsidRPr="002A18B6" w:rsidRDefault="002A18B6" w:rsidP="002A18B6">
      <w:pPr>
        <w:ind w:firstLine="720"/>
        <w:jc w:val="both"/>
      </w:pPr>
      <w:r>
        <w:t xml:space="preserve">5.6. </w:t>
      </w:r>
      <w:r w:rsidR="00341B75" w:rsidRPr="002A18B6">
        <w:t>hronometrs ar precizitāti līdz vienai sekundei.</w:t>
      </w:r>
    </w:p>
    <w:p w14:paraId="6A2EBA97" w14:textId="77777777" w:rsidR="005F6E14" w:rsidRPr="002A18B6" w:rsidRDefault="005F6E14" w:rsidP="002A18B6">
      <w:pPr>
        <w:ind w:firstLine="720"/>
        <w:jc w:val="both"/>
      </w:pPr>
    </w:p>
    <w:p w14:paraId="1DB9342F" w14:textId="1BB2A2C5" w:rsidR="00341B75" w:rsidRPr="002A18B6" w:rsidRDefault="002A18B6" w:rsidP="002A18B6">
      <w:pPr>
        <w:ind w:firstLine="720"/>
        <w:jc w:val="both"/>
      </w:pPr>
      <w:r>
        <w:t xml:space="preserve">6. </w:t>
      </w:r>
      <w:r w:rsidR="00341B75" w:rsidRPr="002A18B6">
        <w:t>Procedūra:</w:t>
      </w:r>
    </w:p>
    <w:p w14:paraId="6513B62E" w14:textId="3F2BE259" w:rsidR="00341B75" w:rsidRPr="002A18B6" w:rsidRDefault="002A18B6" w:rsidP="002A18B6">
      <w:pPr>
        <w:ind w:firstLine="720"/>
        <w:jc w:val="both"/>
      </w:pPr>
      <w:r>
        <w:t xml:space="preserve">6.1. </w:t>
      </w:r>
      <w:proofErr w:type="spellStart"/>
      <w:r w:rsidR="00341B75" w:rsidRPr="002A18B6">
        <w:t>Fēlinga</w:t>
      </w:r>
      <w:proofErr w:type="spellEnd"/>
      <w:r w:rsidR="00341B75" w:rsidRPr="002A18B6">
        <w:t xml:space="preserve"> šķīduma standartizēšana:</w:t>
      </w:r>
    </w:p>
    <w:p w14:paraId="4040EB03" w14:textId="70EECF38" w:rsidR="00341B75" w:rsidRPr="002A18B6" w:rsidRDefault="002A18B6" w:rsidP="002A18B6">
      <w:pPr>
        <w:ind w:firstLine="720"/>
        <w:jc w:val="both"/>
      </w:pPr>
      <w:r>
        <w:t xml:space="preserve">6.1.1. </w:t>
      </w:r>
      <w:r w:rsidR="005F6E14" w:rsidRPr="002A18B6">
        <w:t xml:space="preserve">tīrā, sausā kolbā </w:t>
      </w:r>
      <w:r w:rsidR="00341B75" w:rsidRPr="002A18B6">
        <w:t xml:space="preserve">ar pipeti </w:t>
      </w:r>
      <w:r w:rsidR="005F6E14" w:rsidRPr="002A18B6">
        <w:t>iepilina</w:t>
      </w:r>
      <w:r w:rsidR="00341B75" w:rsidRPr="002A18B6">
        <w:t xml:space="preserve"> 25 ml </w:t>
      </w:r>
      <w:proofErr w:type="spellStart"/>
      <w:r w:rsidR="00341B75" w:rsidRPr="002A18B6">
        <w:t>Fēlinga</w:t>
      </w:r>
      <w:proofErr w:type="spellEnd"/>
      <w:r w:rsidR="00341B75" w:rsidRPr="002A18B6">
        <w:t xml:space="preserve"> šķīduma;</w:t>
      </w:r>
    </w:p>
    <w:p w14:paraId="1584A5F0" w14:textId="075DE6DA" w:rsidR="00341B75" w:rsidRPr="002A18B6" w:rsidRDefault="002A18B6" w:rsidP="002A18B6">
      <w:pPr>
        <w:ind w:firstLine="720"/>
        <w:jc w:val="both"/>
      </w:pPr>
      <w:r>
        <w:t xml:space="preserve">6.1.2. </w:t>
      </w:r>
      <w:r w:rsidR="00341B75" w:rsidRPr="002A18B6">
        <w:t xml:space="preserve">bireti piepilda ar standarta dekstrozes šķīdumu un menisku nostāda uz nulli; </w:t>
      </w:r>
    </w:p>
    <w:p w14:paraId="1CDEA57B" w14:textId="6D7EE43F" w:rsidR="00341B75" w:rsidRPr="002A18B6" w:rsidRDefault="002A18B6" w:rsidP="002A18B6">
      <w:pPr>
        <w:ind w:firstLine="720"/>
        <w:jc w:val="both"/>
      </w:pPr>
      <w:r>
        <w:t xml:space="preserve">6.1.3. </w:t>
      </w:r>
      <w:r w:rsidR="00341B75" w:rsidRPr="002A18B6">
        <w:t>kolb</w:t>
      </w:r>
      <w:r w:rsidR="005F6E14" w:rsidRPr="002A18B6">
        <w:t>ā</w:t>
      </w:r>
      <w:r w:rsidR="00341B75" w:rsidRPr="002A18B6">
        <w:t xml:space="preserve"> no biretes ielej 18 ml standarta dekstrozes šķīduma, kolbu sakrata, lai </w:t>
      </w:r>
      <w:r w:rsidR="005F6E14" w:rsidRPr="002A18B6">
        <w:t xml:space="preserve">sajauktu </w:t>
      </w:r>
      <w:r w:rsidR="00341B75" w:rsidRPr="002A18B6">
        <w:t>saturu;</w:t>
      </w:r>
    </w:p>
    <w:p w14:paraId="247F297D" w14:textId="08A7C3E7" w:rsidR="00341B75" w:rsidRPr="002A18B6" w:rsidRDefault="002A18B6" w:rsidP="002A18B6">
      <w:pPr>
        <w:ind w:firstLine="720"/>
        <w:jc w:val="both"/>
      </w:pPr>
      <w:r>
        <w:t xml:space="preserve">6.1.4. </w:t>
      </w:r>
      <w:r w:rsidR="00341B75" w:rsidRPr="002A18B6">
        <w:t>kolbu novieto uz karsēšanas ierīces, kas iepriekš noregulēta tā, lai viršana sāktos pēc 120 ± 15 sekundēm. Karsēšanas ierīci titrēšanas laikā neregulē (1.</w:t>
      </w:r>
      <w:r w:rsidR="00C7168D" w:rsidRPr="002A18B6">
        <w:t> </w:t>
      </w:r>
      <w:r w:rsidR="00341B75" w:rsidRPr="002A18B6">
        <w:t>piezīme);</w:t>
      </w:r>
    </w:p>
    <w:p w14:paraId="3D677707" w14:textId="26F885BC" w:rsidR="00341B75" w:rsidRPr="002A18B6" w:rsidRDefault="002A18B6" w:rsidP="002A18B6">
      <w:pPr>
        <w:ind w:firstLine="720"/>
        <w:jc w:val="both"/>
      </w:pPr>
      <w:r>
        <w:t xml:space="preserve">6.1.5. </w:t>
      </w:r>
      <w:r w:rsidR="00341B75" w:rsidRPr="002A18B6">
        <w:t>kad sākas viršana, ieslēdz hronometru;</w:t>
      </w:r>
    </w:p>
    <w:p w14:paraId="454E207C" w14:textId="5985C10E" w:rsidR="00341B75" w:rsidRPr="002A18B6" w:rsidRDefault="002A18B6" w:rsidP="002A18B6">
      <w:pPr>
        <w:ind w:firstLine="720"/>
        <w:jc w:val="both"/>
      </w:pPr>
      <w:r>
        <w:t xml:space="preserve">6.1.6. </w:t>
      </w:r>
      <w:r w:rsidR="00341B75" w:rsidRPr="002A18B6">
        <w:t>kolbas saturu vāra 120 sekundes, laiku kontrolē ar hronometru. Vārīšanas perioda beigās pievieno 1</w:t>
      </w:r>
      <w:r w:rsidR="00C7168D" w:rsidRPr="002A18B6">
        <w:t> </w:t>
      </w:r>
      <w:r w:rsidR="00341B75" w:rsidRPr="002A18B6">
        <w:t xml:space="preserve">ml </w:t>
      </w:r>
      <w:proofErr w:type="spellStart"/>
      <w:r w:rsidR="00341B75" w:rsidRPr="002A18B6">
        <w:t>metilēnzilā</w:t>
      </w:r>
      <w:proofErr w:type="spellEnd"/>
      <w:r w:rsidR="00341B75" w:rsidRPr="002A18B6">
        <w:t xml:space="preserve"> šķīduma;</w:t>
      </w:r>
    </w:p>
    <w:p w14:paraId="6140FFD3" w14:textId="33504323" w:rsidR="00341B75" w:rsidRPr="002A18B6" w:rsidRDefault="002A18B6" w:rsidP="002A18B6">
      <w:pPr>
        <w:ind w:firstLine="720"/>
        <w:jc w:val="both"/>
      </w:pPr>
      <w:r>
        <w:t xml:space="preserve">6.1.7. </w:t>
      </w:r>
      <w:r w:rsidR="00341B75" w:rsidRPr="002A18B6">
        <w:t xml:space="preserve">pēc 120 sekundēm, kad vārīšana pabeigta, kolbā no biretes sāk pievienot dekstrozes standarta šķīdumu pa 0,5 ml porcijām līdz </w:t>
      </w:r>
      <w:proofErr w:type="spellStart"/>
      <w:r w:rsidR="00341B75" w:rsidRPr="002A18B6">
        <w:t>metilēnzilā</w:t>
      </w:r>
      <w:proofErr w:type="spellEnd"/>
      <w:r w:rsidR="00341B75" w:rsidRPr="002A18B6">
        <w:t xml:space="preserve"> zilās krāsas izzušanai (2. un 3.</w:t>
      </w:r>
      <w:r w:rsidR="00C7168D" w:rsidRPr="002A18B6">
        <w:t> </w:t>
      </w:r>
      <w:r w:rsidR="00341B75" w:rsidRPr="002A18B6">
        <w:t>piezīme). Atzīmē kopējo pievienotā dekstrozes standarta šķīduma tilpumu, ieskaitot priekšpēdējo 0,5 ml porciju (X ml);</w:t>
      </w:r>
    </w:p>
    <w:p w14:paraId="15A32622" w14:textId="76CF7260" w:rsidR="00341B75" w:rsidRPr="002A18B6" w:rsidRDefault="002A18B6" w:rsidP="002A18B6">
      <w:pPr>
        <w:ind w:firstLine="720"/>
        <w:jc w:val="both"/>
      </w:pPr>
      <w:r>
        <w:t xml:space="preserve">6.1.8. </w:t>
      </w:r>
      <w:r w:rsidR="00341B75" w:rsidRPr="002A18B6">
        <w:t>atkārto šī pielikuma 6.1.1. un 6.1.2.apakšpunktā minētās darbības;</w:t>
      </w:r>
    </w:p>
    <w:p w14:paraId="2EFAB015" w14:textId="2E191D65" w:rsidR="00341B75" w:rsidRPr="002A18B6" w:rsidRDefault="002A18B6" w:rsidP="002A18B6">
      <w:pPr>
        <w:ind w:firstLine="720"/>
        <w:jc w:val="both"/>
      </w:pPr>
      <w:r>
        <w:t xml:space="preserve">6.1.9. </w:t>
      </w:r>
      <w:r w:rsidR="00341B75" w:rsidRPr="002A18B6">
        <w:t>kolbā no biretes ielej tādu standarta dekstrozes šķīduma tilpumu, kas atbilst X mīnus 0,3 ml;</w:t>
      </w:r>
    </w:p>
    <w:p w14:paraId="6241E547" w14:textId="14896AB6" w:rsidR="00341B75" w:rsidRPr="002A18B6" w:rsidRDefault="00341B75" w:rsidP="002A18B6">
      <w:pPr>
        <w:ind w:firstLine="720"/>
        <w:jc w:val="both"/>
      </w:pPr>
      <w:r w:rsidRPr="002A18B6">
        <w:t>6.1.10.</w:t>
      </w:r>
      <w:r w:rsidRPr="002A18B6">
        <w:tab/>
        <w:t>atkārto šī pielikuma 6.1.4., 6.1.5. un 6.1.6.apakšpunktā minētās darbības;</w:t>
      </w:r>
    </w:p>
    <w:p w14:paraId="1505B1DB" w14:textId="4262AFAF" w:rsidR="00341B75" w:rsidRPr="002A18B6" w:rsidRDefault="005F6E14" w:rsidP="002A18B6">
      <w:pPr>
        <w:ind w:firstLine="720"/>
        <w:jc w:val="both"/>
      </w:pPr>
      <w:r w:rsidRPr="002A18B6">
        <w:t xml:space="preserve">6.1.11. </w:t>
      </w:r>
      <w:r w:rsidR="00341B75" w:rsidRPr="002A18B6">
        <w:t xml:space="preserve">pēc 120 sekundēm, kad vārīšana pabeigta (pēc hronometra), kolbā no biretes sāk pievienot dekstrozes standarta šķīdumu: sākumā pa 0,2 ml lielām porcijām, bet beigās pa pilienam līdz </w:t>
      </w:r>
      <w:proofErr w:type="spellStart"/>
      <w:r w:rsidR="00341B75" w:rsidRPr="002A18B6">
        <w:t>metilēnzilā</w:t>
      </w:r>
      <w:proofErr w:type="spellEnd"/>
      <w:r w:rsidR="00341B75" w:rsidRPr="002A18B6">
        <w:t xml:space="preserve"> zilās krāsas izzušanai. Tuvojoties beigu punktam, laika intervālam starp dekstrozes standarta šķīduma porciju pievienošanu jābūt 10</w:t>
      </w:r>
      <w:r w:rsidR="005025B3" w:rsidRPr="002A18B6">
        <w:t>–</w:t>
      </w:r>
      <w:r w:rsidR="00341B75" w:rsidRPr="002A18B6">
        <w:t xml:space="preserve">15 sekundēm. </w:t>
      </w:r>
      <w:r w:rsidR="00C7168D" w:rsidRPr="002A18B6">
        <w:t>Pakāpeniskā p</w:t>
      </w:r>
      <w:r w:rsidR="00341B75" w:rsidRPr="002A18B6">
        <w:t>ievienošana jāveic 60 sekunžu laikā, lai kopējais vārīšanas laiks nepārsniegtu 180 sekundes. Lai to sasniegtu, var būt nepieciešama trešā titrēšana, kur</w:t>
      </w:r>
      <w:r w:rsidR="00C7168D" w:rsidRPr="002A18B6">
        <w:t>as</w:t>
      </w:r>
      <w:r w:rsidR="00341B75" w:rsidRPr="002A18B6">
        <w:t xml:space="preserve"> sākumā pievienotais dekstrozes standarta šķīdums ir nedaudz lielāks;</w:t>
      </w:r>
    </w:p>
    <w:p w14:paraId="1684E8F7" w14:textId="77777777" w:rsidR="00341B75" w:rsidRPr="002A18B6" w:rsidRDefault="00341B75" w:rsidP="002A18B6">
      <w:pPr>
        <w:ind w:firstLine="720"/>
        <w:jc w:val="both"/>
      </w:pPr>
      <w:r w:rsidRPr="002A18B6">
        <w:t>6.1.12.</w:t>
      </w:r>
      <w:r w:rsidRPr="002A18B6">
        <w:tab/>
        <w:t>atzīmē pēdējā titrēšanā izmantotā dekstrozes standarta šķīduma tilpumu (</w:t>
      </w:r>
      <w:proofErr w:type="spellStart"/>
      <w:r w:rsidRPr="002A18B6">
        <w:t>Vo</w:t>
      </w:r>
      <w:proofErr w:type="spellEnd"/>
      <w:r w:rsidRPr="002A18B6">
        <w:t xml:space="preserve"> ml) (4.</w:t>
      </w:r>
      <w:r w:rsidR="00C7168D" w:rsidRPr="002A18B6">
        <w:t> </w:t>
      </w:r>
      <w:r w:rsidRPr="002A18B6">
        <w:t>piezīme);</w:t>
      </w:r>
    </w:p>
    <w:p w14:paraId="03EA0D5F" w14:textId="77777777" w:rsidR="00341B75" w:rsidRPr="002A18B6" w:rsidRDefault="00341B75" w:rsidP="002A18B6">
      <w:pPr>
        <w:ind w:firstLine="720"/>
        <w:jc w:val="both"/>
      </w:pPr>
      <w:r w:rsidRPr="002A18B6">
        <w:t>6.1.13.</w:t>
      </w:r>
      <w:r w:rsidRPr="002A18B6">
        <w:tab/>
        <w:t>dekstrozes standarta šķīdum</w:t>
      </w:r>
      <w:r w:rsidR="005F6E14" w:rsidRPr="002A18B6">
        <w:t>a (4.3.</w:t>
      </w:r>
      <w:r w:rsidR="00C7168D" w:rsidRPr="002A18B6">
        <w:t> </w:t>
      </w:r>
      <w:r w:rsidR="005F6E14" w:rsidRPr="002A18B6">
        <w:t>apakšpunkts) patēriņš (V</w:t>
      </w:r>
      <w:r w:rsidR="005F6E14" w:rsidRPr="002A18B6">
        <w:rPr>
          <w:vertAlign w:val="subscript"/>
        </w:rPr>
        <w:t>0</w:t>
      </w:r>
      <w:r w:rsidRPr="002A18B6">
        <w:t>)</w:t>
      </w:r>
      <w:r w:rsidR="005F6E14" w:rsidRPr="002A18B6">
        <w:t xml:space="preserve"> ir starp 19,0 un 21,0 ml. Ja V</w:t>
      </w:r>
      <w:r w:rsidR="005F6E14" w:rsidRPr="002A18B6">
        <w:rPr>
          <w:vertAlign w:val="subscript"/>
        </w:rPr>
        <w:t>0</w:t>
      </w:r>
      <w:r w:rsidRPr="002A18B6">
        <w:t xml:space="preserve"> neiekļaujas šajās robežās, koriģē </w:t>
      </w:r>
      <w:proofErr w:type="spellStart"/>
      <w:r w:rsidRPr="002A18B6">
        <w:t>Fēlinga</w:t>
      </w:r>
      <w:proofErr w:type="spellEnd"/>
      <w:r w:rsidRPr="002A18B6">
        <w:t xml:space="preserve"> A šķīduma koncentrāciju un atkārto standartizēšanas procesu;</w:t>
      </w:r>
    </w:p>
    <w:p w14:paraId="450FAD7C" w14:textId="77777777" w:rsidR="00341B75" w:rsidRPr="002A18B6" w:rsidRDefault="00341B75" w:rsidP="002A18B6">
      <w:pPr>
        <w:ind w:firstLine="720"/>
        <w:jc w:val="both"/>
      </w:pPr>
      <w:r w:rsidRPr="002A18B6">
        <w:t>6.1.14.</w:t>
      </w:r>
      <w:r w:rsidRPr="002A18B6">
        <w:tab/>
      </w:r>
      <w:r w:rsidR="005F6E14" w:rsidRPr="002A18B6">
        <w:t xml:space="preserve">sajauktā </w:t>
      </w:r>
      <w:proofErr w:type="spellStart"/>
      <w:r w:rsidRPr="002A18B6">
        <w:t>Fēlinga</w:t>
      </w:r>
      <w:proofErr w:type="spellEnd"/>
      <w:r w:rsidRPr="002A18B6">
        <w:t xml:space="preserve"> šķīduma ikdienas standartizēšanai, ja V</w:t>
      </w:r>
      <w:r w:rsidR="005F6E14" w:rsidRPr="002A18B6">
        <w:rPr>
          <w:vertAlign w:val="subscript"/>
        </w:rPr>
        <w:t>0</w:t>
      </w:r>
      <w:r w:rsidRPr="002A18B6">
        <w:t xml:space="preserve"> ir precīzi zināms, nepieciešama tikai viena titrēšana, sākumā pievienojot V</w:t>
      </w:r>
      <w:r w:rsidR="005F6E14" w:rsidRPr="002A18B6">
        <w:rPr>
          <w:vertAlign w:val="subscript"/>
        </w:rPr>
        <w:t>0</w:t>
      </w:r>
      <w:r w:rsidRPr="002A18B6">
        <w:t xml:space="preserve"> mīnus 0,5 ml dekstrozes standarta šķīduma;</w:t>
      </w:r>
    </w:p>
    <w:p w14:paraId="057F3BD4" w14:textId="77777777" w:rsidR="00341B75" w:rsidRPr="002A18B6" w:rsidRDefault="00341B75" w:rsidP="002A18B6">
      <w:pPr>
        <w:ind w:firstLine="720"/>
        <w:jc w:val="both"/>
      </w:pPr>
      <w:r w:rsidRPr="002A18B6">
        <w:t>Piezīmes.</w:t>
      </w:r>
    </w:p>
    <w:p w14:paraId="7D26D5F4" w14:textId="7F8EEEBD" w:rsidR="00341B75" w:rsidRPr="002A18B6" w:rsidRDefault="002A18B6" w:rsidP="002A18B6">
      <w:pPr>
        <w:ind w:firstLine="720"/>
        <w:jc w:val="both"/>
      </w:pPr>
      <w:r>
        <w:t xml:space="preserve">1. </w:t>
      </w:r>
      <w:r w:rsidR="00341B75" w:rsidRPr="002A18B6">
        <w:t>Tas nodrošina, ka, sasniedzot viršanu, notiek ūdens iztvaikošana, kas turpinās visu titrēšanas laiku, tādējādi pasargājot no gaisa iekļūšanas kolbā, kas radītu tās satura oksidēšanos.</w:t>
      </w:r>
    </w:p>
    <w:p w14:paraId="55EAFCB5" w14:textId="58714D72" w:rsidR="00341B75" w:rsidRPr="002A18B6" w:rsidRDefault="002A18B6" w:rsidP="002A18B6">
      <w:pPr>
        <w:ind w:firstLine="720"/>
        <w:jc w:val="both"/>
      </w:pPr>
      <w:r>
        <w:t xml:space="preserve">2. </w:t>
      </w:r>
      <w:proofErr w:type="spellStart"/>
      <w:r w:rsidR="00341B75" w:rsidRPr="002A18B6">
        <w:t>Metilēnzilā</w:t>
      </w:r>
      <w:proofErr w:type="spellEnd"/>
      <w:r w:rsidR="00341B75" w:rsidRPr="002A18B6">
        <w:t xml:space="preserve"> krāsas izzušana vislabāk ir redzama, skatoties titrēšanas kolbas augšējā slānī un meniskā, jo tajā nebūs sarkanā vara (I) oksīda nogulšņu. Krāsas izzušana vislabāk ir redzama netiešā apgaismojumā. To palīdzēs saskatīt arī balts ekrāns aiz titrēšanas kolbas.</w:t>
      </w:r>
    </w:p>
    <w:p w14:paraId="32ED8A64" w14:textId="70AEF23D" w:rsidR="00341B75" w:rsidRPr="002A18B6" w:rsidRDefault="002A18B6" w:rsidP="002A18B6">
      <w:pPr>
        <w:ind w:firstLine="720"/>
        <w:jc w:val="both"/>
      </w:pPr>
      <w:r>
        <w:t xml:space="preserve">3. </w:t>
      </w:r>
      <w:r w:rsidR="00341B75" w:rsidRPr="002A18B6">
        <w:t>Analīzes gaitā bireti pēc iespējas vajadzētu pasargāt no sasilšanas.</w:t>
      </w:r>
    </w:p>
    <w:p w14:paraId="5DE2E19D" w14:textId="6A5BC4C6" w:rsidR="00341B75" w:rsidRPr="002A18B6" w:rsidRDefault="002A18B6" w:rsidP="002A18B6">
      <w:pPr>
        <w:ind w:firstLine="720"/>
        <w:jc w:val="both"/>
      </w:pPr>
      <w:r>
        <w:t xml:space="preserve">4. </w:t>
      </w:r>
      <w:r w:rsidR="00341B75" w:rsidRPr="002A18B6">
        <w:t>Vienmēr ņem vērā personisko faktoru. Katrs dalībnieks pats veic standartizēšanas titrēšanu un aprēķinos (7.1.</w:t>
      </w:r>
      <w:r w:rsidR="00C7168D" w:rsidRPr="002A18B6">
        <w:t> </w:t>
      </w:r>
      <w:r w:rsidR="00341B75" w:rsidRPr="002A18B6">
        <w:t>apakšpunkts) izmanto pats savu V</w:t>
      </w:r>
      <w:r w:rsidR="00BE4619" w:rsidRPr="002A18B6">
        <w:rPr>
          <w:vertAlign w:val="subscript"/>
        </w:rPr>
        <w:t>0</w:t>
      </w:r>
      <w:r w:rsidR="00C7168D" w:rsidRPr="002A18B6">
        <w:rPr>
          <w:vertAlign w:val="subscript"/>
        </w:rPr>
        <w:t> </w:t>
      </w:r>
      <w:r w:rsidR="00341B75" w:rsidRPr="002A18B6">
        <w:t>vērtību</w:t>
      </w:r>
      <w:r w:rsidR="00C7168D" w:rsidRPr="002A18B6">
        <w:t>.</w:t>
      </w:r>
    </w:p>
    <w:p w14:paraId="63F62238" w14:textId="77777777" w:rsidR="00BE4619" w:rsidRPr="002A18B6" w:rsidRDefault="00BE4619" w:rsidP="002A18B6">
      <w:pPr>
        <w:ind w:firstLine="720"/>
        <w:jc w:val="both"/>
      </w:pPr>
    </w:p>
    <w:p w14:paraId="748BA48B" w14:textId="4D28FD89" w:rsidR="00341B75" w:rsidRPr="002A18B6" w:rsidRDefault="002A18B6" w:rsidP="002A18B6">
      <w:pPr>
        <w:ind w:firstLine="720"/>
        <w:jc w:val="both"/>
      </w:pPr>
      <w:r>
        <w:t xml:space="preserve">6.2. </w:t>
      </w:r>
      <w:r w:rsidR="00341B75" w:rsidRPr="002A18B6">
        <w:t xml:space="preserve">parauga </w:t>
      </w:r>
      <w:proofErr w:type="spellStart"/>
      <w:r w:rsidR="00341B75" w:rsidRPr="002A18B6">
        <w:t>priekšmēģinājums</w:t>
      </w:r>
      <w:proofErr w:type="spellEnd"/>
      <w:r w:rsidR="00341B75" w:rsidRPr="002A18B6">
        <w:t xml:space="preserve">. Ja parauga reducēšanas spēja ir zināma aptuveni, </w:t>
      </w:r>
      <w:r w:rsidR="00C7168D" w:rsidRPr="002A18B6">
        <w:t xml:space="preserve">ir </w:t>
      </w:r>
      <w:r w:rsidR="00341B75" w:rsidRPr="002A18B6">
        <w:t xml:space="preserve">nepieciešams </w:t>
      </w:r>
      <w:proofErr w:type="spellStart"/>
      <w:r w:rsidR="00341B75" w:rsidRPr="002A18B6">
        <w:t>priekšmēģinājum</w:t>
      </w:r>
      <w:r w:rsidR="00C7168D" w:rsidRPr="002A18B6">
        <w:t>s</w:t>
      </w:r>
      <w:proofErr w:type="spellEnd"/>
      <w:r w:rsidR="00341B75" w:rsidRPr="002A18B6">
        <w:t>, lai aprēķinātu pievienojamo parauga masu. Šo pārbaudi veic šādi:</w:t>
      </w:r>
    </w:p>
    <w:p w14:paraId="2C345F69" w14:textId="04C79E2D" w:rsidR="00341B75" w:rsidRPr="002A18B6" w:rsidRDefault="002A18B6" w:rsidP="002A18B6">
      <w:pPr>
        <w:ind w:firstLine="720"/>
        <w:jc w:val="both"/>
      </w:pPr>
      <w:r>
        <w:t xml:space="preserve">6.2.1. </w:t>
      </w:r>
      <w:r w:rsidR="00341B75" w:rsidRPr="002A18B6">
        <w:t>gatavo 2 % parauga šķīdumu (m/V) ar noteiktu vērtību Z;</w:t>
      </w:r>
    </w:p>
    <w:p w14:paraId="703CFCCF" w14:textId="5743C13C" w:rsidR="00341B75" w:rsidRPr="002A18B6" w:rsidRDefault="002A18B6" w:rsidP="002A18B6">
      <w:pPr>
        <w:ind w:firstLine="720"/>
        <w:jc w:val="both"/>
      </w:pPr>
      <w:r>
        <w:t xml:space="preserve">6.2.2. </w:t>
      </w:r>
      <w:r w:rsidR="00341B75" w:rsidRPr="002A18B6">
        <w:t>noteikšanu veic saskaņā ar šī pielikuma 6.1.2.</w:t>
      </w:r>
      <w:r w:rsidR="00C7168D" w:rsidRPr="002A18B6">
        <w:t> </w:t>
      </w:r>
      <w:r w:rsidR="00341B75" w:rsidRPr="002A18B6">
        <w:t>apakšpunktu</w:t>
      </w:r>
      <w:r w:rsidR="00C7168D" w:rsidRPr="002A18B6">
        <w:t xml:space="preserve"> un</w:t>
      </w:r>
      <w:r w:rsidR="00341B75" w:rsidRPr="002A18B6">
        <w:t xml:space="preserve"> standarta dekstrozes vietā izmanto parauga šķīdumu;</w:t>
      </w:r>
    </w:p>
    <w:p w14:paraId="6EBB7DD8" w14:textId="3C2EBA8A" w:rsidR="00341B75" w:rsidRPr="002A18B6" w:rsidRDefault="002A18B6" w:rsidP="002A18B6">
      <w:pPr>
        <w:ind w:firstLine="720"/>
        <w:jc w:val="both"/>
      </w:pPr>
      <w:r>
        <w:lastRenderedPageBreak/>
        <w:t xml:space="preserve">6.2.3. </w:t>
      </w:r>
      <w:r w:rsidR="00341B75" w:rsidRPr="002A18B6">
        <w:t>veic šī pielikuma 6.1.1.</w:t>
      </w:r>
      <w:r w:rsidR="00C7168D" w:rsidRPr="002A18B6">
        <w:t> </w:t>
      </w:r>
      <w:r w:rsidR="00341B75" w:rsidRPr="002A18B6">
        <w:t>apakšpunktā minēto darbību;</w:t>
      </w:r>
    </w:p>
    <w:p w14:paraId="29D7AFFF" w14:textId="73641A0B" w:rsidR="00341B75" w:rsidRPr="002A18B6" w:rsidRDefault="00341B75" w:rsidP="002A18B6">
      <w:pPr>
        <w:ind w:firstLine="720"/>
        <w:jc w:val="both"/>
      </w:pPr>
      <w:r w:rsidRPr="002A18B6">
        <w:t>6.2.4.</w:t>
      </w:r>
      <w:r w:rsidR="002A18B6">
        <w:t xml:space="preserve"> </w:t>
      </w:r>
      <w:r w:rsidRPr="002A18B6">
        <w:t>veic šī pielikuma 6.1.3.</w:t>
      </w:r>
      <w:r w:rsidR="00C7168D" w:rsidRPr="002A18B6">
        <w:t> </w:t>
      </w:r>
      <w:r w:rsidRPr="002A18B6">
        <w:t>apakšpunktā minēto darbību</w:t>
      </w:r>
      <w:r w:rsidR="00C7168D" w:rsidRPr="002A18B6">
        <w:t xml:space="preserve"> un</w:t>
      </w:r>
      <w:r w:rsidRPr="002A18B6">
        <w:t xml:space="preserve"> standarta dekstrozes 18 ml vietā izmanto 10 ml parauga šķīduma;</w:t>
      </w:r>
    </w:p>
    <w:p w14:paraId="52878C19" w14:textId="02C9AECC" w:rsidR="00341B75" w:rsidRPr="002A18B6" w:rsidRDefault="002A18B6" w:rsidP="002A18B6">
      <w:pPr>
        <w:ind w:firstLine="720"/>
        <w:jc w:val="both"/>
      </w:pPr>
      <w:r>
        <w:t xml:space="preserve">6.2.5. </w:t>
      </w:r>
      <w:r w:rsidR="00341B75" w:rsidRPr="002A18B6">
        <w:t>veic šī pielikuma 6.1.4.</w:t>
      </w:r>
      <w:r w:rsidR="00C7168D" w:rsidRPr="002A18B6">
        <w:t> </w:t>
      </w:r>
      <w:r w:rsidR="00341B75" w:rsidRPr="002A18B6">
        <w:t>apakšpunktā minēto darbību;</w:t>
      </w:r>
    </w:p>
    <w:p w14:paraId="35167958" w14:textId="4B9BB5AE" w:rsidR="00341B75" w:rsidRPr="002A18B6" w:rsidRDefault="002A18B6" w:rsidP="002A18B6">
      <w:pPr>
        <w:ind w:firstLine="720"/>
        <w:jc w:val="both"/>
      </w:pPr>
      <w:r>
        <w:t xml:space="preserve">6.2.6. </w:t>
      </w:r>
      <w:r w:rsidR="00341B75" w:rsidRPr="002A18B6">
        <w:t>uzkarsē kolbas saturu līdz viršanai. Pievieno 1</w:t>
      </w:r>
      <w:r w:rsidR="00C7168D" w:rsidRPr="002A18B6">
        <w:t> </w:t>
      </w:r>
      <w:r w:rsidR="00341B75" w:rsidRPr="002A18B6">
        <w:t xml:space="preserve">ml </w:t>
      </w:r>
      <w:proofErr w:type="spellStart"/>
      <w:r w:rsidR="00341B75" w:rsidRPr="002A18B6">
        <w:t>metilēnzilā</w:t>
      </w:r>
      <w:proofErr w:type="spellEnd"/>
      <w:r w:rsidR="00341B75" w:rsidRPr="002A18B6">
        <w:t xml:space="preserve"> šķīduma;</w:t>
      </w:r>
    </w:p>
    <w:p w14:paraId="3A39EBC7" w14:textId="1A041443" w:rsidR="00341B75" w:rsidRPr="002A18B6" w:rsidRDefault="002A18B6" w:rsidP="002A18B6">
      <w:pPr>
        <w:ind w:firstLine="720"/>
        <w:jc w:val="both"/>
      </w:pPr>
      <w:r>
        <w:t xml:space="preserve">6.2.7. </w:t>
      </w:r>
      <w:r w:rsidR="00341B75" w:rsidRPr="002A18B6">
        <w:t>tik</w:t>
      </w:r>
      <w:r w:rsidR="00C7168D" w:rsidRPr="002A18B6">
        <w:t>līdz</w:t>
      </w:r>
      <w:r w:rsidR="00341B75" w:rsidRPr="002A18B6">
        <w:t xml:space="preserve"> paraugs sāk vārīties, ieslēdz hronometru un </w:t>
      </w:r>
      <w:r w:rsidR="00C7168D" w:rsidRPr="002A18B6">
        <w:t xml:space="preserve">sāk pievienot </w:t>
      </w:r>
      <w:r w:rsidR="00341B75" w:rsidRPr="002A18B6">
        <w:t>parauga šķīdum</w:t>
      </w:r>
      <w:r w:rsidR="00C7168D" w:rsidRPr="002A18B6">
        <w:t>u</w:t>
      </w:r>
      <w:r w:rsidR="00341B75" w:rsidRPr="002A18B6">
        <w:t xml:space="preserve"> no biretes pa 1,0 ml porcijām, ievērojot apmēram 10 sek</w:t>
      </w:r>
      <w:r w:rsidR="00BE4619" w:rsidRPr="002A18B6">
        <w:t xml:space="preserve">unžu intervālu, līdz </w:t>
      </w:r>
      <w:proofErr w:type="spellStart"/>
      <w:r w:rsidR="00BE4619" w:rsidRPr="002A18B6">
        <w:t>metilēnzilā</w:t>
      </w:r>
      <w:proofErr w:type="spellEnd"/>
      <w:r w:rsidR="00BE4619" w:rsidRPr="002A18B6">
        <w:t xml:space="preserve"> krā</w:t>
      </w:r>
      <w:r w:rsidR="00341B75" w:rsidRPr="002A18B6">
        <w:t>sa izzūd. Atzīmē izlietoto pievienota parauga šķīduma tilpumu, ieskaitot priekšpēdējo porciju (Y, ml);</w:t>
      </w:r>
    </w:p>
    <w:p w14:paraId="5B16FDB8" w14:textId="312C214D" w:rsidR="00341B75" w:rsidRPr="002A18B6" w:rsidRDefault="002A18B6" w:rsidP="002A18B6">
      <w:pPr>
        <w:ind w:firstLine="720"/>
        <w:jc w:val="both"/>
      </w:pPr>
      <w:r>
        <w:t xml:space="preserve">6.2.8. </w:t>
      </w:r>
      <w:r w:rsidR="00341B75" w:rsidRPr="002A18B6">
        <w:t>Y nedrīkst pārsniegt 50 ml. Ja tas lielāks par 50 ml, samazina parauga koncentrāciju un atkārto titrēšanu;</w:t>
      </w:r>
    </w:p>
    <w:p w14:paraId="1C10602D" w14:textId="60B15DC0" w:rsidR="00341B75" w:rsidRPr="002A18B6" w:rsidRDefault="002A18B6" w:rsidP="002A18B6">
      <w:pPr>
        <w:ind w:firstLine="720"/>
        <w:jc w:val="both"/>
      </w:pPr>
      <w:r>
        <w:t xml:space="preserve">6.2.9. </w:t>
      </w:r>
      <w:r w:rsidR="00341B75" w:rsidRPr="002A18B6">
        <w:t xml:space="preserve">gatavotā parauga aptuveno reducēšanas spēju nosaka procentos no masas </w:t>
      </w:r>
      <w:r w:rsidR="00C7168D" w:rsidRPr="002A18B6">
        <w:t>pēc</w:t>
      </w:r>
      <w:r w:rsidR="00341B75" w:rsidRPr="002A18B6">
        <w:t xml:space="preserve"> šād</w:t>
      </w:r>
      <w:r w:rsidR="00C7168D" w:rsidRPr="002A18B6">
        <w:t>as</w:t>
      </w:r>
      <w:r w:rsidR="00341B75" w:rsidRPr="002A18B6">
        <w:t xml:space="preserve"> formul</w:t>
      </w:r>
      <w:r w:rsidR="00C7168D" w:rsidRPr="002A18B6">
        <w:t>as</w:t>
      </w:r>
      <w:r w:rsidR="00341B75" w:rsidRPr="002A18B6">
        <w:t>:</w:t>
      </w:r>
    </w:p>
    <w:p w14:paraId="3B465A24" w14:textId="77777777" w:rsidR="00BE4619" w:rsidRPr="002A18B6" w:rsidRDefault="00BE4619" w:rsidP="002A18B6">
      <w:pPr>
        <w:ind w:firstLine="720"/>
        <w:jc w:val="both"/>
      </w:pPr>
    </w:p>
    <w:p w14:paraId="14FCEEF9" w14:textId="77777777" w:rsidR="00BE4619" w:rsidRPr="002A18B6" w:rsidRDefault="00BE4619" w:rsidP="002A18B6">
      <w:pPr>
        <w:ind w:firstLine="720"/>
        <w:jc w:val="both"/>
      </w:pPr>
      <w:r w:rsidRPr="002A18B6">
        <w:t>60 x V</w:t>
      </w:r>
      <w:r w:rsidRPr="002A18B6">
        <w:rPr>
          <w:vertAlign w:val="subscript"/>
        </w:rPr>
        <w:t>0</w:t>
      </w:r>
    </w:p>
    <w:p w14:paraId="46687C68" w14:textId="77777777" w:rsidR="00BE4619" w:rsidRPr="002A18B6" w:rsidRDefault="00BE4619" w:rsidP="002A18B6">
      <w:pPr>
        <w:ind w:firstLine="720"/>
        <w:jc w:val="both"/>
      </w:pPr>
      <w:r w:rsidRPr="002A18B6">
        <w:t>——————</w:t>
      </w:r>
    </w:p>
    <w:p w14:paraId="3179733B" w14:textId="77777777" w:rsidR="00BE4619" w:rsidRPr="002A18B6" w:rsidRDefault="00BE4619" w:rsidP="002A18B6">
      <w:pPr>
        <w:ind w:firstLine="720"/>
        <w:jc w:val="both"/>
      </w:pPr>
      <w:r w:rsidRPr="002A18B6">
        <w:t>Y x Z</w:t>
      </w:r>
    </w:p>
    <w:p w14:paraId="1B4662EC" w14:textId="77777777" w:rsidR="00BE4619" w:rsidRPr="002A18B6" w:rsidRDefault="00BE4619" w:rsidP="002A18B6">
      <w:pPr>
        <w:ind w:firstLine="720"/>
        <w:jc w:val="both"/>
      </w:pPr>
    </w:p>
    <w:p w14:paraId="764DABF5" w14:textId="692E5ED9" w:rsidR="00BE4619" w:rsidRPr="002A18B6" w:rsidRDefault="002A18B6" w:rsidP="002A18B6">
      <w:pPr>
        <w:ind w:firstLine="720"/>
        <w:jc w:val="both"/>
      </w:pPr>
      <w:r>
        <w:t xml:space="preserve">6.3. </w:t>
      </w:r>
      <w:r w:rsidR="00341B75" w:rsidRPr="002A18B6">
        <w:t xml:space="preserve">analizējamais paraugs. Iesver ar precizitāti līdz 0,1 mg paraugu, lai iesvērtais daudzums saturētu 2,85 </w:t>
      </w:r>
      <w:r w:rsidR="00C7168D" w:rsidRPr="002A18B6">
        <w:t>līdz</w:t>
      </w:r>
      <w:r w:rsidR="00341B75" w:rsidRPr="002A18B6">
        <w:t xml:space="preserve"> 3,15 g reducējoš</w:t>
      </w:r>
      <w:r w:rsidR="00C7168D" w:rsidRPr="002A18B6">
        <w:t>ā</w:t>
      </w:r>
      <w:r w:rsidR="00341B75" w:rsidRPr="002A18B6">
        <w:t xml:space="preserve"> cukur</w:t>
      </w:r>
      <w:r w:rsidR="00C7168D" w:rsidRPr="002A18B6">
        <w:t>a</w:t>
      </w:r>
      <w:r w:rsidR="00341B75" w:rsidRPr="002A18B6">
        <w:t>, kas izteikts kā bezūdens dekstroze (D</w:t>
      </w:r>
      <w:r w:rsidR="00C7168D" w:rsidRPr="002A18B6">
        <w:t>-</w:t>
      </w:r>
      <w:r w:rsidR="00341B75" w:rsidRPr="002A18B6">
        <w:t xml:space="preserve">glikoze). Iesvērtā daudzuma aprēķinam izmanto aptuveno reducēšanas spējas lielumu </w:t>
      </w:r>
      <w:r w:rsidR="00BE4619" w:rsidRPr="002A18B6">
        <w:t>vai skaitli</w:t>
      </w:r>
      <w:r w:rsidR="00C7168D" w:rsidRPr="002A18B6">
        <w:t>,</w:t>
      </w:r>
      <w:r w:rsidR="00BE4619" w:rsidRPr="002A18B6">
        <w:t xml:space="preserve"> </w:t>
      </w:r>
      <w:r w:rsidR="00341B75" w:rsidRPr="002A18B6">
        <w:t>kas iegūts saskaņā ar šī pielikuma 6.2.9.</w:t>
      </w:r>
      <w:r w:rsidR="00C7168D" w:rsidRPr="002A18B6">
        <w:t> </w:t>
      </w:r>
      <w:r w:rsidR="00341B75" w:rsidRPr="002A18B6">
        <w:t>apakšpunktu;</w:t>
      </w:r>
    </w:p>
    <w:p w14:paraId="1CCAC700" w14:textId="2F2349F1" w:rsidR="00341B75" w:rsidRPr="002A18B6" w:rsidRDefault="002A18B6" w:rsidP="002A18B6">
      <w:pPr>
        <w:ind w:firstLine="720"/>
        <w:jc w:val="both"/>
      </w:pPr>
      <w:r>
        <w:t xml:space="preserve">6.4. </w:t>
      </w:r>
      <w:r w:rsidR="00341B75" w:rsidRPr="002A18B6">
        <w:t>analizējamais šķīdums. Analizējamo porciju izšķīdina ūdenī un kolbā uzpilda līdz 500 ml;</w:t>
      </w:r>
    </w:p>
    <w:p w14:paraId="2A40FB2E" w14:textId="47179AC7" w:rsidR="00341B75" w:rsidRPr="002A18B6" w:rsidRDefault="002A18B6" w:rsidP="002A18B6">
      <w:pPr>
        <w:ind w:firstLine="720"/>
        <w:jc w:val="both"/>
      </w:pPr>
      <w:r>
        <w:t xml:space="preserve">6.5. </w:t>
      </w:r>
      <w:r w:rsidR="00341B75" w:rsidRPr="002A18B6">
        <w:t>noteikšana:</w:t>
      </w:r>
    </w:p>
    <w:p w14:paraId="19F0E5AF" w14:textId="7137E856" w:rsidR="00341B75" w:rsidRPr="002A18B6" w:rsidRDefault="002A18B6" w:rsidP="002A18B6">
      <w:pPr>
        <w:ind w:firstLine="720"/>
        <w:jc w:val="both"/>
      </w:pPr>
      <w:r>
        <w:t xml:space="preserve">6.5.1. </w:t>
      </w:r>
      <w:r w:rsidR="00341B75" w:rsidRPr="002A18B6">
        <w:t>veic šī pielikuma 6.1.1.</w:t>
      </w:r>
      <w:r w:rsidR="00C7168D" w:rsidRPr="002A18B6">
        <w:t> </w:t>
      </w:r>
      <w:r w:rsidR="00341B75" w:rsidRPr="002A18B6">
        <w:t>apakšpunktā minēto darbību;</w:t>
      </w:r>
    </w:p>
    <w:p w14:paraId="49A83979" w14:textId="09B8BBF7" w:rsidR="00341B75" w:rsidRPr="002A18B6" w:rsidRDefault="00341B75" w:rsidP="002A18B6">
      <w:pPr>
        <w:ind w:firstLine="720"/>
        <w:jc w:val="both"/>
      </w:pPr>
      <w:r w:rsidRPr="002A18B6">
        <w:t>6.5.2</w:t>
      </w:r>
      <w:r w:rsidR="002A18B6">
        <w:t xml:space="preserve">. </w:t>
      </w:r>
      <w:r w:rsidRPr="002A18B6">
        <w:t>piepilda bireti ar parauga šķīdumu un menisku noregulē uz nulli;</w:t>
      </w:r>
    </w:p>
    <w:p w14:paraId="55B1BB0F" w14:textId="65963A5D" w:rsidR="00341B75" w:rsidRPr="002A18B6" w:rsidRDefault="002A18B6" w:rsidP="002A18B6">
      <w:pPr>
        <w:ind w:firstLine="720"/>
        <w:jc w:val="both"/>
      </w:pPr>
      <w:r>
        <w:t xml:space="preserve">6.5.3. </w:t>
      </w:r>
      <w:r w:rsidR="00341B75" w:rsidRPr="002A18B6">
        <w:t>no biretes kolbā ielej 18,5 ml analizējamā šķīduma</w:t>
      </w:r>
      <w:r w:rsidR="00C7168D" w:rsidRPr="002A18B6">
        <w:t xml:space="preserve"> un</w:t>
      </w:r>
      <w:r w:rsidR="00341B75" w:rsidRPr="002A18B6">
        <w:t xml:space="preserve"> samaisa;</w:t>
      </w:r>
    </w:p>
    <w:p w14:paraId="1E622211" w14:textId="644103D5" w:rsidR="00341B75" w:rsidRPr="002A18B6" w:rsidRDefault="002A18B6" w:rsidP="002A18B6">
      <w:pPr>
        <w:ind w:firstLine="720"/>
        <w:jc w:val="both"/>
      </w:pPr>
      <w:r>
        <w:t xml:space="preserve">6.5.4. </w:t>
      </w:r>
      <w:r w:rsidR="00341B75" w:rsidRPr="002A18B6">
        <w:t>veic šī pielikuma 6.1.4.</w:t>
      </w:r>
      <w:r w:rsidR="00C7168D" w:rsidRPr="002A18B6">
        <w:t> </w:t>
      </w:r>
      <w:r w:rsidR="00341B75" w:rsidRPr="002A18B6">
        <w:t>apakšpunktā minēto darbību;</w:t>
      </w:r>
    </w:p>
    <w:p w14:paraId="35C1A411" w14:textId="14C4ABE7" w:rsidR="00341B75" w:rsidRPr="002A18B6" w:rsidRDefault="002A18B6" w:rsidP="002A18B6">
      <w:pPr>
        <w:ind w:firstLine="720"/>
        <w:jc w:val="both"/>
      </w:pPr>
      <w:r>
        <w:t xml:space="preserve">6.5.5. </w:t>
      </w:r>
      <w:r w:rsidR="00341B75" w:rsidRPr="002A18B6">
        <w:t>veic šī pielikuma 6.1.5.</w:t>
      </w:r>
      <w:r w:rsidR="00C7168D" w:rsidRPr="002A18B6">
        <w:t> </w:t>
      </w:r>
      <w:r w:rsidR="00341B75" w:rsidRPr="002A18B6">
        <w:t>apakšpunktā minēto darbību;</w:t>
      </w:r>
    </w:p>
    <w:p w14:paraId="60BFFB5D" w14:textId="1A8ADB5F" w:rsidR="00341B75" w:rsidRPr="002A18B6" w:rsidRDefault="002A18B6" w:rsidP="002A18B6">
      <w:pPr>
        <w:ind w:firstLine="720"/>
        <w:jc w:val="both"/>
      </w:pPr>
      <w:r>
        <w:t xml:space="preserve">6.5.6. </w:t>
      </w:r>
      <w:r w:rsidR="00341B75" w:rsidRPr="002A18B6">
        <w:t>veic šī pielikuma 6.1.6.</w:t>
      </w:r>
      <w:r w:rsidR="00C7168D" w:rsidRPr="002A18B6">
        <w:t> </w:t>
      </w:r>
      <w:r w:rsidR="00341B75" w:rsidRPr="002A18B6">
        <w:t>apakšpunktā minēto darbību;</w:t>
      </w:r>
    </w:p>
    <w:p w14:paraId="401AFACC" w14:textId="32CBA5DA" w:rsidR="00341B75" w:rsidRPr="002A18B6" w:rsidRDefault="002A18B6" w:rsidP="002A18B6">
      <w:pPr>
        <w:ind w:firstLine="720"/>
        <w:jc w:val="both"/>
      </w:pPr>
      <w:r>
        <w:t xml:space="preserve">6.5.7. </w:t>
      </w:r>
      <w:r w:rsidR="00341B75" w:rsidRPr="002A18B6">
        <w:t>veic šī pielikuma 6.1.7.</w:t>
      </w:r>
      <w:r w:rsidR="00C7168D" w:rsidRPr="002A18B6">
        <w:t> </w:t>
      </w:r>
      <w:r w:rsidR="00341B75" w:rsidRPr="002A18B6">
        <w:t>apakšpunktā minēto darbību</w:t>
      </w:r>
      <w:r w:rsidR="00C7168D" w:rsidRPr="002A18B6">
        <w:t xml:space="preserve"> un</w:t>
      </w:r>
      <w:r w:rsidR="00341B75" w:rsidRPr="002A18B6">
        <w:t xml:space="preserve"> standarta dekstrozes vietā izmanto analizējamo šķīdumu;</w:t>
      </w:r>
    </w:p>
    <w:p w14:paraId="6614400B" w14:textId="0F5C07DB" w:rsidR="00341B75" w:rsidRPr="002A18B6" w:rsidRDefault="002A18B6" w:rsidP="002A18B6">
      <w:pPr>
        <w:ind w:firstLine="720"/>
        <w:jc w:val="both"/>
      </w:pPr>
      <w:r>
        <w:t xml:space="preserve">6.5.8. </w:t>
      </w:r>
      <w:r w:rsidR="00341B75" w:rsidRPr="002A18B6">
        <w:t>veic šī pielikuma 6.1.8.</w:t>
      </w:r>
      <w:r w:rsidR="00C7168D" w:rsidRPr="002A18B6">
        <w:t> </w:t>
      </w:r>
      <w:r w:rsidR="00341B75" w:rsidRPr="002A18B6">
        <w:t>apakšpunktā minēto darbību;</w:t>
      </w:r>
    </w:p>
    <w:p w14:paraId="31E9E154" w14:textId="73D0B150" w:rsidR="00341B75" w:rsidRPr="002A18B6" w:rsidRDefault="002A18B6" w:rsidP="002A18B6">
      <w:pPr>
        <w:ind w:firstLine="720"/>
        <w:jc w:val="both"/>
      </w:pPr>
      <w:r>
        <w:t xml:space="preserve">6.5.9. </w:t>
      </w:r>
      <w:r w:rsidR="00341B75" w:rsidRPr="002A18B6">
        <w:t>veic šī pielikuma 6.1.9.</w:t>
      </w:r>
      <w:r w:rsidR="00C7168D" w:rsidRPr="002A18B6">
        <w:t> </w:t>
      </w:r>
      <w:r w:rsidR="00341B75" w:rsidRPr="002A18B6">
        <w:t>apakšpunktā minēto darbību</w:t>
      </w:r>
      <w:r w:rsidR="00C7168D" w:rsidRPr="002A18B6">
        <w:t xml:space="preserve"> un</w:t>
      </w:r>
      <w:r w:rsidR="00341B75" w:rsidRPr="002A18B6">
        <w:t xml:space="preserve"> standarta dekstrozes vietā izmanto analizējamo šķīdumu;</w:t>
      </w:r>
    </w:p>
    <w:p w14:paraId="74762C9A" w14:textId="36CB60B3" w:rsidR="00341B75" w:rsidRPr="002A18B6" w:rsidRDefault="002825A1" w:rsidP="002A18B6">
      <w:pPr>
        <w:ind w:firstLine="720"/>
        <w:jc w:val="both"/>
      </w:pPr>
      <w:r w:rsidRPr="002A18B6">
        <w:t xml:space="preserve">6.5.10. </w:t>
      </w:r>
      <w:r w:rsidR="00341B75" w:rsidRPr="002A18B6">
        <w:t>veic šī pielikuma 6.1.10.</w:t>
      </w:r>
      <w:r w:rsidR="002A18B6">
        <w:t xml:space="preserve"> </w:t>
      </w:r>
      <w:r w:rsidR="00341B75" w:rsidRPr="002A18B6">
        <w:t>apakšpunktā minēto darbību;</w:t>
      </w:r>
    </w:p>
    <w:p w14:paraId="749A0F05" w14:textId="14B90E68" w:rsidR="00341B75" w:rsidRPr="002A18B6" w:rsidRDefault="00341B75" w:rsidP="002A18B6">
      <w:pPr>
        <w:ind w:firstLine="720"/>
        <w:jc w:val="both"/>
      </w:pPr>
      <w:r w:rsidRPr="002A18B6">
        <w:t>6.5.11.</w:t>
      </w:r>
      <w:r w:rsidR="002825A1" w:rsidRPr="002A18B6">
        <w:t xml:space="preserve"> veic šī pielikuma 6.1.11</w:t>
      </w:r>
      <w:r w:rsidR="002A18B6">
        <w:t xml:space="preserve"> </w:t>
      </w:r>
      <w:r w:rsidR="002825A1" w:rsidRPr="002A18B6">
        <w:t>apakš</w:t>
      </w:r>
      <w:r w:rsidRPr="002A18B6">
        <w:t>punktā minēto darbību</w:t>
      </w:r>
      <w:r w:rsidR="00C7168D" w:rsidRPr="002A18B6">
        <w:t xml:space="preserve"> un</w:t>
      </w:r>
      <w:r w:rsidRPr="002A18B6">
        <w:t xml:space="preserve"> standarta dekstrozes vietā izmanto analizējamo šķīdumu;</w:t>
      </w:r>
    </w:p>
    <w:p w14:paraId="553F356A" w14:textId="77777777" w:rsidR="00341B75" w:rsidRPr="002A18B6" w:rsidRDefault="002825A1" w:rsidP="002A18B6">
      <w:pPr>
        <w:ind w:firstLine="720"/>
        <w:jc w:val="both"/>
      </w:pPr>
      <w:r w:rsidRPr="002A18B6">
        <w:t xml:space="preserve">6.5.12. </w:t>
      </w:r>
      <w:r w:rsidR="00341B75" w:rsidRPr="002A18B6">
        <w:t>atzīmē pēdējā titrēšanā patērētā analizējamā šķīduma tilpumu (V</w:t>
      </w:r>
      <w:r w:rsidRPr="002A18B6">
        <w:rPr>
          <w:vertAlign w:val="subscript"/>
        </w:rPr>
        <w:t>1</w:t>
      </w:r>
      <w:r w:rsidR="00341B75" w:rsidRPr="002A18B6">
        <w:t>);</w:t>
      </w:r>
    </w:p>
    <w:p w14:paraId="74F1146C" w14:textId="7F5C270E" w:rsidR="00341B75" w:rsidRPr="002A18B6" w:rsidRDefault="002825A1" w:rsidP="002A18B6">
      <w:pPr>
        <w:ind w:firstLine="720"/>
        <w:jc w:val="both"/>
      </w:pPr>
      <w:r w:rsidRPr="002A18B6">
        <w:t xml:space="preserve">6.5.13. </w:t>
      </w:r>
      <w:r w:rsidR="00341B75" w:rsidRPr="002A18B6">
        <w:t>analizējamā šķīduma patēriņam V</w:t>
      </w:r>
      <w:r w:rsidRPr="002A18B6">
        <w:rPr>
          <w:vertAlign w:val="subscript"/>
        </w:rPr>
        <w:t>1</w:t>
      </w:r>
      <w:r w:rsidR="00341B75" w:rsidRPr="002A18B6">
        <w:t xml:space="preserve"> jābū</w:t>
      </w:r>
      <w:r w:rsidRPr="002A18B6">
        <w:t>t starp 19,0 un 21,0 ml. Ja V</w:t>
      </w:r>
      <w:r w:rsidRPr="002A18B6">
        <w:rPr>
          <w:vertAlign w:val="subscript"/>
        </w:rPr>
        <w:t>1</w:t>
      </w:r>
      <w:r w:rsidRPr="002A18B6">
        <w:t xml:space="preserve"> </w:t>
      </w:r>
      <w:r w:rsidR="00341B75" w:rsidRPr="002A18B6">
        <w:t>neiekļaujas šajās robežās, veic analizējamā šķīduma koncentrācijas korekciju un atkārto darbības, kas minētas šī pielikuma 6.5.1., 6.5.2., 6.5.3., 6.5.4., 6.5.5., 6.5.6., 6.5.7., 6.5.8., 6.5.9., 6.5.10., 6.5.11. un 6.5.12.</w:t>
      </w:r>
      <w:r w:rsidR="002A18B6">
        <w:t xml:space="preserve"> </w:t>
      </w:r>
      <w:r w:rsidR="00341B75" w:rsidRPr="002A18B6">
        <w:t>apakšpunktā;</w:t>
      </w:r>
    </w:p>
    <w:p w14:paraId="5FA9692B" w14:textId="77777777" w:rsidR="00341B75" w:rsidRPr="002A18B6" w:rsidRDefault="002825A1" w:rsidP="002A18B6">
      <w:pPr>
        <w:ind w:firstLine="720"/>
        <w:jc w:val="both"/>
      </w:pPr>
      <w:r w:rsidRPr="002A18B6">
        <w:t xml:space="preserve">6.5.14. </w:t>
      </w:r>
      <w:r w:rsidR="00341B75" w:rsidRPr="002A18B6">
        <w:t>vienam paraugam veic paralēli divas analīzes;</w:t>
      </w:r>
    </w:p>
    <w:p w14:paraId="0134933B" w14:textId="77777777" w:rsidR="00341B75" w:rsidRPr="002A18B6" w:rsidRDefault="00341B75" w:rsidP="002A18B6">
      <w:pPr>
        <w:ind w:firstLine="720"/>
        <w:jc w:val="both"/>
      </w:pPr>
      <w:r w:rsidRPr="002A18B6">
        <w:t>6.6. sausnas saturs. Sausnas saturu paraugā nosaka, izmantojot sausnas noteikšanas metodi (2.pielikums).</w:t>
      </w:r>
    </w:p>
    <w:p w14:paraId="5900F488" w14:textId="77777777" w:rsidR="002825A1" w:rsidRPr="002A18B6" w:rsidRDefault="002825A1" w:rsidP="002A18B6">
      <w:pPr>
        <w:ind w:firstLine="720"/>
        <w:jc w:val="both"/>
      </w:pPr>
    </w:p>
    <w:p w14:paraId="14B1E4CB" w14:textId="77777777" w:rsidR="00341B75" w:rsidRPr="002A18B6" w:rsidRDefault="002825A1" w:rsidP="002A18B6">
      <w:pPr>
        <w:ind w:firstLine="720"/>
        <w:jc w:val="both"/>
      </w:pPr>
      <w:r w:rsidRPr="002A18B6">
        <w:t xml:space="preserve">7. </w:t>
      </w:r>
      <w:r w:rsidR="00341B75" w:rsidRPr="002A18B6">
        <w:t>Rezultātu izteikšana:</w:t>
      </w:r>
    </w:p>
    <w:p w14:paraId="07A30775" w14:textId="5E697B14" w:rsidR="00341B75" w:rsidRPr="002A18B6" w:rsidRDefault="002825A1" w:rsidP="002A18B6">
      <w:pPr>
        <w:ind w:firstLine="720"/>
        <w:jc w:val="both"/>
      </w:pPr>
      <w:r w:rsidRPr="002A18B6">
        <w:t xml:space="preserve">7.1. </w:t>
      </w:r>
      <w:r w:rsidR="00341B75" w:rsidRPr="002A18B6">
        <w:t xml:space="preserve">reducēšanas spēju aprēķina procentos no sagatavotā parauga masas </w:t>
      </w:r>
      <w:r w:rsidR="00C7168D" w:rsidRPr="002A18B6">
        <w:t xml:space="preserve">pēc </w:t>
      </w:r>
      <w:r w:rsidR="00341B75" w:rsidRPr="002A18B6">
        <w:t>šād</w:t>
      </w:r>
      <w:r w:rsidR="00C7168D" w:rsidRPr="002A18B6">
        <w:t>as</w:t>
      </w:r>
      <w:r w:rsidR="00341B75" w:rsidRPr="002A18B6">
        <w:t xml:space="preserve"> formul</w:t>
      </w:r>
      <w:r w:rsidR="00C7168D" w:rsidRPr="002A18B6">
        <w:t>as</w:t>
      </w:r>
      <w:r w:rsidR="00341B75" w:rsidRPr="002A18B6">
        <w:t>:</w:t>
      </w:r>
    </w:p>
    <w:p w14:paraId="1461C077" w14:textId="77777777" w:rsidR="002825A1" w:rsidRPr="002A18B6" w:rsidRDefault="002825A1" w:rsidP="002A18B6">
      <w:pPr>
        <w:ind w:firstLine="720"/>
        <w:jc w:val="both"/>
      </w:pPr>
      <w:r w:rsidRPr="002A18B6">
        <w:rPr>
          <w:noProof/>
        </w:rPr>
        <w:lastRenderedPageBreak/>
        <w:drawing>
          <wp:inline distT="0" distB="0" distL="0" distR="0" wp14:anchorId="4CA13054" wp14:editId="5EC7E034">
            <wp:extent cx="923925" cy="409575"/>
            <wp:effectExtent l="0" t="0" r="9525" b="9525"/>
            <wp:docPr id="1" name="Picture 1" descr="\\fs-01\users$\gunta.evardsone\Desktop\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users$\gunta.evardsone\Desktop\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409575"/>
                    </a:xfrm>
                    <a:prstGeom prst="rect">
                      <a:avLst/>
                    </a:prstGeom>
                    <a:noFill/>
                    <a:ln>
                      <a:noFill/>
                    </a:ln>
                  </pic:spPr>
                </pic:pic>
              </a:graphicData>
            </a:graphic>
          </wp:inline>
        </w:drawing>
      </w:r>
    </w:p>
    <w:p w14:paraId="0521481C" w14:textId="77777777" w:rsidR="002825A1" w:rsidRPr="002A18B6" w:rsidRDefault="002825A1" w:rsidP="002A18B6">
      <w:pPr>
        <w:ind w:firstLine="720"/>
        <w:jc w:val="both"/>
      </w:pPr>
    </w:p>
    <w:p w14:paraId="68D81A75" w14:textId="77777777" w:rsidR="00341B75" w:rsidRPr="002A18B6" w:rsidRDefault="00341B75" w:rsidP="002A18B6">
      <w:pPr>
        <w:ind w:firstLine="720"/>
        <w:jc w:val="both"/>
      </w:pPr>
      <w:r w:rsidRPr="002A18B6">
        <w:t>V</w:t>
      </w:r>
      <w:r w:rsidR="002825A1" w:rsidRPr="002A18B6">
        <w:rPr>
          <w:vertAlign w:val="subscript"/>
        </w:rPr>
        <w:t>0</w:t>
      </w:r>
      <w:r w:rsidR="005025B3" w:rsidRPr="002A18B6">
        <w:t xml:space="preserve"> – </w:t>
      </w:r>
      <w:r w:rsidRPr="002A18B6">
        <w:t xml:space="preserve">standarta </w:t>
      </w:r>
      <w:r w:rsidR="002825A1" w:rsidRPr="002A18B6">
        <w:t xml:space="preserve">dekstrozes </w:t>
      </w:r>
      <w:r w:rsidRPr="002A18B6">
        <w:t>šķīduma tilpums, kas patērēts standartizēšanas titrēšanā (mililitros);</w:t>
      </w:r>
    </w:p>
    <w:p w14:paraId="457BF4DD" w14:textId="77777777" w:rsidR="00341B75" w:rsidRPr="002A18B6" w:rsidRDefault="002825A1" w:rsidP="002A18B6">
      <w:pPr>
        <w:ind w:firstLine="720"/>
        <w:jc w:val="both"/>
      </w:pPr>
      <w:r w:rsidRPr="002A18B6">
        <w:t>V</w:t>
      </w:r>
      <w:r w:rsidRPr="002A18B6">
        <w:rPr>
          <w:vertAlign w:val="subscript"/>
        </w:rPr>
        <w:t>1</w:t>
      </w:r>
      <w:r w:rsidR="00341B75" w:rsidRPr="002A18B6">
        <w:rPr>
          <w:vertAlign w:val="subscript"/>
        </w:rPr>
        <w:t xml:space="preserve"> </w:t>
      </w:r>
      <w:r w:rsidR="005025B3" w:rsidRPr="002A18B6">
        <w:t>–</w:t>
      </w:r>
      <w:r w:rsidR="00341B75" w:rsidRPr="002A18B6">
        <w:t xml:space="preserve"> parauga šķīduma tilpums, kas patērēts precīzajā titrēšanā (mililitros);</w:t>
      </w:r>
    </w:p>
    <w:p w14:paraId="3F6D8D83" w14:textId="0FA39033" w:rsidR="00341B75" w:rsidRPr="002A18B6" w:rsidRDefault="00341B75" w:rsidP="002A18B6">
      <w:pPr>
        <w:ind w:firstLine="720"/>
        <w:jc w:val="both"/>
      </w:pPr>
      <w:r w:rsidRPr="002A18B6">
        <w:t xml:space="preserve">M </w:t>
      </w:r>
      <w:r w:rsidR="005025B3" w:rsidRPr="002A18B6">
        <w:t>–</w:t>
      </w:r>
      <w:r w:rsidRPr="002A18B6">
        <w:t xml:space="preserve"> analizējamā parauga masa (gramos), kas izmantota, pagatavojot 500</w:t>
      </w:r>
      <w:r w:rsidR="00C7168D" w:rsidRPr="002A18B6">
        <w:t> </w:t>
      </w:r>
      <w:r w:rsidRPr="002A18B6">
        <w:t>ml analizējamā šķīduma;</w:t>
      </w:r>
    </w:p>
    <w:p w14:paraId="68DAC283" w14:textId="15542598" w:rsidR="00341B75" w:rsidRPr="002A18B6" w:rsidRDefault="00341B75" w:rsidP="002A18B6">
      <w:pPr>
        <w:ind w:firstLine="720"/>
        <w:jc w:val="both"/>
      </w:pPr>
      <w:r w:rsidRPr="002A18B6">
        <w:t>7.2.</w:t>
      </w:r>
      <w:r w:rsidRPr="002A18B6">
        <w:tab/>
        <w:t xml:space="preserve">dekstrozes ekvivalents </w:t>
      </w:r>
      <w:r w:rsidR="005025B3" w:rsidRPr="002A18B6">
        <w:t>–</w:t>
      </w:r>
      <w:r w:rsidRPr="002A18B6">
        <w:t xml:space="preserve"> izteikts procentos no sausnas masas, k</w:t>
      </w:r>
      <w:r w:rsidR="00C7168D" w:rsidRPr="002A18B6">
        <w:t>o</w:t>
      </w:r>
      <w:r w:rsidRPr="002A18B6">
        <w:t xml:space="preserve"> aprēķina</w:t>
      </w:r>
      <w:r w:rsidR="00C7168D" w:rsidRPr="002A18B6">
        <w:t xml:space="preserve"> pēc</w:t>
      </w:r>
      <w:r w:rsidRPr="002A18B6">
        <w:t xml:space="preserve"> šād</w:t>
      </w:r>
      <w:r w:rsidR="00C7168D" w:rsidRPr="002A18B6">
        <w:t>as</w:t>
      </w:r>
      <w:r w:rsidRPr="002A18B6">
        <w:t xml:space="preserve"> formul</w:t>
      </w:r>
      <w:r w:rsidR="00C7168D" w:rsidRPr="002A18B6">
        <w:t>as</w:t>
      </w:r>
      <w:r w:rsidRPr="002A18B6">
        <w:t>:</w:t>
      </w:r>
    </w:p>
    <w:p w14:paraId="2B651952" w14:textId="77777777" w:rsidR="00761FA3" w:rsidRPr="002A18B6" w:rsidRDefault="00761FA3" w:rsidP="002A18B6">
      <w:pPr>
        <w:ind w:firstLine="720"/>
        <w:jc w:val="both"/>
      </w:pPr>
      <w:r w:rsidRPr="002A18B6">
        <w:t>RP x 100V</w:t>
      </w:r>
    </w:p>
    <w:p w14:paraId="608930AF" w14:textId="77777777" w:rsidR="00761FA3" w:rsidRPr="002A18B6" w:rsidRDefault="00761FA3" w:rsidP="002A18B6">
      <w:pPr>
        <w:ind w:firstLine="720"/>
        <w:jc w:val="both"/>
      </w:pPr>
      <w:r w:rsidRPr="002A18B6">
        <w:t>——————, kur</w:t>
      </w:r>
    </w:p>
    <w:p w14:paraId="0A1D97DF" w14:textId="77777777" w:rsidR="00761FA3" w:rsidRPr="002A18B6" w:rsidRDefault="00761FA3" w:rsidP="002A18B6">
      <w:pPr>
        <w:ind w:firstLine="720"/>
        <w:jc w:val="both"/>
      </w:pPr>
      <w:r w:rsidRPr="002A18B6">
        <w:t>D</w:t>
      </w:r>
    </w:p>
    <w:p w14:paraId="2C5807E0" w14:textId="77777777" w:rsidR="00761FA3" w:rsidRPr="002A18B6" w:rsidRDefault="00761FA3" w:rsidP="002A18B6">
      <w:pPr>
        <w:ind w:firstLine="720"/>
        <w:jc w:val="both"/>
      </w:pPr>
    </w:p>
    <w:p w14:paraId="4832E940" w14:textId="77777777" w:rsidR="002825A1" w:rsidRPr="002A18B6" w:rsidRDefault="002825A1" w:rsidP="002A18B6">
      <w:pPr>
        <w:ind w:firstLine="720"/>
        <w:jc w:val="both"/>
      </w:pPr>
    </w:p>
    <w:p w14:paraId="642B2406" w14:textId="77777777" w:rsidR="00341B75" w:rsidRPr="002A18B6" w:rsidRDefault="00761FA3" w:rsidP="002A18B6">
      <w:pPr>
        <w:ind w:firstLine="720"/>
        <w:jc w:val="both"/>
      </w:pPr>
      <w:proofErr w:type="gramStart"/>
      <w:r w:rsidRPr="002A18B6">
        <w:t>RP</w:t>
      </w:r>
      <w:r w:rsidR="005025B3" w:rsidRPr="002A18B6">
        <w:t>–</w:t>
      </w:r>
      <w:r w:rsidRPr="002A18B6">
        <w:t xml:space="preserve"> r</w:t>
      </w:r>
      <w:proofErr w:type="gramEnd"/>
      <w:r w:rsidRPr="002A18B6">
        <w:t>educēšanas spēja, ko aprēķina procentos no sagatavotā parauga masas</w:t>
      </w:r>
    </w:p>
    <w:p w14:paraId="6611E9F8" w14:textId="77777777" w:rsidR="00341B75" w:rsidRPr="002A18B6" w:rsidRDefault="00341B75" w:rsidP="002A18B6">
      <w:pPr>
        <w:ind w:firstLine="720"/>
        <w:jc w:val="both"/>
      </w:pPr>
      <w:r w:rsidRPr="002A18B6">
        <w:t xml:space="preserve">D </w:t>
      </w:r>
      <w:r w:rsidR="005025B3" w:rsidRPr="002A18B6">
        <w:t>–</w:t>
      </w:r>
      <w:r w:rsidRPr="002A18B6">
        <w:t xml:space="preserve"> sausnas saturs paraugā procentos no masas;</w:t>
      </w:r>
    </w:p>
    <w:p w14:paraId="5849CF98" w14:textId="720410BA" w:rsidR="00341B75" w:rsidRPr="002A18B6" w:rsidRDefault="002A18B6" w:rsidP="002A18B6">
      <w:pPr>
        <w:ind w:firstLine="720"/>
        <w:jc w:val="both"/>
      </w:pPr>
      <w:r>
        <w:t xml:space="preserve">7.3. </w:t>
      </w:r>
      <w:r w:rsidR="00341B75" w:rsidRPr="002A18B6">
        <w:t>rezultātu izsaka kā vidējo aritmētisko, ņemot vērā šī pielikuma 7.4.</w:t>
      </w:r>
      <w:r>
        <w:t xml:space="preserve"> </w:t>
      </w:r>
      <w:r w:rsidR="00341B75" w:rsidRPr="002A18B6">
        <w:t>apakšpunktu;</w:t>
      </w:r>
    </w:p>
    <w:p w14:paraId="22ADE7C4" w14:textId="55409246" w:rsidR="00B93C62" w:rsidRPr="002A18B6" w:rsidRDefault="002A18B6" w:rsidP="002A18B6">
      <w:pPr>
        <w:ind w:firstLine="720"/>
        <w:jc w:val="both"/>
      </w:pPr>
      <w:r>
        <w:t xml:space="preserve">7.4. </w:t>
      </w:r>
      <w:r w:rsidR="00341B75" w:rsidRPr="002A18B6">
        <w:t>atkārtojamība: atšķirība starp diviem vienādos apstākļos viena analītiķa iegūtiem rezultātiem, kas noteikti paralēli vai secīgi vienam un tam pašam paraugam, nedrīkst pārsniegt 1,0 % no to vidējā aritmētiskā.</w:t>
      </w:r>
    </w:p>
    <w:p w14:paraId="72450748" w14:textId="77777777" w:rsidR="0016098A" w:rsidRPr="002A18B6" w:rsidRDefault="0016098A" w:rsidP="002A18B6">
      <w:pPr>
        <w:jc w:val="both"/>
      </w:pPr>
    </w:p>
    <w:p w14:paraId="5D355655" w14:textId="77777777" w:rsidR="0016098A" w:rsidRPr="002A18B6" w:rsidRDefault="0016098A" w:rsidP="00B93C62">
      <w:pPr>
        <w:ind w:firstLine="720"/>
        <w:jc w:val="both"/>
      </w:pPr>
    </w:p>
    <w:p w14:paraId="623DDA69" w14:textId="6C6495B1" w:rsidR="00FF4424" w:rsidRPr="002A18B6" w:rsidRDefault="00FF4424" w:rsidP="00FF4424">
      <w:r w:rsidRPr="002A18B6">
        <w:t xml:space="preserve">Zemkopības ministrs </w:t>
      </w:r>
      <w:r w:rsidRPr="002A18B6">
        <w:tab/>
      </w:r>
      <w:r w:rsidRPr="002A18B6">
        <w:tab/>
      </w:r>
      <w:r w:rsidR="002A18B6">
        <w:tab/>
      </w:r>
      <w:r w:rsidR="002A18B6">
        <w:tab/>
      </w:r>
      <w:r w:rsidR="002A18B6">
        <w:tab/>
      </w:r>
      <w:r w:rsidR="002A18B6">
        <w:tab/>
      </w:r>
      <w:r w:rsidR="002A18B6">
        <w:tab/>
      </w:r>
      <w:r w:rsidRPr="002A18B6">
        <w:tab/>
      </w:r>
      <w:r w:rsidRPr="002A18B6">
        <w:tab/>
      </w:r>
      <w:proofErr w:type="spellStart"/>
      <w:r w:rsidRPr="002A18B6">
        <w:t>J.Dūklavs</w:t>
      </w:r>
      <w:proofErr w:type="spellEnd"/>
    </w:p>
    <w:p w14:paraId="79F0DEAF" w14:textId="77777777" w:rsidR="00FF4424" w:rsidRPr="002A18B6" w:rsidRDefault="00FF4424" w:rsidP="00FF4424"/>
    <w:p w14:paraId="289BD909" w14:textId="77777777" w:rsidR="00FF4424" w:rsidRPr="002A18B6" w:rsidRDefault="00FF4424" w:rsidP="00FF4424"/>
    <w:p w14:paraId="7DE1F2AD" w14:textId="77777777" w:rsidR="00FF4424" w:rsidRPr="002A18B6" w:rsidRDefault="00FF4424" w:rsidP="00FF4424"/>
    <w:p w14:paraId="6027D0D4" w14:textId="77777777" w:rsidR="00FF4424" w:rsidRPr="002A18B6" w:rsidRDefault="00FF4424" w:rsidP="00FF4424"/>
    <w:p w14:paraId="72834A20" w14:textId="77777777" w:rsidR="00FF4424" w:rsidRPr="002A18B6" w:rsidRDefault="00FF4424" w:rsidP="00FF4424"/>
    <w:p w14:paraId="31BFAA28" w14:textId="77777777" w:rsidR="00FF4424" w:rsidRDefault="00FF4424" w:rsidP="00FF4424">
      <w:pPr>
        <w:rPr>
          <w:sz w:val="28"/>
        </w:rPr>
      </w:pPr>
    </w:p>
    <w:p w14:paraId="20EF962D" w14:textId="77777777" w:rsidR="00FF4424" w:rsidRDefault="00FF4424" w:rsidP="00FF4424">
      <w:pPr>
        <w:rPr>
          <w:sz w:val="28"/>
        </w:rPr>
      </w:pPr>
    </w:p>
    <w:p w14:paraId="5E56F1D0" w14:textId="77777777" w:rsidR="002A18B6" w:rsidRDefault="002A18B6" w:rsidP="00FF4424">
      <w:pPr>
        <w:rPr>
          <w:sz w:val="28"/>
        </w:rPr>
      </w:pPr>
    </w:p>
    <w:p w14:paraId="4887A402" w14:textId="77777777" w:rsidR="002A18B6" w:rsidRDefault="002A18B6" w:rsidP="00FF4424">
      <w:pPr>
        <w:rPr>
          <w:sz w:val="28"/>
        </w:rPr>
      </w:pPr>
    </w:p>
    <w:p w14:paraId="16ABCCB3" w14:textId="77777777" w:rsidR="002A18B6" w:rsidRDefault="002A18B6" w:rsidP="00FF4424">
      <w:pPr>
        <w:rPr>
          <w:sz w:val="28"/>
        </w:rPr>
      </w:pPr>
    </w:p>
    <w:p w14:paraId="57D8BF0D" w14:textId="77777777" w:rsidR="002A18B6" w:rsidRDefault="002A18B6" w:rsidP="00FF4424">
      <w:pPr>
        <w:rPr>
          <w:sz w:val="28"/>
        </w:rPr>
      </w:pPr>
    </w:p>
    <w:p w14:paraId="31262F43" w14:textId="77777777" w:rsidR="002A18B6" w:rsidRDefault="002A18B6" w:rsidP="00FF4424">
      <w:pPr>
        <w:rPr>
          <w:sz w:val="28"/>
        </w:rPr>
      </w:pPr>
    </w:p>
    <w:p w14:paraId="19F3A548" w14:textId="77777777" w:rsidR="002A18B6" w:rsidRDefault="002A18B6" w:rsidP="00FF4424">
      <w:pPr>
        <w:rPr>
          <w:sz w:val="28"/>
        </w:rPr>
      </w:pPr>
    </w:p>
    <w:p w14:paraId="33188B68" w14:textId="77777777" w:rsidR="002A18B6" w:rsidRDefault="002A18B6" w:rsidP="00FF4424">
      <w:pPr>
        <w:rPr>
          <w:sz w:val="28"/>
        </w:rPr>
      </w:pPr>
    </w:p>
    <w:p w14:paraId="20EFF981" w14:textId="77777777" w:rsidR="002A18B6" w:rsidRDefault="002A18B6" w:rsidP="00FF4424">
      <w:pPr>
        <w:rPr>
          <w:sz w:val="28"/>
        </w:rPr>
      </w:pPr>
    </w:p>
    <w:p w14:paraId="31438D60" w14:textId="77777777" w:rsidR="002A18B6" w:rsidRDefault="002A18B6" w:rsidP="00FF4424">
      <w:pPr>
        <w:rPr>
          <w:sz w:val="28"/>
        </w:rPr>
      </w:pPr>
    </w:p>
    <w:p w14:paraId="0793689B" w14:textId="77777777" w:rsidR="002A18B6" w:rsidRDefault="002A18B6" w:rsidP="00FF4424">
      <w:pPr>
        <w:rPr>
          <w:sz w:val="28"/>
        </w:rPr>
      </w:pPr>
    </w:p>
    <w:p w14:paraId="3D20B5C9" w14:textId="77777777" w:rsidR="002A18B6" w:rsidRDefault="002A18B6" w:rsidP="00FF4424">
      <w:pPr>
        <w:rPr>
          <w:sz w:val="28"/>
        </w:rPr>
      </w:pPr>
    </w:p>
    <w:p w14:paraId="2AEAB1B1" w14:textId="77777777" w:rsidR="002A18B6" w:rsidRDefault="002A18B6" w:rsidP="00FF4424">
      <w:pPr>
        <w:rPr>
          <w:sz w:val="28"/>
        </w:rPr>
      </w:pPr>
    </w:p>
    <w:p w14:paraId="08AFACB2" w14:textId="77777777" w:rsidR="002A18B6" w:rsidRDefault="002A18B6" w:rsidP="00FF4424">
      <w:pPr>
        <w:rPr>
          <w:sz w:val="28"/>
        </w:rPr>
      </w:pPr>
    </w:p>
    <w:p w14:paraId="2261076E" w14:textId="77777777" w:rsidR="00FF4424" w:rsidRPr="002A18B6" w:rsidRDefault="00FF4424" w:rsidP="00FF4424">
      <w:pPr>
        <w:rPr>
          <w:sz w:val="20"/>
          <w:szCs w:val="20"/>
        </w:rPr>
      </w:pPr>
    </w:p>
    <w:p w14:paraId="429575A7" w14:textId="77777777" w:rsidR="002A18B6" w:rsidRDefault="002A18B6" w:rsidP="00FF4424">
      <w:pPr>
        <w:pStyle w:val="Pamattekstsaratkpi"/>
        <w:ind w:firstLine="0"/>
        <w:rPr>
          <w:sz w:val="20"/>
        </w:rPr>
      </w:pPr>
      <w:r>
        <w:rPr>
          <w:sz w:val="20"/>
        </w:rPr>
        <w:t>12.11.2015. 11:26</w:t>
      </w:r>
    </w:p>
    <w:p w14:paraId="09EF9A7A" w14:textId="77777777" w:rsidR="002A18B6" w:rsidRDefault="002A18B6" w:rsidP="00FF4424">
      <w:pPr>
        <w:pStyle w:val="Pamattekstsaratkpi"/>
        <w:ind w:firstLine="0"/>
        <w:rPr>
          <w:sz w:val="20"/>
        </w:rPr>
      </w:pPr>
      <w:r>
        <w:rPr>
          <w:sz w:val="20"/>
        </w:rPr>
        <w:fldChar w:fldCharType="begin"/>
      </w:r>
      <w:r>
        <w:rPr>
          <w:sz w:val="20"/>
        </w:rPr>
        <w:instrText xml:space="preserve"> NUMWORDS   \* MERGEFORMAT </w:instrText>
      </w:r>
      <w:r>
        <w:rPr>
          <w:sz w:val="20"/>
        </w:rPr>
        <w:fldChar w:fldCharType="separate"/>
      </w:r>
      <w:r>
        <w:rPr>
          <w:noProof/>
          <w:sz w:val="20"/>
        </w:rPr>
        <w:t>1298</w:t>
      </w:r>
      <w:r>
        <w:rPr>
          <w:sz w:val="20"/>
        </w:rPr>
        <w:fldChar w:fldCharType="end"/>
      </w:r>
    </w:p>
    <w:p w14:paraId="5B3E7297" w14:textId="48060240" w:rsidR="00FF4424" w:rsidRPr="002A18B6" w:rsidRDefault="00FF4424" w:rsidP="00FF4424">
      <w:pPr>
        <w:pStyle w:val="Pamattekstsaratkpi"/>
        <w:ind w:firstLine="0"/>
        <w:rPr>
          <w:sz w:val="20"/>
        </w:rPr>
      </w:pPr>
      <w:bookmarkStart w:id="0" w:name="_GoBack"/>
      <w:bookmarkEnd w:id="0"/>
      <w:r w:rsidRPr="002A18B6">
        <w:rPr>
          <w:sz w:val="20"/>
        </w:rPr>
        <w:t>G.Evardsone</w:t>
      </w:r>
    </w:p>
    <w:p w14:paraId="3F056284" w14:textId="69CFA76D" w:rsidR="0016098A" w:rsidRPr="002A18B6" w:rsidRDefault="00FF4424" w:rsidP="002A18B6">
      <w:pPr>
        <w:pStyle w:val="Pamattekstsaratkpi"/>
        <w:ind w:firstLine="0"/>
        <w:outlineLvl w:val="0"/>
        <w:rPr>
          <w:sz w:val="20"/>
        </w:rPr>
      </w:pPr>
      <w:r w:rsidRPr="002A18B6">
        <w:rPr>
          <w:sz w:val="20"/>
        </w:rPr>
        <w:t>67027629, Gunta.Evardsone@zm.gov.lv</w:t>
      </w:r>
    </w:p>
    <w:sectPr w:rsidR="0016098A" w:rsidRPr="002A18B6" w:rsidSect="002A18B6">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20767" w14:textId="77777777" w:rsidR="00F11016" w:rsidRDefault="00F11016">
      <w:r>
        <w:separator/>
      </w:r>
    </w:p>
  </w:endnote>
  <w:endnote w:type="continuationSeparator" w:id="0">
    <w:p w14:paraId="0FEB3F3B" w14:textId="77777777" w:rsidR="00F11016" w:rsidRDefault="00F1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730E0" w14:textId="77777777" w:rsidR="002B3039" w:rsidRDefault="002B30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1FAC662" w14:textId="77777777" w:rsidR="002B3039" w:rsidRDefault="002B303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4874" w14:textId="02DFAFD7" w:rsidR="002B3039" w:rsidRPr="00D66EFD" w:rsidRDefault="00D66EFD" w:rsidP="00D66EFD">
    <w:pPr>
      <w:pStyle w:val="Kjene"/>
    </w:pPr>
    <w:r w:rsidRPr="00D66EFD">
      <w:rPr>
        <w:sz w:val="20"/>
      </w:rPr>
      <w:t>ZMnot</w:t>
    </w:r>
    <w:r w:rsidR="00411950">
      <w:rPr>
        <w:sz w:val="20"/>
      </w:rPr>
      <w:t>p</w:t>
    </w:r>
    <w:r w:rsidR="002A18B6">
      <w:rPr>
        <w:sz w:val="20"/>
      </w:rPr>
      <w:t>8_1111</w:t>
    </w:r>
    <w:r w:rsidRPr="00D66EFD">
      <w:rPr>
        <w:sz w:val="20"/>
      </w:rPr>
      <w:t>15_cukurs; Ministru kabineta noteikumu projekts „</w:t>
    </w:r>
    <w:r w:rsidR="00C7168D">
      <w:rPr>
        <w:sz w:val="20"/>
        <w:szCs w:val="20"/>
      </w:rPr>
      <w:t>Dažādu veidu cukura kvalitātes, klasifikācijas un papildu marķējuma prasības</w:t>
    </w:r>
    <w:r w:rsidRPr="00D66EFD">
      <w:rP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A8704" w14:textId="3463B187" w:rsidR="00F93E97" w:rsidRPr="00A27D39" w:rsidRDefault="00F93E97" w:rsidP="00F93E97">
    <w:pPr>
      <w:pStyle w:val="Kjene"/>
      <w:rPr>
        <w:sz w:val="20"/>
        <w:szCs w:val="20"/>
      </w:rPr>
    </w:pPr>
    <w:r w:rsidRPr="00A27D39">
      <w:rPr>
        <w:sz w:val="20"/>
        <w:szCs w:val="20"/>
      </w:rPr>
      <w:t>Z</w:t>
    </w:r>
    <w:r w:rsidR="00D66EFD">
      <w:rPr>
        <w:sz w:val="20"/>
        <w:szCs w:val="20"/>
      </w:rPr>
      <w:t>Mnot</w:t>
    </w:r>
    <w:r w:rsidR="00411950">
      <w:rPr>
        <w:sz w:val="20"/>
        <w:szCs w:val="20"/>
      </w:rPr>
      <w:t>p</w:t>
    </w:r>
    <w:r w:rsidR="002A18B6">
      <w:rPr>
        <w:sz w:val="20"/>
        <w:szCs w:val="20"/>
      </w:rPr>
      <w:t>8_1111</w:t>
    </w:r>
    <w:r w:rsidR="00D66EFD">
      <w:rPr>
        <w:sz w:val="20"/>
        <w:szCs w:val="20"/>
      </w:rPr>
      <w:t>15</w:t>
    </w:r>
    <w:r w:rsidRPr="00A27D39">
      <w:rPr>
        <w:sz w:val="20"/>
        <w:szCs w:val="20"/>
      </w:rPr>
      <w:t>_</w:t>
    </w:r>
    <w:r w:rsidR="00D66EFD">
      <w:rPr>
        <w:sz w:val="20"/>
        <w:szCs w:val="20"/>
      </w:rPr>
      <w:t>cukurs</w:t>
    </w:r>
    <w:r w:rsidRPr="00A27D39">
      <w:rPr>
        <w:sz w:val="20"/>
        <w:szCs w:val="20"/>
      </w:rPr>
      <w:t>; Ministru kabineta noteikumu projekts „</w:t>
    </w:r>
    <w:r w:rsidR="00C7168D">
      <w:rPr>
        <w:sz w:val="20"/>
        <w:szCs w:val="20"/>
      </w:rPr>
      <w:t>Dažādu veidu cukura kvalitātes, klasifikācijas un papildu marķējuma prasības</w:t>
    </w:r>
    <w:r w:rsidRPr="00A27D39">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6F783" w14:textId="77777777" w:rsidR="00F11016" w:rsidRDefault="00F11016">
      <w:r>
        <w:separator/>
      </w:r>
    </w:p>
  </w:footnote>
  <w:footnote w:type="continuationSeparator" w:id="0">
    <w:p w14:paraId="6738B9EA" w14:textId="77777777" w:rsidR="00F11016" w:rsidRDefault="00F1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463CD" w14:textId="77777777" w:rsidR="002B3039" w:rsidRDefault="002B303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9258A0F" w14:textId="77777777" w:rsidR="002B3039" w:rsidRDefault="002B303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D8F97" w14:textId="77777777" w:rsidR="002B3039" w:rsidRDefault="002B303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A18B6">
      <w:rPr>
        <w:rStyle w:val="Lappusesnumurs"/>
        <w:noProof/>
      </w:rPr>
      <w:t>3</w:t>
    </w:r>
    <w:r>
      <w:rPr>
        <w:rStyle w:val="Lappusesnumurs"/>
      </w:rPr>
      <w:fldChar w:fldCharType="end"/>
    </w:r>
  </w:p>
  <w:p w14:paraId="151A8C31" w14:textId="77777777" w:rsidR="002B3039" w:rsidRDefault="002B303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F04EE"/>
    <w:multiLevelType w:val="hybridMultilevel"/>
    <w:tmpl w:val="BAE0BEC0"/>
    <w:lvl w:ilvl="0" w:tplc="AA00486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06"/>
    <w:rsid w:val="00003417"/>
    <w:rsid w:val="00006330"/>
    <w:rsid w:val="000066D2"/>
    <w:rsid w:val="00026D19"/>
    <w:rsid w:val="00031312"/>
    <w:rsid w:val="00034301"/>
    <w:rsid w:val="00034BF7"/>
    <w:rsid w:val="00040614"/>
    <w:rsid w:val="00045958"/>
    <w:rsid w:val="00053FF7"/>
    <w:rsid w:val="00054AA3"/>
    <w:rsid w:val="000748EF"/>
    <w:rsid w:val="00092ACF"/>
    <w:rsid w:val="000A62F5"/>
    <w:rsid w:val="000A7DB2"/>
    <w:rsid w:val="000B3CDA"/>
    <w:rsid w:val="000C1F9E"/>
    <w:rsid w:val="000E31D8"/>
    <w:rsid w:val="000E42E3"/>
    <w:rsid w:val="000F37EF"/>
    <w:rsid w:val="001106C0"/>
    <w:rsid w:val="001111E2"/>
    <w:rsid w:val="00125CFC"/>
    <w:rsid w:val="001323AB"/>
    <w:rsid w:val="00137B21"/>
    <w:rsid w:val="00137E1D"/>
    <w:rsid w:val="00150A73"/>
    <w:rsid w:val="0016098A"/>
    <w:rsid w:val="00167EDB"/>
    <w:rsid w:val="00176C6D"/>
    <w:rsid w:val="00181D27"/>
    <w:rsid w:val="001A75D8"/>
    <w:rsid w:val="001C1866"/>
    <w:rsid w:val="001C6AF2"/>
    <w:rsid w:val="001D0841"/>
    <w:rsid w:val="001D6720"/>
    <w:rsid w:val="001D7D94"/>
    <w:rsid w:val="00224B68"/>
    <w:rsid w:val="00243428"/>
    <w:rsid w:val="002531D1"/>
    <w:rsid w:val="00253A80"/>
    <w:rsid w:val="00265BEA"/>
    <w:rsid w:val="0027442C"/>
    <w:rsid w:val="0027548D"/>
    <w:rsid w:val="0027690B"/>
    <w:rsid w:val="002825A1"/>
    <w:rsid w:val="0028332F"/>
    <w:rsid w:val="00285BD2"/>
    <w:rsid w:val="002A18B6"/>
    <w:rsid w:val="002A3F0E"/>
    <w:rsid w:val="002B0C4C"/>
    <w:rsid w:val="002B3039"/>
    <w:rsid w:val="002D3C24"/>
    <w:rsid w:val="002E43E0"/>
    <w:rsid w:val="002F1E40"/>
    <w:rsid w:val="003012EB"/>
    <w:rsid w:val="003058FF"/>
    <w:rsid w:val="003078B9"/>
    <w:rsid w:val="0031059E"/>
    <w:rsid w:val="00316C50"/>
    <w:rsid w:val="003361B2"/>
    <w:rsid w:val="00341B75"/>
    <w:rsid w:val="00361CFF"/>
    <w:rsid w:val="00363AFE"/>
    <w:rsid w:val="00363CE2"/>
    <w:rsid w:val="00372AFF"/>
    <w:rsid w:val="003732CB"/>
    <w:rsid w:val="00376A7A"/>
    <w:rsid w:val="003777F5"/>
    <w:rsid w:val="003834BA"/>
    <w:rsid w:val="003930DB"/>
    <w:rsid w:val="003C00AD"/>
    <w:rsid w:val="003C2220"/>
    <w:rsid w:val="003C4D76"/>
    <w:rsid w:val="003D048D"/>
    <w:rsid w:val="003D2566"/>
    <w:rsid w:val="003E5869"/>
    <w:rsid w:val="003F7BBC"/>
    <w:rsid w:val="00400999"/>
    <w:rsid w:val="00410B55"/>
    <w:rsid w:val="00411950"/>
    <w:rsid w:val="0041630F"/>
    <w:rsid w:val="00422283"/>
    <w:rsid w:val="0043388C"/>
    <w:rsid w:val="004414F6"/>
    <w:rsid w:val="00442775"/>
    <w:rsid w:val="00453535"/>
    <w:rsid w:val="00481680"/>
    <w:rsid w:val="0048565D"/>
    <w:rsid w:val="0049421A"/>
    <w:rsid w:val="004A168B"/>
    <w:rsid w:val="004B1529"/>
    <w:rsid w:val="004C1FFF"/>
    <w:rsid w:val="004C77AF"/>
    <w:rsid w:val="004D488B"/>
    <w:rsid w:val="004D4B35"/>
    <w:rsid w:val="004E5E10"/>
    <w:rsid w:val="00501E0B"/>
    <w:rsid w:val="005025B3"/>
    <w:rsid w:val="005073DE"/>
    <w:rsid w:val="00514992"/>
    <w:rsid w:val="005165F0"/>
    <w:rsid w:val="00541FD4"/>
    <w:rsid w:val="00542496"/>
    <w:rsid w:val="00543526"/>
    <w:rsid w:val="00544B54"/>
    <w:rsid w:val="0055070F"/>
    <w:rsid w:val="005773DF"/>
    <w:rsid w:val="00577FC8"/>
    <w:rsid w:val="00580DF9"/>
    <w:rsid w:val="0058377F"/>
    <w:rsid w:val="005C1DCB"/>
    <w:rsid w:val="005C4D72"/>
    <w:rsid w:val="005D0D97"/>
    <w:rsid w:val="005D41E6"/>
    <w:rsid w:val="005E76AC"/>
    <w:rsid w:val="005E7CBA"/>
    <w:rsid w:val="005F6E14"/>
    <w:rsid w:val="0060140D"/>
    <w:rsid w:val="00606609"/>
    <w:rsid w:val="006127BC"/>
    <w:rsid w:val="0061794F"/>
    <w:rsid w:val="00626149"/>
    <w:rsid w:val="0063016F"/>
    <w:rsid w:val="00634258"/>
    <w:rsid w:val="00646722"/>
    <w:rsid w:val="00650029"/>
    <w:rsid w:val="0067106F"/>
    <w:rsid w:val="006716ED"/>
    <w:rsid w:val="0067694F"/>
    <w:rsid w:val="00676AEB"/>
    <w:rsid w:val="006917C6"/>
    <w:rsid w:val="006934A5"/>
    <w:rsid w:val="00694156"/>
    <w:rsid w:val="00694DA2"/>
    <w:rsid w:val="006A2517"/>
    <w:rsid w:val="006B1E21"/>
    <w:rsid w:val="006B26D9"/>
    <w:rsid w:val="006B7357"/>
    <w:rsid w:val="006D4072"/>
    <w:rsid w:val="006D56E2"/>
    <w:rsid w:val="006E3001"/>
    <w:rsid w:val="006E39CF"/>
    <w:rsid w:val="006E3DBD"/>
    <w:rsid w:val="006E7365"/>
    <w:rsid w:val="006F3558"/>
    <w:rsid w:val="006F5D5B"/>
    <w:rsid w:val="00712A73"/>
    <w:rsid w:val="0071408D"/>
    <w:rsid w:val="00761FA3"/>
    <w:rsid w:val="00762641"/>
    <w:rsid w:val="00775907"/>
    <w:rsid w:val="00777F5E"/>
    <w:rsid w:val="007873C2"/>
    <w:rsid w:val="007901DF"/>
    <w:rsid w:val="007905C4"/>
    <w:rsid w:val="007A57C2"/>
    <w:rsid w:val="007A5B52"/>
    <w:rsid w:val="007B11AB"/>
    <w:rsid w:val="007B6917"/>
    <w:rsid w:val="007D5A2C"/>
    <w:rsid w:val="007D73BF"/>
    <w:rsid w:val="007E01A6"/>
    <w:rsid w:val="007E7044"/>
    <w:rsid w:val="007E7CE5"/>
    <w:rsid w:val="0080653D"/>
    <w:rsid w:val="008255B9"/>
    <w:rsid w:val="00835A53"/>
    <w:rsid w:val="00835AF5"/>
    <w:rsid w:val="00844745"/>
    <w:rsid w:val="00847B0E"/>
    <w:rsid w:val="00852D80"/>
    <w:rsid w:val="008563F2"/>
    <w:rsid w:val="0086217D"/>
    <w:rsid w:val="0086653D"/>
    <w:rsid w:val="0087153D"/>
    <w:rsid w:val="0088160F"/>
    <w:rsid w:val="008963DF"/>
    <w:rsid w:val="008A20DE"/>
    <w:rsid w:val="008A5F5E"/>
    <w:rsid w:val="008B4DC3"/>
    <w:rsid w:val="008C4BA8"/>
    <w:rsid w:val="008D17C6"/>
    <w:rsid w:val="008F4958"/>
    <w:rsid w:val="0090308F"/>
    <w:rsid w:val="009208E9"/>
    <w:rsid w:val="009238CA"/>
    <w:rsid w:val="009254CA"/>
    <w:rsid w:val="0093322B"/>
    <w:rsid w:val="00953A32"/>
    <w:rsid w:val="00967A87"/>
    <w:rsid w:val="00976B0A"/>
    <w:rsid w:val="00981A85"/>
    <w:rsid w:val="009858E0"/>
    <w:rsid w:val="009966CD"/>
    <w:rsid w:val="009A411F"/>
    <w:rsid w:val="009B1238"/>
    <w:rsid w:val="009B6C52"/>
    <w:rsid w:val="009C04A5"/>
    <w:rsid w:val="009D3A47"/>
    <w:rsid w:val="009E035F"/>
    <w:rsid w:val="009E09BA"/>
    <w:rsid w:val="009E3FB8"/>
    <w:rsid w:val="009F6783"/>
    <w:rsid w:val="009F7742"/>
    <w:rsid w:val="00A1669A"/>
    <w:rsid w:val="00A27D39"/>
    <w:rsid w:val="00A30230"/>
    <w:rsid w:val="00A3192E"/>
    <w:rsid w:val="00A52629"/>
    <w:rsid w:val="00A5529F"/>
    <w:rsid w:val="00A62577"/>
    <w:rsid w:val="00A6308A"/>
    <w:rsid w:val="00A804E1"/>
    <w:rsid w:val="00AA128A"/>
    <w:rsid w:val="00AA47E3"/>
    <w:rsid w:val="00AC7A11"/>
    <w:rsid w:val="00AD1FEA"/>
    <w:rsid w:val="00AD5A02"/>
    <w:rsid w:val="00AE0342"/>
    <w:rsid w:val="00AE677C"/>
    <w:rsid w:val="00AF7A34"/>
    <w:rsid w:val="00B077D6"/>
    <w:rsid w:val="00B07EBD"/>
    <w:rsid w:val="00B16BD0"/>
    <w:rsid w:val="00B278FA"/>
    <w:rsid w:val="00B32743"/>
    <w:rsid w:val="00B50569"/>
    <w:rsid w:val="00B542DE"/>
    <w:rsid w:val="00B5436B"/>
    <w:rsid w:val="00B565F8"/>
    <w:rsid w:val="00B66ECE"/>
    <w:rsid w:val="00B707BA"/>
    <w:rsid w:val="00B738C3"/>
    <w:rsid w:val="00B821E0"/>
    <w:rsid w:val="00B93C62"/>
    <w:rsid w:val="00B95CBA"/>
    <w:rsid w:val="00BB3993"/>
    <w:rsid w:val="00BD0E1D"/>
    <w:rsid w:val="00BD1541"/>
    <w:rsid w:val="00BE4619"/>
    <w:rsid w:val="00BF06F5"/>
    <w:rsid w:val="00C05975"/>
    <w:rsid w:val="00C11050"/>
    <w:rsid w:val="00C11382"/>
    <w:rsid w:val="00C17C10"/>
    <w:rsid w:val="00C27B3F"/>
    <w:rsid w:val="00C31D15"/>
    <w:rsid w:val="00C31DC4"/>
    <w:rsid w:val="00C40369"/>
    <w:rsid w:val="00C42DE3"/>
    <w:rsid w:val="00C43BA9"/>
    <w:rsid w:val="00C4402E"/>
    <w:rsid w:val="00C53551"/>
    <w:rsid w:val="00C56723"/>
    <w:rsid w:val="00C60015"/>
    <w:rsid w:val="00C6617D"/>
    <w:rsid w:val="00C6691D"/>
    <w:rsid w:val="00C7168D"/>
    <w:rsid w:val="00C730BA"/>
    <w:rsid w:val="00C81C97"/>
    <w:rsid w:val="00C84E83"/>
    <w:rsid w:val="00C919D3"/>
    <w:rsid w:val="00C923EA"/>
    <w:rsid w:val="00CA0417"/>
    <w:rsid w:val="00CA7507"/>
    <w:rsid w:val="00CB0315"/>
    <w:rsid w:val="00CC24CF"/>
    <w:rsid w:val="00CC55FA"/>
    <w:rsid w:val="00CD059B"/>
    <w:rsid w:val="00CE3DDD"/>
    <w:rsid w:val="00CE67BE"/>
    <w:rsid w:val="00D03269"/>
    <w:rsid w:val="00D05AEB"/>
    <w:rsid w:val="00D1090B"/>
    <w:rsid w:val="00D34B0E"/>
    <w:rsid w:val="00D37013"/>
    <w:rsid w:val="00D45576"/>
    <w:rsid w:val="00D535D2"/>
    <w:rsid w:val="00D56DD2"/>
    <w:rsid w:val="00D66EFD"/>
    <w:rsid w:val="00D71BEB"/>
    <w:rsid w:val="00D76A6E"/>
    <w:rsid w:val="00D87F76"/>
    <w:rsid w:val="00D90035"/>
    <w:rsid w:val="00D90CEF"/>
    <w:rsid w:val="00DB4A14"/>
    <w:rsid w:val="00DC5993"/>
    <w:rsid w:val="00DD2864"/>
    <w:rsid w:val="00DE1C73"/>
    <w:rsid w:val="00DF689E"/>
    <w:rsid w:val="00E027D3"/>
    <w:rsid w:val="00E15EB9"/>
    <w:rsid w:val="00E206A9"/>
    <w:rsid w:val="00E2309B"/>
    <w:rsid w:val="00E2405A"/>
    <w:rsid w:val="00E31D6C"/>
    <w:rsid w:val="00E34606"/>
    <w:rsid w:val="00E40A2F"/>
    <w:rsid w:val="00E51DE6"/>
    <w:rsid w:val="00E5455D"/>
    <w:rsid w:val="00E55173"/>
    <w:rsid w:val="00E554CB"/>
    <w:rsid w:val="00E56FD3"/>
    <w:rsid w:val="00E6751E"/>
    <w:rsid w:val="00E678F8"/>
    <w:rsid w:val="00E73D1B"/>
    <w:rsid w:val="00E75135"/>
    <w:rsid w:val="00E75D55"/>
    <w:rsid w:val="00E811BA"/>
    <w:rsid w:val="00E854BB"/>
    <w:rsid w:val="00E905AF"/>
    <w:rsid w:val="00E91C98"/>
    <w:rsid w:val="00EA5893"/>
    <w:rsid w:val="00EB7834"/>
    <w:rsid w:val="00EC01E6"/>
    <w:rsid w:val="00EC23AF"/>
    <w:rsid w:val="00EE0797"/>
    <w:rsid w:val="00EF4433"/>
    <w:rsid w:val="00F11016"/>
    <w:rsid w:val="00F11679"/>
    <w:rsid w:val="00F1226F"/>
    <w:rsid w:val="00F1246F"/>
    <w:rsid w:val="00F4520B"/>
    <w:rsid w:val="00F4545A"/>
    <w:rsid w:val="00F61238"/>
    <w:rsid w:val="00F61D8E"/>
    <w:rsid w:val="00F620A6"/>
    <w:rsid w:val="00F64A0B"/>
    <w:rsid w:val="00F76897"/>
    <w:rsid w:val="00F83794"/>
    <w:rsid w:val="00F93E97"/>
    <w:rsid w:val="00FA30D4"/>
    <w:rsid w:val="00FB069A"/>
    <w:rsid w:val="00FB1849"/>
    <w:rsid w:val="00FD44EC"/>
    <w:rsid w:val="00FD486A"/>
    <w:rsid w:val="00FD586F"/>
    <w:rsid w:val="00FE02B4"/>
    <w:rsid w:val="00FE1733"/>
    <w:rsid w:val="00FF23B8"/>
    <w:rsid w:val="00FF4424"/>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02954D"/>
  <w15:docId w15:val="{F194548A-8175-45C3-A500-B32439A7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aliases w:val="Parastais"/>
    <w:qFormat/>
    <w:rPr>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customStyle="1" w:styleId="hps">
    <w:name w:val="hps"/>
    <w:rsid w:val="00D05AEB"/>
  </w:style>
  <w:style w:type="character" w:styleId="Lappusesnumurs">
    <w:name w:val="page number"/>
    <w:basedOn w:val="Noklusjumarindkopasfonts"/>
  </w:style>
  <w:style w:type="paragraph" w:customStyle="1" w:styleId="naislab">
    <w:name w:val="naislab"/>
    <w:basedOn w:val="Parasts"/>
    <w:pPr>
      <w:spacing w:before="79" w:after="79"/>
      <w:jc w:val="right"/>
    </w:pPr>
  </w:style>
  <w:style w:type="paragraph" w:customStyle="1" w:styleId="naisnod">
    <w:name w:val="naisnod"/>
    <w:basedOn w:val="Parasts"/>
    <w:pPr>
      <w:spacing w:before="100" w:beforeAutospacing="1" w:after="100" w:afterAutospacing="1"/>
    </w:pPr>
  </w:style>
  <w:style w:type="paragraph" w:customStyle="1" w:styleId="naisc">
    <w:name w:val="naisc"/>
    <w:basedOn w:val="Parasts"/>
    <w:pPr>
      <w:spacing w:before="100" w:beforeAutospacing="1" w:after="100" w:afterAutospacing="1"/>
    </w:pPr>
  </w:style>
  <w:style w:type="paragraph" w:customStyle="1" w:styleId="naiskr">
    <w:name w:val="naiskr"/>
    <w:basedOn w:val="Parasts"/>
    <w:pPr>
      <w:spacing w:before="100" w:beforeAutospacing="1" w:after="100" w:afterAutospacing="1"/>
    </w:pPr>
  </w:style>
  <w:style w:type="paragraph" w:styleId="Balonteksts">
    <w:name w:val="Balloon Text"/>
    <w:basedOn w:val="Parasts"/>
    <w:link w:val="BalontekstsRakstz"/>
    <w:rsid w:val="00B66ECE"/>
    <w:rPr>
      <w:rFonts w:ascii="Segoe UI" w:hAnsi="Segoe UI" w:cs="Segoe UI"/>
      <w:sz w:val="18"/>
      <w:szCs w:val="18"/>
    </w:rPr>
  </w:style>
  <w:style w:type="character" w:customStyle="1" w:styleId="BalontekstsRakstz">
    <w:name w:val="Balonteksts Rakstz."/>
    <w:link w:val="Balonteksts"/>
    <w:rsid w:val="00B66ECE"/>
    <w:rPr>
      <w:rFonts w:ascii="Segoe UI" w:hAnsi="Segoe UI" w:cs="Segoe UI"/>
      <w:sz w:val="18"/>
      <w:szCs w:val="18"/>
    </w:rPr>
  </w:style>
  <w:style w:type="character" w:styleId="Hipersaite">
    <w:name w:val="Hyperlink"/>
    <w:rsid w:val="00C43BA9"/>
    <w:rPr>
      <w:color w:val="0563C1"/>
      <w:u w:val="single"/>
    </w:rPr>
  </w:style>
  <w:style w:type="character" w:styleId="Komentraatsauce">
    <w:name w:val="annotation reference"/>
    <w:rsid w:val="001106C0"/>
    <w:rPr>
      <w:sz w:val="16"/>
      <w:szCs w:val="16"/>
    </w:rPr>
  </w:style>
  <w:style w:type="paragraph" w:styleId="Komentrateksts">
    <w:name w:val="annotation text"/>
    <w:basedOn w:val="Parasts"/>
    <w:link w:val="KomentratekstsRakstz"/>
    <w:rsid w:val="001106C0"/>
    <w:rPr>
      <w:sz w:val="20"/>
      <w:szCs w:val="20"/>
    </w:rPr>
  </w:style>
  <w:style w:type="character" w:customStyle="1" w:styleId="KomentratekstsRakstz">
    <w:name w:val="Komentāra teksts Rakstz."/>
    <w:basedOn w:val="Noklusjumarindkopasfonts"/>
    <w:link w:val="Komentrateksts"/>
    <w:rsid w:val="001106C0"/>
  </w:style>
  <w:style w:type="paragraph" w:styleId="Komentratma">
    <w:name w:val="annotation subject"/>
    <w:basedOn w:val="Komentrateksts"/>
    <w:next w:val="Komentrateksts"/>
    <w:link w:val="KomentratmaRakstz"/>
    <w:rsid w:val="001106C0"/>
    <w:rPr>
      <w:b/>
      <w:bCs/>
    </w:rPr>
  </w:style>
  <w:style w:type="character" w:customStyle="1" w:styleId="KomentratmaRakstz">
    <w:name w:val="Komentāra tēma Rakstz."/>
    <w:link w:val="Komentratma"/>
    <w:rsid w:val="001106C0"/>
    <w:rPr>
      <w:b/>
      <w:bCs/>
    </w:rPr>
  </w:style>
  <w:style w:type="table" w:styleId="Reatabula">
    <w:name w:val="Table Grid"/>
    <w:basedOn w:val="Parastatabula"/>
    <w:rsid w:val="00A5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B821E0"/>
    <w:rPr>
      <w:color w:val="808080"/>
    </w:rPr>
  </w:style>
  <w:style w:type="paragraph" w:styleId="Sarakstarindkopa">
    <w:name w:val="List Paragraph"/>
    <w:basedOn w:val="Parasts"/>
    <w:uiPriority w:val="34"/>
    <w:qFormat/>
    <w:rsid w:val="009B1238"/>
    <w:pPr>
      <w:ind w:left="720"/>
      <w:contextualSpacing/>
    </w:pPr>
  </w:style>
  <w:style w:type="character" w:customStyle="1" w:styleId="Tablecaption">
    <w:name w:val="Table caption_"/>
    <w:basedOn w:val="Noklusjumarindkopasfonts"/>
    <w:link w:val="Tablecaption0"/>
    <w:rsid w:val="00E55173"/>
    <w:rPr>
      <w:rFonts w:ascii="Arial" w:eastAsia="Arial" w:hAnsi="Arial" w:cs="Arial"/>
      <w:b/>
      <w:bCs/>
      <w:sz w:val="18"/>
      <w:szCs w:val="18"/>
      <w:shd w:val="clear" w:color="auto" w:fill="FFFFFF"/>
    </w:rPr>
  </w:style>
  <w:style w:type="character" w:customStyle="1" w:styleId="Bodytext2">
    <w:name w:val="Body text (2)"/>
    <w:basedOn w:val="Noklusjumarindkopasfonts"/>
    <w:rsid w:val="00E55173"/>
    <w:rPr>
      <w:rFonts w:ascii="Arial" w:eastAsia="Arial" w:hAnsi="Arial" w:cs="Arial"/>
      <w:b w:val="0"/>
      <w:bCs w:val="0"/>
      <w:i w:val="0"/>
      <w:iCs w:val="0"/>
      <w:smallCaps w:val="0"/>
      <w:strike w:val="0"/>
      <w:color w:val="000000"/>
      <w:spacing w:val="0"/>
      <w:w w:val="100"/>
      <w:position w:val="0"/>
      <w:sz w:val="17"/>
      <w:szCs w:val="17"/>
      <w:u w:val="none"/>
      <w:lang w:val="lv-LV" w:eastAsia="lv-LV" w:bidi="lv-LV"/>
    </w:rPr>
  </w:style>
  <w:style w:type="paragraph" w:customStyle="1" w:styleId="Tablecaption0">
    <w:name w:val="Table caption"/>
    <w:basedOn w:val="Parasts"/>
    <w:link w:val="Tablecaption"/>
    <w:rsid w:val="00E55173"/>
    <w:pPr>
      <w:widowControl w:val="0"/>
      <w:shd w:val="clear" w:color="auto" w:fill="FFFFFF"/>
      <w:spacing w:line="0" w:lineRule="atLeast"/>
    </w:pPr>
    <w:rPr>
      <w:rFonts w:ascii="Arial" w:eastAsia="Arial" w:hAnsi="Arial" w:cs="Arial"/>
      <w:b/>
      <w:bCs/>
      <w:sz w:val="18"/>
      <w:szCs w:val="18"/>
      <w:lang w:val="en-US" w:eastAsia="en-US"/>
    </w:rPr>
  </w:style>
  <w:style w:type="paragraph" w:styleId="Pamattekstsaratkpi">
    <w:name w:val="Body Text Indent"/>
    <w:basedOn w:val="Parasts"/>
    <w:link w:val="PamattekstsaratkpiRakstz"/>
    <w:rsid w:val="00FF4424"/>
    <w:pPr>
      <w:ind w:firstLine="720"/>
      <w:jc w:val="both"/>
    </w:pPr>
    <w:rPr>
      <w:sz w:val="28"/>
      <w:szCs w:val="20"/>
      <w:lang w:eastAsia="en-US"/>
    </w:rPr>
  </w:style>
  <w:style w:type="character" w:customStyle="1" w:styleId="PamattekstsaratkpiRakstz">
    <w:name w:val="Pamatteksts ar atkāpi Rakstz."/>
    <w:basedOn w:val="Noklusjumarindkopasfonts"/>
    <w:link w:val="Pamattekstsaratkpi"/>
    <w:rsid w:val="00FF4424"/>
    <w:rPr>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87635">
      <w:bodyDiv w:val="1"/>
      <w:marLeft w:val="0"/>
      <w:marRight w:val="0"/>
      <w:marTop w:val="0"/>
      <w:marBottom w:val="0"/>
      <w:divBdr>
        <w:top w:val="none" w:sz="0" w:space="0" w:color="auto"/>
        <w:left w:val="none" w:sz="0" w:space="0" w:color="auto"/>
        <w:bottom w:val="none" w:sz="0" w:space="0" w:color="auto"/>
        <w:right w:val="none" w:sz="0" w:space="0" w:color="auto"/>
      </w:divBdr>
      <w:divsChild>
        <w:div w:id="867530407">
          <w:marLeft w:val="0"/>
          <w:marRight w:val="0"/>
          <w:marTop w:val="0"/>
          <w:marBottom w:val="0"/>
          <w:divBdr>
            <w:top w:val="none" w:sz="0" w:space="0" w:color="auto"/>
            <w:left w:val="none" w:sz="0" w:space="0" w:color="auto"/>
            <w:bottom w:val="none" w:sz="0" w:space="0" w:color="auto"/>
            <w:right w:val="none" w:sz="0" w:space="0" w:color="auto"/>
          </w:divBdr>
          <w:divsChild>
            <w:div w:id="1981304081">
              <w:marLeft w:val="585"/>
              <w:marRight w:val="0"/>
              <w:marTop w:val="75"/>
              <w:marBottom w:val="0"/>
              <w:divBdr>
                <w:top w:val="none" w:sz="0" w:space="0" w:color="auto"/>
                <w:left w:val="none" w:sz="0" w:space="0" w:color="auto"/>
                <w:bottom w:val="none" w:sz="0" w:space="0" w:color="auto"/>
                <w:right w:val="none" w:sz="0" w:space="0" w:color="auto"/>
              </w:divBdr>
              <w:divsChild>
                <w:div w:id="359673425">
                  <w:marLeft w:val="0"/>
                  <w:marRight w:val="1050"/>
                  <w:marTop w:val="0"/>
                  <w:marBottom w:val="0"/>
                  <w:divBdr>
                    <w:top w:val="none" w:sz="0" w:space="0" w:color="auto"/>
                    <w:left w:val="none" w:sz="0" w:space="0" w:color="auto"/>
                    <w:bottom w:val="none" w:sz="0" w:space="0" w:color="auto"/>
                    <w:right w:val="none" w:sz="0" w:space="0" w:color="auto"/>
                  </w:divBdr>
                  <w:divsChild>
                    <w:div w:id="368189223">
                      <w:marLeft w:val="0"/>
                      <w:marRight w:val="0"/>
                      <w:marTop w:val="0"/>
                      <w:marBottom w:val="150"/>
                      <w:divBdr>
                        <w:top w:val="none" w:sz="0" w:space="0" w:color="auto"/>
                        <w:left w:val="none" w:sz="0" w:space="0" w:color="auto"/>
                        <w:bottom w:val="none" w:sz="0" w:space="0" w:color="auto"/>
                        <w:right w:val="none" w:sz="0" w:space="0" w:color="auto"/>
                      </w:divBdr>
                    </w:div>
                    <w:div w:id="894312247">
                      <w:marLeft w:val="0"/>
                      <w:marRight w:val="0"/>
                      <w:marTop w:val="0"/>
                      <w:marBottom w:val="150"/>
                      <w:divBdr>
                        <w:top w:val="none" w:sz="0" w:space="0" w:color="auto"/>
                        <w:left w:val="none" w:sz="0" w:space="0" w:color="auto"/>
                        <w:bottom w:val="none" w:sz="0" w:space="0" w:color="auto"/>
                        <w:right w:val="none" w:sz="0" w:space="0" w:color="auto"/>
                      </w:divBdr>
                      <w:divsChild>
                        <w:div w:id="656306896">
                          <w:marLeft w:val="0"/>
                          <w:marRight w:val="0"/>
                          <w:marTop w:val="0"/>
                          <w:marBottom w:val="0"/>
                          <w:divBdr>
                            <w:top w:val="none" w:sz="0" w:space="0" w:color="auto"/>
                            <w:left w:val="none" w:sz="0" w:space="0" w:color="auto"/>
                            <w:bottom w:val="none" w:sz="0" w:space="0" w:color="auto"/>
                            <w:right w:val="none" w:sz="0" w:space="0" w:color="auto"/>
                          </w:divBdr>
                        </w:div>
                      </w:divsChild>
                    </w:div>
                    <w:div w:id="1546747520">
                      <w:marLeft w:val="0"/>
                      <w:marRight w:val="0"/>
                      <w:marTop w:val="0"/>
                      <w:marBottom w:val="150"/>
                      <w:divBdr>
                        <w:top w:val="none" w:sz="0" w:space="0" w:color="auto"/>
                        <w:left w:val="none" w:sz="0" w:space="0" w:color="auto"/>
                        <w:bottom w:val="none" w:sz="0" w:space="0" w:color="auto"/>
                        <w:right w:val="none" w:sz="0" w:space="0" w:color="auto"/>
                      </w:divBdr>
                    </w:div>
                    <w:div w:id="1723485345">
                      <w:marLeft w:val="0"/>
                      <w:marRight w:val="0"/>
                      <w:marTop w:val="0"/>
                      <w:marBottom w:val="150"/>
                      <w:divBdr>
                        <w:top w:val="none" w:sz="0" w:space="0" w:color="auto"/>
                        <w:left w:val="none" w:sz="0" w:space="0" w:color="auto"/>
                        <w:bottom w:val="none" w:sz="0" w:space="0" w:color="auto"/>
                        <w:right w:val="none" w:sz="0" w:space="0" w:color="auto"/>
                      </w:divBdr>
                      <w:divsChild>
                        <w:div w:id="129832103">
                          <w:marLeft w:val="232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8B250-1D23-4F1E-BB00-4E0B5B1A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1299</Words>
  <Characters>8216</Characters>
  <Application>Microsoft Office Word</Application>
  <DocSecurity>0</DocSecurity>
  <Lines>205</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2004.gada 23.novembra noteikumos Nr.964 "Pārtikas preču marķēšanas noteikumi"</vt:lpstr>
      <vt:lpstr>Grozījumi Ministru kabineta 2004.gada 23.novembra noteikumos Nr.964 "Pārtikas preču marķēšanas noteikumi"</vt:lpstr>
    </vt:vector>
  </TitlesOfParts>
  <Company>ZM</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23.novembra noteikumos Nr.964 "Pārtikas preču marķēšanas noteikumi"</dc:title>
  <dc:subject>noteikumu projekts</dc:subject>
  <dc:creator>Daina Krastiņa</dc:creator>
  <cp:keywords/>
  <dc:description>Daina.Krastina@zm.gov.lv, 67027305</dc:description>
  <cp:lastModifiedBy>Antra Dāldere</cp:lastModifiedBy>
  <cp:revision>4</cp:revision>
  <cp:lastPrinted>2014-12-04T07:45:00Z</cp:lastPrinted>
  <dcterms:created xsi:type="dcterms:W3CDTF">2015-11-12T06:44:00Z</dcterms:created>
  <dcterms:modified xsi:type="dcterms:W3CDTF">2015-11-12T09:26:00Z</dcterms:modified>
</cp:coreProperties>
</file>