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8" w:rsidRPr="00E27BBE" w:rsidRDefault="003D3F8F" w:rsidP="00043AB8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E27BBE">
        <w:rPr>
          <w:b/>
          <w:sz w:val="28"/>
          <w:szCs w:val="28"/>
        </w:rPr>
        <w:t xml:space="preserve">Ministru kabineta rīkojuma projekta </w:t>
      </w:r>
    </w:p>
    <w:p w:rsidR="00493EA0" w:rsidRDefault="00043AB8" w:rsidP="00043AB8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E27BBE">
        <w:rPr>
          <w:b/>
          <w:sz w:val="28"/>
          <w:szCs w:val="28"/>
        </w:rPr>
        <w:t>„</w:t>
      </w:r>
      <w:r w:rsidR="004E5680">
        <w:rPr>
          <w:b/>
          <w:sz w:val="28"/>
          <w:szCs w:val="28"/>
          <w:lang w:val="nl-NL"/>
        </w:rPr>
        <w:t>Grozījum</w:t>
      </w:r>
      <w:r w:rsidR="00461E45">
        <w:rPr>
          <w:b/>
          <w:sz w:val="28"/>
          <w:szCs w:val="28"/>
          <w:lang w:val="nl-NL"/>
        </w:rPr>
        <w:t>s</w:t>
      </w:r>
      <w:r w:rsidR="004E5680">
        <w:rPr>
          <w:b/>
          <w:sz w:val="28"/>
          <w:szCs w:val="28"/>
          <w:lang w:val="nl-NL"/>
        </w:rPr>
        <w:t xml:space="preserve"> Ministru kabineta </w:t>
      </w:r>
      <w:proofErr w:type="gramStart"/>
      <w:r w:rsidR="004E5680">
        <w:rPr>
          <w:b/>
          <w:sz w:val="28"/>
          <w:szCs w:val="28"/>
          <w:lang w:val="nl-NL"/>
        </w:rPr>
        <w:t>2012.gada</w:t>
      </w:r>
      <w:proofErr w:type="gramEnd"/>
      <w:r w:rsidR="004E5680">
        <w:rPr>
          <w:b/>
          <w:sz w:val="28"/>
          <w:szCs w:val="28"/>
          <w:lang w:val="nl-NL"/>
        </w:rPr>
        <w:t xml:space="preserve"> 15.marta rīkojumā Nr.131 “Par Latvijas izvirzīto ad hoc tiesnešu sarakstu un Paskaidrojošo rakstu Eiropas</w:t>
      </w:r>
      <w:r w:rsidR="00493EA0">
        <w:rPr>
          <w:b/>
          <w:sz w:val="28"/>
          <w:szCs w:val="28"/>
          <w:lang w:val="nl-NL"/>
        </w:rPr>
        <w:t xml:space="preserve"> Cilvēktiesību tiesai</w:t>
      </w:r>
      <w:r w:rsidR="004E5680">
        <w:rPr>
          <w:b/>
          <w:sz w:val="28"/>
          <w:szCs w:val="28"/>
          <w:lang w:val="nl-NL"/>
        </w:rPr>
        <w:t>”</w:t>
      </w:r>
      <w:r w:rsidR="003D3F8F" w:rsidRPr="00E27BBE">
        <w:rPr>
          <w:b/>
          <w:bCs/>
          <w:sz w:val="28"/>
          <w:szCs w:val="28"/>
        </w:rPr>
        <w:t>”</w:t>
      </w:r>
      <w:r w:rsidR="003D3F8F" w:rsidRPr="00E27BBE">
        <w:rPr>
          <w:b/>
          <w:sz w:val="28"/>
          <w:szCs w:val="28"/>
        </w:rPr>
        <w:t xml:space="preserve"> </w:t>
      </w:r>
    </w:p>
    <w:p w:rsidR="003D3F8F" w:rsidRPr="00E27BBE" w:rsidRDefault="003D3F8F" w:rsidP="00043AB8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E27BBE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27BBE">
          <w:rPr>
            <w:b/>
            <w:sz w:val="28"/>
            <w:szCs w:val="28"/>
          </w:rPr>
          <w:t>ziņojums</w:t>
        </w:r>
      </w:smartTag>
      <w:r w:rsidRPr="00E27BBE">
        <w:rPr>
          <w:b/>
          <w:sz w:val="28"/>
          <w:szCs w:val="28"/>
        </w:rPr>
        <w:t xml:space="preserve"> (anotācija)</w:t>
      </w:r>
    </w:p>
    <w:p w:rsidR="003948EB" w:rsidRPr="00E27BBE" w:rsidRDefault="003948EB" w:rsidP="00787EB9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80"/>
      </w:tblGrid>
      <w:tr w:rsidR="00852042" w:rsidRPr="00E27BBE" w:rsidTr="00E5285B">
        <w:tc>
          <w:tcPr>
            <w:tcW w:w="9745" w:type="dxa"/>
            <w:gridSpan w:val="3"/>
            <w:vAlign w:val="center"/>
          </w:tcPr>
          <w:p w:rsidR="00852042" w:rsidRPr="00E27BBE" w:rsidRDefault="00852042" w:rsidP="00A9382D">
            <w:pPr>
              <w:pStyle w:val="naisnod"/>
              <w:spacing w:before="0" w:after="0"/>
            </w:pPr>
            <w:r w:rsidRPr="00E27BBE">
              <w:t>I</w:t>
            </w:r>
            <w:r w:rsidR="000941C5" w:rsidRPr="00E27BBE">
              <w:t>.</w:t>
            </w:r>
            <w:r w:rsidRPr="00E27BBE">
              <w:t xml:space="preserve"> Tiesību akta </w:t>
            </w:r>
            <w:r w:rsidR="002E3FF4" w:rsidRPr="00E27BBE">
              <w:t xml:space="preserve">projekta </w:t>
            </w:r>
            <w:r w:rsidRPr="00E27BBE">
              <w:t>izstrādes nepieciešamība</w:t>
            </w:r>
          </w:p>
        </w:tc>
      </w:tr>
      <w:tr w:rsidR="00262E2B" w:rsidRPr="00E27BBE" w:rsidTr="00E5285B">
        <w:trPr>
          <w:trHeight w:val="630"/>
        </w:trPr>
        <w:tc>
          <w:tcPr>
            <w:tcW w:w="550" w:type="dxa"/>
          </w:tcPr>
          <w:p w:rsidR="00262E2B" w:rsidRPr="00E27BBE" w:rsidRDefault="00262E2B" w:rsidP="00A9382D">
            <w:pPr>
              <w:pStyle w:val="naiskr"/>
              <w:spacing w:before="0" w:after="0"/>
              <w:jc w:val="center"/>
            </w:pPr>
            <w:r w:rsidRPr="00E27BBE">
              <w:t>1.</w:t>
            </w:r>
          </w:p>
        </w:tc>
        <w:tc>
          <w:tcPr>
            <w:tcW w:w="4315" w:type="dxa"/>
          </w:tcPr>
          <w:p w:rsidR="00262E2B" w:rsidRPr="00E27BBE" w:rsidRDefault="002D7F54" w:rsidP="00A9382D">
            <w:pPr>
              <w:pStyle w:val="naiskr"/>
              <w:spacing w:before="0" w:after="0"/>
              <w:ind w:left="164"/>
            </w:pPr>
            <w:r w:rsidRPr="00E27BBE">
              <w:t>Pamatojums</w:t>
            </w:r>
          </w:p>
        </w:tc>
        <w:tc>
          <w:tcPr>
            <w:tcW w:w="4880" w:type="dxa"/>
          </w:tcPr>
          <w:p w:rsidR="00B30203" w:rsidRDefault="00CD4030" w:rsidP="00493EA0">
            <w:pPr>
              <w:widowControl w:val="0"/>
              <w:suppressAutoHyphens/>
              <w:ind w:left="102" w:right="101" w:firstLine="425"/>
              <w:jc w:val="both"/>
              <w:rPr>
                <w:rFonts w:eastAsia="Arial"/>
                <w:kern w:val="1"/>
              </w:rPr>
            </w:pPr>
            <w:r w:rsidRPr="00E27BBE">
              <w:rPr>
                <w:rFonts w:eastAsia="Arial"/>
                <w:kern w:val="1"/>
              </w:rPr>
              <w:t>Saskaņā ar Eiropas Cilvēka tiesību un pamatbrīvību aizsardzības konvencijas (turpmāk – Konvencija) 2</w:t>
            </w:r>
            <w:r>
              <w:rPr>
                <w:rFonts w:eastAsia="Arial"/>
                <w:kern w:val="1"/>
              </w:rPr>
              <w:t>6</w:t>
            </w:r>
            <w:r w:rsidRPr="00E27BBE">
              <w:rPr>
                <w:rFonts w:eastAsia="Arial"/>
                <w:kern w:val="1"/>
              </w:rPr>
              <w:t>.pant</w:t>
            </w:r>
            <w:r>
              <w:rPr>
                <w:rFonts w:eastAsia="Arial"/>
                <w:kern w:val="1"/>
              </w:rPr>
              <w:t xml:space="preserve">a 4.punkta </w:t>
            </w:r>
            <w:r w:rsidR="00337820">
              <w:rPr>
                <w:rFonts w:eastAsia="Arial"/>
                <w:kern w:val="1"/>
              </w:rPr>
              <w:t xml:space="preserve">otro teikumu un Eiropas Cilvēktiesību tiesas (ECT) Reglamenta 29.punkta 1.(a) apakšpunktu, valstīm jāiesniedz trīs līdz piecu </w:t>
            </w:r>
            <w:proofErr w:type="spellStart"/>
            <w:r w:rsidR="00337820" w:rsidRPr="00337820">
              <w:rPr>
                <w:rFonts w:eastAsia="Arial"/>
                <w:i/>
                <w:kern w:val="1"/>
              </w:rPr>
              <w:t>ad</w:t>
            </w:r>
            <w:proofErr w:type="spellEnd"/>
            <w:r w:rsidR="00337820" w:rsidRPr="00337820">
              <w:rPr>
                <w:rFonts w:eastAsia="Arial"/>
                <w:i/>
                <w:kern w:val="1"/>
              </w:rPr>
              <w:t xml:space="preserve"> </w:t>
            </w:r>
            <w:proofErr w:type="spellStart"/>
            <w:r w:rsidR="00337820" w:rsidRPr="00337820">
              <w:rPr>
                <w:rFonts w:eastAsia="Arial"/>
                <w:i/>
                <w:kern w:val="1"/>
              </w:rPr>
              <w:t>hoc</w:t>
            </w:r>
            <w:proofErr w:type="spellEnd"/>
            <w:r w:rsidR="00337820">
              <w:rPr>
                <w:rFonts w:eastAsia="Arial"/>
                <w:kern w:val="1"/>
              </w:rPr>
              <w:t xml:space="preserve"> tiesnešu saraksts, no kura ECT priekšsēdētājs var izvēlēties </w:t>
            </w:r>
            <w:proofErr w:type="spellStart"/>
            <w:r w:rsidR="00337820" w:rsidRPr="00337820">
              <w:rPr>
                <w:rFonts w:eastAsia="Arial"/>
                <w:i/>
                <w:kern w:val="1"/>
              </w:rPr>
              <w:t>ad</w:t>
            </w:r>
            <w:proofErr w:type="spellEnd"/>
            <w:r w:rsidR="00337820" w:rsidRPr="00337820">
              <w:rPr>
                <w:rFonts w:eastAsia="Arial"/>
                <w:i/>
                <w:kern w:val="1"/>
              </w:rPr>
              <w:t xml:space="preserve"> </w:t>
            </w:r>
            <w:proofErr w:type="spellStart"/>
            <w:r w:rsidR="00337820" w:rsidRPr="00337820">
              <w:rPr>
                <w:rFonts w:eastAsia="Arial"/>
                <w:i/>
                <w:kern w:val="1"/>
              </w:rPr>
              <w:t>hoc</w:t>
            </w:r>
            <w:proofErr w:type="spellEnd"/>
            <w:r w:rsidR="00337820">
              <w:rPr>
                <w:rFonts w:eastAsia="Arial"/>
                <w:kern w:val="1"/>
              </w:rPr>
              <w:t xml:space="preserve"> tiesnesi konkrētas lietas izskatīšanai, ja no attiecīgās valsts ievēlētā tiesneša amats šīs lietas izskatīšanas laikā ir vakants, vai tiesnesis nevar piedalīties lietas izskatīšanā.</w:t>
            </w:r>
            <w:r>
              <w:rPr>
                <w:rFonts w:eastAsia="Arial"/>
                <w:kern w:val="1"/>
              </w:rPr>
              <w:t xml:space="preserve"> </w:t>
            </w:r>
          </w:p>
          <w:p w:rsidR="00E24FC4" w:rsidRDefault="00337820" w:rsidP="00E24FC4">
            <w:pPr>
              <w:widowControl w:val="0"/>
              <w:suppressAutoHyphens/>
              <w:ind w:left="102" w:right="101" w:firstLine="425"/>
              <w:jc w:val="both"/>
            </w:pPr>
            <w:r>
              <w:t>Uz šo brīdi</w:t>
            </w:r>
            <w:r w:rsidR="00E24FC4">
              <w:t xml:space="preserve"> Latvijas izvirzīto </w:t>
            </w:r>
            <w:proofErr w:type="spellStart"/>
            <w:r w:rsidR="00E24FC4" w:rsidRPr="00FD6F71">
              <w:rPr>
                <w:i/>
              </w:rPr>
              <w:t>ad</w:t>
            </w:r>
            <w:proofErr w:type="spellEnd"/>
            <w:r w:rsidR="00E24FC4" w:rsidRPr="00FD6F71">
              <w:rPr>
                <w:i/>
              </w:rPr>
              <w:t xml:space="preserve"> </w:t>
            </w:r>
            <w:proofErr w:type="spellStart"/>
            <w:r w:rsidR="00E24FC4" w:rsidRPr="00FD6F71">
              <w:rPr>
                <w:i/>
              </w:rPr>
              <w:t>hoc</w:t>
            </w:r>
            <w:proofErr w:type="spellEnd"/>
            <w:r w:rsidR="00E24FC4" w:rsidRPr="00FD6F71">
              <w:t xml:space="preserve"> tiesnešu sarakstā ECT ir iekļaut</w:t>
            </w:r>
            <w:r w:rsidR="00B77EE9">
              <w:t>i</w:t>
            </w:r>
            <w:r w:rsidR="00E24FC4" w:rsidRPr="00FD6F71">
              <w:t xml:space="preserve"> Jautrīte </w:t>
            </w:r>
            <w:proofErr w:type="spellStart"/>
            <w:r w:rsidR="00E24FC4" w:rsidRPr="00FD6F71">
              <w:t>Briede</w:t>
            </w:r>
            <w:proofErr w:type="spellEnd"/>
            <w:r w:rsidR="00E24FC4" w:rsidRPr="00FD6F71">
              <w:t>, Kristīne Krūma, Dace Mita, Ineta Ziemele</w:t>
            </w:r>
            <w:r w:rsidR="00787C03">
              <w:t xml:space="preserve">, kā arī </w:t>
            </w:r>
            <w:r w:rsidR="00787C03" w:rsidRPr="00FD6F71">
              <w:t>Mārtiņ</w:t>
            </w:r>
            <w:r w:rsidR="00787C03">
              <w:t>š</w:t>
            </w:r>
            <w:r w:rsidR="00787C03" w:rsidRPr="00FD6F71">
              <w:t xml:space="preserve"> </w:t>
            </w:r>
            <w:proofErr w:type="spellStart"/>
            <w:r w:rsidR="00787C03" w:rsidRPr="00FD6F71">
              <w:t>Mit</w:t>
            </w:r>
            <w:r w:rsidR="00787C03">
              <w:t>s</w:t>
            </w:r>
            <w:proofErr w:type="spellEnd"/>
            <w:r w:rsidR="00E24FC4" w:rsidRPr="00FD6F71">
              <w:t>.</w:t>
            </w:r>
          </w:p>
          <w:p w:rsidR="00657872" w:rsidRPr="00E27BBE" w:rsidRDefault="00CD4030" w:rsidP="00787C03">
            <w:pPr>
              <w:widowControl w:val="0"/>
              <w:suppressAutoHyphens/>
              <w:ind w:left="102" w:right="101" w:firstLine="425"/>
              <w:jc w:val="both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Ievērojot, ka 2015.gada 24.jūnijā Eiropas Padomes Parlamentārā asambleja ievēlēja</w:t>
            </w:r>
            <w:r w:rsidR="00B30203">
              <w:rPr>
                <w:rFonts w:eastAsia="Arial"/>
                <w:kern w:val="1"/>
              </w:rPr>
              <w:t xml:space="preserve"> Rīgas Juridiskās augstskolas asociēto profesoru </w:t>
            </w:r>
            <w:r w:rsidR="00E24FC4">
              <w:rPr>
                <w:rFonts w:eastAsia="Arial"/>
                <w:kern w:val="1"/>
              </w:rPr>
              <w:t>M.</w:t>
            </w:r>
            <w:r w:rsidR="00B30203">
              <w:rPr>
                <w:rFonts w:eastAsia="Arial"/>
                <w:kern w:val="1"/>
              </w:rPr>
              <w:t xml:space="preserve">Mitu par ECT tiesas tiesnesi, </w:t>
            </w:r>
            <w:r w:rsidR="00A64FEF">
              <w:rPr>
                <w:rFonts w:eastAsia="Arial"/>
                <w:kern w:val="1"/>
              </w:rPr>
              <w:t xml:space="preserve">ir </w:t>
            </w:r>
            <w:r w:rsidR="00A64FEF" w:rsidRPr="00E27BBE">
              <w:t xml:space="preserve">nepieciešams </w:t>
            </w:r>
            <w:r w:rsidR="00B30203">
              <w:t xml:space="preserve">grozīt Latvijas izvirzīto </w:t>
            </w:r>
            <w:proofErr w:type="spellStart"/>
            <w:r w:rsidR="00B30203" w:rsidRPr="00D00057">
              <w:rPr>
                <w:i/>
              </w:rPr>
              <w:t>ad</w:t>
            </w:r>
            <w:proofErr w:type="spellEnd"/>
            <w:r w:rsidR="00B30203" w:rsidRPr="00D00057">
              <w:rPr>
                <w:i/>
              </w:rPr>
              <w:t xml:space="preserve"> </w:t>
            </w:r>
            <w:proofErr w:type="spellStart"/>
            <w:r w:rsidR="00B30203" w:rsidRPr="00D00057">
              <w:rPr>
                <w:i/>
              </w:rPr>
              <w:t>hoc</w:t>
            </w:r>
            <w:proofErr w:type="spellEnd"/>
            <w:r w:rsidR="00A64FEF">
              <w:rPr>
                <w:rFonts w:eastAsia="Arial"/>
                <w:kern w:val="1"/>
              </w:rPr>
              <w:t xml:space="preserve"> </w:t>
            </w:r>
            <w:r w:rsidR="00B30203">
              <w:rPr>
                <w:rFonts w:eastAsia="Arial"/>
                <w:kern w:val="1"/>
              </w:rPr>
              <w:t>tiesnešu</w:t>
            </w:r>
            <w:r w:rsidR="00B30203">
              <w:t xml:space="preserve"> sarakstu</w:t>
            </w:r>
            <w:r w:rsidR="00D00057">
              <w:t xml:space="preserve"> ECT.</w:t>
            </w:r>
            <w:r w:rsidR="00FD6F71">
              <w:t xml:space="preserve"> </w:t>
            </w:r>
          </w:p>
        </w:tc>
      </w:tr>
      <w:tr w:rsidR="00262E2B" w:rsidRPr="00E27BBE" w:rsidTr="00E5285B">
        <w:trPr>
          <w:trHeight w:val="472"/>
        </w:trPr>
        <w:tc>
          <w:tcPr>
            <w:tcW w:w="550" w:type="dxa"/>
          </w:tcPr>
          <w:p w:rsidR="00262E2B" w:rsidRPr="00E27BBE" w:rsidRDefault="00262E2B" w:rsidP="00A9382D">
            <w:pPr>
              <w:pStyle w:val="naiskr"/>
              <w:spacing w:before="0" w:after="0"/>
              <w:jc w:val="center"/>
            </w:pPr>
            <w:r w:rsidRPr="00E27BBE">
              <w:t>2.</w:t>
            </w:r>
          </w:p>
        </w:tc>
        <w:tc>
          <w:tcPr>
            <w:tcW w:w="4315" w:type="dxa"/>
          </w:tcPr>
          <w:p w:rsidR="00262E2B" w:rsidRPr="00E27BBE" w:rsidRDefault="00262E2B" w:rsidP="00A9382D">
            <w:pPr>
              <w:pStyle w:val="naiskr"/>
              <w:spacing w:before="0" w:after="0"/>
              <w:ind w:left="164" w:right="182"/>
            </w:pPr>
            <w:r w:rsidRPr="00E27BBE">
              <w:t>Pašreizējā situācija</w:t>
            </w:r>
            <w:r w:rsidR="001F5CD6" w:rsidRPr="00E27BBE">
              <w:t xml:space="preserve"> un problēmas</w:t>
            </w:r>
            <w:r w:rsidR="00231164" w:rsidRPr="00E27BBE">
              <w:t>, kuru risināšanai tiesību akta projekts izstrādāts, tiesiskā regulējuma mērķis un būtība</w:t>
            </w:r>
          </w:p>
        </w:tc>
        <w:tc>
          <w:tcPr>
            <w:tcW w:w="4880" w:type="dxa"/>
          </w:tcPr>
          <w:p w:rsidR="008164E7" w:rsidRPr="008678D5" w:rsidRDefault="002F79B9" w:rsidP="008678D5">
            <w:pPr>
              <w:pStyle w:val="naiskr"/>
              <w:spacing w:before="0" w:after="0"/>
              <w:ind w:left="102" w:right="101" w:firstLine="425"/>
              <w:jc w:val="both"/>
              <w:rPr>
                <w:iCs/>
              </w:rPr>
            </w:pPr>
            <w:r w:rsidRPr="00F15332">
              <w:rPr>
                <w:iCs/>
              </w:rPr>
              <w:t>Ar Ministru</w:t>
            </w:r>
            <w:r w:rsidRPr="00E27BBE">
              <w:rPr>
                <w:iCs/>
              </w:rPr>
              <w:t xml:space="preserve"> kabineta rīkojumu tiks </w:t>
            </w:r>
            <w:r w:rsidR="00FD6F71">
              <w:rPr>
                <w:iCs/>
              </w:rPr>
              <w:t xml:space="preserve">grozīts Latvijas izvirzīto </w:t>
            </w:r>
            <w:proofErr w:type="spellStart"/>
            <w:r w:rsidR="00FD6F71" w:rsidRPr="00FD6F71">
              <w:rPr>
                <w:i/>
                <w:iCs/>
              </w:rPr>
              <w:t>ad</w:t>
            </w:r>
            <w:proofErr w:type="spellEnd"/>
            <w:r w:rsidR="00FD6F71" w:rsidRPr="00FD6F71">
              <w:rPr>
                <w:i/>
                <w:iCs/>
              </w:rPr>
              <w:t xml:space="preserve"> </w:t>
            </w:r>
            <w:proofErr w:type="spellStart"/>
            <w:r w:rsidR="00FD6F71" w:rsidRPr="00FD6F71">
              <w:rPr>
                <w:i/>
                <w:iCs/>
              </w:rPr>
              <w:t>hoc</w:t>
            </w:r>
            <w:proofErr w:type="spellEnd"/>
            <w:r w:rsidR="00FD6F71">
              <w:rPr>
                <w:iCs/>
              </w:rPr>
              <w:t xml:space="preserve"> tiesnešu saraksts ECT</w:t>
            </w:r>
            <w:r w:rsidR="00EA7A22">
              <w:rPr>
                <w:iCs/>
              </w:rPr>
              <w:t xml:space="preserve">, </w:t>
            </w:r>
            <w:r w:rsidR="00676319">
              <w:rPr>
                <w:iCs/>
              </w:rPr>
              <w:t xml:space="preserve">svītrojot M.Mita kandidatūru no saraksta, </w:t>
            </w:r>
            <w:r w:rsidR="00EA7A22">
              <w:rPr>
                <w:iCs/>
              </w:rPr>
              <w:t>lai</w:t>
            </w:r>
            <w:r w:rsidR="00FD6F71">
              <w:rPr>
                <w:iCs/>
              </w:rPr>
              <w:t xml:space="preserve"> </w:t>
            </w:r>
            <w:r w:rsidR="00C17230">
              <w:rPr>
                <w:iCs/>
              </w:rPr>
              <w:t xml:space="preserve">novērstu situāciju, ka no Latvijas ievēlētais ECT tiesnesis </w:t>
            </w:r>
            <w:proofErr w:type="spellStart"/>
            <w:r w:rsidR="00C17230">
              <w:rPr>
                <w:iCs/>
              </w:rPr>
              <w:t>M.Mits</w:t>
            </w:r>
            <w:proofErr w:type="spellEnd"/>
            <w:r w:rsidR="00C17230">
              <w:rPr>
                <w:iCs/>
              </w:rPr>
              <w:t xml:space="preserve"> vienlaikus ir arī Latvijas izvirzīto </w:t>
            </w:r>
            <w:proofErr w:type="spellStart"/>
            <w:r w:rsidR="00C17230" w:rsidRPr="00C17230">
              <w:rPr>
                <w:i/>
                <w:iCs/>
              </w:rPr>
              <w:t>ad</w:t>
            </w:r>
            <w:proofErr w:type="spellEnd"/>
            <w:r w:rsidR="00C17230" w:rsidRPr="00C17230">
              <w:rPr>
                <w:i/>
                <w:iCs/>
              </w:rPr>
              <w:t xml:space="preserve"> </w:t>
            </w:r>
            <w:proofErr w:type="spellStart"/>
            <w:r w:rsidR="00C17230" w:rsidRPr="00C17230">
              <w:rPr>
                <w:i/>
                <w:iCs/>
              </w:rPr>
              <w:t>hoc</w:t>
            </w:r>
            <w:proofErr w:type="spellEnd"/>
            <w:r w:rsidR="00C17230">
              <w:rPr>
                <w:iCs/>
              </w:rPr>
              <w:t xml:space="preserve"> tiesnešu sarakstā. </w:t>
            </w:r>
            <w:r w:rsidR="00787C03">
              <w:rPr>
                <w:iCs/>
              </w:rPr>
              <w:t>L</w:t>
            </w:r>
            <w:r w:rsidR="00C17230">
              <w:rPr>
                <w:iCs/>
              </w:rPr>
              <w:t>ai</w:t>
            </w:r>
            <w:r w:rsidR="00C17230">
              <w:t xml:space="preserve"> novērstu iespējamu interešu konfliktu vai šaubas par ECT lietu pret Latviju taisnīgu izskatīšanu</w:t>
            </w:r>
            <w:r w:rsidR="00676319">
              <w:t xml:space="preserve">, </w:t>
            </w:r>
            <w:r w:rsidR="003B5EEB">
              <w:t>kā arī</w:t>
            </w:r>
            <w:r w:rsidR="00787C03">
              <w:t xml:space="preserve"> ņemot vērā</w:t>
            </w:r>
            <w:r w:rsidR="003B5EEB">
              <w:t xml:space="preserve"> D.Mitas lūgumu, </w:t>
            </w:r>
            <w:r w:rsidR="00676319">
              <w:t xml:space="preserve">ir nepieciešams svītrot no </w:t>
            </w:r>
            <w:proofErr w:type="spellStart"/>
            <w:r w:rsidR="00676319" w:rsidRPr="00676319">
              <w:rPr>
                <w:i/>
              </w:rPr>
              <w:t>ad</w:t>
            </w:r>
            <w:proofErr w:type="spellEnd"/>
            <w:r w:rsidR="00676319" w:rsidRPr="00676319">
              <w:rPr>
                <w:i/>
              </w:rPr>
              <w:t xml:space="preserve"> </w:t>
            </w:r>
            <w:proofErr w:type="spellStart"/>
            <w:r w:rsidR="00676319" w:rsidRPr="00676319">
              <w:rPr>
                <w:i/>
              </w:rPr>
              <w:t>hoc</w:t>
            </w:r>
            <w:proofErr w:type="spellEnd"/>
            <w:r w:rsidR="00676319">
              <w:t xml:space="preserve"> tiesnešu saraksta </w:t>
            </w:r>
            <w:r w:rsidR="008164E7">
              <w:t xml:space="preserve">arī M.Mita laulāto </w:t>
            </w:r>
            <w:proofErr w:type="spellStart"/>
            <w:r w:rsidR="00676319">
              <w:t>D.Mitu</w:t>
            </w:r>
            <w:proofErr w:type="spellEnd"/>
            <w:r w:rsidR="003B5EEB">
              <w:t>.</w:t>
            </w:r>
          </w:p>
          <w:p w:rsidR="00C65C4C" w:rsidRDefault="00787C03" w:rsidP="00EE1EE9">
            <w:pPr>
              <w:pStyle w:val="naiskr"/>
              <w:spacing w:before="0" w:after="0"/>
              <w:ind w:left="102" w:right="101" w:firstLine="425"/>
              <w:jc w:val="both"/>
            </w:pPr>
            <w:r>
              <w:t>Ievērojot</w:t>
            </w:r>
            <w:r w:rsidR="00AA7634">
              <w:t xml:space="preserve"> </w:t>
            </w:r>
            <w:proofErr w:type="spellStart"/>
            <w:r w:rsidR="00AA7634">
              <w:t>A</w:t>
            </w:r>
            <w:r w:rsidR="008678D5">
              <w:t>.</w:t>
            </w:r>
            <w:r w:rsidR="00AA7634">
              <w:t>Kuča</w:t>
            </w:r>
            <w:proofErr w:type="spellEnd"/>
            <w:r w:rsidR="00AA7634">
              <w:t xml:space="preserve"> un D</w:t>
            </w:r>
            <w:r w:rsidR="008678D5">
              <w:t>.</w:t>
            </w:r>
            <w:r w:rsidR="00AA7634">
              <w:t xml:space="preserve">Rezevskas sniegumu ECT </w:t>
            </w:r>
            <w:r w:rsidR="00AA7634" w:rsidRPr="00816C89">
              <w:t>tiesneša amata atlases konkursā</w:t>
            </w:r>
            <w:r w:rsidR="00AA7634">
              <w:t xml:space="preserve">, kā arī </w:t>
            </w:r>
            <w:r w:rsidR="001A693C">
              <w:t>ievērojot, ka</w:t>
            </w:r>
            <w:r w:rsidR="00A734BB" w:rsidRPr="00816C89">
              <w:t xml:space="preserve"> nacionālā atlases komisija izvirzīja</w:t>
            </w:r>
            <w:r w:rsidR="00A734BB">
              <w:t xml:space="preserve"> </w:t>
            </w:r>
            <w:proofErr w:type="spellStart"/>
            <w:r w:rsidR="00A734BB">
              <w:t>A.Kuča</w:t>
            </w:r>
            <w:proofErr w:type="spellEnd"/>
            <w:r w:rsidR="00A734BB">
              <w:t xml:space="preserve"> un D.Rezevskas </w:t>
            </w:r>
            <w:r w:rsidR="001A693C">
              <w:t>kandidatūras</w:t>
            </w:r>
            <w:r w:rsidR="001A693C" w:rsidRPr="00816C89">
              <w:t xml:space="preserve"> </w:t>
            </w:r>
            <w:r w:rsidR="00AA7634">
              <w:t>ECT</w:t>
            </w:r>
            <w:r w:rsidR="001A693C" w:rsidRPr="00816C89">
              <w:t xml:space="preserve"> tiesneša amata</w:t>
            </w:r>
            <w:r w:rsidR="00AA7634">
              <w:t xml:space="preserve">m, Latvijas interesēs būtu iekļaut </w:t>
            </w:r>
            <w:proofErr w:type="spellStart"/>
            <w:r w:rsidR="00AA7634">
              <w:t>A.Kuča</w:t>
            </w:r>
            <w:proofErr w:type="spellEnd"/>
            <w:r w:rsidR="00AA7634">
              <w:t xml:space="preserve"> un D.Rezevskas </w:t>
            </w:r>
            <w:r w:rsidR="00AA7634" w:rsidRPr="00A26C9B">
              <w:t>kandidatūras</w:t>
            </w:r>
            <w:r w:rsidR="00AA7634" w:rsidRPr="00AA7634">
              <w:rPr>
                <w:i/>
              </w:rPr>
              <w:t xml:space="preserve"> </w:t>
            </w:r>
            <w:proofErr w:type="spellStart"/>
            <w:r w:rsidR="00AA7634" w:rsidRPr="00AA7634">
              <w:rPr>
                <w:i/>
              </w:rPr>
              <w:t>ad</w:t>
            </w:r>
            <w:proofErr w:type="spellEnd"/>
            <w:r w:rsidR="00AA7634" w:rsidRPr="00AA7634">
              <w:rPr>
                <w:i/>
              </w:rPr>
              <w:t xml:space="preserve"> </w:t>
            </w:r>
            <w:proofErr w:type="spellStart"/>
            <w:r w:rsidR="00AA7634" w:rsidRPr="00AA7634">
              <w:rPr>
                <w:i/>
              </w:rPr>
              <w:t>hoc</w:t>
            </w:r>
            <w:proofErr w:type="spellEnd"/>
            <w:r w:rsidR="00AA7634">
              <w:t xml:space="preserve"> tiesnešu sarakstā. </w:t>
            </w:r>
            <w:proofErr w:type="spellStart"/>
            <w:r w:rsidR="00AA7634">
              <w:t>A.Kučs</w:t>
            </w:r>
            <w:proofErr w:type="spellEnd"/>
            <w:r w:rsidR="00AA7634">
              <w:t xml:space="preserve"> un D.Rezevska ir piekrituši viņu kandidatūru iekļaušanai </w:t>
            </w:r>
            <w:proofErr w:type="spellStart"/>
            <w:r w:rsidR="00AA7634" w:rsidRPr="00AA7634">
              <w:rPr>
                <w:i/>
              </w:rPr>
              <w:t>ad</w:t>
            </w:r>
            <w:proofErr w:type="spellEnd"/>
            <w:r w:rsidR="00AA7634" w:rsidRPr="00AA7634">
              <w:rPr>
                <w:i/>
              </w:rPr>
              <w:t xml:space="preserve"> </w:t>
            </w:r>
            <w:proofErr w:type="spellStart"/>
            <w:r w:rsidR="00AA7634" w:rsidRPr="00AA7634">
              <w:rPr>
                <w:i/>
              </w:rPr>
              <w:t>hoc</w:t>
            </w:r>
            <w:proofErr w:type="spellEnd"/>
            <w:r w:rsidR="00AA7634">
              <w:t xml:space="preserve"> tiesnešu sarakstā.</w:t>
            </w:r>
            <w:r w:rsidR="00C7273A">
              <w:t xml:space="preserve"> Tāpēc ar Ministru kabineta rīkojumu tiks papildināts Latvijas izvirzīto </w:t>
            </w:r>
            <w:proofErr w:type="spellStart"/>
            <w:r w:rsidR="00C7273A" w:rsidRPr="008678D5">
              <w:rPr>
                <w:i/>
              </w:rPr>
              <w:t>ad</w:t>
            </w:r>
            <w:proofErr w:type="spellEnd"/>
            <w:r w:rsidR="00C7273A" w:rsidRPr="008678D5">
              <w:rPr>
                <w:i/>
              </w:rPr>
              <w:t xml:space="preserve"> </w:t>
            </w:r>
            <w:proofErr w:type="spellStart"/>
            <w:r w:rsidR="00C7273A" w:rsidRPr="008678D5">
              <w:rPr>
                <w:i/>
              </w:rPr>
              <w:lastRenderedPageBreak/>
              <w:t>hoc</w:t>
            </w:r>
            <w:proofErr w:type="spellEnd"/>
            <w:r w:rsidR="00C7273A">
              <w:t xml:space="preserve"> tiesnešu saraksts ECT, iekļaujot </w:t>
            </w:r>
            <w:proofErr w:type="spellStart"/>
            <w:r w:rsidR="00C7273A">
              <w:t>A.Kuča</w:t>
            </w:r>
            <w:proofErr w:type="spellEnd"/>
            <w:r w:rsidR="00C7273A">
              <w:t xml:space="preserve"> un D.Rezevskas kandidatūras.</w:t>
            </w:r>
          </w:p>
          <w:p w:rsidR="00A9382D" w:rsidRPr="00E27BBE" w:rsidRDefault="0082725C" w:rsidP="0082725C">
            <w:pPr>
              <w:pStyle w:val="naiskr"/>
              <w:spacing w:before="0" w:after="0"/>
              <w:ind w:left="102" w:right="101" w:firstLine="425"/>
              <w:jc w:val="both"/>
            </w:pPr>
            <w:r>
              <w:t xml:space="preserve">Visbeidzot, </w:t>
            </w:r>
            <w:proofErr w:type="spellStart"/>
            <w:r w:rsidRPr="00FD6F71">
              <w:t>J</w:t>
            </w:r>
            <w:r>
              <w:t>.</w:t>
            </w:r>
            <w:r w:rsidRPr="00FD6F71">
              <w:t>Briede</w:t>
            </w:r>
            <w:proofErr w:type="spellEnd"/>
            <w:r w:rsidRPr="00FD6F71">
              <w:t>, K</w:t>
            </w:r>
            <w:r>
              <w:t>.Krūma un</w:t>
            </w:r>
            <w:r w:rsidRPr="00FD6F71">
              <w:t xml:space="preserve"> I</w:t>
            </w:r>
            <w:r>
              <w:t xml:space="preserve">.Ziemele ir apstiprinājušas savu apņemšanos arī turpmāk pildīt </w:t>
            </w:r>
            <w:proofErr w:type="spellStart"/>
            <w:r w:rsidRPr="00716037">
              <w:rPr>
                <w:i/>
              </w:rPr>
              <w:t>ad</w:t>
            </w:r>
            <w:proofErr w:type="spellEnd"/>
            <w:r w:rsidRPr="00716037">
              <w:rPr>
                <w:i/>
              </w:rPr>
              <w:t xml:space="preserve"> </w:t>
            </w:r>
            <w:proofErr w:type="spellStart"/>
            <w:r w:rsidRPr="00716037">
              <w:rPr>
                <w:i/>
              </w:rPr>
              <w:t>hoc</w:t>
            </w:r>
            <w:proofErr w:type="spellEnd"/>
            <w:r>
              <w:t xml:space="preserve"> tiesneša pienākumus, gadījumā, ja ECT priekšsēdētājs kādu no viņām nominēs dalībai ECT lietas izskatīšanā.</w:t>
            </w:r>
          </w:p>
        </w:tc>
      </w:tr>
      <w:tr w:rsidR="00262E2B" w:rsidRPr="00E27BBE" w:rsidTr="00E5285B">
        <w:trPr>
          <w:trHeight w:val="1071"/>
        </w:trPr>
        <w:tc>
          <w:tcPr>
            <w:tcW w:w="550" w:type="dxa"/>
          </w:tcPr>
          <w:p w:rsidR="00262E2B" w:rsidRPr="00E27BBE" w:rsidRDefault="00262E2B" w:rsidP="00A9382D">
            <w:pPr>
              <w:pStyle w:val="naiskr"/>
              <w:spacing w:before="0" w:after="0"/>
              <w:jc w:val="center"/>
            </w:pPr>
            <w:r w:rsidRPr="00E27BBE">
              <w:lastRenderedPageBreak/>
              <w:t>3.</w:t>
            </w:r>
          </w:p>
        </w:tc>
        <w:tc>
          <w:tcPr>
            <w:tcW w:w="4315" w:type="dxa"/>
          </w:tcPr>
          <w:p w:rsidR="00262E2B" w:rsidRPr="00E27BBE" w:rsidRDefault="00231164" w:rsidP="00A9382D">
            <w:pPr>
              <w:pStyle w:val="naiskr"/>
              <w:spacing w:before="0" w:after="0"/>
              <w:ind w:left="164" w:right="100"/>
            </w:pPr>
            <w:r w:rsidRPr="00E27BBE">
              <w:t>Projekta izstrādē iesaistītās institūcijas</w:t>
            </w:r>
          </w:p>
        </w:tc>
        <w:tc>
          <w:tcPr>
            <w:tcW w:w="4880" w:type="dxa"/>
          </w:tcPr>
          <w:p w:rsidR="00B24213" w:rsidRPr="00E27BBE" w:rsidRDefault="00720708" w:rsidP="00B24213">
            <w:pPr>
              <w:pStyle w:val="naiskr"/>
              <w:spacing w:before="0" w:after="0"/>
              <w:ind w:left="102" w:right="101"/>
              <w:jc w:val="both"/>
            </w:pPr>
            <w:r w:rsidRPr="00E27BBE">
              <w:t>Ārlietu ministrija</w:t>
            </w:r>
            <w:r w:rsidR="00AE270A" w:rsidRPr="00E27BBE">
              <w:t>.</w:t>
            </w:r>
          </w:p>
          <w:p w:rsidR="004A0264" w:rsidRPr="00E27BBE" w:rsidRDefault="004A0264" w:rsidP="00B24213">
            <w:pPr>
              <w:pStyle w:val="naiskr"/>
              <w:spacing w:before="0" w:after="0"/>
              <w:ind w:left="102" w:right="101"/>
              <w:jc w:val="both"/>
            </w:pPr>
          </w:p>
        </w:tc>
      </w:tr>
      <w:tr w:rsidR="00262E2B" w:rsidRPr="00E27BBE" w:rsidTr="00E5285B">
        <w:trPr>
          <w:trHeight w:val="384"/>
        </w:trPr>
        <w:tc>
          <w:tcPr>
            <w:tcW w:w="550" w:type="dxa"/>
          </w:tcPr>
          <w:p w:rsidR="00262E2B" w:rsidRPr="00E27BBE" w:rsidRDefault="00262E2B" w:rsidP="00A9382D">
            <w:pPr>
              <w:pStyle w:val="naiskr"/>
              <w:spacing w:before="0" w:after="0"/>
              <w:jc w:val="center"/>
            </w:pPr>
            <w:r w:rsidRPr="00E27BBE">
              <w:t>4.</w:t>
            </w:r>
          </w:p>
          <w:p w:rsidR="009C5EC7" w:rsidRPr="00E27BBE" w:rsidRDefault="009C5EC7" w:rsidP="00A9382D">
            <w:pPr>
              <w:pStyle w:val="naiskr"/>
              <w:spacing w:before="0" w:after="0"/>
            </w:pPr>
          </w:p>
        </w:tc>
        <w:tc>
          <w:tcPr>
            <w:tcW w:w="4315" w:type="dxa"/>
          </w:tcPr>
          <w:p w:rsidR="00262E2B" w:rsidRPr="00E27BBE" w:rsidRDefault="00F35D45" w:rsidP="00A9382D">
            <w:pPr>
              <w:pStyle w:val="naiskr"/>
              <w:spacing w:before="0" w:after="0"/>
              <w:ind w:left="164"/>
            </w:pPr>
            <w:r w:rsidRPr="00E27BBE">
              <w:t>Cita informācija</w:t>
            </w:r>
          </w:p>
        </w:tc>
        <w:tc>
          <w:tcPr>
            <w:tcW w:w="4880" w:type="dxa"/>
          </w:tcPr>
          <w:p w:rsidR="00F35D45" w:rsidRPr="00E27BBE" w:rsidRDefault="00F35D45" w:rsidP="00A9382D">
            <w:pPr>
              <w:pStyle w:val="naiskr"/>
              <w:spacing w:before="0" w:after="0"/>
              <w:ind w:left="102" w:right="101"/>
              <w:jc w:val="both"/>
            </w:pPr>
            <w:r w:rsidRPr="00E27BBE">
              <w:t>Nav</w:t>
            </w:r>
            <w:r w:rsidR="00A9382D" w:rsidRPr="00E27BBE">
              <w:t>.</w:t>
            </w:r>
          </w:p>
        </w:tc>
      </w:tr>
    </w:tbl>
    <w:p w:rsidR="00852042" w:rsidRPr="00E27BBE" w:rsidRDefault="00852042" w:rsidP="006C4607">
      <w:pPr>
        <w:pStyle w:val="naisf"/>
        <w:spacing w:before="0" w:after="0"/>
      </w:pPr>
    </w:p>
    <w:p w:rsidR="00C31E36" w:rsidRPr="00E27BBE" w:rsidRDefault="00C31E36" w:rsidP="00C31E36">
      <w:pPr>
        <w:ind w:firstLine="720"/>
        <w:jc w:val="both"/>
      </w:pPr>
    </w:p>
    <w:tbl>
      <w:tblPr>
        <w:tblW w:w="9692" w:type="dxa"/>
        <w:tblInd w:w="-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4312"/>
        <w:gridCol w:w="4820"/>
      </w:tblGrid>
      <w:tr w:rsidR="00C31E36" w:rsidRPr="00E27BBE" w:rsidTr="005D7373">
        <w:tc>
          <w:tcPr>
            <w:tcW w:w="9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E27BBE" w:rsidRDefault="00C31E36" w:rsidP="00C31E36">
            <w:pPr>
              <w:jc w:val="center"/>
              <w:rPr>
                <w:b/>
              </w:rPr>
            </w:pPr>
            <w:r w:rsidRPr="00E27BBE">
              <w:rPr>
                <w:b/>
              </w:rPr>
              <w:t>V. Tiesību akta projekta atbilstība Latvijas Republikas starptautiskajām saistībām</w:t>
            </w:r>
          </w:p>
        </w:tc>
      </w:tr>
      <w:tr w:rsidR="00C31E36" w:rsidRPr="00E27BBE" w:rsidTr="005D737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1.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Saistības pret Eiropas Savienību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0BF2" w:rsidP="00101E26">
            <w:pPr>
              <w:ind w:left="70"/>
            </w:pPr>
            <w:r w:rsidRPr="00E27BBE">
              <w:t>Nav.</w:t>
            </w:r>
          </w:p>
        </w:tc>
      </w:tr>
      <w:tr w:rsidR="00C31E36" w:rsidRPr="00E27BBE" w:rsidTr="005D737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2.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Citas starptautiskās saistības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49D" w:rsidRPr="00E27BBE" w:rsidRDefault="00E40DAA" w:rsidP="006771FE">
            <w:pPr>
              <w:pStyle w:val="naiskr"/>
              <w:spacing w:before="0" w:after="0"/>
              <w:ind w:left="70" w:right="47"/>
              <w:jc w:val="both"/>
            </w:pPr>
            <w:r w:rsidRPr="00E27BBE">
              <w:t xml:space="preserve">1950.gada 4.novembra </w:t>
            </w:r>
            <w:r w:rsidR="006771FE">
              <w:rPr>
                <w:rFonts w:eastAsia="Arial"/>
                <w:kern w:val="1"/>
              </w:rPr>
              <w:t>K</w:t>
            </w:r>
            <w:r w:rsidR="00981583" w:rsidRPr="00E27BBE">
              <w:rPr>
                <w:rFonts w:eastAsia="Arial"/>
                <w:kern w:val="1"/>
              </w:rPr>
              <w:t xml:space="preserve">onvencija </w:t>
            </w:r>
            <w:r w:rsidR="0072449D" w:rsidRPr="00E27BBE">
              <w:t xml:space="preserve">un </w:t>
            </w:r>
            <w:r w:rsidRPr="00E27BBE">
              <w:t xml:space="preserve">2004.gada 13.maija </w:t>
            </w:r>
            <w:r w:rsidR="006771FE">
              <w:rPr>
                <w:rFonts w:eastAsia="Arial"/>
                <w:kern w:val="1"/>
              </w:rPr>
              <w:t>K</w:t>
            </w:r>
            <w:r w:rsidR="00E95132" w:rsidRPr="00E27BBE">
              <w:rPr>
                <w:rFonts w:eastAsia="Arial"/>
                <w:kern w:val="1"/>
              </w:rPr>
              <w:t xml:space="preserve">onvencijas </w:t>
            </w:r>
            <w:r w:rsidR="0072449D" w:rsidRPr="00E27BBE">
              <w:t>14.protokols</w:t>
            </w:r>
            <w:r w:rsidR="00DA491B" w:rsidRPr="00E27BBE">
              <w:t>, kas groza Konvencijas kontroles sistēmu</w:t>
            </w:r>
            <w:r w:rsidR="00981583" w:rsidRPr="00E27BBE">
              <w:t>.</w:t>
            </w:r>
            <w:r w:rsidRPr="00E27BBE">
              <w:t xml:space="preserve"> </w:t>
            </w:r>
          </w:p>
        </w:tc>
      </w:tr>
      <w:tr w:rsidR="00C31E36" w:rsidRPr="00E27BBE" w:rsidTr="005D737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3.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Cita informācija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0BF2" w:rsidP="00A52289">
            <w:pPr>
              <w:ind w:left="114"/>
            </w:pPr>
            <w:r w:rsidRPr="00E27BBE">
              <w:t>Nav.</w:t>
            </w:r>
          </w:p>
        </w:tc>
      </w:tr>
    </w:tbl>
    <w:p w:rsidR="00C31E36" w:rsidRPr="00E27BBE" w:rsidRDefault="00C31E36" w:rsidP="00C31E36"/>
    <w:p w:rsidR="009C5EC7" w:rsidRPr="00E27BBE" w:rsidRDefault="009C5EC7" w:rsidP="00C31E36"/>
    <w:tbl>
      <w:tblPr>
        <w:tblW w:w="9701" w:type="dxa"/>
        <w:tblInd w:w="-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71"/>
      </w:tblGrid>
      <w:tr w:rsidR="00C31E36" w:rsidRPr="00E27BBE" w:rsidTr="00E5285B">
        <w:trPr>
          <w:trHeight w:val="20"/>
        </w:trPr>
        <w:tc>
          <w:tcPr>
            <w:tcW w:w="9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E27BBE" w:rsidRDefault="00C31E36" w:rsidP="00C31E36">
            <w:pPr>
              <w:ind w:left="57"/>
              <w:jc w:val="center"/>
              <w:rPr>
                <w:b/>
              </w:rPr>
            </w:pPr>
            <w:r w:rsidRPr="00E27BBE">
              <w:rPr>
                <w:b/>
              </w:rPr>
              <w:t>2.tabula</w:t>
            </w:r>
          </w:p>
          <w:p w:rsidR="00C31E36" w:rsidRPr="00E27BBE" w:rsidRDefault="00C31E36" w:rsidP="00C31E36">
            <w:pPr>
              <w:ind w:left="57"/>
              <w:jc w:val="center"/>
              <w:rPr>
                <w:b/>
              </w:rPr>
            </w:pPr>
            <w:r w:rsidRPr="00E27BBE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C31E36" w:rsidRPr="00E27BBE" w:rsidRDefault="00C31E36" w:rsidP="00C31E36">
            <w:pPr>
              <w:ind w:left="57"/>
              <w:jc w:val="center"/>
              <w:rPr>
                <w:b/>
              </w:rPr>
            </w:pPr>
            <w:r w:rsidRPr="00E27BBE">
              <w:rPr>
                <w:b/>
              </w:rPr>
              <w:t>Pasākumi šo saistību izpildei</w:t>
            </w:r>
          </w:p>
        </w:tc>
      </w:tr>
      <w:tr w:rsidR="00C31E36" w:rsidRPr="00E27BBE" w:rsidTr="00E5285B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E27BBE" w:rsidRDefault="00C31E36" w:rsidP="00C31E36">
            <w:pPr>
              <w:ind w:left="57"/>
            </w:pPr>
            <w:r w:rsidRPr="00E27BBE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5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1B" w:rsidRPr="00E27BBE" w:rsidRDefault="00E40DAA" w:rsidP="006771FE">
            <w:pPr>
              <w:pStyle w:val="naiskr"/>
              <w:spacing w:before="0" w:after="0"/>
              <w:ind w:hanging="5"/>
              <w:jc w:val="both"/>
            </w:pPr>
            <w:r w:rsidRPr="00E27BBE">
              <w:t xml:space="preserve">1950.gada 4.novembra </w:t>
            </w:r>
            <w:r w:rsidR="006771FE">
              <w:rPr>
                <w:rFonts w:eastAsia="Arial"/>
                <w:kern w:val="1"/>
              </w:rPr>
              <w:t>K</w:t>
            </w:r>
            <w:r w:rsidRPr="00E27BBE">
              <w:rPr>
                <w:rFonts w:eastAsia="Arial"/>
                <w:kern w:val="1"/>
              </w:rPr>
              <w:t xml:space="preserve">onvencija </w:t>
            </w:r>
            <w:r w:rsidRPr="00E27BBE">
              <w:t xml:space="preserve">un 2004.gada 13.maija </w:t>
            </w:r>
            <w:r w:rsidR="006771FE">
              <w:rPr>
                <w:rFonts w:eastAsia="Arial"/>
                <w:kern w:val="1"/>
              </w:rPr>
              <w:t>K</w:t>
            </w:r>
            <w:r w:rsidRPr="00E27BBE">
              <w:rPr>
                <w:rFonts w:eastAsia="Arial"/>
                <w:kern w:val="1"/>
              </w:rPr>
              <w:t xml:space="preserve">onvencijas </w:t>
            </w:r>
            <w:r w:rsidRPr="00E27BBE">
              <w:t>14.protokols, kas groza Konvencijas kontroles sistēmu.</w:t>
            </w:r>
          </w:p>
        </w:tc>
      </w:tr>
      <w:tr w:rsidR="00C31E36" w:rsidRPr="00E27BBE" w:rsidTr="00E5285B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E27BBE" w:rsidRDefault="00C31E36" w:rsidP="00C31E36">
            <w:pPr>
              <w:ind w:left="57"/>
              <w:jc w:val="center"/>
            </w:pPr>
            <w:r w:rsidRPr="00E27BBE">
              <w:t>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E27BBE" w:rsidRDefault="00C31E36" w:rsidP="00C31E36">
            <w:pPr>
              <w:ind w:left="57"/>
              <w:jc w:val="center"/>
            </w:pPr>
            <w:r w:rsidRPr="00E27BBE">
              <w:t>B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E27BBE" w:rsidRDefault="00C31E36" w:rsidP="00C31E36">
            <w:pPr>
              <w:ind w:left="57"/>
              <w:jc w:val="center"/>
            </w:pPr>
            <w:r w:rsidRPr="00E27BBE">
              <w:t>C</w:t>
            </w:r>
          </w:p>
        </w:tc>
      </w:tr>
      <w:tr w:rsidR="00C31E36" w:rsidRPr="00E27BBE" w:rsidTr="00E5285B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spacing w:after="120"/>
              <w:ind w:left="57"/>
            </w:pPr>
            <w:r w:rsidRPr="00E27BBE">
              <w:t>Starptautiskās saistības (pēc būtības), kas izriet no norādītā starptautiskā dokumenta.</w:t>
            </w:r>
          </w:p>
          <w:p w:rsidR="00C31E36" w:rsidRPr="00E27BBE" w:rsidRDefault="00C31E36" w:rsidP="00C31E36">
            <w:pPr>
              <w:ind w:left="57"/>
            </w:pPr>
            <w:r w:rsidRPr="00E27BBE">
              <w:t>Konkrēti veicamie pasākumi vai uzdevumi, kas nepieciešami šo starptautisko saistību izpildei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spacing w:after="120"/>
              <w:ind w:left="57"/>
            </w:pPr>
            <w:r w:rsidRPr="00E27BBE">
              <w:t>Informācija par to, vai starptautiskās saistības, kas minētas šīs tabulas A ailē, tiek izpildītas pilnībā vai daļēji.</w:t>
            </w:r>
          </w:p>
          <w:p w:rsidR="00C31E36" w:rsidRPr="00E27BBE" w:rsidRDefault="00C31E36" w:rsidP="00C31E36">
            <w:pPr>
              <w:spacing w:after="120"/>
              <w:ind w:left="57"/>
            </w:pPr>
            <w:r w:rsidRPr="00E27BBE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C31E36" w:rsidRPr="00E27BBE" w:rsidRDefault="00C31E36" w:rsidP="00C31E36">
            <w:pPr>
              <w:ind w:left="57" w:right="57"/>
            </w:pPr>
            <w:r w:rsidRPr="00E27BBE">
              <w:t xml:space="preserve">Norāda institūciju, kas </w:t>
            </w:r>
            <w:r w:rsidRPr="00E27BBE">
              <w:lastRenderedPageBreak/>
              <w:t>ir atbildīga par šo saistību izpildi pilnībā</w:t>
            </w:r>
          </w:p>
        </w:tc>
      </w:tr>
      <w:tr w:rsidR="00C31E36" w:rsidRPr="00E27BBE" w:rsidTr="00E5285B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FEF" w:rsidRPr="00E27BBE" w:rsidRDefault="002A3602" w:rsidP="006771FE">
            <w:pPr>
              <w:ind w:left="98" w:right="61"/>
            </w:pPr>
            <w:r w:rsidRPr="00E27BBE">
              <w:rPr>
                <w:rFonts w:eastAsia="Arial"/>
                <w:kern w:val="1"/>
              </w:rPr>
              <w:lastRenderedPageBreak/>
              <w:t>Saskaņā ar Konvencijas</w:t>
            </w:r>
            <w:r w:rsidR="00C03206" w:rsidRPr="00E27BBE">
              <w:rPr>
                <w:rFonts w:eastAsia="Arial"/>
                <w:kern w:val="1"/>
              </w:rPr>
              <w:t xml:space="preserve"> </w:t>
            </w:r>
            <w:r w:rsidR="00C03206" w:rsidRPr="00E27BBE">
              <w:t>2</w:t>
            </w:r>
            <w:r w:rsidR="006771FE">
              <w:t>6</w:t>
            </w:r>
            <w:r w:rsidRPr="00E27BBE">
              <w:t>.pant</w:t>
            </w:r>
            <w:r w:rsidR="006771FE">
              <w:t xml:space="preserve">a 4.punkta otro teikumu un ECT Reglamenta 29.punkta 1(a)apakšpunktu, valstīm jāiesniedz trīs līdz piecu </w:t>
            </w:r>
            <w:proofErr w:type="spellStart"/>
            <w:r w:rsidR="006771FE" w:rsidRPr="006771FE">
              <w:rPr>
                <w:i/>
              </w:rPr>
              <w:t>ad</w:t>
            </w:r>
            <w:proofErr w:type="spellEnd"/>
            <w:r w:rsidR="006771FE" w:rsidRPr="006771FE">
              <w:rPr>
                <w:i/>
              </w:rPr>
              <w:t xml:space="preserve"> </w:t>
            </w:r>
            <w:proofErr w:type="spellStart"/>
            <w:r w:rsidR="006771FE" w:rsidRPr="006771FE">
              <w:rPr>
                <w:i/>
              </w:rPr>
              <w:t>hoc</w:t>
            </w:r>
            <w:proofErr w:type="spellEnd"/>
            <w:r w:rsidR="006771FE">
              <w:t xml:space="preserve"> tiesnešu saraksts, no kura ECT priekšsēdētājs </w:t>
            </w:r>
            <w:r w:rsidR="00FA6C9F" w:rsidRPr="00E27BBE">
              <w:t xml:space="preserve"> </w:t>
            </w:r>
            <w:r w:rsidR="006771FE">
              <w:t xml:space="preserve">var izvēlēties </w:t>
            </w:r>
            <w:proofErr w:type="spellStart"/>
            <w:r w:rsidR="006771FE" w:rsidRPr="006771FE">
              <w:rPr>
                <w:i/>
              </w:rPr>
              <w:t>ad</w:t>
            </w:r>
            <w:proofErr w:type="spellEnd"/>
            <w:r w:rsidR="006771FE" w:rsidRPr="006771FE">
              <w:rPr>
                <w:i/>
              </w:rPr>
              <w:t xml:space="preserve"> </w:t>
            </w:r>
            <w:proofErr w:type="spellStart"/>
            <w:r w:rsidR="006771FE" w:rsidRPr="006771FE">
              <w:rPr>
                <w:i/>
              </w:rPr>
              <w:t>hoc</w:t>
            </w:r>
            <w:proofErr w:type="spellEnd"/>
            <w:r w:rsidR="006771FE">
              <w:t xml:space="preserve"> tiesnesi konkrētas lietas izskatīšanai, ja no attiecīgās valsts ievēlētā </w:t>
            </w:r>
            <w:r w:rsidR="005437F0">
              <w:t>tiesneša amats šīs lietas izskatīšanas  laikā ir vakants, vai tiesnesis nevar piedalīties lietas izskatīšanā.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956B2F" w:rsidP="00266927">
            <w:pPr>
              <w:ind w:left="57"/>
            </w:pPr>
            <w:r w:rsidRPr="00E27BBE">
              <w:t>Nav attiecināms.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414E9A" w:rsidP="00461E45">
            <w:pPr>
              <w:ind w:left="57" w:right="42"/>
            </w:pPr>
            <w:r w:rsidRPr="00E27BBE">
              <w:t xml:space="preserve">Pēc </w:t>
            </w:r>
            <w:r>
              <w:t>grozījum</w:t>
            </w:r>
            <w:r w:rsidR="00461E45">
              <w:t>a</w:t>
            </w:r>
            <w:r>
              <w:t xml:space="preserve"> veikšanas rīkojumā</w:t>
            </w:r>
            <w:r w:rsidR="005437F0">
              <w:t xml:space="preserve"> Ārlietu ministrija informēs ECT par Latvijas izvirzīto </w:t>
            </w:r>
            <w:proofErr w:type="spellStart"/>
            <w:r w:rsidR="005437F0" w:rsidRPr="0076766D">
              <w:rPr>
                <w:i/>
              </w:rPr>
              <w:t>ad</w:t>
            </w:r>
            <w:proofErr w:type="spellEnd"/>
            <w:r w:rsidR="005437F0" w:rsidRPr="0076766D">
              <w:rPr>
                <w:i/>
              </w:rPr>
              <w:t xml:space="preserve"> </w:t>
            </w:r>
            <w:proofErr w:type="spellStart"/>
            <w:r w:rsidR="005437F0" w:rsidRPr="0076766D">
              <w:rPr>
                <w:i/>
              </w:rPr>
              <w:t>hoc</w:t>
            </w:r>
            <w:proofErr w:type="spellEnd"/>
            <w:r w:rsidR="005437F0" w:rsidRPr="0076766D">
              <w:rPr>
                <w:i/>
              </w:rPr>
              <w:t xml:space="preserve"> </w:t>
            </w:r>
            <w:r w:rsidR="005437F0">
              <w:t xml:space="preserve">tiesnešu saraksta grozīšanu. Tādējādi tiks pilnībā izpildītas </w:t>
            </w:r>
            <w:proofErr w:type="spellStart"/>
            <w:r w:rsidR="005437F0">
              <w:t>A</w:t>
            </w:r>
            <w:r w:rsidR="008B4000">
              <w:t>.</w:t>
            </w:r>
            <w:r w:rsidR="005437F0">
              <w:t>sadaļā</w:t>
            </w:r>
            <w:proofErr w:type="spellEnd"/>
            <w:r w:rsidR="005437F0">
              <w:t xml:space="preserve"> minētās saistības.</w:t>
            </w:r>
          </w:p>
        </w:tc>
      </w:tr>
      <w:tr w:rsidR="00C31E36" w:rsidRPr="00E27BBE" w:rsidTr="00E5285B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Vai starptautiskajā dokumentā paredzētās saistības nav pretrunā ar jau esošajām Latvijas Republikas starptautiskajām saistībām</w:t>
            </w:r>
          </w:p>
        </w:tc>
        <w:tc>
          <w:tcPr>
            <w:tcW w:w="5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0BF2" w:rsidP="00C03206">
            <w:pPr>
              <w:ind w:left="87"/>
            </w:pPr>
            <w:r w:rsidRPr="00E27BBE">
              <w:t>Nav attiecināms.</w:t>
            </w:r>
          </w:p>
        </w:tc>
      </w:tr>
      <w:tr w:rsidR="00C31E36" w:rsidRPr="00E27BBE" w:rsidTr="00E5285B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1E36" w:rsidP="00C31E36">
            <w:pPr>
              <w:ind w:left="57"/>
            </w:pPr>
            <w:r w:rsidRPr="00E27BBE">
              <w:t>Cita informācija</w:t>
            </w:r>
          </w:p>
        </w:tc>
        <w:tc>
          <w:tcPr>
            <w:tcW w:w="5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E27BBE" w:rsidRDefault="00C30BF2" w:rsidP="00C31E36">
            <w:pPr>
              <w:ind w:left="57"/>
            </w:pPr>
            <w:r w:rsidRPr="00E27BBE">
              <w:t>Nav.</w:t>
            </w:r>
          </w:p>
        </w:tc>
      </w:tr>
    </w:tbl>
    <w:p w:rsidR="0015060C" w:rsidRPr="00E27BBE" w:rsidRDefault="0015060C" w:rsidP="006C4607">
      <w:pPr>
        <w:pStyle w:val="naisf"/>
        <w:spacing w:before="0" w:after="0"/>
      </w:pPr>
    </w:p>
    <w:p w:rsidR="009C5EC7" w:rsidRPr="00E27BBE" w:rsidRDefault="009C5EC7" w:rsidP="006C4607">
      <w:pPr>
        <w:pStyle w:val="naisf"/>
        <w:spacing w:before="0" w:after="0"/>
      </w:pPr>
    </w:p>
    <w:tbl>
      <w:tblPr>
        <w:tblW w:w="970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4588"/>
        <w:gridCol w:w="4739"/>
      </w:tblGrid>
      <w:tr w:rsidR="0023436E" w:rsidRPr="00E27BBE" w:rsidTr="00743522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23436E" w:rsidRPr="00E27BBE" w:rsidRDefault="0023436E" w:rsidP="007D099D">
            <w:pPr>
              <w:pStyle w:val="naisnod"/>
              <w:spacing w:before="0" w:after="0"/>
              <w:ind w:left="57" w:right="57"/>
            </w:pPr>
            <w:r w:rsidRPr="00E27BBE">
              <w:t>VII</w:t>
            </w:r>
            <w:r w:rsidR="000941C5" w:rsidRPr="00E27BBE">
              <w:t>.</w:t>
            </w:r>
            <w:r w:rsidRPr="00E27BBE">
              <w:t xml:space="preserve"> Tiesību akta projekta izpildes nodrošināšana un tās ietekme uz institūcijām</w:t>
            </w:r>
          </w:p>
        </w:tc>
      </w:tr>
      <w:tr w:rsidR="0023436E" w:rsidRPr="00E27BBE" w:rsidTr="00B24213">
        <w:trPr>
          <w:trHeight w:val="356"/>
        </w:trPr>
        <w:tc>
          <w:tcPr>
            <w:tcW w:w="374" w:type="dxa"/>
          </w:tcPr>
          <w:p w:rsidR="0023436E" w:rsidRPr="00E27BBE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E27BBE">
              <w:rPr>
                <w:b w:val="0"/>
              </w:rPr>
              <w:t>1.</w:t>
            </w:r>
          </w:p>
        </w:tc>
        <w:tc>
          <w:tcPr>
            <w:tcW w:w="4588" w:type="dxa"/>
          </w:tcPr>
          <w:p w:rsidR="0023436E" w:rsidRPr="00E27BBE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E27BBE">
              <w:t>P</w:t>
            </w:r>
            <w:r w:rsidR="0023436E" w:rsidRPr="00E27BBE">
              <w:t xml:space="preserve">rojekta izpildē iesaistītās institūcijas </w:t>
            </w:r>
          </w:p>
        </w:tc>
        <w:tc>
          <w:tcPr>
            <w:tcW w:w="4739" w:type="dxa"/>
          </w:tcPr>
          <w:p w:rsidR="0023436E" w:rsidRPr="00E27BBE" w:rsidRDefault="004A0264" w:rsidP="00B24213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E27BBE">
              <w:rPr>
                <w:b w:val="0"/>
              </w:rPr>
              <w:t>Projekta izpildi nodrošinās Ārlietu ministrija sadarbībā ar atbildīgajām institūcijām.</w:t>
            </w:r>
          </w:p>
        </w:tc>
      </w:tr>
      <w:tr w:rsidR="0023436E" w:rsidRPr="00E27BBE" w:rsidTr="00743522">
        <w:trPr>
          <w:trHeight w:val="463"/>
        </w:trPr>
        <w:tc>
          <w:tcPr>
            <w:tcW w:w="374" w:type="dxa"/>
          </w:tcPr>
          <w:p w:rsidR="0023436E" w:rsidRPr="00E27BBE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E27BBE">
              <w:rPr>
                <w:b w:val="0"/>
              </w:rPr>
              <w:t>2.</w:t>
            </w:r>
          </w:p>
        </w:tc>
        <w:tc>
          <w:tcPr>
            <w:tcW w:w="4588" w:type="dxa"/>
          </w:tcPr>
          <w:p w:rsidR="00743522" w:rsidRPr="00E27BBE" w:rsidRDefault="001A4066" w:rsidP="00743522">
            <w:pPr>
              <w:pStyle w:val="naisf"/>
              <w:spacing w:before="0" w:after="0"/>
              <w:ind w:left="57" w:right="57" w:firstLine="0"/>
              <w:jc w:val="left"/>
            </w:pPr>
            <w:r w:rsidRPr="00E27BBE">
              <w:t>Projekta i</w:t>
            </w:r>
            <w:r w:rsidR="0023436E" w:rsidRPr="00E27BBE">
              <w:t xml:space="preserve">zpildes ietekme uz pārvaldes funkcijām </w:t>
            </w:r>
            <w:r w:rsidR="00743522" w:rsidRPr="00E27BBE">
              <w:t xml:space="preserve">un institucionālo struktūru. </w:t>
            </w:r>
          </w:p>
          <w:p w:rsidR="0023436E" w:rsidRPr="00E27BBE" w:rsidRDefault="00743522" w:rsidP="00743522">
            <w:pPr>
              <w:pStyle w:val="naisf"/>
              <w:spacing w:before="0" w:after="0"/>
              <w:ind w:left="57" w:right="57" w:firstLine="0"/>
              <w:jc w:val="left"/>
            </w:pPr>
            <w:r w:rsidRPr="00E27BBE">
              <w:t>Jaunu institūciju izveide, esošu institūciju likvidācija vai reorganizācija, to ietekme uz institūcijas cilvēkresursiem</w:t>
            </w:r>
          </w:p>
        </w:tc>
        <w:tc>
          <w:tcPr>
            <w:tcW w:w="4739" w:type="dxa"/>
          </w:tcPr>
          <w:p w:rsidR="00B24213" w:rsidRPr="00E27BBE" w:rsidRDefault="00B24213" w:rsidP="00743522">
            <w:pPr>
              <w:pStyle w:val="naisnod"/>
              <w:spacing w:before="0" w:after="0"/>
              <w:ind w:right="57"/>
              <w:jc w:val="left"/>
              <w:rPr>
                <w:b w:val="0"/>
                <w:iCs/>
              </w:rPr>
            </w:pP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E27BBE">
                <w:rPr>
                  <w:b w:val="0"/>
                  <w:iCs/>
                </w:rPr>
                <w:t>Rīkojuma</w:t>
              </w:r>
            </w:smartTag>
            <w:r w:rsidRPr="00E27BBE">
              <w:rPr>
                <w:b w:val="0"/>
                <w:iCs/>
              </w:rPr>
              <w:t xml:space="preserve"> projektā noteiktās funkcijas tiks īstenotas institūciju esošo kompetenču ietvaros.</w:t>
            </w:r>
          </w:p>
          <w:p w:rsidR="0023436E" w:rsidRPr="00E27BBE" w:rsidRDefault="0023436E" w:rsidP="00743522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</w:p>
        </w:tc>
      </w:tr>
      <w:tr w:rsidR="00956B2F" w:rsidRPr="00E27BBE" w:rsidTr="00743522">
        <w:trPr>
          <w:trHeight w:val="374"/>
        </w:trPr>
        <w:tc>
          <w:tcPr>
            <w:tcW w:w="374" w:type="dxa"/>
          </w:tcPr>
          <w:p w:rsidR="00956B2F" w:rsidRPr="00E27BBE" w:rsidRDefault="00743522" w:rsidP="007D099D">
            <w:pPr>
              <w:pStyle w:val="naiskr"/>
              <w:spacing w:before="0" w:after="0"/>
              <w:ind w:left="57" w:right="57"/>
            </w:pPr>
            <w:r w:rsidRPr="00E27BBE">
              <w:t>3</w:t>
            </w:r>
            <w:r w:rsidR="00956B2F" w:rsidRPr="00E27BBE">
              <w:t>.</w:t>
            </w:r>
          </w:p>
        </w:tc>
        <w:tc>
          <w:tcPr>
            <w:tcW w:w="4588" w:type="dxa"/>
          </w:tcPr>
          <w:p w:rsidR="00956B2F" w:rsidRPr="00E27BBE" w:rsidRDefault="00956B2F" w:rsidP="007D099D">
            <w:pPr>
              <w:pStyle w:val="naiskr"/>
              <w:spacing w:before="0" w:after="0"/>
              <w:ind w:left="57" w:right="57"/>
            </w:pPr>
            <w:r w:rsidRPr="00E27BBE">
              <w:t>Cita informācija</w:t>
            </w:r>
          </w:p>
        </w:tc>
        <w:tc>
          <w:tcPr>
            <w:tcW w:w="4739" w:type="dxa"/>
          </w:tcPr>
          <w:p w:rsidR="00956B2F" w:rsidRPr="00E27BBE" w:rsidRDefault="00956B2F">
            <w:r w:rsidRPr="00E27BBE">
              <w:rPr>
                <w:iCs/>
              </w:rPr>
              <w:t>Nav.</w:t>
            </w:r>
          </w:p>
        </w:tc>
      </w:tr>
    </w:tbl>
    <w:p w:rsidR="00214094" w:rsidRPr="00E27BBE" w:rsidRDefault="00214094" w:rsidP="00904284">
      <w:pPr>
        <w:pStyle w:val="naisf"/>
        <w:tabs>
          <w:tab w:val="left" w:pos="5760"/>
        </w:tabs>
        <w:spacing w:before="0" w:after="0"/>
        <w:ind w:firstLine="0"/>
      </w:pPr>
    </w:p>
    <w:p w:rsidR="00A65FAB" w:rsidRDefault="00A65FAB" w:rsidP="00A65FAB">
      <w:pPr>
        <w:pStyle w:val="naisf"/>
        <w:spacing w:before="0" w:after="0"/>
        <w:jc w:val="center"/>
        <w:rPr>
          <w:iCs/>
        </w:rPr>
      </w:pPr>
      <w:r w:rsidRPr="00E27BBE">
        <w:rPr>
          <w:iCs/>
        </w:rPr>
        <w:t>Anotācijas II, III, IV un VI sadaļa – projekts šīs jomas neskar.</w:t>
      </w:r>
    </w:p>
    <w:p w:rsidR="00A65FAB" w:rsidRDefault="00A65FAB" w:rsidP="00A65FAB">
      <w:pPr>
        <w:pStyle w:val="naisf"/>
        <w:spacing w:before="0" w:after="0"/>
        <w:jc w:val="center"/>
        <w:rPr>
          <w:iCs/>
        </w:rPr>
      </w:pPr>
    </w:p>
    <w:p w:rsidR="00A65FAB" w:rsidRDefault="00A65FAB" w:rsidP="00A65FAB">
      <w:pPr>
        <w:pStyle w:val="naisf"/>
        <w:spacing w:before="0" w:after="0"/>
        <w:jc w:val="center"/>
        <w:rPr>
          <w:b/>
        </w:rPr>
      </w:pPr>
    </w:p>
    <w:p w:rsidR="008B4000" w:rsidRPr="00E27BBE" w:rsidRDefault="008B4000" w:rsidP="00A65FAB">
      <w:pPr>
        <w:pStyle w:val="naisf"/>
        <w:spacing w:before="0" w:after="0"/>
        <w:jc w:val="center"/>
        <w:rPr>
          <w:b/>
        </w:rPr>
      </w:pPr>
    </w:p>
    <w:p w:rsidR="00A65FAB" w:rsidRDefault="00A65FAB" w:rsidP="00956B2F">
      <w:pPr>
        <w:rPr>
          <w:iCs/>
        </w:rPr>
      </w:pPr>
    </w:p>
    <w:p w:rsidR="00956B2F" w:rsidRPr="00B576A7" w:rsidRDefault="00956B2F" w:rsidP="00956B2F">
      <w:pPr>
        <w:rPr>
          <w:iCs/>
        </w:rPr>
      </w:pPr>
      <w:r w:rsidRPr="00E27BBE">
        <w:rPr>
          <w:iCs/>
        </w:rPr>
        <w:t xml:space="preserve">Ārlietu </w:t>
      </w:r>
      <w:r w:rsidRPr="00B576A7">
        <w:rPr>
          <w:iCs/>
        </w:rPr>
        <w:t>ministr</w:t>
      </w:r>
      <w:r w:rsidR="001B1F75" w:rsidRPr="00B576A7">
        <w:rPr>
          <w:iCs/>
        </w:rPr>
        <w:t xml:space="preserve">a </w:t>
      </w:r>
      <w:proofErr w:type="spellStart"/>
      <w:r w:rsidR="001B1F75" w:rsidRPr="00B576A7">
        <w:rPr>
          <w:iCs/>
        </w:rPr>
        <w:t>p.i</w:t>
      </w:r>
      <w:proofErr w:type="spellEnd"/>
      <w:r w:rsidR="001B1F75" w:rsidRPr="00B576A7">
        <w:rPr>
          <w:iCs/>
        </w:rPr>
        <w:t>.</w:t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="00E6433B" w:rsidRPr="00B576A7">
        <w:rPr>
          <w:iCs/>
        </w:rPr>
        <w:tab/>
      </w:r>
      <w:r w:rsidR="001B1F75" w:rsidRPr="00B576A7">
        <w:rPr>
          <w:iCs/>
        </w:rPr>
        <w:t>J.Reirs</w:t>
      </w:r>
    </w:p>
    <w:p w:rsidR="00956B2F" w:rsidRPr="00B576A7" w:rsidRDefault="00956B2F" w:rsidP="00956B2F">
      <w:pPr>
        <w:rPr>
          <w:iCs/>
        </w:rPr>
      </w:pPr>
    </w:p>
    <w:p w:rsidR="005D1DE4" w:rsidRPr="00B576A7" w:rsidRDefault="005D1DE4" w:rsidP="006C2EF4">
      <w:pPr>
        <w:jc w:val="center"/>
        <w:rPr>
          <w:iCs/>
        </w:rPr>
      </w:pPr>
    </w:p>
    <w:p w:rsidR="005D1DE4" w:rsidRPr="00B576A7" w:rsidRDefault="005D1DE4" w:rsidP="00956B2F">
      <w:pPr>
        <w:rPr>
          <w:iCs/>
        </w:rPr>
      </w:pPr>
    </w:p>
    <w:p w:rsidR="00956B2F" w:rsidRPr="00E27BBE" w:rsidRDefault="00956B2F" w:rsidP="00956B2F">
      <w:pPr>
        <w:rPr>
          <w:iCs/>
        </w:rPr>
      </w:pPr>
      <w:r w:rsidRPr="00B576A7">
        <w:rPr>
          <w:iCs/>
        </w:rPr>
        <w:t>Vīzē: valsts sekretār</w:t>
      </w:r>
      <w:r w:rsidR="00B576A7" w:rsidRPr="00B576A7">
        <w:rPr>
          <w:iCs/>
        </w:rPr>
        <w:t>s</w:t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Pr="00B576A7">
        <w:rPr>
          <w:iCs/>
        </w:rPr>
        <w:tab/>
      </w:r>
      <w:r w:rsidR="002F02BF" w:rsidRPr="00B576A7">
        <w:rPr>
          <w:iCs/>
        </w:rPr>
        <w:tab/>
      </w:r>
      <w:r w:rsidR="00E6433B" w:rsidRPr="00B576A7">
        <w:rPr>
          <w:iCs/>
        </w:rPr>
        <w:tab/>
      </w:r>
      <w:proofErr w:type="gramStart"/>
      <w:r w:rsidR="00745B2A" w:rsidRPr="00B576A7">
        <w:rPr>
          <w:iCs/>
        </w:rPr>
        <w:t xml:space="preserve">   </w:t>
      </w:r>
      <w:proofErr w:type="gramEnd"/>
      <w:r w:rsidR="00B576A7" w:rsidRPr="00B576A7">
        <w:rPr>
          <w:iCs/>
        </w:rPr>
        <w:tab/>
        <w:t>A.Pildegovičs</w:t>
      </w:r>
    </w:p>
    <w:p w:rsidR="005D1DE4" w:rsidRPr="00E27BBE" w:rsidRDefault="005D1DE4" w:rsidP="005D1DE4">
      <w:pPr>
        <w:rPr>
          <w:sz w:val="20"/>
          <w:szCs w:val="20"/>
        </w:rPr>
      </w:pPr>
    </w:p>
    <w:p w:rsidR="009C5EC7" w:rsidRPr="00E27BBE" w:rsidRDefault="009C5EC7" w:rsidP="005D1DE4">
      <w:pPr>
        <w:rPr>
          <w:sz w:val="20"/>
          <w:szCs w:val="20"/>
        </w:rPr>
      </w:pPr>
    </w:p>
    <w:p w:rsidR="001411B9" w:rsidRPr="00B576A7" w:rsidRDefault="001B1F75" w:rsidP="005D1D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576A7">
        <w:rPr>
          <w:sz w:val="20"/>
          <w:szCs w:val="20"/>
        </w:rPr>
        <w:t>6</w:t>
      </w:r>
      <w:r w:rsidR="001411B9" w:rsidRPr="006C2EF4">
        <w:rPr>
          <w:sz w:val="20"/>
          <w:szCs w:val="20"/>
        </w:rPr>
        <w:t>.</w:t>
      </w:r>
      <w:bookmarkStart w:id="0" w:name="_GoBack"/>
      <w:bookmarkEnd w:id="0"/>
      <w:r w:rsidR="00461E45" w:rsidRPr="00B576A7">
        <w:rPr>
          <w:sz w:val="20"/>
          <w:szCs w:val="20"/>
        </w:rPr>
        <w:t>12</w:t>
      </w:r>
      <w:r w:rsidR="001411B9" w:rsidRPr="00B576A7">
        <w:rPr>
          <w:sz w:val="20"/>
          <w:szCs w:val="20"/>
        </w:rPr>
        <w:t>.201</w:t>
      </w:r>
      <w:r w:rsidR="00493EA0" w:rsidRPr="00B576A7">
        <w:rPr>
          <w:sz w:val="20"/>
          <w:szCs w:val="20"/>
        </w:rPr>
        <w:t>5</w:t>
      </w:r>
    </w:p>
    <w:p w:rsidR="005D1DE4" w:rsidRPr="00B576A7" w:rsidRDefault="00414E9A" w:rsidP="005D1DE4">
      <w:pPr>
        <w:rPr>
          <w:sz w:val="20"/>
          <w:szCs w:val="20"/>
        </w:rPr>
      </w:pPr>
      <w:r w:rsidRPr="00B576A7">
        <w:rPr>
          <w:sz w:val="20"/>
          <w:szCs w:val="20"/>
        </w:rPr>
        <w:t>7</w:t>
      </w:r>
      <w:r w:rsidR="00B77EE9" w:rsidRPr="00B576A7">
        <w:rPr>
          <w:sz w:val="20"/>
          <w:szCs w:val="20"/>
        </w:rPr>
        <w:t>24</w:t>
      </w:r>
    </w:p>
    <w:p w:rsidR="005D1DE4" w:rsidRPr="00B576A7" w:rsidRDefault="00043AB8" w:rsidP="005D1DE4">
      <w:pPr>
        <w:rPr>
          <w:sz w:val="20"/>
          <w:szCs w:val="20"/>
        </w:rPr>
      </w:pPr>
      <w:proofErr w:type="spellStart"/>
      <w:r w:rsidRPr="00B576A7">
        <w:rPr>
          <w:sz w:val="20"/>
          <w:szCs w:val="20"/>
        </w:rPr>
        <w:t>R.Rūse</w:t>
      </w:r>
      <w:r w:rsidR="00493EA0" w:rsidRPr="00B576A7">
        <w:rPr>
          <w:sz w:val="20"/>
          <w:szCs w:val="20"/>
        </w:rPr>
        <w:t>-Auziņa</w:t>
      </w:r>
      <w:proofErr w:type="spellEnd"/>
    </w:p>
    <w:p w:rsidR="00043AB8" w:rsidRPr="006C2EF4" w:rsidRDefault="005D1DE4" w:rsidP="005D1DE4">
      <w:pPr>
        <w:rPr>
          <w:sz w:val="20"/>
          <w:szCs w:val="20"/>
        </w:rPr>
      </w:pPr>
      <w:r w:rsidRPr="00B576A7">
        <w:rPr>
          <w:sz w:val="20"/>
          <w:szCs w:val="20"/>
        </w:rPr>
        <w:t>67016</w:t>
      </w:r>
      <w:r w:rsidR="00043AB8" w:rsidRPr="00B576A7">
        <w:rPr>
          <w:sz w:val="20"/>
          <w:szCs w:val="20"/>
        </w:rPr>
        <w:t>301</w:t>
      </w:r>
    </w:p>
    <w:p w:rsidR="005D1DE4" w:rsidRPr="006C2EF4" w:rsidRDefault="00B576A7" w:rsidP="005D1DE4">
      <w:pPr>
        <w:rPr>
          <w:sz w:val="20"/>
          <w:szCs w:val="20"/>
        </w:rPr>
      </w:pPr>
      <w:hyperlink r:id="rId8" w:history="1">
        <w:r w:rsidR="00493EA0" w:rsidRPr="006C2EF4">
          <w:rPr>
            <w:rStyle w:val="Hyperlink"/>
            <w:sz w:val="20"/>
            <w:szCs w:val="20"/>
          </w:rPr>
          <w:t>renate.ruse@mfa.gov.lv</w:t>
        </w:r>
      </w:hyperlink>
      <w:r w:rsidR="00493EA0" w:rsidRPr="006C2EF4">
        <w:rPr>
          <w:sz w:val="20"/>
          <w:szCs w:val="20"/>
        </w:rPr>
        <w:t xml:space="preserve"> </w:t>
      </w:r>
    </w:p>
    <w:p w:rsidR="009C5EC7" w:rsidRPr="00E27BBE" w:rsidRDefault="009C5EC7" w:rsidP="005D1DE4">
      <w:pPr>
        <w:rPr>
          <w:sz w:val="20"/>
          <w:szCs w:val="20"/>
        </w:rPr>
      </w:pPr>
    </w:p>
    <w:sectPr w:rsidR="009C5EC7" w:rsidRPr="00E27BBE" w:rsidSect="00C31E3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0" w:rsidRDefault="00C74130">
      <w:r>
        <w:separator/>
      </w:r>
    </w:p>
  </w:endnote>
  <w:endnote w:type="continuationSeparator" w:id="0">
    <w:p w:rsidR="00C74130" w:rsidRDefault="00C7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5" w:rsidRPr="00493EA0" w:rsidRDefault="00493EA0" w:rsidP="00493EA0">
    <w:pPr>
      <w:pStyle w:val="naislab"/>
      <w:spacing w:before="0" w:after="0"/>
      <w:jc w:val="both"/>
      <w:outlineLvl w:val="0"/>
      <w:rPr>
        <w:sz w:val="20"/>
        <w:szCs w:val="20"/>
      </w:rPr>
    </w:pPr>
    <w:r w:rsidRPr="00CA740B">
      <w:rPr>
        <w:sz w:val="20"/>
        <w:szCs w:val="20"/>
      </w:rPr>
      <w:t>AManot_</w:t>
    </w:r>
    <w:r w:rsidR="001B1F75">
      <w:rPr>
        <w:sz w:val="20"/>
        <w:szCs w:val="20"/>
      </w:rPr>
      <w:t>1</w:t>
    </w:r>
    <w:r w:rsidR="00B576A7">
      <w:rPr>
        <w:sz w:val="20"/>
        <w:szCs w:val="20"/>
      </w:rPr>
      <w:t>6</w:t>
    </w:r>
    <w:r w:rsidR="00461E45">
      <w:rPr>
        <w:sz w:val="20"/>
        <w:szCs w:val="20"/>
      </w:rPr>
      <w:t>12</w:t>
    </w:r>
    <w:r w:rsidRPr="00CA740B">
      <w:rPr>
        <w:sz w:val="20"/>
        <w:szCs w:val="20"/>
      </w:rPr>
      <w:t>2015_ MK rīkojuma projekta „</w:t>
    </w:r>
    <w:r w:rsidRPr="00CA740B">
      <w:rPr>
        <w:i/>
        <w:sz w:val="20"/>
        <w:szCs w:val="20"/>
        <w:lang w:val="nl-NL"/>
      </w:rPr>
      <w:t>Grozījum</w:t>
    </w:r>
    <w:r w:rsidR="00461E45">
      <w:rPr>
        <w:i/>
        <w:sz w:val="20"/>
        <w:szCs w:val="20"/>
        <w:lang w:val="nl-NL"/>
      </w:rPr>
      <w:t xml:space="preserve">s </w:t>
    </w:r>
    <w:r w:rsidRPr="00CA740B">
      <w:rPr>
        <w:i/>
        <w:sz w:val="20"/>
        <w:szCs w:val="20"/>
        <w:lang w:val="nl-NL"/>
      </w:rPr>
      <w:t xml:space="preserve">Ministru kabineta </w:t>
    </w:r>
    <w:proofErr w:type="gramStart"/>
    <w:r w:rsidRPr="00CA740B">
      <w:rPr>
        <w:i/>
        <w:sz w:val="20"/>
        <w:szCs w:val="20"/>
        <w:lang w:val="nl-NL"/>
      </w:rPr>
      <w:t>2012.gada</w:t>
    </w:r>
    <w:proofErr w:type="gramEnd"/>
    <w:r w:rsidRPr="00CA740B">
      <w:rPr>
        <w:i/>
        <w:sz w:val="20"/>
        <w:szCs w:val="20"/>
        <w:lang w:val="nl-NL"/>
      </w:rPr>
      <w:t xml:space="preserve"> 15.marta rīkojumā Nr.131 “Par Latvijas</w:t>
    </w:r>
    <w:r w:rsidRPr="00493EA0">
      <w:rPr>
        <w:i/>
        <w:sz w:val="20"/>
        <w:szCs w:val="20"/>
        <w:lang w:val="nl-NL"/>
      </w:rPr>
      <w:t xml:space="preserve"> izvirzīto ad hoc tiesnešu sarakstu un Paskaidrojošo rakstu Eiropas</w:t>
    </w:r>
    <w:r>
      <w:rPr>
        <w:i/>
        <w:sz w:val="20"/>
        <w:szCs w:val="20"/>
        <w:lang w:val="nl-NL"/>
      </w:rPr>
      <w:t xml:space="preserve"> Cilvēktiesību tiesai</w:t>
    </w:r>
    <w:r w:rsidRPr="00493EA0">
      <w:rPr>
        <w:sz w:val="20"/>
        <w:szCs w:val="20"/>
        <w:lang w:val="nl-NL"/>
      </w:rPr>
      <w:t>”</w:t>
    </w:r>
    <w:r w:rsidRPr="00493EA0">
      <w:rPr>
        <w:bCs/>
        <w:sz w:val="20"/>
        <w:szCs w:val="20"/>
      </w:rPr>
      <w:t>”</w:t>
    </w:r>
    <w:r w:rsidRPr="00493EA0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493EA0">
        <w:rPr>
          <w:sz w:val="20"/>
          <w:szCs w:val="20"/>
        </w:rPr>
        <w:t>ziņojums</w:t>
      </w:r>
    </w:smartTag>
    <w:r w:rsidRPr="00493EA0">
      <w:rPr>
        <w:sz w:val="20"/>
        <w:szCs w:val="20"/>
      </w:rPr>
      <w:t xml:space="preserve"> (anotācija)</w:t>
    </w:r>
    <w:r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5" w:rsidRPr="005A75A7" w:rsidRDefault="00CB3495" w:rsidP="00222E9C">
    <w:pPr>
      <w:pStyle w:val="naislab"/>
      <w:spacing w:before="0" w:after="0"/>
      <w:jc w:val="both"/>
      <w:outlineLvl w:val="0"/>
      <w:rPr>
        <w:sz w:val="20"/>
        <w:szCs w:val="20"/>
      </w:rPr>
    </w:pPr>
    <w:r w:rsidRPr="00592F21">
      <w:rPr>
        <w:sz w:val="20"/>
        <w:szCs w:val="20"/>
      </w:rPr>
      <w:t>A</w:t>
    </w:r>
    <w:r w:rsidR="00360C95" w:rsidRPr="00592F21">
      <w:rPr>
        <w:sz w:val="20"/>
        <w:szCs w:val="20"/>
      </w:rPr>
      <w:t>M</w:t>
    </w:r>
    <w:r w:rsidR="00A90698" w:rsidRPr="00592F21">
      <w:rPr>
        <w:sz w:val="20"/>
        <w:szCs w:val="20"/>
      </w:rPr>
      <w:t>a</w:t>
    </w:r>
    <w:r w:rsidRPr="00592F21">
      <w:rPr>
        <w:sz w:val="20"/>
        <w:szCs w:val="20"/>
      </w:rPr>
      <w:t>not_</w:t>
    </w:r>
    <w:r w:rsidR="001B1F75">
      <w:rPr>
        <w:sz w:val="20"/>
        <w:szCs w:val="20"/>
      </w:rPr>
      <w:t>1</w:t>
    </w:r>
    <w:r w:rsidR="00B576A7">
      <w:rPr>
        <w:sz w:val="20"/>
        <w:szCs w:val="20"/>
      </w:rPr>
      <w:t>6</w:t>
    </w:r>
    <w:r w:rsidR="00461E45">
      <w:rPr>
        <w:sz w:val="20"/>
        <w:szCs w:val="20"/>
      </w:rPr>
      <w:t>12</w:t>
    </w:r>
    <w:r w:rsidR="00493EA0" w:rsidRPr="00592F21">
      <w:rPr>
        <w:sz w:val="20"/>
        <w:szCs w:val="20"/>
      </w:rPr>
      <w:t>2015</w:t>
    </w:r>
    <w:r w:rsidRPr="00493EA0">
      <w:rPr>
        <w:sz w:val="20"/>
        <w:szCs w:val="20"/>
      </w:rPr>
      <w:t xml:space="preserve">_ </w:t>
    </w:r>
    <w:r w:rsidR="00493EA0" w:rsidRPr="00493EA0">
      <w:rPr>
        <w:sz w:val="20"/>
        <w:szCs w:val="20"/>
      </w:rPr>
      <w:t>MK</w:t>
    </w:r>
    <w:r w:rsidRPr="00493EA0">
      <w:rPr>
        <w:sz w:val="20"/>
        <w:szCs w:val="20"/>
      </w:rPr>
      <w:t xml:space="preserve"> rīkojuma projekta </w:t>
    </w:r>
    <w:r w:rsidR="00493EA0" w:rsidRPr="00493EA0">
      <w:rPr>
        <w:sz w:val="20"/>
        <w:szCs w:val="20"/>
      </w:rPr>
      <w:t>„</w:t>
    </w:r>
    <w:r w:rsidR="00493EA0" w:rsidRPr="00493EA0">
      <w:rPr>
        <w:i/>
        <w:sz w:val="20"/>
        <w:szCs w:val="20"/>
        <w:lang w:val="nl-NL"/>
      </w:rPr>
      <w:t>Grozījum</w:t>
    </w:r>
    <w:r w:rsidR="00461E45">
      <w:rPr>
        <w:i/>
        <w:sz w:val="20"/>
        <w:szCs w:val="20"/>
        <w:lang w:val="nl-NL"/>
      </w:rPr>
      <w:t xml:space="preserve">s </w:t>
    </w:r>
    <w:r w:rsidR="00493EA0" w:rsidRPr="00493EA0">
      <w:rPr>
        <w:i/>
        <w:sz w:val="20"/>
        <w:szCs w:val="20"/>
        <w:lang w:val="nl-NL"/>
      </w:rPr>
      <w:t xml:space="preserve">Ministru kabineta </w:t>
    </w:r>
    <w:proofErr w:type="gramStart"/>
    <w:r w:rsidR="00493EA0" w:rsidRPr="00493EA0">
      <w:rPr>
        <w:i/>
        <w:sz w:val="20"/>
        <w:szCs w:val="20"/>
        <w:lang w:val="nl-NL"/>
      </w:rPr>
      <w:t>2012.gada</w:t>
    </w:r>
    <w:proofErr w:type="gramEnd"/>
    <w:r w:rsidR="00493EA0" w:rsidRPr="00493EA0">
      <w:rPr>
        <w:i/>
        <w:sz w:val="20"/>
        <w:szCs w:val="20"/>
        <w:lang w:val="nl-NL"/>
      </w:rPr>
      <w:t xml:space="preserve"> 15.marta rīkojumā Nr.131 “Par Latvijas izvirzīto ad hoc tiesnešu sarakstu un Paskaidrojošo rakstu Eiropas</w:t>
    </w:r>
    <w:r w:rsidR="00493EA0">
      <w:rPr>
        <w:i/>
        <w:sz w:val="20"/>
        <w:szCs w:val="20"/>
        <w:lang w:val="nl-NL"/>
      </w:rPr>
      <w:t xml:space="preserve"> Cilvēktiesību tiesai</w:t>
    </w:r>
    <w:r w:rsidR="00493EA0" w:rsidRPr="00493EA0">
      <w:rPr>
        <w:sz w:val="20"/>
        <w:szCs w:val="20"/>
        <w:lang w:val="nl-NL"/>
      </w:rPr>
      <w:t>”</w:t>
    </w:r>
    <w:r w:rsidR="00493EA0" w:rsidRPr="00493EA0">
      <w:rPr>
        <w:bCs/>
        <w:sz w:val="20"/>
        <w:szCs w:val="20"/>
      </w:rPr>
      <w:t>”</w:t>
    </w:r>
    <w:r w:rsidR="00493EA0" w:rsidRPr="00493EA0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493EA0" w:rsidRPr="00493EA0">
        <w:rPr>
          <w:sz w:val="20"/>
          <w:szCs w:val="20"/>
        </w:rPr>
        <w:t>ziņojums</w:t>
      </w:r>
    </w:smartTag>
    <w:r w:rsidR="00493EA0" w:rsidRPr="00493EA0">
      <w:rPr>
        <w:sz w:val="20"/>
        <w:szCs w:val="20"/>
      </w:rPr>
      <w:t xml:space="preserve"> (anotācija)</w:t>
    </w:r>
    <w:r w:rsidR="00493EA0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0" w:rsidRDefault="00C74130">
      <w:r>
        <w:separator/>
      </w:r>
    </w:p>
  </w:footnote>
  <w:footnote w:type="continuationSeparator" w:id="0">
    <w:p w:rsidR="00C74130" w:rsidRDefault="00C7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5" w:rsidRDefault="00CB349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495" w:rsidRDefault="00CB3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5" w:rsidRDefault="00CB349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6A7">
      <w:rPr>
        <w:rStyle w:val="PageNumber"/>
        <w:noProof/>
      </w:rPr>
      <w:t>3</w:t>
    </w:r>
    <w:r>
      <w:rPr>
        <w:rStyle w:val="PageNumber"/>
      </w:rPr>
      <w:fldChar w:fldCharType="end"/>
    </w:r>
  </w:p>
  <w:p w:rsidR="00CB3495" w:rsidRDefault="00CB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DFE7DAD"/>
    <w:multiLevelType w:val="hybridMultilevel"/>
    <w:tmpl w:val="38C68844"/>
    <w:lvl w:ilvl="0" w:tplc="04260011">
      <w:start w:val="1"/>
      <w:numFmt w:val="decimal"/>
      <w:lvlText w:val="%1)"/>
      <w:lvlJc w:val="left"/>
      <w:pPr>
        <w:ind w:left="790" w:hanging="360"/>
      </w:pPr>
    </w:lvl>
    <w:lvl w:ilvl="1" w:tplc="04260019" w:tentative="1">
      <w:start w:val="1"/>
      <w:numFmt w:val="lowerLetter"/>
      <w:lvlText w:val="%2."/>
      <w:lvlJc w:val="left"/>
      <w:pPr>
        <w:ind w:left="1510" w:hanging="360"/>
      </w:pPr>
    </w:lvl>
    <w:lvl w:ilvl="2" w:tplc="0426001B" w:tentative="1">
      <w:start w:val="1"/>
      <w:numFmt w:val="lowerRoman"/>
      <w:lvlText w:val="%3."/>
      <w:lvlJc w:val="right"/>
      <w:pPr>
        <w:ind w:left="2230" w:hanging="180"/>
      </w:pPr>
    </w:lvl>
    <w:lvl w:ilvl="3" w:tplc="0426000F" w:tentative="1">
      <w:start w:val="1"/>
      <w:numFmt w:val="decimal"/>
      <w:lvlText w:val="%4."/>
      <w:lvlJc w:val="left"/>
      <w:pPr>
        <w:ind w:left="2950" w:hanging="360"/>
      </w:pPr>
    </w:lvl>
    <w:lvl w:ilvl="4" w:tplc="04260019" w:tentative="1">
      <w:start w:val="1"/>
      <w:numFmt w:val="lowerLetter"/>
      <w:lvlText w:val="%5."/>
      <w:lvlJc w:val="left"/>
      <w:pPr>
        <w:ind w:left="3670" w:hanging="360"/>
      </w:pPr>
    </w:lvl>
    <w:lvl w:ilvl="5" w:tplc="0426001B" w:tentative="1">
      <w:start w:val="1"/>
      <w:numFmt w:val="lowerRoman"/>
      <w:lvlText w:val="%6."/>
      <w:lvlJc w:val="right"/>
      <w:pPr>
        <w:ind w:left="4390" w:hanging="180"/>
      </w:pPr>
    </w:lvl>
    <w:lvl w:ilvl="6" w:tplc="0426000F" w:tentative="1">
      <w:start w:val="1"/>
      <w:numFmt w:val="decimal"/>
      <w:lvlText w:val="%7."/>
      <w:lvlJc w:val="left"/>
      <w:pPr>
        <w:ind w:left="5110" w:hanging="360"/>
      </w:pPr>
    </w:lvl>
    <w:lvl w:ilvl="7" w:tplc="04260019" w:tentative="1">
      <w:start w:val="1"/>
      <w:numFmt w:val="lowerLetter"/>
      <w:lvlText w:val="%8."/>
      <w:lvlJc w:val="left"/>
      <w:pPr>
        <w:ind w:left="5830" w:hanging="360"/>
      </w:pPr>
    </w:lvl>
    <w:lvl w:ilvl="8" w:tplc="042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F51"/>
    <w:rsid w:val="00001C58"/>
    <w:rsid w:val="00011D24"/>
    <w:rsid w:val="00013FF4"/>
    <w:rsid w:val="00014770"/>
    <w:rsid w:val="00020FE1"/>
    <w:rsid w:val="00022E13"/>
    <w:rsid w:val="00032388"/>
    <w:rsid w:val="00035CE2"/>
    <w:rsid w:val="00043AB8"/>
    <w:rsid w:val="00044ECA"/>
    <w:rsid w:val="000458E9"/>
    <w:rsid w:val="0005553B"/>
    <w:rsid w:val="000604D2"/>
    <w:rsid w:val="0009005E"/>
    <w:rsid w:val="000941C5"/>
    <w:rsid w:val="00097725"/>
    <w:rsid w:val="000A40F6"/>
    <w:rsid w:val="000A6451"/>
    <w:rsid w:val="000B064E"/>
    <w:rsid w:val="000B69CF"/>
    <w:rsid w:val="000C790C"/>
    <w:rsid w:val="000F061D"/>
    <w:rsid w:val="000F4794"/>
    <w:rsid w:val="00101E26"/>
    <w:rsid w:val="00117DBD"/>
    <w:rsid w:val="00121277"/>
    <w:rsid w:val="00124D47"/>
    <w:rsid w:val="00124F12"/>
    <w:rsid w:val="001411B9"/>
    <w:rsid w:val="00144E3A"/>
    <w:rsid w:val="00150401"/>
    <w:rsid w:val="0015060C"/>
    <w:rsid w:val="001507CF"/>
    <w:rsid w:val="0016018A"/>
    <w:rsid w:val="00161F0E"/>
    <w:rsid w:val="00163C79"/>
    <w:rsid w:val="00170E2A"/>
    <w:rsid w:val="00171C2F"/>
    <w:rsid w:val="00177394"/>
    <w:rsid w:val="00182C18"/>
    <w:rsid w:val="00183CC2"/>
    <w:rsid w:val="00185048"/>
    <w:rsid w:val="001900E4"/>
    <w:rsid w:val="00190F88"/>
    <w:rsid w:val="001A29C1"/>
    <w:rsid w:val="001A4066"/>
    <w:rsid w:val="001A5D08"/>
    <w:rsid w:val="001A693C"/>
    <w:rsid w:val="001A6AE4"/>
    <w:rsid w:val="001B01FD"/>
    <w:rsid w:val="001B1F75"/>
    <w:rsid w:val="001B2FB9"/>
    <w:rsid w:val="001B4A71"/>
    <w:rsid w:val="001C08DC"/>
    <w:rsid w:val="001D06FF"/>
    <w:rsid w:val="001D5B54"/>
    <w:rsid w:val="001E1DBF"/>
    <w:rsid w:val="001E4639"/>
    <w:rsid w:val="001E4A7D"/>
    <w:rsid w:val="001E6BEC"/>
    <w:rsid w:val="001F4209"/>
    <w:rsid w:val="001F43A8"/>
    <w:rsid w:val="001F5CD6"/>
    <w:rsid w:val="00207156"/>
    <w:rsid w:val="0021263D"/>
    <w:rsid w:val="00213F0C"/>
    <w:rsid w:val="00214094"/>
    <w:rsid w:val="00215566"/>
    <w:rsid w:val="0021592D"/>
    <w:rsid w:val="00222D76"/>
    <w:rsid w:val="00222E9C"/>
    <w:rsid w:val="00223887"/>
    <w:rsid w:val="00223EB1"/>
    <w:rsid w:val="00231164"/>
    <w:rsid w:val="00231344"/>
    <w:rsid w:val="0023436E"/>
    <w:rsid w:val="002347C0"/>
    <w:rsid w:val="00235441"/>
    <w:rsid w:val="00241A6C"/>
    <w:rsid w:val="00242D2B"/>
    <w:rsid w:val="00262E2B"/>
    <w:rsid w:val="00266927"/>
    <w:rsid w:val="00270429"/>
    <w:rsid w:val="002723E9"/>
    <w:rsid w:val="00277929"/>
    <w:rsid w:val="00283B82"/>
    <w:rsid w:val="002846E9"/>
    <w:rsid w:val="00284C34"/>
    <w:rsid w:val="0029066C"/>
    <w:rsid w:val="002A3602"/>
    <w:rsid w:val="002A68FF"/>
    <w:rsid w:val="002B2236"/>
    <w:rsid w:val="002B50DB"/>
    <w:rsid w:val="002C12AB"/>
    <w:rsid w:val="002C7CAC"/>
    <w:rsid w:val="002D3306"/>
    <w:rsid w:val="002D4530"/>
    <w:rsid w:val="002D48AA"/>
    <w:rsid w:val="002D7BAA"/>
    <w:rsid w:val="002D7F54"/>
    <w:rsid w:val="002E2F20"/>
    <w:rsid w:val="002E3086"/>
    <w:rsid w:val="002E3FF4"/>
    <w:rsid w:val="002F02BF"/>
    <w:rsid w:val="002F78C8"/>
    <w:rsid w:val="002F79B9"/>
    <w:rsid w:val="00301CF3"/>
    <w:rsid w:val="00322E84"/>
    <w:rsid w:val="00322F11"/>
    <w:rsid w:val="0032715C"/>
    <w:rsid w:val="00337820"/>
    <w:rsid w:val="00337CA5"/>
    <w:rsid w:val="00360C95"/>
    <w:rsid w:val="00362478"/>
    <w:rsid w:val="00375B25"/>
    <w:rsid w:val="0038132C"/>
    <w:rsid w:val="003948EB"/>
    <w:rsid w:val="003956D8"/>
    <w:rsid w:val="00396542"/>
    <w:rsid w:val="0039685B"/>
    <w:rsid w:val="003A31A6"/>
    <w:rsid w:val="003A450E"/>
    <w:rsid w:val="003A7F0C"/>
    <w:rsid w:val="003A7F79"/>
    <w:rsid w:val="003B5EEB"/>
    <w:rsid w:val="003B6404"/>
    <w:rsid w:val="003C032C"/>
    <w:rsid w:val="003C449B"/>
    <w:rsid w:val="003D21FF"/>
    <w:rsid w:val="003D3F8F"/>
    <w:rsid w:val="003D68D6"/>
    <w:rsid w:val="003E1737"/>
    <w:rsid w:val="003F0112"/>
    <w:rsid w:val="003F071A"/>
    <w:rsid w:val="003F160B"/>
    <w:rsid w:val="00400032"/>
    <w:rsid w:val="00400B5B"/>
    <w:rsid w:val="00404590"/>
    <w:rsid w:val="00404DBA"/>
    <w:rsid w:val="00405A00"/>
    <w:rsid w:val="00414E9A"/>
    <w:rsid w:val="00416FF2"/>
    <w:rsid w:val="00420870"/>
    <w:rsid w:val="00422E65"/>
    <w:rsid w:val="00432D0C"/>
    <w:rsid w:val="0043791B"/>
    <w:rsid w:val="0044040A"/>
    <w:rsid w:val="00441483"/>
    <w:rsid w:val="00441BCB"/>
    <w:rsid w:val="00446337"/>
    <w:rsid w:val="0045176A"/>
    <w:rsid w:val="004561B2"/>
    <w:rsid w:val="00456332"/>
    <w:rsid w:val="00461826"/>
    <w:rsid w:val="00461E45"/>
    <w:rsid w:val="004800F9"/>
    <w:rsid w:val="0049134A"/>
    <w:rsid w:val="00493EA0"/>
    <w:rsid w:val="004A0264"/>
    <w:rsid w:val="004A51EC"/>
    <w:rsid w:val="004A58CB"/>
    <w:rsid w:val="004A6356"/>
    <w:rsid w:val="004A7488"/>
    <w:rsid w:val="004B1795"/>
    <w:rsid w:val="004B187D"/>
    <w:rsid w:val="004B56DD"/>
    <w:rsid w:val="004C020F"/>
    <w:rsid w:val="004C1AFD"/>
    <w:rsid w:val="004C558B"/>
    <w:rsid w:val="004D7779"/>
    <w:rsid w:val="004E5680"/>
    <w:rsid w:val="004E6628"/>
    <w:rsid w:val="004F1F88"/>
    <w:rsid w:val="004F5F1B"/>
    <w:rsid w:val="004F6582"/>
    <w:rsid w:val="004F6BD5"/>
    <w:rsid w:val="00502374"/>
    <w:rsid w:val="005060A1"/>
    <w:rsid w:val="00516072"/>
    <w:rsid w:val="00516E1A"/>
    <w:rsid w:val="00516FEF"/>
    <w:rsid w:val="005229E0"/>
    <w:rsid w:val="00530F47"/>
    <w:rsid w:val="005316CF"/>
    <w:rsid w:val="005332EC"/>
    <w:rsid w:val="00534418"/>
    <w:rsid w:val="005353AB"/>
    <w:rsid w:val="005437F0"/>
    <w:rsid w:val="00547D2B"/>
    <w:rsid w:val="005560BC"/>
    <w:rsid w:val="005573BE"/>
    <w:rsid w:val="00560D9C"/>
    <w:rsid w:val="00572700"/>
    <w:rsid w:val="00580468"/>
    <w:rsid w:val="00582231"/>
    <w:rsid w:val="0058603B"/>
    <w:rsid w:val="00592F21"/>
    <w:rsid w:val="0059431B"/>
    <w:rsid w:val="005A39CC"/>
    <w:rsid w:val="005A75A7"/>
    <w:rsid w:val="005B4730"/>
    <w:rsid w:val="005D1DE4"/>
    <w:rsid w:val="005D3627"/>
    <w:rsid w:val="005D7373"/>
    <w:rsid w:val="005E05D7"/>
    <w:rsid w:val="005E3557"/>
    <w:rsid w:val="005E41E7"/>
    <w:rsid w:val="005E450F"/>
    <w:rsid w:val="005E4F54"/>
    <w:rsid w:val="00611F46"/>
    <w:rsid w:val="0062298A"/>
    <w:rsid w:val="00626514"/>
    <w:rsid w:val="00626589"/>
    <w:rsid w:val="006339A0"/>
    <w:rsid w:val="006413A8"/>
    <w:rsid w:val="00642E56"/>
    <w:rsid w:val="00651E00"/>
    <w:rsid w:val="00657872"/>
    <w:rsid w:val="00674572"/>
    <w:rsid w:val="00676319"/>
    <w:rsid w:val="006770CA"/>
    <w:rsid w:val="006771FE"/>
    <w:rsid w:val="00680596"/>
    <w:rsid w:val="00687763"/>
    <w:rsid w:val="00692B0D"/>
    <w:rsid w:val="00693E0E"/>
    <w:rsid w:val="006973DF"/>
    <w:rsid w:val="006A1AE3"/>
    <w:rsid w:val="006C2EF4"/>
    <w:rsid w:val="006C30E1"/>
    <w:rsid w:val="006C4607"/>
    <w:rsid w:val="006D48F1"/>
    <w:rsid w:val="006E398F"/>
    <w:rsid w:val="006F102B"/>
    <w:rsid w:val="006F45BE"/>
    <w:rsid w:val="007004FC"/>
    <w:rsid w:val="00706670"/>
    <w:rsid w:val="00711F59"/>
    <w:rsid w:val="00714135"/>
    <w:rsid w:val="00720708"/>
    <w:rsid w:val="0072417C"/>
    <w:rsid w:val="0072449D"/>
    <w:rsid w:val="007265F5"/>
    <w:rsid w:val="00734450"/>
    <w:rsid w:val="0074180E"/>
    <w:rsid w:val="00741F6B"/>
    <w:rsid w:val="00743522"/>
    <w:rsid w:val="00745B2A"/>
    <w:rsid w:val="00745F67"/>
    <w:rsid w:val="0075039E"/>
    <w:rsid w:val="00752D9D"/>
    <w:rsid w:val="00753924"/>
    <w:rsid w:val="00754784"/>
    <w:rsid w:val="00757C6E"/>
    <w:rsid w:val="00760866"/>
    <w:rsid w:val="00762BDA"/>
    <w:rsid w:val="0076766D"/>
    <w:rsid w:val="007805FD"/>
    <w:rsid w:val="00784422"/>
    <w:rsid w:val="00786075"/>
    <w:rsid w:val="00787C03"/>
    <w:rsid w:val="00787EB9"/>
    <w:rsid w:val="00792C6A"/>
    <w:rsid w:val="0079704D"/>
    <w:rsid w:val="007A7BBC"/>
    <w:rsid w:val="007B3B54"/>
    <w:rsid w:val="007B3FA0"/>
    <w:rsid w:val="007B4CD9"/>
    <w:rsid w:val="007C0F2C"/>
    <w:rsid w:val="007C28AA"/>
    <w:rsid w:val="007C2BCC"/>
    <w:rsid w:val="007C4EF0"/>
    <w:rsid w:val="007C5D65"/>
    <w:rsid w:val="007D099D"/>
    <w:rsid w:val="007E2664"/>
    <w:rsid w:val="007E3ABF"/>
    <w:rsid w:val="007E5BFA"/>
    <w:rsid w:val="007E6689"/>
    <w:rsid w:val="007E731C"/>
    <w:rsid w:val="007F0A03"/>
    <w:rsid w:val="00807AEB"/>
    <w:rsid w:val="00810040"/>
    <w:rsid w:val="008164E7"/>
    <w:rsid w:val="0082023A"/>
    <w:rsid w:val="00821A7A"/>
    <w:rsid w:val="008253F8"/>
    <w:rsid w:val="0082725C"/>
    <w:rsid w:val="008311FB"/>
    <w:rsid w:val="008325E4"/>
    <w:rsid w:val="00832A2B"/>
    <w:rsid w:val="0083772B"/>
    <w:rsid w:val="00844729"/>
    <w:rsid w:val="00845811"/>
    <w:rsid w:val="00846994"/>
    <w:rsid w:val="00850451"/>
    <w:rsid w:val="00852042"/>
    <w:rsid w:val="008534C9"/>
    <w:rsid w:val="0085599D"/>
    <w:rsid w:val="008678D5"/>
    <w:rsid w:val="0087510C"/>
    <w:rsid w:val="008968D2"/>
    <w:rsid w:val="0089738E"/>
    <w:rsid w:val="008A333A"/>
    <w:rsid w:val="008B196B"/>
    <w:rsid w:val="008B4000"/>
    <w:rsid w:val="008B5FDB"/>
    <w:rsid w:val="008C50F4"/>
    <w:rsid w:val="008C5649"/>
    <w:rsid w:val="008E44A2"/>
    <w:rsid w:val="008E697D"/>
    <w:rsid w:val="00903263"/>
    <w:rsid w:val="00904284"/>
    <w:rsid w:val="00906A21"/>
    <w:rsid w:val="00907162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53A4A"/>
    <w:rsid w:val="00956B2F"/>
    <w:rsid w:val="00964766"/>
    <w:rsid w:val="00965897"/>
    <w:rsid w:val="0096765C"/>
    <w:rsid w:val="0097229A"/>
    <w:rsid w:val="009727E4"/>
    <w:rsid w:val="009743A1"/>
    <w:rsid w:val="00981583"/>
    <w:rsid w:val="009934C5"/>
    <w:rsid w:val="00994C0F"/>
    <w:rsid w:val="009B22D7"/>
    <w:rsid w:val="009B2A82"/>
    <w:rsid w:val="009B3FC3"/>
    <w:rsid w:val="009B72ED"/>
    <w:rsid w:val="009C578E"/>
    <w:rsid w:val="009C5EC7"/>
    <w:rsid w:val="009C6DEB"/>
    <w:rsid w:val="009D6504"/>
    <w:rsid w:val="009E12D7"/>
    <w:rsid w:val="009E266A"/>
    <w:rsid w:val="009E661A"/>
    <w:rsid w:val="00A06781"/>
    <w:rsid w:val="00A074C3"/>
    <w:rsid w:val="00A1346F"/>
    <w:rsid w:val="00A1509C"/>
    <w:rsid w:val="00A2222B"/>
    <w:rsid w:val="00A23789"/>
    <w:rsid w:val="00A249B9"/>
    <w:rsid w:val="00A25283"/>
    <w:rsid w:val="00A26C9B"/>
    <w:rsid w:val="00A34260"/>
    <w:rsid w:val="00A52289"/>
    <w:rsid w:val="00A64FEF"/>
    <w:rsid w:val="00A65FAB"/>
    <w:rsid w:val="00A70CFD"/>
    <w:rsid w:val="00A72A0B"/>
    <w:rsid w:val="00A734BB"/>
    <w:rsid w:val="00A740CB"/>
    <w:rsid w:val="00A81E42"/>
    <w:rsid w:val="00A864FE"/>
    <w:rsid w:val="00A86F41"/>
    <w:rsid w:val="00A87D04"/>
    <w:rsid w:val="00A90698"/>
    <w:rsid w:val="00A9382D"/>
    <w:rsid w:val="00A950C5"/>
    <w:rsid w:val="00A95339"/>
    <w:rsid w:val="00AA1D25"/>
    <w:rsid w:val="00AA7634"/>
    <w:rsid w:val="00AB2B1A"/>
    <w:rsid w:val="00AB397F"/>
    <w:rsid w:val="00AB5832"/>
    <w:rsid w:val="00AC1647"/>
    <w:rsid w:val="00AC51F2"/>
    <w:rsid w:val="00AD3269"/>
    <w:rsid w:val="00AD7E2A"/>
    <w:rsid w:val="00AE270A"/>
    <w:rsid w:val="00AE5066"/>
    <w:rsid w:val="00AE5E24"/>
    <w:rsid w:val="00AE61B7"/>
    <w:rsid w:val="00AE6CBA"/>
    <w:rsid w:val="00AE79AD"/>
    <w:rsid w:val="00AF35E4"/>
    <w:rsid w:val="00AF4B8D"/>
    <w:rsid w:val="00AF5CDE"/>
    <w:rsid w:val="00B06344"/>
    <w:rsid w:val="00B10637"/>
    <w:rsid w:val="00B11A57"/>
    <w:rsid w:val="00B211C3"/>
    <w:rsid w:val="00B24213"/>
    <w:rsid w:val="00B25597"/>
    <w:rsid w:val="00B267B9"/>
    <w:rsid w:val="00B26A44"/>
    <w:rsid w:val="00B30203"/>
    <w:rsid w:val="00B33E09"/>
    <w:rsid w:val="00B50708"/>
    <w:rsid w:val="00B50C68"/>
    <w:rsid w:val="00B51293"/>
    <w:rsid w:val="00B52B1E"/>
    <w:rsid w:val="00B55481"/>
    <w:rsid w:val="00B5651F"/>
    <w:rsid w:val="00B56C32"/>
    <w:rsid w:val="00B576A7"/>
    <w:rsid w:val="00B57A7B"/>
    <w:rsid w:val="00B57ACF"/>
    <w:rsid w:val="00B64BB1"/>
    <w:rsid w:val="00B67416"/>
    <w:rsid w:val="00B73166"/>
    <w:rsid w:val="00B77EE9"/>
    <w:rsid w:val="00B8220C"/>
    <w:rsid w:val="00B8426C"/>
    <w:rsid w:val="00B87CF5"/>
    <w:rsid w:val="00B91B8D"/>
    <w:rsid w:val="00B94E90"/>
    <w:rsid w:val="00BA6A6B"/>
    <w:rsid w:val="00BB0A82"/>
    <w:rsid w:val="00BB0F52"/>
    <w:rsid w:val="00BB5EAC"/>
    <w:rsid w:val="00BB7C94"/>
    <w:rsid w:val="00BC0A9D"/>
    <w:rsid w:val="00BC1388"/>
    <w:rsid w:val="00BE3BB8"/>
    <w:rsid w:val="00BF1F8E"/>
    <w:rsid w:val="00BF3342"/>
    <w:rsid w:val="00BF40ED"/>
    <w:rsid w:val="00BF5BC2"/>
    <w:rsid w:val="00C013D5"/>
    <w:rsid w:val="00C03206"/>
    <w:rsid w:val="00C1133D"/>
    <w:rsid w:val="00C17230"/>
    <w:rsid w:val="00C27A08"/>
    <w:rsid w:val="00C30BF2"/>
    <w:rsid w:val="00C31312"/>
    <w:rsid w:val="00C31E36"/>
    <w:rsid w:val="00C321CF"/>
    <w:rsid w:val="00C326C6"/>
    <w:rsid w:val="00C35295"/>
    <w:rsid w:val="00C36ADD"/>
    <w:rsid w:val="00C36E74"/>
    <w:rsid w:val="00C37F9A"/>
    <w:rsid w:val="00C40595"/>
    <w:rsid w:val="00C41621"/>
    <w:rsid w:val="00C449FA"/>
    <w:rsid w:val="00C5200B"/>
    <w:rsid w:val="00C5384F"/>
    <w:rsid w:val="00C56964"/>
    <w:rsid w:val="00C57276"/>
    <w:rsid w:val="00C656D5"/>
    <w:rsid w:val="00C65C4C"/>
    <w:rsid w:val="00C67103"/>
    <w:rsid w:val="00C71BB9"/>
    <w:rsid w:val="00C7273A"/>
    <w:rsid w:val="00C74130"/>
    <w:rsid w:val="00C85D5C"/>
    <w:rsid w:val="00C910B3"/>
    <w:rsid w:val="00C94C28"/>
    <w:rsid w:val="00CA740B"/>
    <w:rsid w:val="00CB0247"/>
    <w:rsid w:val="00CB26AE"/>
    <w:rsid w:val="00CB3440"/>
    <w:rsid w:val="00CB3495"/>
    <w:rsid w:val="00CC1692"/>
    <w:rsid w:val="00CD138B"/>
    <w:rsid w:val="00CD14E5"/>
    <w:rsid w:val="00CD33EA"/>
    <w:rsid w:val="00CD3E31"/>
    <w:rsid w:val="00CD4030"/>
    <w:rsid w:val="00CD74A3"/>
    <w:rsid w:val="00CE0527"/>
    <w:rsid w:val="00CE5B23"/>
    <w:rsid w:val="00CE5E9E"/>
    <w:rsid w:val="00CF70AD"/>
    <w:rsid w:val="00CF7729"/>
    <w:rsid w:val="00D00057"/>
    <w:rsid w:val="00D00059"/>
    <w:rsid w:val="00D107FA"/>
    <w:rsid w:val="00D12275"/>
    <w:rsid w:val="00D12766"/>
    <w:rsid w:val="00D20FF4"/>
    <w:rsid w:val="00D24D2C"/>
    <w:rsid w:val="00D35881"/>
    <w:rsid w:val="00D438FA"/>
    <w:rsid w:val="00D46CE4"/>
    <w:rsid w:val="00D538CE"/>
    <w:rsid w:val="00D57CC6"/>
    <w:rsid w:val="00D725D8"/>
    <w:rsid w:val="00D90779"/>
    <w:rsid w:val="00DA14B7"/>
    <w:rsid w:val="00DA491B"/>
    <w:rsid w:val="00DA7DA5"/>
    <w:rsid w:val="00DB073B"/>
    <w:rsid w:val="00DB50FD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0A0F"/>
    <w:rsid w:val="00E02ABF"/>
    <w:rsid w:val="00E12332"/>
    <w:rsid w:val="00E12CE6"/>
    <w:rsid w:val="00E1361C"/>
    <w:rsid w:val="00E14995"/>
    <w:rsid w:val="00E179CD"/>
    <w:rsid w:val="00E23E8D"/>
    <w:rsid w:val="00E24FC4"/>
    <w:rsid w:val="00E27BBE"/>
    <w:rsid w:val="00E327C6"/>
    <w:rsid w:val="00E37F98"/>
    <w:rsid w:val="00E40DAA"/>
    <w:rsid w:val="00E46559"/>
    <w:rsid w:val="00E5285B"/>
    <w:rsid w:val="00E6433B"/>
    <w:rsid w:val="00E6670C"/>
    <w:rsid w:val="00E72737"/>
    <w:rsid w:val="00E776E8"/>
    <w:rsid w:val="00E92C1F"/>
    <w:rsid w:val="00E95132"/>
    <w:rsid w:val="00E95D4B"/>
    <w:rsid w:val="00EA7A22"/>
    <w:rsid w:val="00EB199F"/>
    <w:rsid w:val="00EC23F7"/>
    <w:rsid w:val="00EC4BD8"/>
    <w:rsid w:val="00EC63EB"/>
    <w:rsid w:val="00ED412F"/>
    <w:rsid w:val="00EE1EE9"/>
    <w:rsid w:val="00EF36B2"/>
    <w:rsid w:val="00F1246B"/>
    <w:rsid w:val="00F126F8"/>
    <w:rsid w:val="00F15332"/>
    <w:rsid w:val="00F201EC"/>
    <w:rsid w:val="00F208A9"/>
    <w:rsid w:val="00F24C2F"/>
    <w:rsid w:val="00F35D45"/>
    <w:rsid w:val="00F41D75"/>
    <w:rsid w:val="00F4381E"/>
    <w:rsid w:val="00F5139D"/>
    <w:rsid w:val="00F562E3"/>
    <w:rsid w:val="00F632E7"/>
    <w:rsid w:val="00F63DAC"/>
    <w:rsid w:val="00F6408D"/>
    <w:rsid w:val="00F678C7"/>
    <w:rsid w:val="00F67ADB"/>
    <w:rsid w:val="00F7454F"/>
    <w:rsid w:val="00F77988"/>
    <w:rsid w:val="00F77F48"/>
    <w:rsid w:val="00F95BC3"/>
    <w:rsid w:val="00FA6C9F"/>
    <w:rsid w:val="00FB30F1"/>
    <w:rsid w:val="00FB36B0"/>
    <w:rsid w:val="00FB53E7"/>
    <w:rsid w:val="00FD2A8A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rus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projeka “Par atlaes komisijas izveidošanu un atklāta konkursa izsludināšanu uz ad hoc tiesneša amatu Eiropas Cilvēktiesību tiesā sākotnējās ietekmes novērtājuma ziņojums” (anotācija)</vt:lpstr>
    </vt:vector>
  </TitlesOfParts>
  <Company>ĀRLIETU MIMISTRIJA</Company>
  <LinksUpToDate>false</LinksUpToDate>
  <CharactersWithSpaces>5830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mailto:renate.ruse@mfa.gov.lv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projeka “Par atlaes komisijas izveidošanu un atklāta konkursa izsludināšanu uz ad hoc tiesneša amatu Eiropas Cilvēktiesību tiesā sākotnējās ietekmes novērtājuma ziņojums” (anotācija)</dc:title>
  <dc:subject>Tiesību akta projekta anotācija</dc:subject>
  <dc:creator>Renate Ruse-Auzina</dc:creator>
  <cp:lastModifiedBy>Renate Ruse-Auzina</cp:lastModifiedBy>
  <cp:revision>5</cp:revision>
  <cp:lastPrinted>2011-08-29T08:46:00Z</cp:lastPrinted>
  <dcterms:created xsi:type="dcterms:W3CDTF">2015-12-11T14:18:00Z</dcterms:created>
  <dcterms:modified xsi:type="dcterms:W3CDTF">2015-12-16T10:03:00Z</dcterms:modified>
</cp:coreProperties>
</file>