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ED" w:rsidRPr="00E915BB" w:rsidRDefault="00A5178B" w:rsidP="008F4E1C">
      <w:pPr>
        <w:spacing w:before="100" w:beforeAutospacing="1" w:after="100" w:afterAutospacing="1"/>
        <w:jc w:val="center"/>
        <w:rPr>
          <w:rFonts w:ascii="Times New Roman" w:eastAsia="Times New Roman" w:hAnsi="Times New Roman" w:cs="Times New Roman"/>
          <w:b/>
          <w:bCs/>
          <w:sz w:val="24"/>
          <w:szCs w:val="24"/>
          <w:lang w:eastAsia="lv-LV"/>
        </w:rPr>
      </w:pPr>
      <w:bookmarkStart w:id="0" w:name="_GoBack"/>
      <w:bookmarkEnd w:id="0"/>
      <w:r w:rsidRPr="00E915BB">
        <w:rPr>
          <w:rFonts w:ascii="Times New Roman" w:eastAsia="Times New Roman" w:hAnsi="Times New Roman" w:cs="Times New Roman"/>
          <w:b/>
          <w:bCs/>
          <w:sz w:val="24"/>
          <w:szCs w:val="24"/>
          <w:lang w:eastAsia="lv-LV"/>
        </w:rPr>
        <w:t xml:space="preserve">Ministru kabineta noteikumu projekta „Noteikumi par </w:t>
      </w:r>
      <w:r w:rsidR="00917B58" w:rsidRPr="00E915BB">
        <w:rPr>
          <w:rFonts w:ascii="Times New Roman" w:eastAsia="Times New Roman" w:hAnsi="Times New Roman" w:cs="Times New Roman"/>
          <w:b/>
          <w:bCs/>
          <w:sz w:val="24"/>
          <w:szCs w:val="24"/>
          <w:lang w:eastAsia="lv-LV"/>
        </w:rPr>
        <w:t>V</w:t>
      </w:r>
      <w:r w:rsidRPr="00E915BB">
        <w:rPr>
          <w:rFonts w:ascii="Times New Roman" w:eastAsia="Times New Roman" w:hAnsi="Times New Roman" w:cs="Times New Roman"/>
          <w:b/>
          <w:bCs/>
          <w:sz w:val="24"/>
          <w:szCs w:val="24"/>
          <w:lang w:eastAsia="lv-LV"/>
        </w:rPr>
        <w:t>alsts statistiskās informācijas programmu 201</w:t>
      </w:r>
      <w:r w:rsidR="00696A96" w:rsidRPr="00E915BB">
        <w:rPr>
          <w:rFonts w:ascii="Times New Roman" w:eastAsia="Times New Roman" w:hAnsi="Times New Roman" w:cs="Times New Roman"/>
          <w:b/>
          <w:bCs/>
          <w:sz w:val="24"/>
          <w:szCs w:val="24"/>
          <w:lang w:eastAsia="lv-LV"/>
        </w:rPr>
        <w:t>6</w:t>
      </w:r>
      <w:r w:rsidRPr="00E915BB">
        <w:rPr>
          <w:rFonts w:ascii="Times New Roman" w:eastAsia="Times New Roman" w:hAnsi="Times New Roman" w:cs="Times New Roman"/>
          <w:b/>
          <w:bCs/>
          <w:sz w:val="24"/>
          <w:szCs w:val="24"/>
          <w:lang w:eastAsia="lv-LV"/>
        </w:rPr>
        <w:t>. gadam” sākotnējās ietekmes novērtējuma ziņojums (anotācija)</w:t>
      </w: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972"/>
        <w:gridCol w:w="7719"/>
      </w:tblGrid>
      <w:tr w:rsidR="00E915BB" w:rsidRPr="00E915BB" w:rsidTr="00CB4C5C">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 Tiesību akta projekta izstrādes nepieciešamība</w:t>
            </w:r>
          </w:p>
        </w:tc>
      </w:tr>
      <w:tr w:rsidR="00E915BB" w:rsidRPr="00E915BB" w:rsidTr="00CB4C5C">
        <w:trPr>
          <w:trHeight w:val="40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1143"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Pamatojums</w:t>
            </w:r>
          </w:p>
        </w:tc>
        <w:tc>
          <w:tcPr>
            <w:tcW w:w="3643"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A5178B" w:rsidP="00550BA4">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Ministru kabineta noteikumu projekts „Noteikumi par Valsts statistiskās informācijas programmu 201</w:t>
            </w:r>
            <w:r w:rsidR="00696A96" w:rsidRPr="00E915BB">
              <w:rPr>
                <w:rFonts w:ascii="Times New Roman" w:eastAsia="Times New Roman" w:hAnsi="Times New Roman" w:cs="Times New Roman"/>
                <w:sz w:val="24"/>
                <w:szCs w:val="24"/>
                <w:lang w:eastAsia="lv-LV"/>
              </w:rPr>
              <w:t>6</w:t>
            </w:r>
            <w:r w:rsidRPr="00E915BB">
              <w:rPr>
                <w:rFonts w:ascii="Times New Roman" w:eastAsia="Times New Roman" w:hAnsi="Times New Roman" w:cs="Times New Roman"/>
                <w:sz w:val="24"/>
                <w:szCs w:val="24"/>
                <w:lang w:eastAsia="lv-LV"/>
              </w:rPr>
              <w:t>. gadam” (turpmāk – MK noteikumu projekts) ir izstrādāts saskaņā ar Valsts statistikas likuma 5. panta otrās daļas 3. punktu.</w:t>
            </w:r>
          </w:p>
        </w:tc>
      </w:tr>
      <w:tr w:rsidR="00E915BB" w:rsidRPr="00E915BB" w:rsidTr="00CB4C5C">
        <w:trPr>
          <w:trHeight w:val="46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1143"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3" w:type="pct"/>
            <w:tcBorders>
              <w:top w:val="outset" w:sz="6" w:space="0" w:color="auto"/>
              <w:left w:val="outset" w:sz="6" w:space="0" w:color="auto"/>
              <w:bottom w:val="outset" w:sz="6" w:space="0" w:color="auto"/>
              <w:right w:val="outset" w:sz="6" w:space="0" w:color="auto"/>
            </w:tcBorders>
            <w:shd w:val="clear" w:color="auto" w:fill="auto"/>
            <w:hideMark/>
          </w:tcPr>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 Saskaņā ar Valsts statistikas likuma 5. panta otrās daļas 3. punktā noteikto, Valsts statistiskās informācijas programmu (turpmāk- VSIP) izstrādā kārtējā gada finanšu līdzekļu ietvaros.</w:t>
            </w:r>
          </w:p>
          <w:p w:rsidR="00C4064A" w:rsidRPr="00E915BB" w:rsidRDefault="00F316BF" w:rsidP="008844DF">
            <w:pPr>
              <w:jc w:val="both"/>
              <w:rPr>
                <w:rFonts w:ascii="Times New Roman" w:hAnsi="Times New Roman" w:cs="Times New Roman"/>
                <w:sz w:val="24"/>
                <w:szCs w:val="24"/>
                <w:lang w:eastAsia="lv-LV"/>
              </w:rPr>
            </w:pPr>
            <w:r w:rsidRPr="00E915BB">
              <w:rPr>
                <w:rFonts w:ascii="Times New Roman" w:hAnsi="Times New Roman" w:cs="Times New Roman"/>
                <w:sz w:val="24"/>
                <w:szCs w:val="24"/>
                <w:lang w:eastAsia="lv-LV"/>
              </w:rPr>
              <w:t>No 2016. gada 1. janvāra stājas spēkā Statistikas likums, kura pārejas noteikumu 4. punkts nosaka, ka „Ministru kabineta noteikumi par Valsts statistiskās informācijas programmu 2016. gadam, kas izdoti uz Valsts statistikas likumu, ir piemērojami līdz 2016. gada 31. decembrim, ciktāl tie nav pretrunā ar šo likumu. Centrālā statistikas pārvalde (turpmāk – Pārvalde) ir izvērtējusi noteikumu projekta atbilstību Statistikas likumam un tā struktūra ir veidotā tā, lai atbilstu Statistikas likuma 6.panta otrās daļas prasībām, kas cita starpā paredz, ka noteikumu projektā ir jānorāda Pārvaldei nododamo personas datu veidus, apjomu un izmantošanas mērķi. Iekļaujot noteikumu projekta 1.pielikumā 2.tabulu, Pārvalde ir izvērtējusi personas datu apstrādes nepieciešamību, pamatotību un samērīgumu. Noteikumu projekts pilnībā atbilst Statistikas likuma 6.panta otrās daļas prasībām, līdz ar to tiek ievērota arī Statistikas likuma pārejas noteikumu 4.punkta prasība.</w:t>
            </w:r>
          </w:p>
          <w:p w:rsidR="00A859E7" w:rsidRPr="00E915BB" w:rsidRDefault="00A859E7" w:rsidP="008844DF">
            <w:pPr>
              <w:rPr>
                <w:rFonts w:ascii="Times New Roman" w:eastAsia="Times New Roman" w:hAnsi="Times New Roman" w:cs="Times New Roman"/>
                <w:sz w:val="24"/>
                <w:szCs w:val="24"/>
                <w:lang w:eastAsia="lv-LV"/>
              </w:rPr>
            </w:pPr>
          </w:p>
          <w:p w:rsidR="00F316BF" w:rsidRPr="00E915BB" w:rsidRDefault="008C30C4"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2. </w:t>
            </w:r>
            <w:r w:rsidR="00F316BF" w:rsidRPr="00E915BB">
              <w:rPr>
                <w:rFonts w:ascii="Times New Roman" w:eastAsia="Times New Roman" w:hAnsi="Times New Roman" w:cs="Times New Roman"/>
                <w:sz w:val="24"/>
                <w:szCs w:val="24"/>
                <w:lang w:eastAsia="lv-LV"/>
              </w:rPr>
              <w:t>MK noteikumu projekta pielikuma 1. tabulā ir noteikta statistiskā informācija, kuru apkopo un publicē ministrijas un citas valsts institūcijas tām piešķirto budžeta līdzekļu ietvaros, lai izpildītu starptautiskajos, Eiropas Savienības vai Latvijas Republikas tiesību aktos noteiktās prasības vai lai izpildītu starptautisko organizāciju, Eiropas Savienības vai iekšzemes statistikas lietotāju pieprasījumus.</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Statistikas lietotāju ērtībai apkopotā statistiskā informācija ir sadalīta daļās pa galvenajām statistikas tēmām, norādot apkopotās informācijas saturu, institūciju, kura ir atbildīga par šīs informācijas apkopošanu, datu iegūšanas veidu, statistikas publicēšanas periodiskumu un publicējamo kopsavilkumu detalizāciju.</w:t>
            </w:r>
          </w:p>
          <w:p w:rsidR="00A859E7" w:rsidRPr="00E915BB" w:rsidRDefault="00A859E7" w:rsidP="008844DF">
            <w:pPr>
              <w:rPr>
                <w:rFonts w:ascii="Times New Roman" w:eastAsia="Times New Roman" w:hAnsi="Times New Roman" w:cs="Times New Roman"/>
                <w:sz w:val="24"/>
                <w:szCs w:val="24"/>
                <w:lang w:eastAsia="lv-LV"/>
              </w:rPr>
            </w:pPr>
          </w:p>
          <w:p w:rsidR="00F316BF" w:rsidRPr="00E915BB" w:rsidRDefault="008C30C4"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3. </w:t>
            </w:r>
            <w:r w:rsidR="00F316BF" w:rsidRPr="00E915BB">
              <w:rPr>
                <w:rFonts w:ascii="Times New Roman" w:eastAsia="Times New Roman" w:hAnsi="Times New Roman" w:cs="Times New Roman"/>
                <w:sz w:val="24"/>
                <w:szCs w:val="24"/>
                <w:lang w:eastAsia="lv-LV"/>
              </w:rPr>
              <w:t xml:space="preserve"> Fizisko personu datu aizsardzības likuma 10. panta pirmās daļas 2. punkts nosaka, ka, lai aizsargātu datu subjekta intereses, pārzinis nodrošina personas datu apstrādi tikai atbilstoši paredzētajam mērķim un tam nepieciešamajā apjomā. Statistikas ietvaros institūcijas, kuras ir atbildīgas par statistiskās informācijas apkopošanu, apstrādā personas datus, saņemot tos no dažādiem administratīvajiem datu avotiem. Savukārt tiesību aktos nav noteikti statistikas nodrošināšanai no administratīvajiem datu avotiem saņemamo personas datu veidi, apjoms un izmantošanas mērķi.</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Lai aizsargātu datu subjekta tiesības un intereses, un nodrošinātu datu subjekta informētību, MK noteikumu pielikuma 2. tabulā ir noteikts personas datu veids, apjoms un izmantošanas </w:t>
            </w:r>
            <w:r w:rsidR="006F06FB" w:rsidRPr="00E915BB">
              <w:rPr>
                <w:rFonts w:ascii="Times New Roman" w:eastAsia="Times New Roman" w:hAnsi="Times New Roman" w:cs="Times New Roman"/>
                <w:sz w:val="24"/>
                <w:szCs w:val="24"/>
                <w:lang w:eastAsia="lv-LV"/>
              </w:rPr>
              <w:t>veids</w:t>
            </w:r>
            <w:r w:rsidRPr="00E915BB">
              <w:rPr>
                <w:rFonts w:ascii="Times New Roman" w:eastAsia="Times New Roman" w:hAnsi="Times New Roman" w:cs="Times New Roman"/>
                <w:sz w:val="24"/>
                <w:szCs w:val="24"/>
                <w:lang w:eastAsia="lv-LV"/>
              </w:rPr>
              <w:t xml:space="preserve"> tiem datiem, kurus atbildīgās institūcijas statistikas nodrošināšanai 2016. gadā plāno iegūt no administratīvajiem datu </w:t>
            </w:r>
            <w:r w:rsidRPr="00E915BB">
              <w:rPr>
                <w:rFonts w:ascii="Times New Roman" w:eastAsia="Times New Roman" w:hAnsi="Times New Roman" w:cs="Times New Roman"/>
                <w:sz w:val="24"/>
                <w:szCs w:val="24"/>
                <w:lang w:eastAsia="lv-LV"/>
              </w:rPr>
              <w:lastRenderedPageBreak/>
              <w:t>avotiem.</w:t>
            </w:r>
          </w:p>
          <w:p w:rsidR="008C30C4" w:rsidRPr="00E915BB" w:rsidRDefault="008C30C4" w:rsidP="008844DF">
            <w:pPr>
              <w:rPr>
                <w:rFonts w:ascii="Times New Roman" w:eastAsia="Times New Roman" w:hAnsi="Times New Roman" w:cs="Times New Roman"/>
                <w:sz w:val="24"/>
                <w:szCs w:val="24"/>
                <w:lang w:eastAsia="lv-LV"/>
              </w:rPr>
            </w:pPr>
          </w:p>
          <w:p w:rsidR="009E5E36" w:rsidRPr="00E915BB" w:rsidRDefault="009E5E36" w:rsidP="008844D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4. </w:t>
            </w:r>
            <w:r w:rsidR="00F316BF" w:rsidRPr="00E915BB">
              <w:rPr>
                <w:rFonts w:ascii="Times New Roman" w:eastAsia="Times New Roman" w:hAnsi="Times New Roman" w:cs="Times New Roman"/>
                <w:sz w:val="24"/>
                <w:szCs w:val="24"/>
                <w:lang w:eastAsia="lv-LV"/>
              </w:rPr>
              <w:t>Lai pārbaudītu, vai statistikas iestādes, vācot un apstrādājot ievērojamu apjomu personas datu, neaizskar fizisko personu tiesības, un izvērtētu privātuma ierobežojuma samērīgumu, MK noteikumu projekta izstrādē tika ņemti vērā trīs kritēriji:</w:t>
            </w:r>
          </w:p>
          <w:p w:rsidR="009E5E36" w:rsidRPr="00E915BB" w:rsidRDefault="009E5E36" w:rsidP="008844DF">
            <w:pPr>
              <w:rPr>
                <w:rFonts w:ascii="Times New Roman" w:eastAsia="Times New Roman" w:hAnsi="Times New Roman" w:cs="Times New Roman"/>
                <w:sz w:val="24"/>
                <w:szCs w:val="24"/>
                <w:lang w:eastAsia="lv-LV"/>
              </w:rPr>
            </w:pP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4.1. Likumā noteiktās tiesību normas.</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Normatīvo aktu izdevējs pieņemot tos, izvērtē normatīvo aktu lietderību un samērīgumu tiesisku un leģitīmu mērķu sasniegšanai.</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Pamatdokumenti, kas regulē Latvijas Republikas un Eiropas statistikas organizāciju un Pārvaldes darbību, ir Valsts statistikas likums un Eiropas Parlamenta un Padomes Regula (EK) Nr. 223/2009 par Eiropas statistiku. Tā, piemēram, personas datu vākšanas tiesiskie pamati ir:</w:t>
            </w:r>
          </w:p>
          <w:p w:rsidR="009E5E36" w:rsidRPr="00E915BB" w:rsidRDefault="009E5E36" w:rsidP="008844D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4.1.1. Valsts statistikas likuma 17. panta 2. punkts</w:t>
            </w:r>
            <w:r w:rsidR="00F316BF" w:rsidRPr="00E915BB">
              <w:rPr>
                <w:rFonts w:ascii="Times New Roman" w:eastAsia="Times New Roman" w:hAnsi="Times New Roman" w:cs="Times New Roman"/>
                <w:sz w:val="24"/>
                <w:szCs w:val="24"/>
                <w:lang w:eastAsia="lv-LV"/>
              </w:rPr>
              <w:t xml:space="preserve"> (</w:t>
            </w:r>
            <w:r w:rsidR="00F316BF" w:rsidRPr="00E915BB">
              <w:rPr>
                <w:rFonts w:ascii="Times New Roman" w:hAnsi="Times New Roman" w:cs="Times New Roman"/>
                <w:sz w:val="24"/>
                <w:szCs w:val="24"/>
              </w:rPr>
              <w:t>no 2016.gada 1.janvāra Statistikas likuma 13. - 16.pants)</w:t>
            </w:r>
            <w:r w:rsidRPr="00E915BB">
              <w:rPr>
                <w:rFonts w:ascii="Times New Roman" w:eastAsia="Times New Roman" w:hAnsi="Times New Roman" w:cs="Times New Roman"/>
                <w:sz w:val="24"/>
                <w:szCs w:val="24"/>
                <w:lang w:eastAsia="lv-LV"/>
              </w:rPr>
              <w:t>;</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4.1.2. Eiropas Parlamenta un Padomes Regulas (EK) Nr. 223/2009 par Eiropas statistiku 24. pants. </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Konkrēti normatīvie akti, kas regulē konkrēta personas datu apjoma iegūšanas nepieciešamību, ir norādīti šī dokumenta V sadaļas 1. tabulā.</w:t>
            </w:r>
          </w:p>
          <w:p w:rsidR="009E5E36" w:rsidRPr="00E915BB" w:rsidRDefault="009E5E36" w:rsidP="008844DF">
            <w:pPr>
              <w:rPr>
                <w:rFonts w:ascii="Times New Roman" w:eastAsia="Times New Roman" w:hAnsi="Times New Roman" w:cs="Times New Roman"/>
                <w:sz w:val="24"/>
                <w:szCs w:val="24"/>
                <w:lang w:eastAsia="lv-LV"/>
              </w:rPr>
            </w:pP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4.2. Leģitīms mērķis.</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Saskaņā ar vēsturisko 1983. gada 15. decembra Vācijas konstitucionālās tiesas spriedumu par konstitucionālo sūdzību sakarā ar statistiskajām skaitīšanām (Urteil des Ersten Senats vom 15. Dezember 1983 auf die mündliche Verhandlung vom 18. und 19. Oktober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Eiropas Savienības normatīvajiem aktiem un ikgadējiem MK noteikumiem par Valsts statistiskās informācijas programmu. Līdz ar to, likumdevējs ir noteicis leģitīmu mērķi, kura izpildei Pārvalde iegūst personas datus.</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Ievērojot iepriekšminēto, "de iure" pieņemams, ka Pārvaldes noteiktās tiesības ir lietderīgas un samērīgas, tiesisku un leģitīmu mērķu sasniegšanai.</w:t>
            </w:r>
          </w:p>
          <w:p w:rsidR="009E5E36" w:rsidRPr="00E915BB" w:rsidRDefault="009E5E36" w:rsidP="008844DF">
            <w:pPr>
              <w:rPr>
                <w:rFonts w:ascii="Times New Roman" w:eastAsia="Times New Roman" w:hAnsi="Times New Roman" w:cs="Times New Roman"/>
                <w:sz w:val="24"/>
                <w:szCs w:val="24"/>
                <w:lang w:eastAsia="lv-LV"/>
              </w:rPr>
            </w:pP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4.3. Samērīgums.</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4.3.2. Lai pilnveidotu statistisko datu iegūšanas procesus ar mērķi paaugstināt </w:t>
            </w:r>
            <w:r w:rsidRPr="00E915BB">
              <w:rPr>
                <w:rFonts w:ascii="Times New Roman" w:eastAsia="Times New Roman" w:hAnsi="Times New Roman" w:cs="Times New Roman"/>
                <w:sz w:val="24"/>
                <w:szCs w:val="24"/>
                <w:lang w:eastAsia="lv-LV"/>
              </w:rPr>
              <w:lastRenderedPageBreak/>
              <w:t>saņemtās informācijas kvalitāti un samazinātu respondentu (fizisko personu) noslodzi, Pārvalde plāno iegūt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4.3.3. Kaut arī Fizisko personu datu aizsardzības likumā ir ietverts izņēmums attiecībā uz datu subjektu informēšanu, MK noteikumu projekta pielikuma 2. tabulā ietvertā informācija nodrošina Rekomendācijā Nr. R(97) 18 un saprašanās memoranda 5.4. apakšpunktā paredzētās datu subjektu tiesības attiecībā uz informētību par viņu datu apstrādi statistiskiem nolūkiem, tādējādi nodrošinot datu apstrādes statistiskiem nolūkiem caurspīdīgumu;</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4.3.4. Personas tiesību ierobežojums ir sociāli nepieciešams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4.3.5. Pamatojums konkrētam personas datu apjoma pieprasījumam izriet no </w:t>
            </w:r>
            <w:r w:rsidR="009E2B0D" w:rsidRPr="00E915BB">
              <w:rPr>
                <w:rFonts w:ascii="Times New Roman" w:eastAsia="Times New Roman" w:hAnsi="Times New Roman" w:cs="Times New Roman"/>
                <w:sz w:val="24"/>
                <w:szCs w:val="24"/>
                <w:lang w:eastAsia="lv-LV"/>
              </w:rPr>
              <w:t>Pārvaldes</w:t>
            </w:r>
            <w:r w:rsidRPr="00E915BB">
              <w:rPr>
                <w:rFonts w:ascii="Times New Roman" w:eastAsia="Times New Roman" w:hAnsi="Times New Roman" w:cs="Times New Roman"/>
                <w:sz w:val="24"/>
                <w:szCs w:val="24"/>
                <w:lang w:eastAsia="lv-LV"/>
              </w:rPr>
              <w:t xml:space="preserve"> specifiskās kompetences un profesionālajām zināšanām attiecīgajā jomā. Personas dati tiek pieprasīti ne vairāk un ne mazāk kā tādā apjomā, kas ļauj nodrošināt visas metodoloģijā noteiktās prasības (piem., izlases apjoms, izlases struktūra, kvalitātes novērtēšana), lai Pārvaldes sagatavotā statistika būtu uzticama un salīdzināma.</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4.4. Ievērojot visu iepriekšminēto, no personas datu vākšanas un apstrādes statistikas nodrošināšanai sabiedrības ieguvums ir lielāks, nekā iespējamais fizisko personu tiesību uz privātumu aizskārums.</w:t>
            </w:r>
          </w:p>
          <w:p w:rsidR="009E5E36" w:rsidRPr="00E915BB" w:rsidRDefault="009E5E36" w:rsidP="008844DF">
            <w:pPr>
              <w:jc w:val="both"/>
              <w:rPr>
                <w:rFonts w:ascii="Times New Roman" w:eastAsia="Times New Roman" w:hAnsi="Times New Roman" w:cs="Times New Roman"/>
                <w:sz w:val="24"/>
                <w:szCs w:val="24"/>
                <w:lang w:eastAsia="lv-LV"/>
              </w:rPr>
            </w:pP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5. Papildus tika izvērtēts, vai Pārvalde, vācot un apstrādājot ievērojamu apjomu personas datu, lai nodrošinātu iedzīvotāju statistiku, neaizskar fizisko personu tiesības: </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5.1. Iedzīvotāju statistikas rādītāji (skatīt Ministru kabineta noteikumu pielikuma 1. tabulas 5. sadaļu „Demogrāfiskā statistika un tautas skaitīšana”) ir vieni no galvenajiem statistikas radītājiem valstī, kas tiek izmantoti arī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IKP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2014. – 2020. gadam (turpmāk – NAP2020), mērķa sasniegšanas rādītāji ir saistīti ar iedzīvotāju statistikas rādītājiem, piemēram, iedzīvotāju skaits gada sākumā, absolūtos skaitļos (NAP2020 227. punkts), reģionālā iekšzemes kopprodukta uz vienu iedzīvotāju dispersija (%)(NAP2020 364. punkts), Rīgas plānošanas reģiona iedzīvotāju īpatsvars no visiem valsts iedzīvotājiem gada sākumā (%)(NAP2020 365. punkts), iedzīvotāju īpatsvars, kas izmanto internetu sadarbībai ar valsts un pašvaldību institūcijām (%)(NAP2020 408. punkts) u.c.</w:t>
            </w:r>
          </w:p>
          <w:p w:rsidR="00F316BF" w:rsidRPr="00E915BB" w:rsidRDefault="00F316BF" w:rsidP="00F316BF">
            <w:pPr>
              <w:rPr>
                <w:rFonts w:ascii="Times New Roman" w:eastAsia="Times New Roman" w:hAnsi="Times New Roman" w:cs="Times New Roman"/>
                <w:sz w:val="24"/>
                <w:szCs w:val="24"/>
                <w:lang w:eastAsia="lv-LV"/>
              </w:rPr>
            </w:pP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Saskaņā ar Eiropas Parlamenta un Padomes 2009. gada 11. marta regulas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(turpmāk – regula Nr. 223/2009) 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 un visu izplatīšanas veidu laiku un saturu, neietekmējoties no jebkāda politisko vai interešu grupu vai Eiropas Savienības vai valstu iestāžu spiediena, neskarot iestāžu norādījumus, piemēram, </w:t>
            </w:r>
            <w:r w:rsidR="009E2B0D" w:rsidRPr="00E915BB">
              <w:rPr>
                <w:rFonts w:ascii="Times New Roman" w:eastAsia="Times New Roman" w:hAnsi="Times New Roman" w:cs="Times New Roman"/>
                <w:sz w:val="24"/>
                <w:szCs w:val="24"/>
                <w:lang w:eastAsia="lv-LV"/>
              </w:rPr>
              <w:t>Eiropas Savienības</w:t>
            </w:r>
            <w:r w:rsidRPr="00E915BB">
              <w:rPr>
                <w:rFonts w:ascii="Times New Roman" w:eastAsia="Times New Roman" w:hAnsi="Times New Roman" w:cs="Times New Roman"/>
                <w:sz w:val="24"/>
                <w:szCs w:val="24"/>
                <w:lang w:eastAsia="lv-LV"/>
              </w:rPr>
              <w:t xml:space="preserve"> vai valstu iestāžu vai budžeta prasības vai statistikas vajadzību definīcijas, un “ticamība” – statistikai iespējami patiesi, precīzi un konsekventi jāatspoguļo realitāte, un tas paredz, ka avotu, metožu un procedūru izvēlē tiek izmantoti zinātniski kritēriji.</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Tā kā Eiropas Savienībā nav izstrādāta vienota metodoloģija iedzīvotāju skaita novērtēšanai, bet saskaņā ar regulas Nr. 1260/2013 4. panta 2. daļu un regulas Nr. 223/2009 2. pantu, Pārvaldei ir nepieciešams nodrošināt kvalitatīvu un ticamu iedzīvotāju statistiku, Pārvalde ir izstrādājusi jaunu metodi precīzākai iedzīvotāju skaita novērtēšanai Latvijā, kas balstās uz statistisko klasificēšanu un migrācijas spoguļstatistiku (metodes aprakst</w:t>
            </w:r>
            <w:r w:rsidR="009E2B0D" w:rsidRPr="00E915BB">
              <w:rPr>
                <w:rFonts w:ascii="Times New Roman" w:eastAsia="Times New Roman" w:hAnsi="Times New Roman" w:cs="Times New Roman"/>
                <w:sz w:val="24"/>
                <w:szCs w:val="24"/>
                <w:lang w:eastAsia="lv-LV"/>
              </w:rPr>
              <w:t>u skatīt</w:t>
            </w:r>
            <w:r w:rsidRPr="00E915BB">
              <w:rPr>
                <w:rFonts w:ascii="Times New Roman" w:eastAsia="Times New Roman" w:hAnsi="Times New Roman" w:cs="Times New Roman"/>
                <w:sz w:val="24"/>
                <w:szCs w:val="24"/>
                <w:lang w:eastAsia="lv-LV"/>
              </w:rPr>
              <w:t xml:space="preserve"> </w:t>
            </w:r>
            <w:r w:rsidR="009E2B0D" w:rsidRPr="00E915BB">
              <w:rPr>
                <w:rFonts w:ascii="Times New Roman" w:eastAsia="Times New Roman" w:hAnsi="Times New Roman" w:cs="Times New Roman"/>
                <w:sz w:val="24"/>
                <w:szCs w:val="24"/>
                <w:lang w:eastAsia="lv-LV"/>
              </w:rPr>
              <w:t>Pārvaldes mājaslapā -</w:t>
            </w:r>
            <w:r w:rsidRPr="00E915BB">
              <w:rPr>
                <w:rFonts w:ascii="Times New Roman" w:eastAsia="Times New Roman" w:hAnsi="Times New Roman" w:cs="Times New Roman"/>
                <w:sz w:val="24"/>
                <w:szCs w:val="24"/>
                <w:lang w:eastAsia="lv-LV"/>
              </w:rPr>
              <w:t xml:space="preserve"> </w:t>
            </w:r>
            <w:hyperlink r:id="rId8" w:history="1">
              <w:r w:rsidRPr="00E915BB">
                <w:rPr>
                  <w:rStyle w:val="Hyperlink"/>
                  <w:rFonts w:ascii="Times New Roman" w:eastAsia="Times New Roman" w:hAnsi="Times New Roman" w:cs="Times New Roman"/>
                  <w:color w:val="auto"/>
                  <w:sz w:val="24"/>
                  <w:szCs w:val="24"/>
                  <w:lang w:eastAsia="lv-LV"/>
                </w:rPr>
                <w:t>http://www.csb.gov.lv/sites/default/files/dati/demstat_metodologija_ver21.pdf</w:t>
              </w:r>
            </w:hyperlink>
            <w:r w:rsidRPr="00E915BB">
              <w:rPr>
                <w:rFonts w:ascii="Times New Roman" w:eastAsia="Times New Roman" w:hAnsi="Times New Roman" w:cs="Times New Roman"/>
                <w:sz w:val="24"/>
                <w:szCs w:val="24"/>
                <w:lang w:eastAsia="lv-LV"/>
              </w:rPr>
              <w:t xml:space="preserve">). </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Tā kā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rsidR="00F316BF" w:rsidRPr="00E915BB" w:rsidRDefault="00F316BF" w:rsidP="00F316B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Eurostat ir novērtējusi Pārvaldes izstrādāto iedzīvotāju statistikas sagatavošanas metodiku un tā kā labās prakses piemērs prezentēta citām Eiropas Savienības dalībvalstīm Eurostat darba grupas sanāksmē par iedzīvotāju statistiku un ES Padomes Statistikas darba grupas sanāksmē.</w:t>
            </w:r>
          </w:p>
          <w:p w:rsidR="009E5E36" w:rsidRPr="00E915BB" w:rsidRDefault="009E5E36" w:rsidP="008844DF">
            <w:pPr>
              <w:rPr>
                <w:rFonts w:ascii="Times New Roman" w:eastAsia="Times New Roman" w:hAnsi="Times New Roman" w:cs="Times New Roman"/>
                <w:sz w:val="24"/>
                <w:szCs w:val="24"/>
                <w:lang w:eastAsia="lv-LV"/>
              </w:rPr>
            </w:pPr>
          </w:p>
          <w:p w:rsidR="00D177EA" w:rsidRPr="00E915BB" w:rsidRDefault="00D177EA" w:rsidP="00D177EA">
            <w:pPr>
              <w:jc w:val="both"/>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 xml:space="preserve">5.3. Lai nodrošinātu savlaicīgu, precīzu, pilnīgu, viegli saprotamu un starptautiski salīdzināmu iedzīvotāju statistiku, Pārvalde ir pilnveidojusi savu izstrādāto metodi, palielinot to datu apjomu, ko iegūst no administratīvajiem </w:t>
            </w:r>
            <w:r w:rsidRPr="00E915BB">
              <w:rPr>
                <w:rFonts w:ascii="Times New Roman" w:eastAsia="Times New Roman" w:hAnsi="Times New Roman" w:cs="Times New Roman"/>
                <w:sz w:val="24"/>
                <w:szCs w:val="24"/>
                <w:lang w:eastAsia="lv-LV"/>
              </w:rPr>
              <w:lastRenderedPageBreak/>
              <w:t>datu avotiem ar datiem no bibliotēkām un Ieslodzījuma vietu pārvaldes (turpmāk – IeVP).</w:t>
            </w:r>
          </w:p>
          <w:p w:rsidR="00D177EA" w:rsidRPr="00E915BB" w:rsidRDefault="00D177EA" w:rsidP="00D177EA">
            <w:pPr>
              <w:jc w:val="both"/>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Iedzīvotāju skaita aprēķinam PMLP Iedzīvotāju reģistrā reģistrētie iedzīvotāji tiek sadalīti divās grupās – faktiski dzīvo Latvijā (Latvijas pastāvīgie iedzīvotāji) vai faktiski dzīvo ārzemēs.</w:t>
            </w:r>
          </w:p>
          <w:p w:rsidR="00D177EA" w:rsidRPr="00E915BB" w:rsidRDefault="00D177EA" w:rsidP="00D177EA">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5.3.1. Dati no bibliotēkām par iedzīvotājiem, kas izmanto to pakalpojumus, ir nepieciešami iedzīvotāju statistikas sagatavošanai, jo šos pakalpojumus ir iespējams izmantot tiem iedzīvotajiem, kuri faktiski dzīvo Latvijā. Šie dati, tos apvienojot ar jau izmantotajiem administratīvajiem datiem, palielinās aprēķinātās iedzīvotāju statistikas precizitāti un ticamību. Šobrīd iedzīvotāju skaita novērtējuma pamatā izmanto valsts administratīvo datu reģistrus, kurus uztur Valsts ieņēmumu dienests</w:t>
            </w:r>
            <w:r w:rsidR="00862705" w:rsidRPr="00E915BB">
              <w:rPr>
                <w:rFonts w:ascii="Times New Roman" w:eastAsia="Times New Roman" w:hAnsi="Times New Roman" w:cs="Times New Roman"/>
                <w:sz w:val="24"/>
                <w:szCs w:val="24"/>
                <w:lang w:eastAsia="lv-LV"/>
              </w:rPr>
              <w:t xml:space="preserve"> (turpmāk-VID)</w:t>
            </w:r>
            <w:r w:rsidRPr="00E915BB">
              <w:rPr>
                <w:rFonts w:ascii="Times New Roman" w:eastAsia="Times New Roman" w:hAnsi="Times New Roman" w:cs="Times New Roman"/>
                <w:sz w:val="24"/>
                <w:szCs w:val="24"/>
                <w:lang w:eastAsia="lv-LV"/>
              </w:rPr>
              <w:t>, Izglītības un zinātnes ministrija</w:t>
            </w:r>
            <w:r w:rsidR="00862705" w:rsidRPr="00E915BB">
              <w:rPr>
                <w:rFonts w:ascii="Times New Roman" w:eastAsia="Times New Roman" w:hAnsi="Times New Roman" w:cs="Times New Roman"/>
                <w:sz w:val="24"/>
                <w:szCs w:val="24"/>
                <w:lang w:eastAsia="lv-LV"/>
              </w:rPr>
              <w:t xml:space="preserve"> (turpmāk- IZM)</w:t>
            </w:r>
            <w:r w:rsidRPr="00E915BB">
              <w:rPr>
                <w:rFonts w:ascii="Times New Roman" w:eastAsia="Times New Roman" w:hAnsi="Times New Roman" w:cs="Times New Roman"/>
                <w:sz w:val="24"/>
                <w:szCs w:val="24"/>
                <w:lang w:eastAsia="lv-LV"/>
              </w:rPr>
              <w:t>, Nacionālais veselības dienests un Nodarbinātības valsts aģentūra, bet ir personas, par kurām informācija šajos reģistros nav, piemēram, personas, kuras nav oficiāli nodarbinātas, nesaņem pabalstus vai pensijas, ienākumus gūst no savas piemājas saimniecības, kā arī īpašās grupas – personas bez noteiktas dzīves vietas, bērni un jaunieši, kuri neapmeklē mācību iestādes. Šīs personas, par kurām citos reģistros informācijas nav, var apmeklēt un apmeklē bibliotēkas, kur ir iespēja iegūt jaunāko literatūru un izmantot internetu.</w:t>
            </w:r>
          </w:p>
          <w:p w:rsidR="00D177EA" w:rsidRPr="00E915BB" w:rsidRDefault="00D177EA" w:rsidP="00D177EA">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2013. gadā publiskās bibliotēkas apmeklēja 432 tūkstoši lasītāju, kas ir 22% no kopējā Latvijas pastāvīgo iedzīvotāju skaita, tā ir viena no skaitliski lielākajām personu datu bāzēm. Tā kā bibliotēku apmeklētāju skaits ir liels, arī to iedzīvotāju skaits, par kuriem informācija ir pieejama tikai datos no bibliotēkām, būs skaitliski liels, tādēļ šo iedzīvotāju neiekļaušana iedzīvotāju skaitā ietekmēs sagatavoto datu kvalitāti un to atbilstību regulā Nr. 1260/2013 noteiktajam.</w:t>
            </w:r>
          </w:p>
          <w:p w:rsidR="00D177EA" w:rsidRPr="00E915BB" w:rsidRDefault="00D177EA" w:rsidP="00D177EA">
            <w:pPr>
              <w:autoSpaceDE w:val="0"/>
              <w:autoSpaceDN w:val="0"/>
              <w:adjustRightInd w:val="0"/>
              <w:spacing w:before="240"/>
              <w:jc w:val="both"/>
              <w:rPr>
                <w:rFonts w:ascii="Times New Roman" w:hAnsi="Times New Roman" w:cs="Times New Roman"/>
                <w:sz w:val="28"/>
                <w:szCs w:val="28"/>
              </w:rPr>
            </w:pPr>
            <w:r w:rsidRPr="00E915BB">
              <w:rPr>
                <w:rFonts w:ascii="Times New Roman" w:eastAsia="Times New Roman" w:hAnsi="Times New Roman" w:cs="Times New Roman"/>
                <w:sz w:val="24"/>
                <w:szCs w:val="24"/>
                <w:lang w:eastAsia="lv-LV"/>
              </w:rPr>
              <w:t xml:space="preserve">5.3.2. Pēc informācijas, kas pieejama PMLP Iedzīvotāju reģistrā un citos administratīvo datu avotos, nav iespējams noteikt, vai persona atrodas ieslodzījumā. Līdz šim iedzīvotāju skaita novērtējumā tika izmantota 2011. gada tautas skaitīšanā iegūtā informācija, bet tās precizitāte strauji samazinās, jo skaitīšana notika pirms četriem gadiem. Ieslodzījuma vietās 2011. gadā atradās 6,8 tūkst. cilvēku. Analizējot skaitīšanas datus, iegūts novērtējums, ka tikai par 57% ieslodzīto informāciju var iegūt no citiem administratīvo datu avotiem (dati par ieslodzīto nodarbinātību, mācībām, veselības aprūpi u.c.). 2014. gada sākumā ieslodzījuma vietās atradās 5,2 tūkst. personu, un, </w:t>
            </w:r>
            <w:r w:rsidRPr="00E915BB">
              <w:rPr>
                <w:rFonts w:ascii="Times New Roman" w:hAnsi="Times New Roman" w:cs="Times New Roman"/>
                <w:sz w:val="24"/>
                <w:szCs w:val="24"/>
              </w:rPr>
              <w:t xml:space="preserve">tā kā IeVP apkopotā informācija ir vienīgais informācijas avots par aptuveni 5,2 tūkst. valsts iedzīvoju, šī informācija būtiski </w:t>
            </w:r>
            <w:r w:rsidRPr="00E915BB">
              <w:rPr>
                <w:rFonts w:ascii="Times New Roman" w:eastAsia="Times New Roman" w:hAnsi="Times New Roman" w:cs="Times New Roman"/>
                <w:sz w:val="24"/>
                <w:szCs w:val="24"/>
                <w:lang w:eastAsia="lv-LV"/>
              </w:rPr>
              <w:t xml:space="preserve">palielinās aprēķinātās iedzīvotāju statistikas precizitāti un ticamību. </w:t>
            </w:r>
            <w:r w:rsidRPr="00E915BB">
              <w:rPr>
                <w:rFonts w:ascii="Times New Roman" w:hAnsi="Times New Roman" w:cs="Times New Roman"/>
                <w:sz w:val="24"/>
                <w:szCs w:val="24"/>
              </w:rPr>
              <w:t>Apstrādājot informāciju par personām, kuras atrodas ieslodzījuma vietās, netiek apstrādāta informācija par to izdarītajiem pārkāpumiem, bet gan informācija par to personas kodu, ieslodzījuma vietas ATVK kodu, kā arī soda izciešanas sākuma un beigu datumu.</w:t>
            </w:r>
          </w:p>
          <w:p w:rsidR="009E5E36" w:rsidRPr="00E915BB" w:rsidRDefault="009E5E36" w:rsidP="008844DF">
            <w:pPr>
              <w:jc w:val="both"/>
              <w:rPr>
                <w:rFonts w:ascii="Times New Roman" w:eastAsia="Times New Roman" w:hAnsi="Times New Roman" w:cs="Times New Roman"/>
                <w:sz w:val="24"/>
                <w:szCs w:val="24"/>
                <w:lang w:eastAsia="lv-LV"/>
              </w:rPr>
            </w:pPr>
          </w:p>
          <w:p w:rsidR="009E5E36" w:rsidRPr="00E915BB" w:rsidRDefault="009E5E36" w:rsidP="008844DF">
            <w:pPr>
              <w:rPr>
                <w:rFonts w:ascii="Times New Roman" w:eastAsia="Times New Roman" w:hAnsi="Times New Roman" w:cs="Times New Roman"/>
                <w:sz w:val="24"/>
                <w:szCs w:val="24"/>
                <w:lang w:eastAsia="lv-LV"/>
              </w:rPr>
            </w:pPr>
          </w:p>
          <w:p w:rsidR="00D177EA" w:rsidRPr="00E915BB" w:rsidRDefault="00D177EA" w:rsidP="00D177EA">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5.4. Ņemot vērā anotācijas 4. un 5. punktā minēto, ir saprotams, ka no personas datu vākšanas un apstrādes iedzīvotāju statistikas nodrošināšanai sabiedrības ieguvums ir lielāks nekā iespējamais fizisko personu tiesību uz privātumu aizskārums, tādēļ bibliotēku un IeVP rīcībā esošo personas datu izmantošana </w:t>
            </w:r>
            <w:r w:rsidRPr="00E915BB">
              <w:rPr>
                <w:rFonts w:ascii="Times New Roman" w:eastAsia="Times New Roman" w:hAnsi="Times New Roman" w:cs="Times New Roman"/>
                <w:sz w:val="24"/>
                <w:szCs w:val="24"/>
                <w:lang w:eastAsia="lv-LV"/>
              </w:rPr>
              <w:lastRenderedPageBreak/>
              <w:t>iedzīvotāju statistikas nodrošināšanai ir samērīga un iegūtais sabiedriskais labums būtiski pārsniedz personas tiesību ierobežojumu.</w:t>
            </w:r>
          </w:p>
          <w:p w:rsidR="00C84719" w:rsidRPr="00E915BB" w:rsidRDefault="00C84719" w:rsidP="008844DF">
            <w:pPr>
              <w:jc w:val="both"/>
              <w:rPr>
                <w:rFonts w:ascii="Times New Roman" w:eastAsia="Times New Roman" w:hAnsi="Times New Roman" w:cs="Times New Roman"/>
                <w:sz w:val="24"/>
                <w:szCs w:val="24"/>
                <w:lang w:eastAsia="lv-LV"/>
              </w:rPr>
            </w:pPr>
          </w:p>
          <w:p w:rsidR="00D177EA" w:rsidRPr="00E915BB" w:rsidRDefault="009E2B0D" w:rsidP="00D177EA">
            <w:pPr>
              <w:jc w:val="both"/>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6</w:t>
            </w:r>
            <w:r w:rsidR="00D177EA" w:rsidRPr="00E915BB">
              <w:rPr>
                <w:rFonts w:ascii="Times New Roman" w:eastAsia="Times New Roman" w:hAnsi="Times New Roman" w:cs="Times New Roman"/>
                <w:sz w:val="24"/>
                <w:szCs w:val="24"/>
                <w:lang w:eastAsia="lv-LV"/>
              </w:rPr>
              <w:t xml:space="preserve">. </w:t>
            </w:r>
            <w:r w:rsidR="00D177EA" w:rsidRPr="00E915BB">
              <w:rPr>
                <w:rFonts w:ascii="Times New Roman" w:hAnsi="Times New Roman" w:cs="Times New Roman"/>
                <w:sz w:val="24"/>
                <w:szCs w:val="24"/>
              </w:rPr>
              <w:t xml:space="preserve">Personas datu apstrāde ārējās tirdzniecības statistikā ir nepieciešama, lai apkopotu preču tirdzniecības statistiku ar trešajām valstīm (VSIP projekta 3.1. punkts).  Šādas statistikas apkopošanu nosaka Eiropas Parlamenta un Padomes regula (EK) nr.471/2009 (2009.gada 6.maijs) par Kopienas statistiku attiecībā uz ārējo tirdzniecību ar ārpuskopienas valstīm un par Padomes regulas (EK) Nr. 1172/95 atcelšanu.  </w:t>
            </w:r>
          </w:p>
          <w:p w:rsidR="00D177EA" w:rsidRPr="00E915BB" w:rsidRDefault="00D177EA" w:rsidP="00D177EA">
            <w:pPr>
              <w:jc w:val="both"/>
              <w:rPr>
                <w:rFonts w:ascii="Times New Roman" w:hAnsi="Times New Roman" w:cs="Times New Roman"/>
                <w:sz w:val="24"/>
                <w:szCs w:val="24"/>
              </w:rPr>
            </w:pPr>
            <w:r w:rsidRPr="00E915BB">
              <w:rPr>
                <w:rFonts w:ascii="Times New Roman" w:hAnsi="Times New Roman" w:cs="Times New Roman"/>
                <w:sz w:val="24"/>
                <w:szCs w:val="24"/>
              </w:rPr>
              <w:t>Ārējās tirdzniecības statistika atspoguļo preču importu un eksportu.  Dalībvalstīm ir jāuzskaita preču eksports un imports, kuras tiek izvestas no Eiropas Savienības statistikas teritorijas vai tiek ievestas Eiropas Savienības statistikas teritorijā.  Ārējās tirdzniecības statistikā ar trešajām valstīm atbilstoši metodoloģijai ir jāiekļauj pilnīgi visas preces, kuras tiek ievestas vai izvestas Eiropas Savienības statistikas teritorijas neatkarīgi no tā, vai preču eksportētājs vai importētājs ir fiziska persona, juridiska persona vai valsts institūcija.</w:t>
            </w:r>
          </w:p>
          <w:p w:rsidR="00D177EA" w:rsidRPr="00E915BB" w:rsidRDefault="00D177EA" w:rsidP="00D177EA">
            <w:pPr>
              <w:jc w:val="both"/>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 xml:space="preserve">Saskaņā ar Regulu šīs statistikas galvenais datu avots ir Vienotais  administratīvais dokuments jeb muitas deklarācija. Informāciju no muitas deklarācijām Pārvalde saņem no </w:t>
            </w:r>
            <w:r w:rsidR="00782A1A" w:rsidRPr="00E915BB">
              <w:rPr>
                <w:rFonts w:ascii="Times New Roman" w:hAnsi="Times New Roman" w:cs="Times New Roman"/>
                <w:sz w:val="24"/>
                <w:szCs w:val="24"/>
              </w:rPr>
              <w:t>VID</w:t>
            </w:r>
            <w:r w:rsidRPr="00E915BB">
              <w:rPr>
                <w:rFonts w:ascii="Times New Roman" w:hAnsi="Times New Roman" w:cs="Times New Roman"/>
                <w:sz w:val="24"/>
                <w:szCs w:val="24"/>
              </w:rPr>
              <w:t xml:space="preserve"> saskaņā ar noslēgto līgumu </w:t>
            </w:r>
            <w:r w:rsidRPr="00E915BB">
              <w:rPr>
                <w:rFonts w:ascii="Times New Roman" w:eastAsia="Times New Roman" w:hAnsi="Times New Roman" w:cs="Times New Roman"/>
                <w:sz w:val="24"/>
                <w:szCs w:val="24"/>
                <w:lang w:eastAsia="lv-LV"/>
              </w:rPr>
              <w:t>"Starpresoru vienošanās par sadarbību ārējās tirdzniecības statistikas jomā”.  Tā kā ārējās tirdzniecības statistikas galvenais objekts ir preces, tad Pārvalde pēc muitu kravas deklarāciju datu saņemšanas fizisko personu identifikatorus (vārds, uzvārds, personas kods) anonimizē, un tālākajā datu apstrādē fiziskās personas nav iespējams identificēt.</w:t>
            </w:r>
          </w:p>
          <w:p w:rsidR="004372F5" w:rsidRPr="00E915BB" w:rsidRDefault="004372F5" w:rsidP="008844DF">
            <w:pPr>
              <w:jc w:val="both"/>
              <w:rPr>
                <w:rFonts w:ascii="Times New Roman" w:hAnsi="Times New Roman" w:cs="Times New Roman"/>
                <w:sz w:val="24"/>
                <w:szCs w:val="24"/>
              </w:rPr>
            </w:pPr>
          </w:p>
          <w:p w:rsidR="00D177EA" w:rsidRPr="00E915BB" w:rsidRDefault="00D177EA" w:rsidP="00D177EA">
            <w:pPr>
              <w:jc w:val="both"/>
              <w:rPr>
                <w:rFonts w:ascii="Times New Roman" w:hAnsi="Times New Roman" w:cs="Times New Roman"/>
                <w:bCs/>
                <w:sz w:val="24"/>
                <w:szCs w:val="24"/>
              </w:rPr>
            </w:pPr>
            <w:r w:rsidRPr="00E915BB">
              <w:rPr>
                <w:rFonts w:ascii="Times New Roman" w:hAnsi="Times New Roman" w:cs="Times New Roman"/>
                <w:sz w:val="24"/>
                <w:szCs w:val="24"/>
              </w:rPr>
              <w:t xml:space="preserve">7. </w:t>
            </w:r>
            <w:r w:rsidRPr="00E915BB">
              <w:rPr>
                <w:rFonts w:ascii="Times New Roman" w:hAnsi="Times New Roman" w:cs="Times New Roman"/>
                <w:sz w:val="24"/>
                <w:szCs w:val="24"/>
                <w:shd w:val="clear" w:color="auto" w:fill="FFFFFF" w:themeFill="background1"/>
              </w:rPr>
              <w:t>Lai samazinātu respondentu noslodzi un nodrošinātu savlaicīgu, precīzu, statistiku par lauksaimniecības dzīvnieku skaitu (VSIP 16.5.1.) atbilstoši Eiropas Parlamenta un Padomes Regulas (EK) Nr. 1165/2008</w:t>
            </w:r>
            <w:r w:rsidRPr="00E915BB">
              <w:rPr>
                <w:rStyle w:val="FootnoteReference"/>
                <w:rFonts w:ascii="Times New Roman" w:hAnsi="Times New Roman" w:cs="Times New Roman"/>
                <w:sz w:val="24"/>
                <w:szCs w:val="24"/>
                <w:shd w:val="clear" w:color="auto" w:fill="FFFFFF" w:themeFill="background1"/>
              </w:rPr>
              <w:footnoteReference w:id="1"/>
            </w:r>
            <w:r w:rsidRPr="00E915BB">
              <w:rPr>
                <w:rFonts w:ascii="Times New Roman" w:hAnsi="Times New Roman" w:cs="Times New Roman"/>
                <w:sz w:val="24"/>
                <w:szCs w:val="24"/>
                <w:shd w:val="clear" w:color="auto" w:fill="FFFFFF" w:themeFill="background1"/>
              </w:rPr>
              <w:t xml:space="preserve"> prasībām, Pārvalde izmanto administratīvā datu avota – Lauksaimniecības datu centra</w:t>
            </w:r>
            <w:r w:rsidR="00782A1A" w:rsidRPr="00E915BB">
              <w:rPr>
                <w:rFonts w:ascii="Times New Roman" w:hAnsi="Times New Roman" w:cs="Times New Roman"/>
                <w:sz w:val="24"/>
                <w:szCs w:val="24"/>
                <w:shd w:val="clear" w:color="auto" w:fill="FFFFFF" w:themeFill="background1"/>
              </w:rPr>
              <w:t xml:space="preserve"> (turpmāk – LDC)</w:t>
            </w:r>
            <w:r w:rsidRPr="00E915BB">
              <w:rPr>
                <w:rFonts w:ascii="Times New Roman" w:hAnsi="Times New Roman" w:cs="Times New Roman"/>
                <w:sz w:val="24"/>
                <w:szCs w:val="24"/>
                <w:shd w:val="clear" w:color="auto" w:fill="FFFFFF" w:themeFill="background1"/>
              </w:rPr>
              <w:t xml:space="preserve"> Lauksaimniecības dzīvnieku reģistra datus par dzīvnieku skaitu pa sugām un vecuma grupām, par ganāmpulka novietni un tās īpašnieku. Lai nodrošinātu administratīvo datu izmantošanu atbilstoši Regulas (EK) Nr. 1165/2008 prasībām, jāievēro regulā definētā respondējošā vienība. Lauksaimniecības statistikā respondējošā vienība ir lauku saimniecība –</w:t>
            </w:r>
            <w:r w:rsidRPr="00E915BB">
              <w:rPr>
                <w:rFonts w:ascii="Times New Roman" w:hAnsi="Times New Roman" w:cs="Times New Roman"/>
                <w:sz w:val="24"/>
                <w:szCs w:val="24"/>
              </w:rPr>
              <w:t xml:space="preserve"> gan tehniski, gan saimnieciski atsevišķa vienība, kas ražo lauksaimniecības produkciju vai uztur zemi labā lauksaimniecības un vides stāvoklī. Lauku saimniecība var būt gan juridiska persona (reģistrēta Uzņēmumu reģistrā), gan fiziska persona, kas ražo lauksaimniecības produkciju. Savukārt, </w:t>
            </w:r>
            <w:r w:rsidR="00782A1A" w:rsidRPr="00E915BB">
              <w:rPr>
                <w:rFonts w:ascii="Times New Roman" w:hAnsi="Times New Roman" w:cs="Times New Roman"/>
                <w:sz w:val="24"/>
                <w:szCs w:val="24"/>
              </w:rPr>
              <w:t>LDC</w:t>
            </w:r>
            <w:r w:rsidRPr="00E915BB">
              <w:rPr>
                <w:rFonts w:ascii="Times New Roman" w:hAnsi="Times New Roman" w:cs="Times New Roman"/>
                <w:sz w:val="24"/>
                <w:szCs w:val="24"/>
              </w:rPr>
              <w:t xml:space="preserve"> Lauksaimniecības dzīvnieku reģistrā atskaites vienība ir ganāmpulks. Lai piesaistītu ganāmpulku konkrētai lauku saimniecībai, nepieciešama arī informācija par ganāmpulka turētāju (gan juridisku, gan fizisku personu). Tālākā datu apstrādes procesā fizisko personu datus </w:t>
            </w:r>
            <w:r w:rsidRPr="00E915BB">
              <w:rPr>
                <w:rFonts w:ascii="Times New Roman" w:hAnsi="Times New Roman" w:cs="Times New Roman"/>
                <w:bCs/>
                <w:sz w:val="24"/>
                <w:szCs w:val="24"/>
              </w:rPr>
              <w:t>Pārvalde izmanto vienīgi kopsavilkumu datu iegūšanai un grupējumu tabulu veidošanai.</w:t>
            </w:r>
          </w:p>
          <w:p w:rsidR="00D177EA" w:rsidRPr="00E915BB" w:rsidRDefault="00D177EA" w:rsidP="00D177EA">
            <w:pPr>
              <w:jc w:val="both"/>
              <w:rPr>
                <w:rFonts w:ascii="Times New Roman" w:eastAsia="Times New Roman" w:hAnsi="Times New Roman" w:cs="Times New Roman"/>
                <w:sz w:val="24"/>
                <w:szCs w:val="24"/>
                <w:lang w:eastAsia="lv-LV"/>
              </w:rPr>
            </w:pPr>
          </w:p>
          <w:p w:rsidR="00D177EA" w:rsidRPr="00E915BB" w:rsidRDefault="00D177EA" w:rsidP="00D177EA">
            <w:pPr>
              <w:jc w:val="both"/>
              <w:rPr>
                <w:rFonts w:ascii="Times New Roman" w:hAnsi="Times New Roman" w:cs="Times New Roman"/>
                <w:bCs/>
                <w:sz w:val="24"/>
                <w:szCs w:val="24"/>
              </w:rPr>
            </w:pPr>
            <w:r w:rsidRPr="00E915BB">
              <w:rPr>
                <w:rFonts w:ascii="Times New Roman" w:eastAsia="Times New Roman" w:hAnsi="Times New Roman" w:cs="Times New Roman"/>
                <w:sz w:val="24"/>
                <w:szCs w:val="24"/>
                <w:lang w:eastAsia="lv-LV"/>
              </w:rPr>
              <w:t xml:space="preserve">7.1. Statistiskā lauku saimniecību reģistra (SLSR) informācijas regulārai aktualizācijai Pārvalde izmanto administratīvo datu avotu - Valsts zemes </w:t>
            </w:r>
            <w:r w:rsidRPr="00E915BB">
              <w:rPr>
                <w:rFonts w:ascii="Times New Roman" w:eastAsia="Times New Roman" w:hAnsi="Times New Roman" w:cs="Times New Roman"/>
                <w:sz w:val="24"/>
                <w:szCs w:val="24"/>
                <w:lang w:eastAsia="lv-LV"/>
              </w:rPr>
              <w:lastRenderedPageBreak/>
              <w:t xml:space="preserve">dienesta Kadastra informācijas sistēmas datus par fizisko personu tiesiskā valdījumā vai lietojumā, nomā esošām zemes vienībām, kuru zemes lietošanas mērķis ir lauksaimniecība un mežsaimniecība. SLSR pamatvienība ir lauku saimniecība - </w:t>
            </w:r>
            <w:r w:rsidRPr="00E915BB">
              <w:rPr>
                <w:rFonts w:ascii="Times New Roman" w:hAnsi="Times New Roman" w:cs="Times New Roman"/>
                <w:sz w:val="24"/>
                <w:szCs w:val="24"/>
              </w:rPr>
              <w:t xml:space="preserve">gan tehniski, gan saimnieciski atsevišķa vienība, kas ražo lauksaimniecības produkciju vai uztur zemi labā lauksaimniecības un vides stāvoklī. Lauku saimniecība var būt gan juridiska persona (reģistrēta Uzņēmumu reģistrā), gan fiziska persona, kas ražo lauksaimniecības produkciju. </w:t>
            </w:r>
            <w:r w:rsidRPr="00E915BB">
              <w:rPr>
                <w:rFonts w:ascii="Times New Roman" w:eastAsia="Times New Roman" w:hAnsi="Times New Roman" w:cs="Times New Roman"/>
                <w:sz w:val="24"/>
                <w:szCs w:val="24"/>
                <w:lang w:eastAsia="lv-LV"/>
              </w:rPr>
              <w:t>Administratīvo datu atskaites vienība neatbilst lauksaimniecības statistikā izmantotajai respondējošai vienībai, tāpēc tiek izmantoti dažādi identifikatori, lai savietotu administratīvo datu informāciju ar SLSR informāciju un tā būtu tālāk izmantojama statistikas vajadzībām. Administratīvo avotu dati tiek izmantoti SLSR datu analīzei un kvalitātes pārbaudei lauku saimniecību līmenī, lai nodrošinātu informāciju par lauku saimniecību skaitu un zemju platībām (VSIP 16.18.). SLSR tiek izmantots lauksaimniecības statistikas apsekojumu izlašu veidošanai lauku saimniecību līmenī</w:t>
            </w:r>
            <w:r w:rsidR="00CB4C5C" w:rsidRPr="00E915BB">
              <w:rPr>
                <w:rFonts w:ascii="Times New Roman" w:eastAsia="Times New Roman" w:hAnsi="Times New Roman" w:cs="Times New Roman"/>
                <w:sz w:val="24"/>
                <w:szCs w:val="24"/>
                <w:lang w:eastAsia="lv-LV"/>
              </w:rPr>
              <w:t xml:space="preserve">. Regulāri aktualizēta SLSR informācija nodrošina kvalitatīvu lauksaimniecības statistikas apsekojumu izlašu veidošanu lauku saimniecību līmenī. </w:t>
            </w:r>
          </w:p>
          <w:p w:rsidR="003B7462" w:rsidRPr="00E915BB" w:rsidRDefault="003B7462" w:rsidP="008844DF">
            <w:pPr>
              <w:jc w:val="both"/>
              <w:rPr>
                <w:rFonts w:ascii="Times New Roman" w:eastAsia="Times New Roman" w:hAnsi="Times New Roman" w:cs="Times New Roman"/>
                <w:sz w:val="24"/>
                <w:szCs w:val="24"/>
                <w:lang w:eastAsia="lv-LV"/>
              </w:rPr>
            </w:pPr>
          </w:p>
          <w:p w:rsidR="00D177EA" w:rsidRPr="00E915BB" w:rsidRDefault="00D177EA" w:rsidP="00D177EA">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7.2. </w:t>
            </w:r>
            <w:r w:rsidR="00782A1A" w:rsidRPr="00E915BB">
              <w:rPr>
                <w:rFonts w:ascii="Times New Roman" w:eastAsia="Times New Roman" w:hAnsi="Times New Roman" w:cs="Times New Roman"/>
                <w:sz w:val="24"/>
                <w:szCs w:val="24"/>
                <w:lang w:eastAsia="lv-LV"/>
              </w:rPr>
              <w:t>SLRS</w:t>
            </w:r>
            <w:r w:rsidRPr="00E915BB">
              <w:rPr>
                <w:rFonts w:ascii="Times New Roman" w:eastAsia="Times New Roman" w:hAnsi="Times New Roman" w:cs="Times New Roman"/>
                <w:sz w:val="24"/>
                <w:szCs w:val="24"/>
                <w:lang w:eastAsia="lv-LV"/>
              </w:rPr>
              <w:t xml:space="preserve"> informācija par lauku saimniecību ekonomisko lielumu un specializāciju (VSIP 16.19.) ir svarīga izlašu veidošanā. Šīs informācijas noteikšanai Pārvalde izmanto administratīvo datus -  </w:t>
            </w:r>
            <w:r w:rsidR="00782A1A" w:rsidRPr="00E915BB">
              <w:rPr>
                <w:rFonts w:ascii="Times New Roman" w:eastAsia="Times New Roman" w:hAnsi="Times New Roman" w:cs="Times New Roman"/>
                <w:sz w:val="24"/>
                <w:szCs w:val="24"/>
                <w:lang w:eastAsia="lv-LV"/>
              </w:rPr>
              <w:t>LDC</w:t>
            </w:r>
            <w:r w:rsidRPr="00E915BB">
              <w:rPr>
                <w:rFonts w:ascii="Times New Roman" w:eastAsia="Times New Roman" w:hAnsi="Times New Roman" w:cs="Times New Roman"/>
                <w:sz w:val="24"/>
                <w:szCs w:val="24"/>
                <w:lang w:eastAsia="lv-LV"/>
              </w:rPr>
              <w:t xml:space="preserve"> Lauksaimniecības dzīvnieku reģistra datus par dzīvnieku skaitu pa sugām un vecuma grupām, par ganāmpulka novietni un tās īpašnieku, kurus izmanto lauku saimniecību lopkopības standarta izlaides aprēķinam; Lauku atbalsta dienesta</w:t>
            </w:r>
            <w:r w:rsidR="00994CCA" w:rsidRPr="00E915BB">
              <w:rPr>
                <w:rFonts w:ascii="Times New Roman" w:eastAsia="Times New Roman" w:hAnsi="Times New Roman" w:cs="Times New Roman"/>
                <w:sz w:val="24"/>
                <w:szCs w:val="24"/>
                <w:lang w:eastAsia="lv-LV"/>
              </w:rPr>
              <w:t xml:space="preserve"> (turpmāk – LAD)</w:t>
            </w:r>
            <w:r w:rsidRPr="00E915BB">
              <w:rPr>
                <w:rFonts w:ascii="Times New Roman" w:eastAsia="Times New Roman" w:hAnsi="Times New Roman" w:cs="Times New Roman"/>
                <w:sz w:val="24"/>
                <w:szCs w:val="24"/>
                <w:lang w:eastAsia="lv-LV"/>
              </w:rPr>
              <w:t xml:space="preserve"> informāciju par ES tiešo maksājumu saņēmēju deklarētām un apstiprinātām lauksaimniecības kultūru sējumu platībām kultūru līmenī, kuru izmanto lauku saimniecību augkopības standarta izlaides aprēķinam; kā arī </w:t>
            </w:r>
            <w:r w:rsidR="00782A1A" w:rsidRPr="00E915BB">
              <w:rPr>
                <w:rFonts w:ascii="Times New Roman" w:eastAsia="Times New Roman" w:hAnsi="Times New Roman" w:cs="Times New Roman"/>
                <w:sz w:val="24"/>
                <w:szCs w:val="24"/>
                <w:lang w:eastAsia="lv-LV"/>
              </w:rPr>
              <w:t xml:space="preserve">LDC </w:t>
            </w:r>
            <w:r w:rsidRPr="00E915BB">
              <w:rPr>
                <w:rFonts w:ascii="Times New Roman" w:eastAsia="Times New Roman" w:hAnsi="Times New Roman" w:cs="Times New Roman"/>
                <w:sz w:val="24"/>
                <w:szCs w:val="24"/>
                <w:lang w:eastAsia="lv-LV"/>
              </w:rPr>
              <w:t xml:space="preserve">Bioloģiskās lauksaimniecības reģistra informāciju par bioloģiski audzēto lauksaimniecības kultūru platībām, </w:t>
            </w:r>
            <w:r w:rsidR="00CB4C5C" w:rsidRPr="00E915BB">
              <w:rPr>
                <w:rFonts w:ascii="Times New Roman" w:eastAsia="Times New Roman" w:hAnsi="Times New Roman" w:cs="Times New Roman"/>
                <w:sz w:val="24"/>
                <w:szCs w:val="24"/>
                <w:lang w:eastAsia="lv-LV"/>
              </w:rPr>
              <w:t xml:space="preserve">kuru izmanto bioloģisko lauku saimniecību pārstāvniecības nodrošināšanai lauksaimniecības izlasē. </w:t>
            </w:r>
            <w:r w:rsidRPr="00E915BB">
              <w:rPr>
                <w:rFonts w:ascii="Times New Roman" w:eastAsia="Times New Roman" w:hAnsi="Times New Roman" w:cs="Times New Roman"/>
                <w:sz w:val="24"/>
                <w:szCs w:val="24"/>
                <w:lang w:eastAsia="lv-LV"/>
              </w:rPr>
              <w:t xml:space="preserve">Tā kā administratīvo datu avotu atskaites vienība atšķiras no lauksaimniecības statistiskā definētās respondējošās vienības - lauku saimniecības, tad nepieciešami identifikatori šo datu savienošanai lauku saimniecību līmenī. Lauku saimniecība ir </w:t>
            </w:r>
            <w:r w:rsidRPr="00E915BB">
              <w:rPr>
                <w:rFonts w:ascii="Times New Roman" w:hAnsi="Times New Roman" w:cs="Times New Roman"/>
                <w:sz w:val="24"/>
                <w:szCs w:val="24"/>
              </w:rPr>
              <w:t>gan tehniski, gan saimnieciski atsevišķa vienība, kas ražo lauksaimniecības produkciju vai uztur zemi labā lauksaimniecības un vides stāvoklī. Lauku saimniecība var būt gan juridiska persona (reģistrēta Uzņēmumu reģistrā), gan fiziska persona, kas ražo lauksaimniecības produkciju</w:t>
            </w:r>
            <w:r w:rsidRPr="00E915BB">
              <w:rPr>
                <w:rFonts w:ascii="Times New Roman" w:eastAsia="Times New Roman" w:hAnsi="Times New Roman" w:cs="Times New Roman"/>
                <w:sz w:val="24"/>
                <w:szCs w:val="24"/>
                <w:lang w:eastAsia="lv-LV"/>
              </w:rPr>
              <w:t xml:space="preserve">. </w:t>
            </w:r>
          </w:p>
          <w:p w:rsidR="00D177EA" w:rsidRPr="00E915BB" w:rsidRDefault="00D177EA" w:rsidP="00D177EA">
            <w:pPr>
              <w:spacing w:before="120" w:after="120"/>
              <w:jc w:val="both"/>
              <w:rPr>
                <w:rFonts w:ascii="Times New Roman" w:hAnsi="Times New Roman" w:cs="Times New Roman"/>
                <w:sz w:val="24"/>
                <w:szCs w:val="24"/>
              </w:rPr>
            </w:pPr>
            <w:r w:rsidRPr="00E915BB">
              <w:rPr>
                <w:rFonts w:ascii="Times New Roman" w:hAnsi="Times New Roman" w:cs="Times New Roman"/>
                <w:sz w:val="24"/>
                <w:szCs w:val="24"/>
              </w:rPr>
              <w:t>7.3. Lai nodrošinātu ikgadējo statistiku par lauksaimniecības kultūru sējumu platībām (VSIP punkts 16.2.) atbilstoši Eiropas Parlamenta un Padomes Regulas (EK) Nr. 543/2009</w:t>
            </w:r>
            <w:r w:rsidRPr="00E915BB">
              <w:rPr>
                <w:rStyle w:val="FootnoteReference"/>
                <w:rFonts w:ascii="Times New Roman" w:hAnsi="Times New Roman" w:cs="Times New Roman"/>
                <w:sz w:val="24"/>
                <w:szCs w:val="24"/>
              </w:rPr>
              <w:footnoteReference w:id="2"/>
            </w:r>
            <w:r w:rsidRPr="00E915BB">
              <w:rPr>
                <w:rFonts w:ascii="Times New Roman" w:hAnsi="Times New Roman" w:cs="Times New Roman"/>
                <w:sz w:val="24"/>
                <w:szCs w:val="24"/>
              </w:rPr>
              <w:t xml:space="preserve">  prasībām, datu analīzei un datu kvalitātes pārbaudei Pārvalde izmanto </w:t>
            </w:r>
            <w:r w:rsidR="00994CCA" w:rsidRPr="00E915BB">
              <w:rPr>
                <w:rFonts w:ascii="Times New Roman" w:hAnsi="Times New Roman" w:cs="Times New Roman"/>
                <w:sz w:val="24"/>
                <w:szCs w:val="24"/>
              </w:rPr>
              <w:t>LAD</w:t>
            </w:r>
            <w:r w:rsidRPr="00E915BB">
              <w:rPr>
                <w:rFonts w:ascii="Times New Roman" w:hAnsi="Times New Roman" w:cs="Times New Roman"/>
                <w:sz w:val="24"/>
                <w:szCs w:val="24"/>
              </w:rPr>
              <w:t xml:space="preserve"> IAKS reģistra datus par deklarētajām lauksaimniecības kultūru sējumu platībām. </w:t>
            </w:r>
            <w:r w:rsidRPr="00E915BB">
              <w:rPr>
                <w:rFonts w:ascii="Times New Roman" w:eastAsia="Times New Roman" w:hAnsi="Times New Roman" w:cs="Times New Roman"/>
                <w:sz w:val="24"/>
                <w:szCs w:val="24"/>
                <w:lang w:eastAsia="lv-LV"/>
              </w:rPr>
              <w:t xml:space="preserve">Tā kā administratīvo datu avotu atskaites vienība atšķiras no lauksaimniecības statistiskā definētās respondējošās vienības lauku saimniecības, tad nepieciešami identifikatori šo datu savienošanai lauku saimniecību līmenī. Lauku saimniecība ir </w:t>
            </w:r>
            <w:r w:rsidRPr="00E915BB">
              <w:rPr>
                <w:rFonts w:ascii="Times New Roman" w:hAnsi="Times New Roman" w:cs="Times New Roman"/>
                <w:sz w:val="24"/>
                <w:szCs w:val="24"/>
              </w:rPr>
              <w:t xml:space="preserve">gan tehniski, </w:t>
            </w:r>
            <w:r w:rsidRPr="00E915BB">
              <w:rPr>
                <w:rFonts w:ascii="Times New Roman" w:hAnsi="Times New Roman" w:cs="Times New Roman"/>
                <w:sz w:val="24"/>
                <w:szCs w:val="24"/>
              </w:rPr>
              <w:lastRenderedPageBreak/>
              <w:t>gan saimnieciski atsevišķa vienība, kas ražo lauksaimniecības produkciju vai uztur zemi labā lauksaimniecības un vides stāvoklī. Lauku saimniecība var būt gan juridiska persona (reģistrēta Uzņēmumu reģistrā), gan fiziska persona, kas ražo lauksaimniecības produkciju.</w:t>
            </w:r>
          </w:p>
          <w:p w:rsidR="00D177EA" w:rsidRPr="00E915BB" w:rsidRDefault="00D177EA" w:rsidP="00D177EA">
            <w:pPr>
              <w:jc w:val="both"/>
              <w:rPr>
                <w:rFonts w:ascii="Times New Roman" w:hAnsi="Times New Roman" w:cs="Times New Roman"/>
                <w:sz w:val="24"/>
                <w:szCs w:val="24"/>
              </w:rPr>
            </w:pPr>
            <w:r w:rsidRPr="00E915BB">
              <w:rPr>
                <w:rFonts w:ascii="Times New Roman" w:hAnsi="Times New Roman" w:cs="Times New Roman"/>
                <w:sz w:val="24"/>
                <w:szCs w:val="24"/>
              </w:rPr>
              <w:t>8. Lai sagatavotu informāciju par datoru un interneta lietošanu mājsaimniecībā (VSIP punkts 28.2.) ir nepieciešami administratīvie dati, kas kalpo diviem mērķiem:  respondentu atlases veidošanai, lai respondenti pietiekami pārstāvētu regulās prasītos datu griezumus, un sociālekonomisko rādītāju iegūšanai. Regula Nr. 808/2004 attiecībā uz Kopienas statistiku  par informācijas sabiedrību un tās II pielikums, un Regula Nr. 1006/2009 ar ko groza Regulu Nr.808/2004 un tās II pielikums nosaka, ka Pārvaldei jānodrošina statistiskā informācija par IKT lietošanu iedzīvotājiem noteiktā vecuma intervālā (no 16 līdz 74 gadiem),  sadalījumā pa vecuma grupām un pēc dzimuma, kā arī jābūt pārstāvētai visas valsts teritorijai. Lai izpildītu šo prasību respondentus jāatlasa tā, lai vienmērīgi būtu pārstāvēta gan visa Latvijas teritorija, gan visas vecuma grupas, lai netiktu iekļautas mirušās personas, kā arī iedzīvotāji, kam ir īslaicīgas uzturēšanās atļaujas, un  ārvalstīs dzīvojošie Latvijas pilsoņi.  Šim nolūkam tiek izmantoti PMLP dati  par dzīvesvietas valsti, uzturēšanās termiņu un mirušajām personām. Tā kā apsekojumā notiek konkrētu fizisku personu aptaujāšana, ir nepieciešama šīs fiziskās personas adrese un personas kods.</w:t>
            </w:r>
          </w:p>
          <w:p w:rsidR="00872B66" w:rsidRPr="00E915BB" w:rsidRDefault="00872B66" w:rsidP="008844DF">
            <w:pPr>
              <w:jc w:val="both"/>
              <w:rPr>
                <w:rFonts w:ascii="Times New Roman" w:hAnsi="Times New Roman" w:cs="Times New Roman"/>
                <w:sz w:val="24"/>
                <w:szCs w:val="24"/>
              </w:rPr>
            </w:pPr>
          </w:p>
          <w:p w:rsidR="00D177EA" w:rsidRPr="00E915BB" w:rsidRDefault="00D177EA" w:rsidP="00D177EA">
            <w:pPr>
              <w:jc w:val="both"/>
              <w:rPr>
                <w:rFonts w:ascii="Times New Roman" w:hAnsi="Times New Roman" w:cs="Times New Roman"/>
                <w:sz w:val="24"/>
                <w:szCs w:val="24"/>
              </w:rPr>
            </w:pPr>
            <w:r w:rsidRPr="00E915BB">
              <w:rPr>
                <w:rFonts w:ascii="Times New Roman" w:hAnsi="Times New Roman" w:cs="Times New Roman"/>
                <w:sz w:val="24"/>
                <w:szCs w:val="24"/>
              </w:rPr>
              <w:t>9. Ārvalstu saistītu uzņēmumu statistikā (turpmāk FATS)  netiek izmantoti dati, kas ļauj identificēt dalībnieka vārdu, uzvārdu vai personas kodu. Administratīvie personu dati tiek anonimizēti uzreiz pēc saņemšanas. FATS var identificēt tikai  dalībnieku sarakstā norādīto valsti. Informācija tiek izmantota, lai noteiktu uzņēmuma galveno kontrolējošās vienības dalībnieku un  valsti.</w:t>
            </w:r>
          </w:p>
          <w:p w:rsidR="00D177EA" w:rsidRPr="00E915BB" w:rsidRDefault="00D177EA" w:rsidP="00D177EA">
            <w:pPr>
              <w:jc w:val="both"/>
              <w:rPr>
                <w:rFonts w:ascii="Times New Roman" w:hAnsi="Times New Roman" w:cs="Times New Roman"/>
                <w:sz w:val="24"/>
                <w:szCs w:val="24"/>
              </w:rPr>
            </w:pPr>
            <w:r w:rsidRPr="00E915BB">
              <w:rPr>
                <w:rFonts w:ascii="Times New Roman" w:hAnsi="Times New Roman" w:cs="Times New Roman"/>
                <w:sz w:val="24"/>
                <w:szCs w:val="24"/>
              </w:rPr>
              <w:t>Gadījumos, ja galvenās kontrolējošās institucionālās vienības dalībnieks ir fiziska persona,  informācijas apstrādei tiek izmantots statistikā piešķirtais identifikācijas kods (UUK). Statistikas uzņēmumu reģistrā (turpmāk SUR) ir pieejama informācija, kas ļauj noteikt dalībnieka valstisko piederību un vārda, uzvārda vietā ir ieraksts "Fiziska persona". Lai mazinātu uzņēmumiem administratīvo slogu, informācija par galvenās kontrolējošās vienības dalībnieku un  valsti netiek prasīta no uzņēmumiem Pārvaldes pārskatos, bet tiek izmantota valsts reģistros pieejamā informācija. Informācija tiek vākta, lai nodrošinātu Regulas 716/2007 prasības.</w:t>
            </w:r>
          </w:p>
          <w:p w:rsidR="00D177EA" w:rsidRPr="00E915BB" w:rsidRDefault="00D177EA" w:rsidP="008844DF">
            <w:pPr>
              <w:jc w:val="both"/>
              <w:rPr>
                <w:rFonts w:ascii="Times New Roman" w:hAnsi="Times New Roman" w:cs="Times New Roman"/>
                <w:sz w:val="24"/>
                <w:szCs w:val="24"/>
              </w:rPr>
            </w:pPr>
          </w:p>
          <w:p w:rsidR="00D177EA" w:rsidRPr="00E915BB" w:rsidRDefault="00D177EA" w:rsidP="00D177EA">
            <w:pPr>
              <w:jc w:val="both"/>
              <w:rPr>
                <w:rFonts w:ascii="Times New Roman" w:hAnsi="Times New Roman" w:cs="Times New Roman"/>
                <w:sz w:val="24"/>
                <w:szCs w:val="24"/>
              </w:rPr>
            </w:pPr>
            <w:r w:rsidRPr="00E915BB">
              <w:rPr>
                <w:rFonts w:ascii="Times New Roman" w:hAnsi="Times New Roman" w:cs="Times New Roman"/>
                <w:sz w:val="24"/>
                <w:szCs w:val="24"/>
              </w:rPr>
              <w:t>10. Uzņēmumu strukturālajā statistikā (turpmāk USS), lai mazinātu administratīvo slogu  pašnodarbinātajiem (fiziskām personām), informācija netiek prasīta no uzņēmumiem Pārvaldes pārskatos, bet tiek izmantota valsts reģistros pieejamā informācija.   Administratīvie personu dati tiek anonimizēti uzreiz pēc saņemšanas, līdz ar to USS netiek izmantoti dati, kas ļauj identificēt konkrētu fizisko personu. Informācijas apstrādei tiek izmantots statistikas piešķirtais identifikācijas kods (UUK). SUR ir pieejama informācija, kas ļauj noteikt tikai saimnieciskās darbības veicēja NACE kodu, ATVK kodu un ieņēmumus. Vārda, uzvārda vietā ir ieraksts "Fiziska persona". Dati tiek izmantoti tikai kopsavilkumu izstrādei. Informācija tiek vākta, lai nodrošinātu Regulas 295/2008 prasības.</w:t>
            </w:r>
          </w:p>
          <w:p w:rsidR="008815DD" w:rsidRPr="00E915BB" w:rsidRDefault="008815DD" w:rsidP="008844DF">
            <w:pPr>
              <w:jc w:val="both"/>
              <w:rPr>
                <w:rFonts w:ascii="Times New Roman" w:hAnsi="Times New Roman" w:cs="Times New Roman"/>
                <w:sz w:val="24"/>
                <w:szCs w:val="24"/>
              </w:rPr>
            </w:pPr>
          </w:p>
          <w:p w:rsidR="00D177EA" w:rsidRPr="00E915BB" w:rsidRDefault="00D177EA" w:rsidP="00D177EA">
            <w:pPr>
              <w:jc w:val="both"/>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lastRenderedPageBreak/>
              <w:t>11.</w:t>
            </w:r>
            <w:r w:rsidRPr="00E915BB">
              <w:rPr>
                <w:rFonts w:ascii="Times New Roman" w:hAnsi="Times New Roman" w:cs="Times New Roman"/>
                <w:b/>
                <w:sz w:val="24"/>
                <w:szCs w:val="24"/>
              </w:rPr>
              <w:t xml:space="preserve"> </w:t>
            </w:r>
            <w:r w:rsidRPr="00E915BB">
              <w:rPr>
                <w:rFonts w:ascii="Times New Roman" w:hAnsi="Times New Roman" w:cs="Times New Roman"/>
                <w:sz w:val="24"/>
                <w:szCs w:val="24"/>
              </w:rPr>
              <w:t xml:space="preserve">VID administratīvās datubāzes tiek lietotas, lai nodrošinātu datu lietotājus ar VSIP 14.sadaļā ‘‘Darba samaksas statistika’’ iekļautajiem rādītājiem, kurus izmanto ES un citas starptautiskās institūcijas, piemēram, Starptautiskā darba organizācija, Starptautiskais valūtas fonds, Pasaules banka, Ekonomiskās sadarbības un attīstības organizācija, Latvijas valsts valdība un institūcijas, komersanti, zinātniski-pētnieciskie institūti, mēdiji u.c. Rādītāji tiek apkopoti, pildot sekojošu ES regulu prasības: </w:t>
            </w:r>
            <w:r w:rsidRPr="00E915BB">
              <w:rPr>
                <w:rFonts w:ascii="Times New Roman" w:eastAsia="Times New Roman" w:hAnsi="Times New Roman" w:cs="Times New Roman"/>
                <w:sz w:val="24"/>
                <w:szCs w:val="24"/>
                <w:lang w:eastAsia="lv-LV"/>
              </w:rPr>
              <w:t xml:space="preserve">īstermiņa statistikas regula Nr.1165/1998, Nr.1503/2006 un Nr.656/2007, darbaspēka izmaksu indeksu regula Nr.450/2003 un 224/2007, brīvo darbvietu regula Nr.453/2008 un Nr.19/2009, </w:t>
            </w:r>
            <w:r w:rsidRPr="00E915BB">
              <w:rPr>
                <w:rFonts w:ascii="Times New Roman" w:eastAsia="EUAlbertina-Bold-Identity-H" w:hAnsi="Times New Roman" w:cs="Times New Roman"/>
                <w:bCs/>
                <w:sz w:val="24"/>
                <w:szCs w:val="24"/>
                <w:lang w:eastAsia="lv-LV"/>
              </w:rPr>
              <w:t>darbaspēka izmaksu apsekojuma regula Nr.530/1999 un 1737/2005, darba samaksas struktūras apsekojuma regula Nr.530/1999 un 1738/2005,</w:t>
            </w:r>
            <w:r w:rsidRPr="00E915BB">
              <w:rPr>
                <w:rFonts w:ascii="Times New Roman" w:eastAsia="Times New Roman" w:hAnsi="Times New Roman" w:cs="Times New Roman"/>
                <w:sz w:val="24"/>
                <w:szCs w:val="24"/>
                <w:lang w:eastAsia="lv-LV"/>
              </w:rPr>
              <w:t xml:space="preserve"> Makroekonomiskās statistikas departamenta un Labklājības ministrijas atbildībā esošās regulas. </w:t>
            </w:r>
          </w:p>
          <w:p w:rsidR="00D177EA" w:rsidRPr="00E915BB" w:rsidRDefault="00D177EA" w:rsidP="00D177EA">
            <w:pPr>
              <w:pStyle w:val="PlainText"/>
              <w:jc w:val="both"/>
              <w:rPr>
                <w:rFonts w:ascii="Times New Roman" w:hAnsi="Times New Roman"/>
                <w:sz w:val="24"/>
                <w:szCs w:val="24"/>
                <w:lang w:val="lv-LV"/>
              </w:rPr>
            </w:pPr>
            <w:r w:rsidRPr="00E915BB">
              <w:rPr>
                <w:rFonts w:ascii="Times New Roman" w:hAnsi="Times New Roman"/>
                <w:sz w:val="24"/>
                <w:szCs w:val="24"/>
                <w:lang w:val="lv-LV" w:eastAsia="lv-LV"/>
              </w:rPr>
              <w:t>E</w:t>
            </w:r>
            <w:r w:rsidR="00994CCA" w:rsidRPr="00E915BB">
              <w:rPr>
                <w:rFonts w:ascii="Times New Roman" w:hAnsi="Times New Roman"/>
                <w:sz w:val="24"/>
                <w:szCs w:val="24"/>
                <w:lang w:val="lv-LV" w:eastAsia="lv-LV"/>
              </w:rPr>
              <w:t xml:space="preserve">iropas </w:t>
            </w:r>
            <w:r w:rsidRPr="00E915BB">
              <w:rPr>
                <w:rFonts w:ascii="Times New Roman" w:hAnsi="Times New Roman"/>
                <w:sz w:val="24"/>
                <w:szCs w:val="24"/>
                <w:lang w:val="lv-LV" w:eastAsia="lv-LV"/>
              </w:rPr>
              <w:t>S</w:t>
            </w:r>
            <w:r w:rsidR="00994CCA" w:rsidRPr="00E915BB">
              <w:rPr>
                <w:rFonts w:ascii="Times New Roman" w:hAnsi="Times New Roman"/>
                <w:sz w:val="24"/>
                <w:szCs w:val="24"/>
                <w:lang w:val="lv-LV" w:eastAsia="lv-LV"/>
              </w:rPr>
              <w:t>avienības</w:t>
            </w:r>
            <w:r w:rsidRPr="00E915BB">
              <w:rPr>
                <w:rFonts w:ascii="Times New Roman" w:hAnsi="Times New Roman"/>
                <w:sz w:val="24"/>
                <w:szCs w:val="24"/>
                <w:lang w:val="lv-LV" w:eastAsia="lv-LV"/>
              </w:rPr>
              <w:t xml:space="preserve"> regulās ir noteikts, ka, </w:t>
            </w:r>
            <w:r w:rsidRPr="00E915BB">
              <w:rPr>
                <w:rFonts w:ascii="Times New Roman" w:hAnsi="Times New Roman"/>
                <w:sz w:val="24"/>
                <w:szCs w:val="24"/>
                <w:lang w:val="lv-LV"/>
              </w:rPr>
              <w:t>lai samazinātu uzņēmumiem uzlikto slogu, jo īpaši mazajiem un vidējiem uzņēmumiem, apsekojumus nav jāveic, ja valsts statistikas iestādēm ir pieejama kvalitatīva informācija no citiem piemērotiem avotiem, tai skaitā administratīvajiem. Turklāt, viena no Pārvaldes stratēģijas prioritātēm ir respondentu administratīvā sloga samazināšana, vairāk izmantojot administratīvos datu avotus statistikas ražošanā.</w:t>
            </w:r>
          </w:p>
          <w:p w:rsidR="00D177EA" w:rsidRPr="00E915BB" w:rsidRDefault="00D177EA" w:rsidP="00D177EA">
            <w:pPr>
              <w:pStyle w:val="PlainText"/>
              <w:jc w:val="both"/>
              <w:rPr>
                <w:rFonts w:ascii="Times New Roman" w:hAnsi="Times New Roman"/>
                <w:sz w:val="24"/>
                <w:szCs w:val="24"/>
                <w:lang w:val="lv-LV"/>
              </w:rPr>
            </w:pPr>
            <w:r w:rsidRPr="00E915BB">
              <w:rPr>
                <w:rFonts w:ascii="Times New Roman" w:hAnsi="Times New Roman"/>
                <w:sz w:val="24"/>
                <w:szCs w:val="24"/>
                <w:lang w:val="lv-LV"/>
              </w:rPr>
              <w:t>Īstermiņa statistisko datu iegūšanai dati no VID tiek pieprasīti personu līmenī, jo to paredz datu apstrādes un sagatavošanas izmantošanai metodoloģija, piemēram, lai aprēķinātu katrai personai neto ienākumus, lai noteiktu dzimumu un vecumu, lai pēc nostrādātajām stundām un ziņām par darba attiecību periodu noteiktu, vai darbinieks strādājis normālo vai nepilnu darba laiku utt. Darba samaksas struktūras apsekojuma regulas paredz datus apkopot darbinieku, nevis kopsavilkumu par visu uzņēmumu, līmenī.</w:t>
            </w:r>
          </w:p>
          <w:p w:rsidR="00D177EA" w:rsidRPr="00E915BB" w:rsidRDefault="00D177EA" w:rsidP="00D177EA">
            <w:pPr>
              <w:pStyle w:val="PlainText"/>
              <w:jc w:val="both"/>
              <w:rPr>
                <w:rFonts w:ascii="Times New Roman" w:hAnsi="Times New Roman"/>
                <w:sz w:val="24"/>
                <w:szCs w:val="24"/>
                <w:lang w:val="lv-LV"/>
              </w:rPr>
            </w:pPr>
            <w:r w:rsidRPr="00E915BB">
              <w:rPr>
                <w:rFonts w:ascii="Times New Roman" w:hAnsi="Times New Roman"/>
                <w:sz w:val="24"/>
                <w:szCs w:val="24"/>
                <w:lang w:val="lv-LV"/>
              </w:rPr>
              <w:t>Turklāt, datus personu līmenī katru mēnesi no VID jāsaņem pilnā apjomā, jo tie tiek izmantoti arī darba ņēmēju sadalījuma pēc darba ienākumiem (pa sektoriem, nozarēm, dzimumiem, administratīvajām teritorijām) aprēķināšanai, kas nav iespējama, nesaņemot informāciju par katra darbinieka darba ienākumiem.</w:t>
            </w:r>
          </w:p>
          <w:p w:rsidR="00D177EA" w:rsidRPr="00E915BB" w:rsidRDefault="00D177EA" w:rsidP="00D177EA">
            <w:pPr>
              <w:pStyle w:val="PlainText"/>
              <w:jc w:val="both"/>
              <w:rPr>
                <w:rFonts w:ascii="Times New Roman" w:hAnsi="Times New Roman"/>
                <w:sz w:val="24"/>
                <w:szCs w:val="24"/>
                <w:lang w:val="lv-LV"/>
              </w:rPr>
            </w:pPr>
            <w:r w:rsidRPr="00E915BB">
              <w:rPr>
                <w:rFonts w:ascii="Times New Roman" w:hAnsi="Times New Roman"/>
                <w:sz w:val="24"/>
                <w:szCs w:val="24"/>
                <w:lang w:val="lv-LV"/>
              </w:rPr>
              <w:t>VID gada fails “Paziņojums par fiziskai personai izmaksātajām summām” tiek izmantots, lai sagatavotu datus gada pārskata “1-gada” neapsekoto un nerespondējošo uzņēmumu datu iegūšanai. Personu dati tiek izmantoti, aprēķinot vidējo darbinieku skaitu gadā pēc katram darbiniekam norādītā darba perioda un atlasot ienākumus, kas pēc definīcijas atbilst darba samaksai.</w:t>
            </w:r>
          </w:p>
          <w:p w:rsidR="00D177EA" w:rsidRPr="00E915BB" w:rsidRDefault="00D177EA" w:rsidP="00D177EA">
            <w:pPr>
              <w:pStyle w:val="PlainText"/>
              <w:jc w:val="both"/>
              <w:rPr>
                <w:rFonts w:ascii="Times New Roman" w:hAnsi="Times New Roman"/>
                <w:sz w:val="24"/>
                <w:szCs w:val="24"/>
                <w:lang w:val="lv-LV"/>
              </w:rPr>
            </w:pPr>
            <w:r w:rsidRPr="00E915BB">
              <w:rPr>
                <w:rFonts w:ascii="Times New Roman" w:hAnsi="Times New Roman"/>
                <w:sz w:val="24"/>
                <w:szCs w:val="24"/>
                <w:lang w:val="lv-LV"/>
              </w:rPr>
              <w:t>Pilsonības un migrācijas lietu pārvaldes dati tiek izmantoti lai noteiktu dzimumu.</w:t>
            </w:r>
          </w:p>
          <w:p w:rsidR="00D177EA" w:rsidRPr="00E915BB" w:rsidRDefault="00D177EA" w:rsidP="00D177EA">
            <w:pPr>
              <w:pStyle w:val="PlainText"/>
              <w:jc w:val="both"/>
              <w:rPr>
                <w:rFonts w:ascii="Times New Roman" w:hAnsi="Times New Roman"/>
                <w:b/>
                <w:sz w:val="24"/>
                <w:szCs w:val="24"/>
                <w:lang w:val="lv-LV"/>
              </w:rPr>
            </w:pPr>
            <w:r w:rsidRPr="00E915BB">
              <w:rPr>
                <w:rFonts w:ascii="Times New Roman" w:hAnsi="Times New Roman"/>
                <w:sz w:val="24"/>
                <w:szCs w:val="24"/>
                <w:lang w:val="lv-LV"/>
              </w:rPr>
              <w:t>Finanšu ministrijas (FM) dati</w:t>
            </w:r>
            <w:r w:rsidRPr="00E915BB">
              <w:rPr>
                <w:rFonts w:ascii="Times New Roman" w:hAnsi="Times New Roman"/>
                <w:b/>
                <w:sz w:val="24"/>
                <w:szCs w:val="24"/>
                <w:lang w:val="lv-LV"/>
              </w:rPr>
              <w:t xml:space="preserve"> </w:t>
            </w:r>
            <w:r w:rsidRPr="00E915BB">
              <w:rPr>
                <w:rFonts w:ascii="Times New Roman" w:hAnsi="Times New Roman"/>
                <w:sz w:val="24"/>
                <w:szCs w:val="24"/>
                <w:lang w:val="lv-LV"/>
              </w:rPr>
              <w:t xml:space="preserve">tiek izmantoti, lai nodrošinātu ES regulas Nr. 1023/2013 prasības, kas paredz centrālās valdības iestādēs strādājošo ierēdņu un darbinieku atalgojuma izmaiņu aprēķinus, lai noteiktu to pirktspējas izmaiņas gada laikā. Dati tiek sūtīti uz </w:t>
            </w:r>
            <w:r w:rsidRPr="00E915BB">
              <w:rPr>
                <w:rFonts w:ascii="Times New Roman" w:hAnsi="Times New Roman"/>
                <w:i/>
                <w:sz w:val="24"/>
                <w:szCs w:val="24"/>
                <w:lang w:val="lv-LV"/>
              </w:rPr>
              <w:t xml:space="preserve">Eurostat </w:t>
            </w:r>
            <w:r w:rsidRPr="00E915BB">
              <w:rPr>
                <w:rFonts w:ascii="Times New Roman" w:hAnsi="Times New Roman"/>
                <w:sz w:val="24"/>
                <w:szCs w:val="24"/>
                <w:lang w:val="lv-LV"/>
              </w:rPr>
              <w:t>kopsavilkumu veidā, bet, lai veiktu aprēķinus, apkopojot visus darbiniekus pēc funkcionālajām grupām, pirmdatus ir nepieciešams saņemt personu līmenī.</w:t>
            </w:r>
          </w:p>
          <w:p w:rsidR="00D177EA" w:rsidRPr="00E915BB" w:rsidRDefault="00D177EA" w:rsidP="00D177EA">
            <w:pPr>
              <w:pStyle w:val="PlainText"/>
              <w:jc w:val="both"/>
              <w:rPr>
                <w:rFonts w:ascii="Times New Roman" w:hAnsi="Times New Roman"/>
                <w:sz w:val="24"/>
                <w:szCs w:val="24"/>
                <w:lang w:val="lv-LV"/>
              </w:rPr>
            </w:pPr>
            <w:r w:rsidRPr="00E915BB">
              <w:rPr>
                <w:rFonts w:ascii="Times New Roman" w:hAnsi="Times New Roman"/>
                <w:sz w:val="24"/>
                <w:szCs w:val="24"/>
                <w:lang w:val="lv-LV"/>
              </w:rPr>
              <w:t xml:space="preserve">Jau šogad no </w:t>
            </w:r>
            <w:r w:rsidR="006F06FB" w:rsidRPr="00E915BB">
              <w:rPr>
                <w:rFonts w:ascii="Times New Roman" w:hAnsi="Times New Roman"/>
                <w:sz w:val="24"/>
                <w:szCs w:val="24"/>
                <w:lang w:val="lv-LV"/>
              </w:rPr>
              <w:t>FM</w:t>
            </w:r>
            <w:r w:rsidRPr="00E915BB">
              <w:rPr>
                <w:rFonts w:ascii="Times New Roman" w:hAnsi="Times New Roman"/>
                <w:sz w:val="24"/>
                <w:szCs w:val="24"/>
                <w:lang w:val="lv-LV"/>
              </w:rPr>
              <w:t xml:space="preserve"> tika saņemta detalizēta valsts un pašvaldību institūciju amatpersonu un darbinieku atlīdzības datubāze, kura 2016.gadā tiks izmantota izpētei ar mērķi samazināt respondentu noslodzi nākošā (par 2018.gadu) darba samaksas struktūras apsekojuma veikšanai. Šī apsekojuma regula paredz datu apkopošanu no respondentiem darbinieku līmenī, turklāt tas nodrošina arī iespēju savienot FM datubāzi ar VID datiem.</w:t>
            </w:r>
          </w:p>
          <w:p w:rsidR="005109D7" w:rsidRPr="00E915BB" w:rsidRDefault="005109D7" w:rsidP="008844DF">
            <w:pPr>
              <w:pStyle w:val="PlainText"/>
              <w:jc w:val="both"/>
              <w:rPr>
                <w:rFonts w:ascii="Times New Roman" w:hAnsi="Times New Roman"/>
                <w:sz w:val="24"/>
                <w:szCs w:val="24"/>
                <w:lang w:val="lv-LV"/>
              </w:rPr>
            </w:pPr>
          </w:p>
          <w:p w:rsidR="00853894" w:rsidRPr="00E915BB" w:rsidRDefault="00853894" w:rsidP="00853894">
            <w:pPr>
              <w:autoSpaceDE w:val="0"/>
              <w:autoSpaceDN w:val="0"/>
              <w:adjustRightInd w:val="0"/>
              <w:jc w:val="both"/>
              <w:rPr>
                <w:rFonts w:ascii="Times New Roman" w:hAnsi="Times New Roman" w:cs="Times New Roman"/>
                <w:sz w:val="24"/>
                <w:szCs w:val="24"/>
              </w:rPr>
            </w:pPr>
            <w:r w:rsidRPr="00E915BB">
              <w:rPr>
                <w:rFonts w:ascii="Times New Roman" w:hAnsi="Times New Roman" w:cs="Times New Roman"/>
                <w:sz w:val="24"/>
                <w:szCs w:val="24"/>
              </w:rPr>
              <w:t xml:space="preserve">12. Statistikas uzņēmumu reģistrā, lai aktualizētu SUR un vienlaicīgi mazinātu administratīvo slogu  pašnodarbinātajiem (fiziskām personām), informācija netiek prasīta no uzņēmumiem Pārvaldes pārskatos, bet tiek izmantota valsts reģistros pieejamā informācija.   Administratīvie personu dati tiek anonimizēti uzreiz pēc saņemšanas. SUR nesatur datus, kas ļauj identificēt komercsabiedrības dalībnieka vārdu, uzvārdu vai personas kodu. SUR vārda, uzvārda vietā ir ieraksts "Fiziska persona" un Adresē ir ieraksts "Adrese". SUR var identificēt tikai  komercsabiedrības dalībnieku sarakstā norādīto valsti. Informācijas apstrādei tiek izmantots statistikā piešķirtais identifikācijas kods (UUK). </w:t>
            </w:r>
          </w:p>
          <w:p w:rsidR="00853894" w:rsidRPr="00E915BB" w:rsidRDefault="00853894" w:rsidP="00853894">
            <w:pPr>
              <w:autoSpaceDE w:val="0"/>
              <w:autoSpaceDN w:val="0"/>
              <w:adjustRightInd w:val="0"/>
              <w:jc w:val="both"/>
              <w:rPr>
                <w:rFonts w:ascii="Times New Roman" w:hAnsi="Times New Roman" w:cs="Times New Roman"/>
                <w:sz w:val="24"/>
                <w:szCs w:val="24"/>
              </w:rPr>
            </w:pPr>
            <w:r w:rsidRPr="00E915BB">
              <w:rPr>
                <w:rFonts w:ascii="Times New Roman" w:hAnsi="Times New Roman" w:cs="Times New Roman"/>
                <w:sz w:val="24"/>
                <w:szCs w:val="24"/>
              </w:rPr>
              <w:t xml:space="preserve">Administratīvie dati tiek izmantoti SVTK (Statistisko vienību tipoloģiskais klasifikators) koda noteikšanā, uzņēmumu grupu informācijas apstrādē, un ir viens no kritērijiem institucionālā sektora piešķiršanā atbilstoši EKS 2010.  </w:t>
            </w:r>
          </w:p>
          <w:p w:rsidR="00853894" w:rsidRPr="00E915BB" w:rsidRDefault="00853894" w:rsidP="00853894">
            <w:pPr>
              <w:pStyle w:val="PlainText"/>
              <w:jc w:val="both"/>
              <w:rPr>
                <w:rFonts w:ascii="Times New Roman" w:hAnsi="Times New Roman"/>
                <w:sz w:val="24"/>
                <w:szCs w:val="24"/>
                <w:lang w:val="lv-LV"/>
              </w:rPr>
            </w:pPr>
          </w:p>
          <w:p w:rsidR="00853894" w:rsidRPr="00E915BB" w:rsidRDefault="00853894" w:rsidP="00853894">
            <w:pPr>
              <w:jc w:val="both"/>
              <w:rPr>
                <w:rFonts w:ascii="Times New Roman" w:hAnsi="Times New Roman" w:cs="Times New Roman"/>
                <w:sz w:val="24"/>
                <w:szCs w:val="24"/>
              </w:rPr>
            </w:pPr>
            <w:r w:rsidRPr="00E915BB">
              <w:rPr>
                <w:rFonts w:ascii="Times New Roman" w:hAnsi="Times New Roman" w:cs="Times New Roman"/>
                <w:sz w:val="24"/>
                <w:szCs w:val="24"/>
              </w:rPr>
              <w:t>13. Lai iegūtu informāciju par Latvijas iedzīvotāju ceļojumiem, Pārvalde veic iedzīvotāju apsekojumu par atpūtas un darījuma braucieniem Latvijā (VSIP punkts 25.2.). Apsekojuma “Iedzīvotāju atpūtas un darījuma braucieni” izlases rāmis ir veidots no 2011. gada Tautas skaitīšanas datubāzes. Izlases rāmī ir pieejama informācija par kopējo mājsaimniecību skaitu Tautas skaitīšanas iecirkņos  pēc 2011. gada Tautas skaitīšanas. Izlases rāmis otrajai pakāpei ir veidots izmantojot Demogrāfisko statistisko datu apstrādes sistēmu, kurā ir iekļauta informācija no  </w:t>
            </w:r>
            <w:r w:rsidR="00994CCA" w:rsidRPr="00E915BB">
              <w:rPr>
                <w:rFonts w:ascii="Times New Roman" w:hAnsi="Times New Roman" w:cs="Times New Roman"/>
                <w:sz w:val="24"/>
                <w:szCs w:val="24"/>
              </w:rPr>
              <w:t>PMLP</w:t>
            </w:r>
            <w:r w:rsidRPr="00E915BB">
              <w:rPr>
                <w:rFonts w:ascii="Times New Roman" w:hAnsi="Times New Roman" w:cs="Times New Roman"/>
                <w:sz w:val="24"/>
                <w:szCs w:val="24"/>
              </w:rPr>
              <w:t xml:space="preserve"> Iedzīvotāju reģistra, Valsts zemes dienesta Būvju reģistra, Valsts zemes dienesta Adrešu reģistra,</w:t>
            </w:r>
            <w:r w:rsidRPr="00E915BB">
              <w:rPr>
                <w:rStyle w:val="apple-converted-space"/>
                <w:rFonts w:ascii="Times New Roman" w:hAnsi="Times New Roman" w:cs="Times New Roman"/>
                <w:sz w:val="24"/>
                <w:szCs w:val="24"/>
              </w:rPr>
              <w:t> </w:t>
            </w:r>
            <w:r w:rsidRPr="00E915BB">
              <w:rPr>
                <w:rFonts w:ascii="Times New Roman" w:hAnsi="Times New Roman" w:cs="Times New Roman"/>
                <w:sz w:val="24"/>
                <w:szCs w:val="24"/>
              </w:rPr>
              <w:t>Lauku saimniecību reģistra, Demogrāfiskā (laulības/dzimušie/mirušie) reģistra un 2011. gada Tautas skaitīšanas datubāzes. Izlases rāmī ir pieejama informācija par mājoklī juridiski reģistrētiem L</w:t>
            </w:r>
            <w:r w:rsidR="00994CCA" w:rsidRPr="00E915BB">
              <w:rPr>
                <w:rFonts w:ascii="Times New Roman" w:hAnsi="Times New Roman" w:cs="Times New Roman"/>
                <w:sz w:val="24"/>
                <w:szCs w:val="24"/>
              </w:rPr>
              <w:t xml:space="preserve">atvijas </w:t>
            </w:r>
            <w:r w:rsidRPr="00E915BB">
              <w:rPr>
                <w:rFonts w:ascii="Times New Roman" w:hAnsi="Times New Roman" w:cs="Times New Roman"/>
                <w:sz w:val="24"/>
                <w:szCs w:val="24"/>
              </w:rPr>
              <w:t>R</w:t>
            </w:r>
            <w:r w:rsidR="00994CCA" w:rsidRPr="00E915BB">
              <w:rPr>
                <w:rFonts w:ascii="Times New Roman" w:hAnsi="Times New Roman" w:cs="Times New Roman"/>
                <w:sz w:val="24"/>
                <w:szCs w:val="24"/>
              </w:rPr>
              <w:t>epublikas</w:t>
            </w:r>
            <w:r w:rsidRPr="00E915BB">
              <w:rPr>
                <w:rFonts w:ascii="Times New Roman" w:hAnsi="Times New Roman" w:cs="Times New Roman"/>
                <w:sz w:val="24"/>
                <w:szCs w:val="24"/>
              </w:rPr>
              <w:t xml:space="preserve"> iedzīvotājiem un to dzimumu, vecumu, tautību. Izlases rāmis tiek veidots katru ceturksni.</w:t>
            </w:r>
            <w:r w:rsidR="004855EE" w:rsidRPr="00E915BB">
              <w:rPr>
                <w:rFonts w:ascii="Times New Roman" w:hAnsi="Times New Roman" w:cs="Times New Roman"/>
                <w:sz w:val="24"/>
                <w:szCs w:val="24"/>
              </w:rPr>
              <w:t xml:space="preserve"> Izmantojot iepriekš  minētos administratīvos datus tiks nodrošināta kvalitatīva izlases veidošana</w:t>
            </w:r>
            <w:r w:rsidR="00905E96" w:rsidRPr="00E915BB">
              <w:rPr>
                <w:rFonts w:ascii="Times New Roman" w:hAnsi="Times New Roman" w:cs="Times New Roman"/>
                <w:sz w:val="24"/>
                <w:szCs w:val="24"/>
              </w:rPr>
              <w:t>,</w:t>
            </w:r>
            <w:r w:rsidR="004855EE" w:rsidRPr="00E915BB">
              <w:rPr>
                <w:rFonts w:ascii="Times New Roman" w:hAnsi="Times New Roman" w:cs="Times New Roman"/>
                <w:sz w:val="24"/>
                <w:szCs w:val="24"/>
              </w:rPr>
              <w:t xml:space="preserve"> </w:t>
            </w:r>
            <w:r w:rsidR="00905E96" w:rsidRPr="00E915BB">
              <w:rPr>
                <w:rFonts w:ascii="Times New Roman" w:hAnsi="Times New Roman" w:cs="Times New Roman"/>
                <w:sz w:val="24"/>
                <w:szCs w:val="24"/>
              </w:rPr>
              <w:t xml:space="preserve">kas </w:t>
            </w:r>
            <w:r w:rsidR="004855EE" w:rsidRPr="00E915BB">
              <w:rPr>
                <w:rFonts w:ascii="Times New Roman" w:hAnsi="Times New Roman" w:cs="Times New Roman"/>
                <w:sz w:val="24"/>
                <w:szCs w:val="24"/>
              </w:rPr>
              <w:t>sekmēs apsekojumu organizāciju, atbildētības līmeni, datu precizitāti, u.c.</w:t>
            </w:r>
          </w:p>
          <w:p w:rsidR="00A81009" w:rsidRPr="00E915BB" w:rsidRDefault="00A81009" w:rsidP="008844DF">
            <w:pPr>
              <w:jc w:val="both"/>
              <w:rPr>
                <w:rFonts w:ascii="Times New Roman" w:eastAsia="Times New Roman" w:hAnsi="Times New Roman" w:cs="Times New Roman"/>
                <w:sz w:val="24"/>
                <w:szCs w:val="24"/>
                <w:lang w:eastAsia="lv-LV"/>
              </w:rPr>
            </w:pPr>
          </w:p>
          <w:p w:rsidR="00853894" w:rsidRPr="00E915BB" w:rsidRDefault="00853894" w:rsidP="00853894">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14. Dati par profesionālās izglītības iestāžu audzēkņiem nepieciešami UNESCO, OECD un Eurostat (UOE) datu vākšanas projekta ietvaros, ar ko tiek nodrošinātas Komisijas Regulas (ES) Nr.912/2013 ar ko attiecībā uz statistiku par izglītības un apmācības sistēmām īsteno Eiropas parlamenta un Padomes Regulu (EK) Nr. 452/2008 par izglītības un mūžizglītības statistikas izveidi un pilnveidi prasības. Informācijas avots ir statistika par izglītības un apmācības sistēmām. Pārvalde izmanto</w:t>
            </w:r>
            <w:r w:rsidR="00994CCA" w:rsidRPr="00E915BB">
              <w:rPr>
                <w:rFonts w:ascii="Times New Roman" w:eastAsia="Times New Roman" w:hAnsi="Times New Roman" w:cs="Times New Roman"/>
                <w:sz w:val="24"/>
                <w:szCs w:val="24"/>
                <w:lang w:eastAsia="lv-LV"/>
              </w:rPr>
              <w:t xml:space="preserve"> IZM</w:t>
            </w:r>
            <w:r w:rsidRPr="00E915BB">
              <w:rPr>
                <w:rFonts w:ascii="Times New Roman" w:eastAsia="Times New Roman" w:hAnsi="Times New Roman" w:cs="Times New Roman"/>
                <w:sz w:val="24"/>
                <w:szCs w:val="24"/>
                <w:lang w:eastAsia="lv-LV"/>
              </w:rPr>
              <w:t xml:space="preserve"> rīcībā esošās Valsts izglītības informācijas sistēmas (VIIS) datus personu līmenī.</w:t>
            </w:r>
          </w:p>
          <w:p w:rsidR="00853894" w:rsidRPr="00E915BB" w:rsidRDefault="00853894" w:rsidP="00853894">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Izmantojot IZM VIIS datus personu līmenī, Pārvaldei būs iespēja veidot kopsavilkumu informāciju par profesionālās izglītības iestāžu audzēkņiem pēc sekojoša sadalījuma:</w:t>
            </w:r>
          </w:p>
          <w:p w:rsidR="00853894" w:rsidRPr="00E915BB" w:rsidRDefault="00853894" w:rsidP="00853894">
            <w:pPr>
              <w:pStyle w:val="ListParagraph"/>
              <w:numPr>
                <w:ilvl w:val="0"/>
                <w:numId w:val="6"/>
              </w:num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Studējošie – pēc dzimuma, vecuma, studiju programmas, pilna/nepilna laika studijas, izglītības jomas;</w:t>
            </w:r>
          </w:p>
          <w:p w:rsidR="00853894" w:rsidRPr="00E915BB" w:rsidRDefault="00853894" w:rsidP="00853894">
            <w:pPr>
              <w:pStyle w:val="ListParagraph"/>
              <w:numPr>
                <w:ilvl w:val="0"/>
                <w:numId w:val="6"/>
              </w:num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Uzņemtie - pēc dzimuma, vecuma, izglītības jomas;</w:t>
            </w:r>
          </w:p>
          <w:p w:rsidR="00853894" w:rsidRPr="00E915BB" w:rsidRDefault="00853894" w:rsidP="00853894">
            <w:pPr>
              <w:pStyle w:val="ListParagraph"/>
              <w:numPr>
                <w:ilvl w:val="0"/>
                <w:numId w:val="6"/>
              </w:num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Studijas beigušie - pēc dzimuma, vecuma, izglītības jomas;</w:t>
            </w:r>
          </w:p>
          <w:p w:rsidR="00853894" w:rsidRPr="00E915BB" w:rsidRDefault="00853894" w:rsidP="00853894">
            <w:pPr>
              <w:pStyle w:val="ListParagraph"/>
              <w:ind w:left="0"/>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VIIS izmantošana ļaus Pārvaldei samazināt no profesionālās izglītības iestādēm vācamās informācijas apjomu un, līdz ar to, arī noslodzi.  </w:t>
            </w:r>
          </w:p>
          <w:p w:rsidR="00853894" w:rsidRPr="00E915BB" w:rsidRDefault="00853894" w:rsidP="00853894">
            <w:pPr>
              <w:rPr>
                <w:rFonts w:ascii="Times New Roman" w:eastAsia="Times New Roman" w:hAnsi="Times New Roman" w:cs="Times New Roman"/>
                <w:sz w:val="24"/>
                <w:szCs w:val="24"/>
                <w:lang w:eastAsia="lv-LV"/>
              </w:rPr>
            </w:pPr>
          </w:p>
          <w:p w:rsidR="00853894" w:rsidRPr="00E915BB" w:rsidRDefault="00853894" w:rsidP="00853894">
            <w:pPr>
              <w:rPr>
                <w:rFonts w:ascii="Times New Roman" w:eastAsia="Times New Roman" w:hAnsi="Times New Roman" w:cs="Times New Roman"/>
                <w:sz w:val="24"/>
                <w:szCs w:val="24"/>
                <w:lang w:eastAsia="lv-LV"/>
              </w:rPr>
            </w:pPr>
          </w:p>
          <w:p w:rsidR="00853894" w:rsidRPr="00E915BB" w:rsidRDefault="00853894" w:rsidP="00853894">
            <w:pPr>
              <w:shd w:val="clear" w:color="auto" w:fill="FFFFFF" w:themeFill="background1"/>
              <w:autoSpaceDE w:val="0"/>
              <w:autoSpaceDN w:val="0"/>
              <w:adjustRightInd w:val="0"/>
              <w:jc w:val="both"/>
              <w:rPr>
                <w:rFonts w:ascii="Times New Roman" w:eastAsia="EUAlbertina-Bold-Identity-H" w:hAnsi="Times New Roman" w:cs="Times New Roman"/>
                <w:bCs/>
                <w:sz w:val="24"/>
                <w:szCs w:val="24"/>
              </w:rPr>
            </w:pPr>
            <w:r w:rsidRPr="00E915BB">
              <w:rPr>
                <w:rFonts w:ascii="Times New Roman" w:hAnsi="Times New Roman" w:cs="Times New Roman"/>
                <w:sz w:val="24"/>
                <w:szCs w:val="24"/>
              </w:rPr>
              <w:lastRenderedPageBreak/>
              <w:t xml:space="preserve">15. </w:t>
            </w:r>
            <w:r w:rsidRPr="00E915BB">
              <w:rPr>
                <w:rFonts w:ascii="Times New Roman" w:eastAsia="EUAlbertina-Bold-Identity-H" w:hAnsi="Times New Roman" w:cs="Times New Roman"/>
                <w:bCs/>
                <w:sz w:val="24"/>
                <w:szCs w:val="24"/>
              </w:rPr>
              <w:t>Nodarbinātības statistikas rādītāju galvenais avots ir Darbaspēka izlases apsekojums (DA). Šī apsekojuma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rsidR="00853894" w:rsidRPr="00E915BB" w:rsidRDefault="00853894" w:rsidP="00853894">
            <w:pPr>
              <w:shd w:val="clear" w:color="auto" w:fill="FFFFFF" w:themeFill="background1"/>
              <w:autoSpaceDE w:val="0"/>
              <w:autoSpaceDN w:val="0"/>
              <w:adjustRightInd w:val="0"/>
              <w:jc w:val="both"/>
              <w:rPr>
                <w:rFonts w:ascii="Times New Roman" w:eastAsia="EUAlbertina-Bold-Identity-H" w:hAnsi="Times New Roman" w:cs="Times New Roman"/>
                <w:bCs/>
                <w:sz w:val="24"/>
                <w:szCs w:val="24"/>
              </w:rPr>
            </w:pPr>
            <w:r w:rsidRPr="00E915BB">
              <w:rPr>
                <w:rFonts w:ascii="Times New Roman" w:eastAsia="EUAlbertina-Bold-Identity-H" w:hAnsi="Times New Roman" w:cs="Times New Roman"/>
                <w:bCs/>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rsidR="00853894" w:rsidRPr="00E915BB" w:rsidRDefault="00853894" w:rsidP="00853894">
            <w:pPr>
              <w:shd w:val="clear" w:color="auto" w:fill="FFFFFF" w:themeFill="background1"/>
              <w:autoSpaceDE w:val="0"/>
              <w:autoSpaceDN w:val="0"/>
              <w:adjustRightInd w:val="0"/>
              <w:jc w:val="both"/>
              <w:rPr>
                <w:rFonts w:ascii="Times New Roman" w:eastAsia="EUAlbertina-Bold-Identity-H" w:hAnsi="Times New Roman" w:cs="Times New Roman"/>
                <w:bCs/>
                <w:sz w:val="24"/>
                <w:szCs w:val="24"/>
              </w:rPr>
            </w:pPr>
            <w:r w:rsidRPr="00E915BB">
              <w:rPr>
                <w:rFonts w:ascii="Times New Roman" w:eastAsia="EUAlbertina-Bold-Identity-H" w:hAnsi="Times New Roman" w:cs="Times New Roman"/>
                <w:bCs/>
                <w:sz w:val="24"/>
                <w:szCs w:val="24"/>
              </w:rPr>
              <w:t xml:space="preserve">Nacionālais attīstības plānā 2014.- 2020.gadam  iekļauti šādi rādītāji: iedzīvotāju īpatsvars  30-34 gadu vecumā ar augstāko izglītību, nodarbinātības līmenis iedzīvotājiem vecumā 20-64 gadi, bezdarba līmenis Latvijas reģionos. </w:t>
            </w:r>
          </w:p>
          <w:p w:rsidR="00853894" w:rsidRPr="00E915BB" w:rsidRDefault="00853894" w:rsidP="00853894">
            <w:pPr>
              <w:shd w:val="clear" w:color="auto" w:fill="FFFFFF" w:themeFill="background1"/>
              <w:autoSpaceDE w:val="0"/>
              <w:autoSpaceDN w:val="0"/>
              <w:adjustRightInd w:val="0"/>
              <w:jc w:val="both"/>
              <w:rPr>
                <w:rFonts w:ascii="Times New Roman" w:eastAsia="EUAlbertina-Bold-Identity-H" w:hAnsi="Times New Roman" w:cs="Times New Roman"/>
                <w:bCs/>
                <w:sz w:val="24"/>
                <w:szCs w:val="24"/>
              </w:rPr>
            </w:pPr>
            <w:r w:rsidRPr="00E915BB">
              <w:rPr>
                <w:rFonts w:ascii="Times New Roman" w:eastAsia="EUAlbertina-Bold-Identity-H" w:hAnsi="Times New Roman" w:cs="Times New Roman"/>
                <w:bCs/>
                <w:sz w:val="24"/>
                <w:szCs w:val="24"/>
              </w:rPr>
              <w:t>No Stratēģijā Eiropa 2020 noteiktajiem mērķiem, trīs ir nodarbinātības rādītāji: iedzīvotājiem 20 līdz 64 gadu vecumā jāsasniedz 75 % nodarbinātības līmenis;</w:t>
            </w:r>
            <w:r w:rsidRPr="00E915BB">
              <w:rPr>
                <w:rFonts w:ascii="Times New Roman" w:hAnsi="Times New Roman" w:cs="Times New Roman"/>
                <w:sz w:val="24"/>
                <w:szCs w:val="24"/>
              </w:rPr>
              <w:t xml:space="preserve"> </w:t>
            </w:r>
            <w:r w:rsidRPr="00E915BB">
              <w:rPr>
                <w:rFonts w:ascii="Times New Roman" w:eastAsia="EUAlbertina-Bold-Identity-H" w:hAnsi="Times New Roman" w:cs="Times New Roman"/>
                <w:bCs/>
                <w:sz w:val="24"/>
                <w:szCs w:val="24"/>
              </w:rPr>
              <w:t xml:space="preserve">skolu nebeigušo un izglītošanos pāragri pārtraukušo jauniešu īpatsvars jāsamazina zem 10 % robežas; vismaz 40 % cilvēku vecumā no 30 līdz 34 gadiem jāiegūst augstākā izglītība. </w:t>
            </w:r>
          </w:p>
          <w:p w:rsidR="00853894" w:rsidRPr="00E915BB" w:rsidRDefault="00853894" w:rsidP="00853894">
            <w:pPr>
              <w:shd w:val="clear" w:color="auto" w:fill="FFFFFF" w:themeFill="background1"/>
              <w:autoSpaceDE w:val="0"/>
              <w:autoSpaceDN w:val="0"/>
              <w:adjustRightInd w:val="0"/>
              <w:jc w:val="both"/>
              <w:rPr>
                <w:rFonts w:ascii="Times New Roman" w:eastAsia="EUAlbertina-Bold-Identity-H" w:hAnsi="Times New Roman" w:cs="Times New Roman"/>
                <w:bCs/>
                <w:sz w:val="24"/>
                <w:szCs w:val="24"/>
              </w:rPr>
            </w:pPr>
            <w:r w:rsidRPr="00E915BB">
              <w:rPr>
                <w:rFonts w:ascii="Times New Roman" w:eastAsia="EUAlbertina-Bold-Identity-H" w:hAnsi="Times New Roman" w:cs="Times New Roman"/>
                <w:bCs/>
                <w:sz w:val="24"/>
                <w:szCs w:val="24"/>
              </w:rPr>
              <w:t>ES Agrās brīdināšanas mehānisma viens no galvenajiem rādītājiem ir 3 gadu vidējais bezdarba līmenis, bet papildus rādītāji - ekonomiskās aktivitātes līmenis, jauniešu bezdarbs, ilgstošie bezdarbnieki, jauniešu īpatsvars ārpus izglītības un nodarbinātības.</w:t>
            </w:r>
          </w:p>
          <w:p w:rsidR="00853894" w:rsidRPr="00E915BB" w:rsidRDefault="00853894" w:rsidP="00853894">
            <w:pPr>
              <w:jc w:val="both"/>
              <w:rPr>
                <w:rFonts w:ascii="Times New Roman" w:eastAsia="EUAlbertina-Bold-Identity-H" w:hAnsi="Times New Roman" w:cs="Times New Roman"/>
                <w:bCs/>
                <w:sz w:val="24"/>
                <w:szCs w:val="24"/>
              </w:rPr>
            </w:pPr>
            <w:r w:rsidRPr="00E915BB">
              <w:rPr>
                <w:rFonts w:ascii="Times New Roman" w:eastAsia="EUAlbertina-Bold-Identity-H" w:hAnsi="Times New Roman" w:cs="Times New Roman"/>
                <w:bCs/>
                <w:sz w:val="24"/>
                <w:szCs w:val="24"/>
              </w:rPr>
              <w:t>DA organizēšanu nosaka Padomes Regula (EK) Nr. 577/98 (1998. gada 9. marts) par darbaspēka izlases veida apsekojuma organizēšanu Kopienā. DA ir mājsaimniecību apsekojums, kurā informāciju iegūst, aptaujājot izlasē iekļautos iedzīvotājus klātienē vai pa telefonu.  2014.gadā izlases apjoms bija 29588 mājokļi, kuros kopumā aptaujāja 42,7 tūkstošus iedzīvotāju, no tiem 31,4 tūkstoši (15 līdz 74 gadu vecumā) atbildēja uz jautājumiem par ekonomisko aktivitāti.</w:t>
            </w:r>
          </w:p>
          <w:p w:rsidR="00853894" w:rsidRPr="00E915BB" w:rsidRDefault="00853894" w:rsidP="00853894">
            <w:pPr>
              <w:jc w:val="both"/>
              <w:rPr>
                <w:rFonts w:ascii="Times New Roman" w:hAnsi="Times New Roman" w:cs="Times New Roman"/>
                <w:sz w:val="24"/>
                <w:szCs w:val="24"/>
              </w:rPr>
            </w:pPr>
            <w:r w:rsidRPr="00E915BB">
              <w:rPr>
                <w:rFonts w:ascii="Times New Roman" w:eastAsia="EUAlbertina-Bold-Identity-H" w:hAnsi="Times New Roman" w:cs="Times New Roman"/>
                <w:bCs/>
                <w:sz w:val="24"/>
                <w:szCs w:val="24"/>
              </w:rPr>
              <w:t>Izvērtējot Latvijā pieejamos datu avotus, kas ietver DA nepieciešamo informāciju, kā arī tās kvalitāti un atbilstību, DA  respondentu noslodzes samazināšanai, intervijas ilguma samazināšanai,</w:t>
            </w:r>
            <w:r w:rsidRPr="00E915BB">
              <w:rPr>
                <w:rFonts w:ascii="Times New Roman" w:hAnsi="Times New Roman" w:cs="Times New Roman"/>
                <w:sz w:val="24"/>
                <w:szCs w:val="24"/>
              </w:rPr>
              <w:t xml:space="preserve"> </w:t>
            </w:r>
            <w:r w:rsidRPr="00E915BB">
              <w:rPr>
                <w:rFonts w:ascii="Times New Roman" w:eastAsia="EUAlbertina-Bold-Identity-H" w:hAnsi="Times New Roman" w:cs="Times New Roman"/>
                <w:bCs/>
                <w:sz w:val="24"/>
                <w:szCs w:val="24"/>
              </w:rPr>
              <w:t>apsekojumā neiegūtās informācijas papildināšanai (imputācijai),</w:t>
            </w:r>
            <w:r w:rsidRPr="00E915BB">
              <w:rPr>
                <w:rFonts w:ascii="Times New Roman" w:hAnsi="Times New Roman" w:cs="Times New Roman"/>
                <w:sz w:val="24"/>
                <w:szCs w:val="24"/>
              </w:rPr>
              <w:t xml:space="preserve"> </w:t>
            </w:r>
            <w:r w:rsidRPr="00E915BB">
              <w:rPr>
                <w:rFonts w:ascii="Times New Roman" w:eastAsia="EUAlbertina-Bold-Identity-H" w:hAnsi="Times New Roman" w:cs="Times New Roman"/>
                <w:bCs/>
                <w:sz w:val="24"/>
                <w:szCs w:val="24"/>
              </w:rPr>
              <w:t>apsekojumā iegūtās informācijas precizēšanai,</w:t>
            </w:r>
            <w:r w:rsidRPr="00E915BB">
              <w:rPr>
                <w:rFonts w:ascii="Times New Roman" w:hAnsi="Times New Roman" w:cs="Times New Roman"/>
                <w:sz w:val="24"/>
                <w:szCs w:val="24"/>
              </w:rPr>
              <w:t xml:space="preserve"> </w:t>
            </w:r>
            <w:r w:rsidRPr="00E915BB">
              <w:rPr>
                <w:rFonts w:ascii="Times New Roman" w:eastAsia="EUAlbertina-Bold-Identity-H" w:hAnsi="Times New Roman" w:cs="Times New Roman"/>
                <w:bCs/>
                <w:sz w:val="24"/>
                <w:szCs w:val="24"/>
              </w:rPr>
              <w:t xml:space="preserve">apsekojumā iegūtās informācijas kvalitātes pārbaudei un neatbildētības samazināšanai, tiek izmantoti vairāki administratīvie dati. </w:t>
            </w:r>
            <w:r w:rsidRPr="00E915BB">
              <w:rPr>
                <w:rFonts w:ascii="Times New Roman" w:hAnsi="Times New Roman" w:cs="Times New Roman"/>
                <w:sz w:val="24"/>
                <w:szCs w:val="24"/>
              </w:rPr>
              <w:t>Lai DA nodrošinātu statistiku attiecībā uz iedzīvotāju izglītību administratīvie dati no IZM tiek izmantoti saskaņā ar Eiropas Savienības Padomes Regulas (EK) Nr.577/98  2.pantu. Dati no IZM tiek izmantoti DA neiegūtās informācijas papildināšanai (iegūtais augstākais izglītības līmenis, tā tematiskā joma, gads, kurā ieguva attiecīgo izglītības līmeni, apgūstamā izglītība, tās tematiskā joma) kā arī kvalitātes pārbaudei.</w:t>
            </w:r>
          </w:p>
          <w:p w:rsidR="00853894" w:rsidRPr="00E915BB" w:rsidRDefault="00853894" w:rsidP="00853894">
            <w:pPr>
              <w:jc w:val="both"/>
              <w:rPr>
                <w:rFonts w:ascii="Times New Roman" w:hAnsi="Times New Roman" w:cs="Times New Roman"/>
                <w:sz w:val="24"/>
                <w:szCs w:val="24"/>
              </w:rPr>
            </w:pPr>
            <w:r w:rsidRPr="00E915BB">
              <w:rPr>
                <w:rFonts w:ascii="Times New Roman" w:hAnsi="Times New Roman" w:cs="Times New Roman"/>
                <w:sz w:val="24"/>
                <w:szCs w:val="24"/>
              </w:rPr>
              <w:t>Izmantojot PMLP datus (</w:t>
            </w:r>
            <w:r w:rsidRPr="00E915BB">
              <w:rPr>
                <w:rFonts w:ascii="Times New Roman" w:hAnsi="Times New Roman" w:cs="Times New Roman"/>
                <w:bCs/>
                <w:sz w:val="24"/>
                <w:szCs w:val="24"/>
              </w:rPr>
              <w:t xml:space="preserve">Iedzīvotāju reģistru), Pārvalde iegūst personas kodu tiem respondentiem, kuri to DA apsekojuma intervijās nav pauduši. Personas kods dod iespēju izmantot citus administratīvos datu avotus, lai papildinātu aptaujā neiegūto informāciju, pārbaudītu </w:t>
            </w:r>
            <w:r w:rsidRPr="00E915BB">
              <w:rPr>
                <w:rFonts w:ascii="Times New Roman" w:hAnsi="Times New Roman" w:cs="Times New Roman"/>
                <w:sz w:val="24"/>
                <w:szCs w:val="24"/>
              </w:rPr>
              <w:t>iegūtās informācijas kvalitāti,</w:t>
            </w:r>
            <w:r w:rsidRPr="00E915BB">
              <w:rPr>
                <w:rFonts w:ascii="Times New Roman" w:hAnsi="Times New Roman" w:cs="Times New Roman"/>
                <w:bCs/>
                <w:sz w:val="24"/>
                <w:szCs w:val="24"/>
              </w:rPr>
              <w:t xml:space="preserve"> kā arī </w:t>
            </w:r>
            <w:r w:rsidRPr="00E915BB">
              <w:rPr>
                <w:rFonts w:ascii="Times New Roman" w:hAnsi="Times New Roman" w:cs="Times New Roman"/>
                <w:sz w:val="24"/>
                <w:szCs w:val="24"/>
              </w:rPr>
              <w:t>samazinātu respondentu noslodzi un intervijas ilgumu</w:t>
            </w:r>
          </w:p>
          <w:p w:rsidR="00853894" w:rsidRPr="00E915BB" w:rsidRDefault="00853894" w:rsidP="00853894">
            <w:pPr>
              <w:jc w:val="both"/>
              <w:rPr>
                <w:rFonts w:ascii="Times New Roman" w:hAnsi="Times New Roman" w:cs="Times New Roman"/>
                <w:sz w:val="24"/>
                <w:szCs w:val="24"/>
              </w:rPr>
            </w:pPr>
            <w:r w:rsidRPr="00E915BB">
              <w:rPr>
                <w:rFonts w:ascii="Times New Roman" w:hAnsi="Times New Roman" w:cs="Times New Roman"/>
                <w:bCs/>
                <w:sz w:val="24"/>
                <w:szCs w:val="24"/>
              </w:rPr>
              <w:t xml:space="preserve">VID dati tiek izmantoti </w:t>
            </w:r>
            <w:r w:rsidRPr="00E915BB">
              <w:rPr>
                <w:rFonts w:ascii="Times New Roman" w:hAnsi="Times New Roman" w:cs="Times New Roman"/>
                <w:sz w:val="24"/>
                <w:szCs w:val="24"/>
              </w:rPr>
              <w:t xml:space="preserve">neiegūtās informācijas papildināšanai par darba samaksu personām, kuras DA neuzrāda darba samaksas lielumu un informācijas kvalitātes pārbaudei. Tāpat VID dati tiek izmantoti </w:t>
            </w:r>
            <w:r w:rsidRPr="00E915BB">
              <w:rPr>
                <w:rFonts w:ascii="Times New Roman" w:hAnsi="Times New Roman" w:cs="Times New Roman"/>
                <w:bCs/>
                <w:sz w:val="24"/>
                <w:szCs w:val="24"/>
              </w:rPr>
              <w:t xml:space="preserve">sasaistē ar </w:t>
            </w:r>
            <w:r w:rsidRPr="00E915BB">
              <w:rPr>
                <w:rFonts w:ascii="Times New Roman" w:hAnsi="Times New Roman" w:cs="Times New Roman"/>
                <w:bCs/>
                <w:sz w:val="24"/>
                <w:szCs w:val="24"/>
              </w:rPr>
              <w:lastRenderedPageBreak/>
              <w:t xml:space="preserve">SUR informāciju nozares un profesijas precizēšanai. </w:t>
            </w:r>
            <w:r w:rsidRPr="00E915BB">
              <w:rPr>
                <w:rFonts w:ascii="Times New Roman" w:hAnsi="Times New Roman" w:cs="Times New Roman"/>
                <w:sz w:val="24"/>
                <w:szCs w:val="24"/>
              </w:rPr>
              <w:t>Lai iegūtu patiesu un kvalitatīvu informāciju par darba samaksu, kā arī samazinātu respondentu noslodzi un intervijas ilgumu, plānots izmantot VID datubāzes informāciju.</w:t>
            </w:r>
          </w:p>
          <w:p w:rsidR="00C4064A" w:rsidRPr="00E915BB" w:rsidRDefault="00853894" w:rsidP="00853894">
            <w:pPr>
              <w:jc w:val="both"/>
              <w:rPr>
                <w:rFonts w:ascii="Times New Roman" w:hAnsi="Times New Roman" w:cs="Times New Roman"/>
                <w:sz w:val="24"/>
                <w:szCs w:val="24"/>
              </w:rPr>
            </w:pPr>
            <w:r w:rsidRPr="00E915BB">
              <w:rPr>
                <w:rFonts w:ascii="Times New Roman" w:hAnsi="Times New Roman" w:cs="Times New Roman"/>
                <w:sz w:val="24"/>
                <w:szCs w:val="24"/>
              </w:rPr>
              <w:t>Valsts sociālās apdrošināšanas aģentūra (turpmāk</w:t>
            </w:r>
            <w:r w:rsidR="006F06FB" w:rsidRPr="00E915BB">
              <w:rPr>
                <w:rFonts w:ascii="Times New Roman" w:hAnsi="Times New Roman" w:cs="Times New Roman"/>
                <w:sz w:val="24"/>
                <w:szCs w:val="24"/>
              </w:rPr>
              <w:t xml:space="preserve"> </w:t>
            </w:r>
            <w:r w:rsidRPr="00E915BB">
              <w:rPr>
                <w:rFonts w:ascii="Times New Roman" w:hAnsi="Times New Roman" w:cs="Times New Roman"/>
                <w:sz w:val="24"/>
                <w:szCs w:val="24"/>
              </w:rPr>
              <w:t>- VSAA) datu par izmaksājamā bezdarbnieka pabalsta apmēru izmantošana ir  samazinājusi respondentu noslodzi un intervijas ilgumu. Izmantojot VSAA datus tiek iegūta patiesa informācija, kas ne vienmēr netiek iegūta aptaujas laikā, jo daļā interviju respondenta vietā atbildēja cits mājsaimniecības loceklis (netiešās intervijas), kurš nebija pilnībā informēts par pabalsta esamību vai tā apmēru.</w:t>
            </w:r>
          </w:p>
        </w:tc>
      </w:tr>
      <w:tr w:rsidR="00E915BB" w:rsidRPr="00E915BB" w:rsidTr="00CB4C5C">
        <w:trPr>
          <w:trHeight w:val="46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3.</w:t>
            </w:r>
          </w:p>
        </w:tc>
        <w:tc>
          <w:tcPr>
            <w:tcW w:w="1143"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izstrādē iesaistītās institūcijas</w:t>
            </w:r>
          </w:p>
        </w:tc>
        <w:tc>
          <w:tcPr>
            <w:tcW w:w="3643"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A5178B" w:rsidP="00A5178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Konsultācijas notikušas ar visām ministrijām, Latvijas Banku, Finanšu un kapitāla tirgus komisiju, Augstāko tiesu un Ģenerālprokuratūru</w:t>
            </w:r>
            <w:r w:rsidR="00106102" w:rsidRPr="00E915BB">
              <w:rPr>
                <w:rFonts w:ascii="Times New Roman" w:eastAsia="Times New Roman" w:hAnsi="Times New Roman" w:cs="Times New Roman"/>
                <w:sz w:val="24"/>
                <w:szCs w:val="24"/>
                <w:lang w:eastAsia="lv-LV"/>
              </w:rPr>
              <w:t xml:space="preserve">, </w:t>
            </w:r>
            <w:r w:rsidR="00106102" w:rsidRPr="00E915BB">
              <w:rPr>
                <w:rFonts w:ascii="Times New Roman" w:hAnsi="Times New Roman" w:cs="Times New Roman"/>
                <w:sz w:val="24"/>
                <w:szCs w:val="24"/>
                <w:shd w:val="clear" w:color="auto" w:fill="FFFFFF"/>
              </w:rPr>
              <w:t>Pārresoru koordinācijas centru</w:t>
            </w:r>
            <w:r w:rsidRPr="00E915BB">
              <w:rPr>
                <w:rFonts w:ascii="Times New Roman" w:eastAsia="Times New Roman" w:hAnsi="Times New Roman" w:cs="Times New Roman"/>
                <w:sz w:val="24"/>
                <w:szCs w:val="24"/>
                <w:lang w:eastAsia="lv-LV"/>
              </w:rPr>
              <w:t>.</w:t>
            </w:r>
          </w:p>
        </w:tc>
      </w:tr>
      <w:tr w:rsidR="00E915BB" w:rsidRPr="00E915BB" w:rsidTr="00CB4C5C">
        <w:tc>
          <w:tcPr>
            <w:tcW w:w="214"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1143"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643"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A5178B"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w:t>
      </w:r>
    </w:p>
    <w:tbl>
      <w:tblPr>
        <w:tblpPr w:leftFromText="180" w:rightFromText="180" w:vertAnchor="text" w:horzAnchor="margin" w:tblpXSpec="center" w:tblpY="-37"/>
        <w:tblOverlap w:val="never"/>
        <w:tblW w:w="5931"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5"/>
        <w:gridCol w:w="2157"/>
        <w:gridCol w:w="7349"/>
      </w:tblGrid>
      <w:tr w:rsidR="00E915BB" w:rsidRPr="00E915BB" w:rsidTr="008774EB">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B84C9D">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915BB" w:rsidRPr="00E915BB" w:rsidTr="008774EB">
        <w:trPr>
          <w:trHeight w:val="465"/>
        </w:trPr>
        <w:tc>
          <w:tcPr>
            <w:tcW w:w="214" w:type="pct"/>
            <w:tcBorders>
              <w:top w:val="outset" w:sz="6" w:space="0" w:color="auto"/>
              <w:left w:val="outset" w:sz="6" w:space="0" w:color="auto"/>
              <w:bottom w:val="outset" w:sz="6" w:space="0" w:color="auto"/>
              <w:right w:val="outset" w:sz="6" w:space="0" w:color="auto"/>
            </w:tcBorders>
            <w:hideMark/>
          </w:tcPr>
          <w:p w:rsidR="002C5318" w:rsidRPr="00E915BB" w:rsidRDefault="002C531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1086" w:type="pct"/>
            <w:tcBorders>
              <w:top w:val="outset" w:sz="6" w:space="0" w:color="auto"/>
              <w:left w:val="outset" w:sz="6" w:space="0" w:color="auto"/>
              <w:bottom w:val="outset" w:sz="6" w:space="0" w:color="auto"/>
              <w:right w:val="outset" w:sz="6" w:space="0" w:color="auto"/>
            </w:tcBorders>
            <w:hideMark/>
          </w:tcPr>
          <w:p w:rsidR="002C5318" w:rsidRPr="00E915BB" w:rsidRDefault="002C531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mērķgrupas, kuras tiesiskais regulējums ietekmē vai varētu ietekmēt</w:t>
            </w:r>
          </w:p>
        </w:tc>
        <w:tc>
          <w:tcPr>
            <w:tcW w:w="3700" w:type="pct"/>
            <w:tcBorders>
              <w:top w:val="outset" w:sz="6" w:space="0" w:color="auto"/>
              <w:left w:val="outset" w:sz="6" w:space="0" w:color="auto"/>
              <w:bottom w:val="outset" w:sz="6" w:space="0" w:color="auto"/>
              <w:right w:val="outset" w:sz="6" w:space="0" w:color="auto"/>
            </w:tcBorders>
            <w:hideMark/>
          </w:tcPr>
          <w:p w:rsidR="002C5318" w:rsidRPr="00E915BB" w:rsidRDefault="00797E3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mērķgrupa</w:t>
            </w:r>
            <w:r w:rsidR="00E21E59" w:rsidRPr="00E915BB">
              <w:rPr>
                <w:rFonts w:ascii="Times New Roman" w:eastAsia="Times New Roman" w:hAnsi="Times New Roman" w:cs="Times New Roman"/>
                <w:sz w:val="24"/>
                <w:szCs w:val="24"/>
                <w:lang w:eastAsia="lv-LV"/>
              </w:rPr>
              <w:t>, kuru ietekmēs tiesiskais regulējums, ko nosaka MK noteikumu projekts ir Ministru kabinetam padota tiešās pārvaldes iestāde, pārvaldes iestāde, kas nav padota Ministru kabinetam, plānošanas reģions, vietējā pašvaldība un tai padotā iestāde, cita atvasināta publisko tiesību juridiskā persona, tai skaitā publiskais nodibinājums un tā iestāde, kā arī privātpersona, kurai deleģēti valsts pārvaldes u</w:t>
            </w:r>
            <w:r w:rsidR="006B11A0" w:rsidRPr="00E915BB">
              <w:rPr>
                <w:rFonts w:ascii="Times New Roman" w:eastAsia="Times New Roman" w:hAnsi="Times New Roman" w:cs="Times New Roman"/>
                <w:sz w:val="24"/>
                <w:szCs w:val="24"/>
                <w:lang w:eastAsia="lv-LV"/>
              </w:rPr>
              <w:t xml:space="preserve">zdevumi, kuras risina </w:t>
            </w:r>
            <w:r w:rsidR="00E21E59" w:rsidRPr="00E915BB">
              <w:rPr>
                <w:rFonts w:ascii="Times New Roman" w:eastAsia="Times New Roman" w:hAnsi="Times New Roman" w:cs="Times New Roman"/>
                <w:sz w:val="24"/>
                <w:szCs w:val="24"/>
                <w:lang w:eastAsia="lv-LV"/>
              </w:rPr>
              <w:t xml:space="preserve"> valsts statistikas jautājumus Valsts statistiskās informācijas programmas ietvaros.</w:t>
            </w:r>
          </w:p>
        </w:tc>
      </w:tr>
      <w:tr w:rsidR="00E915BB" w:rsidRPr="00E915BB" w:rsidTr="008774EB">
        <w:trPr>
          <w:trHeight w:val="510"/>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1086"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Tiesiskā regulējuma ietekme uz tautsaimniecību un administratīvo slogu</w:t>
            </w:r>
          </w:p>
        </w:tc>
        <w:tc>
          <w:tcPr>
            <w:tcW w:w="3700"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C56392"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MK noteikumu projekta tiesiskais regulējums nemaina sabiedrības mērķgrupas tiesības un pienākumus, kā arī veicamās darbības.</w:t>
            </w:r>
          </w:p>
        </w:tc>
      </w:tr>
      <w:tr w:rsidR="00E915BB" w:rsidRPr="00E915BB" w:rsidTr="008774EB">
        <w:trPr>
          <w:trHeight w:val="510"/>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1086"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Administratīvo izmaksu monetārs novērtējums</w:t>
            </w:r>
          </w:p>
        </w:tc>
        <w:tc>
          <w:tcPr>
            <w:tcW w:w="3700" w:type="pct"/>
            <w:tcBorders>
              <w:top w:val="outset" w:sz="6" w:space="0" w:color="auto"/>
              <w:left w:val="outset" w:sz="6" w:space="0" w:color="auto"/>
              <w:bottom w:val="outset" w:sz="6" w:space="0" w:color="auto"/>
              <w:right w:val="outset" w:sz="6" w:space="0" w:color="auto"/>
            </w:tcBorders>
            <w:shd w:val="clear" w:color="auto" w:fill="auto"/>
          </w:tcPr>
          <w:p w:rsidR="002C5318" w:rsidRPr="00E915BB" w:rsidRDefault="00C911F2"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u w:val="single"/>
                <w:lang w:eastAsia="lv-LV"/>
              </w:rPr>
              <w:t>Centrālā</w:t>
            </w:r>
            <w:r w:rsidR="00E11266" w:rsidRPr="00E915BB">
              <w:rPr>
                <w:rFonts w:ascii="Times New Roman" w:eastAsia="Times New Roman" w:hAnsi="Times New Roman" w:cs="Times New Roman"/>
                <w:sz w:val="24"/>
                <w:szCs w:val="24"/>
                <w:u w:val="single"/>
                <w:lang w:eastAsia="lv-LV"/>
              </w:rPr>
              <w:t>s</w:t>
            </w:r>
            <w:r w:rsidRPr="00E915BB">
              <w:rPr>
                <w:rFonts w:ascii="Times New Roman" w:eastAsia="Times New Roman" w:hAnsi="Times New Roman" w:cs="Times New Roman"/>
                <w:sz w:val="24"/>
                <w:szCs w:val="24"/>
                <w:u w:val="single"/>
                <w:lang w:eastAsia="lv-LV"/>
              </w:rPr>
              <w:t xml:space="preserve"> statistikas pārvalde</w:t>
            </w:r>
            <w:r w:rsidR="00F43002" w:rsidRPr="00E915BB">
              <w:rPr>
                <w:rFonts w:ascii="Times New Roman" w:eastAsia="Times New Roman" w:hAnsi="Times New Roman" w:cs="Times New Roman"/>
                <w:sz w:val="24"/>
                <w:szCs w:val="24"/>
                <w:u w:val="single"/>
                <w:lang w:eastAsia="lv-LV"/>
              </w:rPr>
              <w:t>s</w:t>
            </w:r>
            <w:r w:rsidR="00F43002" w:rsidRPr="00E915BB">
              <w:rPr>
                <w:rFonts w:ascii="Times New Roman" w:eastAsia="Times New Roman" w:hAnsi="Times New Roman" w:cs="Times New Roman"/>
                <w:sz w:val="24"/>
                <w:szCs w:val="24"/>
                <w:lang w:eastAsia="lv-LV"/>
              </w:rPr>
              <w:t xml:space="preserve"> plānotās izmaksas MK noteikumu projektā noteikto darbību nodrošināšanai:</w:t>
            </w:r>
          </w:p>
          <w:p w:rsidR="005C6C89" w:rsidRPr="00E915BB" w:rsidRDefault="003E1E37" w:rsidP="00B84C9D">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 xml:space="preserve">9,68 </w:t>
            </w:r>
            <w:r w:rsidR="001E1666" w:rsidRPr="00E915BB">
              <w:rPr>
                <w:rFonts w:ascii="Times New Roman" w:eastAsia="Times New Roman" w:hAnsi="Times New Roman" w:cs="Times New Roman"/>
                <w:sz w:val="24"/>
                <w:szCs w:val="24"/>
                <w:lang w:eastAsia="lv-LV"/>
              </w:rPr>
              <w:t>milj. </w:t>
            </w:r>
            <w:r w:rsidR="00F43002" w:rsidRPr="00E915BB">
              <w:rPr>
                <w:rFonts w:ascii="Times New Roman" w:eastAsia="Times New Roman" w:hAnsi="Times New Roman" w:cs="Times New Roman"/>
                <w:sz w:val="24"/>
                <w:szCs w:val="24"/>
                <w:lang w:eastAsia="lv-LV"/>
              </w:rPr>
              <w:t xml:space="preserve">EUR (statistikas sagatavošana – ietver </w:t>
            </w:r>
            <w:r w:rsidR="00F43002" w:rsidRPr="00E915BB">
              <w:rPr>
                <w:rFonts w:ascii="Times New Roman" w:hAnsi="Times New Roman" w:cs="Times New Roman"/>
                <w:sz w:val="24"/>
                <w:szCs w:val="24"/>
              </w:rPr>
              <w:t>statistikas plānošanu, izstrādi, datu iegūšanu (tai skaitā vākšanu no respondentiem), apstrādi, analīzi un izplatīšanu</w:t>
            </w:r>
            <w:r w:rsidR="0016392F" w:rsidRPr="00E915BB">
              <w:rPr>
                <w:rFonts w:ascii="Times New Roman" w:hAnsi="Times New Roman" w:cs="Times New Roman"/>
                <w:sz w:val="24"/>
                <w:szCs w:val="24"/>
              </w:rPr>
              <w:t xml:space="preserve">, kā arī </w:t>
            </w:r>
            <w:r w:rsidR="00F43002" w:rsidRPr="00E915BB">
              <w:rPr>
                <w:rFonts w:ascii="Times New Roman" w:eastAsia="Times New Roman" w:hAnsi="Times New Roman" w:cs="Times New Roman"/>
                <w:sz w:val="24"/>
                <w:szCs w:val="24"/>
                <w:lang w:eastAsia="lv-LV"/>
              </w:rPr>
              <w:t>vadības un atbalsta funkciju</w:t>
            </w:r>
            <w:r w:rsidR="0016392F" w:rsidRPr="00E915BB">
              <w:rPr>
                <w:rFonts w:ascii="Times New Roman" w:eastAsia="Times New Roman" w:hAnsi="Times New Roman" w:cs="Times New Roman"/>
                <w:sz w:val="24"/>
                <w:szCs w:val="24"/>
                <w:lang w:eastAsia="lv-LV"/>
              </w:rPr>
              <w:t xml:space="preserve"> izmaksas).</w:t>
            </w:r>
          </w:p>
          <w:p w:rsidR="00820B88" w:rsidRPr="00E915BB" w:rsidRDefault="00F43002"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Aprēķinos ir ietvertas visas izmaksas, to sīkāks sadalījums un precīzas summas būs atspoguļotas</w:t>
            </w:r>
            <w:r w:rsidR="008F4E1C" w:rsidRPr="00E915BB">
              <w:rPr>
                <w:rFonts w:ascii="Times New Roman" w:eastAsia="Times New Roman" w:hAnsi="Times New Roman" w:cs="Times New Roman"/>
                <w:sz w:val="24"/>
                <w:szCs w:val="24"/>
                <w:lang w:eastAsia="lv-LV"/>
              </w:rPr>
              <w:t xml:space="preserve"> pēc 2016</w:t>
            </w:r>
            <w:r w:rsidR="001E1666" w:rsidRPr="00E915BB">
              <w:rPr>
                <w:rFonts w:ascii="Times New Roman" w:eastAsia="Times New Roman" w:hAnsi="Times New Roman" w:cs="Times New Roman"/>
                <w:sz w:val="24"/>
                <w:szCs w:val="24"/>
                <w:lang w:eastAsia="lv-LV"/>
              </w:rPr>
              <w:t>. gada budžeta pieņemšanas</w:t>
            </w:r>
            <w:r w:rsidRPr="00E915BB">
              <w:rPr>
                <w:rFonts w:ascii="Times New Roman" w:eastAsia="Times New Roman" w:hAnsi="Times New Roman" w:cs="Times New Roman"/>
                <w:sz w:val="24"/>
                <w:szCs w:val="24"/>
                <w:lang w:eastAsia="lv-LV"/>
              </w:rPr>
              <w:t xml:space="preserve"> Centrālās statistikas pārvaldes</w:t>
            </w:r>
            <w:r w:rsidR="001E1666" w:rsidRPr="00E915BB">
              <w:rPr>
                <w:rFonts w:ascii="Times New Roman" w:eastAsia="Times New Roman" w:hAnsi="Times New Roman" w:cs="Times New Roman"/>
                <w:sz w:val="24"/>
                <w:szCs w:val="24"/>
                <w:lang w:eastAsia="lv-LV"/>
              </w:rPr>
              <w:t xml:space="preserve"> </w:t>
            </w:r>
            <w:r w:rsidR="0034234E" w:rsidRPr="00E915BB">
              <w:rPr>
                <w:rFonts w:ascii="Times New Roman" w:eastAsia="Times New Roman" w:hAnsi="Times New Roman" w:cs="Times New Roman"/>
                <w:sz w:val="24"/>
                <w:szCs w:val="24"/>
                <w:lang w:eastAsia="lv-LV"/>
              </w:rPr>
              <w:t>tām</w:t>
            </w:r>
            <w:r w:rsidR="00E11266" w:rsidRPr="00E915BB">
              <w:rPr>
                <w:rFonts w:ascii="Times New Roman" w:eastAsia="Times New Roman" w:hAnsi="Times New Roman" w:cs="Times New Roman"/>
                <w:sz w:val="24"/>
                <w:szCs w:val="24"/>
                <w:lang w:eastAsia="lv-LV"/>
              </w:rPr>
              <w:t>ē</w:t>
            </w:r>
            <w:r w:rsidR="0034234E" w:rsidRPr="00E915BB">
              <w:rPr>
                <w:rFonts w:ascii="Times New Roman" w:eastAsia="Times New Roman" w:hAnsi="Times New Roman" w:cs="Times New Roman"/>
                <w:sz w:val="24"/>
                <w:szCs w:val="24"/>
                <w:lang w:eastAsia="lv-LV"/>
              </w:rPr>
              <w:t>s</w:t>
            </w:r>
            <w:r w:rsidR="001E1666" w:rsidRPr="00E915BB">
              <w:rPr>
                <w:rFonts w:ascii="Times New Roman" w:eastAsia="Times New Roman" w:hAnsi="Times New Roman" w:cs="Times New Roman"/>
                <w:sz w:val="24"/>
                <w:szCs w:val="24"/>
                <w:lang w:eastAsia="lv-LV"/>
              </w:rPr>
              <w:t>.</w:t>
            </w:r>
          </w:p>
          <w:p w:rsidR="001E1666" w:rsidRPr="00E915BB" w:rsidRDefault="001E1666" w:rsidP="00B84C9D">
            <w:pPr>
              <w:rPr>
                <w:rFonts w:ascii="Times New Roman" w:eastAsia="Times New Roman" w:hAnsi="Times New Roman" w:cs="Times New Roman"/>
                <w:sz w:val="24"/>
                <w:szCs w:val="24"/>
                <w:u w:val="single"/>
                <w:lang w:eastAsia="lv-LV"/>
              </w:rPr>
            </w:pPr>
          </w:p>
          <w:p w:rsidR="00C911F2" w:rsidRPr="00E915BB" w:rsidRDefault="00C911F2" w:rsidP="00B84C9D">
            <w:pPr>
              <w:rPr>
                <w:rFonts w:ascii="Times New Roman" w:eastAsia="Times New Roman" w:hAnsi="Times New Roman" w:cs="Times New Roman"/>
                <w:sz w:val="24"/>
                <w:szCs w:val="24"/>
                <w:u w:val="single"/>
                <w:lang w:eastAsia="lv-LV"/>
              </w:rPr>
            </w:pPr>
            <w:r w:rsidRPr="00E915BB">
              <w:rPr>
                <w:rFonts w:ascii="Times New Roman" w:eastAsia="Times New Roman" w:hAnsi="Times New Roman" w:cs="Times New Roman"/>
                <w:sz w:val="24"/>
                <w:szCs w:val="24"/>
                <w:u w:val="single"/>
                <w:lang w:eastAsia="lv-LV"/>
              </w:rPr>
              <w:t>Citas institūcijas:</w:t>
            </w:r>
          </w:p>
          <w:p w:rsidR="00F43002" w:rsidRPr="00E915BB" w:rsidRDefault="00F43002"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Aprēķinot administratīvās izmaksas pēc formulas </w:t>
            </w:r>
            <w:r w:rsidRPr="00E915BB">
              <w:rPr>
                <w:rFonts w:ascii="Times New Roman" w:hAnsi="Times New Roman" w:cs="Times New Roman"/>
              </w:rPr>
              <w:t xml:space="preserve">C = (f x l) x (n x b), tiek pieņemts, ka </w:t>
            </w:r>
            <w:r w:rsidRPr="00E915BB">
              <w:rPr>
                <w:rFonts w:ascii="Times New Roman" w:eastAsia="Times New Roman" w:hAnsi="Times New Roman" w:cs="Times New Roman"/>
                <w:sz w:val="24"/>
                <w:szCs w:val="24"/>
                <w:lang w:eastAsia="lv-LV"/>
              </w:rPr>
              <w:t>n=b=1, tas ir, darba izpildes biežums tiek raksturots ar patērēto stundu skaitu, bet subjekts, uz kuru attiecas informācijas sniegšanas prasības</w:t>
            </w:r>
            <w:r w:rsidR="00917B58"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 xml:space="preserve"> ir viens – cita par statistikas sagatavošanu atbildīgā institūcija.</w:t>
            </w:r>
          </w:p>
          <w:p w:rsidR="00F43002" w:rsidRPr="00E915BB" w:rsidRDefault="00F43002" w:rsidP="00B84C9D">
            <w:pPr>
              <w:rPr>
                <w:rFonts w:ascii="Times New Roman" w:eastAsia="Times New Roman" w:hAnsi="Times New Roman" w:cs="Times New Roman"/>
                <w:sz w:val="24"/>
                <w:szCs w:val="24"/>
                <w:lang w:eastAsia="lv-LV"/>
              </w:rPr>
            </w:pPr>
          </w:p>
          <w:tbl>
            <w:tblPr>
              <w:tblStyle w:val="TableGrid"/>
              <w:tblW w:w="0" w:type="auto"/>
              <w:tblLayout w:type="fixed"/>
              <w:tblLook w:val="04A0" w:firstRow="1" w:lastRow="0" w:firstColumn="1" w:lastColumn="0" w:noHBand="0" w:noVBand="1"/>
            </w:tblPr>
            <w:tblGrid>
              <w:gridCol w:w="2608"/>
              <w:gridCol w:w="1072"/>
              <w:gridCol w:w="1067"/>
              <w:gridCol w:w="1166"/>
              <w:gridCol w:w="1280"/>
            </w:tblGrid>
            <w:tr w:rsidR="00E915BB" w:rsidRPr="00E915BB" w:rsidTr="00213AED">
              <w:trPr>
                <w:trHeight w:val="600"/>
              </w:trPr>
              <w:tc>
                <w:tcPr>
                  <w:tcW w:w="2608" w:type="dxa"/>
                  <w:tcBorders>
                    <w:top w:val="single" w:sz="12" w:space="0" w:color="auto"/>
                    <w:left w:val="single" w:sz="4" w:space="0" w:color="auto"/>
                    <w:bottom w:val="single" w:sz="12" w:space="0" w:color="auto"/>
                  </w:tcBorders>
                  <w:vAlign w:val="center"/>
                </w:tcPr>
                <w:p w:rsidR="00820B88" w:rsidRPr="00E915BB" w:rsidRDefault="00820B88" w:rsidP="009B2AC1">
                  <w:pPr>
                    <w:framePr w:hSpace="180" w:wrap="around" w:vAnchor="text" w:hAnchor="margin" w:xAlign="center" w:y="-37"/>
                    <w:suppressOverlap/>
                    <w:jc w:val="center"/>
                    <w:rPr>
                      <w:rFonts w:ascii="Times New Roman" w:hAnsi="Times New Roman" w:cs="Times New Roman"/>
                    </w:rPr>
                  </w:pPr>
                  <w:r w:rsidRPr="00E915BB">
                    <w:rPr>
                      <w:rFonts w:ascii="Times New Roman" w:hAnsi="Times New Roman" w:cs="Times New Roman"/>
                    </w:rPr>
                    <w:lastRenderedPageBreak/>
                    <w:t>Atbildīgā institūcija</w:t>
                  </w:r>
                </w:p>
              </w:tc>
              <w:tc>
                <w:tcPr>
                  <w:tcW w:w="1072" w:type="dxa"/>
                  <w:tcBorders>
                    <w:top w:val="single" w:sz="12" w:space="0" w:color="auto"/>
                    <w:bottom w:val="single" w:sz="12" w:space="0" w:color="auto"/>
                  </w:tcBorders>
                  <w:noWrap/>
                  <w:vAlign w:val="center"/>
                </w:tcPr>
                <w:p w:rsidR="00820B88" w:rsidRPr="00E915BB" w:rsidRDefault="00820B88" w:rsidP="009B2AC1">
                  <w:pPr>
                    <w:framePr w:hSpace="180" w:wrap="around" w:vAnchor="text" w:hAnchor="margin" w:xAlign="center" w:y="-37"/>
                    <w:suppressOverlap/>
                    <w:jc w:val="center"/>
                    <w:rPr>
                      <w:rFonts w:ascii="Times New Roman" w:hAnsi="Times New Roman" w:cs="Times New Roman"/>
                    </w:rPr>
                  </w:pPr>
                  <w:r w:rsidRPr="00E915BB">
                    <w:rPr>
                      <w:rFonts w:ascii="Times New Roman" w:hAnsi="Times New Roman" w:cs="Times New Roman"/>
                    </w:rPr>
                    <w:t>Patērētais laiks, h</w:t>
                  </w:r>
                </w:p>
              </w:tc>
              <w:tc>
                <w:tcPr>
                  <w:tcW w:w="1067" w:type="dxa"/>
                  <w:tcBorders>
                    <w:top w:val="single" w:sz="12" w:space="0" w:color="auto"/>
                    <w:bottom w:val="single" w:sz="12" w:space="0" w:color="auto"/>
                  </w:tcBorders>
                  <w:noWrap/>
                  <w:vAlign w:val="center"/>
                </w:tcPr>
                <w:p w:rsidR="00820B88" w:rsidRPr="00E915BB" w:rsidRDefault="00820B88" w:rsidP="009B2AC1">
                  <w:pPr>
                    <w:framePr w:hSpace="180" w:wrap="around" w:vAnchor="text" w:hAnchor="margin" w:xAlign="center" w:y="-37"/>
                    <w:suppressOverlap/>
                    <w:jc w:val="center"/>
                    <w:rPr>
                      <w:rFonts w:ascii="Times New Roman" w:hAnsi="Times New Roman" w:cs="Times New Roman"/>
                    </w:rPr>
                  </w:pPr>
                  <w:r w:rsidRPr="00E915BB">
                    <w:rPr>
                      <w:rFonts w:ascii="Times New Roman" w:hAnsi="Times New Roman" w:cs="Times New Roman"/>
                    </w:rPr>
                    <w:t>Stundas samaksas likme, EUR/h</w:t>
                  </w:r>
                </w:p>
              </w:tc>
              <w:tc>
                <w:tcPr>
                  <w:tcW w:w="1166" w:type="dxa"/>
                  <w:tcBorders>
                    <w:top w:val="single" w:sz="12" w:space="0" w:color="auto"/>
                    <w:bottom w:val="single" w:sz="12" w:space="0" w:color="auto"/>
                  </w:tcBorders>
                  <w:noWrap/>
                  <w:vAlign w:val="center"/>
                </w:tcPr>
                <w:p w:rsidR="00820B88" w:rsidRPr="00E915BB" w:rsidRDefault="00820B88" w:rsidP="009B2AC1">
                  <w:pPr>
                    <w:framePr w:hSpace="180" w:wrap="around" w:vAnchor="text" w:hAnchor="margin" w:xAlign="center" w:y="-37"/>
                    <w:suppressOverlap/>
                    <w:jc w:val="center"/>
                    <w:rPr>
                      <w:rFonts w:ascii="Times New Roman" w:hAnsi="Times New Roman" w:cs="Times New Roman"/>
                    </w:rPr>
                  </w:pPr>
                  <w:r w:rsidRPr="00E915BB">
                    <w:rPr>
                      <w:rFonts w:ascii="Times New Roman" w:hAnsi="Times New Roman" w:cs="Times New Roman"/>
                    </w:rPr>
                    <w:t>Citas izmaksas, EUR</w:t>
                  </w:r>
                </w:p>
              </w:tc>
              <w:tc>
                <w:tcPr>
                  <w:tcW w:w="1280" w:type="dxa"/>
                  <w:tcBorders>
                    <w:top w:val="single" w:sz="12" w:space="0" w:color="auto"/>
                    <w:bottom w:val="single" w:sz="12" w:space="0" w:color="auto"/>
                    <w:right w:val="single" w:sz="12" w:space="0" w:color="auto"/>
                  </w:tcBorders>
                  <w:noWrap/>
                  <w:vAlign w:val="center"/>
                </w:tcPr>
                <w:p w:rsidR="00820B88" w:rsidRPr="00E915BB" w:rsidRDefault="00820B88" w:rsidP="009B2AC1">
                  <w:pPr>
                    <w:framePr w:hSpace="180" w:wrap="around" w:vAnchor="text" w:hAnchor="margin" w:xAlign="center" w:y="-37"/>
                    <w:suppressOverlap/>
                    <w:jc w:val="center"/>
                    <w:rPr>
                      <w:rFonts w:ascii="Times New Roman" w:hAnsi="Times New Roman" w:cs="Times New Roman"/>
                    </w:rPr>
                  </w:pPr>
                  <w:r w:rsidRPr="00E915BB">
                    <w:rPr>
                      <w:rFonts w:ascii="Times New Roman" w:hAnsi="Times New Roman" w:cs="Times New Roman"/>
                    </w:rPr>
                    <w:t>Kopā, EUR</w:t>
                  </w:r>
                </w:p>
              </w:tc>
            </w:tr>
            <w:tr w:rsidR="00E915BB" w:rsidRPr="00E915BB" w:rsidTr="00213AED">
              <w:trPr>
                <w:trHeight w:val="250"/>
              </w:trPr>
              <w:tc>
                <w:tcPr>
                  <w:tcW w:w="2608" w:type="dxa"/>
                  <w:vMerge w:val="restart"/>
                  <w:tcBorders>
                    <w:top w:val="single" w:sz="12" w:space="0" w:color="auto"/>
                    <w:left w:val="single" w:sz="12" w:space="0" w:color="auto"/>
                    <w:bottom w:val="single" w:sz="6" w:space="0" w:color="auto"/>
                    <w:right w:val="single" w:sz="6" w:space="0" w:color="auto"/>
                  </w:tcBorders>
                  <w:vAlign w:val="bottom"/>
                  <w:hideMark/>
                </w:tcPr>
                <w:p w:rsidR="005E2211" w:rsidRPr="00E915BB" w:rsidRDefault="005E2211"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ugunsdzēsības un glābšanas dienests</w:t>
                  </w:r>
                </w:p>
              </w:tc>
              <w:tc>
                <w:tcPr>
                  <w:tcW w:w="1072" w:type="dxa"/>
                  <w:tcBorders>
                    <w:top w:val="single" w:sz="12" w:space="0" w:color="auto"/>
                    <w:left w:val="single" w:sz="6" w:space="0" w:color="auto"/>
                    <w:bottom w:val="single" w:sz="6" w:space="0" w:color="auto"/>
                    <w:right w:val="single" w:sz="6" w:space="0" w:color="auto"/>
                  </w:tcBorders>
                  <w:noWrap/>
                  <w:vAlign w:val="bottom"/>
                  <w:hideMark/>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25.08</w:t>
                  </w:r>
                </w:p>
              </w:tc>
              <w:tc>
                <w:tcPr>
                  <w:tcW w:w="1067" w:type="dxa"/>
                  <w:tcBorders>
                    <w:top w:val="single" w:sz="12" w:space="0" w:color="auto"/>
                    <w:left w:val="single" w:sz="6" w:space="0" w:color="auto"/>
                    <w:bottom w:val="single" w:sz="6" w:space="0" w:color="auto"/>
                    <w:right w:val="single" w:sz="6" w:space="0" w:color="auto"/>
                  </w:tcBorders>
                  <w:noWrap/>
                  <w:vAlign w:val="bottom"/>
                  <w:hideMark/>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7.17</w:t>
                  </w:r>
                </w:p>
              </w:tc>
              <w:tc>
                <w:tcPr>
                  <w:tcW w:w="1166" w:type="dxa"/>
                  <w:vMerge w:val="restart"/>
                  <w:tcBorders>
                    <w:top w:val="single" w:sz="12" w:space="0" w:color="auto"/>
                    <w:left w:val="single" w:sz="6" w:space="0" w:color="auto"/>
                    <w:bottom w:val="single" w:sz="6" w:space="0" w:color="auto"/>
                    <w:right w:val="single" w:sz="6" w:space="0" w:color="auto"/>
                  </w:tcBorders>
                  <w:noWrap/>
                  <w:vAlign w:val="bottom"/>
                  <w:hideMark/>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1.96</w:t>
                  </w:r>
                  <w:r w:rsidRPr="00E915BB">
                    <w:rPr>
                      <w:rStyle w:val="FootnoteReference"/>
                      <w:rFonts w:ascii="Times New Roman" w:hAnsi="Times New Roman" w:cs="Times New Roman"/>
                    </w:rPr>
                    <w:footnoteReference w:id="3"/>
                  </w:r>
                </w:p>
                <w:p w:rsidR="005E2211" w:rsidRPr="00E915BB" w:rsidRDefault="005E2211" w:rsidP="009B2AC1">
                  <w:pPr>
                    <w:framePr w:hSpace="180" w:wrap="around" w:vAnchor="text" w:hAnchor="margin" w:xAlign="center" w:y="-37"/>
                    <w:suppressOverlap/>
                    <w:jc w:val="right"/>
                    <w:rPr>
                      <w:rFonts w:ascii="Times New Roman" w:hAnsi="Times New Roman" w:cs="Times New Roman"/>
                    </w:rPr>
                  </w:pPr>
                </w:p>
              </w:tc>
              <w:tc>
                <w:tcPr>
                  <w:tcW w:w="1280" w:type="dxa"/>
                  <w:tcBorders>
                    <w:top w:val="single" w:sz="12" w:space="0" w:color="auto"/>
                    <w:left w:val="single" w:sz="6" w:space="0" w:color="auto"/>
                    <w:bottom w:val="single" w:sz="6" w:space="0" w:color="auto"/>
                    <w:right w:val="single" w:sz="12" w:space="0" w:color="auto"/>
                  </w:tcBorders>
                  <w:noWrap/>
                  <w:vAlign w:val="bottom"/>
                  <w:hideMark/>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179,82</w:t>
                  </w:r>
                </w:p>
              </w:tc>
            </w:tr>
            <w:tr w:rsidR="00E915BB" w:rsidRPr="00E915BB" w:rsidTr="00213AED">
              <w:trPr>
                <w:trHeight w:val="105"/>
              </w:trPr>
              <w:tc>
                <w:tcPr>
                  <w:tcW w:w="2608" w:type="dxa"/>
                  <w:vMerge/>
                  <w:tcBorders>
                    <w:top w:val="single" w:sz="6" w:space="0" w:color="auto"/>
                    <w:left w:val="single" w:sz="12" w:space="0" w:color="auto"/>
                    <w:bottom w:val="single" w:sz="6" w:space="0" w:color="auto"/>
                    <w:right w:val="single" w:sz="6" w:space="0" w:color="auto"/>
                  </w:tcBorders>
                  <w:vAlign w:val="bottom"/>
                </w:tcPr>
                <w:p w:rsidR="005E2211" w:rsidRPr="00E915BB" w:rsidRDefault="005E2211" w:rsidP="009B2AC1">
                  <w:pPr>
                    <w:framePr w:hSpace="180" w:wrap="around" w:vAnchor="text" w:hAnchor="margin" w:xAlign="center" w:y="-37"/>
                    <w:suppressOverlap/>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noWrap/>
                  <w:vAlign w:val="bottom"/>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0.08</w:t>
                  </w:r>
                </w:p>
              </w:tc>
              <w:tc>
                <w:tcPr>
                  <w:tcW w:w="1067" w:type="dxa"/>
                  <w:tcBorders>
                    <w:top w:val="single" w:sz="6" w:space="0" w:color="auto"/>
                    <w:left w:val="single" w:sz="6" w:space="0" w:color="auto"/>
                    <w:bottom w:val="single" w:sz="6" w:space="0" w:color="auto"/>
                    <w:right w:val="single" w:sz="6" w:space="0" w:color="auto"/>
                  </w:tcBorders>
                  <w:noWrap/>
                  <w:vAlign w:val="bottom"/>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6.47</w:t>
                  </w:r>
                </w:p>
              </w:tc>
              <w:tc>
                <w:tcPr>
                  <w:tcW w:w="1166" w:type="dxa"/>
                  <w:vMerge/>
                  <w:tcBorders>
                    <w:top w:val="single" w:sz="6" w:space="0" w:color="auto"/>
                    <w:left w:val="single" w:sz="6" w:space="0" w:color="auto"/>
                    <w:bottom w:val="single" w:sz="6" w:space="0" w:color="auto"/>
                    <w:right w:val="single" w:sz="6" w:space="0" w:color="auto"/>
                  </w:tcBorders>
                  <w:noWrap/>
                  <w:vAlign w:val="bottom"/>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p>
              </w:tc>
              <w:tc>
                <w:tcPr>
                  <w:tcW w:w="1280" w:type="dxa"/>
                  <w:tcBorders>
                    <w:top w:val="single" w:sz="6" w:space="0" w:color="auto"/>
                    <w:left w:val="single" w:sz="6" w:space="0" w:color="auto"/>
                    <w:bottom w:val="single" w:sz="6" w:space="0" w:color="auto"/>
                    <w:right w:val="single" w:sz="12" w:space="0" w:color="auto"/>
                  </w:tcBorders>
                  <w:noWrap/>
                  <w:vAlign w:val="bottom"/>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0.52</w:t>
                  </w:r>
                </w:p>
              </w:tc>
            </w:tr>
            <w:tr w:rsidR="00E915BB" w:rsidRPr="00E915BB" w:rsidTr="00213AED">
              <w:trPr>
                <w:trHeight w:val="105"/>
              </w:trPr>
              <w:tc>
                <w:tcPr>
                  <w:tcW w:w="2608" w:type="dxa"/>
                  <w:vMerge/>
                  <w:tcBorders>
                    <w:top w:val="single" w:sz="6" w:space="0" w:color="auto"/>
                    <w:left w:val="single" w:sz="12" w:space="0" w:color="auto"/>
                    <w:bottom w:val="single" w:sz="12" w:space="0" w:color="auto"/>
                    <w:right w:val="single" w:sz="6" w:space="0" w:color="auto"/>
                  </w:tcBorders>
                  <w:vAlign w:val="bottom"/>
                </w:tcPr>
                <w:p w:rsidR="005E2211" w:rsidRPr="00E915BB" w:rsidRDefault="005E2211" w:rsidP="009B2AC1">
                  <w:pPr>
                    <w:framePr w:hSpace="180" w:wrap="around" w:vAnchor="text" w:hAnchor="margin" w:xAlign="center" w:y="-37"/>
                    <w:suppressOverlap/>
                    <w:rPr>
                      <w:rFonts w:ascii="Times New Roman" w:hAnsi="Times New Roman" w:cs="Times New Roman"/>
                    </w:rPr>
                  </w:pPr>
                </w:p>
              </w:tc>
              <w:tc>
                <w:tcPr>
                  <w:tcW w:w="1072" w:type="dxa"/>
                  <w:tcBorders>
                    <w:top w:val="single" w:sz="6" w:space="0" w:color="auto"/>
                    <w:left w:val="single" w:sz="6" w:space="0" w:color="auto"/>
                    <w:bottom w:val="single" w:sz="12" w:space="0" w:color="auto"/>
                    <w:right w:val="single" w:sz="6" w:space="0" w:color="auto"/>
                  </w:tcBorders>
                  <w:noWrap/>
                  <w:vAlign w:val="bottom"/>
                </w:tcPr>
                <w:p w:rsidR="005E2211" w:rsidRPr="00E915BB" w:rsidRDefault="005E2211" w:rsidP="009B2AC1">
                  <w:pPr>
                    <w:framePr w:hSpace="180" w:wrap="around" w:vAnchor="text" w:hAnchor="margin" w:xAlign="center" w:y="-37"/>
                    <w:suppressOverlap/>
                    <w:rPr>
                      <w:rFonts w:ascii="Times New Roman" w:hAnsi="Times New Roman" w:cs="Times New Roman"/>
                    </w:rPr>
                  </w:pPr>
                </w:p>
              </w:tc>
              <w:tc>
                <w:tcPr>
                  <w:tcW w:w="1067" w:type="dxa"/>
                  <w:tcBorders>
                    <w:top w:val="single" w:sz="6" w:space="0" w:color="auto"/>
                    <w:left w:val="single" w:sz="6" w:space="0" w:color="auto"/>
                    <w:bottom w:val="single" w:sz="12" w:space="0" w:color="auto"/>
                    <w:right w:val="single" w:sz="6" w:space="0" w:color="auto"/>
                  </w:tcBorders>
                  <w:noWrap/>
                  <w:vAlign w:val="bottom"/>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p>
              </w:tc>
              <w:tc>
                <w:tcPr>
                  <w:tcW w:w="1166" w:type="dxa"/>
                  <w:vMerge/>
                  <w:tcBorders>
                    <w:top w:val="single" w:sz="6" w:space="0" w:color="auto"/>
                    <w:left w:val="single" w:sz="6" w:space="0" w:color="auto"/>
                    <w:bottom w:val="single" w:sz="12" w:space="0" w:color="auto"/>
                    <w:right w:val="single" w:sz="6" w:space="0" w:color="auto"/>
                  </w:tcBorders>
                  <w:noWrap/>
                  <w:vAlign w:val="bottom"/>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p>
              </w:tc>
              <w:tc>
                <w:tcPr>
                  <w:tcW w:w="1280" w:type="dxa"/>
                  <w:tcBorders>
                    <w:top w:val="single" w:sz="6" w:space="0" w:color="auto"/>
                    <w:left w:val="single" w:sz="6" w:space="0" w:color="auto"/>
                    <w:bottom w:val="single" w:sz="12" w:space="0" w:color="auto"/>
                    <w:right w:val="single" w:sz="12" w:space="0" w:color="auto"/>
                  </w:tcBorders>
                  <w:noWrap/>
                  <w:vAlign w:val="bottom"/>
                </w:tcPr>
                <w:p w:rsidR="005E2211" w:rsidRPr="00E915BB" w:rsidRDefault="005E2211"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182.30</w:t>
                  </w:r>
                </w:p>
              </w:tc>
            </w:tr>
            <w:tr w:rsidR="00E915BB" w:rsidRPr="00E915BB" w:rsidTr="00213AED">
              <w:trPr>
                <w:trHeight w:val="300"/>
              </w:trPr>
              <w:tc>
                <w:tcPr>
                  <w:tcW w:w="2608" w:type="dxa"/>
                  <w:tcBorders>
                    <w:top w:val="single" w:sz="12" w:space="0" w:color="auto"/>
                  </w:tcBorders>
                  <w:vAlign w:val="bottom"/>
                  <w:hideMark/>
                </w:tcPr>
                <w:p w:rsidR="00820B88" w:rsidRPr="00E915BB" w:rsidRDefault="00820B88"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robežsardze</w:t>
                  </w:r>
                </w:p>
              </w:tc>
              <w:tc>
                <w:tcPr>
                  <w:tcW w:w="1072" w:type="dxa"/>
                  <w:tcBorders>
                    <w:top w:val="single" w:sz="12" w:space="0" w:color="auto"/>
                  </w:tcBorders>
                  <w:noWrap/>
                  <w:vAlign w:val="bottom"/>
                  <w:hideMark/>
                </w:tcPr>
                <w:p w:rsidR="00820B88" w:rsidRPr="00E915BB" w:rsidRDefault="00480EC5"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233.4</w:t>
                  </w:r>
                </w:p>
              </w:tc>
              <w:tc>
                <w:tcPr>
                  <w:tcW w:w="1067" w:type="dxa"/>
                  <w:tcBorders>
                    <w:top w:val="single" w:sz="12" w:space="0" w:color="auto"/>
                  </w:tcBorders>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6.50</w:t>
                  </w:r>
                </w:p>
              </w:tc>
              <w:tc>
                <w:tcPr>
                  <w:tcW w:w="1166" w:type="dxa"/>
                  <w:tcBorders>
                    <w:top w:val="single" w:sz="12" w:space="0" w:color="auto"/>
                  </w:tcBorders>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w:t>
                  </w:r>
                </w:p>
              </w:tc>
              <w:tc>
                <w:tcPr>
                  <w:tcW w:w="1280" w:type="dxa"/>
                  <w:tcBorders>
                    <w:top w:val="single" w:sz="12" w:space="0" w:color="auto"/>
                  </w:tcBorders>
                  <w:noWrap/>
                  <w:vAlign w:val="bottom"/>
                  <w:hideMark/>
                </w:tcPr>
                <w:p w:rsidR="00820B88" w:rsidRPr="00E915BB" w:rsidRDefault="009C3E1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1 518.40</w:t>
                  </w:r>
                </w:p>
              </w:tc>
            </w:tr>
            <w:tr w:rsidR="00E915BB" w:rsidRPr="00E915BB" w:rsidTr="00213AED">
              <w:trPr>
                <w:trHeight w:val="300"/>
              </w:trPr>
              <w:tc>
                <w:tcPr>
                  <w:tcW w:w="2608" w:type="dxa"/>
                  <w:vAlign w:val="bottom"/>
                  <w:hideMark/>
                </w:tcPr>
                <w:p w:rsidR="00820B88" w:rsidRPr="00E915BB" w:rsidRDefault="00820B88"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Veselības inspekcija</w:t>
                  </w:r>
                </w:p>
              </w:tc>
              <w:tc>
                <w:tcPr>
                  <w:tcW w:w="1072" w:type="dxa"/>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498</w:t>
                  </w:r>
                </w:p>
              </w:tc>
              <w:tc>
                <w:tcPr>
                  <w:tcW w:w="1067" w:type="dxa"/>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6.92</w:t>
                  </w:r>
                </w:p>
              </w:tc>
              <w:tc>
                <w:tcPr>
                  <w:tcW w:w="1166" w:type="dxa"/>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w:t>
                  </w:r>
                </w:p>
              </w:tc>
              <w:tc>
                <w:tcPr>
                  <w:tcW w:w="1280" w:type="dxa"/>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3 446.16</w:t>
                  </w:r>
                </w:p>
              </w:tc>
            </w:tr>
            <w:tr w:rsidR="00E915BB" w:rsidRPr="00E915BB" w:rsidTr="00213AED">
              <w:trPr>
                <w:trHeight w:val="300"/>
              </w:trPr>
              <w:tc>
                <w:tcPr>
                  <w:tcW w:w="2608" w:type="dxa"/>
                  <w:tcBorders>
                    <w:bottom w:val="single" w:sz="12" w:space="0" w:color="auto"/>
                  </w:tcBorders>
                  <w:vAlign w:val="bottom"/>
                  <w:hideMark/>
                </w:tcPr>
                <w:p w:rsidR="00820B88" w:rsidRPr="00E915BB" w:rsidRDefault="00820B88"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izglītības satura centrs</w:t>
                  </w:r>
                </w:p>
              </w:tc>
              <w:tc>
                <w:tcPr>
                  <w:tcW w:w="1072" w:type="dxa"/>
                  <w:tcBorders>
                    <w:bottom w:val="single" w:sz="12" w:space="0" w:color="auto"/>
                  </w:tcBorders>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720</w:t>
                  </w:r>
                </w:p>
              </w:tc>
              <w:tc>
                <w:tcPr>
                  <w:tcW w:w="1067" w:type="dxa"/>
                  <w:tcBorders>
                    <w:bottom w:val="single" w:sz="12" w:space="0" w:color="auto"/>
                  </w:tcBorders>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4.4375</w:t>
                  </w:r>
                </w:p>
              </w:tc>
              <w:tc>
                <w:tcPr>
                  <w:tcW w:w="1166" w:type="dxa"/>
                  <w:tcBorders>
                    <w:bottom w:val="single" w:sz="12" w:space="0" w:color="auto"/>
                  </w:tcBorders>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w:t>
                  </w:r>
                </w:p>
              </w:tc>
              <w:tc>
                <w:tcPr>
                  <w:tcW w:w="1280" w:type="dxa"/>
                  <w:tcBorders>
                    <w:bottom w:val="single" w:sz="12" w:space="0" w:color="auto"/>
                  </w:tcBorders>
                  <w:noWrap/>
                  <w:vAlign w:val="bottom"/>
                  <w:hideMark/>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3 195.00</w:t>
                  </w:r>
                </w:p>
              </w:tc>
            </w:tr>
            <w:tr w:rsidR="00E915BB" w:rsidRPr="00E915BB" w:rsidTr="00213AED">
              <w:trPr>
                <w:trHeight w:val="300"/>
              </w:trPr>
              <w:tc>
                <w:tcPr>
                  <w:tcW w:w="2608" w:type="dxa"/>
                  <w:vMerge w:val="restart"/>
                  <w:tcBorders>
                    <w:top w:val="single" w:sz="12" w:space="0" w:color="auto"/>
                    <w:left w:val="single" w:sz="12" w:space="0" w:color="auto"/>
                    <w:bottom w:val="single" w:sz="6" w:space="0" w:color="auto"/>
                    <w:right w:val="single" w:sz="6" w:space="0" w:color="auto"/>
                  </w:tcBorders>
                  <w:vAlign w:val="center"/>
                </w:tcPr>
                <w:p w:rsidR="00820B88" w:rsidRPr="00E915BB" w:rsidRDefault="00820B88"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Ģenerālprokuratūra</w:t>
                  </w:r>
                </w:p>
              </w:tc>
              <w:tc>
                <w:tcPr>
                  <w:tcW w:w="1072" w:type="dxa"/>
                  <w:tcBorders>
                    <w:top w:val="single" w:sz="12" w:space="0" w:color="auto"/>
                    <w:left w:val="single" w:sz="6" w:space="0" w:color="auto"/>
                    <w:bottom w:val="single" w:sz="6"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1 152</w:t>
                  </w:r>
                </w:p>
              </w:tc>
              <w:tc>
                <w:tcPr>
                  <w:tcW w:w="1067" w:type="dxa"/>
                  <w:tcBorders>
                    <w:top w:val="single" w:sz="12" w:space="0" w:color="auto"/>
                    <w:left w:val="single" w:sz="6" w:space="0" w:color="auto"/>
                    <w:bottom w:val="single" w:sz="6"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14.27</w:t>
                  </w:r>
                </w:p>
              </w:tc>
              <w:tc>
                <w:tcPr>
                  <w:tcW w:w="1166" w:type="dxa"/>
                  <w:tcBorders>
                    <w:top w:val="single" w:sz="12" w:space="0" w:color="auto"/>
                    <w:left w:val="single" w:sz="6" w:space="0" w:color="auto"/>
                    <w:bottom w:val="single" w:sz="6"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0</w:t>
                  </w:r>
                </w:p>
              </w:tc>
              <w:tc>
                <w:tcPr>
                  <w:tcW w:w="1280" w:type="dxa"/>
                  <w:tcBorders>
                    <w:top w:val="single" w:sz="12" w:space="0" w:color="auto"/>
                    <w:left w:val="single" w:sz="6" w:space="0" w:color="auto"/>
                    <w:bottom w:val="single" w:sz="6" w:space="0" w:color="auto"/>
                    <w:right w:val="single" w:sz="12" w:space="0" w:color="auto"/>
                  </w:tcBorders>
                  <w:noWrap/>
                  <w:vAlign w:val="bottom"/>
                </w:tcPr>
                <w:p w:rsidR="00820B88" w:rsidRPr="00E915BB" w:rsidRDefault="00DF1370"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16 442.00</w:t>
                  </w:r>
                </w:p>
              </w:tc>
            </w:tr>
            <w:tr w:rsidR="00E915BB" w:rsidRPr="00E915BB" w:rsidTr="00213AED">
              <w:trPr>
                <w:trHeight w:val="300"/>
              </w:trPr>
              <w:tc>
                <w:tcPr>
                  <w:tcW w:w="2608" w:type="dxa"/>
                  <w:vMerge/>
                  <w:tcBorders>
                    <w:top w:val="single" w:sz="6" w:space="0" w:color="auto"/>
                    <w:left w:val="single" w:sz="12" w:space="0" w:color="auto"/>
                    <w:bottom w:val="single" w:sz="6" w:space="0" w:color="auto"/>
                    <w:right w:val="single" w:sz="6" w:space="0" w:color="auto"/>
                  </w:tcBorders>
                  <w:vAlign w:val="center"/>
                </w:tcPr>
                <w:p w:rsidR="00820B88" w:rsidRPr="00E915BB" w:rsidRDefault="00820B88" w:rsidP="009B2AC1">
                  <w:pPr>
                    <w:framePr w:hSpace="180" w:wrap="around" w:vAnchor="text" w:hAnchor="margin" w:xAlign="center" w:y="-37"/>
                    <w:suppressOverlap/>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80</w:t>
                  </w:r>
                </w:p>
              </w:tc>
              <w:tc>
                <w:tcPr>
                  <w:tcW w:w="1067" w:type="dxa"/>
                  <w:tcBorders>
                    <w:top w:val="single" w:sz="6" w:space="0" w:color="auto"/>
                    <w:left w:val="single" w:sz="6" w:space="0" w:color="auto"/>
                    <w:bottom w:val="single" w:sz="6"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14.47</w:t>
                  </w:r>
                </w:p>
              </w:tc>
              <w:tc>
                <w:tcPr>
                  <w:tcW w:w="1166" w:type="dxa"/>
                  <w:tcBorders>
                    <w:top w:val="single" w:sz="6" w:space="0" w:color="auto"/>
                    <w:left w:val="single" w:sz="6" w:space="0" w:color="auto"/>
                    <w:bottom w:val="single" w:sz="6"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0</w:t>
                  </w:r>
                </w:p>
              </w:tc>
              <w:tc>
                <w:tcPr>
                  <w:tcW w:w="1280" w:type="dxa"/>
                  <w:tcBorders>
                    <w:top w:val="single" w:sz="6" w:space="0" w:color="auto"/>
                    <w:left w:val="single" w:sz="6" w:space="0" w:color="auto"/>
                    <w:bottom w:val="single" w:sz="6" w:space="0" w:color="auto"/>
                    <w:right w:val="single" w:sz="12" w:space="0" w:color="auto"/>
                  </w:tcBorders>
                  <w:noWrap/>
                  <w:vAlign w:val="bottom"/>
                </w:tcPr>
                <w:p w:rsidR="00820B88" w:rsidRPr="00E915BB" w:rsidRDefault="00604CF7"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1 158.00</w:t>
                  </w:r>
                </w:p>
              </w:tc>
            </w:tr>
            <w:tr w:rsidR="00E915BB" w:rsidRPr="00E915BB" w:rsidTr="00213AED">
              <w:trPr>
                <w:trHeight w:val="300"/>
              </w:trPr>
              <w:tc>
                <w:tcPr>
                  <w:tcW w:w="2608" w:type="dxa"/>
                  <w:vMerge/>
                  <w:tcBorders>
                    <w:top w:val="single" w:sz="6" w:space="0" w:color="auto"/>
                    <w:left w:val="single" w:sz="12" w:space="0" w:color="auto"/>
                    <w:bottom w:val="single" w:sz="12" w:space="0" w:color="auto"/>
                    <w:right w:val="single" w:sz="6" w:space="0" w:color="auto"/>
                  </w:tcBorders>
                  <w:vAlign w:val="center"/>
                </w:tcPr>
                <w:p w:rsidR="00820B88" w:rsidRPr="00E915BB" w:rsidRDefault="00820B88" w:rsidP="009B2AC1">
                  <w:pPr>
                    <w:framePr w:hSpace="180" w:wrap="around" w:vAnchor="text" w:hAnchor="margin" w:xAlign="center" w:y="-37"/>
                    <w:suppressOverlap/>
                    <w:rPr>
                      <w:rFonts w:ascii="Times New Roman" w:hAnsi="Times New Roman" w:cs="Times New Roman"/>
                    </w:rPr>
                  </w:pPr>
                </w:p>
              </w:tc>
              <w:tc>
                <w:tcPr>
                  <w:tcW w:w="1072" w:type="dxa"/>
                  <w:tcBorders>
                    <w:top w:val="single" w:sz="6" w:space="0" w:color="auto"/>
                    <w:left w:val="single" w:sz="6" w:space="0" w:color="auto"/>
                    <w:bottom w:val="single" w:sz="12"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p>
              </w:tc>
              <w:tc>
                <w:tcPr>
                  <w:tcW w:w="1067" w:type="dxa"/>
                  <w:tcBorders>
                    <w:top w:val="single" w:sz="6" w:space="0" w:color="auto"/>
                    <w:left w:val="single" w:sz="6" w:space="0" w:color="auto"/>
                    <w:bottom w:val="single" w:sz="12"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p>
              </w:tc>
              <w:tc>
                <w:tcPr>
                  <w:tcW w:w="1166" w:type="dxa"/>
                  <w:tcBorders>
                    <w:top w:val="single" w:sz="6" w:space="0" w:color="auto"/>
                    <w:left w:val="single" w:sz="6" w:space="0" w:color="auto"/>
                    <w:bottom w:val="single" w:sz="12" w:space="0" w:color="auto"/>
                    <w:right w:val="single" w:sz="6" w:space="0" w:color="auto"/>
                  </w:tcBorders>
                  <w:noWrap/>
                  <w:vAlign w:val="bottom"/>
                </w:tcPr>
                <w:p w:rsidR="00820B88" w:rsidRPr="00E915BB" w:rsidRDefault="00820B88" w:rsidP="009B2AC1">
                  <w:pPr>
                    <w:framePr w:hSpace="180" w:wrap="around" w:vAnchor="text" w:hAnchor="margin" w:xAlign="center" w:y="-37"/>
                    <w:suppressOverlap/>
                    <w:jc w:val="right"/>
                    <w:rPr>
                      <w:rFonts w:ascii="Times New Roman" w:hAnsi="Times New Roman" w:cs="Times New Roman"/>
                    </w:rPr>
                  </w:pPr>
                </w:p>
              </w:tc>
              <w:tc>
                <w:tcPr>
                  <w:tcW w:w="1280" w:type="dxa"/>
                  <w:tcBorders>
                    <w:top w:val="single" w:sz="6" w:space="0" w:color="auto"/>
                    <w:left w:val="single" w:sz="6" w:space="0" w:color="auto"/>
                    <w:bottom w:val="single" w:sz="12" w:space="0" w:color="auto"/>
                    <w:right w:val="single" w:sz="12" w:space="0" w:color="auto"/>
                  </w:tcBorders>
                  <w:noWrap/>
                  <w:vAlign w:val="bottom"/>
                </w:tcPr>
                <w:p w:rsidR="00820B88" w:rsidRPr="00E915BB" w:rsidRDefault="00604CF7"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17 </w:t>
                  </w:r>
                  <w:r w:rsidR="00DF1370" w:rsidRPr="00E915BB">
                    <w:rPr>
                      <w:rFonts w:ascii="Times New Roman" w:hAnsi="Times New Roman" w:cs="Times New Roman"/>
                    </w:rPr>
                    <w:t>600</w:t>
                  </w:r>
                  <w:r w:rsidRPr="00E915BB">
                    <w:rPr>
                      <w:rFonts w:ascii="Times New Roman" w:hAnsi="Times New Roman" w:cs="Times New Roman"/>
                    </w:rPr>
                    <w:t>.00</w:t>
                  </w:r>
                </w:p>
              </w:tc>
            </w:tr>
            <w:tr w:rsidR="00E915BB" w:rsidRPr="00E915BB" w:rsidTr="008774EB">
              <w:trPr>
                <w:trHeight w:val="300"/>
              </w:trPr>
              <w:tc>
                <w:tcPr>
                  <w:tcW w:w="2608" w:type="dxa"/>
                  <w:tcBorders>
                    <w:top w:val="single" w:sz="12" w:space="0" w:color="auto"/>
                    <w:left w:val="single" w:sz="4" w:space="0" w:color="auto"/>
                    <w:bottom w:val="single" w:sz="4" w:space="0" w:color="auto"/>
                    <w:right w:val="single" w:sz="4" w:space="0" w:color="auto"/>
                  </w:tcBorders>
                  <w:vAlign w:val="center"/>
                </w:tcPr>
                <w:p w:rsidR="00B52A26" w:rsidRPr="00E915BB" w:rsidRDefault="00B52A26"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Izglītības un zinātnes mi</w:t>
                  </w:r>
                  <w:r w:rsidR="008774EB" w:rsidRPr="00E915BB">
                    <w:rPr>
                      <w:rFonts w:ascii="Times New Roman" w:hAnsi="Times New Roman" w:cs="Times New Roman"/>
                    </w:rPr>
                    <w:t>nistrija</w:t>
                  </w:r>
                </w:p>
              </w:tc>
              <w:tc>
                <w:tcPr>
                  <w:tcW w:w="1072" w:type="dxa"/>
                  <w:tcBorders>
                    <w:top w:val="single" w:sz="12" w:space="0" w:color="auto"/>
                    <w:left w:val="single" w:sz="4" w:space="0" w:color="auto"/>
                    <w:bottom w:val="single" w:sz="4" w:space="0" w:color="auto"/>
                    <w:right w:val="single" w:sz="4" w:space="0" w:color="auto"/>
                  </w:tcBorders>
                  <w:noWrap/>
                  <w:vAlign w:val="bottom"/>
                </w:tcPr>
                <w:p w:rsidR="00B52A26" w:rsidRPr="00E915BB" w:rsidRDefault="00B52A26"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3 520</w:t>
                  </w:r>
                </w:p>
              </w:tc>
              <w:tc>
                <w:tcPr>
                  <w:tcW w:w="1067" w:type="dxa"/>
                  <w:tcBorders>
                    <w:top w:val="single" w:sz="12" w:space="0" w:color="auto"/>
                    <w:left w:val="single" w:sz="4" w:space="0" w:color="auto"/>
                    <w:bottom w:val="single" w:sz="4" w:space="0" w:color="auto"/>
                    <w:right w:val="single" w:sz="4" w:space="0" w:color="auto"/>
                  </w:tcBorders>
                  <w:noWrap/>
                  <w:vAlign w:val="bottom"/>
                </w:tcPr>
                <w:p w:rsidR="00B52A26" w:rsidRPr="00E915BB" w:rsidRDefault="00B52A26"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4.4375</w:t>
                  </w:r>
                </w:p>
              </w:tc>
              <w:tc>
                <w:tcPr>
                  <w:tcW w:w="1166" w:type="dxa"/>
                  <w:tcBorders>
                    <w:top w:val="single" w:sz="12" w:space="0" w:color="auto"/>
                    <w:left w:val="single" w:sz="4" w:space="0" w:color="auto"/>
                    <w:bottom w:val="single" w:sz="4" w:space="0" w:color="auto"/>
                    <w:right w:val="single" w:sz="4" w:space="0" w:color="auto"/>
                  </w:tcBorders>
                  <w:noWrap/>
                  <w:vAlign w:val="bottom"/>
                </w:tcPr>
                <w:p w:rsidR="00B52A26" w:rsidRPr="00E915BB" w:rsidRDefault="00B52A26"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w:t>
                  </w:r>
                </w:p>
              </w:tc>
              <w:tc>
                <w:tcPr>
                  <w:tcW w:w="1280" w:type="dxa"/>
                  <w:tcBorders>
                    <w:top w:val="single" w:sz="12" w:space="0" w:color="auto"/>
                    <w:left w:val="single" w:sz="4" w:space="0" w:color="auto"/>
                    <w:bottom w:val="single" w:sz="4" w:space="0" w:color="auto"/>
                    <w:right w:val="single" w:sz="2" w:space="0" w:color="auto"/>
                  </w:tcBorders>
                  <w:noWrap/>
                  <w:vAlign w:val="bottom"/>
                </w:tcPr>
                <w:p w:rsidR="00B52A26" w:rsidRPr="00E915BB" w:rsidRDefault="00B52A26"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15 620.00</w:t>
                  </w:r>
                </w:p>
              </w:tc>
            </w:tr>
            <w:tr w:rsidR="00E915BB" w:rsidRPr="00E915BB" w:rsidTr="008774EB">
              <w:trPr>
                <w:trHeight w:val="300"/>
              </w:trPr>
              <w:tc>
                <w:tcPr>
                  <w:tcW w:w="2608" w:type="dxa"/>
                  <w:tcBorders>
                    <w:top w:val="single" w:sz="12" w:space="0" w:color="auto"/>
                    <w:left w:val="single" w:sz="4" w:space="0" w:color="auto"/>
                    <w:bottom w:val="single" w:sz="4" w:space="0" w:color="auto"/>
                    <w:right w:val="single" w:sz="4" w:space="0" w:color="auto"/>
                  </w:tcBorders>
                  <w:vAlign w:val="center"/>
                </w:tcPr>
                <w:p w:rsidR="004E4D7D" w:rsidRPr="00E915BB" w:rsidRDefault="004E4D7D"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ieņēmumu dienests</w:t>
                  </w:r>
                </w:p>
              </w:tc>
              <w:tc>
                <w:tcPr>
                  <w:tcW w:w="1072" w:type="dxa"/>
                  <w:tcBorders>
                    <w:top w:val="single" w:sz="12" w:space="0" w:color="auto"/>
                    <w:left w:val="single" w:sz="4" w:space="0" w:color="auto"/>
                    <w:bottom w:val="single" w:sz="4" w:space="0" w:color="auto"/>
                    <w:right w:val="single" w:sz="4" w:space="0" w:color="auto"/>
                  </w:tcBorders>
                  <w:noWrap/>
                  <w:vAlign w:val="bottom"/>
                </w:tcPr>
                <w:p w:rsidR="004E4D7D" w:rsidRPr="00E915BB" w:rsidRDefault="004E4D7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480</w:t>
                  </w:r>
                </w:p>
              </w:tc>
              <w:tc>
                <w:tcPr>
                  <w:tcW w:w="1067" w:type="dxa"/>
                  <w:tcBorders>
                    <w:top w:val="single" w:sz="12" w:space="0" w:color="auto"/>
                    <w:left w:val="single" w:sz="4" w:space="0" w:color="auto"/>
                    <w:bottom w:val="single" w:sz="4" w:space="0" w:color="auto"/>
                    <w:right w:val="single" w:sz="4" w:space="0" w:color="auto"/>
                  </w:tcBorders>
                  <w:noWrap/>
                  <w:vAlign w:val="bottom"/>
                </w:tcPr>
                <w:p w:rsidR="004E4D7D" w:rsidRPr="00E915BB" w:rsidRDefault="004E4D7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8.3634</w:t>
                  </w:r>
                </w:p>
              </w:tc>
              <w:tc>
                <w:tcPr>
                  <w:tcW w:w="1166" w:type="dxa"/>
                  <w:tcBorders>
                    <w:top w:val="single" w:sz="12" w:space="0" w:color="auto"/>
                    <w:left w:val="single" w:sz="4" w:space="0" w:color="auto"/>
                    <w:bottom w:val="single" w:sz="4" w:space="0" w:color="auto"/>
                    <w:right w:val="single" w:sz="4" w:space="0" w:color="auto"/>
                  </w:tcBorders>
                  <w:noWrap/>
                  <w:vAlign w:val="bottom"/>
                </w:tcPr>
                <w:p w:rsidR="004E4D7D" w:rsidRPr="00E915BB" w:rsidRDefault="004E4D7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w:t>
                  </w:r>
                </w:p>
              </w:tc>
              <w:tc>
                <w:tcPr>
                  <w:tcW w:w="1280" w:type="dxa"/>
                  <w:tcBorders>
                    <w:top w:val="single" w:sz="12" w:space="0" w:color="auto"/>
                    <w:left w:val="single" w:sz="4" w:space="0" w:color="auto"/>
                    <w:bottom w:val="single" w:sz="4" w:space="0" w:color="auto"/>
                    <w:right w:val="single" w:sz="2" w:space="0" w:color="auto"/>
                  </w:tcBorders>
                  <w:noWrap/>
                  <w:vAlign w:val="bottom"/>
                </w:tcPr>
                <w:p w:rsidR="004E4D7D" w:rsidRPr="00E915BB" w:rsidRDefault="004E4D7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4 028.83</w:t>
                  </w:r>
                </w:p>
              </w:tc>
            </w:tr>
            <w:tr w:rsidR="00E915BB" w:rsidRPr="00E915BB" w:rsidTr="00213AED">
              <w:trPr>
                <w:trHeight w:val="300"/>
              </w:trPr>
              <w:tc>
                <w:tcPr>
                  <w:tcW w:w="2608" w:type="dxa"/>
                  <w:tcBorders>
                    <w:top w:val="single" w:sz="4" w:space="0" w:color="auto"/>
                    <w:left w:val="single" w:sz="4" w:space="0" w:color="auto"/>
                    <w:bottom w:val="single" w:sz="4" w:space="0" w:color="auto"/>
                    <w:right w:val="single" w:sz="4" w:space="0" w:color="auto"/>
                  </w:tcBorders>
                  <w:vAlign w:val="bottom"/>
                </w:tcPr>
                <w:p w:rsidR="009C3E13" w:rsidRPr="00E915BB" w:rsidRDefault="009C3E1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Noziedzīgi iegūtu līdzekļu legalizācijas novēršanas dienests</w:t>
                  </w:r>
                </w:p>
              </w:tc>
              <w:tc>
                <w:tcPr>
                  <w:tcW w:w="1072" w:type="dxa"/>
                  <w:tcBorders>
                    <w:top w:val="single" w:sz="4" w:space="0" w:color="auto"/>
                    <w:left w:val="single" w:sz="4" w:space="0" w:color="auto"/>
                    <w:bottom w:val="single" w:sz="4" w:space="0" w:color="auto"/>
                    <w:right w:val="single" w:sz="4" w:space="0" w:color="auto"/>
                  </w:tcBorders>
                  <w:noWrap/>
                  <w:vAlign w:val="bottom"/>
                </w:tcPr>
                <w:p w:rsidR="009C3E13"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tcBorders>
                    <w:top w:val="single" w:sz="4" w:space="0" w:color="auto"/>
                    <w:left w:val="single" w:sz="4" w:space="0" w:color="auto"/>
                    <w:bottom w:val="single" w:sz="4" w:space="0" w:color="auto"/>
                    <w:right w:val="single" w:sz="4" w:space="0" w:color="auto"/>
                  </w:tcBorders>
                  <w:noWrap/>
                  <w:vAlign w:val="bottom"/>
                </w:tcPr>
                <w:p w:rsidR="009C3E13"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tcBorders>
                    <w:top w:val="single" w:sz="4" w:space="0" w:color="auto"/>
                    <w:left w:val="single" w:sz="4" w:space="0" w:color="auto"/>
                    <w:bottom w:val="single" w:sz="4" w:space="0" w:color="auto"/>
                    <w:right w:val="single" w:sz="4" w:space="0" w:color="auto"/>
                  </w:tcBorders>
                  <w:noWrap/>
                  <w:vAlign w:val="bottom"/>
                </w:tcPr>
                <w:p w:rsidR="009C3E13"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280" w:type="dxa"/>
                  <w:tcBorders>
                    <w:top w:val="single" w:sz="4" w:space="0" w:color="auto"/>
                    <w:left w:val="single" w:sz="4" w:space="0" w:color="auto"/>
                    <w:bottom w:val="single" w:sz="4" w:space="0" w:color="auto"/>
                    <w:right w:val="single" w:sz="4" w:space="0" w:color="auto"/>
                  </w:tcBorders>
                  <w:noWrap/>
                  <w:vAlign w:val="bottom"/>
                </w:tcPr>
                <w:p w:rsidR="009C3E13" w:rsidRPr="00E915BB" w:rsidRDefault="00655686"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48 709.00</w:t>
                  </w:r>
                </w:p>
              </w:tc>
            </w:tr>
            <w:tr w:rsidR="00E915BB" w:rsidRPr="00E915BB" w:rsidTr="00213AED">
              <w:trPr>
                <w:trHeight w:val="300"/>
              </w:trPr>
              <w:tc>
                <w:tcPr>
                  <w:tcW w:w="2608" w:type="dxa"/>
                  <w:tcBorders>
                    <w:top w:val="single" w:sz="4" w:space="0" w:color="auto"/>
                    <w:left w:val="single" w:sz="4" w:space="0" w:color="auto"/>
                    <w:bottom w:val="single" w:sz="4" w:space="0" w:color="auto"/>
                    <w:right w:val="single" w:sz="4" w:space="0" w:color="auto"/>
                  </w:tcBorders>
                  <w:vAlign w:val="bottom"/>
                </w:tcPr>
                <w:p w:rsidR="00A57407" w:rsidRPr="00E915BB" w:rsidRDefault="00A57407"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Slimību profilakses un kontroles centrs</w:t>
                  </w:r>
                </w:p>
              </w:tc>
              <w:tc>
                <w:tcPr>
                  <w:tcW w:w="1072" w:type="dxa"/>
                  <w:tcBorders>
                    <w:top w:val="single" w:sz="4" w:space="0" w:color="auto"/>
                    <w:left w:val="single" w:sz="4" w:space="0" w:color="auto"/>
                    <w:bottom w:val="single" w:sz="4" w:space="0" w:color="auto"/>
                    <w:right w:val="single" w:sz="4" w:space="0" w:color="auto"/>
                  </w:tcBorders>
                  <w:noWrap/>
                  <w:vAlign w:val="bottom"/>
                </w:tcPr>
                <w:p w:rsidR="00A57407"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tcBorders>
                    <w:top w:val="single" w:sz="4" w:space="0" w:color="auto"/>
                    <w:left w:val="single" w:sz="4" w:space="0" w:color="auto"/>
                    <w:bottom w:val="single" w:sz="4" w:space="0" w:color="auto"/>
                    <w:right w:val="single" w:sz="4" w:space="0" w:color="auto"/>
                  </w:tcBorders>
                  <w:noWrap/>
                  <w:vAlign w:val="bottom"/>
                </w:tcPr>
                <w:p w:rsidR="00A57407"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tcBorders>
                    <w:top w:val="single" w:sz="4" w:space="0" w:color="auto"/>
                    <w:left w:val="single" w:sz="4" w:space="0" w:color="auto"/>
                    <w:bottom w:val="single" w:sz="4" w:space="0" w:color="auto"/>
                    <w:right w:val="single" w:sz="4" w:space="0" w:color="auto"/>
                  </w:tcBorders>
                  <w:noWrap/>
                  <w:vAlign w:val="bottom"/>
                </w:tcPr>
                <w:p w:rsidR="00A57407"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280" w:type="dxa"/>
                  <w:tcBorders>
                    <w:top w:val="single" w:sz="4" w:space="0" w:color="auto"/>
                    <w:left w:val="single" w:sz="4" w:space="0" w:color="auto"/>
                    <w:bottom w:val="single" w:sz="4" w:space="0" w:color="auto"/>
                    <w:right w:val="single" w:sz="4" w:space="0" w:color="auto"/>
                  </w:tcBorders>
                  <w:noWrap/>
                  <w:vAlign w:val="bottom"/>
                </w:tcPr>
                <w:p w:rsidR="00A57407" w:rsidRPr="00E915BB" w:rsidRDefault="00A57407"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133 348.56</w:t>
                  </w:r>
                </w:p>
              </w:tc>
            </w:tr>
            <w:tr w:rsidR="00E915BB" w:rsidRPr="00E915BB" w:rsidTr="00213AED">
              <w:trPr>
                <w:trHeight w:val="300"/>
              </w:trPr>
              <w:tc>
                <w:tcPr>
                  <w:tcW w:w="2608" w:type="dxa"/>
                  <w:tcBorders>
                    <w:top w:val="single" w:sz="4" w:space="0" w:color="auto"/>
                    <w:left w:val="single" w:sz="4" w:space="0" w:color="auto"/>
                    <w:bottom w:val="single" w:sz="4" w:space="0" w:color="auto"/>
                    <w:right w:val="single" w:sz="4" w:space="0" w:color="auto"/>
                  </w:tcBorders>
                  <w:vAlign w:val="bottom"/>
                </w:tcPr>
                <w:p w:rsidR="0018778C" w:rsidRPr="00E915BB" w:rsidRDefault="0018778C"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reģionālās attīstības aģentūra</w:t>
                  </w:r>
                </w:p>
              </w:tc>
              <w:tc>
                <w:tcPr>
                  <w:tcW w:w="1072" w:type="dxa"/>
                  <w:tcBorders>
                    <w:top w:val="single" w:sz="4" w:space="0" w:color="auto"/>
                    <w:left w:val="single" w:sz="4" w:space="0" w:color="auto"/>
                    <w:bottom w:val="single" w:sz="4" w:space="0" w:color="auto"/>
                    <w:right w:val="single" w:sz="4" w:space="0" w:color="auto"/>
                  </w:tcBorders>
                  <w:noWrap/>
                  <w:vAlign w:val="bottom"/>
                </w:tcPr>
                <w:p w:rsidR="0018778C" w:rsidRPr="00E915BB" w:rsidRDefault="0018778C"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tcBorders>
                    <w:top w:val="single" w:sz="4" w:space="0" w:color="auto"/>
                    <w:left w:val="single" w:sz="4" w:space="0" w:color="auto"/>
                    <w:bottom w:val="single" w:sz="4" w:space="0" w:color="auto"/>
                    <w:right w:val="single" w:sz="4" w:space="0" w:color="auto"/>
                  </w:tcBorders>
                  <w:noWrap/>
                  <w:vAlign w:val="bottom"/>
                </w:tcPr>
                <w:p w:rsidR="0018778C" w:rsidRPr="00E915BB" w:rsidRDefault="0018778C"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tcBorders>
                    <w:top w:val="single" w:sz="4" w:space="0" w:color="auto"/>
                    <w:left w:val="single" w:sz="4" w:space="0" w:color="auto"/>
                    <w:bottom w:val="single" w:sz="4" w:space="0" w:color="auto"/>
                    <w:right w:val="single" w:sz="4" w:space="0" w:color="auto"/>
                  </w:tcBorders>
                  <w:noWrap/>
                  <w:vAlign w:val="bottom"/>
                </w:tcPr>
                <w:p w:rsidR="0018778C" w:rsidRPr="00E915BB" w:rsidRDefault="0018778C"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4" w:space="0" w:color="auto"/>
                    <w:left w:val="single" w:sz="4" w:space="0" w:color="auto"/>
                    <w:bottom w:val="single" w:sz="4" w:space="0" w:color="auto"/>
                    <w:right w:val="single" w:sz="2" w:space="0" w:color="auto"/>
                  </w:tcBorders>
                  <w:noWrap/>
                  <w:vAlign w:val="bottom"/>
                </w:tcPr>
                <w:p w:rsidR="0018778C" w:rsidRPr="00E915BB" w:rsidRDefault="007623E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671.57</w:t>
                  </w:r>
                </w:p>
              </w:tc>
            </w:tr>
            <w:tr w:rsidR="00E915BB" w:rsidRPr="00E915BB" w:rsidTr="00213AED">
              <w:trPr>
                <w:trHeight w:val="300"/>
              </w:trPr>
              <w:tc>
                <w:tcPr>
                  <w:tcW w:w="2608" w:type="dxa"/>
                  <w:tcBorders>
                    <w:top w:val="single" w:sz="4" w:space="0" w:color="auto"/>
                    <w:left w:val="single" w:sz="4" w:space="0" w:color="auto"/>
                    <w:bottom w:val="single" w:sz="4" w:space="0" w:color="auto"/>
                    <w:right w:val="single" w:sz="4" w:space="0" w:color="auto"/>
                  </w:tcBorders>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Labklājības ministrija</w:t>
                  </w:r>
                </w:p>
              </w:tc>
              <w:tc>
                <w:tcPr>
                  <w:tcW w:w="1072" w:type="dxa"/>
                  <w:tcBorders>
                    <w:top w:val="single" w:sz="4" w:space="0" w:color="auto"/>
                    <w:left w:val="single" w:sz="4" w:space="0" w:color="auto"/>
                    <w:bottom w:val="single" w:sz="4" w:space="0" w:color="auto"/>
                    <w:right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tcBorders>
                    <w:top w:val="single" w:sz="4" w:space="0" w:color="auto"/>
                    <w:left w:val="single" w:sz="4" w:space="0" w:color="auto"/>
                    <w:bottom w:val="single" w:sz="4" w:space="0" w:color="auto"/>
                    <w:right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tcBorders>
                    <w:top w:val="single" w:sz="4" w:space="0" w:color="auto"/>
                    <w:left w:val="single" w:sz="4" w:space="0" w:color="auto"/>
                    <w:bottom w:val="single" w:sz="4" w:space="0" w:color="auto"/>
                    <w:right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4" w:space="0" w:color="auto"/>
                    <w:left w:val="single" w:sz="4" w:space="0" w:color="auto"/>
                    <w:bottom w:val="single" w:sz="4" w:space="0" w:color="auto"/>
                    <w:right w:val="single" w:sz="2" w:space="0" w:color="auto"/>
                  </w:tcBorders>
                  <w:noWrap/>
                  <w:vAlign w:val="bottom"/>
                </w:tcPr>
                <w:p w:rsidR="004A7C93" w:rsidRPr="00E915BB" w:rsidRDefault="00E8134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7 211</w:t>
                  </w:r>
                  <w:r w:rsidR="004A7C93" w:rsidRPr="00E915BB">
                    <w:rPr>
                      <w:rFonts w:ascii="Times New Roman" w:hAnsi="Times New Roman" w:cs="Times New Roman"/>
                    </w:rPr>
                    <w:t>.00</w:t>
                  </w:r>
                </w:p>
              </w:tc>
            </w:tr>
            <w:tr w:rsidR="00E915BB" w:rsidRPr="00E915BB" w:rsidTr="00213AED">
              <w:trPr>
                <w:trHeight w:val="300"/>
              </w:trPr>
              <w:tc>
                <w:tcPr>
                  <w:tcW w:w="2608" w:type="dxa"/>
                  <w:tcBorders>
                    <w:top w:val="single" w:sz="4" w:space="0" w:color="auto"/>
                  </w:tcBorders>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sociālās apdrošināšanas aģentūra</w:t>
                  </w:r>
                </w:p>
              </w:tc>
              <w:tc>
                <w:tcPr>
                  <w:tcW w:w="1072" w:type="dxa"/>
                  <w:tcBorders>
                    <w:top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tcBorders>
                    <w:top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tcBorders>
                    <w:top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4" w:space="0" w:color="auto"/>
                  </w:tcBorders>
                  <w:noWrap/>
                  <w:vAlign w:val="bottom"/>
                </w:tcPr>
                <w:p w:rsidR="004A7C93" w:rsidRPr="00E915BB" w:rsidRDefault="00E8134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190 979</w:t>
                  </w:r>
                  <w:r w:rsidR="004A7C93" w:rsidRPr="00E915BB">
                    <w:rPr>
                      <w:rFonts w:ascii="Times New Roman" w:hAnsi="Times New Roman" w:cs="Times New Roman"/>
                    </w:rPr>
                    <w:t>.00</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Nodarbinātības valsts aģentūra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E8134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15 220</w:t>
                  </w:r>
                  <w:r w:rsidR="004A7C93" w:rsidRPr="00E915BB">
                    <w:rPr>
                      <w:rFonts w:ascii="Times New Roman" w:hAnsi="Times New Roman" w:cs="Times New Roman"/>
                    </w:rPr>
                    <w:t>.00</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bērnu tiesību aizsardzības inspekcija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E8134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6 869</w:t>
                  </w:r>
                  <w:r w:rsidR="004A7C93" w:rsidRPr="00E915BB">
                    <w:rPr>
                      <w:rFonts w:ascii="Times New Roman" w:hAnsi="Times New Roman" w:cs="Times New Roman"/>
                    </w:rPr>
                    <w:t>.00</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darba inspekcija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3 929.00</w:t>
                  </w:r>
                </w:p>
              </w:tc>
            </w:tr>
            <w:tr w:rsidR="00E915BB" w:rsidRPr="00E915BB" w:rsidTr="00213AED">
              <w:trPr>
                <w:trHeight w:val="300"/>
              </w:trPr>
              <w:tc>
                <w:tcPr>
                  <w:tcW w:w="2608" w:type="dxa"/>
                  <w:vAlign w:val="bottom"/>
                </w:tcPr>
                <w:p w:rsidR="00213AED" w:rsidRPr="00E915BB" w:rsidRDefault="00213AED" w:rsidP="009B2AC1">
                  <w:pPr>
                    <w:framePr w:hSpace="180" w:wrap="around" w:vAnchor="text" w:hAnchor="margin" w:xAlign="center" w:y="-37"/>
                    <w:suppressOverlap/>
                    <w:rPr>
                      <w:rFonts w:ascii="Times New Roman" w:eastAsia="Times New Roman" w:hAnsi="Times New Roman" w:cs="Times New Roman"/>
                    </w:rPr>
                  </w:pPr>
                  <w:r w:rsidRPr="00E915BB">
                    <w:rPr>
                      <w:rFonts w:ascii="Times New Roman" w:hAnsi="Times New Roman" w:cs="Times New Roman"/>
                    </w:rPr>
                    <w:t>Veselības un darbspēju ekspertīzes ārstu valsts komisija</w:t>
                  </w:r>
                </w:p>
              </w:tc>
              <w:tc>
                <w:tcPr>
                  <w:tcW w:w="1072" w:type="dxa"/>
                  <w:noWrap/>
                  <w:vAlign w:val="bottom"/>
                </w:tcPr>
                <w:p w:rsidR="00213AED" w:rsidRPr="00E915BB" w:rsidRDefault="00213AE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noWrap/>
                  <w:vAlign w:val="bottom"/>
                </w:tcPr>
                <w:p w:rsidR="00213AED" w:rsidRPr="00E915BB" w:rsidRDefault="00213AE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noWrap/>
                  <w:vAlign w:val="bottom"/>
                </w:tcPr>
                <w:p w:rsidR="00213AED" w:rsidRPr="00E915BB" w:rsidRDefault="00213AE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213AED" w:rsidRPr="00E915BB" w:rsidRDefault="00213AED" w:rsidP="009B2AC1">
                  <w:pPr>
                    <w:framePr w:hSpace="180" w:wrap="around" w:vAnchor="text" w:hAnchor="margin" w:xAlign="center" w:y="-37"/>
                    <w:suppressOverlap/>
                    <w:jc w:val="right"/>
                    <w:rPr>
                      <w:rFonts w:ascii="Times New Roman" w:eastAsia="Times New Roman" w:hAnsi="Times New Roman" w:cs="Times New Roman"/>
                    </w:rPr>
                  </w:pPr>
                  <w:r w:rsidRPr="00E915BB">
                    <w:rPr>
                      <w:rFonts w:ascii="Times New Roman" w:hAnsi="Times New Roman" w:cs="Times New Roman"/>
                    </w:rPr>
                    <w:t>1 430.00</w:t>
                  </w:r>
                </w:p>
              </w:tc>
            </w:tr>
            <w:tr w:rsidR="00E915BB" w:rsidRPr="00E915BB" w:rsidTr="00213AED">
              <w:trPr>
                <w:trHeight w:val="300"/>
              </w:trPr>
              <w:tc>
                <w:tcPr>
                  <w:tcW w:w="2608" w:type="dxa"/>
                  <w:vAlign w:val="bottom"/>
                </w:tcPr>
                <w:p w:rsidR="00D95FF7" w:rsidRPr="00E915BB" w:rsidRDefault="00D95FF7" w:rsidP="009B2AC1">
                  <w:pPr>
                    <w:framePr w:hSpace="180" w:wrap="around" w:vAnchor="text" w:hAnchor="margin" w:xAlign="center" w:y="-37"/>
                    <w:suppressOverlap/>
                    <w:rPr>
                      <w:rFonts w:ascii="Times New Roman" w:hAnsi="Times New Roman" w:cs="Times New Roman"/>
                    </w:rPr>
                  </w:pPr>
                  <w:r w:rsidRPr="00E915BB">
                    <w:rPr>
                      <w:rFonts w:ascii="Times New Roman" w:eastAsia="Times New Roman" w:hAnsi="Times New Roman" w:cs="Times New Roman"/>
                    </w:rPr>
                    <w:t>Izložu un azartspēļu uzraudzības inspekcija</w:t>
                  </w:r>
                </w:p>
              </w:tc>
              <w:tc>
                <w:tcPr>
                  <w:tcW w:w="1072" w:type="dxa"/>
                  <w:noWrap/>
                  <w:vAlign w:val="bottom"/>
                </w:tcPr>
                <w:p w:rsidR="00D95FF7" w:rsidRPr="00E915BB" w:rsidRDefault="00FC2F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noWrap/>
                  <w:vAlign w:val="bottom"/>
                </w:tcPr>
                <w:p w:rsidR="00D95FF7" w:rsidRPr="00E915BB" w:rsidRDefault="00FC2F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noWrap/>
                  <w:vAlign w:val="bottom"/>
                </w:tcPr>
                <w:p w:rsidR="00D95FF7" w:rsidRPr="00E915BB" w:rsidRDefault="00FC2F8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95FF7" w:rsidRPr="00E915BB" w:rsidRDefault="00A731FA" w:rsidP="009B2AC1">
                  <w:pPr>
                    <w:framePr w:hSpace="180" w:wrap="around" w:vAnchor="text" w:hAnchor="margin" w:xAlign="center" w:y="-37"/>
                    <w:suppressOverlap/>
                    <w:jc w:val="right"/>
                    <w:rPr>
                      <w:rFonts w:ascii="Times New Roman" w:hAnsi="Times New Roman" w:cs="Times New Roman"/>
                    </w:rPr>
                  </w:pPr>
                  <w:r w:rsidRPr="00E915BB">
                    <w:rPr>
                      <w:rFonts w:ascii="Times New Roman" w:eastAsia="Times New Roman" w:hAnsi="Times New Roman" w:cs="Times New Roman"/>
                    </w:rPr>
                    <w:t>14 272.00</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Satiksmes ministrija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AC6462"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1 751.68</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sabiedrība ar ierobežotu atbildību „Autotransporta direkcija”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3 188.16</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akciju sabiedrība „Ceļu satiksmes drošības direkcija”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7 000.00</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Nacionālais veselības dienests</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5D7F32"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27174.80</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Zāļu valsts aģentūra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057585"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139 946.53</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 xml:space="preserve">Finanšu kapitāla un tirgus </w:t>
                  </w:r>
                  <w:r w:rsidRPr="00E915BB">
                    <w:rPr>
                      <w:rFonts w:ascii="Times New Roman" w:hAnsi="Times New Roman" w:cs="Times New Roman"/>
                    </w:rPr>
                    <w:lastRenderedPageBreak/>
                    <w:t>komisija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lastRenderedPageBreak/>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w:t>
                  </w:r>
                  <w:r w:rsidR="00F567EF" w:rsidRPr="00E915BB">
                    <w:rPr>
                      <w:rFonts w:ascii="Times New Roman" w:hAnsi="Times New Roman" w:cs="Times New Roman"/>
                    </w:rPr>
                    <w:t>50</w:t>
                  </w:r>
                  <w:r w:rsidRPr="00E915BB">
                    <w:rPr>
                      <w:rFonts w:ascii="Times New Roman" w:hAnsi="Times New Roman" w:cs="Times New Roman"/>
                    </w:rPr>
                    <w:t> 000.00</w:t>
                  </w:r>
                  <w:r w:rsidR="00F567EF" w:rsidRPr="00E915BB">
                    <w:rPr>
                      <w:rFonts w:ascii="Times New Roman" w:hAnsi="Times New Roman" w:cs="Times New Roman"/>
                    </w:rPr>
                    <w:t>-</w:t>
                  </w:r>
                  <w:r w:rsidR="00F567EF" w:rsidRPr="00E915BB">
                    <w:rPr>
                      <w:rFonts w:ascii="Times New Roman" w:hAnsi="Times New Roman" w:cs="Times New Roman"/>
                    </w:rPr>
                    <w:lastRenderedPageBreak/>
                    <w:t xml:space="preserve">155 000.00 </w:t>
                  </w:r>
                </w:p>
              </w:tc>
            </w:tr>
            <w:tr w:rsidR="00E915BB" w:rsidRPr="00E915BB" w:rsidTr="00213AED">
              <w:trPr>
                <w:trHeight w:val="300"/>
              </w:trPr>
              <w:tc>
                <w:tcPr>
                  <w:tcW w:w="2608" w:type="dxa"/>
                  <w:vAlign w:val="bottom"/>
                </w:tcPr>
                <w:p w:rsidR="00DD3133" w:rsidRPr="00E915BB" w:rsidRDefault="00DD313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lastRenderedPageBreak/>
                    <w:t>Pilsonības un migrācijas lietu pārvalde</w:t>
                  </w:r>
                </w:p>
              </w:tc>
              <w:tc>
                <w:tcPr>
                  <w:tcW w:w="1072" w:type="dxa"/>
                  <w:noWrap/>
                  <w:vAlign w:val="bottom"/>
                </w:tcPr>
                <w:p w:rsidR="00DD3133"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D3133"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D3133"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280" w:type="dxa"/>
                  <w:noWrap/>
                  <w:vAlign w:val="bottom"/>
                </w:tcPr>
                <w:p w:rsidR="00DD3133" w:rsidRPr="00E915BB" w:rsidRDefault="00DD313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25 818.36</w:t>
                  </w:r>
                </w:p>
              </w:tc>
            </w:tr>
            <w:tr w:rsidR="00E915BB" w:rsidRPr="00E915BB" w:rsidTr="00213AED">
              <w:trPr>
                <w:trHeight w:val="300"/>
              </w:trPr>
              <w:tc>
                <w:tcPr>
                  <w:tcW w:w="2608" w:type="dxa"/>
                  <w:vAlign w:val="bottom"/>
                </w:tcPr>
                <w:p w:rsidR="0091346F" w:rsidRPr="00E915BB" w:rsidRDefault="0091346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Vides aizsardzības un reģionālās attīstības ministrija</w:t>
                  </w:r>
                </w:p>
              </w:tc>
              <w:tc>
                <w:tcPr>
                  <w:tcW w:w="1072" w:type="dxa"/>
                  <w:noWrap/>
                  <w:vAlign w:val="bottom"/>
                </w:tcPr>
                <w:p w:rsidR="0091346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91346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91346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280" w:type="dxa"/>
                  <w:noWrap/>
                  <w:vAlign w:val="bottom"/>
                </w:tcPr>
                <w:p w:rsidR="0091346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101 400.00</w:t>
                  </w:r>
                </w:p>
              </w:tc>
            </w:tr>
            <w:tr w:rsidR="00E915BB" w:rsidRPr="00E915BB" w:rsidTr="00213AED">
              <w:trPr>
                <w:trHeight w:val="300"/>
              </w:trPr>
              <w:tc>
                <w:tcPr>
                  <w:tcW w:w="2608" w:type="dxa"/>
                  <w:vAlign w:val="bottom"/>
                </w:tcPr>
                <w:p w:rsidR="00AC6462" w:rsidRPr="00E915BB" w:rsidRDefault="00AC6462"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Dabas aizsardzības pārvalde</w:t>
                  </w:r>
                </w:p>
              </w:tc>
              <w:tc>
                <w:tcPr>
                  <w:tcW w:w="1072" w:type="dxa"/>
                  <w:noWrap/>
                  <w:vAlign w:val="bottom"/>
                </w:tcPr>
                <w:p w:rsidR="00AC6462"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AC6462"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AC6462"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280" w:type="dxa"/>
                  <w:noWrap/>
                  <w:vAlign w:val="bottom"/>
                </w:tcPr>
                <w:p w:rsidR="00AC6462" w:rsidRPr="00E915BB" w:rsidRDefault="00DE6E1D" w:rsidP="009B2AC1">
                  <w:pPr>
                    <w:framePr w:hSpace="180" w:wrap="around" w:vAnchor="text" w:hAnchor="margin" w:xAlign="center" w:y="-37"/>
                    <w:suppressOverlap/>
                    <w:jc w:val="right"/>
                    <w:rPr>
                      <w:rFonts w:ascii="Times New Roman" w:hAnsi="Times New Roman" w:cs="Times New Roman"/>
                    </w:rPr>
                  </w:pPr>
                  <w:r w:rsidRPr="00E915BB">
                    <w:rPr>
                      <w:rFonts w:ascii="Times New Roman" w:eastAsia="Times New Roman" w:hAnsi="Times New Roman" w:cs="Times New Roman"/>
                    </w:rPr>
                    <w:t>114 101.92</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 xml:space="preserve">Latvijas Valsts agrārās ekonomikas institūts </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0C4A9E"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155 769.00</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Latvijas Valsts mežzinātnes institūts "Silava"</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20.00</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Lauksaimniecības datu centrs</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2 336.40</w:t>
                  </w:r>
                </w:p>
              </w:tc>
            </w:tr>
            <w:tr w:rsidR="00E915BB" w:rsidRPr="00E915BB" w:rsidTr="00213AED">
              <w:trPr>
                <w:trHeight w:val="1045"/>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Sabiedrība ar ierobežotu atbildību „Latvijas Lauku konsultāciju un izglītības centrs”</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34 481.73</w:t>
                  </w:r>
                </w:p>
              </w:tc>
            </w:tr>
            <w:tr w:rsidR="00E915BB" w:rsidRPr="00E915BB" w:rsidTr="00213AED">
              <w:trPr>
                <w:trHeight w:val="300"/>
              </w:trPr>
              <w:tc>
                <w:tcPr>
                  <w:tcW w:w="2608" w:type="dxa"/>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meža dienests</w:t>
                  </w:r>
                </w:p>
              </w:tc>
              <w:tc>
                <w:tcPr>
                  <w:tcW w:w="1072"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554.00</w:t>
                  </w:r>
                </w:p>
              </w:tc>
            </w:tr>
            <w:tr w:rsidR="00E915BB" w:rsidRPr="00E915BB" w:rsidTr="00213AED">
              <w:trPr>
                <w:trHeight w:val="300"/>
              </w:trPr>
              <w:tc>
                <w:tcPr>
                  <w:tcW w:w="2608" w:type="dxa"/>
                  <w:tcBorders>
                    <w:bottom w:val="single" w:sz="4" w:space="0" w:color="auto"/>
                  </w:tcBorders>
                  <w:vAlign w:val="bottom"/>
                </w:tcPr>
                <w:p w:rsidR="004A7C93" w:rsidRPr="00E915BB" w:rsidRDefault="004A7C93"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Zemkopības ministrija</w:t>
                  </w:r>
                </w:p>
              </w:tc>
              <w:tc>
                <w:tcPr>
                  <w:tcW w:w="1072" w:type="dxa"/>
                  <w:tcBorders>
                    <w:bottom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tcBorders>
                    <w:bottom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tcBorders>
                    <w:bottom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bottom w:val="single" w:sz="4" w:space="0" w:color="auto"/>
                  </w:tcBorders>
                  <w:noWrap/>
                  <w:vAlign w:val="bottom"/>
                </w:tcPr>
                <w:p w:rsidR="004A7C93" w:rsidRPr="00E915BB" w:rsidRDefault="004A7C93"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723.00</w:t>
                  </w:r>
                </w:p>
              </w:tc>
            </w:tr>
            <w:tr w:rsidR="00E915BB" w:rsidRPr="00E915BB" w:rsidTr="00213AED">
              <w:trPr>
                <w:trHeight w:val="300"/>
              </w:trPr>
              <w:tc>
                <w:tcPr>
                  <w:tcW w:w="2608" w:type="dxa"/>
                  <w:tcBorders>
                    <w:top w:val="single" w:sz="4" w:space="0" w:color="auto"/>
                  </w:tcBorders>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Kultūras ministrija</w:t>
                  </w:r>
                </w:p>
              </w:tc>
              <w:tc>
                <w:tcPr>
                  <w:tcW w:w="1072"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37</w:t>
                  </w:r>
                  <w:r w:rsidR="00FC2F88" w:rsidRPr="00E915BB">
                    <w:rPr>
                      <w:rFonts w:ascii="Times New Roman" w:hAnsi="Times New Roman" w:cs="Times New Roman"/>
                    </w:rPr>
                    <w:t> </w:t>
                  </w:r>
                  <w:r w:rsidRPr="00E915BB">
                    <w:rPr>
                      <w:rFonts w:ascii="Times New Roman" w:hAnsi="Times New Roman" w:cs="Times New Roman"/>
                    </w:rPr>
                    <w:t>178</w:t>
                  </w:r>
                  <w:r w:rsidR="00FC2F88" w:rsidRPr="00E915BB">
                    <w:rPr>
                      <w:rFonts w:ascii="Times New Roman" w:hAnsi="Times New Roman" w:cs="Times New Roman"/>
                    </w:rPr>
                    <w:t>.00</w:t>
                  </w:r>
                </w:p>
              </w:tc>
            </w:tr>
            <w:tr w:rsidR="00E915BB" w:rsidRPr="00E915BB" w:rsidTr="00213AED">
              <w:trPr>
                <w:trHeight w:val="300"/>
              </w:trPr>
              <w:tc>
                <w:tcPr>
                  <w:tcW w:w="2608" w:type="dxa"/>
                  <w:tcBorders>
                    <w:top w:val="single" w:sz="4" w:space="0" w:color="auto"/>
                  </w:tcBorders>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Latvijas Nacionālā bibliotēka</w:t>
                  </w:r>
                </w:p>
              </w:tc>
              <w:tc>
                <w:tcPr>
                  <w:tcW w:w="1072"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19</w:t>
                  </w:r>
                  <w:r w:rsidR="00FC2F88" w:rsidRPr="00E915BB">
                    <w:rPr>
                      <w:rFonts w:ascii="Times New Roman" w:hAnsi="Times New Roman" w:cs="Times New Roman"/>
                    </w:rPr>
                    <w:t> </w:t>
                  </w:r>
                  <w:r w:rsidRPr="00E915BB">
                    <w:rPr>
                      <w:rFonts w:ascii="Times New Roman" w:hAnsi="Times New Roman" w:cs="Times New Roman"/>
                    </w:rPr>
                    <w:t>917</w:t>
                  </w:r>
                  <w:r w:rsidR="00FC2F88" w:rsidRPr="00E915BB">
                    <w:rPr>
                      <w:rFonts w:ascii="Times New Roman" w:hAnsi="Times New Roman" w:cs="Times New Roman"/>
                    </w:rPr>
                    <w:t>.00</w:t>
                  </w:r>
                </w:p>
              </w:tc>
            </w:tr>
            <w:tr w:rsidR="00E915BB" w:rsidRPr="00E915BB" w:rsidTr="00213AED">
              <w:trPr>
                <w:trHeight w:val="300"/>
              </w:trPr>
              <w:tc>
                <w:tcPr>
                  <w:tcW w:w="2608" w:type="dxa"/>
                  <w:tcBorders>
                    <w:top w:val="single" w:sz="4" w:space="0" w:color="auto"/>
                  </w:tcBorders>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Nacionālais kino centrs</w:t>
                  </w:r>
                </w:p>
              </w:tc>
              <w:tc>
                <w:tcPr>
                  <w:tcW w:w="1072"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6</w:t>
                  </w:r>
                  <w:r w:rsidR="00FC2F88" w:rsidRPr="00E915BB">
                    <w:rPr>
                      <w:rFonts w:ascii="Times New Roman" w:hAnsi="Times New Roman" w:cs="Times New Roman"/>
                    </w:rPr>
                    <w:t> </w:t>
                  </w:r>
                  <w:r w:rsidRPr="00E915BB">
                    <w:rPr>
                      <w:rFonts w:ascii="Times New Roman" w:hAnsi="Times New Roman" w:cs="Times New Roman"/>
                    </w:rPr>
                    <w:t>639</w:t>
                  </w:r>
                  <w:r w:rsidR="00FC2F88" w:rsidRPr="00E915BB">
                    <w:rPr>
                      <w:rFonts w:ascii="Times New Roman" w:hAnsi="Times New Roman" w:cs="Times New Roman"/>
                    </w:rPr>
                    <w:t>.00</w:t>
                  </w:r>
                </w:p>
              </w:tc>
            </w:tr>
            <w:tr w:rsidR="00E915BB" w:rsidRPr="00E915BB" w:rsidTr="00213AED">
              <w:trPr>
                <w:trHeight w:val="300"/>
              </w:trPr>
              <w:tc>
                <w:tcPr>
                  <w:tcW w:w="2608" w:type="dxa"/>
                  <w:tcBorders>
                    <w:top w:val="single" w:sz="4" w:space="0" w:color="auto"/>
                    <w:bottom w:val="single" w:sz="4" w:space="0" w:color="auto"/>
                  </w:tcBorders>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Latvijas Nacionālais arhīvs</w:t>
                  </w:r>
                </w:p>
              </w:tc>
              <w:tc>
                <w:tcPr>
                  <w:tcW w:w="1072" w:type="dxa"/>
                  <w:tcBorders>
                    <w:top w:val="single" w:sz="4" w:space="0" w:color="auto"/>
                    <w:bottom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tcBorders>
                    <w:top w:val="single" w:sz="4" w:space="0" w:color="auto"/>
                    <w:bottom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tcBorders>
                    <w:top w:val="single" w:sz="4" w:space="0" w:color="auto"/>
                    <w:bottom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4" w:space="0" w:color="auto"/>
                    <w:bottom w:val="single" w:sz="4"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13</w:t>
                  </w:r>
                  <w:r w:rsidR="00FC2F88" w:rsidRPr="00E915BB">
                    <w:rPr>
                      <w:rFonts w:ascii="Times New Roman" w:hAnsi="Times New Roman" w:cs="Times New Roman"/>
                    </w:rPr>
                    <w:t> </w:t>
                  </w:r>
                  <w:r w:rsidRPr="00E915BB">
                    <w:rPr>
                      <w:rFonts w:ascii="Times New Roman" w:hAnsi="Times New Roman" w:cs="Times New Roman"/>
                    </w:rPr>
                    <w:t>278</w:t>
                  </w:r>
                  <w:r w:rsidR="00FC2F88" w:rsidRPr="00E915BB">
                    <w:rPr>
                      <w:rFonts w:ascii="Times New Roman" w:hAnsi="Times New Roman" w:cs="Times New Roman"/>
                    </w:rPr>
                    <w:t>.00</w:t>
                  </w:r>
                </w:p>
              </w:tc>
            </w:tr>
            <w:tr w:rsidR="00E915BB" w:rsidRPr="00E915BB" w:rsidTr="00213AED">
              <w:trPr>
                <w:trHeight w:val="300"/>
              </w:trPr>
              <w:tc>
                <w:tcPr>
                  <w:tcW w:w="2608" w:type="dxa"/>
                  <w:tcBorders>
                    <w:top w:val="single" w:sz="4" w:space="0" w:color="auto"/>
                    <w:bottom w:val="single" w:sz="12" w:space="0" w:color="auto"/>
                  </w:tcBorders>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Kultūras informācijas sistēmu centrs</w:t>
                  </w:r>
                  <w:r w:rsidRPr="00E915BB">
                    <w:rPr>
                      <w:rStyle w:val="FootnoteReference"/>
                      <w:rFonts w:ascii="Times New Roman" w:hAnsi="Times New Roman" w:cs="Times New Roman"/>
                    </w:rPr>
                    <w:footnoteReference w:id="4"/>
                  </w:r>
                </w:p>
              </w:tc>
              <w:tc>
                <w:tcPr>
                  <w:tcW w:w="1072" w:type="dxa"/>
                  <w:tcBorders>
                    <w:top w:val="single" w:sz="4" w:space="0" w:color="auto"/>
                    <w:bottom w:val="single" w:sz="12" w:space="0" w:color="auto"/>
                  </w:tcBorders>
                  <w:noWrap/>
                  <w:vAlign w:val="bottom"/>
                </w:tcPr>
                <w:p w:rsidR="00D8093F" w:rsidRPr="00E915BB" w:rsidRDefault="00213AE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tcBorders>
                    <w:top w:val="single" w:sz="4" w:space="0" w:color="auto"/>
                    <w:bottom w:val="single" w:sz="12" w:space="0" w:color="auto"/>
                  </w:tcBorders>
                  <w:noWrap/>
                  <w:vAlign w:val="bottom"/>
                </w:tcPr>
                <w:p w:rsidR="00D8093F" w:rsidRPr="00E915BB" w:rsidRDefault="00213AE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tcBorders>
                    <w:top w:val="single" w:sz="4" w:space="0" w:color="auto"/>
                    <w:bottom w:val="single" w:sz="12" w:space="0" w:color="auto"/>
                  </w:tcBorders>
                  <w:noWrap/>
                  <w:vAlign w:val="bottom"/>
                </w:tcPr>
                <w:p w:rsidR="00D8093F" w:rsidRPr="00E915BB" w:rsidRDefault="00213AED"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4" w:space="0" w:color="auto"/>
                    <w:bottom w:val="single" w:sz="12"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20</w:t>
                  </w:r>
                  <w:r w:rsidR="00FC2F88" w:rsidRPr="00E915BB">
                    <w:rPr>
                      <w:rFonts w:ascii="Times New Roman" w:hAnsi="Times New Roman" w:cs="Times New Roman"/>
                    </w:rPr>
                    <w:t> </w:t>
                  </w:r>
                  <w:r w:rsidRPr="00E915BB">
                    <w:rPr>
                      <w:rFonts w:ascii="Times New Roman" w:hAnsi="Times New Roman" w:cs="Times New Roman"/>
                    </w:rPr>
                    <w:t>000</w:t>
                  </w:r>
                  <w:r w:rsidR="00FC2F88" w:rsidRPr="00E915BB">
                    <w:rPr>
                      <w:rFonts w:ascii="Times New Roman" w:hAnsi="Times New Roman" w:cs="Times New Roman"/>
                    </w:rPr>
                    <w:t>.00</w:t>
                  </w:r>
                </w:p>
              </w:tc>
            </w:tr>
            <w:tr w:rsidR="00E915BB" w:rsidRPr="00E915BB" w:rsidTr="00213AED">
              <w:trPr>
                <w:trHeight w:val="300"/>
              </w:trPr>
              <w:tc>
                <w:tcPr>
                  <w:tcW w:w="2608" w:type="dxa"/>
                  <w:tcBorders>
                    <w:top w:val="single" w:sz="12" w:space="0" w:color="auto"/>
                  </w:tcBorders>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Ekonomikas ministrija</w:t>
                  </w:r>
                </w:p>
              </w:tc>
              <w:tc>
                <w:tcPr>
                  <w:tcW w:w="1072" w:type="dxa"/>
                  <w:tcBorders>
                    <w:top w:val="single" w:sz="12"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tcBorders>
                    <w:top w:val="single" w:sz="12"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tcBorders>
                    <w:top w:val="single" w:sz="12"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tcBorders>
                    <w:top w:val="single" w:sz="12" w:space="0" w:color="auto"/>
                  </w:tcBorders>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Style w:val="FootnoteReference"/>
                      <w:rFonts w:ascii="Times New Roman" w:hAnsi="Times New Roman" w:cs="Times New Roman"/>
                    </w:rPr>
                    <w:footnoteReference w:id="5"/>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Augstākā tiesa</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0091346F"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kase</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0091346F"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4571DB" w:rsidRPr="00E915BB" w:rsidRDefault="004571DB"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Neatliekamās medicīniskās palīdzības dienests</w:t>
                  </w:r>
                </w:p>
              </w:tc>
              <w:tc>
                <w:tcPr>
                  <w:tcW w:w="1072" w:type="dxa"/>
                  <w:noWrap/>
                  <w:vAlign w:val="bottom"/>
                </w:tcPr>
                <w:p w:rsidR="004571DB"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4571DB"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4571DB"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280" w:type="dxa"/>
                  <w:noWrap/>
                  <w:vAlign w:val="bottom"/>
                </w:tcPr>
                <w:p w:rsidR="004571DB"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0091346F"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Iekšlietu ministrijas Informācijas centrs</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0091346F"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akciju sabiedrība „Latvijas Valsts radio un televīzijas centrs”</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Ieslodzījuma vietu pārvalde</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Latvijas zvērinātu tiesu izpildītāju padome</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Patentu valde</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Tiesu administrācija</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4369A8" w:rsidRPr="00E915BB" w:rsidRDefault="004369A8"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zemes dienests</w:t>
                  </w:r>
                </w:p>
              </w:tc>
              <w:tc>
                <w:tcPr>
                  <w:tcW w:w="1072" w:type="dxa"/>
                  <w:noWrap/>
                  <w:vAlign w:val="bottom"/>
                </w:tcPr>
                <w:p w:rsidR="004369A8" w:rsidRPr="00E915BB" w:rsidRDefault="00A9293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067" w:type="dxa"/>
                  <w:noWrap/>
                  <w:vAlign w:val="bottom"/>
                </w:tcPr>
                <w:p w:rsidR="004369A8" w:rsidRPr="00E915BB" w:rsidRDefault="00A9293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166" w:type="dxa"/>
                  <w:noWrap/>
                  <w:vAlign w:val="bottom"/>
                </w:tcPr>
                <w:p w:rsidR="004369A8" w:rsidRPr="00E915BB" w:rsidRDefault="00A92938"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4369A8"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 xml:space="preserve">Uzturlīdzekļu garantiju </w:t>
                  </w:r>
                  <w:r w:rsidRPr="00E915BB">
                    <w:rPr>
                      <w:rFonts w:ascii="Times New Roman" w:hAnsi="Times New Roman" w:cs="Times New Roman"/>
                    </w:rPr>
                    <w:lastRenderedPageBreak/>
                    <w:t>fonda administrācija</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lastRenderedPageBreak/>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lastRenderedPageBreak/>
                    <w:t>Valsts probācijas dienests</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Latvijas Hidroekoloģijas institūts</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akciju sabiedrība "Elektroniskie sakari"</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A57407" w:rsidRPr="00E915BB" w:rsidRDefault="00A57407"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vides dienesta Radiācijas drošības centrs</w:t>
                  </w:r>
                </w:p>
              </w:tc>
              <w:tc>
                <w:tcPr>
                  <w:tcW w:w="1072" w:type="dxa"/>
                  <w:noWrap/>
                  <w:vAlign w:val="bottom"/>
                </w:tcPr>
                <w:p w:rsidR="00A57407"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A57407"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A57407" w:rsidRPr="00E915BB" w:rsidRDefault="004571DB"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280" w:type="dxa"/>
                  <w:noWrap/>
                  <w:vAlign w:val="bottom"/>
                </w:tcPr>
                <w:p w:rsidR="00A57407" w:rsidRPr="00E915BB" w:rsidRDefault="0091346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Pr="00E915BB">
                    <w:rPr>
                      <w:rFonts w:ascii="Times New Roman" w:hAnsi="Times New Roman" w:cs="Times New Roman"/>
                      <w:vertAlign w:val="superscript"/>
                    </w:rPr>
                    <w:t>5</w:t>
                  </w:r>
                </w:p>
              </w:tc>
            </w:tr>
            <w:tr w:rsidR="00E915BB" w:rsidRPr="00E915BB" w:rsidTr="00213AED">
              <w:trPr>
                <w:trHeight w:val="300"/>
              </w:trPr>
              <w:tc>
                <w:tcPr>
                  <w:tcW w:w="2608" w:type="dxa"/>
                  <w:vAlign w:val="bottom"/>
                </w:tcPr>
                <w:p w:rsidR="00D8093F" w:rsidRPr="00E915BB" w:rsidRDefault="00D8093F" w:rsidP="009B2AC1">
                  <w:pPr>
                    <w:framePr w:hSpace="180" w:wrap="around" w:vAnchor="text" w:hAnchor="margin" w:xAlign="center" w:y="-37"/>
                    <w:suppressOverlap/>
                    <w:rPr>
                      <w:rFonts w:ascii="Times New Roman" w:hAnsi="Times New Roman" w:cs="Times New Roman"/>
                    </w:rPr>
                  </w:pPr>
                  <w:r w:rsidRPr="00E915BB">
                    <w:rPr>
                      <w:rFonts w:ascii="Times New Roman" w:hAnsi="Times New Roman" w:cs="Times New Roman"/>
                    </w:rPr>
                    <w:t>Valsts sabiedrība ar ierobežotu atbildību "Latvijas Vides, ģeoloģijas un meteoroloģijas centrs"</w:t>
                  </w:r>
                </w:p>
              </w:tc>
              <w:tc>
                <w:tcPr>
                  <w:tcW w:w="1072"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067"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 –</w:t>
                  </w:r>
                </w:p>
              </w:tc>
              <w:tc>
                <w:tcPr>
                  <w:tcW w:w="1166"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w:t>
                  </w:r>
                </w:p>
              </w:tc>
              <w:tc>
                <w:tcPr>
                  <w:tcW w:w="1280" w:type="dxa"/>
                  <w:noWrap/>
                  <w:vAlign w:val="bottom"/>
                </w:tcPr>
                <w:p w:rsidR="00D8093F" w:rsidRPr="00E915BB" w:rsidRDefault="00D8093F" w:rsidP="009B2AC1">
                  <w:pPr>
                    <w:framePr w:hSpace="180" w:wrap="around" w:vAnchor="text" w:hAnchor="margin" w:xAlign="center" w:y="-37"/>
                    <w:suppressOverlap/>
                    <w:jc w:val="right"/>
                    <w:rPr>
                      <w:rFonts w:ascii="Times New Roman" w:hAnsi="Times New Roman" w:cs="Times New Roman"/>
                    </w:rPr>
                  </w:pPr>
                  <w:r w:rsidRPr="00E915BB">
                    <w:rPr>
                      <w:rFonts w:ascii="Times New Roman" w:hAnsi="Times New Roman" w:cs="Times New Roman"/>
                    </w:rPr>
                    <w:t>0.00</w:t>
                  </w:r>
                  <w:r w:rsidR="0091346F" w:rsidRPr="00E915BB">
                    <w:rPr>
                      <w:rFonts w:ascii="Times New Roman" w:hAnsi="Times New Roman" w:cs="Times New Roman"/>
                      <w:vertAlign w:val="superscript"/>
                    </w:rPr>
                    <w:t>5</w:t>
                  </w:r>
                </w:p>
              </w:tc>
            </w:tr>
          </w:tbl>
          <w:p w:rsidR="00C911F2" w:rsidRPr="00E915BB" w:rsidRDefault="00C911F2" w:rsidP="00B84C9D">
            <w:pPr>
              <w:rPr>
                <w:rFonts w:ascii="Times New Roman" w:eastAsia="Times New Roman" w:hAnsi="Times New Roman" w:cs="Times New Roman"/>
                <w:sz w:val="24"/>
                <w:szCs w:val="24"/>
                <w:lang w:eastAsia="lv-LV"/>
              </w:rPr>
            </w:pPr>
          </w:p>
        </w:tc>
      </w:tr>
      <w:tr w:rsidR="00E915BB" w:rsidRPr="00E915BB" w:rsidTr="008774EB">
        <w:trPr>
          <w:trHeight w:val="345"/>
        </w:trPr>
        <w:tc>
          <w:tcPr>
            <w:tcW w:w="214" w:type="pct"/>
            <w:tcBorders>
              <w:top w:val="outset" w:sz="6" w:space="0" w:color="auto"/>
              <w:left w:val="outset" w:sz="6" w:space="0" w:color="auto"/>
              <w:bottom w:val="outset" w:sz="6" w:space="0" w:color="auto"/>
              <w:right w:val="outset" w:sz="6" w:space="0" w:color="auto"/>
            </w:tcBorders>
            <w:hideMark/>
          </w:tcPr>
          <w:p w:rsidR="002C5318" w:rsidRPr="00E915BB" w:rsidRDefault="002C531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4.</w:t>
            </w:r>
          </w:p>
        </w:tc>
        <w:tc>
          <w:tcPr>
            <w:tcW w:w="1086" w:type="pct"/>
            <w:tcBorders>
              <w:top w:val="outset" w:sz="6" w:space="0" w:color="auto"/>
              <w:left w:val="outset" w:sz="6" w:space="0" w:color="auto"/>
              <w:bottom w:val="outset" w:sz="6" w:space="0" w:color="auto"/>
              <w:right w:val="outset" w:sz="6" w:space="0" w:color="auto"/>
            </w:tcBorders>
            <w:hideMark/>
          </w:tcPr>
          <w:p w:rsidR="002C5318" w:rsidRPr="00E915BB" w:rsidRDefault="002C5318" w:rsidP="00B84C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700" w:type="pct"/>
            <w:tcBorders>
              <w:top w:val="outset" w:sz="6" w:space="0" w:color="auto"/>
              <w:left w:val="outset" w:sz="6" w:space="0" w:color="auto"/>
              <w:bottom w:val="outset" w:sz="6" w:space="0" w:color="auto"/>
              <w:right w:val="outset" w:sz="6" w:space="0" w:color="auto"/>
            </w:tcBorders>
            <w:hideMark/>
          </w:tcPr>
          <w:p w:rsidR="002C5318" w:rsidRPr="00E915BB" w:rsidRDefault="00524F38" w:rsidP="00B84C9D">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w:t>
      </w:r>
    </w:p>
    <w:p w:rsidR="00027C9B" w:rsidRPr="00E915BB" w:rsidRDefault="00027C9B" w:rsidP="002C5318">
      <w:pPr>
        <w:spacing w:before="100" w:beforeAutospacing="1" w:after="100" w:afterAutospacing="1"/>
        <w:rPr>
          <w:rFonts w:ascii="Times New Roman" w:eastAsia="Times New Roman" w:hAnsi="Times New Roman" w:cs="Times New Roman"/>
          <w:sz w:val="24"/>
          <w:szCs w:val="24"/>
          <w:lang w:eastAsia="lv-LV"/>
        </w:rPr>
      </w:pPr>
    </w:p>
    <w:p w:rsidR="0091346F" w:rsidRPr="00E915BB" w:rsidRDefault="0091346F" w:rsidP="002C5318">
      <w:pPr>
        <w:spacing w:before="100" w:beforeAutospacing="1" w:after="100" w:afterAutospacing="1"/>
        <w:rPr>
          <w:rFonts w:ascii="Times New Roman" w:eastAsia="Times New Roman" w:hAnsi="Times New Roman" w:cs="Times New Roman"/>
          <w:sz w:val="24"/>
          <w:szCs w:val="24"/>
          <w:lang w:eastAsia="lv-LV"/>
        </w:rPr>
      </w:pPr>
    </w:p>
    <w:p w:rsidR="00BA023D" w:rsidRPr="00E915BB" w:rsidRDefault="00BA023D" w:rsidP="002C5318">
      <w:pPr>
        <w:spacing w:before="100" w:beforeAutospacing="1" w:after="100" w:afterAutospacing="1"/>
        <w:rPr>
          <w:rFonts w:ascii="Times New Roman" w:eastAsia="Times New Roman" w:hAnsi="Times New Roman" w:cs="Times New Roman"/>
          <w:sz w:val="24"/>
          <w:szCs w:val="24"/>
          <w:lang w:eastAsia="lv-LV"/>
        </w:rPr>
      </w:pP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
        <w:gridCol w:w="2274"/>
        <w:gridCol w:w="7232"/>
      </w:tblGrid>
      <w:tr w:rsidR="00E915BB" w:rsidRPr="00E915BB" w:rsidTr="00524F38">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 Tiesību akta projekta atbilstība Latvijas Republikas starptautiskajām saistībām</w:t>
            </w:r>
          </w:p>
        </w:tc>
      </w:tr>
      <w:tr w:rsidR="00E915BB" w:rsidRPr="00E915BB" w:rsidTr="00524F38">
        <w:tc>
          <w:tcPr>
            <w:tcW w:w="214"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Saistības pret Eiropas Savienību</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RDefault="00524F3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Skatīt V sadaļas 1. tabulu</w:t>
            </w:r>
          </w:p>
        </w:tc>
      </w:tr>
      <w:tr w:rsidR="00E915BB" w:rsidRPr="00E915BB" w:rsidTr="00524F38">
        <w:tc>
          <w:tcPr>
            <w:tcW w:w="214"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Citas starptautiskās saistības</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RDefault="00524F3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E915BB" w:rsidRPr="00E915BB" w:rsidTr="00524F38">
        <w:tc>
          <w:tcPr>
            <w:tcW w:w="214"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RDefault="00524F3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w:t>
      </w:r>
    </w:p>
    <w:tbl>
      <w:tblPr>
        <w:tblW w:w="9919"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84"/>
        <w:gridCol w:w="1672"/>
        <w:gridCol w:w="2118"/>
        <w:gridCol w:w="2345"/>
      </w:tblGrid>
      <w:tr w:rsidR="00E915BB" w:rsidRPr="00E915BB"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1.tabula</w:t>
            </w:r>
            <w:r w:rsidRPr="00E915BB">
              <w:rPr>
                <w:rFonts w:ascii="Times New Roman" w:eastAsia="Times New Roman" w:hAnsi="Times New Roman" w:cs="Times New Roman"/>
                <w:b/>
                <w:bCs/>
                <w:sz w:val="24"/>
                <w:szCs w:val="24"/>
                <w:lang w:eastAsia="lv-LV"/>
              </w:rPr>
              <w:br/>
              <w:t>Tiesību akta projekta atbilstība ES tiesību aktiem</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Attiecīgā ES tiesību akta datums, numurs un nosaukums</w:t>
            </w:r>
          </w:p>
        </w:tc>
        <w:tc>
          <w:tcPr>
            <w:tcW w:w="6135" w:type="dxa"/>
            <w:gridSpan w:val="3"/>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w:t>
            </w:r>
          </w:p>
        </w:tc>
        <w:tc>
          <w:tcPr>
            <w:tcW w:w="2345" w:type="dxa"/>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D</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Projekta vienība, kas pārņem vai ievieš katru šīs tabulas A ailē minēto ES tiesību akta vienību, vai tiesību akts, kur attiecīgā ES tiesību akta vienība </w:t>
            </w:r>
            <w:r w:rsidRPr="00E915BB">
              <w:rPr>
                <w:rFonts w:ascii="Times New Roman" w:eastAsia="Times New Roman" w:hAnsi="Times New Roman" w:cs="Times New Roman"/>
                <w:sz w:val="24"/>
                <w:szCs w:val="24"/>
                <w:lang w:eastAsia="lv-LV"/>
              </w:rPr>
              <w:lastRenderedPageBreak/>
              <w:t>pārņemta vai ieviesta</w:t>
            </w:r>
          </w:p>
        </w:tc>
        <w:tc>
          <w:tcPr>
            <w:tcW w:w="2118"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ieviestas pilnībā vai daļēji. </w:t>
            </w:r>
          </w:p>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Ja attiecīgā ES tiesību akta vienība tiek pārņemta vai ieviesta daļēji, </w:t>
            </w:r>
            <w:r w:rsidRPr="00E915BB">
              <w:rPr>
                <w:rFonts w:ascii="Times New Roman" w:eastAsia="Times New Roman" w:hAnsi="Times New Roman" w:cs="Times New Roman"/>
                <w:sz w:val="24"/>
                <w:szCs w:val="24"/>
                <w:lang w:eastAsia="lv-LV"/>
              </w:rPr>
              <w:lastRenderedPageBreak/>
              <w:t>sniedz attiecīgu skaidrojumu, kā arī precīzi norāda, kad un kādā veidā ES tiesību akta vienība tiks pārņemta vai ieviesta pilnībā.</w:t>
            </w:r>
          </w:p>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Norāda institūciju, kas ir atbildīga par šo saistību izpildi pilnībā</w:t>
            </w:r>
          </w:p>
        </w:tc>
        <w:tc>
          <w:tcPr>
            <w:tcW w:w="2345"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Ja projekts satur stingrākas prasības nekā attiecīgais ES </w:t>
            </w:r>
            <w:r w:rsidRPr="00E915BB">
              <w:rPr>
                <w:rFonts w:ascii="Times New Roman" w:eastAsia="Times New Roman" w:hAnsi="Times New Roman" w:cs="Times New Roman"/>
                <w:sz w:val="24"/>
                <w:szCs w:val="24"/>
                <w:lang w:eastAsia="lv-LV"/>
              </w:rPr>
              <w:lastRenderedPageBreak/>
              <w:t>tiesību akts, norāda pamatojumu un samērīgumu.</w:t>
            </w:r>
          </w:p>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D93D39" w:rsidRPr="00E915BB" w:rsidRDefault="002257B1" w:rsidP="0075044B">
            <w:pPr>
              <w:rPr>
                <w:rStyle w:val="Strong"/>
                <w:rFonts w:ascii="Times New Roman" w:hAnsi="Times New Roman" w:cs="Times New Roman"/>
                <w:b w:val="0"/>
                <w:sz w:val="24"/>
                <w:szCs w:val="24"/>
                <w:bdr w:val="none" w:sz="0" w:space="0" w:color="auto" w:frame="1"/>
                <w:shd w:val="clear" w:color="auto" w:fill="FFFFFF"/>
              </w:rPr>
            </w:pPr>
            <w:hyperlink r:id="rId9" w:history="1">
              <w:r w:rsidR="00D93D39" w:rsidRPr="00E915BB">
                <w:rPr>
                  <w:rStyle w:val="Strong"/>
                  <w:rFonts w:ascii="Times New Roman" w:hAnsi="Times New Roman" w:cs="Times New Roman"/>
                  <w:b w:val="0"/>
                  <w:sz w:val="24"/>
                  <w:szCs w:val="24"/>
                  <w:bdr w:val="none" w:sz="0" w:space="0" w:color="auto" w:frame="1"/>
                  <w:shd w:val="clear" w:color="auto" w:fill="FFFFFF"/>
                </w:rPr>
                <w:t>Komisijas 2015.gada 3.februāra Īstenošanas regula (ES) 2015/220, ar kuru nosaka noteikumus par to, kā piemērojama Padomes Regula (EK) Nr. 1217/2009, ar ko izveido tīklu grāmatvedības datu savākšanai par ienākumiem un saimniecisko darbību lauku saimniecībās Eiropas Savienībā</w:t>
              </w:r>
            </w:hyperlink>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D93D39" w:rsidRPr="00E915BB" w:rsidRDefault="00D93D3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D93D39" w:rsidRPr="00E915BB" w:rsidRDefault="00E4253A"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D93D39" w:rsidRPr="00E915BB" w:rsidRDefault="00E4253A" w:rsidP="00FB64C1">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D93D39" w:rsidRPr="00E915BB" w:rsidRDefault="00D93D39" w:rsidP="0075044B">
            <w:pPr>
              <w:rPr>
                <w:rStyle w:val="Strong"/>
                <w:rFonts w:ascii="Times New Roman" w:hAnsi="Times New Roman" w:cs="Times New Roman"/>
                <w:b w:val="0"/>
                <w:sz w:val="24"/>
                <w:szCs w:val="24"/>
                <w:bdr w:val="none" w:sz="0" w:space="0" w:color="auto" w:frame="1"/>
                <w:shd w:val="clear" w:color="auto" w:fill="FFFFFF"/>
              </w:rPr>
            </w:pPr>
            <w:r w:rsidRPr="00E915BB">
              <w:rPr>
                <w:rStyle w:val="Strong"/>
                <w:rFonts w:ascii="Times New Roman" w:hAnsi="Times New Roman" w:cs="Times New Roman"/>
                <w:b w:val="0"/>
                <w:sz w:val="24"/>
                <w:szCs w:val="24"/>
                <w:bdr w:val="none" w:sz="0" w:space="0" w:color="auto" w:frame="1"/>
                <w:shd w:val="clear" w:color="auto" w:fill="FFFFFF"/>
              </w:rPr>
              <w:t>Komisijas 2015. gada 16.februāra Regula (ES) 2015/245, ar ko attiecībā uz 2016. gada sekundāro mērķa mainīgo lielumu sarakstu par pakalpojumu pieejamību īsteno Eiropas Parlamenta un Padomes Regulu (EK) Nr. 1177/2003 par Kopienas statistiku attiecībā uz ienākumiem un dzīves apstākļiem (EU-SILC).</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D93D39" w:rsidRPr="00E915BB" w:rsidRDefault="00D93D3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D93D39" w:rsidRPr="00E915BB" w:rsidRDefault="00E4253A"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D93D39" w:rsidRPr="00E915BB" w:rsidRDefault="00E4253A"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64A20" w:rsidRPr="00E915BB" w:rsidRDefault="00A64A20" w:rsidP="0075044B">
            <w:pPr>
              <w:rPr>
                <w:rFonts w:ascii="Times New Roman" w:eastAsia="Times New Roman" w:hAnsi="Times New Roman" w:cs="Times New Roman"/>
                <w:b/>
                <w:sz w:val="24"/>
                <w:szCs w:val="24"/>
                <w:lang w:eastAsia="lv-LV"/>
              </w:rPr>
            </w:pPr>
            <w:r w:rsidRPr="00E915BB">
              <w:rPr>
                <w:rStyle w:val="Strong"/>
                <w:rFonts w:ascii="Times New Roman" w:hAnsi="Times New Roman" w:cs="Times New Roman"/>
                <w:b w:val="0"/>
                <w:sz w:val="24"/>
                <w:szCs w:val="24"/>
                <w:bdr w:val="none" w:sz="0" w:space="0" w:color="auto" w:frame="1"/>
                <w:shd w:val="clear" w:color="auto" w:fill="FFFFFF"/>
              </w:rPr>
              <w:t>Komisijas 2015.gada 19.marta Īstenošanas regula (ES) 2015/459, ar ko precizē tehniskos rādītājus tādam 2016. gada ad hoc modulim par jauniešiem darba tirgū, kas paredzēts ar Padomes Regulu (EK) Nr. 577/98 (Dokuments attiecas uz EEZ</w:t>
            </w:r>
            <w:r w:rsidRPr="00E915BB">
              <w:rPr>
                <w:rFonts w:ascii="Times New Roman" w:hAnsi="Times New Roman" w:cs="Times New Roman"/>
                <w:b/>
                <w:sz w:val="24"/>
                <w:szCs w:val="24"/>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64A20" w:rsidRPr="00E915BB" w:rsidRDefault="00A64A20" w:rsidP="0075044B">
            <w:pPr>
              <w:rPr>
                <w:rFonts w:ascii="Times New Roman" w:hAnsi="Times New Roman" w:cs="Times New Roman"/>
                <w:sz w:val="24"/>
                <w:szCs w:val="24"/>
              </w:rPr>
            </w:pPr>
            <w:r w:rsidRPr="00E915BB">
              <w:rPr>
                <w:rFonts w:ascii="Times New Roman" w:hAnsi="Times New Roman" w:cs="Times New Roman"/>
                <w:sz w:val="24"/>
                <w:szCs w:val="24"/>
              </w:rPr>
              <w:t>pielikuma 1. tabulas 15.2.punkts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64A20" w:rsidRPr="00E915BB" w:rsidRDefault="00984A36" w:rsidP="00984A36">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64A20" w:rsidRPr="00E915BB" w:rsidRDefault="00984A36" w:rsidP="00FB64C1">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3145DD" w:rsidRPr="00E915BB" w:rsidRDefault="003145DD" w:rsidP="0075044B">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lastRenderedPageBreak/>
              <w:t>Komisijas 2014. gada 27. janvāra Regula (ES) Nr. 67/2014, ar ko attiecībā uz to sekundāro mērķa mainīgo lielumu 2015. gada sarakstu, kuri attiecas uz līdzdalību sociālajā un kultūras dzīvē un materiālo nenodrošinātību, īsteno Eiropas Parlamenta un Padomes Regulu (EK) Nr. 1177/2003 par Kopienas statistiku attiecībā uz ienākumiem un dzīves apstākļiem ( EU-SILC )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3145DD" w:rsidRPr="00E915BB" w:rsidRDefault="003145DD"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3145DD" w:rsidRPr="00E915BB" w:rsidRDefault="003145DD" w:rsidP="0075044B">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3145DD" w:rsidRPr="00E915BB" w:rsidRDefault="00FB64C1" w:rsidP="003C5E7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B604DE">
            <w:pPr>
              <w:rPr>
                <w:rStyle w:val="Strong"/>
                <w:rFonts w:ascii="Times New Roman" w:hAnsi="Times New Roman" w:cs="Times New Roman"/>
                <w:b w:val="0"/>
                <w:sz w:val="24"/>
                <w:szCs w:val="24"/>
                <w:bdr w:val="none" w:sz="0" w:space="0" w:color="auto" w:frame="1"/>
                <w:shd w:val="clear" w:color="auto" w:fill="FFFFFF"/>
              </w:rPr>
            </w:pPr>
            <w:r w:rsidRPr="00E915BB">
              <w:rPr>
                <w:rStyle w:val="Strong"/>
                <w:rFonts w:ascii="Times New Roman" w:hAnsi="Times New Roman" w:cs="Times New Roman"/>
                <w:b w:val="0"/>
                <w:sz w:val="24"/>
                <w:szCs w:val="24"/>
                <w:bdr w:val="none" w:sz="0" w:space="0" w:color="auto" w:frame="1"/>
                <w:shd w:val="clear" w:color="auto" w:fill="FFFFFF"/>
              </w:rPr>
              <w:t>Komisijas 2014.gada 2.maija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B604DE">
            <w:pPr>
              <w:rPr>
                <w:rFonts w:ascii="Times New Roman" w:hAnsi="Times New Roman" w:cs="Times New Roman"/>
                <w:sz w:val="24"/>
                <w:szCs w:val="24"/>
              </w:rPr>
            </w:pPr>
            <w:r w:rsidRPr="00E915BB">
              <w:rPr>
                <w:rFonts w:ascii="Times New Roman" w:hAnsi="Times New Roman" w:cs="Times New Roman"/>
                <w:sz w:val="24"/>
                <w:szCs w:val="24"/>
              </w:rPr>
              <w:t>pielikuma 1. tabulas 13.19.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943AD" w:rsidP="00B604DE">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943AD" w:rsidP="00FB64C1">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B604DE">
            <w:pPr>
              <w:rPr>
                <w:rStyle w:val="Strong"/>
                <w:rFonts w:ascii="Times New Roman" w:hAnsi="Times New Roman" w:cs="Times New Roman"/>
                <w:b w:val="0"/>
                <w:sz w:val="24"/>
                <w:szCs w:val="24"/>
                <w:bdr w:val="none" w:sz="0" w:space="0" w:color="auto" w:frame="1"/>
                <w:shd w:val="clear" w:color="auto" w:fill="FFFFFF"/>
              </w:rPr>
            </w:pPr>
            <w:r w:rsidRPr="00E915BB">
              <w:rPr>
                <w:rStyle w:val="Strong"/>
                <w:rFonts w:ascii="Times New Roman" w:hAnsi="Times New Roman" w:cs="Times New Roman"/>
                <w:b w:val="0"/>
                <w:sz w:val="24"/>
                <w:szCs w:val="24"/>
                <w:bdr w:val="none" w:sz="0" w:space="0" w:color="auto" w:frame="1"/>
                <w:shd w:val="clear" w:color="auto" w:fill="FFFFFF"/>
              </w:rPr>
              <w:t>Eiropas Parlamenta un Padomes 2014.gada 15.maijs Regula (ES) Nr. 545/2014, ar ko groza Padomes Regulu (EK) Nr. 577/98 par darbaspēka izlases veida apsekojuma organizēšanu Kopienā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B604DE">
            <w:pPr>
              <w:rPr>
                <w:rFonts w:ascii="Times New Roman" w:hAnsi="Times New Roman" w:cs="Times New Roman"/>
                <w:sz w:val="24"/>
                <w:szCs w:val="24"/>
              </w:rPr>
            </w:pPr>
            <w:r w:rsidRPr="00E915BB">
              <w:rPr>
                <w:rFonts w:ascii="Times New Roman" w:hAnsi="Times New Roman" w:cs="Times New Roman"/>
                <w:sz w:val="24"/>
                <w:szCs w:val="24"/>
              </w:rPr>
              <w:t>pielikuma 1. tabulas 15.1.punkts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E4253A" w:rsidP="00B604DE">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E4253A" w:rsidP="00FB64C1">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95843" w:rsidRPr="00E915BB" w:rsidRDefault="00795843" w:rsidP="00B604DE">
            <w:pPr>
              <w:rPr>
                <w:rStyle w:val="Strong"/>
                <w:rFonts w:ascii="Times New Roman" w:hAnsi="Times New Roman" w:cs="Times New Roman"/>
                <w:b w:val="0"/>
                <w:sz w:val="24"/>
                <w:szCs w:val="24"/>
                <w:bdr w:val="none" w:sz="0" w:space="0" w:color="auto" w:frame="1"/>
                <w:shd w:val="clear" w:color="auto" w:fill="FFFFFF"/>
              </w:rPr>
            </w:pPr>
            <w:r w:rsidRPr="00E915BB">
              <w:rPr>
                <w:rStyle w:val="Strong"/>
                <w:rFonts w:ascii="Times New Roman" w:hAnsi="Times New Roman" w:cs="Times New Roman"/>
                <w:b w:val="0"/>
                <w:sz w:val="24"/>
                <w:szCs w:val="24"/>
                <w:bdr w:val="none" w:sz="0" w:space="0" w:color="auto" w:frame="1"/>
                <w:shd w:val="clear" w:color="auto" w:fill="FFFFFF"/>
              </w:rPr>
              <w:t xml:space="preserve">Komisijas 2014. gada 26. jūnija Regula (ES) Nr. 715/2014, ar ko attiecībā uz tādu raksturlielumu sarakstu, kas vācami 2016. gada lauku saimniecību struktūras apsekojumā, groza III pielikumu Eiropas Parlamenta un Padomes Regulā (EK) Nr. 1166/2008 par lauku saimniecību struktūras apsekojumiem un lauksaimnieciskās ražošanas metožu apsekojumu (Dokuments attiecas uz </w:t>
            </w:r>
            <w:r w:rsidRPr="00E915BB">
              <w:rPr>
                <w:rStyle w:val="Strong"/>
                <w:rFonts w:ascii="Times New Roman" w:hAnsi="Times New Roman" w:cs="Times New Roman"/>
                <w:b w:val="0"/>
                <w:sz w:val="24"/>
                <w:szCs w:val="24"/>
                <w:bdr w:val="none" w:sz="0" w:space="0" w:color="auto" w:frame="1"/>
                <w:shd w:val="clear" w:color="auto" w:fill="FFFFFF"/>
              </w:rPr>
              <w:lastRenderedPageBreak/>
              <w:t>EEZ</w:t>
            </w:r>
            <w:r w:rsidRPr="00E915BB">
              <w:rPr>
                <w:rFonts w:ascii="Times New Roman" w:hAnsi="Times New Roman" w:cs="Times New Roman"/>
                <w:b/>
                <w:sz w:val="24"/>
                <w:szCs w:val="24"/>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95843" w:rsidRPr="00E915BB" w:rsidRDefault="00795843" w:rsidP="00B604DE">
            <w:pPr>
              <w:rPr>
                <w:rFonts w:ascii="Times New Roman" w:hAnsi="Times New Roman" w:cs="Times New Roman"/>
                <w:sz w:val="24"/>
                <w:szCs w:val="24"/>
              </w:rPr>
            </w:pPr>
            <w:r w:rsidRPr="00E915BB">
              <w:rPr>
                <w:rFonts w:ascii="Times New Roman" w:hAnsi="Times New Roman" w:cs="Times New Roman"/>
                <w:sz w:val="24"/>
                <w:szCs w:val="24"/>
              </w:rPr>
              <w:lastRenderedPageBreak/>
              <w:t>pielikuma 1. tabulas 16.22.punkts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95843" w:rsidRPr="00E915BB" w:rsidRDefault="00795843" w:rsidP="00B604D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95843" w:rsidRPr="00E915BB" w:rsidRDefault="00795843"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b/>
                <w:sz w:val="24"/>
                <w:szCs w:val="24"/>
                <w:lang w:eastAsia="lv-LV"/>
              </w:rPr>
            </w:pPr>
            <w:bookmarkStart w:id="1" w:name="http://eur-lex.europa.eu/legal-content/A"/>
            <w:r w:rsidRPr="00E915BB">
              <w:rPr>
                <w:rStyle w:val="Strong"/>
                <w:rFonts w:ascii="Times New Roman" w:hAnsi="Times New Roman" w:cs="Times New Roman"/>
                <w:b w:val="0"/>
                <w:sz w:val="24"/>
                <w:szCs w:val="24"/>
                <w:bdr w:val="none" w:sz="0" w:space="0" w:color="auto" w:frame="1"/>
                <w:shd w:val="clear" w:color="auto" w:fill="FFFFFF"/>
              </w:rPr>
              <w:lastRenderedPageBreak/>
              <w:t>Komisijas 2014.gada 29.oktobra Regula (ES) Nr. 1153/2014, ar ko attiecībā uz vācamajiem datiem, izlases metodi, precizitātes un kvalitātes prasībām groza Regulu (EK) Nr. 198/2006 (Dokuments attiecas uz EEZ</w:t>
            </w:r>
            <w:bookmarkEnd w:id="1"/>
            <w:r w:rsidRPr="00E915BB">
              <w:rPr>
                <w:rFonts w:ascii="Times New Roman" w:hAnsi="Times New Roman" w:cs="Times New Roman"/>
                <w:b/>
                <w:sz w:val="24"/>
                <w:szCs w:val="24"/>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pielikuma 1. tabulas </w:t>
            </w:r>
            <w:r w:rsidR="008943AD" w:rsidRPr="00E915BB">
              <w:rPr>
                <w:rFonts w:ascii="Times New Roman" w:hAnsi="Times New Roman" w:cs="Times New Roman"/>
                <w:sz w:val="24"/>
                <w:szCs w:val="24"/>
              </w:rPr>
              <w:t>6.16</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943AD" w:rsidP="0075044B">
            <w:pPr>
              <w:rPr>
                <w:rFonts w:ascii="Times New Roman" w:eastAsia="Times New Roman" w:hAnsi="Times New Roman" w:cs="Times New Roman"/>
                <w:sz w:val="24"/>
                <w:szCs w:val="24"/>
                <w:highlight w:val="magenta"/>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943AD" w:rsidP="00FB64C1">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Style w:val="Strong"/>
                <w:rFonts w:ascii="Times New Roman" w:hAnsi="Times New Roman" w:cs="Times New Roman"/>
                <w:b w:val="0"/>
                <w:sz w:val="24"/>
                <w:szCs w:val="24"/>
                <w:bdr w:val="none" w:sz="0" w:space="0" w:color="auto" w:frame="1"/>
                <w:shd w:val="clear" w:color="auto" w:fill="FFFFFF"/>
              </w:rPr>
            </w:pPr>
            <w:r w:rsidRPr="00E915BB">
              <w:rPr>
                <w:rStyle w:val="Strong"/>
                <w:rFonts w:ascii="Times New Roman" w:hAnsi="Times New Roman" w:cs="Times New Roman"/>
                <w:b w:val="0"/>
                <w:sz w:val="24"/>
                <w:szCs w:val="24"/>
                <w:bdr w:val="none" w:sz="0" w:space="0" w:color="auto" w:frame="1"/>
                <w:shd w:val="clear" w:color="auto" w:fill="FFFFFF"/>
              </w:rPr>
              <w:t xml:space="preserve">Komisijas 2014. gada 30.oktobra Regula (ES) Nr. 1175/2014, ar ko attiecībā uz statistiku par pieaugušo piedalīšanos mūžizglītībā īsteno Eiropas Parlamenta un Padomes Regulu (EK) Nr. 452/2008 par izglītības un mūžizglītības statistikas izveidi un pilnveidi un atceļ Komisijas Regulu (ES) Nr. 823/2010 </w:t>
            </w:r>
            <w:r w:rsidR="004F0C92" w:rsidRPr="00E915BB">
              <w:rPr>
                <w:rStyle w:val="Strong"/>
                <w:rFonts w:ascii="Times New Roman" w:hAnsi="Times New Roman" w:cs="Times New Roman"/>
                <w:b w:val="0"/>
                <w:sz w:val="24"/>
                <w:szCs w:val="24"/>
                <w:bdr w:val="none" w:sz="0" w:space="0" w:color="auto" w:frame="1"/>
                <w:shd w:val="clear" w:color="auto" w:fill="FFFFFF"/>
              </w:rPr>
              <w:t>(</w:t>
            </w:r>
            <w:r w:rsidRPr="00E915BB">
              <w:rPr>
                <w:rStyle w:val="Strong"/>
                <w:rFonts w:ascii="Times New Roman" w:hAnsi="Times New Roman" w:cs="Times New Roman"/>
                <w:b w:val="0"/>
                <w:sz w:val="24"/>
                <w:szCs w:val="24"/>
                <w:bdr w:val="none" w:sz="0" w:space="0" w:color="auto" w:frame="1"/>
                <w:shd w:val="clear" w:color="auto" w:fill="FFFFFF"/>
              </w:rPr>
              <w:t>Dokuments attiecas uz EEZ</w:t>
            </w:r>
            <w:r w:rsidR="004F0C92" w:rsidRPr="00E915BB">
              <w:rPr>
                <w:rStyle w:val="Strong"/>
                <w:rFonts w:ascii="Times New Roman" w:hAnsi="Times New Roman" w:cs="Times New Roman"/>
                <w:b w:val="0"/>
                <w:sz w:val="24"/>
                <w:szCs w:val="24"/>
                <w:bdr w:val="none" w:sz="0" w:space="0" w:color="auto" w:frame="1"/>
                <w:shd w:val="clear" w:color="auto" w:fill="FFFFFF"/>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pielikuma 1. tabulas 6.17.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124AAB"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124AAB" w:rsidP="00FB64C1">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2013.gada 1.februāra Regula (ES) Nr. 93/2013, ar ko nosaka sīki izstrādātus noteikumus par to, kā attiecībā uz īpašnieka apdzīvotā mājokļa cenu indeksu noteikšanu piemērot Padomes Regulu (EK) Nr. 2494/95 par saskaņotajiem patēriņa cenu indeksiem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pielikuma 1. tabulas 4.15. un 4.16.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2013.gada 11. februāra Regula (ES) Nr. 119/2013, ar ko attiecībā uz nemainīgas nodokļu likmes saskaņoto patēriņa cenu indeksu ieviešanu groza Regulu (EK) Nr. 2214/96 par saskaņotajiem patēriņa cenu indeksiem (SPCI): SPCI apakšindeksu pārsūtīšana un izplatīšana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4.14.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Komisijas 2013.gada 19. februāra Regula (ES) Nr. 141/2013, ar ko attiecībā uz statistiku, kas balstīta uz Eiropas veselības apsekojuma (EHIS), īsteno Eiropas Parlamenta un Padomes Regulu (EK) Nr. 1338/2008 attiecībā uz Kopienas statistiku par sabiedrības veselību un veselības aizsardzību</w:t>
            </w:r>
            <w:r w:rsidR="006B3609"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 xml:space="preserve"> un drošību darbā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8.9.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Komisijas Deleģētā 2013. gada 15. janvāra Regula (ES) Nr. 253/2013, ar ko attiecībā uz pielāgojumiem pēc Starptautiskās standartizētās izglītības klasifikācijas ISCED pārskatīšanas saistībā ar iesniedzamajiem mainīgajiem lielumiem un dalījumiem groza Eiropas Parlamenta un Padomes Regulas (ES) Nr. 692/2011 II pielikumu </w:t>
            </w:r>
            <w:r w:rsidR="004F0C92"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Dokuments attiecas uz EEZ</w:t>
            </w:r>
            <w:r w:rsidR="004F0C92" w:rsidRPr="00E915BB">
              <w:rPr>
                <w:rFonts w:ascii="Times New Roman" w:eastAsia="Times New Roman" w:hAnsi="Times New Roman" w:cs="Times New Roman"/>
                <w:sz w:val="24"/>
                <w:szCs w:val="24"/>
                <w:lang w:eastAsia="lv-LV"/>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25.1. un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Eiropas Parlamenta un Padomes 2013. gada 21. maija Regula (ES) Nr. 549/2013 par Eiropas nacionālo un reģionālo kontu sistēmu Eiropas Savienībā </w:t>
            </w:r>
            <w:r w:rsidR="004F0C92"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Dokuments attiecas uz EEZ</w:t>
            </w:r>
            <w:r w:rsidR="004F0C92" w:rsidRPr="00E915BB">
              <w:rPr>
                <w:rFonts w:ascii="Times New Roman" w:eastAsia="Times New Roman" w:hAnsi="Times New Roman" w:cs="Times New Roman"/>
                <w:sz w:val="24"/>
                <w:szCs w:val="24"/>
                <w:lang w:eastAsia="lv-LV"/>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86705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1.1.–</w:t>
            </w:r>
            <w:r w:rsidR="0086705A" w:rsidRPr="00E915BB">
              <w:rPr>
                <w:rFonts w:ascii="Times New Roman" w:eastAsia="Times New Roman" w:hAnsi="Times New Roman" w:cs="Times New Roman"/>
                <w:sz w:val="24"/>
                <w:szCs w:val="24"/>
                <w:lang w:eastAsia="lv-LV"/>
              </w:rPr>
              <w:t xml:space="preserve"> </w:t>
            </w:r>
            <w:r w:rsidRPr="00E915BB">
              <w:rPr>
                <w:rFonts w:ascii="Times New Roman" w:eastAsia="Times New Roman" w:hAnsi="Times New Roman" w:cs="Times New Roman"/>
                <w:sz w:val="24"/>
                <w:szCs w:val="24"/>
                <w:lang w:eastAsia="lv-LV"/>
              </w:rPr>
              <w:t>1.16., 1.18.1., 1.18.2., 1.19.1., 1.19.2., 1.22.–1.27., 22.4.2., punkti</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Eiropas Parlamenta un Padomes 2013. gada 26. jūnija Regula (ES) Nr. 575/2013 par prudenciālajām prasībām attiecībā uz kredītiestādēm un ieguldījumu brokeru sabiedrībām, un ar ko groza Regulu (ES) Nr. 648/2012 </w:t>
            </w:r>
            <w:r w:rsidR="004F0C92"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Dokuments attiecas uz EEZ</w:t>
            </w:r>
            <w:r w:rsidR="004F0C92" w:rsidRPr="00E915BB">
              <w:rPr>
                <w:rFonts w:ascii="Times New Roman" w:eastAsia="Times New Roman" w:hAnsi="Times New Roman" w:cs="Times New Roman"/>
                <w:sz w:val="24"/>
                <w:szCs w:val="24"/>
                <w:lang w:eastAsia="lv-LV"/>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DD27F7"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2.2</w:t>
            </w:r>
            <w:r w:rsidR="008E4B5D" w:rsidRPr="00E915BB">
              <w:rPr>
                <w:rFonts w:ascii="Times New Roman" w:eastAsia="Times New Roman" w:hAnsi="Times New Roman" w:cs="Times New Roman"/>
                <w:sz w:val="24"/>
                <w:szCs w:val="24"/>
                <w:lang w:eastAsia="lv-LV"/>
              </w:rPr>
              <w:t>. un 2.7.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2601ED" w:rsidRPr="00E915BB" w:rsidRDefault="002257B1" w:rsidP="0075044B">
            <w:pPr>
              <w:rPr>
                <w:rFonts w:ascii="Times New Roman" w:eastAsia="Times New Roman" w:hAnsi="Times New Roman" w:cs="Times New Roman"/>
                <w:b/>
                <w:sz w:val="24"/>
                <w:szCs w:val="24"/>
                <w:lang w:eastAsia="lv-LV"/>
              </w:rPr>
            </w:pPr>
            <w:hyperlink r:id="rId10" w:history="1">
              <w:r w:rsidR="002601ED" w:rsidRPr="00E915BB">
                <w:rPr>
                  <w:rStyle w:val="Strong"/>
                  <w:rFonts w:ascii="Times New Roman" w:hAnsi="Times New Roman" w:cs="Times New Roman"/>
                  <w:b w:val="0"/>
                  <w:sz w:val="24"/>
                  <w:szCs w:val="24"/>
                  <w:bdr w:val="none" w:sz="0" w:space="0" w:color="auto" w:frame="1"/>
                  <w:shd w:val="clear" w:color="auto" w:fill="FFFFFF"/>
                </w:rPr>
                <w:t>Komisijas 2013.gada 26.augusta Īstenošanas regula (ES) Nr. 807/2013, ar ko paredz sīki izstrādātus noteikumus Padomes Regulas (EK) Nr. 1234/2007 piemērošanai attiecībā uz konkrētu liellopu cenu apsekojumu reprezentatīvajos Savienības tirgos</w:t>
              </w:r>
            </w:hyperlink>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2601ED" w:rsidRPr="00E915BB" w:rsidRDefault="002601ED" w:rsidP="002601E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2601ED" w:rsidRPr="00E915BB" w:rsidRDefault="002601E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601ED" w:rsidRPr="00E915BB" w:rsidRDefault="002601ED" w:rsidP="00FB64C1">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 xml:space="preserve">Komisijas 2013. gada 23. septembra Regula (ES) Nr. 912/2013, ar ko attiecībā uz statistiku par izglītības un apmācības sistēmām īsteno Eiropas Parlamenta un Padomes Regulu (EK) Nr. 452/2008 par izglītības un mūžizglītības statistikas izveidi un pilnveidi </w:t>
            </w:r>
            <w:r w:rsidR="00BA05E2"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Dokuments attiecas uz EEZ</w:t>
            </w:r>
            <w:r w:rsidR="00BA05E2" w:rsidRPr="00E915BB">
              <w:rPr>
                <w:rFonts w:ascii="Times New Roman" w:eastAsia="Times New Roman" w:hAnsi="Times New Roman" w:cs="Times New Roman"/>
                <w:sz w:val="24"/>
                <w:szCs w:val="24"/>
                <w:lang w:eastAsia="lv-LV"/>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6.5</w:t>
            </w:r>
            <w:r w:rsidR="00873F27" w:rsidRPr="00E915BB">
              <w:rPr>
                <w:rFonts w:ascii="Times New Roman" w:eastAsia="Times New Roman" w:hAnsi="Times New Roman" w:cs="Times New Roman"/>
                <w:sz w:val="24"/>
                <w:szCs w:val="24"/>
                <w:lang w:eastAsia="lv-LV"/>
              </w:rPr>
              <w:t>.1.–6.5.4., 6.5.7., 6.6.1.–6.6.4</w:t>
            </w:r>
            <w:r w:rsidRPr="00E915BB">
              <w:rPr>
                <w:rFonts w:ascii="Times New Roman" w:eastAsia="Times New Roman" w:hAnsi="Times New Roman" w:cs="Times New Roman"/>
                <w:sz w:val="24"/>
                <w:szCs w:val="24"/>
                <w:lang w:eastAsia="lv-LV"/>
              </w:rPr>
              <w:t>., 6.6.6., 6.6.8. un 6.6.9.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2013. gada 22. oktobra Regula (ES, Euratom) Nr. 1023/</w:t>
            </w:r>
            <w:r w:rsidR="006B3609" w:rsidRPr="00E915BB">
              <w:rPr>
                <w:rFonts w:ascii="Times New Roman" w:eastAsia="Times New Roman" w:hAnsi="Times New Roman" w:cs="Times New Roman"/>
                <w:sz w:val="24"/>
                <w:szCs w:val="24"/>
                <w:lang w:eastAsia="lv-LV"/>
              </w:rPr>
              <w:t>2013</w:t>
            </w:r>
            <w:r w:rsidRPr="00E915BB">
              <w:rPr>
                <w:rFonts w:ascii="Times New Roman" w:eastAsia="Times New Roman" w:hAnsi="Times New Roman" w:cs="Times New Roman"/>
                <w:sz w:val="24"/>
                <w:szCs w:val="24"/>
                <w:lang w:eastAsia="lv-LV"/>
              </w:rPr>
              <w:t>, ar ko groza Eiropas Savienības Civildienesta noteikumus un Eiropas Savienības Pārējo darbinieku nodarbināšanas kārtību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Eiropas Parlamenta un Padomes 2013. gada 20. novembra Regula (ES) Nr. 1260/2013 par Eiropas demogrāfijas statistiku </w:t>
            </w:r>
            <w:r w:rsidR="00441D7B"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Dokuments attiecas uz EEZ</w:t>
            </w:r>
            <w:r w:rsidR="00441D7B"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 xml:space="preserve"> 3.pants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5.1., 5.3., 5.10., 5.12. un 5.13.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Paredz stingrākas prasības – demogrāfiskā statistika (pastāvīgo iedzīvotāju skaits, dzīvi dzimušo un mirušo skaits)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2012.gada 18.janvāra Regula (ES) Nr. 70/2012 par statistikas pārskatiem attiecībā uz autopārvadājumiem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930560">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 xml:space="preserve">Komisijas 2012.gada 26.oktobra Īstenošanas regulas (ES) Nr. 995/2012, ar ko pieņem sīki izstrādātus noteikumus par to, kā īstenojams Eiropas Parlamenta un Padomes Lēmums Nr. 1608/2003/EK par Kopienas zinātnes un tehnoloģijas statistikas izstrādāšanu un pilnveidošanu (Dokuments attiecas uz EEZ) </w:t>
            </w:r>
            <w:r w:rsidR="00930560" w:rsidRPr="00E915BB">
              <w:rPr>
                <w:rFonts w:ascii="Times New Roman" w:eastAsia="Times New Roman" w:hAnsi="Times New Roman" w:cs="Times New Roman"/>
                <w:sz w:val="24"/>
                <w:szCs w:val="24"/>
                <w:lang w:eastAsia="lv-LV"/>
              </w:rPr>
              <w:t>5.pants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6.14. </w:t>
            </w:r>
            <w:r w:rsidR="00930560" w:rsidRPr="00E915BB">
              <w:rPr>
                <w:rFonts w:ascii="Times New Roman" w:eastAsia="Times New Roman" w:hAnsi="Times New Roman" w:cs="Times New Roman"/>
                <w:sz w:val="24"/>
                <w:szCs w:val="24"/>
                <w:lang w:eastAsia="lv-LV"/>
              </w:rPr>
              <w:t xml:space="preserve">un 6.15.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2012.gada 26.oktobra Īstenošanas regula (ES) Nr. 995/2012, ar ko pieņem sīki izstrādātus noteikumus par to, kā īstenojams Eiropas Parlamenta un Padomes Lēmums Nr. 1608/2003/EK par Kopienas zinātnes un tehnoloģijas statistikas izstrādāšanu un pilnveidošanu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2011. gada 5. aprīļa Regula (ES) Nr. 328/2011, ar ko attiecībā uz statistiku par nāves cēloņiem īsteno Eiropas Parlamenta un Padomes Regulu (EK) Nr. 1338/2008 attiecībā uz Kopienas statistiku par sabiedrības veselību un veselības aizsardzību un drošību darbā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w:t>
            </w:r>
            <w:r w:rsidR="006B5532" w:rsidRPr="00E915BB">
              <w:rPr>
                <w:rFonts w:ascii="Times New Roman" w:eastAsia="Times New Roman" w:hAnsi="Times New Roman" w:cs="Times New Roman"/>
                <w:sz w:val="24"/>
                <w:szCs w:val="24"/>
                <w:lang w:eastAsia="lv-LV"/>
              </w:rPr>
              <w:t>domes 2011.gada 6.jūlija Regula</w:t>
            </w:r>
            <w:r w:rsidRPr="00E915BB">
              <w:rPr>
                <w:rFonts w:ascii="Times New Roman" w:eastAsia="Times New Roman" w:hAnsi="Times New Roman" w:cs="Times New Roman"/>
                <w:sz w:val="24"/>
                <w:szCs w:val="24"/>
                <w:lang w:eastAsia="lv-LV"/>
              </w:rPr>
              <w:t xml:space="preserve">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27</w:t>
            </w:r>
            <w:r w:rsidR="009A132E" w:rsidRPr="00E915BB">
              <w:rPr>
                <w:rFonts w:ascii="Times New Roman" w:eastAsia="Times New Roman" w:hAnsi="Times New Roman" w:cs="Times New Roman"/>
                <w:sz w:val="24"/>
                <w:szCs w:val="24"/>
                <w:lang w:eastAsia="lv-LV"/>
              </w:rPr>
              <w:t>.15</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w:t>
            </w:r>
            <w:r w:rsidR="00231134" w:rsidRPr="00E915BB">
              <w:rPr>
                <w:rFonts w:ascii="Times New Roman" w:eastAsia="Times New Roman" w:hAnsi="Times New Roman" w:cs="Times New Roman"/>
                <w:sz w:val="24"/>
                <w:szCs w:val="24"/>
                <w:lang w:eastAsia="lv-LV"/>
              </w:rPr>
              <w:t>domes 2011.gada 6.jūlija Regula</w:t>
            </w:r>
            <w:r w:rsidRPr="00E915BB">
              <w:rPr>
                <w:rFonts w:ascii="Times New Roman" w:eastAsia="Times New Roman" w:hAnsi="Times New Roman" w:cs="Times New Roman"/>
                <w:sz w:val="24"/>
                <w:szCs w:val="24"/>
                <w:lang w:eastAsia="lv-LV"/>
              </w:rPr>
              <w:t xml:space="preserve">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27</w:t>
            </w:r>
            <w:r w:rsidR="00AE2E78" w:rsidRPr="00E915BB">
              <w:rPr>
                <w:rFonts w:ascii="Times New Roman" w:eastAsia="Times New Roman" w:hAnsi="Times New Roman" w:cs="Times New Roman"/>
                <w:sz w:val="24"/>
                <w:szCs w:val="24"/>
                <w:lang w:eastAsia="lv-LV"/>
              </w:rPr>
              <w:t>.16</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Eiropas Parlamenta un Pa</w:t>
            </w:r>
            <w:r w:rsidR="00231134" w:rsidRPr="00E915BB">
              <w:rPr>
                <w:rFonts w:ascii="Times New Roman" w:eastAsia="Times New Roman" w:hAnsi="Times New Roman" w:cs="Times New Roman"/>
                <w:sz w:val="24"/>
                <w:szCs w:val="24"/>
                <w:lang w:eastAsia="lv-LV"/>
              </w:rPr>
              <w:t>domes 2011.gada 6.jūlija Regula</w:t>
            </w:r>
            <w:r w:rsidRPr="00E915BB">
              <w:rPr>
                <w:rFonts w:ascii="Times New Roman" w:eastAsia="Times New Roman" w:hAnsi="Times New Roman" w:cs="Times New Roman"/>
                <w:sz w:val="24"/>
                <w:szCs w:val="24"/>
                <w:lang w:eastAsia="lv-LV"/>
              </w:rPr>
              <w:t xml:space="preserve">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27</w:t>
            </w:r>
            <w:r w:rsidR="00AE2E78" w:rsidRPr="00E915BB">
              <w:rPr>
                <w:rFonts w:ascii="Times New Roman" w:eastAsia="Times New Roman" w:hAnsi="Times New Roman" w:cs="Times New Roman"/>
                <w:sz w:val="24"/>
                <w:szCs w:val="24"/>
                <w:lang w:eastAsia="lv-LV"/>
              </w:rPr>
              <w:t>.17</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2011.gada 6.jūlija Regula (ES) Nr. 692/2011 attiecībā uz Eiropas statistiku par tūrismu un ar ko atceļ Padomes Direktīvu 95/57/EK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25.1. un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570961"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2011. gada 20.oktobra Īstenošanas r</w:t>
            </w:r>
            <w:r w:rsidR="008E4B5D" w:rsidRPr="00E915BB">
              <w:rPr>
                <w:rFonts w:ascii="Times New Roman" w:eastAsia="Times New Roman" w:hAnsi="Times New Roman" w:cs="Times New Roman"/>
                <w:sz w:val="24"/>
                <w:szCs w:val="24"/>
                <w:lang w:eastAsia="lv-LV"/>
              </w:rPr>
              <w:t>egula (ES) Nr. 1051/2011, ar ko attiecībā uz kvalitātes ziņojumu struktūru un datu nosūtīšanu īsteno Eiropas Parlamenta un Padomes Regulu (ES) Nr. 692/2011 attiecībā uz Eiropas statistiku par tūrismu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25.1. un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2011.gada 13.decembra Regula (ES) Nr. 1337/2011 attiecībā uz Eiropas statistiku par ilggadīgām kultūrām un ar ko atceļ Padomes Regulu (EEK) Nr. 357/79 un Eiropas Parlamenta un Padomes Direktīvu 2001/109/EK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2010.gada 10.marta Regula (ES) Nr. 202/2010, ar ko groza Regulu (EK) Nr. 6/2003 par statistikas izplatīšanu attiecībā uz kravu autopārvadājumiem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Komisijas 2010. gada 1. jūnija Regula (ES) Nr. 479/2010, ar ko nosaka Padomes Regulas (EK) Nr. 1234/2007 īstenošanas noteikumus attiecībā uz dalībvalstu paziņojumiem Komisijai piena un piena produktu nozarē</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2010.gada 24.jūnija Regula (ES) Nr. 557/2010 , ar ko groza Regulas (EK) Nr. 1518/2003, (EK) Nr. 596/2004, (EK) Nr. 633/2004, (EK) Nr. 1345/2005, (EK) Nr. 2014/2005, (EK) Nr. 239/2007, (EK) Nr. 1299/2007, (EK) Nr. 543/2008, (EK) Nr. 589/2008, (EK) Nr. 617/2008 un (EK) Nr. 826/2008 attiecībā uz paziņošanas pienākumiem lauksaimniecības tirgu kopīgā organizācijā</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2010.gada 10.augusta Regula (ES) Nr. 715/2010, ar ko groza Padomes Regulu (EK) Nr. 2223/96 attiecībā uz pielāgojumiem nacionālajos kontos pēc tam, kad pārskatīta NACE 2. red. saimniecisko darbību statistiskā klasifikācija un preču statistiskā klasifikācija pēc saimniecības nozarēm ( CPA )</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1.18.2. un 1.19.2.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2010.gada 10.novembra Regula (ES) Nr. 1013/2010, ar ko paredz īstenošanas noteikumus attiecībā uz Savienības flotes politiku, kura noteikta Padomes Regulas (EK) Nr. 2371/2002 III nodaļā</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2010.gada 24.novembra Regula (ES) Nr. 1090/2010, ar ko groza Direktīvu 2009/42/EK par statistikas pārskatiem attiecībā uz kravu un pasažieru pārvadājumiem pa jūru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24.7. un 24.8.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Komisijas 2009.gada 13.janvāra Regula (EK) Nr. 19/2009, ar ko attiecībā uz brīvās darbvietas definīciju, datu vākšanas atsauces datumiem, datu nosūtīšanas specifikācijām un priekšizpēti īsteno Eiropas Parlamenta un Padomes Regulu (EK) Nr. 453/2008 attiecībā uz ceturkšņa statistiku par brīvajām darbvietām Kopienā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2C25F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2009.gada 11.marta Regula (EK) Nr. 192/2009, ar kuru īsteno Eiropas Parlamenta un Padomes Regulu (EK) Nr. 177/2008, ar ko izveido kopēju uzņēmumu reģistru sistēmu statistikas vajadzībām attiecībā uz konfidenciālu datu apmaiņu starp Komisiju (Eurostat) un dalībvalstīm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2009.gada 11.marta Regula (EK) Nr. 216/2009 par to, kā dalībvalstis, kas zvejo apgabalos ārpus Ziemeļatlantijas, iesniedz nominālās nozvejas statistiku (pārstrādāta versija)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18.2., 18.4., 18.5. un 18.7.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2009.gada 11.marta Regula (EK) Nr. 217/2009 par to, kā dalībvalstis, kas zvejo Ziemeļrietumu Atlantijā, iesniedz statistikas datus par nozveju un zvejas intensitāti (pārstrādāta versija)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18.2., 18.4., 18.5. un 18.7.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2009.gada 11.marta Regula (EK) Nr. 218/2009 par to dalībvalstu nominālās nozvejas statistikas iesniegšanu, kuras zvejo Atlantijas okeāna ziemeļaustrumu daļā (pārstrādāta versija)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18.2., 18.4., 18.5. un 18.7.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Eiropas Parlamenta un Padomes 2009.gada 11.marta Regula (EK)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(Dokuments attiecas uz EEZ un Šveici)</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5.18., 9.3., 11.1., 11.4. un 11.5.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2009.gada 6.maija Regula (EK) Nr. 471/2009 par Kopienas statistiku attiecībā uz ārējo tirdzniecību ar ārpuskopienas valstīm un par Padomes Regulas (EK) Nr. 1172/95 atcelšanu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Padomes 2009.gada 25.maija Regula (EK) Nr. 479/2009 par to, kā piemērot Eiropas Kopienas dibināšanas līgumam pievienoto Protokolu par pārmērīga budžeta deficīta novēršanas procedūru (Kodificēta versija)</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1.10., 1.11., 1.18.1. un 1.19.1.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2009.gada 18.jūnija regula (EK) Nr. 543/2009, kas attiecas uz statistiku par augkopības kultūrām un ar ko atceļ Padomes Regulas (EEK) Nr. 837/90 un (EEK) Nr. 959/93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16.2., 16.3., 16.11., 16.12. un 16.17.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2009. gada 16.septembra Regula (EK) Nr. 1006/2009, ar ko groza Regulu (EK) Nr. 808/2004 attiecībā uz Kopienas statistiku par informācijas sabiedrību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Padomes 2009.gada 30.novembra Regula (EK) Nr. 1217/2009, ar ko izveido tīklu grāmatvedības datu savākšanai par ienākumiem un saimniecisko darbību lauku saimniecībās Eiropas Kopienā</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2008.gada 8.janvāra Regula (EK) Nr. 10/2008, ar ko īsteno Eiropas Parlamenta un Padomes Regulu (EK) Nr. 458/2007 par Eiropas Integrētās sociālās aizsardzības statistikas sistēmu ( ESSPROS ) attiecībā uz ESSPROS pamatsistēmas un pensiju saņēmēju moduļa definīcijām, sīki izstrādātām klasifikācijām un izplatīšanas noteikumu atjaunināšanu (Dokuments attiecas uz EEZ )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9.5. un 9.7.–9.10.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2008. gada 20.februāra Regula (EK) Nr. 177/2008, ar ko izveido kopēju uzņēmumu reģistru sistēmu statistikas vajadzībām un atceļ Padomes Regulu (EEK) Nr. 2186/93</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12.1.–12.4.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Padomes 2008.gada 25.februāra Regula (EK) Nr. 199/2008 par Kopienas sistēmas izveidi datu vākšanai, pārvaldībai un izmantošanai zivsaimniecības nozarē un par atbalstu zinātniskā padoma izstrādei saistībā ar kopējo zivsaimniecības politiku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18.2. un 18.7.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2008.gada 7.marta Regula (EK) Nr. 212/2008, ar ko groza I pielikumu Eiropas Parlamenta un Padomes Regulai (EK) Nr. 138/2004 par ekonomikas pārskatiem Kopienas lauksaimniecībā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1.21., 4.7.–4.11., 16.1., 16.4. un 16.14.–16.16.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 xml:space="preserve">Eiropas Parlamenta un Padomes 2008.gada 11.marta Regulas (EK) Nr. 295/2008 par uzņēmējdarbības strukturālo statistiku (pārstrādāta versija) (Dokuments attiecas uz EEZ) </w:t>
            </w:r>
            <w:r w:rsidRPr="00E915BB">
              <w:rPr>
                <w:rFonts w:ascii="Times New Roman" w:hAnsi="Times New Roman" w:cs="Times New Roman"/>
                <w:sz w:val="24"/>
                <w:szCs w:val="24"/>
                <w:shd w:val="clear" w:color="auto" w:fill="FFFFFF"/>
              </w:rPr>
              <w:t>IX</w:t>
            </w:r>
            <w:r w:rsidRPr="00E915BB">
              <w:rPr>
                <w:rFonts w:ascii="Times New Roman" w:eastAsia="Times New Roman" w:hAnsi="Times New Roman" w:cs="Times New Roman"/>
                <w:sz w:val="24"/>
                <w:szCs w:val="24"/>
                <w:lang w:eastAsia="lv-LV"/>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12.5.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2008.gada 11.marta Regula (EK) Nr. 295/2008 par uzņēmējdarbības strukturālo statistiku (pārstrādāta versija)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13.1.–13.19., 13.22.</w:t>
            </w:r>
            <w:r w:rsidR="00BE1BD8" w:rsidRPr="00E915BB">
              <w:rPr>
                <w:rFonts w:ascii="Times New Roman" w:eastAsia="Times New Roman" w:hAnsi="Times New Roman" w:cs="Times New Roman"/>
                <w:sz w:val="24"/>
                <w:szCs w:val="24"/>
                <w:lang w:eastAsia="lv-LV"/>
              </w:rPr>
              <w:t>, 13.23.</w:t>
            </w:r>
            <w:r w:rsidRPr="00E915BB">
              <w:rPr>
                <w:rFonts w:ascii="Times New Roman" w:eastAsia="Times New Roman" w:hAnsi="Times New Roman" w:cs="Times New Roman"/>
                <w:sz w:val="24"/>
                <w:szCs w:val="24"/>
                <w:lang w:eastAsia="lv-LV"/>
              </w:rPr>
              <w:t xml:space="preserve"> un 27.2.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B80615">
            <w:pPr>
              <w:rPr>
                <w:rFonts w:ascii="Times New Roman" w:eastAsia="Times New Roman" w:hAnsi="Times New Roman" w:cs="Times New Roman"/>
                <w:sz w:val="24"/>
                <w:szCs w:val="24"/>
                <w:lang w:eastAsia="lv-LV"/>
              </w:rPr>
            </w:pPr>
            <w:r w:rsidRPr="00E915BB">
              <w:rPr>
                <w:rStyle w:val="Strong"/>
                <w:rFonts w:ascii="Times New Roman" w:hAnsi="Times New Roman" w:cs="Times New Roman"/>
                <w:b w:val="0"/>
                <w:sz w:val="24"/>
                <w:szCs w:val="24"/>
                <w:bdr w:val="none" w:sz="0" w:space="0" w:color="auto" w:frame="1"/>
                <w:shd w:val="clear" w:color="auto" w:fill="FFFFFF"/>
              </w:rPr>
              <w:t>Eiropas Parlamenta un Padomes 2008.gada 11.marta Regula (EK) Nr. 295/2008 par uzņēmējdarbības strukturālo statistiku (Dokuments attiecas uz EEZ) III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1E6C6A">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pielikuma 1. tabulas 23.6.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5A57E8" w:rsidP="0075044B">
            <w:pPr>
              <w:rPr>
                <w:rFonts w:ascii="Times New Roman" w:hAnsi="Times New Roman" w:cs="Times New Roman"/>
                <w:sz w:val="24"/>
                <w:szCs w:val="24"/>
                <w:highlight w:val="green"/>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5A57E8"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5A74C2" w:rsidRPr="00E915BB" w:rsidRDefault="005A74C2" w:rsidP="00B80615">
            <w:pPr>
              <w:rPr>
                <w:rStyle w:val="Strong"/>
                <w:rFonts w:ascii="Times New Roman" w:hAnsi="Times New Roman" w:cs="Times New Roman"/>
                <w:b w:val="0"/>
                <w:sz w:val="24"/>
                <w:szCs w:val="24"/>
                <w:bdr w:val="none" w:sz="0" w:space="0" w:color="auto" w:frame="1"/>
                <w:shd w:val="clear" w:color="auto" w:fill="FFFFFF"/>
              </w:rPr>
            </w:pPr>
            <w:r w:rsidRPr="00E915BB">
              <w:rPr>
                <w:rStyle w:val="Strong"/>
                <w:rFonts w:ascii="Times New Roman" w:hAnsi="Times New Roman" w:cs="Times New Roman"/>
                <w:b w:val="0"/>
                <w:sz w:val="24"/>
                <w:szCs w:val="24"/>
                <w:bdr w:val="none" w:sz="0" w:space="0" w:color="auto" w:frame="1"/>
                <w:shd w:val="clear" w:color="auto" w:fill="FFFFFF"/>
              </w:rPr>
              <w:t>Eiropas Parlamenta un Padomes 2008.gada 11.marta Regula (EK) Nr. 295/2008 par uzņēmējdarbības strukturālo statistiku (Dokuments attiecas uz EEZ) VIII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5A74C2" w:rsidRPr="00E915BB" w:rsidRDefault="005A74C2" w:rsidP="001E6C6A">
            <w:pPr>
              <w:rPr>
                <w:rFonts w:ascii="Times New Roman" w:hAnsi="Times New Roman" w:cs="Times New Roman"/>
                <w:sz w:val="24"/>
                <w:szCs w:val="24"/>
              </w:rPr>
            </w:pPr>
            <w:r w:rsidRPr="00E915BB">
              <w:rPr>
                <w:rFonts w:ascii="Times New Roman" w:hAnsi="Times New Roman" w:cs="Times New Roman"/>
                <w:sz w:val="24"/>
                <w:szCs w:val="24"/>
              </w:rPr>
              <w:t>pielikuma 1. tabulas 23.5.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5A74C2" w:rsidRPr="00E915BB" w:rsidRDefault="00B604DE"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5A74C2" w:rsidRPr="00E915BB" w:rsidRDefault="00B604DE"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2008.gada 25.aprīļa Regula (EK) Nr. 377/2008, ar ko īsteno Padomes Regulu (EK) Nr. 577/98 par darbaspēka izlases veida apsekojuma organizēšanu Kopienā attiecībā uz datu nosūtīšanai izmantojamo kodēšanu, sākot ar 2009. gadu, izlases grupas izmantošanu statistikas datu vākšanai par strukturālajiem mainīgajiem lielumiem un pārskata ceturkšņu definēšanu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Eiropas Parlamenta un Padomes 2008.gada 23.aprīļa Regula (EK) Nr. 453/2008 attiecībā uz ceturkšņa statistiku par brīvajām darbvietām Kopienā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B5D" w:rsidRPr="00E915BB" w:rsidRDefault="008E4B5D"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b/>
                <w:sz w:val="24"/>
                <w:szCs w:val="24"/>
                <w:lang w:eastAsia="lv-LV"/>
              </w:rPr>
            </w:pPr>
            <w:r w:rsidRPr="00E915BB">
              <w:rPr>
                <w:rStyle w:val="Strong"/>
                <w:rFonts w:ascii="Times New Roman" w:hAnsi="Times New Roman" w:cs="Times New Roman"/>
                <w:b w:val="0"/>
                <w:sz w:val="24"/>
                <w:szCs w:val="24"/>
                <w:bdr w:val="none" w:sz="0" w:space="0" w:color="auto" w:frame="1"/>
                <w:shd w:val="clear" w:color="auto" w:fill="FFFFFF"/>
              </w:rPr>
              <w:t>Komisijas 2008.gada 29.maija Regula (EK) Nr. 472/2008, ar ko īsteno Padomes Regulu (EK) Nr. 1165/98 par īstermiņa statistiku attiecībā uz pirmo bāzes gadu, kas jāpiemēro laikrindām saskaņā ar NACE 2. red., un attiecībā uz detalizācijas pakāpi, formu, pirmo pārskata periodu un pārskata periodu, ko piemēro laikrindām līdz 2009. gadam, kuras jānosūta saskaņā ar NACE 2. red.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B604D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23.1.–23.4.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604DE"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604DE"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 gada 6.jūnija Regula (EK) Nr. 507/2008, ar ko nosaka sīki izstrādātus noteikumus Padomes Regulas (EK) Nr. 1673/2000 par šķiedras linu un kaņepju tirgu kopīgo organizāciju piemērošanai (Kodificēta versija)</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2008.gada 27.jūnija Regula (EK) Nr. 617/2008 , ar ko nosaka sīki izstrādātus noteikumus Padomes Regulas (EK) Nr. 1234/2007 piemērošanai attiecībā uz inkubējamo olu un mājputnu cāļu ražošanu un tirdzniecību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2008.gada 14.jūlija Regula (EK) Nr. 665/2008, ar ko nosaka sīki izstrādātus piemērošanas noteikumus Padomes Regulai (EK) Nr. 199/2008 par Kopienas sistēmas izveidi datu vākšanai, pārvaldībai un izmantošanai zivsaimniecības nozarē un par atbalstu zinātniskā padoma izstrādei saistībā ar kopējo zivsaimniecības politiku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18.2. un 18.7.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Eiropas Parlamenta un Padomes 2008.gada 9.jūlija Regula (EK) Nr. 762/2008 par to, kā dalībvalstis iesniedz statistiku par akvakultūru, un ar ko atceļ Padomes Regulu (EK) Nr. 788/96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18.2., 18.6. un 18.7.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2008.gada 5.septembra Regula (EK) Nr. 889/</w:t>
            </w:r>
            <w:r w:rsidR="007D1A85" w:rsidRPr="00E915BB">
              <w:rPr>
                <w:rFonts w:ascii="Times New Roman" w:eastAsia="Times New Roman" w:hAnsi="Times New Roman" w:cs="Times New Roman"/>
                <w:sz w:val="24"/>
                <w:szCs w:val="24"/>
                <w:lang w:eastAsia="lv-LV"/>
              </w:rPr>
              <w:t>2008</w:t>
            </w:r>
            <w:r w:rsidRPr="00E915BB">
              <w:rPr>
                <w:rFonts w:ascii="Times New Roman" w:eastAsia="Times New Roman" w:hAnsi="Times New Roman" w:cs="Times New Roman"/>
                <w:sz w:val="24"/>
                <w:szCs w:val="24"/>
                <w:lang w:eastAsia="lv-LV"/>
              </w:rPr>
              <w:t>, ar ko paredz sīki izstrādātus bioloģiskās ražošanas, marķēšanas un kontroles noteikumus, lai īstenotu Padomes Regulu (EK) Nr. 834/2007 par bioloģisko ražošanu un bioloģisko produktu marķēšanu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 gada 28. oktobra Regula (EK) Nr. 1062/2008, ar ko attiecībā uz sezonālās koriģēšanas procedūrām un kvalitātes ziņojumiem īsteno Eiropas Parlamenta un Padomes Regulu (EK) Nr. 453/2008 attiecībā uz ceturkšņa statistiku par brīvajām darbvietām Kopienā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2008. gada 22.oktobra Regula (EK) Nr. 1099/2008 par enerģētikas statistiku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20.1.–20.5., 20.9. –20.12., 20.19. un 20.20.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2008.gada 19.novembra Regula (EK) Nr. 1165/2008 par statistiku lauksaimniecības dzīvnieku un gaļas jomā, ar kuru atceļ Padomes Direktīvu Nr. 93/23/EEK, 93/24/EEK un 93/25/EEK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16.4., 16.5.1., 16.5.2., 16.6.1., 16.6.2., 16.7. un 16.13.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Eiropas Parlamenta un Padomes 2008.gada 19.novembra Regula (EK) Nr. 1166/2008, kas attiecas uz lauku saimniecību struktūras apsekojumiem un lauksaimnieciskās ražošanas metožu apsekojumu un ar ko atceļ Padomes Regulu (EEK) Nr. 571/88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9E7A70"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pielikuma 1. tabulas 16.18., </w:t>
            </w:r>
            <w:r w:rsidR="00B87FA5" w:rsidRPr="00E915BB">
              <w:rPr>
                <w:rFonts w:ascii="Times New Roman" w:eastAsia="Times New Roman" w:hAnsi="Times New Roman" w:cs="Times New Roman"/>
                <w:sz w:val="24"/>
                <w:szCs w:val="24"/>
                <w:lang w:eastAsia="lv-LV"/>
              </w:rPr>
              <w:t xml:space="preserve">16.19. un </w:t>
            </w:r>
            <w:r w:rsidR="00B87FA5" w:rsidRPr="00E915BB">
              <w:rPr>
                <w:rFonts w:ascii="Times New Roman" w:hAnsi="Times New Roman" w:cs="Times New Roman"/>
                <w:sz w:val="24"/>
                <w:szCs w:val="24"/>
              </w:rPr>
              <w:t>16.22.punkts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2008.gada 10. decembra Regula (EK) Nr. 1249/2008, ar ko paredz sīki izstrādātus noteikumus par Kopienas skalu ieviešanu liellopu, cūku un aitu liemeņu klasifikācijai un cenu paziņošanas kārtību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7C66E7"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4</w:t>
            </w:r>
            <w:r w:rsidR="00B87FA5" w:rsidRPr="00E915BB">
              <w:rPr>
                <w:rFonts w:ascii="Times New Roman" w:eastAsia="Times New Roman" w:hAnsi="Times New Roman" w:cs="Times New Roman"/>
                <w:sz w:val="24"/>
                <w:szCs w:val="24"/>
                <w:lang w:eastAsia="lv-LV"/>
              </w:rPr>
              <w:t>.6.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2008.gada 16. decembra Regula (EK) Nr. 1338/2008 attiecībā uz Kopienas statistiku par sabiedrības veselību un veselības aizsardzību un drošību darbā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8.1., 8.4., 8.5., 8.7., 8.10.–8.17., 8.21. un 8.22.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2007.gada 1.marta Regula (EK) Nr. 224/2007, ar ko groza Regulu (EK) Nr. 1216/2003 saistībā ar ekonomiskajām darbībām, uz kurām attiecas darbaspēka izmaksu indekss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2007.gada 25.aprīļa Regula (EK) Nr. 458/2007 par Eiropas Integrētās sociālās aizsardzības statistikas sistēmu ( ESSPRO</w:t>
            </w:r>
            <w:r w:rsidR="009728D0" w:rsidRPr="00E915BB">
              <w:rPr>
                <w:rFonts w:ascii="Times New Roman" w:eastAsia="Times New Roman" w:hAnsi="Times New Roman" w:cs="Times New Roman"/>
                <w:sz w:val="24"/>
                <w:szCs w:val="24"/>
                <w:lang w:eastAsia="lv-LV"/>
              </w:rPr>
              <w:t>S )( Dokuments attiecas uz EEZ) 3.pants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1E6C6A">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9.5. un 9.7.–9.10.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EB16D6">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FB64C1">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2007.gada 14.jūnija Regula (EK) Nr. 656/2007, ar ko groza Regulu (EK) Nr. 586/2001, ar kuru attiecībā uz ražošanas pamatgrupējumu (RP) definēšanu īsteno Padomes Regulu (EK) Nr. 1165/98 par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w:t>
            </w:r>
            <w:r w:rsidR="007A7AC0" w:rsidRPr="00E915BB">
              <w:rPr>
                <w:rFonts w:ascii="Times New Roman" w:hAnsi="Times New Roman" w:cs="Times New Roman"/>
                <w:sz w:val="24"/>
                <w:szCs w:val="24"/>
              </w:rPr>
              <w:t>s 14.1.1., 14.1.2. un 19.2.–19.3</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Eiropas Parlamenta un Padomes 2007.gada 20.jūnija Regula (EK) Nr. 716/2007 attiecībā uz Kopienas statistiku par ārvalstu saistītu uzņēmumu struktūru un darbību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9E2662" w:rsidP="0075044B">
            <w:pPr>
              <w:rPr>
                <w:rFonts w:ascii="Times New Roman" w:hAnsi="Times New Roman" w:cs="Times New Roman"/>
                <w:sz w:val="24"/>
                <w:szCs w:val="24"/>
              </w:rPr>
            </w:pPr>
            <w:r w:rsidRPr="00E915BB">
              <w:rPr>
                <w:rFonts w:ascii="Times New Roman" w:hAnsi="Times New Roman" w:cs="Times New Roman"/>
                <w:sz w:val="24"/>
                <w:szCs w:val="24"/>
              </w:rPr>
              <w:t>pielikuma 1. tabulas 13.20. un 13.21</w:t>
            </w:r>
            <w:r w:rsidR="00B87FA5"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trHeight w:val="274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2007.gada 11.jūlija Regulas (EK) Nr. 862/2007 par Kopienas statistiku attiecībā uz migrāciju un starptautisko aizsardzību, kā arī lai atceltu Padomes Regulu (EEK) Nr. 311/76 attiecībā uz statistikas vākšanu par ārvalstu darba ņēmējiem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5.1., 5.3., 5.5., 5.6. un 5.17.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2007.gada 11.jūlija Regula (EK) Nr. 862/2007 par Kopienas statistiku attiecībā uz migrāciju un starptautisko aizsardzību, kā arī lai atceltu Padomes Regulu (EEK) Nr. 311/76 attiecībā uz statistikas vākšanu par ārvalstu darba ņēmējiem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w:t>
            </w:r>
            <w:r w:rsidRPr="00E915BB">
              <w:rPr>
                <w:rFonts w:ascii="Times New Roman" w:hAnsi="Times New Roman" w:cs="Times New Roman"/>
                <w:sz w:val="24"/>
                <w:szCs w:val="24"/>
              </w:rPr>
              <w:br/>
              <w:t>5.18.–5.23. un 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b/>
                <w:sz w:val="24"/>
                <w:szCs w:val="24"/>
              </w:rPr>
            </w:pPr>
            <w:r w:rsidRPr="00E915BB">
              <w:rPr>
                <w:rStyle w:val="Strong"/>
                <w:rFonts w:ascii="Times New Roman" w:hAnsi="Times New Roman" w:cs="Times New Roman"/>
                <w:b w:val="0"/>
                <w:sz w:val="24"/>
                <w:szCs w:val="24"/>
                <w:bdr w:val="none" w:sz="0" w:space="0" w:color="auto" w:frame="1"/>
                <w:shd w:val="clear" w:color="auto" w:fill="FFFFFF"/>
              </w:rPr>
              <w:t>Eiropas Parlamenta un Padomes 2007.gada 23.oktobra Regula (EK) Nr. 1372/2007, ar ko groza Padomes Regulu (EK) Nr. 577/98 par darbaspēka izlases veida apsekojuma organizēšanu Kopienā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5A57E8"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5A57E8"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A05E2" w:rsidRPr="00E915BB" w:rsidRDefault="00BA05E2" w:rsidP="00BA05E2">
            <w:pPr>
              <w:rPr>
                <w:rFonts w:ascii="Times New Roman" w:eastAsia="Times New Roman" w:hAnsi="Times New Roman" w:cs="Times New Roman"/>
                <w:b/>
                <w:sz w:val="24"/>
                <w:szCs w:val="24"/>
                <w:lang w:eastAsia="lv-LV"/>
              </w:rPr>
            </w:pPr>
            <w:r w:rsidRPr="00E915BB">
              <w:rPr>
                <w:rStyle w:val="Strong"/>
                <w:rFonts w:ascii="Times New Roman" w:hAnsi="Times New Roman" w:cs="Times New Roman"/>
                <w:b w:val="0"/>
                <w:sz w:val="24"/>
                <w:szCs w:val="24"/>
                <w:bdr w:val="none" w:sz="0" w:space="0" w:color="auto" w:frame="1"/>
                <w:shd w:val="clear" w:color="auto" w:fill="FFFFFF"/>
              </w:rPr>
              <w:t>Komisijas</w:t>
            </w:r>
            <w:r w:rsidR="00D05EDA" w:rsidRPr="00E915BB">
              <w:rPr>
                <w:rStyle w:val="Strong"/>
                <w:rFonts w:ascii="Times New Roman" w:hAnsi="Times New Roman" w:cs="Times New Roman"/>
                <w:b w:val="0"/>
                <w:sz w:val="24"/>
                <w:szCs w:val="24"/>
                <w:bdr w:val="none" w:sz="0" w:space="0" w:color="auto" w:frame="1"/>
                <w:shd w:val="clear" w:color="auto" w:fill="FFFFFF"/>
              </w:rPr>
              <w:t xml:space="preserve"> 2007.gada 12. novembra</w:t>
            </w:r>
            <w:r w:rsidRPr="00E915BB">
              <w:rPr>
                <w:rStyle w:val="Strong"/>
                <w:rFonts w:ascii="Times New Roman" w:hAnsi="Times New Roman" w:cs="Times New Roman"/>
                <w:b w:val="0"/>
                <w:sz w:val="24"/>
                <w:szCs w:val="24"/>
                <w:bdr w:val="none" w:sz="0" w:space="0" w:color="auto" w:frame="1"/>
                <w:shd w:val="clear" w:color="auto" w:fill="FFFFFF"/>
              </w:rPr>
              <w:t xml:space="preserve"> Regula (EK) Nr. 1322/2</w:t>
            </w:r>
            <w:r w:rsidR="00D05EDA" w:rsidRPr="00E915BB">
              <w:rPr>
                <w:rStyle w:val="Strong"/>
                <w:rFonts w:ascii="Times New Roman" w:hAnsi="Times New Roman" w:cs="Times New Roman"/>
                <w:b w:val="0"/>
                <w:sz w:val="24"/>
                <w:szCs w:val="24"/>
                <w:bdr w:val="none" w:sz="0" w:space="0" w:color="auto" w:frame="1"/>
                <w:shd w:val="clear" w:color="auto" w:fill="FFFFFF"/>
              </w:rPr>
              <w:t>007</w:t>
            </w:r>
            <w:r w:rsidRPr="00E915BB">
              <w:rPr>
                <w:rStyle w:val="Strong"/>
                <w:rFonts w:ascii="Times New Roman" w:hAnsi="Times New Roman" w:cs="Times New Roman"/>
                <w:b w:val="0"/>
                <w:sz w:val="24"/>
                <w:szCs w:val="24"/>
                <w:bdr w:val="none" w:sz="0" w:space="0" w:color="auto" w:frame="1"/>
                <w:shd w:val="clear" w:color="auto" w:fill="FFFFFF"/>
              </w:rPr>
              <w:t>, ar ko īsteno Eiropas Parlamenta un Padomes Regulu (EK) Nr. 458/2007 par Eiropas Integrētās sociālās aizsardzības statistikas sistēmu ( ESSPROS ) attiecībā uz piemērotajiem ESSPROS pamatsistēmas un pensiju saņēmēju moduļa datu nosūtīšanas formātiem, nosūtāmajiem rezultātiem un kvalitātes noteikšanas kritērijiem</w:t>
            </w:r>
            <w:r w:rsidR="00FF6808" w:rsidRPr="00E915BB">
              <w:rPr>
                <w:rStyle w:val="Strong"/>
                <w:rFonts w:ascii="Times New Roman" w:hAnsi="Times New Roman" w:cs="Times New Roman"/>
                <w:b w:val="0"/>
                <w:sz w:val="24"/>
                <w:szCs w:val="24"/>
                <w:bdr w:val="none" w:sz="0" w:space="0" w:color="auto" w:frame="1"/>
                <w:shd w:val="clear" w:color="auto" w:fill="FFFFFF"/>
              </w:rPr>
              <w:t>,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A05E2" w:rsidRPr="00E915BB" w:rsidRDefault="00BA05E2" w:rsidP="00BA05E2">
            <w:pPr>
              <w:rPr>
                <w:rFonts w:ascii="Times New Roman" w:hAnsi="Times New Roman" w:cs="Times New Roman"/>
                <w:sz w:val="24"/>
                <w:szCs w:val="24"/>
              </w:rPr>
            </w:pPr>
            <w:r w:rsidRPr="00E915BB">
              <w:rPr>
                <w:rFonts w:ascii="Times New Roman" w:hAnsi="Times New Roman" w:cs="Times New Roman"/>
                <w:sz w:val="24"/>
                <w:szCs w:val="24"/>
              </w:rPr>
              <w:t>pielikuma 1. tabulas 9.9.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A05E2" w:rsidRPr="00E915BB" w:rsidRDefault="00BA05E2"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A05E2" w:rsidRPr="00E915BB" w:rsidRDefault="00BA05E2"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 xml:space="preserve">Eiropas Parlamenta un Padomes 2007. gada 13. novembra Regula Nr. 1392/2007, ar ko groza Padomes Regulu (EK) Nr. 2223/96 attiecībā uz </w:t>
            </w:r>
            <w:r w:rsidRPr="00E915BB">
              <w:rPr>
                <w:rFonts w:ascii="Times New Roman" w:eastAsia="Times New Roman" w:hAnsi="Times New Roman" w:cs="Times New Roman"/>
                <w:sz w:val="24"/>
                <w:szCs w:val="24"/>
                <w:lang w:eastAsia="lv-LV"/>
              </w:rPr>
              <w:lastRenderedPageBreak/>
              <w:t>nacionālo kontu datu nosūtīšanu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pielikuma 1. tabulas 1.6., 1.7., 1.18.2.</w:t>
            </w:r>
            <w:r w:rsidR="001E77AB" w:rsidRPr="00E915BB">
              <w:rPr>
                <w:rFonts w:ascii="Times New Roman" w:hAnsi="Times New Roman" w:cs="Times New Roman"/>
                <w:sz w:val="24"/>
                <w:szCs w:val="24"/>
              </w:rPr>
              <w:t>, 1.19.2.</w:t>
            </w:r>
            <w:r w:rsidRPr="00E915BB">
              <w:rPr>
                <w:rFonts w:ascii="Times New Roman" w:hAnsi="Times New Roman" w:cs="Times New Roman"/>
                <w:sz w:val="24"/>
                <w:szCs w:val="24"/>
              </w:rPr>
              <w:t xml:space="preserve"> un </w:t>
            </w:r>
            <w:r w:rsidRPr="00E915BB">
              <w:rPr>
                <w:rFonts w:ascii="Times New Roman" w:hAnsi="Times New Roman" w:cs="Times New Roman"/>
                <w:sz w:val="24"/>
                <w:szCs w:val="24"/>
              </w:rPr>
              <w:lastRenderedPageBreak/>
              <w:t>1.29.2.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lastRenderedPageBreak/>
              <w:t>Eiropas Parlamenta un Padomes 2007. gada 11. decembra Regula Nr. 1445/2007, ar ko paredz kopējus noteikumus, lai sniegtu pamatinformāciju par pirktspējas paritātēm un lai tās aprēķinātu un izplatītu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4.5. un 26.1.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2006.gada 2.maija Regula (EK) Nr. 676/2006, ar ko groza Komisijas Regulu (EK) Nr. 1980/2003, ar ko īsteno Eiropas Parlamenta un Padomes Regulu (EK) Nr. 1177/2003 attiecībā uz Kopienas statistiku par ienākumiem un dzīves apstākļiem (EU-SILC) attiecībā uz definīcijām un atjauninātām definīcijām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2006.gada 20.jūnija Regula (EK) Nr. 909/2006, ar ko groza I un II pielikumu Eiropas Parlamenta un Padomes Regulai (EK) Nr. 138/2004 par ekonomikas pārskatiem Kopienas lauksaimniecībā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1.21., 4.7.–4.11., 16.1., 16.4. un 16.14.–16.16.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2006.gada 28.septembra  Regula (EK) Nr. 1503/2006, ar ko īsteno un groza Padomes Regulu (EK) Nr. 1165/98 par īstermiņa statistiku attiecībā uz mainīgo lielumu definīcijām, mainīgo lielumu sarakstu un datu apkopošanas biežumu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14.1.1. un 14.1.2.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w:t>
            </w:r>
            <w:r w:rsidR="00521B4E" w:rsidRPr="00E915BB">
              <w:rPr>
                <w:rFonts w:ascii="Times New Roman" w:hAnsi="Times New Roman" w:cs="Times New Roman"/>
                <w:sz w:val="24"/>
                <w:szCs w:val="24"/>
              </w:rPr>
              <w:t>n Padomes 2006.gada 20.decembra</w:t>
            </w:r>
            <w:r w:rsidRPr="00E915BB">
              <w:rPr>
                <w:rFonts w:ascii="Times New Roman" w:hAnsi="Times New Roman" w:cs="Times New Roman"/>
                <w:sz w:val="24"/>
                <w:szCs w:val="24"/>
              </w:rPr>
              <w:t xml:space="preserve"> Regula (EK) Nr. 1893/2006, ar ko izveido NACE 2. red. saimniecisko darbību statistisko klasifikāciju, kā arī groza Padomes Regulu (EEK) Nr. 3037/90 un dažas EK regulas par īpašām statistikas jomām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1.18.2., 1.19.2., 14.1.1., 14.1.2., 19.2.–19.4. un 23.1.–23.3.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 xml:space="preserve">Eiropas Parlamenta un Padomes 2006.gada 18.decembra Regula (EK) Nr. 1921/2006, kas attiecas uz statistikas datu sniegšanu par dalībvalstīs izkrautajiem zvejniecības </w:t>
            </w:r>
            <w:r w:rsidRPr="00E915BB">
              <w:rPr>
                <w:rFonts w:ascii="Times New Roman" w:hAnsi="Times New Roman" w:cs="Times New Roman"/>
                <w:sz w:val="24"/>
                <w:szCs w:val="24"/>
              </w:rPr>
              <w:lastRenderedPageBreak/>
              <w:t>produktiem un ar ko atceļ Padomes Regulu (EEK) Nr. 1382/91 (Dokuments attiecas uz EEZ) 4.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pielikuma 1. tabulas 18.3.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Eiropas Parlamenta un Padomes 2006.gada 18.decembra Regula (EK) Nr. 1921/2006, kas attiecas uz statistikas datu sniegšanu par dalībvalstīs izkrautajiem zvejniecības produktiem un ar ko atceļ Padomes Regulu (EEK) Nr. 1382/91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18.2. un 18.7.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2005.gada 26.janvāra Regula (EK, Euratom) Nr. 116/2005 par PVN atmaksu personām, kas nav nodokļu maksātājas, un nodokļa maksātājiem par to darbībām, kas atbrīvotas no nodokļa, lai piemērotu Padomes Regulu (EK, Euratom) Nr. 1287/2003 par to, kā saskaņot nacionālo kopienākumu tirgus cenās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2005.gada 24.februāra Regula (EK) Nr. 306/2005, ar ko groza I pielikumu Eiropas Parlamenta un Padomes Regulai (EK) Nr. 138/2004 par ekonomikas pārskatiem Kopienas lauksaimniecībā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1.21., 4.7.–4.11., 16.1., 16.4. un 16.14.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2005.gada 6.jūlija Regulas (EK) Nr. 1158/2005 , ar ko groza Padomes 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4.18.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2005.gada 6.jūlija Regulas (EK) Nr. 1158/2005 , ar ko groza Padomes Regulu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23.1. un 23.2.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2005.gada 6.jūlija Regulas (EK) Nr. 1158/2005 ,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4.4.  un 23.3.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2005.gada 6.jūlija Regula (EK) Nr. 1158/2005 , ar ko groza Padomes Regulu (EK) Nr. 1165/98 par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14.1.1. un 14.1.2.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Eiropas Parlamenta un Padomes 2005.gada 6.jūlija Regula (EK) Nr. 1161/2005 par ceturkšņa nefinanšu kontu apkopošanu pa institucionāliem sektoriem</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 1.18.1., 1.18.2., 1.19.1., 1.19.2. un 22.4.1.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2005.gada 20.oktobra Regula (EK) Nr. 1722/2005 par mājokļu pakalpojumu novērtēšanas principiem saistībā ar Padomes Regulu (EK, Euratom) Nr. 1287/2003 par to, kā saskaņot nacionālo kopienākumu tirgus cenās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26.1.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b/>
                <w:sz w:val="24"/>
                <w:szCs w:val="24"/>
              </w:rPr>
            </w:pPr>
            <w:r w:rsidRPr="00E915BB">
              <w:rPr>
                <w:rStyle w:val="Strong"/>
                <w:rFonts w:ascii="Times New Roman" w:hAnsi="Times New Roman" w:cs="Times New Roman"/>
                <w:b w:val="0"/>
                <w:sz w:val="24"/>
                <w:szCs w:val="24"/>
                <w:bdr w:val="none" w:sz="0" w:space="0" w:color="auto" w:frame="1"/>
                <w:shd w:val="clear" w:color="auto" w:fill="FFFFFF"/>
              </w:rPr>
              <w:t>Komisijas 2005.gada 21.oktobra Regula (EK) Nr. 1737/2005 par grozījumiem Regulā (EK) Nr. 1726/1999 attiecībā uz informācijas par darbaspēka izmaksām noteikšanu un iesūtīšanu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5A57E8"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5A57E8"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2005. gada 21. oktobra Regula (EK) Nr. 1738/2005, ar ko groza Regulu (EK) Nr. 1916/2000 attiecībā uz informācijas par izpeļņas struktūru definēšanu un nosūtīšanu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2004.gada 5.janvāra Regula (EK) Nr. 28/2004, ar ko īsteno Eiropas Parlamenta un Padomes Regulu (EK) Nr. 1177/2003 par Kopienas statistiku attiecībā uz ienākumiem un dzīves apstākļiem (EU–SILC) saistībā ar starpposma un nobeiguma kvalitātes pārskatu sīku saturu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2003.gada 5.decembra Regula (EK) Nr. 138/2004 par ekonomikas pārskatiem Kopienas lauksaimniecībā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1.21., 4.7.–4.11., 16.1., 16.4. un 16.14.–16.16.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2004.gada 10.marta Regula (EK) Nr. 501/2004 par valsts pārvaldes ceturkšņa finanšu pārskatiem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1.8., 1.18.1. un 1.19.1.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 xml:space="preserve">Eiropas Parlamenta un Padomes </w:t>
            </w:r>
            <w:r w:rsidRPr="00E915BB">
              <w:rPr>
                <w:rFonts w:ascii="Times New Roman" w:hAnsi="Times New Roman" w:cs="Times New Roman"/>
                <w:sz w:val="24"/>
                <w:szCs w:val="24"/>
              </w:rPr>
              <w:lastRenderedPageBreak/>
              <w:t>2004.gada 31.marta Regula (EK) Nr. 638/2004 par Kopienas statistiku dalībvalstu savstarpējās preču tirdzniecības jomā un par Padomes Regulas (EEK) Nr. 3330/91 atcelšanu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pielikuma </w:t>
            </w:r>
            <w:r w:rsidRPr="00E915BB">
              <w:rPr>
                <w:rFonts w:ascii="Times New Roman" w:hAnsi="Times New Roman" w:cs="Times New Roman"/>
                <w:sz w:val="24"/>
                <w:szCs w:val="24"/>
              </w:rPr>
              <w:lastRenderedPageBreak/>
              <w:t>1. tabulas 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Nodrošina A ailē </w:t>
            </w:r>
            <w:r w:rsidRPr="00E915BB">
              <w:rPr>
                <w:rFonts w:ascii="Times New Roman" w:hAnsi="Times New Roman" w:cs="Times New Roman"/>
                <w:sz w:val="24"/>
                <w:szCs w:val="24"/>
              </w:rPr>
              <w:lastRenderedPageBreak/>
              <w:t>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Neparedz stingrākas </w:t>
            </w:r>
            <w:r w:rsidRPr="00E915BB">
              <w:rPr>
                <w:rFonts w:ascii="Times New Roman" w:hAnsi="Times New Roman" w:cs="Times New Roman"/>
                <w:sz w:val="24"/>
                <w:szCs w:val="24"/>
              </w:rPr>
              <w:lastRenderedPageBreak/>
              <w:t>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Komisijas 2004.gada 6.aprīļa Regula (EK) Nr. 642/2004 par to datu precizitātes prasībām, ko vāc saskaņā ar Padomes Regulu (EK) Nr. 1172/98 par statistikas pārskatiem, kuri attiecas uz kravu autopārvadājumiem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24.5.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Padomes 2004.gada 22.marta Regula (EK, Euratom) Nr. 723/2004, ar ko groza Eiropas Kopienu Civildienesta noteikumus un Kopienu pārējo darbinieku nodarbināšanas kārtību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2004. gada 21.aprīļa Regula (EK) Nr. 808/2004 attiecībā uz Kopienas statistiku par informācijas sabiedrību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2004.gada 29. aprīļa Regula (EK) Nr. 912/2004, ar ko īsteno Padomes Regulu (EEK) Nr. 3924/91 par rūpnieciskās ražošanas Kopienas apsekojuma izveidi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Padomes 2004.gada 28.jūnija Regula (EK) Nr. 1222/2004 par to, kā apkopot un sūtīt datus, kas attiecas uz valsts parādu ceturksnī</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1.9. un 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2003. gada 27.februāra Regula (EK) Nr. 450/2003 par darbaspēka izmaksu indeksu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2003.gada 27.marta Regula (EK) Nr. 546/2003 par dažiem paziņojumiem attiecībā uz Padomes Regulu (EEK) Nr. 2771/75, (EEK) Nr. 2777/75 un (EEK) Nr. 2783/75 piemērošanu olu un mājputnu gaļas nozarēs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2003.gada 26.maija Regula (EK) Nr. 1059/2003 par kopējas statistiski teritoriālo vienību klasifikācijas (NUTS) izveidi</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Eiropas Parlamenta un padomes 2003.gada 16.jūnija Regula (EK) Nr. 1177/2003 par Kopienas statistiku attiecībā uz ienākumiem un dzīves apstākļiem (EU-SILC)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2003.gada 3.jūlija Regula (EK) Nr. 1192/2003, ar ko groza Eiropas Parlamenta un Padomes Regulu (EK) Nr. 91/2003 par dzelzceļa transporta statistiku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24.1.–24.4.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2003.gada 7.jūlija Regula (EK) Nr. 1216/2003, ar ko ievieš Eiropas Parlamenta un Padomes Regulu (EK) Nr. 450/2003 par darbaspēka izmaksu indeksu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2003.gada 16.jūnija Regula (EK) Nr. 1267/2003, ar ko Padomes Regulu (EK) Nr. 2223/96 groza attiecībā uz nacionālo kontu galveno rādītāju nosūtīšanas termiņu, atkāpēm saistībā ar nacionālo kontu galveno rādītāju nosūtīšanu un nodarbinātības datu nosūtīšanu nostrādāto stundu izteiksmē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1.18.2. un 1.19.2.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2003.gada 31.jūlija Regula (EK) Nr. 1358/2003, ar ko īsteno Eiropas Parlamenta un Padomes Regulu (EK) Nr. 437/2003 par statistikas pārskatiem attiecībā uz pasažieru, kravu un pasta gaisa pārvadājumiem un ar ko groza tās I un II pielikumu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24.6.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2003.gada 21.oktobra Regula (EK) Nr. 1980/2003, ar ko īsteno Eiropas Parlamenta un Padomes Regulu (EK) Nr. 1177/2003 attiecībā uz Kopienas statistiku par ienākumiem un dzīves apstākļiem (EU-SILC) attiecībā uz definīcijām un atjauninātām definīcijām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 xml:space="preserve">Komisijas 2003.gada 21.oktobra </w:t>
            </w:r>
            <w:r w:rsidRPr="00E915BB">
              <w:rPr>
                <w:rFonts w:ascii="Times New Roman" w:hAnsi="Times New Roman" w:cs="Times New Roman"/>
                <w:sz w:val="24"/>
                <w:szCs w:val="24"/>
              </w:rPr>
              <w:lastRenderedPageBreak/>
              <w:t>Regula (EK) Nr. 1981/2003, ar ko īsteno Eiropas Parlamenta un Padomes Regulu (EK) Nr. 1177/2003 par Kopienas statistiku par ienākumiem un dzīves apstākļiem (EU-SILC) attiecībā uz faktiskā darba aspektiem un aprēķināšanas procedūrām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pielikuma </w:t>
            </w:r>
            <w:r w:rsidRPr="00E915BB">
              <w:rPr>
                <w:rFonts w:ascii="Times New Roman" w:hAnsi="Times New Roman" w:cs="Times New Roman"/>
                <w:sz w:val="24"/>
                <w:szCs w:val="24"/>
              </w:rPr>
              <w:lastRenderedPageBreak/>
              <w:t>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Nodrošina A ailē </w:t>
            </w:r>
            <w:r w:rsidRPr="00E915BB">
              <w:rPr>
                <w:rFonts w:ascii="Times New Roman" w:hAnsi="Times New Roman" w:cs="Times New Roman"/>
                <w:sz w:val="24"/>
                <w:szCs w:val="24"/>
              </w:rPr>
              <w:lastRenderedPageBreak/>
              <w:t>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Neparedz stingrākas </w:t>
            </w:r>
            <w:r w:rsidRPr="00E915BB">
              <w:rPr>
                <w:rFonts w:ascii="Times New Roman" w:hAnsi="Times New Roman" w:cs="Times New Roman"/>
                <w:sz w:val="24"/>
                <w:szCs w:val="24"/>
              </w:rPr>
              <w:lastRenderedPageBreak/>
              <w:t>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Komisijas 2003.gada 21.oktobra Regula (EK) Nr. 1982/2003, ar ko īsteno Eiropas Parlamenta un Padomes Regulu (EK) Nr. 1177/2003 par Kopienas statistiku par ienākumiem un dzīves apstākļiem (EU-SILC) attiecībā uz izlasi un reģistrācijas noteikumiem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Komisijas 2003.gada 7.novembra Regula (EK) Nr. 1983/2003, ar ko īsteno Eiropas Parlamenta un Padomes Regulu (EK) Nr. 1177/2003 par Kopienas statistiku par ienākumiem un dzīves apstākļiem (EU-SILC) attiecībā uz primāro mērķa mainīgo lielumu sarakstu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87FA5" w:rsidRPr="00E915BB" w:rsidRDefault="00B87FA5" w:rsidP="0075044B">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BA05E2">
            <w:pPr>
              <w:rPr>
                <w:rFonts w:ascii="Times New Roman" w:hAnsi="Times New Roman" w:cs="Times New Roman"/>
                <w:sz w:val="24"/>
                <w:szCs w:val="24"/>
              </w:rPr>
            </w:pPr>
            <w:r w:rsidRPr="00E915BB">
              <w:rPr>
                <w:rFonts w:ascii="Times New Roman" w:hAnsi="Times New Roman" w:cs="Times New Roman"/>
                <w:sz w:val="24"/>
                <w:szCs w:val="24"/>
              </w:rPr>
              <w:t>Eiropas Parlamenta un Padomes 2002.gada 16.decembra Regula Nr. 91/2003 par dzelzceļa transporta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BA05E2">
            <w:pPr>
              <w:rPr>
                <w:rFonts w:ascii="Times New Roman" w:hAnsi="Times New Roman" w:cs="Times New Roman"/>
                <w:sz w:val="24"/>
                <w:szCs w:val="24"/>
              </w:rPr>
            </w:pPr>
            <w:r w:rsidRPr="00E915BB">
              <w:rPr>
                <w:rFonts w:ascii="Times New Roman" w:hAnsi="Times New Roman" w:cs="Times New Roman"/>
                <w:sz w:val="24"/>
                <w:szCs w:val="24"/>
              </w:rPr>
              <w:t>pielikuma 1. tabulas 24.1.–24.4.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BA05E2">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BA05E2">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Komisijas 2002. gada 23. janvāra Regula (EK) Nr. 113/2002, ar ko groza Padomes Regulu (EK) Nr. 2223/96 attiecībā uz pārskatītajām izdevumu veidu klasifikācijām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 xml:space="preserve">Eiropas Parlamenta un Padomes 2002.gada 12.februāra Regula (EK) Nr. 359/2002, ar ko Padomes Regulu </w:t>
            </w:r>
            <w:r w:rsidRPr="00E915BB">
              <w:rPr>
                <w:rFonts w:ascii="Times New Roman" w:hAnsi="Times New Roman" w:cs="Times New Roman"/>
                <w:sz w:val="24"/>
                <w:szCs w:val="24"/>
              </w:rPr>
              <w:lastRenderedPageBreak/>
              <w:t>(EK) Nr. 2223/96 groza attiecībā uz EKS 95 lietošanu, lai noteiktu dalībvalstu iemaksas pašu resursos no PVN</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pielikuma 1. tabulas 1.17.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 xml:space="preserve">Nodrošina A ailē minētā ES tiesību akta prasību </w:t>
            </w:r>
            <w:r w:rsidRPr="00E915BB">
              <w:rPr>
                <w:rFonts w:ascii="Times New Roman" w:hAnsi="Times New Roman" w:cs="Times New Roman"/>
                <w:sz w:val="24"/>
                <w:szCs w:val="24"/>
              </w:rPr>
              <w:lastRenderedPageBreak/>
              <w:t>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Eiropas Parlamenta un Padomes 2002.gada 10.jūnija Regula (EK) Nr. 1221/2002 par valsts ceturkšņa nefinanšu pārskatiem</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Komisijas 2002.gada 23.oktobra Regula (EK) Nr. 1889/2002 par to, kā īstenot Padomes Regulu (EK) Nr. 448/98, ar ko papildina un groza Regulu (EK) Nr. 2223/96 attiecībā uz netieši novērtēto finanšu starpniecības pakalpojumu (FISIM) iedalīšanu Eiropas nacionālo un reģionālo kontu sistēmā (EKS)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1.18.1., 1.19.1. un 1.20.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2002.gada 8.oktobra Regula (EK) Nr. 1991/2002 par grozījumiem Padomes Regulā (EK) Nr. 577/98 par darbaspēka izlases veida apsekojuma organizēšanu Kopienā</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b/>
                <w:sz w:val="24"/>
                <w:szCs w:val="24"/>
              </w:rPr>
            </w:pPr>
            <w:r w:rsidRPr="00E915BB">
              <w:rPr>
                <w:rStyle w:val="Strong"/>
                <w:rFonts w:ascii="Times New Roman" w:hAnsi="Times New Roman" w:cs="Times New Roman"/>
                <w:b w:val="0"/>
                <w:sz w:val="24"/>
                <w:szCs w:val="24"/>
                <w:bdr w:val="none" w:sz="0" w:space="0" w:color="auto" w:frame="1"/>
                <w:shd w:val="clear" w:color="auto" w:fill="FFFFFF"/>
              </w:rPr>
              <w:t>Komisijas 2002. gada 28. novembra Regula (EK) Nr. 2104/2002, ar kuru tiek pielāgotas Padomes Regula (EK) Nr. 577/98 par darbaspēka izlases veida apsekojuma organizēšanu Kopienā un Komisijas Regula (EK) Nr. 1575/2000, ar ko ievieš Padomes Regulu (EK) Nr. 577/98 attiecībā uz izglītības un apmācības mainīgo lielumu sarakstu un to kodifikāciju, kuri jāizmanto datu pārsūtīšanā, sākot ar 2003. gadu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 xml:space="preserve">Eiropas Parlamenta un padomes 2002. gada 25. novembra Regula (EK) Nr. 2150/2002 par statistiku attiecībā uz atkritumiem </w:t>
            </w:r>
            <w:r w:rsidR="0083166E" w:rsidRPr="00E915BB">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Dokuments attiecas uz EEZ</w:t>
            </w:r>
            <w:r w:rsidR="0083166E" w:rsidRPr="00E915BB">
              <w:rPr>
                <w:rFonts w:ascii="Times New Roman" w:eastAsia="Times New Roman" w:hAnsi="Times New Roman" w:cs="Times New Roman"/>
                <w:sz w:val="24"/>
                <w:szCs w:val="24"/>
                <w:lang w:eastAsia="lv-LV"/>
              </w:rPr>
              <w:t>)</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3B28B0">
            <w:pPr>
              <w:rPr>
                <w:rFonts w:ascii="Times New Roman" w:hAnsi="Times New Roman" w:cs="Times New Roman"/>
                <w:sz w:val="24"/>
                <w:szCs w:val="24"/>
              </w:rPr>
            </w:pPr>
            <w:r w:rsidRPr="00E915BB">
              <w:rPr>
                <w:rFonts w:ascii="Times New Roman" w:hAnsi="Times New Roman" w:cs="Times New Roman"/>
                <w:sz w:val="24"/>
                <w:szCs w:val="24"/>
              </w:rPr>
              <w:t>pielikuma 1. tabulas 27.2.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Komisijas 2001.gada 26.marta Regula (EK) Nr. 586/2001, ar ko attiecībā uz ražošanas pamatgrupējumu definēšanu īsteno Padomes Regulu (EK) Nr. 1165/98 par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EE1264" w:rsidP="0075044B">
            <w:pPr>
              <w:rPr>
                <w:rFonts w:ascii="Times New Roman" w:hAnsi="Times New Roman" w:cs="Times New Roman"/>
                <w:sz w:val="24"/>
                <w:szCs w:val="24"/>
              </w:rPr>
            </w:pPr>
            <w:r w:rsidRPr="00E915BB">
              <w:rPr>
                <w:rFonts w:ascii="Times New Roman" w:hAnsi="Times New Roman" w:cs="Times New Roman"/>
                <w:sz w:val="24"/>
                <w:szCs w:val="24"/>
              </w:rPr>
              <w:t>pielikuma 1. tabulas 19.2.–19.3</w:t>
            </w:r>
            <w:r w:rsidR="00A159F9"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 xml:space="preserve">Komisijas 2001.gada 22.maija Regula (EK) Nr. 995/2001, ar kuru īsteno </w:t>
            </w:r>
            <w:r w:rsidRPr="00E915BB">
              <w:rPr>
                <w:rFonts w:ascii="Times New Roman" w:hAnsi="Times New Roman" w:cs="Times New Roman"/>
                <w:sz w:val="24"/>
                <w:szCs w:val="24"/>
              </w:rPr>
              <w:lastRenderedPageBreak/>
              <w:t>Eiropas Parlamenta un Padomes Regulu (EK) Nr. 2516/2000, ar ko izdara izmaiņas Eiropas nacionālo un reģionālo kontu sistēmas Kopienā (ESA 95) kopējos principos attiecībā uz nodokļiem un sociālajām iemaksām</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pielikuma 1. tabulas 1.5. </w:t>
            </w:r>
            <w:r w:rsidRPr="00E915BB">
              <w:rPr>
                <w:rFonts w:ascii="Times New Roman" w:hAnsi="Times New Roman" w:cs="Times New Roman"/>
                <w:sz w:val="24"/>
                <w:szCs w:val="24"/>
              </w:rPr>
              <w:lastRenderedPageBreak/>
              <w:t>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Nodrošina A ailē minētā ES tiesību </w:t>
            </w:r>
            <w:r w:rsidRPr="00E915BB">
              <w:rPr>
                <w:rFonts w:ascii="Times New Roman" w:hAnsi="Times New Roman" w:cs="Times New Roman"/>
                <w:sz w:val="24"/>
                <w:szCs w:val="24"/>
              </w:rPr>
              <w:lastRenderedPageBreak/>
              <w:t>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Komisijas 2000.gada 3.februāra Regula (EK) Nr. 264/2000  par Padomes Regulas (EK) Nr. 2223/96 īstenošanu attiecībā uz valsts finanšu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3B28B0">
            <w:pPr>
              <w:rPr>
                <w:rFonts w:ascii="Times New Roman" w:hAnsi="Times New Roman" w:cs="Times New Roman"/>
                <w:sz w:val="24"/>
                <w:szCs w:val="24"/>
              </w:rPr>
            </w:pPr>
            <w:r w:rsidRPr="00E915BB">
              <w:rPr>
                <w:rFonts w:ascii="Times New Roman" w:hAnsi="Times New Roman" w:cs="Times New Roman"/>
                <w:sz w:val="24"/>
                <w:szCs w:val="24"/>
              </w:rPr>
              <w:t>Komisijas 2000.gada 10.jūlija Regula (EK) Nr. 1500/2000 par Padomes Regulas (EK) Nr. 2223/96 īstenošanu attiecībā uz valsts izdevumiem un ieņēmumiem</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1.5. un 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Komisijas 2000.gada 7.septembra Regula (EK) Nr. 1897/2000, ar ko īsteno Padomes Regulu (EK) Nr. 577/98 par darbaspēka izlases veida apsekojuma organizēšanu Kopienā attiecībā uz darbības definīciju bezdarbam</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Eiropas Parlamenta un Padomes 2000.gada 7.novembra Regula (EK) Nr. 2516/2000, ar ko izdara izmaiņas Eiropas nacionālo un reģionālo kontu sistēmas Kopienā (ESA 95) kopējos principos attiecībā uz nodokļiem un sociālajām iemaksām un groza Padomes Regulu (EK) Nr. 2223/96</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Padomes 1999. gada 9.marta Regula (EK) Nr. 530/1999 par strukturālo statistiku attiecībā uz izpeļņu un darbaspēka izmaksām</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Padomes 1998.gada 16.februāra Regula (EK) Nr. 448/98, ar ko papildina un groza Regulu (EK) Nr. 2223/96 attiecībā uz netieši novērtēto finanšu starpniecības pakalpojumu (FISIM) iedalīšanu Eiropas nacionālo un reģionālo kontu sistēmā (EKS)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1.18.1., 1.19.1. un 1.20.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Padomes 1998.gada 9.marta Regula (EK) Nr. 577/98 par darbaspēka izlases veida apsekojuma organizēšanu Kopienā</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3B28B0">
            <w:pPr>
              <w:rPr>
                <w:rFonts w:ascii="Times New Roman" w:hAnsi="Times New Roman" w:cs="Times New Roman"/>
                <w:sz w:val="24"/>
                <w:szCs w:val="24"/>
              </w:rPr>
            </w:pPr>
            <w:r w:rsidRPr="00E915BB">
              <w:rPr>
                <w:rFonts w:ascii="Times New Roman" w:hAnsi="Times New Roman" w:cs="Times New Roman"/>
                <w:sz w:val="24"/>
                <w:szCs w:val="24"/>
              </w:rPr>
              <w:t xml:space="preserve">Padomes 1998. gada 19. maija </w:t>
            </w:r>
            <w:r w:rsidRPr="00E915BB">
              <w:rPr>
                <w:rFonts w:ascii="Times New Roman" w:hAnsi="Times New Roman" w:cs="Times New Roman"/>
                <w:sz w:val="24"/>
                <w:szCs w:val="24"/>
              </w:rPr>
              <w:lastRenderedPageBreak/>
              <w:t>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pielikuma </w:t>
            </w:r>
            <w:r w:rsidRPr="00E915BB">
              <w:rPr>
                <w:rFonts w:ascii="Times New Roman" w:hAnsi="Times New Roman" w:cs="Times New Roman"/>
                <w:sz w:val="24"/>
                <w:szCs w:val="24"/>
              </w:rPr>
              <w:lastRenderedPageBreak/>
              <w:t>1. tabulas 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Nodrošina A ailē </w:t>
            </w:r>
            <w:r w:rsidRPr="00E915BB">
              <w:rPr>
                <w:rFonts w:ascii="Times New Roman" w:hAnsi="Times New Roman" w:cs="Times New Roman"/>
                <w:sz w:val="24"/>
                <w:szCs w:val="24"/>
              </w:rPr>
              <w:lastRenderedPageBreak/>
              <w:t>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 xml:space="preserve">Neparedz stingrākas </w:t>
            </w:r>
            <w:r w:rsidRPr="00E915BB">
              <w:rPr>
                <w:rFonts w:ascii="Times New Roman" w:hAnsi="Times New Roman" w:cs="Times New Roman"/>
                <w:sz w:val="24"/>
                <w:szCs w:val="24"/>
              </w:rPr>
              <w:lastRenderedPageBreak/>
              <w:t>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3B28B0">
            <w:pPr>
              <w:rPr>
                <w:rFonts w:ascii="Times New Roman" w:hAnsi="Times New Roman" w:cs="Times New Roman"/>
                <w:sz w:val="24"/>
                <w:szCs w:val="24"/>
              </w:rPr>
            </w:pPr>
            <w:r w:rsidRPr="00E915BB">
              <w:rPr>
                <w:rFonts w:ascii="Times New Roman" w:hAnsi="Times New Roman" w:cs="Times New Roman"/>
                <w:sz w:val="24"/>
                <w:szCs w:val="24"/>
              </w:rPr>
              <w:lastRenderedPageBreak/>
              <w:t>Padomes 1998. gada 19. maija Regulas (EK) Nr. 1165/98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3B28B0">
            <w:pPr>
              <w:rPr>
                <w:rFonts w:ascii="Times New Roman" w:hAnsi="Times New Roman" w:cs="Times New Roman"/>
                <w:sz w:val="24"/>
                <w:szCs w:val="24"/>
              </w:rPr>
            </w:pPr>
            <w:r w:rsidRPr="00E915BB">
              <w:rPr>
                <w:rFonts w:ascii="Times New Roman" w:hAnsi="Times New Roman" w:cs="Times New Roman"/>
                <w:sz w:val="24"/>
                <w:szCs w:val="24"/>
              </w:rPr>
              <w:t>Padomes 1998. gada 19. maija Regula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23.1.un 23.2.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3B28B0">
            <w:pPr>
              <w:rPr>
                <w:rFonts w:ascii="Times New Roman" w:hAnsi="Times New Roman" w:cs="Times New Roman"/>
                <w:sz w:val="24"/>
                <w:szCs w:val="24"/>
              </w:rPr>
            </w:pPr>
            <w:r w:rsidRPr="00E915BB">
              <w:rPr>
                <w:rFonts w:ascii="Times New Roman" w:hAnsi="Times New Roman" w:cs="Times New Roman"/>
                <w:sz w:val="24"/>
                <w:szCs w:val="24"/>
              </w:rPr>
              <w:t>Padomes 1998. gada 19. maija Regula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23.3.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3B28B0">
            <w:pPr>
              <w:rPr>
                <w:rFonts w:ascii="Times New Roman" w:hAnsi="Times New Roman" w:cs="Times New Roman"/>
                <w:sz w:val="24"/>
                <w:szCs w:val="24"/>
              </w:rPr>
            </w:pPr>
            <w:r w:rsidRPr="00E915BB">
              <w:rPr>
                <w:rFonts w:ascii="Times New Roman" w:hAnsi="Times New Roman" w:cs="Times New Roman"/>
                <w:sz w:val="24"/>
                <w:szCs w:val="24"/>
              </w:rPr>
              <w:t>Padomes 1998. gada 19. maija Regula (EK) Nr. 1165/98 par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14.1.1., 14.1.2., 19.2.–19.4. un 21.1.–21.6.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Padomes 1996.gada 25.jūnija Regula (EK) Nr. 2223/96 par Eiropas nacionālo un reģionālo kontu sistēmu Kopienā</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86705A" w:rsidP="0075044B">
            <w:pPr>
              <w:rPr>
                <w:rFonts w:ascii="Times New Roman" w:hAnsi="Times New Roman" w:cs="Times New Roman"/>
                <w:sz w:val="24"/>
                <w:szCs w:val="24"/>
              </w:rPr>
            </w:pPr>
            <w:r w:rsidRPr="00E915BB">
              <w:rPr>
                <w:rFonts w:ascii="Times New Roman" w:hAnsi="Times New Roman" w:cs="Times New Roman"/>
                <w:sz w:val="24"/>
                <w:szCs w:val="24"/>
              </w:rPr>
              <w:t xml:space="preserve">pielikuma 1. Tabulas </w:t>
            </w:r>
            <w:r w:rsidR="00A159F9" w:rsidRPr="00E915BB">
              <w:rPr>
                <w:rFonts w:ascii="Times New Roman" w:hAnsi="Times New Roman" w:cs="Times New Roman"/>
                <w:sz w:val="24"/>
                <w:szCs w:val="24"/>
              </w:rPr>
              <w:t>4.13. un 22.1.–22.3.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Padomes 1995.gada 23.oktobra Regula (EK) 2494/95  par saskaņotajiem patēriņa cenu indeksiem</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Padomes 1993.gada 15.marta Regula (EEK) Nr. 696/93 par statistikas vienībām ražošanas sistēmas novērošanai un analīzei Kopienā</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12.1.–12.4.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Padomes 1991.gada 19.decembra Regula (EEK) Nr. 3924/91 par rūpnieciskās ražošanas Kopienas apsekojuma izveidi</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Komisijas 1987.gada 22.decembra Regula (EEK) Nr. 3987/87, ar ko kombinētās nomenklatūras ieviešanas rezultātā groza dažādas regulas, kas nodrošina tirgu kopīgas organizācijas vienotu īstenošanu olu un mājputnu gaļas nozarē</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 xml:space="preserve">Padomes 1968.gada 29.februāra Regula (EEK, Euratom, EOTK) Nr.259/68, ar ko nosaka Eiropas </w:t>
            </w:r>
            <w:r w:rsidRPr="00E915BB">
              <w:rPr>
                <w:rFonts w:ascii="Times New Roman" w:hAnsi="Times New Roman" w:cs="Times New Roman"/>
                <w:sz w:val="24"/>
                <w:szCs w:val="24"/>
              </w:rPr>
              <w:lastRenderedPageBreak/>
              <w:t>Kopienu Civildienesta noteikumus.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t xml:space="preserve">Nodrošina A ailē minētā ES tiesību akta prasību </w:t>
            </w:r>
            <w:r w:rsidRPr="00E915BB">
              <w:rPr>
                <w:rFonts w:ascii="Times New Roman" w:hAnsi="Times New Roman" w:cs="Times New Roman"/>
                <w:sz w:val="24"/>
                <w:szCs w:val="24"/>
              </w:rPr>
              <w:lastRenderedPageBreak/>
              <w:t>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59F9" w:rsidRPr="00E915BB" w:rsidRDefault="00A159F9" w:rsidP="0075044B">
            <w:pPr>
              <w:rPr>
                <w:rFonts w:ascii="Times New Roman" w:hAnsi="Times New Roman" w:cs="Times New Roman"/>
                <w:sz w:val="24"/>
                <w:szCs w:val="24"/>
              </w:rPr>
            </w:pPr>
            <w:r w:rsidRPr="00E915BB">
              <w:rPr>
                <w:rFonts w:ascii="Times New Roman" w:hAnsi="Times New Roman" w:cs="Times New Roman"/>
                <w:sz w:val="24"/>
                <w:szCs w:val="24"/>
              </w:rPr>
              <w:lastRenderedPageBreak/>
              <w:t>Neparedz stingrākas prasības</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A159F9" w:rsidRPr="00E915BB" w:rsidRDefault="00A159F9"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r w:rsidRPr="00E915BB">
              <w:rPr>
                <w:rFonts w:ascii="Times New Roman" w:eastAsia="Times New Roman" w:hAnsi="Times New Roman" w:cs="Times New Roman"/>
                <w:sz w:val="24"/>
                <w:szCs w:val="24"/>
                <w:lang w:eastAsia="lv-LV"/>
              </w:rPr>
              <w:br/>
              <w:t>Kādēļ?</w:t>
            </w:r>
          </w:p>
        </w:tc>
        <w:tc>
          <w:tcPr>
            <w:tcW w:w="6135" w:type="dxa"/>
            <w:gridSpan w:val="3"/>
            <w:tcBorders>
              <w:top w:val="outset" w:sz="6" w:space="0" w:color="auto"/>
              <w:left w:val="outset" w:sz="6" w:space="0" w:color="auto"/>
              <w:bottom w:val="outset" w:sz="6" w:space="0" w:color="auto"/>
              <w:right w:val="outset" w:sz="6" w:space="0" w:color="auto"/>
            </w:tcBorders>
            <w:hideMark/>
          </w:tcPr>
          <w:p w:rsidR="00A159F9" w:rsidRPr="00E915BB" w:rsidRDefault="00A159F9"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Noteikumu projekts šo jomu neskar.</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A159F9" w:rsidRPr="00E915BB" w:rsidRDefault="00A159F9"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3"/>
            <w:tcBorders>
              <w:top w:val="outset" w:sz="6" w:space="0" w:color="auto"/>
              <w:left w:val="outset" w:sz="6" w:space="0" w:color="auto"/>
              <w:bottom w:val="outset" w:sz="6" w:space="0" w:color="auto"/>
              <w:right w:val="outset" w:sz="6" w:space="0" w:color="auto"/>
            </w:tcBorders>
            <w:hideMark/>
          </w:tcPr>
          <w:p w:rsidR="00A159F9" w:rsidRPr="00E915BB" w:rsidRDefault="002A0820"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Noteikumu projekts šo jomu neskar.</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A159F9" w:rsidRPr="00E915BB" w:rsidRDefault="00A159F9"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6135" w:type="dxa"/>
            <w:gridSpan w:val="3"/>
            <w:tcBorders>
              <w:top w:val="outset" w:sz="6" w:space="0" w:color="auto"/>
              <w:left w:val="outset" w:sz="6" w:space="0" w:color="auto"/>
              <w:bottom w:val="outset" w:sz="6" w:space="0" w:color="auto"/>
              <w:right w:val="outset" w:sz="6" w:space="0" w:color="auto"/>
            </w:tcBorders>
            <w:hideMark/>
          </w:tcPr>
          <w:p w:rsidR="00A159F9" w:rsidRPr="00E915BB" w:rsidRDefault="00A159F9"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E915BB" w:rsidRPr="00E915BB"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881869" w:rsidRPr="00881869" w:rsidRDefault="00A159F9" w:rsidP="00EB363C">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2.tabula</w:t>
            </w:r>
            <w:r w:rsidRPr="00E915B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915BB">
              <w:rPr>
                <w:rFonts w:ascii="Times New Roman" w:eastAsia="Times New Roman" w:hAnsi="Times New Roman" w:cs="Times New Roman"/>
                <w:b/>
                <w:bCs/>
                <w:sz w:val="24"/>
                <w:szCs w:val="24"/>
                <w:lang w:eastAsia="lv-LV"/>
              </w:rPr>
              <w:br/>
              <w:t>Pasākumi šo saistību izpildei</w:t>
            </w:r>
          </w:p>
        </w:tc>
      </w:tr>
      <w:tr w:rsidR="00E915BB" w:rsidRPr="00E915BB"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tcPr>
          <w:p w:rsidR="00A159F9" w:rsidRPr="00E915BB" w:rsidRDefault="00A159F9" w:rsidP="00EB363C">
            <w:pPr>
              <w:spacing w:before="100" w:beforeAutospacing="1" w:after="100" w:afterAutospacing="1"/>
              <w:rPr>
                <w:rFonts w:ascii="Times New Roman" w:eastAsia="Times New Roman" w:hAnsi="Times New Roman" w:cs="Times New Roman"/>
                <w:bCs/>
                <w:sz w:val="24"/>
                <w:szCs w:val="24"/>
                <w:lang w:eastAsia="lv-LV"/>
              </w:rPr>
            </w:pPr>
            <w:r w:rsidRPr="00E915BB">
              <w:rPr>
                <w:rFonts w:ascii="Times New Roman" w:eastAsia="Times New Roman" w:hAnsi="Times New Roman" w:cs="Times New Roman"/>
                <w:bCs/>
                <w:sz w:val="24"/>
                <w:szCs w:val="24"/>
                <w:lang w:eastAsia="lv-LV"/>
              </w:rPr>
              <w:t>Nav</w:t>
            </w:r>
          </w:p>
        </w:tc>
      </w:tr>
    </w:tbl>
    <w:p w:rsidR="00A13DD6"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w:t>
      </w:r>
    </w:p>
    <w:p w:rsidR="00881869" w:rsidRDefault="00881869" w:rsidP="002C5318">
      <w:pPr>
        <w:spacing w:before="100" w:beforeAutospacing="1" w:after="100" w:afterAutospacing="1"/>
        <w:rPr>
          <w:rFonts w:ascii="Times New Roman" w:eastAsia="Times New Roman" w:hAnsi="Times New Roman" w:cs="Times New Roman"/>
          <w:sz w:val="24"/>
          <w:szCs w:val="24"/>
          <w:lang w:eastAsia="lv-LV"/>
        </w:rPr>
      </w:pPr>
    </w:p>
    <w:p w:rsidR="00881869" w:rsidRDefault="00881869" w:rsidP="002C5318">
      <w:pPr>
        <w:spacing w:before="100" w:beforeAutospacing="1" w:after="100" w:afterAutospacing="1"/>
        <w:rPr>
          <w:rFonts w:ascii="Times New Roman" w:eastAsia="Times New Roman" w:hAnsi="Times New Roman" w:cs="Times New Roman"/>
          <w:sz w:val="24"/>
          <w:szCs w:val="24"/>
          <w:lang w:eastAsia="lv-LV"/>
        </w:rPr>
      </w:pPr>
    </w:p>
    <w:p w:rsidR="00881869" w:rsidRDefault="00881869" w:rsidP="002C5318">
      <w:pPr>
        <w:spacing w:before="100" w:beforeAutospacing="1" w:after="100" w:afterAutospacing="1"/>
        <w:rPr>
          <w:rFonts w:ascii="Times New Roman" w:eastAsia="Times New Roman" w:hAnsi="Times New Roman" w:cs="Times New Roman"/>
          <w:sz w:val="24"/>
          <w:szCs w:val="24"/>
          <w:lang w:eastAsia="lv-LV"/>
        </w:rPr>
      </w:pPr>
    </w:p>
    <w:tbl>
      <w:tblPr>
        <w:tblStyle w:val="TableGrid"/>
        <w:tblpPr w:leftFromText="180" w:rightFromText="180" w:vertAnchor="text" w:horzAnchor="margin" w:tblpXSpec="center" w:tblpY="103"/>
        <w:tblW w:w="5886" w:type="pct"/>
        <w:tblLook w:val="04A0" w:firstRow="1" w:lastRow="0" w:firstColumn="1" w:lastColumn="0" w:noHBand="0" w:noVBand="1"/>
      </w:tblPr>
      <w:tblGrid>
        <w:gridCol w:w="430"/>
        <w:gridCol w:w="4158"/>
        <w:gridCol w:w="5451"/>
      </w:tblGrid>
      <w:tr w:rsidR="00881869" w:rsidRPr="00E915BB" w:rsidTr="00881869">
        <w:trPr>
          <w:trHeight w:val="596"/>
        </w:trPr>
        <w:tc>
          <w:tcPr>
            <w:tcW w:w="5000" w:type="pct"/>
            <w:gridSpan w:val="3"/>
            <w:hideMark/>
          </w:tcPr>
          <w:p w:rsidR="00881869" w:rsidRPr="00E915BB" w:rsidRDefault="00881869" w:rsidP="00881869">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VI. Sabiedrības līdzdalība un komunikācijas aktivitātes</w:t>
            </w:r>
          </w:p>
        </w:tc>
      </w:tr>
      <w:tr w:rsidR="00881869" w:rsidRPr="00E915BB" w:rsidTr="00881869">
        <w:trPr>
          <w:trHeight w:val="767"/>
        </w:trPr>
        <w:tc>
          <w:tcPr>
            <w:tcW w:w="214"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71"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Plānotās sabiedrības līdzdalības un komunikācijas aktivitātes saistībā ar projektu</w:t>
            </w:r>
          </w:p>
        </w:tc>
        <w:tc>
          <w:tcPr>
            <w:tcW w:w="2715"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881869" w:rsidRPr="00E915BB" w:rsidTr="00881869">
        <w:trPr>
          <w:trHeight w:val="468"/>
        </w:trPr>
        <w:tc>
          <w:tcPr>
            <w:tcW w:w="214"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71"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 projekta izstrādē</w:t>
            </w:r>
          </w:p>
        </w:tc>
        <w:tc>
          <w:tcPr>
            <w:tcW w:w="2715"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2015. gada 24. augustā Centrālā statistikas pārvalde publicēja MK noteikumu projektu savā mājaslapā sabiedrības apspriešanai.</w:t>
            </w:r>
          </w:p>
        </w:tc>
      </w:tr>
      <w:tr w:rsidR="00881869" w:rsidRPr="00E915BB" w:rsidTr="00881869">
        <w:trPr>
          <w:trHeight w:val="660"/>
        </w:trPr>
        <w:tc>
          <w:tcPr>
            <w:tcW w:w="214"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71"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līdzdalības rezultāti</w:t>
            </w:r>
          </w:p>
        </w:tc>
        <w:tc>
          <w:tcPr>
            <w:tcW w:w="2715"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881869" w:rsidRPr="00E915BB" w:rsidTr="00881869">
        <w:trPr>
          <w:trHeight w:val="660"/>
        </w:trPr>
        <w:tc>
          <w:tcPr>
            <w:tcW w:w="214"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2071"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15" w:type="pct"/>
            <w:hideMark/>
          </w:tcPr>
          <w:p w:rsidR="00881869" w:rsidRPr="00E915BB" w:rsidRDefault="00881869" w:rsidP="00881869">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881869" w:rsidRPr="00E915BB" w:rsidRDefault="00881869" w:rsidP="002C5318">
      <w:pPr>
        <w:spacing w:before="100" w:beforeAutospacing="1" w:after="100" w:afterAutospacing="1"/>
        <w:rPr>
          <w:rFonts w:ascii="Times New Roman" w:eastAsia="Times New Roman" w:hAnsi="Times New Roman" w:cs="Times New Roman"/>
          <w:sz w:val="24"/>
          <w:szCs w:val="24"/>
          <w:lang w:eastAsia="lv-LV"/>
        </w:rPr>
      </w:pPr>
    </w:p>
    <w:p w:rsidR="00A13DD6" w:rsidRDefault="00A13DD6" w:rsidP="002C5318">
      <w:pPr>
        <w:spacing w:before="100" w:beforeAutospacing="1" w:after="100" w:afterAutospacing="1"/>
        <w:rPr>
          <w:rFonts w:ascii="Times New Roman" w:eastAsia="Times New Roman" w:hAnsi="Times New Roman" w:cs="Times New Roman"/>
          <w:sz w:val="24"/>
          <w:szCs w:val="24"/>
          <w:lang w:eastAsia="lv-LV"/>
        </w:rPr>
      </w:pPr>
    </w:p>
    <w:p w:rsidR="00881869" w:rsidRPr="00E915BB" w:rsidRDefault="00881869" w:rsidP="002C5318">
      <w:pPr>
        <w:spacing w:before="100" w:beforeAutospacing="1" w:after="100" w:afterAutospacing="1"/>
        <w:rPr>
          <w:rFonts w:ascii="Times New Roman" w:eastAsia="Times New Roman" w:hAnsi="Times New Roman" w:cs="Times New Roman"/>
          <w:sz w:val="24"/>
          <w:szCs w:val="24"/>
          <w:lang w:eastAsia="lv-LV"/>
        </w:rPr>
      </w:pPr>
    </w:p>
    <w:tbl>
      <w:tblPr>
        <w:tblW w:w="591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
        <w:gridCol w:w="4055"/>
        <w:gridCol w:w="5474"/>
      </w:tblGrid>
      <w:tr w:rsidR="00E915BB" w:rsidRPr="00E915BB" w:rsidTr="00797869">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797869">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E915BB" w:rsidRPr="00E915BB" w:rsidTr="00797869">
        <w:trPr>
          <w:trHeight w:val="42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RDefault="006A2935"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Centrālā statistikas pārvalde, visas ministrijas un citas valsts institūcijas</w:t>
            </w:r>
          </w:p>
        </w:tc>
      </w:tr>
      <w:tr w:rsidR="00E915BB" w:rsidRPr="00E915BB" w:rsidTr="00797869">
        <w:trPr>
          <w:trHeight w:val="45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RDefault="002C5318" w:rsidP="006A2935">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izpildes ietekme uz pārvaldes funkcijām un institucionālo strukt</w:t>
            </w:r>
            <w:r w:rsidR="006A2935" w:rsidRPr="00E915BB">
              <w:rPr>
                <w:rFonts w:ascii="Times New Roman" w:eastAsia="Times New Roman" w:hAnsi="Times New Roman" w:cs="Times New Roman"/>
                <w:sz w:val="24"/>
                <w:szCs w:val="24"/>
                <w:lang w:eastAsia="lv-LV"/>
              </w:rPr>
              <w:t xml:space="preserve">ūru. </w:t>
            </w:r>
            <w:r w:rsidRPr="00E915B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RDefault="001E3C95" w:rsidP="00A657A1">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MK noteikumu projekts nemaina Centrālās statistikas pārvaldes, ministriju un citu valsts institūciju kompetenci un funkcijas.</w:t>
            </w:r>
            <w:r w:rsidRPr="00E915BB">
              <w:rPr>
                <w:rFonts w:ascii="Times New Roman" w:hAnsi="Times New Roman" w:cs="Times New Roman"/>
              </w:rPr>
              <w:t xml:space="preserve"> </w:t>
            </w:r>
            <w:r w:rsidRPr="00E915BB">
              <w:rPr>
                <w:rFonts w:ascii="Times New Roman" w:eastAsia="Times New Roman" w:hAnsi="Times New Roman" w:cs="Times New Roman"/>
                <w:sz w:val="24"/>
                <w:szCs w:val="24"/>
                <w:lang w:eastAsia="lv-LV"/>
              </w:rPr>
              <w:t xml:space="preserve">MK noteikuma projekta izpildei Pārvaldei un citām institūcijām nav nepieciešamas jaunas amata vietas. </w:t>
            </w:r>
          </w:p>
        </w:tc>
      </w:tr>
      <w:tr w:rsidR="00E915BB" w:rsidRPr="00E915BB" w:rsidTr="00797869">
        <w:trPr>
          <w:trHeight w:val="39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RDefault="006A2935"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6A2935" w:rsidRPr="00E915BB" w:rsidRDefault="00A13DD6" w:rsidP="006A2935">
      <w:pPr>
        <w:jc w:val="both"/>
        <w:rPr>
          <w:rFonts w:ascii="Times New Roman" w:eastAsia="Times New Roman" w:hAnsi="Times New Roman" w:cs="Times New Roman"/>
          <w:sz w:val="28"/>
          <w:szCs w:val="28"/>
          <w:lang w:eastAsia="lv-LV"/>
        </w:rPr>
      </w:pPr>
      <w:r w:rsidRPr="00E915BB">
        <w:rPr>
          <w:rFonts w:ascii="Times New Roman" w:eastAsia="Times New Roman" w:hAnsi="Times New Roman" w:cs="Times New Roman"/>
          <w:sz w:val="28"/>
          <w:szCs w:val="28"/>
          <w:lang w:eastAsia="lv-LV"/>
        </w:rPr>
        <w:t xml:space="preserve">Anotācijas III un </w:t>
      </w:r>
      <w:r w:rsidR="006A2935" w:rsidRPr="00E915BB">
        <w:rPr>
          <w:rFonts w:ascii="Times New Roman" w:eastAsia="Times New Roman" w:hAnsi="Times New Roman" w:cs="Times New Roman"/>
          <w:sz w:val="28"/>
          <w:szCs w:val="28"/>
          <w:lang w:eastAsia="lv-LV"/>
        </w:rPr>
        <w:t>IV sadaļa – projekts šīs jomas neskar.</w:t>
      </w:r>
    </w:p>
    <w:p w:rsidR="00DD02E9" w:rsidRPr="00E915BB" w:rsidRDefault="00DD02E9" w:rsidP="006A2935">
      <w:pPr>
        <w:jc w:val="both"/>
        <w:rPr>
          <w:rFonts w:ascii="Times New Roman" w:eastAsia="Times New Roman" w:hAnsi="Times New Roman" w:cs="Times New Roman"/>
          <w:sz w:val="28"/>
          <w:szCs w:val="28"/>
          <w:lang w:eastAsia="lv-LV"/>
        </w:rPr>
      </w:pPr>
    </w:p>
    <w:p w:rsidR="00DD02E9" w:rsidRPr="00E915BB" w:rsidRDefault="00DD02E9" w:rsidP="006A2935">
      <w:pPr>
        <w:jc w:val="both"/>
        <w:rPr>
          <w:rFonts w:ascii="Times New Roman" w:eastAsia="Times New Roman" w:hAnsi="Times New Roman" w:cs="Times New Roman"/>
          <w:sz w:val="28"/>
          <w:szCs w:val="28"/>
          <w:lang w:eastAsia="lv-LV"/>
        </w:rPr>
      </w:pPr>
    </w:p>
    <w:p w:rsidR="00DD02E9" w:rsidRPr="00E915BB" w:rsidRDefault="00DD02E9" w:rsidP="006A2935">
      <w:pPr>
        <w:jc w:val="both"/>
        <w:rPr>
          <w:rFonts w:ascii="Times New Roman" w:eastAsia="Times New Roman" w:hAnsi="Times New Roman" w:cs="Times New Roman"/>
          <w:sz w:val="28"/>
          <w:szCs w:val="28"/>
          <w:lang w:eastAsia="lv-LV"/>
        </w:rPr>
      </w:pPr>
    </w:p>
    <w:p w:rsidR="006A2935" w:rsidRPr="00E915BB" w:rsidRDefault="006A2935" w:rsidP="006A2935">
      <w:pPr>
        <w:jc w:val="both"/>
        <w:rPr>
          <w:rFonts w:ascii="Times New Roman" w:eastAsia="Times New Roman" w:hAnsi="Times New Roman" w:cs="Times New Roman"/>
          <w:sz w:val="28"/>
          <w:szCs w:val="28"/>
          <w:lang w:eastAsia="lv-LV"/>
        </w:rPr>
      </w:pPr>
    </w:p>
    <w:p w:rsidR="006A2935" w:rsidRPr="00E915BB" w:rsidRDefault="006E0FE4" w:rsidP="006A2935">
      <w:pPr>
        <w:jc w:val="both"/>
        <w:rPr>
          <w:rFonts w:ascii="Times New Roman" w:eastAsia="Times New Roman" w:hAnsi="Times New Roman" w:cs="Times New Roman"/>
          <w:sz w:val="28"/>
          <w:szCs w:val="28"/>
          <w:lang w:eastAsia="lv-LV"/>
        </w:rPr>
      </w:pPr>
      <w:r w:rsidRPr="00E915BB">
        <w:rPr>
          <w:rFonts w:ascii="Times New Roman" w:eastAsia="Times New Roman" w:hAnsi="Times New Roman" w:cs="Times New Roman"/>
          <w:sz w:val="28"/>
          <w:szCs w:val="28"/>
          <w:lang w:eastAsia="lv-LV"/>
        </w:rPr>
        <w:t>Ekonomikas ministre</w:t>
      </w:r>
      <w:r w:rsidR="006A2935"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Pr="00E915BB">
        <w:rPr>
          <w:rFonts w:ascii="Times New Roman" w:eastAsia="Times New Roman" w:hAnsi="Times New Roman" w:cs="Times New Roman"/>
          <w:sz w:val="28"/>
          <w:szCs w:val="28"/>
          <w:lang w:eastAsia="lv-LV"/>
        </w:rPr>
        <w:t xml:space="preserve">  </w:t>
      </w:r>
      <w:r w:rsidRPr="00E915BB">
        <w:rPr>
          <w:rFonts w:ascii="Times New Roman" w:hAnsi="Times New Roman" w:cs="Times New Roman"/>
          <w:sz w:val="28"/>
          <w:szCs w:val="28"/>
        </w:rPr>
        <w:t>D. Reizniece-Ozola</w:t>
      </w:r>
    </w:p>
    <w:p w:rsidR="006A2935" w:rsidRPr="00E915BB" w:rsidRDefault="006A2935" w:rsidP="006A2935">
      <w:pPr>
        <w:jc w:val="both"/>
        <w:rPr>
          <w:rFonts w:ascii="Times New Roman" w:eastAsia="Times New Roman" w:hAnsi="Times New Roman" w:cs="Times New Roman"/>
          <w:sz w:val="28"/>
          <w:szCs w:val="28"/>
          <w:lang w:eastAsia="lv-LV"/>
        </w:rPr>
      </w:pPr>
    </w:p>
    <w:p w:rsidR="006A2935" w:rsidRPr="00E915BB" w:rsidRDefault="006A2935" w:rsidP="006A2935">
      <w:pPr>
        <w:jc w:val="both"/>
        <w:rPr>
          <w:rFonts w:ascii="Times New Roman" w:eastAsia="Times New Roman" w:hAnsi="Times New Roman" w:cs="Times New Roman"/>
          <w:sz w:val="28"/>
          <w:szCs w:val="28"/>
          <w:lang w:eastAsia="lv-LV"/>
        </w:rPr>
      </w:pPr>
      <w:r w:rsidRPr="00E915BB">
        <w:rPr>
          <w:rFonts w:ascii="Times New Roman" w:eastAsia="Times New Roman" w:hAnsi="Times New Roman" w:cs="Times New Roman"/>
          <w:sz w:val="28"/>
          <w:szCs w:val="28"/>
          <w:lang w:eastAsia="lv-LV"/>
        </w:rPr>
        <w:t>Vīza: Valsts sekretārs</w:t>
      </w:r>
      <w:r w:rsidRPr="00E915BB">
        <w:rPr>
          <w:rFonts w:ascii="Times New Roman" w:eastAsia="Times New Roman" w:hAnsi="Times New Roman" w:cs="Times New Roman"/>
          <w:sz w:val="28"/>
          <w:szCs w:val="28"/>
          <w:lang w:eastAsia="lv-LV"/>
        </w:rPr>
        <w:tab/>
      </w:r>
      <w:r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t xml:space="preserve">  </w:t>
      </w:r>
      <w:r w:rsidR="006E0FE4" w:rsidRPr="00E915BB">
        <w:rPr>
          <w:rFonts w:ascii="Times New Roman" w:hAnsi="Times New Roman" w:cs="Times New Roman"/>
          <w:sz w:val="28"/>
          <w:szCs w:val="28"/>
        </w:rPr>
        <w:t>R. Beinarovičs</w:t>
      </w:r>
    </w:p>
    <w:p w:rsidR="006A2935" w:rsidRPr="00E915BB" w:rsidRDefault="006A2935" w:rsidP="006A2935">
      <w:pPr>
        <w:rPr>
          <w:rFonts w:ascii="Times New Roman" w:eastAsia="Times New Roman" w:hAnsi="Times New Roman" w:cs="Times New Roman"/>
          <w:sz w:val="28"/>
          <w:szCs w:val="28"/>
          <w:lang w:eastAsia="lv-LV"/>
        </w:rPr>
      </w:pPr>
    </w:p>
    <w:p w:rsidR="006A2935" w:rsidRPr="00E915BB" w:rsidRDefault="006A2935" w:rsidP="006A2935">
      <w:pPr>
        <w:rPr>
          <w:rFonts w:ascii="Times New Roman" w:eastAsia="Times New Roman" w:hAnsi="Times New Roman" w:cs="Times New Roman"/>
          <w:sz w:val="28"/>
          <w:szCs w:val="28"/>
          <w:lang w:eastAsia="lv-LV"/>
        </w:rPr>
      </w:pPr>
    </w:p>
    <w:p w:rsidR="00A04AF9" w:rsidRPr="00E915BB" w:rsidRDefault="00BB2E27" w:rsidP="000E44AB">
      <w:pPr>
        <w:tabs>
          <w:tab w:val="right" w:pos="8306"/>
        </w:tabs>
        <w:rPr>
          <w:rFonts w:ascii="Times New Roman" w:hAnsi="Times New Roman" w:cs="Times New Roman"/>
          <w:sz w:val="20"/>
          <w:szCs w:val="20"/>
        </w:rPr>
      </w:pPr>
      <w:r w:rsidRPr="00E915BB">
        <w:rPr>
          <w:rFonts w:ascii="Times New Roman" w:hAnsi="Times New Roman" w:cs="Times New Roman"/>
          <w:sz w:val="20"/>
          <w:szCs w:val="20"/>
        </w:rPr>
        <w:t>19.11</w:t>
      </w:r>
      <w:r w:rsidR="000E44AB" w:rsidRPr="00E915BB">
        <w:rPr>
          <w:rFonts w:ascii="Times New Roman" w:hAnsi="Times New Roman" w:cs="Times New Roman"/>
          <w:sz w:val="20"/>
          <w:szCs w:val="20"/>
        </w:rPr>
        <w:t>.2015</w:t>
      </w:r>
      <w:r w:rsidR="00DD02E9" w:rsidRPr="00E915BB">
        <w:rPr>
          <w:rFonts w:ascii="Times New Roman" w:hAnsi="Times New Roman" w:cs="Times New Roman"/>
          <w:sz w:val="20"/>
          <w:szCs w:val="20"/>
        </w:rPr>
        <w:t>.</w:t>
      </w:r>
    </w:p>
    <w:p w:rsidR="000E44AB" w:rsidRPr="00E915BB" w:rsidRDefault="00A04AF9" w:rsidP="000E44AB">
      <w:pPr>
        <w:tabs>
          <w:tab w:val="right" w:pos="8306"/>
        </w:tabs>
        <w:rPr>
          <w:rFonts w:ascii="Times New Roman" w:hAnsi="Times New Roman" w:cs="Times New Roman"/>
          <w:sz w:val="20"/>
          <w:szCs w:val="20"/>
        </w:rPr>
      </w:pPr>
      <w:r w:rsidRPr="00E915BB">
        <w:rPr>
          <w:rFonts w:ascii="Times New Roman" w:hAnsi="Times New Roman" w:cs="Times New Roman"/>
          <w:sz w:val="20"/>
          <w:szCs w:val="20"/>
        </w:rPr>
        <w:fldChar w:fldCharType="begin"/>
      </w:r>
      <w:r w:rsidRPr="00E915BB">
        <w:rPr>
          <w:rFonts w:ascii="Times New Roman" w:hAnsi="Times New Roman" w:cs="Times New Roman"/>
          <w:sz w:val="20"/>
          <w:szCs w:val="20"/>
        </w:rPr>
        <w:instrText xml:space="preserve"> NUMWORDS   \* MERGEFORMAT </w:instrText>
      </w:r>
      <w:r w:rsidRPr="00E915BB">
        <w:rPr>
          <w:rFonts w:ascii="Times New Roman" w:hAnsi="Times New Roman" w:cs="Times New Roman"/>
          <w:sz w:val="20"/>
          <w:szCs w:val="20"/>
        </w:rPr>
        <w:fldChar w:fldCharType="separate"/>
      </w:r>
      <w:r w:rsidR="0098222E">
        <w:rPr>
          <w:rFonts w:ascii="Times New Roman" w:hAnsi="Times New Roman" w:cs="Times New Roman"/>
          <w:noProof/>
          <w:sz w:val="20"/>
          <w:szCs w:val="20"/>
        </w:rPr>
        <w:t>12763</w:t>
      </w:r>
      <w:r w:rsidRPr="00E915BB">
        <w:rPr>
          <w:rFonts w:ascii="Times New Roman" w:hAnsi="Times New Roman" w:cs="Times New Roman"/>
          <w:sz w:val="20"/>
          <w:szCs w:val="20"/>
        </w:rPr>
        <w:fldChar w:fldCharType="end"/>
      </w:r>
    </w:p>
    <w:p w:rsidR="000E44AB" w:rsidRPr="00E915BB" w:rsidRDefault="000E44AB" w:rsidP="000E44AB">
      <w:pPr>
        <w:rPr>
          <w:rFonts w:ascii="Times New Roman" w:hAnsi="Times New Roman" w:cs="Times New Roman"/>
          <w:sz w:val="20"/>
          <w:szCs w:val="20"/>
        </w:rPr>
      </w:pPr>
      <w:r w:rsidRPr="00E915BB">
        <w:rPr>
          <w:rFonts w:ascii="Times New Roman" w:hAnsi="Times New Roman" w:cs="Times New Roman"/>
          <w:sz w:val="20"/>
          <w:szCs w:val="20"/>
        </w:rPr>
        <w:t xml:space="preserve">A. </w:t>
      </w:r>
      <w:r w:rsidR="00BB2E27" w:rsidRPr="00E915BB">
        <w:rPr>
          <w:rFonts w:ascii="Times New Roman" w:hAnsi="Times New Roman" w:cs="Times New Roman"/>
          <w:sz w:val="20"/>
          <w:szCs w:val="20"/>
        </w:rPr>
        <w:t>Pētersons</w:t>
      </w:r>
    </w:p>
    <w:p w:rsidR="000E44AB" w:rsidRPr="00E915BB" w:rsidRDefault="00BB2E27" w:rsidP="000E44AB">
      <w:pPr>
        <w:rPr>
          <w:rFonts w:ascii="Times New Roman" w:hAnsi="Times New Roman" w:cs="Times New Roman"/>
          <w:sz w:val="20"/>
          <w:szCs w:val="20"/>
        </w:rPr>
      </w:pPr>
      <w:r w:rsidRPr="00E915BB">
        <w:rPr>
          <w:rFonts w:ascii="Times New Roman" w:hAnsi="Times New Roman" w:cs="Times New Roman"/>
          <w:sz w:val="20"/>
          <w:szCs w:val="20"/>
        </w:rPr>
        <w:t>67366619</w:t>
      </w:r>
      <w:r w:rsidR="000E44AB" w:rsidRPr="00E915BB">
        <w:rPr>
          <w:rFonts w:ascii="Times New Roman" w:hAnsi="Times New Roman" w:cs="Times New Roman"/>
          <w:sz w:val="20"/>
          <w:szCs w:val="20"/>
        </w:rPr>
        <w:t xml:space="preserve">, </w:t>
      </w:r>
    </w:p>
    <w:p w:rsidR="000E44AB" w:rsidRPr="00E915BB" w:rsidRDefault="00BB2E27" w:rsidP="000E44AB">
      <w:pPr>
        <w:rPr>
          <w:rFonts w:ascii="Times New Roman" w:hAnsi="Times New Roman" w:cs="Times New Roman"/>
          <w:sz w:val="20"/>
          <w:szCs w:val="20"/>
        </w:rPr>
      </w:pPr>
      <w:r w:rsidRPr="00E915BB">
        <w:rPr>
          <w:rFonts w:ascii="Times New Roman" w:hAnsi="Times New Roman" w:cs="Times New Roman"/>
          <w:sz w:val="20"/>
          <w:szCs w:val="20"/>
        </w:rPr>
        <w:t>Arturs.Petersons</w:t>
      </w:r>
      <w:r w:rsidR="000E44AB" w:rsidRPr="00E915BB">
        <w:rPr>
          <w:rFonts w:ascii="Times New Roman" w:hAnsi="Times New Roman" w:cs="Times New Roman"/>
          <w:sz w:val="20"/>
          <w:szCs w:val="20"/>
        </w:rPr>
        <w:t>@csb.gov.lv</w:t>
      </w:r>
    </w:p>
    <w:p w:rsidR="006A2935" w:rsidRPr="00E915BB" w:rsidRDefault="006A2935" w:rsidP="000E44AB">
      <w:pPr>
        <w:ind w:right="40"/>
        <w:jc w:val="both"/>
        <w:rPr>
          <w:rFonts w:ascii="Times New Roman" w:hAnsi="Times New Roman" w:cs="Times New Roman"/>
          <w:sz w:val="20"/>
          <w:szCs w:val="20"/>
        </w:rPr>
      </w:pPr>
    </w:p>
    <w:sectPr w:rsidR="006A2935" w:rsidRPr="00E915BB" w:rsidSect="005E0E09">
      <w:headerReference w:type="default" r:id="rId11"/>
      <w:footerReference w:type="default" r:id="rId12"/>
      <w:headerReference w:type="first" r:id="rId13"/>
      <w:footerReference w:type="first" r:id="rId14"/>
      <w:pgSz w:w="11906" w:h="16838"/>
      <w:pgMar w:top="1418" w:right="1797" w:bottom="1418"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B1" w:rsidRDefault="002257B1" w:rsidP="00744B0E">
      <w:r>
        <w:separator/>
      </w:r>
    </w:p>
  </w:endnote>
  <w:endnote w:type="continuationSeparator" w:id="0">
    <w:p w:rsidR="002257B1" w:rsidRDefault="002257B1" w:rsidP="0074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BF" w:rsidRPr="00735228" w:rsidRDefault="0098222E" w:rsidP="00735228">
    <w:pPr>
      <w:pStyle w:val="Footer"/>
      <w:tabs>
        <w:tab w:val="clear" w:pos="4513"/>
        <w:tab w:val="clear" w:pos="9026"/>
        <w:tab w:val="center" w:pos="4153"/>
      </w:tabs>
      <w:rPr>
        <w:rFonts w:ascii="Times New Roman" w:hAnsi="Times New Roman" w:cs="Times New Roman"/>
        <w:sz w:val="20"/>
        <w:szCs w:val="20"/>
      </w:rPr>
    </w:pPr>
    <w:fldSimple w:instr=" FILENAME   \* MERGEFORMAT ">
      <w:r w:rsidR="009B2AC1" w:rsidRPr="009B2AC1">
        <w:rPr>
          <w:rFonts w:ascii="Times New Roman" w:hAnsi="Times New Roman" w:cs="Times New Roman"/>
          <w:noProof/>
          <w:sz w:val="20"/>
          <w:szCs w:val="20"/>
        </w:rPr>
        <w:t>EMAnot_021215_statistika</w:t>
      </w:r>
    </w:fldSimple>
    <w:r w:rsidR="00F316BF" w:rsidRPr="00735228">
      <w:rPr>
        <w:rFonts w:ascii="Times New Roman" w:hAnsi="Times New Roman" w:cs="Times New Roman"/>
        <w:sz w:val="20"/>
        <w:szCs w:val="20"/>
      </w:rPr>
      <w:t xml:space="preserve">, </w:t>
    </w:r>
    <w:r w:rsidR="00F316BF">
      <w:rPr>
        <w:rFonts w:ascii="Times New Roman" w:hAnsi="Times New Roman" w:cs="Times New Roman"/>
        <w:sz w:val="20"/>
        <w:szCs w:val="20"/>
      </w:rPr>
      <w:t>Noteikumi par Valsts statistiskās informācijas programmu 2016. 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09" w:rsidRPr="00735228" w:rsidRDefault="005E0E09" w:rsidP="005E0E09">
    <w:pPr>
      <w:pStyle w:val="Footer"/>
      <w:tabs>
        <w:tab w:val="clear" w:pos="4513"/>
        <w:tab w:val="clear" w:pos="9026"/>
        <w:tab w:val="center" w:pos="4153"/>
      </w:tabs>
      <w:rPr>
        <w:rFonts w:ascii="Times New Roman" w:hAnsi="Times New Roman" w:cs="Times New Roman"/>
        <w:sz w:val="20"/>
        <w:szCs w:val="20"/>
      </w:rPr>
    </w:pPr>
    <w:fldSimple w:instr=" FILENAME   \* MERGEFORMAT ">
      <w:r w:rsidR="009B2AC1" w:rsidRPr="009B2AC1">
        <w:rPr>
          <w:rFonts w:ascii="Times New Roman" w:hAnsi="Times New Roman" w:cs="Times New Roman"/>
          <w:noProof/>
          <w:sz w:val="20"/>
          <w:szCs w:val="20"/>
        </w:rPr>
        <w:t>EMAnot_021215_statistika</w:t>
      </w:r>
    </w:fldSimple>
    <w:r w:rsidRPr="00735228">
      <w:rPr>
        <w:rFonts w:ascii="Times New Roman" w:hAnsi="Times New Roman" w:cs="Times New Roman"/>
        <w:sz w:val="20"/>
        <w:szCs w:val="20"/>
      </w:rPr>
      <w:t xml:space="preserve">, </w:t>
    </w:r>
    <w:r>
      <w:rPr>
        <w:rFonts w:ascii="Times New Roman" w:hAnsi="Times New Roman" w:cs="Times New Roman"/>
        <w:sz w:val="20"/>
        <w:szCs w:val="20"/>
      </w:rPr>
      <w:t>Noteikumi par Valsts statistiskās informācijas programmu 2016. gadam</w:t>
    </w:r>
  </w:p>
  <w:p w:rsidR="005E0E09" w:rsidRDefault="005E0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B1" w:rsidRDefault="002257B1" w:rsidP="00744B0E">
      <w:r>
        <w:separator/>
      </w:r>
    </w:p>
  </w:footnote>
  <w:footnote w:type="continuationSeparator" w:id="0">
    <w:p w:rsidR="002257B1" w:rsidRDefault="002257B1" w:rsidP="00744B0E">
      <w:r>
        <w:continuationSeparator/>
      </w:r>
    </w:p>
  </w:footnote>
  <w:footnote w:id="1">
    <w:p w:rsidR="00D177EA" w:rsidRPr="008C53DF" w:rsidRDefault="00D177EA" w:rsidP="00D177EA">
      <w:pPr>
        <w:pStyle w:val="FootnoteText"/>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 Regula (EK) Nr. 1165/2008 (2008. gada 19. novembris) par statistiku lauksaimniecības dzīvnieku un gaļas jomā, ar kuru atceļ Padomes Direktīvu Nr. 93/23/EEK, 93/24/EEK un 93/25/EEK </w:t>
      </w:r>
    </w:p>
  </w:footnote>
  <w:footnote w:id="2">
    <w:p w:rsidR="00D177EA" w:rsidRPr="008C53DF" w:rsidRDefault="00D177EA" w:rsidP="00D177EA">
      <w:pPr>
        <w:pStyle w:val="FootnoteText"/>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 Regula (EK) Nr. 543/2009 (2009. gada 18. jūnijs), kas attiecas uz statistiku par augkopības kultūrām un ar ko atceļ Padomes Regulas (EEK) Nr. 837/90 un (EEK) Nr. 959/93</w:t>
      </w:r>
    </w:p>
  </w:footnote>
  <w:footnote w:id="3">
    <w:p w:rsidR="00F316BF" w:rsidRPr="00744B0E" w:rsidRDefault="00F316BF">
      <w:pPr>
        <w:pStyle w:val="FootnoteText"/>
        <w:rPr>
          <w:rFonts w:ascii="Times New Roman" w:hAnsi="Times New Roman" w:cs="Times New Roman"/>
        </w:rPr>
      </w:pPr>
      <w:r w:rsidRPr="00744B0E">
        <w:rPr>
          <w:rStyle w:val="FootnoteReference"/>
          <w:rFonts w:ascii="Times New Roman" w:hAnsi="Times New Roman" w:cs="Times New Roman"/>
        </w:rPr>
        <w:footnoteRef/>
      </w:r>
      <w:r w:rsidRPr="00744B0E">
        <w:rPr>
          <w:rFonts w:ascii="Times New Roman" w:hAnsi="Times New Roman" w:cs="Times New Roman"/>
        </w:rPr>
        <w:t xml:space="preserve"> </w:t>
      </w:r>
      <w:r>
        <w:rPr>
          <w:rFonts w:ascii="Times New Roman" w:hAnsi="Times New Roman" w:cs="Times New Roman"/>
        </w:rPr>
        <w:t>0.05 EUR (vienas papīra lapas izmaksas) × 7 (izmantoto lapu skaits) + 0.06 EUR (aploksnes cena) + 1.55 EUR (ierakstītas vēstules izmaksas)</w:t>
      </w:r>
    </w:p>
  </w:footnote>
  <w:footnote w:id="4">
    <w:p w:rsidR="00F316BF" w:rsidRPr="00D8093F" w:rsidRDefault="00F316BF">
      <w:pPr>
        <w:pStyle w:val="FootnoteText"/>
        <w:rPr>
          <w:rFonts w:ascii="Times New Roman" w:hAnsi="Times New Roman" w:cs="Times New Roman"/>
        </w:rPr>
      </w:pPr>
      <w:r>
        <w:rPr>
          <w:rStyle w:val="FootnoteReference"/>
        </w:rPr>
        <w:footnoteRef/>
      </w:r>
      <w:r>
        <w:t xml:space="preserve"> </w:t>
      </w:r>
      <w:r w:rsidRPr="00D8093F">
        <w:rPr>
          <w:rFonts w:ascii="Times New Roman" w:hAnsi="Times New Roman" w:cs="Times New Roman"/>
        </w:rPr>
        <w:t>elektroniskās datubāzes „Latvijas digitālā kultūras karte” uzturētājs</w:t>
      </w:r>
    </w:p>
  </w:footnote>
  <w:footnote w:id="5">
    <w:p w:rsidR="00F316BF" w:rsidRPr="00992E49" w:rsidRDefault="00F316BF">
      <w:pPr>
        <w:pStyle w:val="FootnoteText"/>
        <w:rPr>
          <w:rFonts w:ascii="Times New Roman" w:hAnsi="Times New Roman" w:cs="Times New Roman"/>
        </w:rPr>
      </w:pPr>
      <w:r w:rsidRPr="00C32F46">
        <w:rPr>
          <w:rStyle w:val="FootnoteReference"/>
          <w:rFonts w:ascii="Times New Roman" w:hAnsi="Times New Roman" w:cs="Times New Roman"/>
        </w:rPr>
        <w:footnoteRef/>
      </w:r>
      <w:r w:rsidRPr="00C32F46">
        <w:rPr>
          <w:rFonts w:ascii="Times New Roman" w:hAnsi="Times New Roman" w:cs="Times New Roman"/>
        </w:rPr>
        <w:t xml:space="preserve"> </w:t>
      </w:r>
      <w:r>
        <w:rPr>
          <w:rFonts w:ascii="Times New Roman" w:hAnsi="Times New Roman" w:cs="Times New Roman"/>
        </w:rPr>
        <w:t>par valsts statistikas sagatavošanu atbildīgā institūcija norāda, ka administratīvās izmaksas nerodas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16290"/>
      <w:docPartObj>
        <w:docPartGallery w:val="Page Numbers (Top of Page)"/>
        <w:docPartUnique/>
      </w:docPartObj>
    </w:sdtPr>
    <w:sdtEndPr>
      <w:rPr>
        <w:noProof/>
      </w:rPr>
    </w:sdtEndPr>
    <w:sdtContent>
      <w:p w:rsidR="00F316BF" w:rsidRDefault="00F316BF">
        <w:pPr>
          <w:pStyle w:val="Header"/>
          <w:jc w:val="center"/>
        </w:pPr>
        <w:r>
          <w:fldChar w:fldCharType="begin"/>
        </w:r>
        <w:r>
          <w:instrText xml:space="preserve"> PAGE   \* MERGEFORMAT </w:instrText>
        </w:r>
        <w:r>
          <w:fldChar w:fldCharType="separate"/>
        </w:r>
        <w:r w:rsidR="009B2AC1">
          <w:rPr>
            <w:noProof/>
          </w:rPr>
          <w:t>2</w:t>
        </w:r>
        <w:r>
          <w:rPr>
            <w:noProof/>
          </w:rPr>
          <w:fldChar w:fldCharType="end"/>
        </w:r>
      </w:p>
    </w:sdtContent>
  </w:sdt>
  <w:p w:rsidR="00F316BF" w:rsidRDefault="00F31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BF" w:rsidRPr="00735228" w:rsidRDefault="00F316BF" w:rsidP="00735228">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3B6"/>
    <w:multiLevelType w:val="hybridMultilevel"/>
    <w:tmpl w:val="8DF09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823809"/>
    <w:multiLevelType w:val="hybridMultilevel"/>
    <w:tmpl w:val="CE9E2D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AF841A1"/>
    <w:multiLevelType w:val="hybridMultilevel"/>
    <w:tmpl w:val="E544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92E76"/>
    <w:multiLevelType w:val="hybridMultilevel"/>
    <w:tmpl w:val="D43A5F6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F80F6F"/>
    <w:multiLevelType w:val="hybridMultilevel"/>
    <w:tmpl w:val="7F8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D46BE"/>
    <w:multiLevelType w:val="hybridMultilevel"/>
    <w:tmpl w:val="37EC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5C2338"/>
    <w:multiLevelType w:val="hybridMultilevel"/>
    <w:tmpl w:val="8BBC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546E2"/>
    <w:multiLevelType w:val="hybridMultilevel"/>
    <w:tmpl w:val="A42E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53911"/>
    <w:multiLevelType w:val="hybridMultilevel"/>
    <w:tmpl w:val="40B2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D0C5C"/>
    <w:multiLevelType w:val="hybridMultilevel"/>
    <w:tmpl w:val="14BE05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6353F1"/>
    <w:multiLevelType w:val="hybridMultilevel"/>
    <w:tmpl w:val="F8CC2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5"/>
  </w:num>
  <w:num w:numId="8">
    <w:abstractNumId w:val="10"/>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02"/>
    <w:rsid w:val="00023985"/>
    <w:rsid w:val="00027C9B"/>
    <w:rsid w:val="00031FD4"/>
    <w:rsid w:val="00042772"/>
    <w:rsid w:val="00050775"/>
    <w:rsid w:val="0005097A"/>
    <w:rsid w:val="00057585"/>
    <w:rsid w:val="00062BD4"/>
    <w:rsid w:val="000822CD"/>
    <w:rsid w:val="00087D6C"/>
    <w:rsid w:val="00090625"/>
    <w:rsid w:val="000920DB"/>
    <w:rsid w:val="00097E88"/>
    <w:rsid w:val="000A1FCA"/>
    <w:rsid w:val="000C2DA1"/>
    <w:rsid w:val="000C4A9E"/>
    <w:rsid w:val="000E0358"/>
    <w:rsid w:val="000E1F56"/>
    <w:rsid w:val="000E3370"/>
    <w:rsid w:val="000E3721"/>
    <w:rsid w:val="000E44AB"/>
    <w:rsid w:val="00105F89"/>
    <w:rsid w:val="00106102"/>
    <w:rsid w:val="00124AAB"/>
    <w:rsid w:val="00125242"/>
    <w:rsid w:val="00134B4E"/>
    <w:rsid w:val="00140CD1"/>
    <w:rsid w:val="00140E93"/>
    <w:rsid w:val="00144D58"/>
    <w:rsid w:val="001562DD"/>
    <w:rsid w:val="00160954"/>
    <w:rsid w:val="0016392F"/>
    <w:rsid w:val="00165AA7"/>
    <w:rsid w:val="00184989"/>
    <w:rsid w:val="0018778C"/>
    <w:rsid w:val="001919F3"/>
    <w:rsid w:val="00197490"/>
    <w:rsid w:val="001A02D7"/>
    <w:rsid w:val="001C5DD0"/>
    <w:rsid w:val="001E1666"/>
    <w:rsid w:val="001E3C95"/>
    <w:rsid w:val="001E6C6A"/>
    <w:rsid w:val="001E77AB"/>
    <w:rsid w:val="001F19C7"/>
    <w:rsid w:val="001F7CFC"/>
    <w:rsid w:val="0020176F"/>
    <w:rsid w:val="00210BC4"/>
    <w:rsid w:val="00213AED"/>
    <w:rsid w:val="00216974"/>
    <w:rsid w:val="002221D7"/>
    <w:rsid w:val="00225484"/>
    <w:rsid w:val="002257B1"/>
    <w:rsid w:val="00231134"/>
    <w:rsid w:val="00240213"/>
    <w:rsid w:val="00241F64"/>
    <w:rsid w:val="002564E6"/>
    <w:rsid w:val="002601ED"/>
    <w:rsid w:val="00262EC2"/>
    <w:rsid w:val="0027244B"/>
    <w:rsid w:val="0027665A"/>
    <w:rsid w:val="002A0820"/>
    <w:rsid w:val="002A1776"/>
    <w:rsid w:val="002A45B5"/>
    <w:rsid w:val="002B3FEE"/>
    <w:rsid w:val="002B4CB9"/>
    <w:rsid w:val="002C25FE"/>
    <w:rsid w:val="002C5318"/>
    <w:rsid w:val="002F799F"/>
    <w:rsid w:val="003145DD"/>
    <w:rsid w:val="00336410"/>
    <w:rsid w:val="003376B4"/>
    <w:rsid w:val="0034234E"/>
    <w:rsid w:val="00363B8E"/>
    <w:rsid w:val="00365BAC"/>
    <w:rsid w:val="0037623A"/>
    <w:rsid w:val="00396DDA"/>
    <w:rsid w:val="003A49B5"/>
    <w:rsid w:val="003A78C7"/>
    <w:rsid w:val="003B28B0"/>
    <w:rsid w:val="003B7462"/>
    <w:rsid w:val="003C0181"/>
    <w:rsid w:val="003C5E7E"/>
    <w:rsid w:val="003C5F21"/>
    <w:rsid w:val="003D662F"/>
    <w:rsid w:val="003E1E37"/>
    <w:rsid w:val="003F0992"/>
    <w:rsid w:val="00411A6A"/>
    <w:rsid w:val="00421A3E"/>
    <w:rsid w:val="00421ACA"/>
    <w:rsid w:val="004246CC"/>
    <w:rsid w:val="004266F4"/>
    <w:rsid w:val="00433229"/>
    <w:rsid w:val="004358E7"/>
    <w:rsid w:val="004369A8"/>
    <w:rsid w:val="004372F5"/>
    <w:rsid w:val="00441D7B"/>
    <w:rsid w:val="0044205E"/>
    <w:rsid w:val="004470E0"/>
    <w:rsid w:val="004571DB"/>
    <w:rsid w:val="004675C2"/>
    <w:rsid w:val="00480EC5"/>
    <w:rsid w:val="004855EE"/>
    <w:rsid w:val="004A593A"/>
    <w:rsid w:val="004A7C93"/>
    <w:rsid w:val="004B7108"/>
    <w:rsid w:val="004C1EF4"/>
    <w:rsid w:val="004C262D"/>
    <w:rsid w:val="004E4D7D"/>
    <w:rsid w:val="004F0C92"/>
    <w:rsid w:val="004F119C"/>
    <w:rsid w:val="005109D7"/>
    <w:rsid w:val="00521B4E"/>
    <w:rsid w:val="00524F38"/>
    <w:rsid w:val="00532A1B"/>
    <w:rsid w:val="00543585"/>
    <w:rsid w:val="00550BA4"/>
    <w:rsid w:val="00567653"/>
    <w:rsid w:val="00570961"/>
    <w:rsid w:val="00577717"/>
    <w:rsid w:val="005911A4"/>
    <w:rsid w:val="0059442E"/>
    <w:rsid w:val="005A0D20"/>
    <w:rsid w:val="005A1665"/>
    <w:rsid w:val="005A174A"/>
    <w:rsid w:val="005A1BCE"/>
    <w:rsid w:val="005A1FCE"/>
    <w:rsid w:val="005A57E8"/>
    <w:rsid w:val="005A731F"/>
    <w:rsid w:val="005A74C2"/>
    <w:rsid w:val="005B5121"/>
    <w:rsid w:val="005C2E52"/>
    <w:rsid w:val="005C6C89"/>
    <w:rsid w:val="005D7F32"/>
    <w:rsid w:val="005E0E09"/>
    <w:rsid w:val="005E2211"/>
    <w:rsid w:val="005E6ED8"/>
    <w:rsid w:val="005F61BE"/>
    <w:rsid w:val="00604CF7"/>
    <w:rsid w:val="00606E97"/>
    <w:rsid w:val="00613DBC"/>
    <w:rsid w:val="00621065"/>
    <w:rsid w:val="00655686"/>
    <w:rsid w:val="00657B03"/>
    <w:rsid w:val="00663793"/>
    <w:rsid w:val="00680A4A"/>
    <w:rsid w:val="00687541"/>
    <w:rsid w:val="0069013D"/>
    <w:rsid w:val="00696A96"/>
    <w:rsid w:val="006A2935"/>
    <w:rsid w:val="006B11A0"/>
    <w:rsid w:val="006B3609"/>
    <w:rsid w:val="006B423D"/>
    <w:rsid w:val="006B5532"/>
    <w:rsid w:val="006B71B8"/>
    <w:rsid w:val="006D2FE8"/>
    <w:rsid w:val="006D7D4E"/>
    <w:rsid w:val="006E0FE4"/>
    <w:rsid w:val="006E6B37"/>
    <w:rsid w:val="006E7512"/>
    <w:rsid w:val="006F06FB"/>
    <w:rsid w:val="006F4C47"/>
    <w:rsid w:val="00700EFE"/>
    <w:rsid w:val="00711D62"/>
    <w:rsid w:val="00713220"/>
    <w:rsid w:val="0072613C"/>
    <w:rsid w:val="00733CA4"/>
    <w:rsid w:val="00735228"/>
    <w:rsid w:val="0074120C"/>
    <w:rsid w:val="00744B0E"/>
    <w:rsid w:val="0075044B"/>
    <w:rsid w:val="007532A2"/>
    <w:rsid w:val="007623ED"/>
    <w:rsid w:val="00765FFD"/>
    <w:rsid w:val="00772E69"/>
    <w:rsid w:val="00782A1A"/>
    <w:rsid w:val="00786CDF"/>
    <w:rsid w:val="00795843"/>
    <w:rsid w:val="00797869"/>
    <w:rsid w:val="00797E38"/>
    <w:rsid w:val="007A7AC0"/>
    <w:rsid w:val="007B2788"/>
    <w:rsid w:val="007C66E7"/>
    <w:rsid w:val="007C7909"/>
    <w:rsid w:val="007D1A85"/>
    <w:rsid w:val="007D4896"/>
    <w:rsid w:val="007E341E"/>
    <w:rsid w:val="008069C2"/>
    <w:rsid w:val="00811291"/>
    <w:rsid w:val="00820B88"/>
    <w:rsid w:val="00825AD7"/>
    <w:rsid w:val="00827901"/>
    <w:rsid w:val="0083166E"/>
    <w:rsid w:val="00834BAD"/>
    <w:rsid w:val="008351D0"/>
    <w:rsid w:val="00850DD1"/>
    <w:rsid w:val="00853894"/>
    <w:rsid w:val="00857385"/>
    <w:rsid w:val="00860550"/>
    <w:rsid w:val="00862705"/>
    <w:rsid w:val="0086705A"/>
    <w:rsid w:val="00872B66"/>
    <w:rsid w:val="008739DF"/>
    <w:rsid w:val="00873F27"/>
    <w:rsid w:val="00875038"/>
    <w:rsid w:val="008774EB"/>
    <w:rsid w:val="008815DD"/>
    <w:rsid w:val="00881869"/>
    <w:rsid w:val="008844DF"/>
    <w:rsid w:val="008930DD"/>
    <w:rsid w:val="00894202"/>
    <w:rsid w:val="008943AD"/>
    <w:rsid w:val="008A2F4B"/>
    <w:rsid w:val="008B1476"/>
    <w:rsid w:val="008B4122"/>
    <w:rsid w:val="008B42B7"/>
    <w:rsid w:val="008C30C4"/>
    <w:rsid w:val="008C3509"/>
    <w:rsid w:val="008E1D01"/>
    <w:rsid w:val="008E4271"/>
    <w:rsid w:val="008E4B5D"/>
    <w:rsid w:val="008E65F3"/>
    <w:rsid w:val="008F4422"/>
    <w:rsid w:val="008F4E1C"/>
    <w:rsid w:val="0090119B"/>
    <w:rsid w:val="00901A72"/>
    <w:rsid w:val="00905E96"/>
    <w:rsid w:val="0091346F"/>
    <w:rsid w:val="00917B58"/>
    <w:rsid w:val="00930560"/>
    <w:rsid w:val="0095426A"/>
    <w:rsid w:val="00954D19"/>
    <w:rsid w:val="009728D0"/>
    <w:rsid w:val="0098222E"/>
    <w:rsid w:val="00984A36"/>
    <w:rsid w:val="00992E49"/>
    <w:rsid w:val="00994CCA"/>
    <w:rsid w:val="009A132E"/>
    <w:rsid w:val="009B104F"/>
    <w:rsid w:val="009B2AC1"/>
    <w:rsid w:val="009C0CB9"/>
    <w:rsid w:val="009C3E13"/>
    <w:rsid w:val="009D4FD9"/>
    <w:rsid w:val="009E1BAF"/>
    <w:rsid w:val="009E2662"/>
    <w:rsid w:val="009E2B0D"/>
    <w:rsid w:val="009E5E36"/>
    <w:rsid w:val="009E7A70"/>
    <w:rsid w:val="00A00D8B"/>
    <w:rsid w:val="00A04AF9"/>
    <w:rsid w:val="00A139B4"/>
    <w:rsid w:val="00A13DD6"/>
    <w:rsid w:val="00A159F9"/>
    <w:rsid w:val="00A219FA"/>
    <w:rsid w:val="00A22ED4"/>
    <w:rsid w:val="00A23C8A"/>
    <w:rsid w:val="00A262E9"/>
    <w:rsid w:val="00A34475"/>
    <w:rsid w:val="00A513AB"/>
    <w:rsid w:val="00A5178B"/>
    <w:rsid w:val="00A57407"/>
    <w:rsid w:val="00A64A20"/>
    <w:rsid w:val="00A657A1"/>
    <w:rsid w:val="00A712EB"/>
    <w:rsid w:val="00A71A51"/>
    <w:rsid w:val="00A725D5"/>
    <w:rsid w:val="00A731FA"/>
    <w:rsid w:val="00A74941"/>
    <w:rsid w:val="00A81009"/>
    <w:rsid w:val="00A859E7"/>
    <w:rsid w:val="00A875E8"/>
    <w:rsid w:val="00A92938"/>
    <w:rsid w:val="00A92D9A"/>
    <w:rsid w:val="00AA2A73"/>
    <w:rsid w:val="00AA2C76"/>
    <w:rsid w:val="00AB5570"/>
    <w:rsid w:val="00AC25F8"/>
    <w:rsid w:val="00AC6462"/>
    <w:rsid w:val="00AD4A7A"/>
    <w:rsid w:val="00AD6C34"/>
    <w:rsid w:val="00AE2E78"/>
    <w:rsid w:val="00AF2CC7"/>
    <w:rsid w:val="00B01A33"/>
    <w:rsid w:val="00B12245"/>
    <w:rsid w:val="00B17535"/>
    <w:rsid w:val="00B37379"/>
    <w:rsid w:val="00B51A59"/>
    <w:rsid w:val="00B52A26"/>
    <w:rsid w:val="00B604DE"/>
    <w:rsid w:val="00B704F3"/>
    <w:rsid w:val="00B759ED"/>
    <w:rsid w:val="00B80615"/>
    <w:rsid w:val="00B84C9D"/>
    <w:rsid w:val="00B87FA5"/>
    <w:rsid w:val="00B90954"/>
    <w:rsid w:val="00BA023D"/>
    <w:rsid w:val="00BA05E2"/>
    <w:rsid w:val="00BA4B29"/>
    <w:rsid w:val="00BA634A"/>
    <w:rsid w:val="00BB2E27"/>
    <w:rsid w:val="00BB2E49"/>
    <w:rsid w:val="00BB6BF7"/>
    <w:rsid w:val="00BC14DC"/>
    <w:rsid w:val="00BC4313"/>
    <w:rsid w:val="00BC5149"/>
    <w:rsid w:val="00BD4BC1"/>
    <w:rsid w:val="00BE1BD8"/>
    <w:rsid w:val="00BE7D1E"/>
    <w:rsid w:val="00BF1A41"/>
    <w:rsid w:val="00BF3429"/>
    <w:rsid w:val="00C16688"/>
    <w:rsid w:val="00C303FD"/>
    <w:rsid w:val="00C32F46"/>
    <w:rsid w:val="00C36C6F"/>
    <w:rsid w:val="00C4064A"/>
    <w:rsid w:val="00C431CF"/>
    <w:rsid w:val="00C56392"/>
    <w:rsid w:val="00C72BDD"/>
    <w:rsid w:val="00C80A43"/>
    <w:rsid w:val="00C84719"/>
    <w:rsid w:val="00C911F2"/>
    <w:rsid w:val="00C954AE"/>
    <w:rsid w:val="00CA765B"/>
    <w:rsid w:val="00CB4C5C"/>
    <w:rsid w:val="00CD0FA4"/>
    <w:rsid w:val="00CD5605"/>
    <w:rsid w:val="00CF6635"/>
    <w:rsid w:val="00D05EDA"/>
    <w:rsid w:val="00D0795E"/>
    <w:rsid w:val="00D115F2"/>
    <w:rsid w:val="00D15FC1"/>
    <w:rsid w:val="00D177EA"/>
    <w:rsid w:val="00D2462C"/>
    <w:rsid w:val="00D24A33"/>
    <w:rsid w:val="00D32C74"/>
    <w:rsid w:val="00D3712B"/>
    <w:rsid w:val="00D663C7"/>
    <w:rsid w:val="00D66D16"/>
    <w:rsid w:val="00D8093F"/>
    <w:rsid w:val="00D831E6"/>
    <w:rsid w:val="00D872E3"/>
    <w:rsid w:val="00D91D15"/>
    <w:rsid w:val="00D93D39"/>
    <w:rsid w:val="00D9404B"/>
    <w:rsid w:val="00D95FF7"/>
    <w:rsid w:val="00DA5255"/>
    <w:rsid w:val="00DC400F"/>
    <w:rsid w:val="00DC4BAF"/>
    <w:rsid w:val="00DD02E9"/>
    <w:rsid w:val="00DD27F7"/>
    <w:rsid w:val="00DD3133"/>
    <w:rsid w:val="00DE4FEC"/>
    <w:rsid w:val="00DE6C73"/>
    <w:rsid w:val="00DE6E1D"/>
    <w:rsid w:val="00DF1370"/>
    <w:rsid w:val="00E068D4"/>
    <w:rsid w:val="00E11266"/>
    <w:rsid w:val="00E13B5C"/>
    <w:rsid w:val="00E21E59"/>
    <w:rsid w:val="00E252A7"/>
    <w:rsid w:val="00E41BD7"/>
    <w:rsid w:val="00E4253A"/>
    <w:rsid w:val="00E4459C"/>
    <w:rsid w:val="00E50F9B"/>
    <w:rsid w:val="00E8134F"/>
    <w:rsid w:val="00E915BB"/>
    <w:rsid w:val="00E9658C"/>
    <w:rsid w:val="00EB16D6"/>
    <w:rsid w:val="00EB198B"/>
    <w:rsid w:val="00EB363C"/>
    <w:rsid w:val="00EE1264"/>
    <w:rsid w:val="00EF5D1C"/>
    <w:rsid w:val="00F0155A"/>
    <w:rsid w:val="00F067D5"/>
    <w:rsid w:val="00F1281A"/>
    <w:rsid w:val="00F14DD8"/>
    <w:rsid w:val="00F2676A"/>
    <w:rsid w:val="00F30729"/>
    <w:rsid w:val="00F316BF"/>
    <w:rsid w:val="00F31A25"/>
    <w:rsid w:val="00F4158C"/>
    <w:rsid w:val="00F43002"/>
    <w:rsid w:val="00F567EF"/>
    <w:rsid w:val="00F934C3"/>
    <w:rsid w:val="00FA5606"/>
    <w:rsid w:val="00FB0FEF"/>
    <w:rsid w:val="00FB2092"/>
    <w:rsid w:val="00FB64C1"/>
    <w:rsid w:val="00FC09B6"/>
    <w:rsid w:val="00FC1F9B"/>
    <w:rsid w:val="00FC2F88"/>
    <w:rsid w:val="00FC5AAA"/>
    <w:rsid w:val="00FD56E4"/>
    <w:rsid w:val="00FF269D"/>
    <w:rsid w:val="00FF3D7E"/>
    <w:rsid w:val="00FF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2E065-5AD7-4618-B44E-557DF7E9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semiHidden/>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semiHidden/>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3091">
      <w:bodyDiv w:val="1"/>
      <w:marLeft w:val="0"/>
      <w:marRight w:val="0"/>
      <w:marTop w:val="0"/>
      <w:marBottom w:val="0"/>
      <w:divBdr>
        <w:top w:val="none" w:sz="0" w:space="0" w:color="auto"/>
        <w:left w:val="none" w:sz="0" w:space="0" w:color="auto"/>
        <w:bottom w:val="none" w:sz="0" w:space="0" w:color="auto"/>
        <w:right w:val="none" w:sz="0" w:space="0" w:color="auto"/>
      </w:divBdr>
    </w:div>
    <w:div w:id="756251615">
      <w:bodyDiv w:val="1"/>
      <w:marLeft w:val="0"/>
      <w:marRight w:val="0"/>
      <w:marTop w:val="0"/>
      <w:marBottom w:val="0"/>
      <w:divBdr>
        <w:top w:val="none" w:sz="0" w:space="0" w:color="auto"/>
        <w:left w:val="none" w:sz="0" w:space="0" w:color="auto"/>
        <w:bottom w:val="none" w:sz="0" w:space="0" w:color="auto"/>
        <w:right w:val="none" w:sz="0" w:space="0" w:color="auto"/>
      </w:divBdr>
      <w:divsChild>
        <w:div w:id="632366804">
          <w:marLeft w:val="0"/>
          <w:marRight w:val="0"/>
          <w:marTop w:val="0"/>
          <w:marBottom w:val="0"/>
          <w:divBdr>
            <w:top w:val="none" w:sz="0" w:space="0" w:color="auto"/>
            <w:left w:val="none" w:sz="0" w:space="0" w:color="auto"/>
            <w:bottom w:val="none" w:sz="0" w:space="0" w:color="auto"/>
            <w:right w:val="none" w:sz="0" w:space="0" w:color="auto"/>
          </w:divBdr>
        </w:div>
        <w:div w:id="750542930">
          <w:marLeft w:val="0"/>
          <w:marRight w:val="0"/>
          <w:marTop w:val="0"/>
          <w:marBottom w:val="0"/>
          <w:divBdr>
            <w:top w:val="none" w:sz="0" w:space="0" w:color="auto"/>
            <w:left w:val="none" w:sz="0" w:space="0" w:color="auto"/>
            <w:bottom w:val="none" w:sz="0" w:space="0" w:color="auto"/>
            <w:right w:val="none" w:sz="0" w:space="0" w:color="auto"/>
          </w:divBdr>
        </w:div>
        <w:div w:id="1633749517">
          <w:marLeft w:val="0"/>
          <w:marRight w:val="0"/>
          <w:marTop w:val="0"/>
          <w:marBottom w:val="0"/>
          <w:divBdr>
            <w:top w:val="none" w:sz="0" w:space="0" w:color="auto"/>
            <w:left w:val="none" w:sz="0" w:space="0" w:color="auto"/>
            <w:bottom w:val="none" w:sz="0" w:space="0" w:color="auto"/>
            <w:right w:val="none" w:sz="0" w:space="0" w:color="auto"/>
          </w:divBdr>
        </w:div>
      </w:divsChild>
    </w:div>
    <w:div w:id="880627655">
      <w:bodyDiv w:val="1"/>
      <w:marLeft w:val="0"/>
      <w:marRight w:val="0"/>
      <w:marTop w:val="0"/>
      <w:marBottom w:val="0"/>
      <w:divBdr>
        <w:top w:val="none" w:sz="0" w:space="0" w:color="auto"/>
        <w:left w:val="none" w:sz="0" w:space="0" w:color="auto"/>
        <w:bottom w:val="none" w:sz="0" w:space="0" w:color="auto"/>
        <w:right w:val="none" w:sz="0" w:space="0" w:color="auto"/>
      </w:divBdr>
    </w:div>
    <w:div w:id="1221332903">
      <w:bodyDiv w:val="1"/>
      <w:marLeft w:val="0"/>
      <w:marRight w:val="0"/>
      <w:marTop w:val="0"/>
      <w:marBottom w:val="0"/>
      <w:divBdr>
        <w:top w:val="none" w:sz="0" w:space="0" w:color="auto"/>
        <w:left w:val="none" w:sz="0" w:space="0" w:color="auto"/>
        <w:bottom w:val="none" w:sz="0" w:space="0" w:color="auto"/>
        <w:right w:val="none" w:sz="0" w:space="0" w:color="auto"/>
      </w:divBdr>
      <w:divsChild>
        <w:div w:id="1804539013">
          <w:marLeft w:val="0"/>
          <w:marRight w:val="0"/>
          <w:marTop w:val="0"/>
          <w:marBottom w:val="0"/>
          <w:divBdr>
            <w:top w:val="none" w:sz="0" w:space="0" w:color="auto"/>
            <w:left w:val="none" w:sz="0" w:space="0" w:color="auto"/>
            <w:bottom w:val="none" w:sz="0" w:space="0" w:color="auto"/>
            <w:right w:val="none" w:sz="0" w:space="0" w:color="auto"/>
          </w:divBdr>
          <w:divsChild>
            <w:div w:id="1462453769">
              <w:marLeft w:val="0"/>
              <w:marRight w:val="0"/>
              <w:marTop w:val="0"/>
              <w:marBottom w:val="0"/>
              <w:divBdr>
                <w:top w:val="none" w:sz="0" w:space="0" w:color="auto"/>
                <w:left w:val="none" w:sz="0" w:space="0" w:color="auto"/>
                <w:bottom w:val="none" w:sz="0" w:space="0" w:color="auto"/>
                <w:right w:val="none" w:sz="0" w:space="0" w:color="auto"/>
              </w:divBdr>
              <w:divsChild>
                <w:div w:id="687679967">
                  <w:marLeft w:val="0"/>
                  <w:marRight w:val="0"/>
                  <w:marTop w:val="0"/>
                  <w:marBottom w:val="0"/>
                  <w:divBdr>
                    <w:top w:val="none" w:sz="0" w:space="0" w:color="auto"/>
                    <w:left w:val="none" w:sz="0" w:space="0" w:color="auto"/>
                    <w:bottom w:val="none" w:sz="0" w:space="0" w:color="auto"/>
                    <w:right w:val="none" w:sz="0" w:space="0" w:color="auto"/>
                  </w:divBdr>
                  <w:divsChild>
                    <w:div w:id="516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51518">
      <w:bodyDiv w:val="1"/>
      <w:marLeft w:val="0"/>
      <w:marRight w:val="0"/>
      <w:marTop w:val="0"/>
      <w:marBottom w:val="0"/>
      <w:divBdr>
        <w:top w:val="none" w:sz="0" w:space="0" w:color="auto"/>
        <w:left w:val="none" w:sz="0" w:space="0" w:color="auto"/>
        <w:bottom w:val="none" w:sz="0" w:space="0" w:color="auto"/>
        <w:right w:val="none" w:sz="0" w:space="0" w:color="auto"/>
      </w:divBdr>
    </w:div>
    <w:div w:id="1503592908">
      <w:bodyDiv w:val="1"/>
      <w:marLeft w:val="0"/>
      <w:marRight w:val="0"/>
      <w:marTop w:val="0"/>
      <w:marBottom w:val="0"/>
      <w:divBdr>
        <w:top w:val="none" w:sz="0" w:space="0" w:color="auto"/>
        <w:left w:val="none" w:sz="0" w:space="0" w:color="auto"/>
        <w:bottom w:val="none" w:sz="0" w:space="0" w:color="auto"/>
        <w:right w:val="none" w:sz="0" w:space="0" w:color="auto"/>
      </w:divBdr>
    </w:div>
    <w:div w:id="1552886672">
      <w:bodyDiv w:val="1"/>
      <w:marLeft w:val="0"/>
      <w:marRight w:val="0"/>
      <w:marTop w:val="0"/>
      <w:marBottom w:val="0"/>
      <w:divBdr>
        <w:top w:val="none" w:sz="0" w:space="0" w:color="auto"/>
        <w:left w:val="none" w:sz="0" w:space="0" w:color="auto"/>
        <w:bottom w:val="none" w:sz="0" w:space="0" w:color="auto"/>
        <w:right w:val="none" w:sz="0" w:space="0" w:color="auto"/>
      </w:divBdr>
    </w:div>
    <w:div w:id="1576475532">
      <w:bodyDiv w:val="1"/>
      <w:marLeft w:val="0"/>
      <w:marRight w:val="0"/>
      <w:marTop w:val="0"/>
      <w:marBottom w:val="0"/>
      <w:divBdr>
        <w:top w:val="none" w:sz="0" w:space="0" w:color="auto"/>
        <w:left w:val="none" w:sz="0" w:space="0" w:color="auto"/>
        <w:bottom w:val="none" w:sz="0" w:space="0" w:color="auto"/>
        <w:right w:val="none" w:sz="0" w:space="0" w:color="auto"/>
      </w:divBdr>
    </w:div>
    <w:div w:id="1742363450">
      <w:bodyDiv w:val="1"/>
      <w:marLeft w:val="0"/>
      <w:marRight w:val="0"/>
      <w:marTop w:val="0"/>
      <w:marBottom w:val="0"/>
      <w:divBdr>
        <w:top w:val="none" w:sz="0" w:space="0" w:color="auto"/>
        <w:left w:val="none" w:sz="0" w:space="0" w:color="auto"/>
        <w:bottom w:val="none" w:sz="0" w:space="0" w:color="auto"/>
        <w:right w:val="none" w:sz="0" w:space="0" w:color="auto"/>
      </w:divBdr>
    </w:div>
    <w:div w:id="19797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ites/default/files/dati/demstat_metodologija_ver2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AUTO/?uri=CELEX:32013R0807&amp;qid=1440419347970&amp;rid=2" TargetMode="External"/><Relationship Id="rId4" Type="http://schemas.openxmlformats.org/officeDocument/2006/relationships/settings" Target="settings.xml"/><Relationship Id="rId9" Type="http://schemas.openxmlformats.org/officeDocument/2006/relationships/hyperlink" Target="http://eur-lex.europa.eu/legal-content/AUTO/?uri=CELEX:32015R0220&amp;qid=1439980775065&amp;rid=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F21E-2148-4143-9BBF-315ECE15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10957</Words>
  <Characters>87225</Characters>
  <Application>Microsoft Office Word</Application>
  <DocSecurity>0</DocSecurity>
  <Lines>3007</Lines>
  <Paragraphs>1664</Paragraphs>
  <ScaleCrop>false</ScaleCrop>
  <HeadingPairs>
    <vt:vector size="2" baseType="variant">
      <vt:variant>
        <vt:lpstr>Title</vt:lpstr>
      </vt:variant>
      <vt:variant>
        <vt:i4>1</vt:i4>
      </vt:variant>
    </vt:vector>
  </HeadingPairs>
  <TitlesOfParts>
    <vt:vector size="1" baseType="lpstr">
      <vt:lpstr>EMAnot_021215_statistika; Ministru kabineta noteikumu projekta „Noteikumi par Valsts statistiskās informācijas programmu 2016. gadam” sākotnējās ietekmes novērtējuma ziņojums (anotācija)</vt:lpstr>
    </vt:vector>
  </TitlesOfParts>
  <Company/>
  <LinksUpToDate>false</LinksUpToDate>
  <CharactersWithSpaces>96518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EMAnot_021215_statistika; Ministru kabineta noteikumu projekta „Noteikumi par Valsts statistiskās informācijas programmu 2016. gadam” sākotnējās ietekmes novērtējuma ziņojums (anotācija)</dc:title>
  <dc:subject>Valsts Statistiskās informācijas programmas 2016.gadam anotācija</dc:subject>
  <dc:creator>Arturs;Petersons</dc:creator>
  <cp:lastModifiedBy>Jānis Ušpelis</cp:lastModifiedBy>
  <cp:revision>2</cp:revision>
  <cp:lastPrinted>2015-12-04T13:11:00Z</cp:lastPrinted>
  <dcterms:created xsi:type="dcterms:W3CDTF">2015-12-04T13:51:00Z</dcterms:created>
  <dcterms:modified xsi:type="dcterms:W3CDTF">2015-12-04T13:51:00Z</dcterms:modified>
</cp:coreProperties>
</file>