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BE" w:rsidRDefault="00DE67BE" w:rsidP="00DE67BE">
      <w:pPr>
        <w:spacing w:after="0" w:line="240" w:lineRule="auto"/>
        <w:jc w:val="center"/>
        <w:rPr>
          <w:rFonts w:ascii="Times New Roman" w:hAnsi="Times New Roman" w:cs="Times New Roman"/>
          <w:b/>
          <w:sz w:val="28"/>
          <w:szCs w:val="28"/>
        </w:rPr>
      </w:pPr>
      <w:bookmarkStart w:id="0" w:name="468683"/>
      <w:bookmarkStart w:id="1" w:name="OLE_LINK3"/>
      <w:bookmarkStart w:id="2" w:name="OLE_LINK4"/>
      <w:bookmarkStart w:id="3" w:name="OLE_LINK5"/>
      <w:bookmarkStart w:id="4" w:name="OLE_LINK1"/>
      <w:bookmarkStart w:id="5" w:name="OLE_LINK2"/>
      <w:bookmarkEnd w:id="0"/>
      <w:r w:rsidRPr="00F51BB3">
        <w:rPr>
          <w:rFonts w:ascii="Times New Roman" w:hAnsi="Times New Roman" w:cs="Times New Roman"/>
          <w:b/>
          <w:sz w:val="28"/>
          <w:szCs w:val="28"/>
        </w:rPr>
        <w:t xml:space="preserve">Ministru kabineta noteikumu projekta </w:t>
      </w:r>
      <w:r>
        <w:rPr>
          <w:rFonts w:ascii="Times New Roman" w:hAnsi="Times New Roman" w:cs="Times New Roman"/>
          <w:b/>
          <w:sz w:val="28"/>
          <w:szCs w:val="28"/>
        </w:rPr>
        <w:t>“</w:t>
      </w:r>
      <w:r w:rsidRPr="00C97CBC">
        <w:rPr>
          <w:rFonts w:ascii="Times New Roman" w:hAnsi="Times New Roman" w:cs="Times New Roman"/>
          <w:b/>
          <w:sz w:val="28"/>
          <w:szCs w:val="28"/>
        </w:rPr>
        <w:t xml:space="preserve">Grozījums Ministru kabineta 2005.gada 28.jūnija noteikumos Nr.480 </w:t>
      </w:r>
      <w:r>
        <w:rPr>
          <w:rFonts w:ascii="Times New Roman" w:hAnsi="Times New Roman" w:cs="Times New Roman"/>
          <w:b/>
          <w:sz w:val="28"/>
          <w:szCs w:val="28"/>
        </w:rPr>
        <w:t>“</w:t>
      </w:r>
      <w:r w:rsidRPr="00C97CBC">
        <w:rPr>
          <w:rFonts w:ascii="Times New Roman" w:hAnsi="Times New Roman" w:cs="Times New Roman"/>
          <w:b/>
          <w:bCs/>
          <w:sz w:val="28"/>
          <w:szCs w:val="28"/>
        </w:rPr>
        <w:t>Noteikumi par kārtību, kādā pašvaldības var uzlikt pašvaldību nodevas</w:t>
      </w:r>
      <w:r w:rsidRPr="00C97CBC">
        <w:rPr>
          <w:rFonts w:ascii="Times New Roman" w:hAnsi="Times New Roman" w:cs="Times New Roman"/>
          <w:b/>
          <w:sz w:val="28"/>
          <w:szCs w:val="28"/>
        </w:rPr>
        <w:t>”</w:t>
      </w:r>
      <w:r w:rsidRPr="00F51BB3">
        <w:rPr>
          <w:rFonts w:ascii="Times New Roman" w:hAnsi="Times New Roman" w:cs="Times New Roman"/>
          <w:b/>
          <w:sz w:val="28"/>
          <w:szCs w:val="28"/>
        </w:rPr>
        <w:t xml:space="preserve">” </w:t>
      </w:r>
    </w:p>
    <w:p w:rsidR="00DE67BE" w:rsidRPr="00F51BB3" w:rsidRDefault="00DE67BE" w:rsidP="00DE67BE">
      <w:pPr>
        <w:spacing w:after="0" w:line="240" w:lineRule="auto"/>
        <w:jc w:val="center"/>
        <w:rPr>
          <w:rFonts w:ascii="Times New Roman" w:hAnsi="Times New Roman" w:cs="Times New Roman"/>
          <w:b/>
          <w:bCs/>
          <w:sz w:val="28"/>
          <w:szCs w:val="28"/>
        </w:rPr>
      </w:pPr>
      <w:r w:rsidRPr="00F51BB3">
        <w:rPr>
          <w:rFonts w:ascii="Times New Roman" w:hAnsi="Times New Roman" w:cs="Times New Roman"/>
          <w:b/>
          <w:sz w:val="28"/>
          <w:szCs w:val="28"/>
        </w:rPr>
        <w:t xml:space="preserve">sākotnējās ietekmes novērtējuma </w:t>
      </w:r>
      <w:smartTag w:uri="schemas-tilde-lv/tildestengine" w:element="veidnes">
        <w:smartTagPr>
          <w:attr w:name="text" w:val="ziņojums"/>
          <w:attr w:name="baseform" w:val="ziņojums"/>
          <w:attr w:name="id" w:val="-1"/>
        </w:smartTagPr>
        <w:r w:rsidRPr="00F51BB3">
          <w:rPr>
            <w:rFonts w:ascii="Times New Roman" w:hAnsi="Times New Roman" w:cs="Times New Roman"/>
            <w:b/>
            <w:sz w:val="28"/>
            <w:szCs w:val="28"/>
          </w:rPr>
          <w:t>ziņojums</w:t>
        </w:r>
      </w:smartTag>
      <w:r w:rsidRPr="00F51BB3">
        <w:rPr>
          <w:rFonts w:ascii="Times New Roman" w:hAnsi="Times New Roman" w:cs="Times New Roman"/>
          <w:b/>
          <w:sz w:val="28"/>
          <w:szCs w:val="28"/>
        </w:rPr>
        <w:t xml:space="preserve"> (</w:t>
      </w:r>
      <w:r w:rsidRPr="00F51BB3">
        <w:rPr>
          <w:rFonts w:ascii="Times New Roman" w:hAnsi="Times New Roman" w:cs="Times New Roman"/>
          <w:b/>
          <w:bCs/>
          <w:sz w:val="28"/>
          <w:szCs w:val="28"/>
        </w:rPr>
        <w:t>anotācija)</w:t>
      </w:r>
      <w:bookmarkEnd w:id="1"/>
      <w:bookmarkEnd w:id="2"/>
      <w:bookmarkEnd w:id="3"/>
      <w:bookmarkEnd w:id="4"/>
      <w:bookmarkEnd w:id="5"/>
    </w:p>
    <w:p w:rsidR="00DE67BE" w:rsidRPr="00F51BB3" w:rsidRDefault="00DE67BE" w:rsidP="00DE67BE">
      <w:pPr>
        <w:tabs>
          <w:tab w:val="left" w:pos="7230"/>
        </w:tabs>
        <w:spacing w:after="0" w:line="240" w:lineRule="auto"/>
        <w:rPr>
          <w:rFonts w:ascii="Times New Roman" w:hAnsi="Times New Roman" w:cs="Times New Roman"/>
          <w:sz w:val="28"/>
          <w:szCs w:val="28"/>
        </w:rPr>
      </w:pPr>
    </w:p>
    <w:tbl>
      <w:tblPr>
        <w:tblW w:w="90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42"/>
        <w:gridCol w:w="5396"/>
      </w:tblGrid>
      <w:tr w:rsidR="00DE67BE" w:rsidRPr="00110243" w:rsidTr="00D37815">
        <w:tc>
          <w:tcPr>
            <w:tcW w:w="9062" w:type="dxa"/>
            <w:gridSpan w:val="3"/>
            <w:vAlign w:val="center"/>
          </w:tcPr>
          <w:p w:rsidR="00DE67BE" w:rsidRPr="00110243" w:rsidRDefault="00DE67BE" w:rsidP="00D37815">
            <w:pPr>
              <w:spacing w:after="0" w:line="240" w:lineRule="auto"/>
              <w:jc w:val="center"/>
              <w:rPr>
                <w:rFonts w:ascii="Times New Roman" w:hAnsi="Times New Roman" w:cs="Times New Roman"/>
                <w:sz w:val="26"/>
                <w:szCs w:val="26"/>
              </w:rPr>
            </w:pPr>
            <w:r w:rsidRPr="00110243">
              <w:rPr>
                <w:rFonts w:ascii="Times New Roman" w:hAnsi="Times New Roman" w:cs="Times New Roman"/>
                <w:b/>
                <w:sz w:val="26"/>
                <w:szCs w:val="26"/>
              </w:rPr>
              <w:t>I. Tiesību akta projekta izstrādes nepieciešamība</w:t>
            </w:r>
          </w:p>
        </w:tc>
      </w:tr>
      <w:tr w:rsidR="00DE67BE" w:rsidRPr="00110243" w:rsidTr="00D37815">
        <w:trPr>
          <w:trHeight w:val="439"/>
        </w:trPr>
        <w:tc>
          <w:tcPr>
            <w:tcW w:w="524" w:type="dxa"/>
          </w:tcPr>
          <w:p w:rsidR="00DE67BE" w:rsidRPr="00110243" w:rsidRDefault="00DE67BE" w:rsidP="00D37815">
            <w:pPr>
              <w:spacing w:after="0" w:line="240" w:lineRule="auto"/>
              <w:ind w:left="57" w:right="57"/>
              <w:rPr>
                <w:rFonts w:ascii="Times New Roman" w:hAnsi="Times New Roman" w:cs="Times New Roman"/>
                <w:sz w:val="24"/>
                <w:szCs w:val="24"/>
              </w:rPr>
            </w:pPr>
            <w:r w:rsidRPr="00110243">
              <w:rPr>
                <w:rFonts w:ascii="Times New Roman" w:hAnsi="Times New Roman" w:cs="Times New Roman"/>
                <w:sz w:val="24"/>
                <w:szCs w:val="24"/>
              </w:rPr>
              <w:t> 1.</w:t>
            </w:r>
          </w:p>
        </w:tc>
        <w:tc>
          <w:tcPr>
            <w:tcW w:w="3142" w:type="dxa"/>
          </w:tcPr>
          <w:p w:rsidR="00DE67BE" w:rsidRPr="00110243" w:rsidRDefault="00DE67BE" w:rsidP="00D37815">
            <w:pPr>
              <w:spacing w:after="0" w:line="240" w:lineRule="auto"/>
              <w:ind w:left="57" w:right="57"/>
              <w:rPr>
                <w:rFonts w:ascii="Times New Roman" w:hAnsi="Times New Roman" w:cs="Times New Roman"/>
                <w:sz w:val="24"/>
                <w:szCs w:val="24"/>
              </w:rPr>
            </w:pPr>
            <w:r w:rsidRPr="00110243">
              <w:rPr>
                <w:rFonts w:ascii="Times New Roman" w:hAnsi="Times New Roman" w:cs="Times New Roman"/>
                <w:sz w:val="24"/>
                <w:szCs w:val="24"/>
              </w:rPr>
              <w:t>Pamatojums</w:t>
            </w:r>
          </w:p>
        </w:tc>
        <w:tc>
          <w:tcPr>
            <w:tcW w:w="5396" w:type="dxa"/>
          </w:tcPr>
          <w:p w:rsidR="00DE67BE" w:rsidRPr="00110243" w:rsidRDefault="00DE67BE" w:rsidP="00D37815">
            <w:pPr>
              <w:spacing w:after="0" w:line="240" w:lineRule="auto"/>
              <w:ind w:left="57" w:right="57"/>
              <w:jc w:val="both"/>
              <w:rPr>
                <w:rFonts w:ascii="Times New Roman" w:eastAsia="Times New Roman" w:hAnsi="Times New Roman" w:cs="Times New Roman"/>
                <w:iCs/>
                <w:sz w:val="24"/>
                <w:szCs w:val="24"/>
                <w:lang w:eastAsia="lv-LV"/>
              </w:rPr>
            </w:pPr>
            <w:r w:rsidRPr="00110243">
              <w:rPr>
                <w:rFonts w:ascii="Times New Roman" w:eastAsia="Times New Roman" w:hAnsi="Times New Roman" w:cs="Times New Roman"/>
                <w:sz w:val="24"/>
                <w:szCs w:val="24"/>
                <w:lang w:eastAsia="lv-LV"/>
              </w:rPr>
              <w:t xml:space="preserve">Likuma </w:t>
            </w:r>
            <w:r w:rsidRPr="00110243">
              <w:rPr>
                <w:rFonts w:ascii="Times New Roman" w:eastAsia="Times New Roman" w:hAnsi="Times New Roman" w:cs="Times New Roman"/>
                <w:iCs/>
                <w:sz w:val="24"/>
                <w:szCs w:val="24"/>
                <w:lang w:eastAsia="lv-LV"/>
              </w:rPr>
              <w:t xml:space="preserve">„Par nodokļiem un nodevām” 12.panta pirmā daļa </w:t>
            </w:r>
          </w:p>
          <w:p w:rsidR="00DE67BE" w:rsidRPr="00110243" w:rsidRDefault="00DE67BE" w:rsidP="00D37815">
            <w:pPr>
              <w:spacing w:after="0" w:line="240" w:lineRule="auto"/>
              <w:ind w:left="57" w:right="57"/>
              <w:jc w:val="both"/>
              <w:rPr>
                <w:rFonts w:ascii="Times New Roman" w:hAnsi="Times New Roman" w:cs="Times New Roman"/>
                <w:sz w:val="24"/>
                <w:szCs w:val="24"/>
              </w:rPr>
            </w:pPr>
          </w:p>
        </w:tc>
      </w:tr>
      <w:tr w:rsidR="00DE67BE" w:rsidRPr="00110243" w:rsidTr="00D37815">
        <w:trPr>
          <w:trHeight w:val="410"/>
        </w:trPr>
        <w:tc>
          <w:tcPr>
            <w:tcW w:w="524" w:type="dxa"/>
          </w:tcPr>
          <w:p w:rsidR="00DE67BE" w:rsidRPr="00110243" w:rsidRDefault="00DE67BE" w:rsidP="00D37815">
            <w:pPr>
              <w:spacing w:after="0" w:line="240" w:lineRule="auto"/>
              <w:ind w:left="57" w:right="57"/>
              <w:rPr>
                <w:rFonts w:ascii="Times New Roman" w:hAnsi="Times New Roman" w:cs="Times New Roman"/>
                <w:sz w:val="24"/>
                <w:szCs w:val="24"/>
              </w:rPr>
            </w:pPr>
            <w:r w:rsidRPr="00110243">
              <w:rPr>
                <w:rFonts w:ascii="Times New Roman" w:hAnsi="Times New Roman" w:cs="Times New Roman"/>
                <w:sz w:val="24"/>
                <w:szCs w:val="24"/>
              </w:rPr>
              <w:t> 2.</w:t>
            </w:r>
          </w:p>
        </w:tc>
        <w:tc>
          <w:tcPr>
            <w:tcW w:w="3142" w:type="dxa"/>
          </w:tcPr>
          <w:p w:rsidR="00DE67BE" w:rsidRPr="00110243" w:rsidRDefault="00DE67BE" w:rsidP="00D37815">
            <w:pPr>
              <w:spacing w:after="0" w:line="240" w:lineRule="auto"/>
              <w:ind w:left="57" w:right="57"/>
              <w:rPr>
                <w:rFonts w:ascii="Times New Roman" w:hAnsi="Times New Roman" w:cs="Times New Roman"/>
                <w:sz w:val="24"/>
                <w:szCs w:val="24"/>
              </w:rPr>
            </w:pPr>
            <w:r w:rsidRPr="00110243">
              <w:rPr>
                <w:rFonts w:ascii="Times New Roman" w:hAnsi="Times New Roman" w:cs="Times New Roman"/>
                <w:sz w:val="24"/>
                <w:szCs w:val="24"/>
              </w:rPr>
              <w:t>Pašreizējā situācija un problēmas kuru risināšanai tiesību akta projekts izstrādāts, tiesiskā regulējuma mērķis un būtība</w:t>
            </w:r>
          </w:p>
        </w:tc>
        <w:tc>
          <w:tcPr>
            <w:tcW w:w="5396" w:type="dxa"/>
          </w:tcPr>
          <w:p w:rsidR="00DE67BE" w:rsidRPr="00110243" w:rsidRDefault="00DE67BE" w:rsidP="00D37815">
            <w:pPr>
              <w:spacing w:after="0" w:line="240" w:lineRule="auto"/>
              <w:ind w:left="57" w:right="57"/>
              <w:jc w:val="both"/>
              <w:rPr>
                <w:rFonts w:ascii="Times New Roman" w:hAnsi="Times New Roman" w:cs="Times New Roman"/>
                <w:color w:val="000000" w:themeColor="text1"/>
                <w:sz w:val="24"/>
                <w:szCs w:val="24"/>
              </w:rPr>
            </w:pPr>
            <w:r w:rsidRPr="00110243">
              <w:rPr>
                <w:rFonts w:ascii="Times New Roman" w:hAnsi="Times New Roman" w:cs="Times New Roman"/>
                <w:color w:val="000000" w:themeColor="text1"/>
                <w:sz w:val="24"/>
                <w:szCs w:val="24"/>
              </w:rPr>
              <w:t>Būvniecības likums, kurš stājās spēkā 2014.gada 1.oktobrī, kā arī no likuma izrietošie Ministru kabineta noteikumi, kas nosaka būvniecības procesa kārtību, paredz būvniecības veidus, par kuriem tiek pieņemti dažādi lēmumi būvniecības saskaņošanai – paskaidrojuma raksta saskaņošana (atzīme), apliecinājuma kartes saskaņošana (atzīme) un tml. Vienkāršotās procedūras sastāda būtisku daļu no pieņemamajiem lēmumiem par būvniecības iecerēm.</w:t>
            </w:r>
          </w:p>
          <w:p w:rsidR="00DE67BE" w:rsidRPr="00110243" w:rsidRDefault="00DE67BE" w:rsidP="00D37815">
            <w:pPr>
              <w:spacing w:after="0" w:line="240" w:lineRule="auto"/>
              <w:ind w:left="57" w:right="57"/>
              <w:jc w:val="both"/>
              <w:rPr>
                <w:rFonts w:ascii="Times New Roman" w:hAnsi="Times New Roman" w:cs="Times New Roman"/>
                <w:color w:val="000000" w:themeColor="text1"/>
                <w:sz w:val="24"/>
                <w:szCs w:val="24"/>
                <w:lang w:eastAsia="lv-LV"/>
              </w:rPr>
            </w:pPr>
            <w:r w:rsidRPr="00110243">
              <w:rPr>
                <w:rFonts w:ascii="Times New Roman" w:hAnsi="Times New Roman" w:cs="Times New Roman"/>
                <w:color w:val="000000" w:themeColor="text1"/>
                <w:sz w:val="24"/>
                <w:szCs w:val="24"/>
              </w:rPr>
              <w:t>Saskaņā ar likuma „Par nodokļiem un nodevām”  12.panta (pašvaldību nodevu objekti) pirmās daļas 10.punktu v</w:t>
            </w:r>
            <w:r w:rsidRPr="00110243">
              <w:rPr>
                <w:rFonts w:ascii="Times New Roman" w:hAnsi="Times New Roman" w:cs="Times New Roman"/>
                <w:color w:val="000000" w:themeColor="text1"/>
                <w:sz w:val="24"/>
                <w:szCs w:val="24"/>
                <w:lang w:eastAsia="lv-LV"/>
              </w:rPr>
              <w:t>ietējās pašvaldības domei ir tiesības Ministru kabineta noteikumos noteiktajā kārtībā savā administratīvajā teritorijā uzlikt pašvaldības nodevu ne tikai par būvatļaujas izdošanu, bet arī par būvniecības ieceres akceptu, izdarot atzīmi paskaidrojuma rakstā vai apliecinājuma kartē, būvniecību reglamentējošo normatīvo aktu noteiktajā kārtībā.</w:t>
            </w:r>
          </w:p>
          <w:p w:rsidR="00DE67BE" w:rsidRPr="00110243" w:rsidRDefault="00DE67BE" w:rsidP="00D37815">
            <w:pPr>
              <w:pStyle w:val="naiskr"/>
              <w:spacing w:before="0" w:after="0"/>
              <w:ind w:left="57" w:right="57"/>
              <w:jc w:val="both"/>
              <w:rPr>
                <w:color w:val="000000" w:themeColor="text1"/>
              </w:rPr>
            </w:pPr>
            <w:r w:rsidRPr="00110243">
              <w:rPr>
                <w:color w:val="000000" w:themeColor="text1"/>
              </w:rPr>
              <w:t xml:space="preserve">Pašvaldības nodeva ir pašvaldības domes noteikts obligāts maksājums pašvaldības pamatbudžetā vai speciālajā budžetā. Pašvaldības nodevas apmērs nav tiešā veidā saistīts ar pašvaldības vai tās iestādes veiktās darbības izmaksu segšanu. Nodeva uzskatāma par politikas veidošanas un regulēšanas instrumentu, tā tiek noteikta ar mērķi atsevišķu politikas mērķu sasniegšanai, regulējot (kontrolējot, veicinot, ierobežojot) personas darbību. </w:t>
            </w:r>
          </w:p>
          <w:p w:rsidR="00DE67BE" w:rsidRPr="00110243" w:rsidRDefault="00DE67BE" w:rsidP="00D37815">
            <w:pPr>
              <w:spacing w:after="0" w:line="240" w:lineRule="auto"/>
              <w:ind w:left="57" w:right="57"/>
              <w:jc w:val="both"/>
              <w:rPr>
                <w:rFonts w:ascii="Times New Roman" w:hAnsi="Times New Roman" w:cs="Times New Roman"/>
                <w:color w:val="000000" w:themeColor="text1"/>
                <w:sz w:val="24"/>
                <w:szCs w:val="24"/>
              </w:rPr>
            </w:pPr>
            <w:r w:rsidRPr="00110243">
              <w:rPr>
                <w:rFonts w:ascii="Times New Roman" w:hAnsi="Times New Roman" w:cs="Times New Roman"/>
                <w:color w:val="000000" w:themeColor="text1"/>
                <w:sz w:val="24"/>
                <w:szCs w:val="24"/>
              </w:rPr>
              <w:t xml:space="preserve">Jaunā redakcija esošo regulējumu attiecībā uz nodevas piemērošanu par būvatļaujas izdošanu nemaina. Personas, kuras, saskaņojot būvniecību, saņem no vietējās pašvaldības būvvaldes būvatļauju būvniecību reglamentējošos normatīvajos aktos noteiktajā kārtībā maksā nodevu 50 % apmērā pēc būvatļaujas saņemšanas būvvaldes noteiktajā termiņā. Atlikušos 50 % no nodevas samaksā pirms dokumentu iesniegšanas būvvaldē par būvatļaujā ietverto projektēšanas nosacījumu izpildi. Ja būvatļaujas nosacījumi netiek izpildīti vai būvatļauja netiek realizēta, iekasēto pašvaldības nodevu neatmaksā. Attiecībā uz būvatļauju </w:t>
            </w:r>
            <w:r w:rsidRPr="00110243">
              <w:rPr>
                <w:rFonts w:ascii="Times New Roman" w:hAnsi="Times New Roman" w:cs="Times New Roman"/>
                <w:color w:val="000000" w:themeColor="text1"/>
                <w:sz w:val="24"/>
                <w:szCs w:val="24"/>
              </w:rPr>
              <w:lastRenderedPageBreak/>
              <w:t xml:space="preserve">tas nozīmē, ja būvatļauja netiek realizēta, bet ir izpildīti būvatļaujas nosacījumi, kā arī gadījumos, ja no būvvaldes saņemts atteikums veikt atzīmi būvatļaujā par projektēšanas nosacījumu izpildi, samaksātā nodeva netiek atmaksāta. </w:t>
            </w:r>
          </w:p>
          <w:p w:rsidR="00DE67BE" w:rsidRPr="00110243" w:rsidRDefault="00DE67BE" w:rsidP="00D37815">
            <w:pPr>
              <w:spacing w:after="0" w:line="240" w:lineRule="auto"/>
              <w:ind w:left="57" w:right="57"/>
              <w:jc w:val="both"/>
              <w:rPr>
                <w:rFonts w:ascii="Times New Roman" w:hAnsi="Times New Roman" w:cs="Times New Roman"/>
                <w:sz w:val="24"/>
                <w:szCs w:val="24"/>
                <w:lang w:eastAsia="lv-LV"/>
              </w:rPr>
            </w:pPr>
            <w:r w:rsidRPr="00110243">
              <w:rPr>
                <w:rFonts w:ascii="Times New Roman" w:hAnsi="Times New Roman" w:cs="Times New Roman"/>
                <w:color w:val="000000" w:themeColor="text1"/>
                <w:sz w:val="24"/>
                <w:szCs w:val="24"/>
              </w:rPr>
              <w:t xml:space="preserve">Noteikumu projekts paredz iekasēt nodevu par būvniecības ieceres akceptu. Nodeva maksājama </w:t>
            </w:r>
            <w:r w:rsidRPr="00110243">
              <w:rPr>
                <w:rFonts w:ascii="Times New Roman" w:hAnsi="Times New Roman" w:cs="Times New Roman"/>
                <w:bCs/>
                <w:sz w:val="24"/>
                <w:szCs w:val="24"/>
              </w:rPr>
              <w:t>pirms dokumentu iesniegšanas būvvaldē</w:t>
            </w:r>
            <w:r w:rsidRPr="00110243">
              <w:rPr>
                <w:rFonts w:ascii="Times New Roman" w:hAnsi="Times New Roman" w:cs="Times New Roman"/>
                <w:sz w:val="24"/>
                <w:szCs w:val="24"/>
              </w:rPr>
              <w:t xml:space="preserve"> atzīmes par būvniecības ieceres akceptu (būvvaldes lēmuma) saņemšanai paskaidrojuma rakstā vai apliecinājuma kartē. </w:t>
            </w:r>
            <w:r w:rsidRPr="00110243">
              <w:rPr>
                <w:rFonts w:ascii="Times New Roman" w:hAnsi="Times New Roman" w:cs="Times New Roman"/>
                <w:color w:val="000000" w:themeColor="text1"/>
                <w:sz w:val="24"/>
                <w:szCs w:val="24"/>
              </w:rPr>
              <w:t>Šī nodeva maksājama vienā maksājumā. Regulējums arī nosaka, j</w:t>
            </w:r>
            <w:r w:rsidRPr="00110243">
              <w:rPr>
                <w:rFonts w:ascii="Times New Roman" w:hAnsi="Times New Roman" w:cs="Times New Roman"/>
                <w:sz w:val="24"/>
                <w:szCs w:val="24"/>
              </w:rPr>
              <w:t xml:space="preserve">a būvvalde pieņems lēmumu par atteikumu akceptēt ieceri par būvniecību, nodeva par būvniecības ieceres akceptu būs jāatmaksā.  </w:t>
            </w:r>
          </w:p>
          <w:p w:rsidR="00DE67BE" w:rsidRPr="00110243" w:rsidRDefault="00DE67BE" w:rsidP="00D37815">
            <w:pPr>
              <w:spacing w:after="0" w:line="240" w:lineRule="auto"/>
              <w:ind w:left="57" w:right="57"/>
              <w:jc w:val="both"/>
              <w:rPr>
                <w:rFonts w:ascii="Times New Roman" w:hAnsi="Times New Roman" w:cs="Times New Roman"/>
                <w:color w:val="000000" w:themeColor="text1"/>
                <w:sz w:val="24"/>
                <w:szCs w:val="24"/>
                <w:lang w:eastAsia="lv-LV"/>
              </w:rPr>
            </w:pPr>
            <w:r w:rsidRPr="00110243">
              <w:rPr>
                <w:rFonts w:ascii="Times New Roman" w:hAnsi="Times New Roman" w:cs="Times New Roman"/>
                <w:color w:val="000000" w:themeColor="text1"/>
                <w:sz w:val="24"/>
                <w:szCs w:val="24"/>
              </w:rPr>
              <w:t>Papildus noteikumu 15.punktā ir paredzēts, ka p</w:t>
            </w:r>
            <w:r w:rsidRPr="00110243">
              <w:rPr>
                <w:rFonts w:ascii="Times New Roman" w:hAnsi="Times New Roman" w:cs="Times New Roman"/>
                <w:color w:val="000000" w:themeColor="text1"/>
                <w:sz w:val="24"/>
                <w:szCs w:val="24"/>
                <w:lang w:eastAsia="lv-LV"/>
              </w:rPr>
              <w:t>ersona ir tiesīga nodevu par būvatļaujas izdošanu maksāt vienā maksājumā.  Šāds risinājums ir aktuāls tajās pašvaldībās, kur nodevas apmērs ir neliels un nav nepieciešams to dalīt 2 daļās.</w:t>
            </w:r>
          </w:p>
          <w:p w:rsidR="00DE67BE" w:rsidRPr="00110243" w:rsidRDefault="00DE67BE" w:rsidP="00D37815">
            <w:pPr>
              <w:spacing w:after="0" w:line="240" w:lineRule="auto"/>
              <w:ind w:left="57" w:right="57"/>
              <w:jc w:val="both"/>
              <w:rPr>
                <w:rFonts w:ascii="Times New Roman" w:hAnsi="Times New Roman" w:cs="Times New Roman"/>
                <w:color w:val="000000" w:themeColor="text1"/>
                <w:sz w:val="24"/>
                <w:szCs w:val="24"/>
              </w:rPr>
            </w:pPr>
            <w:r w:rsidRPr="00110243">
              <w:rPr>
                <w:rFonts w:ascii="Times New Roman" w:hAnsi="Times New Roman" w:cs="Times New Roman"/>
                <w:color w:val="000000" w:themeColor="text1"/>
                <w:sz w:val="24"/>
                <w:szCs w:val="24"/>
              </w:rPr>
              <w:t>Iemaksātā nodevas daļa netiek atmaksāta gadījumos,</w:t>
            </w:r>
            <w:r w:rsidRPr="00110243">
              <w:rPr>
                <w:rFonts w:ascii="Times New Roman" w:hAnsi="Times New Roman" w:cs="Times New Roman"/>
                <w:color w:val="000000" w:themeColor="text1"/>
                <w:sz w:val="24"/>
                <w:szCs w:val="24"/>
                <w:lang w:eastAsia="lv-LV"/>
              </w:rPr>
              <w:t xml:space="preserve"> ja būvatļaujas nosacījumi netiek izpildīti vai būvniecības iecere netiek realizēta. </w:t>
            </w:r>
            <w:r w:rsidRPr="00110243">
              <w:rPr>
                <w:rFonts w:ascii="Times New Roman" w:hAnsi="Times New Roman" w:cs="Times New Roman"/>
                <w:color w:val="000000" w:themeColor="text1"/>
                <w:sz w:val="24"/>
                <w:szCs w:val="24"/>
              </w:rPr>
              <w:t xml:space="preserve">Savukārt attiecībā uz paskaidrojuma rakstu un apliecinājuma karti tas nozīmē, ja persona ir samaksājusi pašvaldības noteikto nodevu par ieceres akceptu, taču persona nepabeidz iesākto būvniecības procesu samaksātā nodeva netiek atmaksāta. </w:t>
            </w:r>
          </w:p>
          <w:p w:rsidR="00DE67BE" w:rsidRPr="00110243" w:rsidRDefault="00DE67BE" w:rsidP="00D37815">
            <w:pPr>
              <w:spacing w:after="0" w:line="240" w:lineRule="auto"/>
              <w:ind w:left="57" w:right="57"/>
              <w:jc w:val="both"/>
              <w:rPr>
                <w:rFonts w:ascii="Times New Roman" w:hAnsi="Times New Roman" w:cs="Times New Roman"/>
                <w:sz w:val="24"/>
                <w:szCs w:val="24"/>
              </w:rPr>
            </w:pPr>
          </w:p>
        </w:tc>
      </w:tr>
      <w:tr w:rsidR="00DE67BE" w:rsidRPr="00110243" w:rsidTr="00D37815">
        <w:trPr>
          <w:trHeight w:val="706"/>
        </w:trPr>
        <w:tc>
          <w:tcPr>
            <w:tcW w:w="524" w:type="dxa"/>
          </w:tcPr>
          <w:p w:rsidR="00DE67BE" w:rsidRPr="00110243" w:rsidRDefault="00DE67BE" w:rsidP="00D37815">
            <w:pPr>
              <w:spacing w:after="0" w:line="240" w:lineRule="auto"/>
              <w:ind w:left="57" w:right="57"/>
              <w:rPr>
                <w:rFonts w:ascii="Times New Roman" w:hAnsi="Times New Roman" w:cs="Times New Roman"/>
                <w:sz w:val="24"/>
                <w:szCs w:val="24"/>
              </w:rPr>
            </w:pPr>
            <w:r w:rsidRPr="00110243">
              <w:rPr>
                <w:rFonts w:ascii="Times New Roman" w:hAnsi="Times New Roman" w:cs="Times New Roman"/>
                <w:sz w:val="24"/>
                <w:szCs w:val="24"/>
              </w:rPr>
              <w:lastRenderedPageBreak/>
              <w:t> 3.</w:t>
            </w:r>
          </w:p>
        </w:tc>
        <w:tc>
          <w:tcPr>
            <w:tcW w:w="3142" w:type="dxa"/>
          </w:tcPr>
          <w:p w:rsidR="00DE67BE" w:rsidRPr="00110243" w:rsidRDefault="00DE67BE" w:rsidP="00D37815">
            <w:pPr>
              <w:spacing w:after="0" w:line="240" w:lineRule="auto"/>
              <w:ind w:left="57" w:right="57"/>
              <w:rPr>
                <w:rFonts w:ascii="Times New Roman" w:hAnsi="Times New Roman" w:cs="Times New Roman"/>
                <w:sz w:val="24"/>
                <w:szCs w:val="24"/>
              </w:rPr>
            </w:pPr>
            <w:r w:rsidRPr="00110243">
              <w:rPr>
                <w:rFonts w:ascii="Times New Roman" w:hAnsi="Times New Roman" w:cs="Times New Roman"/>
                <w:sz w:val="24"/>
                <w:szCs w:val="24"/>
              </w:rPr>
              <w:t>Projekta izstrādē iesaistītās institūcijas</w:t>
            </w:r>
          </w:p>
        </w:tc>
        <w:tc>
          <w:tcPr>
            <w:tcW w:w="5396" w:type="dxa"/>
          </w:tcPr>
          <w:p w:rsidR="00DE67BE" w:rsidRPr="00110243" w:rsidRDefault="00DE67BE" w:rsidP="00D37815">
            <w:pPr>
              <w:spacing w:after="0" w:line="240" w:lineRule="auto"/>
              <w:ind w:left="57" w:right="57"/>
              <w:jc w:val="both"/>
              <w:rPr>
                <w:rFonts w:ascii="Times New Roman" w:hAnsi="Times New Roman" w:cs="Times New Roman"/>
                <w:sz w:val="24"/>
                <w:szCs w:val="24"/>
              </w:rPr>
            </w:pPr>
            <w:r w:rsidRPr="00110243">
              <w:rPr>
                <w:rFonts w:ascii="Times New Roman" w:hAnsi="Times New Roman" w:cs="Times New Roman"/>
                <w:sz w:val="24"/>
                <w:szCs w:val="24"/>
              </w:rPr>
              <w:t>Ir notikušas konsultācijas ar Latvijas Pašvaldību savienību</w:t>
            </w:r>
          </w:p>
        </w:tc>
      </w:tr>
      <w:tr w:rsidR="00DE67BE" w:rsidRPr="00110243" w:rsidTr="00D37815">
        <w:trPr>
          <w:trHeight w:val="384"/>
        </w:trPr>
        <w:tc>
          <w:tcPr>
            <w:tcW w:w="524" w:type="dxa"/>
          </w:tcPr>
          <w:p w:rsidR="00DE67BE" w:rsidRPr="00110243" w:rsidRDefault="00DE67BE" w:rsidP="00D37815">
            <w:pPr>
              <w:spacing w:after="0" w:line="240" w:lineRule="auto"/>
              <w:ind w:left="57" w:right="57"/>
              <w:rPr>
                <w:rFonts w:ascii="Times New Roman" w:hAnsi="Times New Roman" w:cs="Times New Roman"/>
                <w:sz w:val="24"/>
                <w:szCs w:val="24"/>
              </w:rPr>
            </w:pPr>
            <w:r w:rsidRPr="00110243">
              <w:rPr>
                <w:rFonts w:ascii="Times New Roman" w:hAnsi="Times New Roman" w:cs="Times New Roman"/>
                <w:sz w:val="24"/>
                <w:szCs w:val="24"/>
              </w:rPr>
              <w:t> 4.</w:t>
            </w:r>
          </w:p>
        </w:tc>
        <w:tc>
          <w:tcPr>
            <w:tcW w:w="3142" w:type="dxa"/>
          </w:tcPr>
          <w:p w:rsidR="00DE67BE" w:rsidRPr="00110243" w:rsidRDefault="00DE67BE" w:rsidP="00D37815">
            <w:pPr>
              <w:spacing w:after="0" w:line="240" w:lineRule="auto"/>
              <w:ind w:left="57" w:right="57"/>
              <w:rPr>
                <w:rFonts w:ascii="Times New Roman" w:hAnsi="Times New Roman" w:cs="Times New Roman"/>
                <w:sz w:val="24"/>
                <w:szCs w:val="24"/>
              </w:rPr>
            </w:pPr>
            <w:r w:rsidRPr="00110243">
              <w:rPr>
                <w:rFonts w:ascii="Times New Roman" w:hAnsi="Times New Roman" w:cs="Times New Roman"/>
                <w:sz w:val="24"/>
                <w:szCs w:val="24"/>
              </w:rPr>
              <w:t>Cita informācija</w:t>
            </w:r>
          </w:p>
        </w:tc>
        <w:tc>
          <w:tcPr>
            <w:tcW w:w="5396" w:type="dxa"/>
          </w:tcPr>
          <w:p w:rsidR="00DE67BE" w:rsidRPr="00110243" w:rsidRDefault="00DE67BE" w:rsidP="00D37815">
            <w:pPr>
              <w:pStyle w:val="naiskr"/>
              <w:spacing w:before="0" w:after="0"/>
              <w:ind w:left="57" w:right="57"/>
              <w:jc w:val="both"/>
            </w:pPr>
            <w:r w:rsidRPr="00110243">
              <w:t>Nav</w:t>
            </w:r>
          </w:p>
        </w:tc>
      </w:tr>
    </w:tbl>
    <w:p w:rsidR="00DE67BE" w:rsidRPr="00E13A68" w:rsidRDefault="00DE67BE" w:rsidP="00DE67BE">
      <w:pPr>
        <w:spacing w:after="0" w:line="240" w:lineRule="auto"/>
        <w:ind w:left="57" w:right="57"/>
        <w:rPr>
          <w:rFonts w:ascii="Times New Roman" w:hAnsi="Times New Roman" w:cs="Times New Roman"/>
          <w:sz w:val="26"/>
          <w:szCs w:val="26"/>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DE67BE" w:rsidRPr="00AB5DC0" w:rsidTr="00D37815">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DE67BE" w:rsidRPr="00AB5DC0" w:rsidRDefault="00DE67BE" w:rsidP="00D37815">
            <w:pPr>
              <w:spacing w:after="0" w:line="240" w:lineRule="auto"/>
              <w:ind w:left="57" w:right="57"/>
              <w:jc w:val="center"/>
              <w:rPr>
                <w:rFonts w:ascii="Times New Roman" w:hAnsi="Times New Roman" w:cs="Times New Roman"/>
                <w:b/>
                <w:sz w:val="26"/>
                <w:szCs w:val="26"/>
              </w:rPr>
            </w:pPr>
            <w:r w:rsidRPr="00AB5DC0">
              <w:rPr>
                <w:rFonts w:ascii="Times New Roman" w:hAnsi="Times New Roman" w:cs="Times New Roman"/>
                <w:b/>
                <w:sz w:val="26"/>
                <w:szCs w:val="26"/>
              </w:rPr>
              <w:t>II. Tiesību akta projekta ietekme uz sabiedrību tautsaimniecības attīstību un administratīvo slogu</w:t>
            </w:r>
          </w:p>
        </w:tc>
      </w:tr>
      <w:tr w:rsidR="00DE67BE" w:rsidRPr="00AB5DC0" w:rsidTr="00D37815">
        <w:trPr>
          <w:trHeight w:val="467"/>
        </w:trPr>
        <w:tc>
          <w:tcPr>
            <w:tcW w:w="523" w:type="dxa"/>
            <w:tcBorders>
              <w:top w:val="single" w:sz="4" w:space="0" w:color="auto"/>
              <w:left w:val="single" w:sz="4" w:space="0" w:color="auto"/>
              <w:bottom w:val="single" w:sz="4" w:space="0" w:color="auto"/>
              <w:right w:val="single" w:sz="4" w:space="0" w:color="auto"/>
            </w:tcBorders>
            <w:hideMark/>
          </w:tcPr>
          <w:p w:rsidR="00DE67BE" w:rsidRPr="00AB5DC0" w:rsidRDefault="00DE67BE" w:rsidP="00D37815">
            <w:pPr>
              <w:spacing w:after="0" w:line="240" w:lineRule="auto"/>
              <w:ind w:left="57" w:right="57"/>
              <w:rPr>
                <w:rFonts w:ascii="Times New Roman" w:hAnsi="Times New Roman" w:cs="Times New Roman"/>
                <w:sz w:val="24"/>
                <w:szCs w:val="24"/>
              </w:rPr>
            </w:pPr>
            <w:r w:rsidRPr="00AB5DC0">
              <w:rPr>
                <w:rFonts w:ascii="Times New Roman" w:hAnsi="Times New Roman" w:cs="Times New Roman"/>
                <w:sz w:val="24"/>
                <w:szCs w:val="24"/>
              </w:rPr>
              <w:t> 1.</w:t>
            </w:r>
          </w:p>
        </w:tc>
        <w:tc>
          <w:tcPr>
            <w:tcW w:w="3153" w:type="dxa"/>
            <w:tcBorders>
              <w:top w:val="single" w:sz="4" w:space="0" w:color="auto"/>
              <w:left w:val="single" w:sz="4" w:space="0" w:color="auto"/>
              <w:bottom w:val="single" w:sz="4" w:space="0" w:color="auto"/>
              <w:right w:val="single" w:sz="4" w:space="0" w:color="auto"/>
            </w:tcBorders>
            <w:hideMark/>
          </w:tcPr>
          <w:p w:rsidR="00DE67BE" w:rsidRPr="00AB5DC0" w:rsidRDefault="00DE67BE" w:rsidP="00D37815">
            <w:pPr>
              <w:spacing w:after="0" w:line="240" w:lineRule="auto"/>
              <w:ind w:left="57" w:right="57"/>
              <w:rPr>
                <w:rFonts w:ascii="Times New Roman" w:hAnsi="Times New Roman" w:cs="Times New Roman"/>
                <w:sz w:val="24"/>
                <w:szCs w:val="24"/>
              </w:rPr>
            </w:pPr>
            <w:r w:rsidRPr="00AB5DC0">
              <w:rPr>
                <w:rFonts w:ascii="Times New Roman" w:hAnsi="Times New Roman" w:cs="Times New Roman"/>
                <w:sz w:val="24"/>
                <w:szCs w:val="24"/>
              </w:rPr>
              <w:t> Sabiedrības mērķgrupas,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rsidR="00DE67BE" w:rsidRPr="00AB5DC0" w:rsidRDefault="00DE67BE" w:rsidP="00D37815">
            <w:pPr>
              <w:spacing w:after="0" w:line="240" w:lineRule="auto"/>
              <w:ind w:left="57" w:right="57"/>
              <w:jc w:val="both"/>
              <w:rPr>
                <w:rFonts w:ascii="Times New Roman" w:eastAsia="Times New Roman" w:hAnsi="Times New Roman" w:cs="Times New Roman"/>
                <w:sz w:val="24"/>
                <w:szCs w:val="24"/>
                <w:lang w:eastAsia="lv-LV"/>
              </w:rPr>
            </w:pPr>
            <w:r w:rsidRPr="00AB5DC0">
              <w:rPr>
                <w:rFonts w:ascii="Times New Roman" w:eastAsia="Times New Roman" w:hAnsi="Times New Roman" w:cs="Times New Roman"/>
                <w:sz w:val="24"/>
                <w:szCs w:val="24"/>
                <w:lang w:eastAsia="lv-LV"/>
              </w:rPr>
              <w:t>89 Pašvaldību būvvaldes, t.sk. apvienotās būvvaldes</w:t>
            </w:r>
          </w:p>
          <w:p w:rsidR="00DE67BE" w:rsidRPr="00AB5DC0" w:rsidRDefault="00DE67BE" w:rsidP="00D37815">
            <w:pPr>
              <w:spacing w:after="0" w:line="240" w:lineRule="auto"/>
              <w:ind w:left="57" w:right="57"/>
              <w:jc w:val="both"/>
              <w:rPr>
                <w:rFonts w:ascii="Times New Roman" w:eastAsia="Times New Roman" w:hAnsi="Times New Roman" w:cs="Times New Roman"/>
                <w:sz w:val="24"/>
                <w:szCs w:val="24"/>
                <w:lang w:eastAsia="lv-LV"/>
              </w:rPr>
            </w:pPr>
            <w:r w:rsidRPr="00AB5DC0">
              <w:rPr>
                <w:rFonts w:ascii="Times New Roman" w:eastAsia="Times New Roman" w:hAnsi="Times New Roman" w:cs="Times New Roman"/>
                <w:sz w:val="24"/>
                <w:szCs w:val="24"/>
                <w:lang w:eastAsia="lv-LV"/>
              </w:rPr>
              <w:t xml:space="preserve">Personas, kuras ierosinās būvniecību </w:t>
            </w:r>
          </w:p>
          <w:p w:rsidR="00DE67BE" w:rsidRPr="00AB5DC0" w:rsidRDefault="00DE67BE" w:rsidP="00D37815">
            <w:pPr>
              <w:spacing w:after="0" w:line="240" w:lineRule="auto"/>
              <w:ind w:left="57" w:right="57"/>
              <w:jc w:val="both"/>
              <w:rPr>
                <w:rFonts w:ascii="Times New Roman" w:hAnsi="Times New Roman" w:cs="Times New Roman"/>
                <w:sz w:val="24"/>
                <w:szCs w:val="24"/>
              </w:rPr>
            </w:pPr>
            <w:r w:rsidRPr="00AB5DC0">
              <w:rPr>
                <w:rFonts w:ascii="Times New Roman" w:hAnsi="Times New Roman" w:cs="Times New Roman"/>
                <w:iCs/>
                <w:sz w:val="24"/>
                <w:szCs w:val="24"/>
              </w:rPr>
              <w:t xml:space="preserve"> </w:t>
            </w:r>
          </w:p>
        </w:tc>
      </w:tr>
      <w:tr w:rsidR="00DE67BE" w:rsidRPr="00AB5DC0" w:rsidTr="00D37815">
        <w:trPr>
          <w:trHeight w:val="523"/>
        </w:trPr>
        <w:tc>
          <w:tcPr>
            <w:tcW w:w="523" w:type="dxa"/>
            <w:tcBorders>
              <w:top w:val="single" w:sz="4" w:space="0" w:color="auto"/>
              <w:left w:val="single" w:sz="4" w:space="0" w:color="auto"/>
              <w:bottom w:val="single" w:sz="4" w:space="0" w:color="auto"/>
              <w:right w:val="single" w:sz="4" w:space="0" w:color="auto"/>
            </w:tcBorders>
            <w:hideMark/>
          </w:tcPr>
          <w:p w:rsidR="00DE67BE" w:rsidRPr="00AB5DC0" w:rsidRDefault="00DE67BE" w:rsidP="00D37815">
            <w:pPr>
              <w:spacing w:after="0" w:line="240" w:lineRule="auto"/>
              <w:ind w:left="57" w:right="57"/>
              <w:rPr>
                <w:rFonts w:ascii="Times New Roman" w:hAnsi="Times New Roman" w:cs="Times New Roman"/>
                <w:sz w:val="24"/>
                <w:szCs w:val="24"/>
              </w:rPr>
            </w:pPr>
            <w:r w:rsidRPr="00AB5DC0">
              <w:rPr>
                <w:rFonts w:ascii="Times New Roman" w:hAnsi="Times New Roman" w:cs="Times New Roman"/>
                <w:sz w:val="24"/>
                <w:szCs w:val="24"/>
              </w:rPr>
              <w:t> 2.</w:t>
            </w:r>
          </w:p>
        </w:tc>
        <w:tc>
          <w:tcPr>
            <w:tcW w:w="3153" w:type="dxa"/>
            <w:tcBorders>
              <w:top w:val="single" w:sz="4" w:space="0" w:color="auto"/>
              <w:left w:val="single" w:sz="4" w:space="0" w:color="auto"/>
              <w:bottom w:val="single" w:sz="4" w:space="0" w:color="auto"/>
              <w:right w:val="single" w:sz="4" w:space="0" w:color="auto"/>
            </w:tcBorders>
            <w:hideMark/>
          </w:tcPr>
          <w:p w:rsidR="00DE67BE" w:rsidRPr="00AB5DC0" w:rsidRDefault="00DE67BE" w:rsidP="00D37815">
            <w:pPr>
              <w:spacing w:after="0" w:line="240" w:lineRule="auto"/>
              <w:ind w:left="57" w:right="57"/>
              <w:rPr>
                <w:rFonts w:ascii="Times New Roman" w:hAnsi="Times New Roman" w:cs="Times New Roman"/>
                <w:sz w:val="24"/>
                <w:szCs w:val="24"/>
              </w:rPr>
            </w:pPr>
            <w:r w:rsidRPr="00AB5DC0">
              <w:rPr>
                <w:rFonts w:ascii="Times New Roman" w:hAnsi="Times New Roman" w:cs="Times New Roman"/>
                <w:sz w:val="24"/>
                <w:szCs w:val="24"/>
              </w:rPr>
              <w:t>Tiesiskā regulējuma ietekme uz tautsaimniecību un administratīvo slogu</w:t>
            </w:r>
          </w:p>
          <w:p w:rsidR="00DE67BE" w:rsidRPr="00AB5DC0" w:rsidRDefault="00DE67BE" w:rsidP="00D37815">
            <w:pPr>
              <w:spacing w:after="0" w:line="240" w:lineRule="auto"/>
              <w:ind w:left="57" w:right="57"/>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hideMark/>
          </w:tcPr>
          <w:p w:rsidR="00DE67BE" w:rsidRPr="00AB5DC0" w:rsidRDefault="00DE67BE" w:rsidP="00D37815">
            <w:pPr>
              <w:spacing w:after="0" w:line="240" w:lineRule="auto"/>
              <w:ind w:left="57" w:right="57"/>
              <w:jc w:val="both"/>
              <w:rPr>
                <w:rFonts w:ascii="Times New Roman" w:eastAsia="Times New Roman" w:hAnsi="Times New Roman" w:cs="Times New Roman"/>
                <w:sz w:val="24"/>
                <w:szCs w:val="24"/>
                <w:lang w:eastAsia="lv-LV"/>
              </w:rPr>
            </w:pPr>
            <w:r w:rsidRPr="00AB5DC0">
              <w:rPr>
                <w:rFonts w:ascii="Times New Roman" w:eastAsia="Times New Roman" w:hAnsi="Times New Roman" w:cs="Times New Roman"/>
                <w:sz w:val="24"/>
                <w:szCs w:val="24"/>
                <w:lang w:eastAsia="lv-LV"/>
              </w:rPr>
              <w:t xml:space="preserve">Tiesiskais regulējums nemazina administratīvo slogu </w:t>
            </w:r>
          </w:p>
          <w:p w:rsidR="00DE67BE" w:rsidRPr="00AB5DC0" w:rsidRDefault="00DE67BE" w:rsidP="00D37815">
            <w:pPr>
              <w:spacing w:after="0" w:line="240" w:lineRule="auto"/>
              <w:ind w:right="57"/>
              <w:jc w:val="both"/>
              <w:rPr>
                <w:rFonts w:ascii="Times New Roman" w:hAnsi="Times New Roman" w:cs="Times New Roman"/>
                <w:sz w:val="24"/>
                <w:szCs w:val="24"/>
              </w:rPr>
            </w:pPr>
          </w:p>
        </w:tc>
      </w:tr>
      <w:tr w:rsidR="00DE67BE" w:rsidRPr="00AB5DC0" w:rsidTr="00D37815">
        <w:trPr>
          <w:trHeight w:val="517"/>
        </w:trPr>
        <w:tc>
          <w:tcPr>
            <w:tcW w:w="523" w:type="dxa"/>
            <w:tcBorders>
              <w:top w:val="single" w:sz="4" w:space="0" w:color="auto"/>
              <w:left w:val="single" w:sz="4" w:space="0" w:color="auto"/>
              <w:bottom w:val="single" w:sz="4" w:space="0" w:color="auto"/>
              <w:right w:val="single" w:sz="4" w:space="0" w:color="auto"/>
            </w:tcBorders>
            <w:hideMark/>
          </w:tcPr>
          <w:p w:rsidR="00DE67BE" w:rsidRPr="00AB5DC0" w:rsidRDefault="00DE67BE" w:rsidP="00D37815">
            <w:pPr>
              <w:spacing w:after="0" w:line="240" w:lineRule="auto"/>
              <w:ind w:left="57" w:right="57"/>
              <w:rPr>
                <w:rFonts w:ascii="Times New Roman" w:hAnsi="Times New Roman" w:cs="Times New Roman"/>
                <w:sz w:val="24"/>
                <w:szCs w:val="24"/>
              </w:rPr>
            </w:pPr>
            <w:r w:rsidRPr="00AB5DC0">
              <w:rPr>
                <w:rFonts w:ascii="Times New Roman" w:hAnsi="Times New Roman" w:cs="Times New Roman"/>
                <w:sz w:val="24"/>
                <w:szCs w:val="24"/>
              </w:rPr>
              <w:t> 3.</w:t>
            </w:r>
          </w:p>
        </w:tc>
        <w:tc>
          <w:tcPr>
            <w:tcW w:w="3153" w:type="dxa"/>
            <w:tcBorders>
              <w:top w:val="single" w:sz="4" w:space="0" w:color="auto"/>
              <w:left w:val="single" w:sz="4" w:space="0" w:color="auto"/>
              <w:bottom w:val="single" w:sz="4" w:space="0" w:color="auto"/>
              <w:right w:val="single" w:sz="4" w:space="0" w:color="auto"/>
            </w:tcBorders>
            <w:hideMark/>
          </w:tcPr>
          <w:p w:rsidR="00DE67BE" w:rsidRPr="00AB5DC0" w:rsidRDefault="00DE67BE" w:rsidP="00D37815">
            <w:pPr>
              <w:spacing w:after="0" w:line="240" w:lineRule="auto"/>
              <w:ind w:left="57" w:right="57"/>
              <w:rPr>
                <w:rFonts w:ascii="Times New Roman" w:hAnsi="Times New Roman" w:cs="Times New Roman"/>
                <w:sz w:val="24"/>
                <w:szCs w:val="24"/>
              </w:rPr>
            </w:pPr>
            <w:r w:rsidRPr="00AB5DC0">
              <w:rPr>
                <w:rFonts w:ascii="Times New Roman" w:hAnsi="Times New Roman" w:cs="Times New Roman"/>
                <w:sz w:val="24"/>
                <w:szCs w:val="24"/>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rsidR="00DE67BE" w:rsidRPr="00AB5DC0" w:rsidRDefault="00DE67BE" w:rsidP="00D37815">
            <w:pPr>
              <w:spacing w:after="0" w:line="240" w:lineRule="auto"/>
              <w:ind w:left="57" w:right="57"/>
              <w:jc w:val="both"/>
              <w:rPr>
                <w:rFonts w:ascii="Times New Roman" w:eastAsia="Times New Roman" w:hAnsi="Times New Roman" w:cs="Times New Roman"/>
                <w:sz w:val="24"/>
                <w:szCs w:val="24"/>
                <w:lang w:eastAsia="lv-LV"/>
              </w:rPr>
            </w:pPr>
            <w:r w:rsidRPr="00AB5DC0">
              <w:rPr>
                <w:rFonts w:ascii="Times New Roman" w:eastAsia="Times New Roman" w:hAnsi="Times New Roman" w:cs="Times New Roman"/>
                <w:sz w:val="24"/>
                <w:szCs w:val="24"/>
                <w:lang w:eastAsia="lv-LV"/>
              </w:rPr>
              <w:t xml:space="preserve">Administratīvās izmaksas nav iespējams aprēķināt precīzi, tā kā dokumenta veids </w:t>
            </w:r>
            <w:r w:rsidRPr="00AB5DC0">
              <w:rPr>
                <w:rFonts w:ascii="Times New Roman" w:eastAsia="Times New Roman" w:hAnsi="Times New Roman" w:cs="Times New Roman"/>
                <w:i/>
                <w:sz w:val="24"/>
                <w:szCs w:val="24"/>
                <w:lang w:eastAsia="lv-LV"/>
              </w:rPr>
              <w:t>paskaidrojuma raksts</w:t>
            </w:r>
            <w:r w:rsidRPr="00AB5DC0">
              <w:rPr>
                <w:rFonts w:ascii="Times New Roman" w:eastAsia="Times New Roman" w:hAnsi="Times New Roman" w:cs="Times New Roman"/>
                <w:sz w:val="24"/>
                <w:szCs w:val="24"/>
                <w:lang w:eastAsia="lv-LV"/>
              </w:rPr>
              <w:t xml:space="preserve"> tika ieviests tikai no 2014.gada 1.oktobra ar jaunā būvniecības regulējuma spēkā stāšanos. Bez tam, dažas pašvaldības jau šobrīd iekasē kā pašvaldības nodevu par būvvaldes pieņemtiem lēmumiem būvniecības procesā - Lēmuma par apliecinājuma kartes akceptēšanu vienkāršotajai renovācijai un </w:t>
            </w:r>
            <w:r w:rsidRPr="00AB5DC0">
              <w:rPr>
                <w:rFonts w:ascii="Times New Roman" w:eastAsia="Times New Roman" w:hAnsi="Times New Roman" w:cs="Times New Roman"/>
                <w:sz w:val="24"/>
                <w:szCs w:val="24"/>
                <w:lang w:eastAsia="lv-LV"/>
              </w:rPr>
              <w:lastRenderedPageBreak/>
              <w:t>vienkāršotajai rekonstrukcijai un Lēmuma par tehniskās shēmas saskaņošanu vienkāršoto inženiertīklu pievadu un iekšējo inženiertīklu izbūvei, rekonstrukcijai vai renovācijai.</w:t>
            </w:r>
          </w:p>
          <w:p w:rsidR="00DE67BE" w:rsidRPr="00AB5DC0" w:rsidRDefault="00DE67BE" w:rsidP="00D37815">
            <w:pPr>
              <w:spacing w:after="0" w:line="240" w:lineRule="auto"/>
              <w:ind w:left="57" w:right="57"/>
              <w:jc w:val="both"/>
              <w:rPr>
                <w:rFonts w:ascii="Times New Roman" w:hAnsi="Times New Roman" w:cs="Times New Roman"/>
                <w:color w:val="0070C0"/>
                <w:sz w:val="24"/>
                <w:szCs w:val="24"/>
              </w:rPr>
            </w:pPr>
          </w:p>
        </w:tc>
      </w:tr>
      <w:tr w:rsidR="00DE67BE" w:rsidRPr="00AB5DC0" w:rsidTr="00D37815">
        <w:tc>
          <w:tcPr>
            <w:tcW w:w="523" w:type="dxa"/>
            <w:tcBorders>
              <w:top w:val="single" w:sz="4" w:space="0" w:color="auto"/>
              <w:left w:val="single" w:sz="4" w:space="0" w:color="auto"/>
              <w:bottom w:val="single" w:sz="4" w:space="0" w:color="auto"/>
              <w:right w:val="single" w:sz="4" w:space="0" w:color="auto"/>
            </w:tcBorders>
            <w:hideMark/>
          </w:tcPr>
          <w:p w:rsidR="00DE67BE" w:rsidRPr="00AB5DC0" w:rsidRDefault="00DE67BE" w:rsidP="00D37815">
            <w:pPr>
              <w:spacing w:after="0" w:line="240" w:lineRule="auto"/>
              <w:ind w:left="57" w:right="57"/>
              <w:rPr>
                <w:rFonts w:ascii="Times New Roman" w:hAnsi="Times New Roman" w:cs="Times New Roman"/>
                <w:sz w:val="24"/>
                <w:szCs w:val="24"/>
              </w:rPr>
            </w:pPr>
            <w:r w:rsidRPr="00AB5DC0">
              <w:rPr>
                <w:rFonts w:ascii="Times New Roman" w:hAnsi="Times New Roman" w:cs="Times New Roman"/>
                <w:sz w:val="24"/>
                <w:szCs w:val="24"/>
              </w:rPr>
              <w:lastRenderedPageBreak/>
              <w:t> 4.</w:t>
            </w:r>
          </w:p>
        </w:tc>
        <w:tc>
          <w:tcPr>
            <w:tcW w:w="3153" w:type="dxa"/>
            <w:tcBorders>
              <w:top w:val="single" w:sz="4" w:space="0" w:color="auto"/>
              <w:left w:val="single" w:sz="4" w:space="0" w:color="auto"/>
              <w:bottom w:val="single" w:sz="4" w:space="0" w:color="auto"/>
              <w:right w:val="single" w:sz="4" w:space="0" w:color="auto"/>
            </w:tcBorders>
            <w:hideMark/>
          </w:tcPr>
          <w:p w:rsidR="00DE67BE" w:rsidRPr="00AB5DC0" w:rsidRDefault="00DE67BE" w:rsidP="00D37815">
            <w:pPr>
              <w:spacing w:after="0" w:line="240" w:lineRule="auto"/>
              <w:ind w:left="57" w:right="57"/>
              <w:rPr>
                <w:rFonts w:ascii="Times New Roman" w:hAnsi="Times New Roman" w:cs="Times New Roman"/>
                <w:sz w:val="24"/>
                <w:szCs w:val="24"/>
              </w:rPr>
            </w:pPr>
            <w:r w:rsidRPr="00AB5DC0">
              <w:rPr>
                <w:rFonts w:ascii="Times New Roman" w:hAnsi="Times New Roman" w:cs="Times New Roman"/>
                <w:sz w:val="24"/>
                <w:szCs w:val="24"/>
              </w:rPr>
              <w:t> Cita informācija</w:t>
            </w:r>
          </w:p>
        </w:tc>
        <w:tc>
          <w:tcPr>
            <w:tcW w:w="5386" w:type="dxa"/>
            <w:tcBorders>
              <w:top w:val="single" w:sz="4" w:space="0" w:color="auto"/>
              <w:left w:val="single" w:sz="4" w:space="0" w:color="auto"/>
              <w:bottom w:val="single" w:sz="4" w:space="0" w:color="auto"/>
              <w:right w:val="single" w:sz="4" w:space="0" w:color="auto"/>
            </w:tcBorders>
            <w:hideMark/>
          </w:tcPr>
          <w:p w:rsidR="00DE67BE" w:rsidRPr="00AB5DC0" w:rsidRDefault="00DE67BE" w:rsidP="00D37815">
            <w:pPr>
              <w:spacing w:after="0" w:line="240" w:lineRule="auto"/>
              <w:ind w:left="57" w:right="57"/>
              <w:jc w:val="both"/>
              <w:rPr>
                <w:rFonts w:ascii="Times New Roman" w:eastAsia="Times New Roman" w:hAnsi="Times New Roman" w:cs="Times New Roman"/>
                <w:sz w:val="24"/>
                <w:szCs w:val="24"/>
                <w:lang w:eastAsia="lv-LV"/>
              </w:rPr>
            </w:pPr>
            <w:r w:rsidRPr="00AB5DC0">
              <w:rPr>
                <w:rFonts w:ascii="Times New Roman" w:eastAsia="Times New Roman" w:hAnsi="Times New Roman" w:cs="Times New Roman"/>
                <w:sz w:val="24"/>
                <w:szCs w:val="24"/>
                <w:lang w:eastAsia="lv-LV"/>
              </w:rPr>
              <w:t>Pašvaldības nodevas apmēru katra pašvaldība nosaka saistošajos noteikumos, pie tam, daļa pašvaldību nodevas apmēra noteikšanai izmanto algoritmu, kurā tiek vērtēts būves lietošanas veids (funkcija), būvniecības veids (jauna būvniecība, atjaunošana, pārbūve), būves apjoms (ēkām – platība, inženiertīkliem – garums), kā arī būves atrašanās vieta administratīvās teritorijas zonējumā. Šāds regulējums ir noteikts Rīgā, Pierīgas pašvaldībās, kā arī Republikas pilsētās. Daļā pašvaldību nodevas likme tiek noteikta kā konstants maksājums, kurā tiek vērtēta tikai  būves lietošanas veids (funkcija), būvniecības ierosinātājs – fiziska vai juridiska persona un būvniecības veids.</w:t>
            </w:r>
          </w:p>
          <w:p w:rsidR="00DE67BE" w:rsidRPr="00AB5DC0" w:rsidRDefault="00DE67BE" w:rsidP="00D37815">
            <w:pPr>
              <w:spacing w:after="0" w:line="240" w:lineRule="auto"/>
              <w:ind w:left="57" w:right="57"/>
              <w:jc w:val="both"/>
              <w:rPr>
                <w:rFonts w:ascii="Times New Roman" w:eastAsia="Times New Roman" w:hAnsi="Times New Roman" w:cs="Times New Roman"/>
                <w:sz w:val="24"/>
                <w:szCs w:val="24"/>
                <w:lang w:eastAsia="lv-LV"/>
              </w:rPr>
            </w:pPr>
            <w:r w:rsidRPr="00AB5DC0">
              <w:rPr>
                <w:rFonts w:ascii="Times New Roman" w:eastAsia="Times New Roman" w:hAnsi="Times New Roman" w:cs="Times New Roman"/>
                <w:sz w:val="24"/>
                <w:szCs w:val="24"/>
                <w:lang w:eastAsia="lv-LV"/>
              </w:rPr>
              <w:t xml:space="preserve">Jānorāda, ka, piemēram, Rīgas pilsētas Būvvalde iekasē pašvaldības nodevu par Būvvaldes izstrādāto oficiālo dokumentu un to apliecinātu kopiju saņemšanu pamatojoties uz </w:t>
            </w:r>
            <w:r w:rsidRPr="00AB5DC0">
              <w:rPr>
                <w:rFonts w:ascii="Times New Roman" w:eastAsia="Times New Roman" w:hAnsi="Times New Roman" w:cs="Times New Roman"/>
                <w:iCs/>
                <w:sz w:val="24"/>
                <w:szCs w:val="24"/>
                <w:lang w:eastAsia="lv-LV"/>
              </w:rPr>
              <w:t>likuma “</w:t>
            </w:r>
            <w:hyperlink r:id="rId6" w:tgtFrame="_blank" w:history="1">
              <w:r w:rsidRPr="00AB5DC0">
                <w:rPr>
                  <w:rFonts w:ascii="Times New Roman" w:eastAsia="Times New Roman" w:hAnsi="Times New Roman" w:cs="Times New Roman"/>
                  <w:iCs/>
                  <w:sz w:val="24"/>
                  <w:szCs w:val="24"/>
                  <w:lang w:eastAsia="lv-LV"/>
                </w:rPr>
                <w:t>Par nodokļiem un nodevām</w:t>
              </w:r>
            </w:hyperlink>
            <w:r w:rsidRPr="00AB5DC0">
              <w:rPr>
                <w:rFonts w:ascii="Times New Roman" w:eastAsia="Times New Roman" w:hAnsi="Times New Roman" w:cs="Times New Roman"/>
                <w:iCs/>
                <w:sz w:val="24"/>
                <w:szCs w:val="24"/>
                <w:lang w:eastAsia="lv-LV"/>
              </w:rPr>
              <w:t xml:space="preserve">” </w:t>
            </w:r>
            <w:hyperlink r:id="rId7" w:anchor="p12" w:tgtFrame="_blank" w:history="1">
              <w:r w:rsidRPr="00AB5DC0">
                <w:rPr>
                  <w:rFonts w:ascii="Times New Roman" w:eastAsia="Times New Roman" w:hAnsi="Times New Roman" w:cs="Times New Roman"/>
                  <w:iCs/>
                  <w:sz w:val="24"/>
                  <w:szCs w:val="24"/>
                  <w:lang w:eastAsia="lv-LV"/>
                </w:rPr>
                <w:t>12.panta</w:t>
              </w:r>
            </w:hyperlink>
            <w:r w:rsidRPr="00AB5DC0">
              <w:rPr>
                <w:rFonts w:ascii="Times New Roman" w:eastAsia="Times New Roman" w:hAnsi="Times New Roman" w:cs="Times New Roman"/>
                <w:iCs/>
                <w:sz w:val="24"/>
                <w:szCs w:val="24"/>
                <w:lang w:eastAsia="lv-LV"/>
              </w:rPr>
              <w:t xml:space="preserve"> pirmās daļas 1.punktu (2009.gada 16.jūnija Rīgas domes saistošie noteikumi Nr.178). Šī nodeva tiek iekasēta par </w:t>
            </w:r>
            <w:r w:rsidRPr="00AB5DC0">
              <w:rPr>
                <w:rFonts w:ascii="Times New Roman" w:eastAsia="Times New Roman" w:hAnsi="Times New Roman" w:cs="Times New Roman"/>
                <w:sz w:val="24"/>
                <w:szCs w:val="24"/>
                <w:lang w:eastAsia="lv-LV"/>
              </w:rPr>
              <w:t>Lēmuma par apliecinājuma kartes akceptēšanu vienkāršotajai renovācijai un vienkāršotajai rekonstrukcijai un Lēmuma par tehniskās shēmas saskaņošanu vienkāršoto inženiertīklu pievadu un iekšējo inženiertīklu izbūvei, rekonstrukcijai vai renovācijai.</w:t>
            </w:r>
          </w:p>
          <w:p w:rsidR="00DE67BE" w:rsidRPr="00AB5DC0" w:rsidRDefault="00DE67BE" w:rsidP="00D37815">
            <w:pPr>
              <w:spacing w:after="0" w:line="240" w:lineRule="auto"/>
              <w:ind w:left="57" w:right="57"/>
              <w:jc w:val="both"/>
              <w:rPr>
                <w:rFonts w:ascii="Times New Roman" w:hAnsi="Times New Roman" w:cs="Times New Roman"/>
                <w:color w:val="0070C0"/>
                <w:sz w:val="24"/>
                <w:szCs w:val="24"/>
              </w:rPr>
            </w:pPr>
          </w:p>
        </w:tc>
      </w:tr>
    </w:tbl>
    <w:p w:rsidR="00DE67BE" w:rsidRDefault="00DE67BE" w:rsidP="00DE67BE">
      <w:pPr>
        <w:spacing w:after="0" w:line="240" w:lineRule="auto"/>
        <w:ind w:left="57" w:right="57"/>
        <w:rPr>
          <w:rFonts w:ascii="Times New Roman" w:hAnsi="Times New Roman" w:cs="Times New Roman"/>
          <w:sz w:val="26"/>
          <w:szCs w:val="26"/>
        </w:rPr>
      </w:pP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
        <w:gridCol w:w="1196"/>
        <w:gridCol w:w="948"/>
        <w:gridCol w:w="487"/>
        <w:gridCol w:w="1428"/>
        <w:gridCol w:w="1428"/>
        <w:gridCol w:w="1428"/>
        <w:gridCol w:w="1655"/>
      </w:tblGrid>
      <w:tr w:rsidR="00DE67BE" w:rsidRPr="00AB5DC0" w:rsidTr="00D37815">
        <w:trPr>
          <w:jc w:val="center"/>
        </w:trPr>
        <w:tc>
          <w:tcPr>
            <w:tcW w:w="8935" w:type="dxa"/>
            <w:gridSpan w:val="8"/>
            <w:tcBorders>
              <w:top w:val="single" w:sz="4" w:space="0" w:color="auto"/>
              <w:left w:val="single" w:sz="4" w:space="0" w:color="auto"/>
              <w:bottom w:val="single" w:sz="4" w:space="0" w:color="auto"/>
              <w:right w:val="single" w:sz="4" w:space="0" w:color="auto"/>
            </w:tcBorders>
            <w:shd w:val="clear" w:color="auto" w:fill="FFFFFF"/>
          </w:tcPr>
          <w:p w:rsidR="00DE67BE" w:rsidRPr="00AB5DC0" w:rsidRDefault="00DE67BE" w:rsidP="00D37815">
            <w:pPr>
              <w:spacing w:after="0" w:line="240" w:lineRule="auto"/>
              <w:ind w:left="57" w:right="57"/>
              <w:jc w:val="center"/>
              <w:rPr>
                <w:rFonts w:ascii="Times New Roman" w:hAnsi="Times New Roman" w:cs="Times New Roman"/>
                <w:b/>
                <w:sz w:val="26"/>
                <w:szCs w:val="26"/>
              </w:rPr>
            </w:pPr>
            <w:r w:rsidRPr="00AB5DC0">
              <w:rPr>
                <w:rFonts w:ascii="Times New Roman" w:hAnsi="Times New Roman" w:cs="Times New Roman"/>
                <w:b/>
                <w:sz w:val="26"/>
                <w:szCs w:val="26"/>
              </w:rPr>
              <w:t xml:space="preserve">III. Tiesību akta projekta ietekme uz valsts budžetu un pašvaldību budžetiem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B5DC0">
              <w:rPr>
                <w:rFonts w:ascii="Times New Roman" w:eastAsia="Times New Roman" w:hAnsi="Times New Roman" w:cs="Times New Roman"/>
                <w:b/>
                <w:bCs/>
                <w:color w:val="414142"/>
                <w:sz w:val="24"/>
                <w:szCs w:val="24"/>
                <w:lang w:eastAsia="lv-LV"/>
              </w:rPr>
              <w:t>Rādītāji</w:t>
            </w:r>
          </w:p>
        </w:tc>
        <w:tc>
          <w:tcPr>
            <w:tcW w:w="2874" w:type="dxa"/>
            <w:gridSpan w:val="3"/>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B5DC0">
              <w:rPr>
                <w:rFonts w:ascii="Times New Roman" w:eastAsia="Times New Roman" w:hAnsi="Times New Roman" w:cs="Times New Roman"/>
                <w:b/>
                <w:bCs/>
                <w:color w:val="414142"/>
                <w:sz w:val="24"/>
                <w:szCs w:val="24"/>
                <w:lang w:eastAsia="lv-LV"/>
              </w:rPr>
              <w:t>n-tais gads</w:t>
            </w:r>
          </w:p>
        </w:tc>
        <w:tc>
          <w:tcPr>
            <w:tcW w:w="4532"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Turpmākie trīs gadi (</w:t>
            </w:r>
            <w:r w:rsidRPr="00AB5DC0">
              <w:rPr>
                <w:rFonts w:ascii="Times New Roman" w:eastAsia="Times New Roman" w:hAnsi="Times New Roman" w:cs="Times New Roman"/>
                <w:i/>
                <w:iCs/>
                <w:color w:val="414142"/>
                <w:sz w:val="24"/>
                <w:szCs w:val="24"/>
                <w:lang w:eastAsia="lv-LV"/>
              </w:rPr>
              <w:t>euro</w:t>
            </w:r>
            <w:r w:rsidRPr="00AB5DC0">
              <w:rPr>
                <w:rFonts w:ascii="Times New Roman" w:eastAsia="Times New Roman" w:hAnsi="Times New Roman" w:cs="Times New Roman"/>
                <w:color w:val="414142"/>
                <w:sz w:val="24"/>
                <w:szCs w:val="24"/>
                <w:lang w:eastAsia="lv-LV"/>
              </w:rPr>
              <w:t>)</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rPr>
                <w:rFonts w:ascii="Times New Roman" w:eastAsia="Times New Roman" w:hAnsi="Times New Roman" w:cs="Times New Roman"/>
                <w:b/>
                <w:bCs/>
                <w:color w:val="414142"/>
                <w:sz w:val="24"/>
                <w:szCs w:val="24"/>
                <w:lang w:eastAsia="lv-LV"/>
              </w:rPr>
            </w:pPr>
          </w:p>
        </w:tc>
        <w:tc>
          <w:tcPr>
            <w:tcW w:w="2874" w:type="dxa"/>
            <w:gridSpan w:val="3"/>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rPr>
                <w:rFonts w:ascii="Times New Roman" w:eastAsia="Times New Roman" w:hAnsi="Times New Roman" w:cs="Times New Roman"/>
                <w:b/>
                <w:bCs/>
                <w:color w:val="414142"/>
                <w:sz w:val="24"/>
                <w:szCs w:val="24"/>
                <w:lang w:eastAsia="lv-LV"/>
              </w:rPr>
            </w:pP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B5DC0">
              <w:rPr>
                <w:rFonts w:ascii="Times New Roman" w:eastAsia="Times New Roman" w:hAnsi="Times New Roman" w:cs="Times New Roman"/>
                <w:b/>
                <w:bCs/>
                <w:color w:val="414142"/>
                <w:sz w:val="24"/>
                <w:szCs w:val="24"/>
                <w:lang w:eastAsia="lv-LV"/>
              </w:rPr>
              <w:t>n+1</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B5DC0">
              <w:rPr>
                <w:rFonts w:ascii="Times New Roman" w:eastAsia="Times New Roman" w:hAnsi="Times New Roman" w:cs="Times New Roman"/>
                <w:b/>
                <w:bCs/>
                <w:color w:val="414142"/>
                <w:sz w:val="24"/>
                <w:szCs w:val="24"/>
                <w:lang w:eastAsia="lv-LV"/>
              </w:rPr>
              <w:t>n+2</w:t>
            </w:r>
          </w:p>
        </w:tc>
        <w:tc>
          <w:tcPr>
            <w:tcW w:w="166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B5DC0">
              <w:rPr>
                <w:rFonts w:ascii="Times New Roman" w:eastAsia="Times New Roman" w:hAnsi="Times New Roman" w:cs="Times New Roman"/>
                <w:b/>
                <w:bCs/>
                <w:color w:val="414142"/>
                <w:sz w:val="24"/>
                <w:szCs w:val="24"/>
                <w:lang w:eastAsia="lv-LV"/>
              </w:rPr>
              <w:t>n+3</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rPr>
                <w:rFonts w:ascii="Times New Roman" w:eastAsia="Times New Roman" w:hAnsi="Times New Roman" w:cs="Times New Roman"/>
                <w:b/>
                <w:bCs/>
                <w:color w:val="414142"/>
                <w:sz w:val="24"/>
                <w:szCs w:val="24"/>
                <w:lang w:eastAsia="lv-LV"/>
              </w:rPr>
            </w:pP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sz w:val="24"/>
                <w:szCs w:val="24"/>
                <w:lang w:eastAsia="lv-LV"/>
              </w:rPr>
            </w:pPr>
            <w:r w:rsidRPr="00AB5DC0">
              <w:rPr>
                <w:rFonts w:ascii="Times New Roman" w:eastAsia="Times New Roman" w:hAnsi="Times New Roman" w:cs="Times New Roman"/>
                <w:sz w:val="24"/>
                <w:szCs w:val="24"/>
                <w:lang w:eastAsia="lv-LV"/>
              </w:rPr>
              <w:t>saskaņā ar valsts budžetu kārtējam gadam</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sz w:val="24"/>
                <w:szCs w:val="24"/>
                <w:lang w:eastAsia="lv-LV"/>
              </w:rPr>
            </w:pPr>
            <w:r w:rsidRPr="00AB5DC0">
              <w:rPr>
                <w:rFonts w:ascii="Times New Roman" w:eastAsia="Times New Roman" w:hAnsi="Times New Roman" w:cs="Times New Roman"/>
                <w:sz w:val="24"/>
                <w:szCs w:val="24"/>
                <w:lang w:eastAsia="lv-LV"/>
              </w:rPr>
              <w:t>izmaiņas kārtējā gadā, salīdzinot ar valsts budžetu kārtējam gadam</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sz w:val="24"/>
                <w:szCs w:val="24"/>
                <w:lang w:eastAsia="lv-LV"/>
              </w:rPr>
            </w:pPr>
            <w:r w:rsidRPr="00AB5DC0">
              <w:rPr>
                <w:rFonts w:ascii="Times New Roman" w:eastAsia="Times New Roman" w:hAnsi="Times New Roman" w:cs="Times New Roman"/>
                <w:sz w:val="24"/>
                <w:szCs w:val="24"/>
                <w:lang w:eastAsia="lv-LV"/>
              </w:rPr>
              <w:t>izmaiņas, salīdzinot ar kārtējo (n) gadu</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sz w:val="24"/>
                <w:szCs w:val="24"/>
                <w:lang w:eastAsia="lv-LV"/>
              </w:rPr>
            </w:pPr>
            <w:r w:rsidRPr="00AB5DC0">
              <w:rPr>
                <w:rFonts w:ascii="Times New Roman" w:eastAsia="Times New Roman" w:hAnsi="Times New Roman" w:cs="Times New Roman"/>
                <w:sz w:val="24"/>
                <w:szCs w:val="24"/>
                <w:lang w:eastAsia="lv-LV"/>
              </w:rPr>
              <w:t>izmaiņas, salīdzinot ar kārtējo (n) gadu</w:t>
            </w:r>
          </w:p>
        </w:tc>
        <w:tc>
          <w:tcPr>
            <w:tcW w:w="166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sz w:val="24"/>
                <w:szCs w:val="24"/>
                <w:lang w:eastAsia="lv-LV"/>
              </w:rPr>
            </w:pPr>
            <w:r w:rsidRPr="00AB5DC0">
              <w:rPr>
                <w:rFonts w:ascii="Times New Roman" w:eastAsia="Times New Roman" w:hAnsi="Times New Roman" w:cs="Times New Roman"/>
                <w:sz w:val="24"/>
                <w:szCs w:val="24"/>
                <w:lang w:eastAsia="lv-LV"/>
              </w:rPr>
              <w:t>izmaiņas, salīdzinot ar kārtējo (n) gadu</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1</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2</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3</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4</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5</w:t>
            </w:r>
          </w:p>
        </w:tc>
        <w:tc>
          <w:tcPr>
            <w:tcW w:w="166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6</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1. Budžeta ieņēmumi:</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xml:space="preserve">1.1. valsts pamatbudžets, tai skaitā ieņēmumi no </w:t>
            </w:r>
            <w:r w:rsidRPr="00AB5DC0">
              <w:rPr>
                <w:rFonts w:ascii="Times New Roman" w:eastAsia="Times New Roman" w:hAnsi="Times New Roman" w:cs="Times New Roman"/>
                <w:color w:val="414142"/>
                <w:sz w:val="24"/>
                <w:szCs w:val="24"/>
                <w:lang w:eastAsia="lv-LV"/>
              </w:rPr>
              <w:lastRenderedPageBreak/>
              <w:t>maksas pakalpojumiem un citi pašu ieņēmumi</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lastRenderedPageBreak/>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lastRenderedPageBreak/>
              <w:t>1.2. valsts speciālais budžets</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1.3. pašvaldību budžets</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Nav precīzi nosakāms</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Nav precīzi nosakāms</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Nav precīzi nosakāms</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Nav precīzi nosakāms</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Nav precīzi nosakāms</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2. Budžeta izdevumi:</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2.1. valsts pamatbudžets</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2.2. valsts speciālais budžets</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2.3. pašvaldību budžets</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3. Finansiālā ietekme:</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0</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0</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0</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0</w:t>
            </w:r>
          </w:p>
        </w:tc>
        <w:tc>
          <w:tcPr>
            <w:tcW w:w="166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0</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3.1. valsts pamatbudžets</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3.2. speciālais budžets</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3.3. pašvaldību budžets</w:t>
            </w:r>
          </w:p>
        </w:tc>
        <w:tc>
          <w:tcPr>
            <w:tcW w:w="1440"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4. Finanšu līdzekļi papildu izdevumu finansēšanai (kompensējošu izdevumu samazinājumu norāda ar "+" zīmi)</w:t>
            </w:r>
          </w:p>
        </w:tc>
        <w:tc>
          <w:tcPr>
            <w:tcW w:w="1440"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X</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tc>
        <w:tc>
          <w:tcPr>
            <w:tcW w:w="1440"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tc>
        <w:tc>
          <w:tcPr>
            <w:tcW w:w="1440"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5. Precizēta finansiālā ietekme:</w:t>
            </w:r>
          </w:p>
        </w:tc>
        <w:tc>
          <w:tcPr>
            <w:tcW w:w="1440"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X</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0</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0</w:t>
            </w:r>
          </w:p>
        </w:tc>
        <w:tc>
          <w:tcPr>
            <w:tcW w:w="14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0</w:t>
            </w:r>
          </w:p>
        </w:tc>
        <w:tc>
          <w:tcPr>
            <w:tcW w:w="166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jc w:val="center"/>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0</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1. valsts pamatbudžets</w:t>
            </w:r>
          </w:p>
        </w:tc>
        <w:tc>
          <w:tcPr>
            <w:tcW w:w="1440"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5.2. speciālais budžets</w:t>
            </w:r>
          </w:p>
        </w:tc>
        <w:tc>
          <w:tcPr>
            <w:tcW w:w="1440"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5.3. pašvaldību budžets</w:t>
            </w:r>
          </w:p>
        </w:tc>
        <w:tc>
          <w:tcPr>
            <w:tcW w:w="1440"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43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c>
          <w:tcPr>
            <w:tcW w:w="1664" w:type="dxa"/>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 xml:space="preserve">6. Detalizēts ieņēmumu un </w:t>
            </w:r>
            <w:r w:rsidRPr="00AB5DC0">
              <w:rPr>
                <w:rFonts w:ascii="Times New Roman" w:eastAsia="Times New Roman" w:hAnsi="Times New Roman" w:cs="Times New Roman"/>
                <w:color w:val="414142"/>
                <w:sz w:val="24"/>
                <w:szCs w:val="24"/>
                <w:lang w:eastAsia="lv-LV"/>
              </w:rPr>
              <w:lastRenderedPageBreak/>
              <w:t>izdevumu aprēķins (ja nepieciešams, detalizētu ieņēmumu un izdevumu aprēķinu var pievienot anotācijas pielikumā):</w:t>
            </w:r>
          </w:p>
        </w:tc>
        <w:tc>
          <w:tcPr>
            <w:tcW w:w="7406" w:type="dxa"/>
            <w:gridSpan w:val="6"/>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lastRenderedPageBreak/>
              <w:t>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lastRenderedPageBreak/>
              <w:t>6.1. detalizēts ieņēmumu aprēķins</w:t>
            </w:r>
          </w:p>
        </w:tc>
        <w:tc>
          <w:tcPr>
            <w:tcW w:w="7406" w:type="dxa"/>
            <w:gridSpan w:val="6"/>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c>
          <w:tcPr>
            <w:tcW w:w="1529" w:type="dxa"/>
            <w:gridSpan w:val="2"/>
            <w:tcBorders>
              <w:top w:val="outset" w:sz="6" w:space="0" w:color="414142"/>
              <w:left w:val="outset" w:sz="6" w:space="0" w:color="414142"/>
              <w:bottom w:val="single" w:sz="4" w:space="0" w:color="auto"/>
              <w:right w:val="outset" w:sz="6" w:space="0" w:color="414142"/>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6.2. detalizēts izdevumu aprēķins</w:t>
            </w:r>
          </w:p>
        </w:tc>
        <w:tc>
          <w:tcPr>
            <w:tcW w:w="7406" w:type="dxa"/>
            <w:gridSpan w:val="6"/>
            <w:vMerge/>
            <w:tcBorders>
              <w:top w:val="outset" w:sz="6" w:space="0" w:color="414142"/>
              <w:left w:val="outset" w:sz="6" w:space="0" w:color="414142"/>
              <w:bottom w:val="single" w:sz="4" w:space="0" w:color="auto"/>
              <w:right w:val="outset" w:sz="6" w:space="0" w:color="414142"/>
            </w:tcBorders>
            <w:shd w:val="clear" w:color="auto" w:fill="FFFFFF"/>
            <w:vAlign w:val="center"/>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444"/>
        </w:trPr>
        <w:tc>
          <w:tcPr>
            <w:tcW w:w="15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E67BE" w:rsidRPr="00AB5DC0" w:rsidRDefault="00DE67BE" w:rsidP="00D37815">
            <w:pPr>
              <w:spacing w:after="0" w:line="240" w:lineRule="auto"/>
              <w:rPr>
                <w:rFonts w:ascii="Times New Roman" w:eastAsia="Times New Roman" w:hAnsi="Times New Roman" w:cs="Times New Roman"/>
                <w:color w:val="414142"/>
                <w:sz w:val="24"/>
                <w:szCs w:val="24"/>
                <w:lang w:eastAsia="lv-LV"/>
              </w:rPr>
            </w:pPr>
            <w:r w:rsidRPr="00AB5DC0">
              <w:rPr>
                <w:rFonts w:ascii="Times New Roman" w:eastAsia="Times New Roman" w:hAnsi="Times New Roman" w:cs="Times New Roman"/>
                <w:color w:val="414142"/>
                <w:sz w:val="24"/>
                <w:szCs w:val="24"/>
                <w:lang w:eastAsia="lv-LV"/>
              </w:rPr>
              <w:t>7. Cita informācija</w:t>
            </w:r>
          </w:p>
        </w:tc>
        <w:tc>
          <w:tcPr>
            <w:tcW w:w="740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DE67BE" w:rsidRPr="00AB5DC0" w:rsidRDefault="00DE67BE" w:rsidP="00D37815">
            <w:pPr>
              <w:spacing w:after="0" w:line="240" w:lineRule="auto"/>
              <w:jc w:val="both"/>
              <w:rPr>
                <w:rFonts w:ascii="Times New Roman" w:eastAsia="Times New Roman" w:hAnsi="Times New Roman" w:cs="Times New Roman"/>
                <w:sz w:val="24"/>
                <w:szCs w:val="24"/>
                <w:lang w:eastAsia="lv-LV"/>
              </w:rPr>
            </w:pPr>
            <w:r w:rsidRPr="00AB5DC0">
              <w:rPr>
                <w:rFonts w:ascii="Times New Roman" w:eastAsia="Times New Roman" w:hAnsi="Times New Roman" w:cs="Times New Roman"/>
                <w:sz w:val="24"/>
                <w:szCs w:val="24"/>
                <w:lang w:eastAsia="lv-LV"/>
              </w:rPr>
              <w:t xml:space="preserve">Pašvaldības nodevas apmēru katra pašvaldība nosaka saistošajos noteikumos. </w:t>
            </w:r>
            <w:r w:rsidRPr="008D1585">
              <w:rPr>
                <w:rFonts w:ascii="Times New Roman" w:eastAsia="Times New Roman" w:hAnsi="Times New Roman" w:cs="Times New Roman"/>
                <w:sz w:val="24"/>
                <w:szCs w:val="24"/>
                <w:lang w:eastAsia="lv-LV"/>
              </w:rPr>
              <w:t>Pašvaldību kopējais budžets nav precīzi aprēķināms par būvatļauju izdošanu vai būvniecības ieceres akceptu ieņēmumiem, tādēļ</w:t>
            </w:r>
            <w:r w:rsidRPr="00AB5DC0">
              <w:rPr>
                <w:rFonts w:ascii="Times New Roman" w:eastAsia="Times New Roman" w:hAnsi="Times New Roman" w:cs="Times New Roman"/>
                <w:sz w:val="24"/>
                <w:szCs w:val="24"/>
                <w:lang w:eastAsia="lv-LV"/>
              </w:rPr>
              <w:t xml:space="preserve"> šāda informācija sadaļā nav iekļauta. </w:t>
            </w:r>
          </w:p>
        </w:tc>
      </w:tr>
      <w:tr w:rsidR="00DE67BE" w:rsidRPr="00AB5DC0" w:rsidTr="00D37815">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4" w:type="dxa"/>
            <w:left w:w="24" w:type="dxa"/>
            <w:bottom w:w="24" w:type="dxa"/>
            <w:right w:w="24" w:type="dxa"/>
          </w:tblCellMar>
          <w:tblLook w:val="04A0" w:firstRow="1" w:lastRow="0" w:firstColumn="1" w:lastColumn="0" w:noHBand="0" w:noVBand="1"/>
        </w:tblPrEx>
        <w:trPr>
          <w:trHeight w:val="444"/>
        </w:trPr>
        <w:tc>
          <w:tcPr>
            <w:tcW w:w="1529" w:type="dxa"/>
            <w:gridSpan w:val="2"/>
            <w:tcBorders>
              <w:top w:val="single" w:sz="4" w:space="0" w:color="auto"/>
              <w:left w:val="nil"/>
              <w:bottom w:val="single" w:sz="4" w:space="0" w:color="auto"/>
              <w:right w:val="nil"/>
            </w:tcBorders>
            <w:shd w:val="clear" w:color="auto" w:fill="FFFFFF"/>
          </w:tcPr>
          <w:p w:rsidR="00DE67BE" w:rsidRPr="00AB5DC0" w:rsidRDefault="00DE67BE" w:rsidP="00D37815">
            <w:pPr>
              <w:rPr>
                <w:rFonts w:ascii="Times New Roman" w:eastAsia="Times New Roman" w:hAnsi="Times New Roman" w:cs="Times New Roman"/>
                <w:color w:val="414142"/>
                <w:sz w:val="24"/>
                <w:szCs w:val="24"/>
                <w:lang w:eastAsia="lv-LV"/>
              </w:rPr>
            </w:pPr>
          </w:p>
        </w:tc>
        <w:tc>
          <w:tcPr>
            <w:tcW w:w="7406" w:type="dxa"/>
            <w:gridSpan w:val="6"/>
            <w:tcBorders>
              <w:top w:val="single" w:sz="4" w:space="0" w:color="auto"/>
              <w:left w:val="nil"/>
              <w:bottom w:val="single" w:sz="4" w:space="0" w:color="auto"/>
              <w:right w:val="nil"/>
            </w:tcBorders>
            <w:shd w:val="clear" w:color="auto" w:fill="FFFFFF"/>
          </w:tcPr>
          <w:p w:rsidR="00DE67BE" w:rsidRPr="00AB5DC0" w:rsidRDefault="00DE67BE" w:rsidP="00D37815">
            <w:pPr>
              <w:spacing w:before="100" w:beforeAutospacing="1" w:after="100" w:afterAutospacing="1" w:line="293" w:lineRule="atLeast"/>
              <w:jc w:val="both"/>
              <w:rPr>
                <w:rFonts w:ascii="Times New Roman" w:eastAsia="Times New Roman" w:hAnsi="Times New Roman" w:cs="Times New Roman"/>
                <w:sz w:val="24"/>
                <w:szCs w:val="24"/>
                <w:lang w:eastAsia="lv-LV"/>
              </w:rPr>
            </w:pPr>
          </w:p>
        </w:tc>
      </w:tr>
      <w:tr w:rsidR="00DE67BE" w:rsidRPr="00AB5DC0" w:rsidTr="00D37815">
        <w:trPr>
          <w:jc w:val="center"/>
        </w:trPr>
        <w:tc>
          <w:tcPr>
            <w:tcW w:w="8935" w:type="dxa"/>
            <w:gridSpan w:val="8"/>
            <w:tcBorders>
              <w:top w:val="single" w:sz="4" w:space="0" w:color="auto"/>
            </w:tcBorders>
          </w:tcPr>
          <w:p w:rsidR="00DE67BE" w:rsidRPr="00AB5DC0" w:rsidRDefault="00DE67BE" w:rsidP="00D37815">
            <w:pPr>
              <w:pStyle w:val="naisnod"/>
              <w:spacing w:before="0" w:after="0"/>
              <w:ind w:left="57" w:right="57"/>
              <w:rPr>
                <w:sz w:val="26"/>
                <w:szCs w:val="26"/>
              </w:rPr>
            </w:pPr>
            <w:r w:rsidRPr="00AB5DC0">
              <w:rPr>
                <w:sz w:val="26"/>
                <w:szCs w:val="26"/>
              </w:rPr>
              <w:t>VI. Sabiedrības līdzdalība un komunikācijas aktivitātes</w:t>
            </w:r>
          </w:p>
        </w:tc>
      </w:tr>
      <w:tr w:rsidR="00DE67BE" w:rsidRPr="00AB5DC0" w:rsidTr="00D37815">
        <w:trPr>
          <w:trHeight w:val="553"/>
          <w:jc w:val="center"/>
        </w:trPr>
        <w:tc>
          <w:tcPr>
            <w:tcW w:w="333" w:type="dxa"/>
          </w:tcPr>
          <w:p w:rsidR="00DE67BE" w:rsidRPr="00AB5DC0" w:rsidRDefault="00DE67BE" w:rsidP="00D37815">
            <w:pPr>
              <w:pStyle w:val="naiskr"/>
              <w:spacing w:before="0" w:after="0"/>
              <w:ind w:left="57" w:right="57"/>
              <w:rPr>
                <w:bCs/>
              </w:rPr>
            </w:pPr>
            <w:r w:rsidRPr="00AB5DC0">
              <w:rPr>
                <w:bCs/>
              </w:rPr>
              <w:t> 1.</w:t>
            </w:r>
          </w:p>
        </w:tc>
        <w:tc>
          <w:tcPr>
            <w:tcW w:w="2146" w:type="dxa"/>
            <w:gridSpan w:val="2"/>
          </w:tcPr>
          <w:p w:rsidR="00DE67BE" w:rsidRPr="00AB5DC0" w:rsidRDefault="00DE67BE" w:rsidP="00D37815">
            <w:pPr>
              <w:pStyle w:val="naiskr"/>
              <w:tabs>
                <w:tab w:val="left" w:pos="170"/>
              </w:tabs>
              <w:spacing w:before="0" w:after="0"/>
              <w:ind w:left="57" w:right="57"/>
            </w:pPr>
            <w:r w:rsidRPr="00AB5DC0">
              <w:t xml:space="preserve">Plānotās sabiedrības līdzdalības un komunikācijas aktivitātes saistībā ar projektu </w:t>
            </w:r>
          </w:p>
        </w:tc>
        <w:tc>
          <w:tcPr>
            <w:tcW w:w="6456" w:type="dxa"/>
            <w:gridSpan w:val="5"/>
          </w:tcPr>
          <w:p w:rsidR="00DE67BE" w:rsidRPr="00AB5DC0" w:rsidRDefault="00DE67BE" w:rsidP="00D37815">
            <w:pPr>
              <w:pStyle w:val="naiskr"/>
              <w:spacing w:before="0" w:after="0"/>
              <w:ind w:left="57" w:right="57"/>
              <w:jc w:val="both"/>
              <w:rPr>
                <w:iCs/>
              </w:rPr>
            </w:pPr>
            <w:r w:rsidRPr="00AB5DC0">
              <w:rPr>
                <w:iCs/>
              </w:rPr>
              <w:t>Noteikumu projekts sabiedrībai publiski ir pieejams Ekonomikas ministrijas mājās lapā internetā, kā arī pēc izsludināšanas Valsts sekretāra sanāksmē būs pieejams Ministru kabineta mājās lapā internetā.</w:t>
            </w:r>
          </w:p>
          <w:p w:rsidR="00DE67BE" w:rsidRPr="00AB5DC0" w:rsidRDefault="00DE67BE" w:rsidP="00D37815">
            <w:pPr>
              <w:pStyle w:val="naiskr"/>
              <w:spacing w:before="0" w:after="0"/>
              <w:ind w:left="57" w:right="57"/>
              <w:jc w:val="both"/>
              <w:rPr>
                <w:iCs/>
              </w:rPr>
            </w:pPr>
          </w:p>
        </w:tc>
      </w:tr>
      <w:tr w:rsidR="00DE67BE" w:rsidRPr="00AB5DC0" w:rsidTr="00D37815">
        <w:trPr>
          <w:trHeight w:val="339"/>
          <w:jc w:val="center"/>
        </w:trPr>
        <w:tc>
          <w:tcPr>
            <w:tcW w:w="333" w:type="dxa"/>
          </w:tcPr>
          <w:p w:rsidR="00DE67BE" w:rsidRPr="00AB5DC0" w:rsidRDefault="00DE67BE" w:rsidP="00D37815">
            <w:pPr>
              <w:pStyle w:val="naiskr"/>
              <w:spacing w:before="0" w:after="0"/>
              <w:ind w:left="57" w:right="57"/>
              <w:rPr>
                <w:bCs/>
              </w:rPr>
            </w:pPr>
            <w:r w:rsidRPr="00AB5DC0">
              <w:rPr>
                <w:bCs/>
              </w:rPr>
              <w:t> 2.</w:t>
            </w:r>
          </w:p>
        </w:tc>
        <w:tc>
          <w:tcPr>
            <w:tcW w:w="2146" w:type="dxa"/>
            <w:gridSpan w:val="2"/>
          </w:tcPr>
          <w:p w:rsidR="00DE67BE" w:rsidRPr="00AB5DC0" w:rsidRDefault="00DE67BE" w:rsidP="00D37815">
            <w:pPr>
              <w:pStyle w:val="naiskr"/>
              <w:spacing w:before="0" w:after="0"/>
              <w:ind w:left="57" w:right="57"/>
            </w:pPr>
            <w:r w:rsidRPr="00AB5DC0">
              <w:t>Sabiedrības līdzdalība projekta izstrādē</w:t>
            </w:r>
          </w:p>
        </w:tc>
        <w:tc>
          <w:tcPr>
            <w:tcW w:w="6456" w:type="dxa"/>
            <w:gridSpan w:val="5"/>
          </w:tcPr>
          <w:p w:rsidR="00DE67BE" w:rsidRPr="00AB5DC0" w:rsidRDefault="00DE67BE" w:rsidP="00D37815">
            <w:pPr>
              <w:pStyle w:val="naiskr"/>
              <w:spacing w:before="0" w:after="0"/>
              <w:ind w:left="57" w:right="57"/>
              <w:jc w:val="both"/>
            </w:pPr>
            <w:r w:rsidRPr="00AB5DC0">
              <w:t>Līdz šim sabiedrības priekšlikumi vai iebildumi nav saņemti.</w:t>
            </w:r>
          </w:p>
          <w:p w:rsidR="00DE67BE" w:rsidRPr="00AB5DC0" w:rsidRDefault="00DE67BE" w:rsidP="00D37815">
            <w:pPr>
              <w:pStyle w:val="naiskr"/>
              <w:spacing w:before="0" w:after="0"/>
              <w:ind w:left="57" w:right="57"/>
              <w:jc w:val="both"/>
            </w:pPr>
          </w:p>
        </w:tc>
      </w:tr>
      <w:tr w:rsidR="00DE67BE" w:rsidRPr="00AB5DC0" w:rsidTr="00D37815">
        <w:trPr>
          <w:trHeight w:val="375"/>
          <w:jc w:val="center"/>
        </w:trPr>
        <w:tc>
          <w:tcPr>
            <w:tcW w:w="333" w:type="dxa"/>
          </w:tcPr>
          <w:p w:rsidR="00DE67BE" w:rsidRPr="00AB5DC0" w:rsidRDefault="00DE67BE" w:rsidP="00D37815">
            <w:pPr>
              <w:pStyle w:val="naiskr"/>
              <w:spacing w:before="0" w:after="0"/>
              <w:ind w:left="57" w:right="57"/>
              <w:rPr>
                <w:bCs/>
              </w:rPr>
            </w:pPr>
            <w:r w:rsidRPr="00AB5DC0">
              <w:rPr>
                <w:bCs/>
              </w:rPr>
              <w:t> 3.</w:t>
            </w:r>
          </w:p>
        </w:tc>
        <w:tc>
          <w:tcPr>
            <w:tcW w:w="2146" w:type="dxa"/>
            <w:gridSpan w:val="2"/>
          </w:tcPr>
          <w:p w:rsidR="00DE67BE" w:rsidRPr="00AB5DC0" w:rsidRDefault="00DE67BE" w:rsidP="00D37815">
            <w:pPr>
              <w:pStyle w:val="naiskr"/>
              <w:spacing w:before="0" w:after="0"/>
              <w:ind w:left="57" w:right="57"/>
            </w:pPr>
            <w:r w:rsidRPr="00AB5DC0">
              <w:t>Sabiedrības līdzdalības rezultāti</w:t>
            </w:r>
          </w:p>
        </w:tc>
        <w:tc>
          <w:tcPr>
            <w:tcW w:w="6456" w:type="dxa"/>
            <w:gridSpan w:val="5"/>
          </w:tcPr>
          <w:p w:rsidR="00DE67BE" w:rsidRPr="00AB5DC0" w:rsidRDefault="00DE67BE" w:rsidP="00D37815">
            <w:pPr>
              <w:pStyle w:val="naiskr"/>
              <w:spacing w:before="0" w:after="0"/>
              <w:ind w:left="57" w:right="57"/>
              <w:jc w:val="both"/>
            </w:pPr>
            <w:r w:rsidRPr="00AB5DC0">
              <w:t>Sadaļa tiks precizēta atbilstoši saņemtajiem atzinumiem.</w:t>
            </w:r>
          </w:p>
          <w:p w:rsidR="00DE67BE" w:rsidRPr="00AB5DC0" w:rsidRDefault="00DE67BE" w:rsidP="00D37815">
            <w:pPr>
              <w:pStyle w:val="naiskr"/>
              <w:spacing w:before="0" w:after="0"/>
              <w:ind w:left="57" w:right="57"/>
              <w:jc w:val="both"/>
            </w:pPr>
          </w:p>
        </w:tc>
      </w:tr>
      <w:tr w:rsidR="00DE67BE" w:rsidRPr="00AB5DC0" w:rsidTr="00D37815">
        <w:trPr>
          <w:trHeight w:val="476"/>
          <w:jc w:val="center"/>
        </w:trPr>
        <w:tc>
          <w:tcPr>
            <w:tcW w:w="333" w:type="dxa"/>
          </w:tcPr>
          <w:p w:rsidR="00DE67BE" w:rsidRPr="00AB5DC0" w:rsidRDefault="00DE67BE" w:rsidP="00D37815">
            <w:pPr>
              <w:pStyle w:val="naiskr"/>
              <w:spacing w:before="0" w:after="0"/>
              <w:ind w:left="57" w:right="57"/>
              <w:rPr>
                <w:bCs/>
              </w:rPr>
            </w:pPr>
            <w:r w:rsidRPr="00AB5DC0">
              <w:rPr>
                <w:bCs/>
              </w:rPr>
              <w:t> 4.</w:t>
            </w:r>
          </w:p>
        </w:tc>
        <w:tc>
          <w:tcPr>
            <w:tcW w:w="2146" w:type="dxa"/>
            <w:gridSpan w:val="2"/>
          </w:tcPr>
          <w:p w:rsidR="00DE67BE" w:rsidRPr="00AB5DC0" w:rsidRDefault="00DE67BE" w:rsidP="00D37815">
            <w:pPr>
              <w:pStyle w:val="naiskr"/>
              <w:spacing w:before="0" w:after="0"/>
              <w:ind w:left="57" w:right="57"/>
            </w:pPr>
            <w:r w:rsidRPr="00AB5DC0">
              <w:t>Cita informācija</w:t>
            </w:r>
          </w:p>
        </w:tc>
        <w:tc>
          <w:tcPr>
            <w:tcW w:w="6456" w:type="dxa"/>
            <w:gridSpan w:val="5"/>
          </w:tcPr>
          <w:p w:rsidR="00DE67BE" w:rsidRPr="00AB5DC0" w:rsidRDefault="00DE67BE" w:rsidP="00D37815">
            <w:pPr>
              <w:pStyle w:val="naiskr"/>
              <w:spacing w:before="0" w:after="0"/>
              <w:ind w:left="57" w:right="57"/>
              <w:jc w:val="both"/>
            </w:pPr>
            <w:r w:rsidRPr="00AB5DC0">
              <w:t>Nav</w:t>
            </w:r>
          </w:p>
        </w:tc>
      </w:tr>
    </w:tbl>
    <w:p w:rsidR="00DE67BE" w:rsidRPr="00E13A68" w:rsidRDefault="00DE67BE" w:rsidP="00DE67BE">
      <w:pPr>
        <w:pStyle w:val="naisf"/>
        <w:tabs>
          <w:tab w:val="left" w:pos="6710"/>
        </w:tabs>
        <w:spacing w:before="0" w:after="0"/>
        <w:ind w:left="57" w:right="57"/>
        <w:rPr>
          <w:sz w:val="26"/>
          <w:szCs w:val="26"/>
        </w:rPr>
      </w:pPr>
    </w:p>
    <w:tbl>
      <w:tblPr>
        <w:tblW w:w="89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4"/>
        <w:gridCol w:w="3172"/>
        <w:gridCol w:w="5229"/>
      </w:tblGrid>
      <w:tr w:rsidR="00DE67BE" w:rsidRPr="00E13A68" w:rsidTr="00D37815">
        <w:trPr>
          <w:trHeight w:val="65"/>
        </w:trPr>
        <w:tc>
          <w:tcPr>
            <w:tcW w:w="8915" w:type="dxa"/>
            <w:gridSpan w:val="3"/>
          </w:tcPr>
          <w:p w:rsidR="00DE67BE" w:rsidRPr="00E13A68" w:rsidRDefault="00DE67BE" w:rsidP="00D37815">
            <w:pPr>
              <w:pStyle w:val="naisf"/>
              <w:tabs>
                <w:tab w:val="left" w:pos="6710"/>
              </w:tabs>
              <w:spacing w:before="0" w:after="0"/>
              <w:ind w:left="57" w:right="57"/>
              <w:jc w:val="center"/>
              <w:rPr>
                <w:sz w:val="26"/>
                <w:szCs w:val="26"/>
              </w:rPr>
            </w:pPr>
            <w:r w:rsidRPr="00E13A68">
              <w:rPr>
                <w:b/>
                <w:sz w:val="26"/>
                <w:szCs w:val="26"/>
              </w:rPr>
              <w:t>VII. Tiesību akta projekta izpildes nodrošināšana un tās ietekme uz institūcijām</w:t>
            </w:r>
          </w:p>
        </w:tc>
      </w:tr>
      <w:tr w:rsidR="00DE67BE" w:rsidRPr="00E13A68" w:rsidTr="00D37815">
        <w:trPr>
          <w:trHeight w:val="427"/>
        </w:trPr>
        <w:tc>
          <w:tcPr>
            <w:tcW w:w="514" w:type="dxa"/>
          </w:tcPr>
          <w:p w:rsidR="00DE67BE" w:rsidRPr="00AB5DC0" w:rsidRDefault="00DE67BE" w:rsidP="00D37815">
            <w:pPr>
              <w:pStyle w:val="naisf"/>
              <w:tabs>
                <w:tab w:val="left" w:pos="6710"/>
              </w:tabs>
              <w:spacing w:before="0" w:after="0"/>
              <w:ind w:left="57" w:right="57"/>
              <w:rPr>
                <w:szCs w:val="24"/>
              </w:rPr>
            </w:pPr>
            <w:r w:rsidRPr="00AB5DC0">
              <w:rPr>
                <w:szCs w:val="24"/>
              </w:rPr>
              <w:t> 1.</w:t>
            </w:r>
          </w:p>
        </w:tc>
        <w:tc>
          <w:tcPr>
            <w:tcW w:w="3172" w:type="dxa"/>
          </w:tcPr>
          <w:p w:rsidR="00DE67BE" w:rsidRPr="00AB5DC0" w:rsidRDefault="00DE67BE" w:rsidP="00D37815">
            <w:pPr>
              <w:pStyle w:val="naisf"/>
              <w:tabs>
                <w:tab w:val="left" w:pos="6710"/>
              </w:tabs>
              <w:spacing w:before="0" w:after="0"/>
              <w:ind w:left="57" w:right="57"/>
              <w:rPr>
                <w:szCs w:val="24"/>
              </w:rPr>
            </w:pPr>
            <w:r w:rsidRPr="00AB5DC0">
              <w:rPr>
                <w:szCs w:val="24"/>
              </w:rPr>
              <w:t> Projekta izpildē iesaistītās institūcijas</w:t>
            </w:r>
          </w:p>
        </w:tc>
        <w:tc>
          <w:tcPr>
            <w:tcW w:w="5229" w:type="dxa"/>
          </w:tcPr>
          <w:p w:rsidR="00DE67BE" w:rsidRPr="00AB5DC0" w:rsidRDefault="00DE67BE" w:rsidP="00D37815">
            <w:pPr>
              <w:pStyle w:val="naisf"/>
              <w:tabs>
                <w:tab w:val="left" w:pos="6710"/>
              </w:tabs>
              <w:spacing w:before="0" w:after="0"/>
              <w:ind w:left="57" w:right="57"/>
              <w:jc w:val="both"/>
              <w:rPr>
                <w:bCs/>
                <w:szCs w:val="24"/>
              </w:rPr>
            </w:pPr>
            <w:r w:rsidRPr="00AB5DC0">
              <w:rPr>
                <w:bCs/>
                <w:szCs w:val="24"/>
              </w:rPr>
              <w:t xml:space="preserve">Pašvaldības būvvaldes </w:t>
            </w:r>
          </w:p>
        </w:tc>
      </w:tr>
      <w:tr w:rsidR="00DE67BE" w:rsidRPr="00E13A68" w:rsidTr="00D37815">
        <w:trPr>
          <w:trHeight w:val="463"/>
        </w:trPr>
        <w:tc>
          <w:tcPr>
            <w:tcW w:w="514" w:type="dxa"/>
          </w:tcPr>
          <w:p w:rsidR="00DE67BE" w:rsidRPr="00AB5DC0" w:rsidRDefault="00DE67BE" w:rsidP="00D37815">
            <w:pPr>
              <w:pStyle w:val="naisf"/>
              <w:tabs>
                <w:tab w:val="left" w:pos="6710"/>
              </w:tabs>
              <w:spacing w:before="0" w:after="0"/>
              <w:ind w:left="57" w:right="57"/>
              <w:rPr>
                <w:szCs w:val="24"/>
              </w:rPr>
            </w:pPr>
            <w:r w:rsidRPr="00AB5DC0">
              <w:rPr>
                <w:szCs w:val="24"/>
              </w:rPr>
              <w:t> 2.</w:t>
            </w:r>
          </w:p>
        </w:tc>
        <w:tc>
          <w:tcPr>
            <w:tcW w:w="3172" w:type="dxa"/>
          </w:tcPr>
          <w:p w:rsidR="00DE67BE" w:rsidRPr="00AB5DC0" w:rsidRDefault="00DE67BE" w:rsidP="00D37815">
            <w:pPr>
              <w:pStyle w:val="naisf"/>
              <w:tabs>
                <w:tab w:val="left" w:pos="6710"/>
              </w:tabs>
              <w:spacing w:before="0" w:after="0"/>
              <w:ind w:left="57" w:right="57"/>
              <w:rPr>
                <w:szCs w:val="24"/>
              </w:rPr>
            </w:pPr>
            <w:r w:rsidRPr="00AB5DC0">
              <w:rPr>
                <w:szCs w:val="24"/>
              </w:rPr>
              <w:t> Projekta izpildes ietekme uz pārvaldes funkcijām un institucionālo struktūru.</w:t>
            </w:r>
          </w:p>
          <w:p w:rsidR="00DE67BE" w:rsidRPr="00AB5DC0" w:rsidRDefault="00DE67BE" w:rsidP="00D37815">
            <w:pPr>
              <w:pStyle w:val="naisf"/>
              <w:tabs>
                <w:tab w:val="left" w:pos="6710"/>
              </w:tabs>
              <w:spacing w:before="0" w:after="0"/>
              <w:ind w:left="57" w:right="57"/>
              <w:rPr>
                <w:szCs w:val="24"/>
              </w:rPr>
            </w:pPr>
            <w:r w:rsidRPr="00AB5DC0">
              <w:rPr>
                <w:szCs w:val="24"/>
              </w:rPr>
              <w:t>Jaunu institūciju izveide, esošu institūciju likvidācija vai reorganizācija, to ietekme uz institūcijas cilvēkresursiem</w:t>
            </w:r>
          </w:p>
          <w:p w:rsidR="00DE67BE" w:rsidRPr="00AB5DC0" w:rsidRDefault="00DE67BE" w:rsidP="00D37815">
            <w:pPr>
              <w:pStyle w:val="naisf"/>
              <w:tabs>
                <w:tab w:val="left" w:pos="6710"/>
              </w:tabs>
              <w:spacing w:before="0" w:after="0"/>
              <w:ind w:left="57" w:right="57"/>
              <w:rPr>
                <w:szCs w:val="24"/>
              </w:rPr>
            </w:pPr>
          </w:p>
        </w:tc>
        <w:tc>
          <w:tcPr>
            <w:tcW w:w="5229" w:type="dxa"/>
          </w:tcPr>
          <w:p w:rsidR="00DE67BE" w:rsidRPr="00AB5DC0" w:rsidRDefault="00DE67BE" w:rsidP="00D37815">
            <w:pPr>
              <w:pStyle w:val="naisf"/>
              <w:tabs>
                <w:tab w:val="left" w:pos="6710"/>
              </w:tabs>
              <w:spacing w:before="0" w:after="0"/>
              <w:ind w:left="57" w:right="57"/>
              <w:jc w:val="both"/>
              <w:rPr>
                <w:bCs/>
                <w:szCs w:val="24"/>
              </w:rPr>
            </w:pPr>
            <w:r w:rsidRPr="00AB5DC0">
              <w:rPr>
                <w:bCs/>
                <w:szCs w:val="24"/>
              </w:rPr>
              <w:t xml:space="preserve">Jaunas institūcijas netiks veidotas un nav nepieciešams likvidēt vai reorganizēt esošās institūcijas. Līdz ar to noteikumu projekta izpilde neietekmēs </w:t>
            </w:r>
            <w:r w:rsidRPr="00AB5DC0">
              <w:rPr>
                <w:iCs/>
                <w:szCs w:val="24"/>
              </w:rPr>
              <w:t>institūciju</w:t>
            </w:r>
            <w:r w:rsidRPr="00AB5DC0">
              <w:rPr>
                <w:bCs/>
                <w:szCs w:val="24"/>
              </w:rPr>
              <w:t xml:space="preserve"> cilvēkresursus.</w:t>
            </w:r>
          </w:p>
        </w:tc>
      </w:tr>
      <w:tr w:rsidR="00DE67BE" w:rsidRPr="00E13A68" w:rsidTr="00D37815">
        <w:trPr>
          <w:trHeight w:val="476"/>
        </w:trPr>
        <w:tc>
          <w:tcPr>
            <w:tcW w:w="514" w:type="dxa"/>
          </w:tcPr>
          <w:p w:rsidR="00DE67BE" w:rsidRPr="00AB5DC0" w:rsidRDefault="00DE67BE" w:rsidP="00D37815">
            <w:pPr>
              <w:pStyle w:val="naisf"/>
              <w:tabs>
                <w:tab w:val="left" w:pos="6710"/>
              </w:tabs>
              <w:spacing w:before="0" w:after="0"/>
              <w:ind w:left="57" w:right="57"/>
              <w:rPr>
                <w:szCs w:val="24"/>
              </w:rPr>
            </w:pPr>
            <w:r w:rsidRPr="00AB5DC0">
              <w:rPr>
                <w:szCs w:val="24"/>
              </w:rPr>
              <w:lastRenderedPageBreak/>
              <w:t> 3.</w:t>
            </w:r>
          </w:p>
        </w:tc>
        <w:tc>
          <w:tcPr>
            <w:tcW w:w="3172" w:type="dxa"/>
          </w:tcPr>
          <w:p w:rsidR="00DE67BE" w:rsidRPr="00AB5DC0" w:rsidRDefault="00DE67BE" w:rsidP="00D37815">
            <w:pPr>
              <w:pStyle w:val="naisf"/>
              <w:tabs>
                <w:tab w:val="left" w:pos="6710"/>
              </w:tabs>
              <w:spacing w:before="0" w:after="0"/>
              <w:ind w:left="57" w:right="57"/>
              <w:rPr>
                <w:szCs w:val="24"/>
              </w:rPr>
            </w:pPr>
            <w:r w:rsidRPr="00AB5DC0">
              <w:rPr>
                <w:szCs w:val="24"/>
              </w:rPr>
              <w:t> Cita informācija</w:t>
            </w:r>
          </w:p>
        </w:tc>
        <w:tc>
          <w:tcPr>
            <w:tcW w:w="5229" w:type="dxa"/>
          </w:tcPr>
          <w:p w:rsidR="00DE67BE" w:rsidRPr="00AB5DC0" w:rsidRDefault="00DE67BE" w:rsidP="00D37815">
            <w:pPr>
              <w:pStyle w:val="naisf"/>
              <w:tabs>
                <w:tab w:val="left" w:pos="6710"/>
              </w:tabs>
              <w:spacing w:before="0" w:after="0"/>
              <w:ind w:left="57" w:right="57"/>
              <w:rPr>
                <w:szCs w:val="24"/>
              </w:rPr>
            </w:pPr>
            <w:r w:rsidRPr="00AB5DC0">
              <w:rPr>
                <w:szCs w:val="24"/>
              </w:rPr>
              <w:t>Nav</w:t>
            </w:r>
          </w:p>
        </w:tc>
      </w:tr>
    </w:tbl>
    <w:p w:rsidR="00DE67BE" w:rsidRDefault="00DE67BE" w:rsidP="00DE67BE">
      <w:pPr>
        <w:pStyle w:val="naisf"/>
        <w:tabs>
          <w:tab w:val="left" w:pos="6710"/>
          <w:tab w:val="left" w:pos="8647"/>
          <w:tab w:val="left" w:pos="8789"/>
        </w:tabs>
        <w:spacing w:before="0" w:after="0"/>
        <w:rPr>
          <w:i/>
          <w:sz w:val="26"/>
          <w:szCs w:val="26"/>
        </w:rPr>
      </w:pPr>
    </w:p>
    <w:p w:rsidR="00DE67BE" w:rsidRPr="00DA1169" w:rsidRDefault="00DE67BE" w:rsidP="00DE67BE">
      <w:pPr>
        <w:pStyle w:val="naisf"/>
        <w:tabs>
          <w:tab w:val="left" w:pos="6710"/>
        </w:tabs>
        <w:spacing w:before="0" w:after="0"/>
        <w:rPr>
          <w:i/>
          <w:sz w:val="26"/>
          <w:szCs w:val="26"/>
        </w:rPr>
      </w:pPr>
      <w:r w:rsidRPr="00DA1169">
        <w:rPr>
          <w:i/>
          <w:sz w:val="26"/>
          <w:szCs w:val="26"/>
        </w:rPr>
        <w:t>Anotācijas IV un V sadaļa - projekts šīs jomas neskar.</w:t>
      </w:r>
    </w:p>
    <w:p w:rsidR="00DE67BE" w:rsidRPr="00E13A68" w:rsidRDefault="00DE67BE" w:rsidP="00DE67BE">
      <w:pPr>
        <w:tabs>
          <w:tab w:val="left" w:pos="6804"/>
        </w:tabs>
        <w:spacing w:after="0" w:line="240" w:lineRule="auto"/>
        <w:jc w:val="both"/>
        <w:rPr>
          <w:rFonts w:ascii="Times New Roman" w:hAnsi="Times New Roman" w:cs="Times New Roman"/>
          <w:bCs/>
          <w:sz w:val="26"/>
          <w:szCs w:val="26"/>
        </w:rPr>
      </w:pPr>
    </w:p>
    <w:p w:rsidR="00DE67BE" w:rsidRDefault="00DE67BE" w:rsidP="00DE67BE">
      <w:pPr>
        <w:tabs>
          <w:tab w:val="left" w:pos="6804"/>
        </w:tabs>
        <w:spacing w:after="0" w:line="240" w:lineRule="auto"/>
        <w:jc w:val="both"/>
        <w:rPr>
          <w:rFonts w:ascii="Times New Roman" w:hAnsi="Times New Roman" w:cs="Times New Roman"/>
          <w:bCs/>
          <w:sz w:val="28"/>
          <w:szCs w:val="28"/>
        </w:rPr>
      </w:pPr>
    </w:p>
    <w:p w:rsidR="00DE67BE" w:rsidRPr="00F51BB3" w:rsidRDefault="00DE67BE" w:rsidP="00DE67BE">
      <w:pPr>
        <w:tabs>
          <w:tab w:val="left" w:pos="6804"/>
        </w:tabs>
        <w:spacing w:after="0" w:line="240" w:lineRule="auto"/>
        <w:jc w:val="both"/>
        <w:rPr>
          <w:rFonts w:ascii="Times New Roman" w:hAnsi="Times New Roman" w:cs="Times New Roman"/>
          <w:bCs/>
          <w:sz w:val="28"/>
          <w:szCs w:val="28"/>
        </w:rPr>
      </w:pPr>
    </w:p>
    <w:p w:rsidR="00DE67BE" w:rsidRPr="00F51BB3" w:rsidRDefault="00DE67BE" w:rsidP="00DE67BE">
      <w:pPr>
        <w:tabs>
          <w:tab w:val="left" w:pos="6804"/>
        </w:tabs>
        <w:spacing w:after="0" w:line="240" w:lineRule="auto"/>
        <w:ind w:right="184"/>
        <w:jc w:val="both"/>
        <w:rPr>
          <w:rFonts w:ascii="Times New Roman" w:hAnsi="Times New Roman" w:cs="Times New Roman"/>
          <w:bCs/>
          <w:sz w:val="28"/>
          <w:szCs w:val="28"/>
        </w:rPr>
      </w:pPr>
      <w:r>
        <w:rPr>
          <w:rFonts w:ascii="Times New Roman" w:hAnsi="Times New Roman" w:cs="Times New Roman"/>
          <w:bCs/>
          <w:sz w:val="28"/>
          <w:szCs w:val="28"/>
        </w:rPr>
        <w:t xml:space="preserve">Ekonomikas ministre                                                               </w:t>
      </w:r>
      <w:r w:rsidRPr="00F51BB3">
        <w:rPr>
          <w:rFonts w:ascii="Times New Roman" w:hAnsi="Times New Roman" w:cs="Times New Roman"/>
          <w:bCs/>
          <w:iCs/>
          <w:sz w:val="28"/>
          <w:szCs w:val="28"/>
        </w:rPr>
        <w:t>D.</w:t>
      </w:r>
      <w:r>
        <w:rPr>
          <w:rFonts w:ascii="Times New Roman" w:hAnsi="Times New Roman" w:cs="Times New Roman"/>
          <w:bCs/>
          <w:iCs/>
          <w:sz w:val="28"/>
          <w:szCs w:val="28"/>
        </w:rPr>
        <w:t xml:space="preserve"> Reizniece-Ozola</w:t>
      </w:r>
    </w:p>
    <w:p w:rsidR="00DE67BE" w:rsidRDefault="00DE67BE" w:rsidP="00DE67BE">
      <w:pPr>
        <w:pStyle w:val="Heading1"/>
        <w:ind w:left="0" w:right="-1" w:firstLine="0"/>
        <w:rPr>
          <w:szCs w:val="28"/>
        </w:rPr>
      </w:pPr>
    </w:p>
    <w:p w:rsidR="00DE67BE" w:rsidRPr="00EF40F9" w:rsidRDefault="00DE67BE" w:rsidP="00DE67BE">
      <w:pPr>
        <w:rPr>
          <w:lang w:eastAsia="lv-LV"/>
        </w:rPr>
      </w:pPr>
    </w:p>
    <w:p w:rsidR="00DE67BE" w:rsidRPr="00F51BB3" w:rsidRDefault="00DE67BE" w:rsidP="00DE67BE">
      <w:pPr>
        <w:pStyle w:val="Heading1"/>
        <w:ind w:left="0" w:right="-1" w:firstLine="0"/>
        <w:rPr>
          <w:szCs w:val="28"/>
        </w:rPr>
      </w:pPr>
      <w:r w:rsidRPr="00F51BB3">
        <w:rPr>
          <w:szCs w:val="28"/>
        </w:rPr>
        <w:t xml:space="preserve">Vīza: </w:t>
      </w:r>
    </w:p>
    <w:p w:rsidR="00916553" w:rsidRDefault="00DE67BE" w:rsidP="00DE67BE">
      <w:pPr>
        <w:pStyle w:val="Heading1"/>
        <w:ind w:left="0" w:right="-1" w:firstLine="0"/>
        <w:rPr>
          <w:szCs w:val="28"/>
        </w:rPr>
      </w:pPr>
      <w:r w:rsidRPr="00F51BB3">
        <w:rPr>
          <w:szCs w:val="28"/>
        </w:rPr>
        <w:t>Valsts sekretār</w:t>
      </w:r>
      <w:r w:rsidR="00916553">
        <w:rPr>
          <w:szCs w:val="28"/>
        </w:rPr>
        <w:t xml:space="preserve">a pienākumu izpildītājs </w:t>
      </w:r>
    </w:p>
    <w:p w:rsidR="00DE67BE" w:rsidRPr="00F51BB3" w:rsidRDefault="00916553" w:rsidP="00DE67BE">
      <w:pPr>
        <w:pStyle w:val="Heading1"/>
        <w:ind w:left="0" w:right="-1" w:firstLine="0"/>
        <w:rPr>
          <w:szCs w:val="28"/>
        </w:rPr>
      </w:pPr>
      <w:r>
        <w:rPr>
          <w:szCs w:val="28"/>
        </w:rPr>
        <w:t>valsts sekretāra vietnieks</w:t>
      </w:r>
      <w:r w:rsidR="00DE67BE" w:rsidRPr="00F51BB3">
        <w:rPr>
          <w:szCs w:val="28"/>
        </w:rPr>
        <w:tab/>
      </w:r>
      <w:r w:rsidR="00DE67BE" w:rsidRPr="00F51BB3">
        <w:rPr>
          <w:szCs w:val="28"/>
        </w:rPr>
        <w:tab/>
      </w:r>
      <w:r w:rsidR="00DE67BE" w:rsidRPr="00F51BB3">
        <w:rPr>
          <w:szCs w:val="28"/>
        </w:rPr>
        <w:tab/>
      </w:r>
      <w:r w:rsidR="00DE67BE" w:rsidRPr="00F51BB3">
        <w:rPr>
          <w:szCs w:val="28"/>
        </w:rPr>
        <w:tab/>
      </w:r>
      <w:r w:rsidR="00DE67BE" w:rsidRPr="00F51BB3">
        <w:rPr>
          <w:szCs w:val="28"/>
        </w:rPr>
        <w:tab/>
      </w:r>
      <w:r w:rsidR="00DE67BE" w:rsidRPr="00F51BB3">
        <w:rPr>
          <w:szCs w:val="28"/>
        </w:rPr>
        <w:tab/>
      </w:r>
      <w:r>
        <w:rPr>
          <w:szCs w:val="28"/>
        </w:rPr>
        <w:t>J.Spiridonovs</w:t>
      </w:r>
    </w:p>
    <w:p w:rsidR="00DE67BE" w:rsidRPr="00F51BB3" w:rsidRDefault="00DE67BE" w:rsidP="00DE67BE">
      <w:pPr>
        <w:spacing w:after="0" w:line="240" w:lineRule="auto"/>
        <w:rPr>
          <w:rFonts w:ascii="Times New Roman" w:hAnsi="Times New Roman" w:cs="Times New Roman"/>
          <w:sz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Default="00DE67BE" w:rsidP="00DE67BE">
      <w:pPr>
        <w:spacing w:after="0" w:line="240" w:lineRule="auto"/>
        <w:rPr>
          <w:rFonts w:ascii="Times New Roman" w:hAnsi="Times New Roman" w:cs="Times New Roman"/>
          <w:sz w:val="20"/>
          <w:szCs w:val="20"/>
        </w:rPr>
      </w:pPr>
    </w:p>
    <w:p w:rsidR="00DE67BE" w:rsidRPr="00F51BB3" w:rsidRDefault="00DE67BE" w:rsidP="00DE67BE">
      <w:pPr>
        <w:spacing w:after="0" w:line="240" w:lineRule="auto"/>
        <w:rPr>
          <w:rFonts w:ascii="Times New Roman" w:hAnsi="Times New Roman" w:cs="Times New Roman"/>
          <w:sz w:val="20"/>
          <w:szCs w:val="20"/>
        </w:rPr>
      </w:pPr>
    </w:p>
    <w:p w:rsidR="00DE67BE" w:rsidRDefault="00DE67BE" w:rsidP="00DE67BE">
      <w:pPr>
        <w:tabs>
          <w:tab w:val="left" w:pos="108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DATE  \@ "dd.MM.yyyy HH:mm"  \* MERGEFORMAT </w:instrText>
      </w:r>
      <w:r>
        <w:rPr>
          <w:rFonts w:ascii="Times New Roman" w:eastAsia="Times New Roman" w:hAnsi="Times New Roman" w:cs="Times New Roman"/>
          <w:sz w:val="20"/>
          <w:szCs w:val="20"/>
        </w:rPr>
        <w:fldChar w:fldCharType="separate"/>
      </w:r>
      <w:r w:rsidR="00916553">
        <w:rPr>
          <w:rFonts w:ascii="Times New Roman" w:eastAsia="Times New Roman" w:hAnsi="Times New Roman" w:cs="Times New Roman"/>
          <w:noProof/>
          <w:sz w:val="20"/>
          <w:szCs w:val="20"/>
        </w:rPr>
        <w:t>22.12.2015 18:19</w:t>
      </w:r>
      <w:r>
        <w:rPr>
          <w:rFonts w:ascii="Times New Roman" w:eastAsia="Times New Roman" w:hAnsi="Times New Roman" w:cs="Times New Roman"/>
          <w:sz w:val="20"/>
          <w:szCs w:val="20"/>
        </w:rPr>
        <w:fldChar w:fldCharType="end"/>
      </w:r>
    </w:p>
    <w:p w:rsidR="00DE67BE" w:rsidRPr="003E2DCD" w:rsidRDefault="00DE67BE" w:rsidP="00DE67BE">
      <w:pPr>
        <w:tabs>
          <w:tab w:val="left" w:pos="1080"/>
        </w:tabs>
        <w:spacing w:after="0" w:line="240" w:lineRule="auto"/>
        <w:jc w:val="both"/>
        <w:rPr>
          <w:rFonts w:ascii="Times New Roman" w:eastAsia="Times New Roman" w:hAnsi="Times New Roman" w:cs="Times New Roman"/>
          <w:sz w:val="20"/>
          <w:szCs w:val="20"/>
        </w:rPr>
      </w:pPr>
      <w:r w:rsidRPr="00F51BB3">
        <w:rPr>
          <w:rFonts w:ascii="Times New Roman" w:eastAsia="Times New Roman" w:hAnsi="Times New Roman" w:cs="Times New Roman"/>
          <w:sz w:val="20"/>
          <w:szCs w:val="20"/>
          <w:lang w:val="en-AU"/>
        </w:rPr>
        <w:fldChar w:fldCharType="begin"/>
      </w:r>
      <w:r w:rsidRPr="003E2DCD">
        <w:rPr>
          <w:rFonts w:ascii="Times New Roman" w:eastAsia="Times New Roman" w:hAnsi="Times New Roman" w:cs="Times New Roman"/>
          <w:sz w:val="20"/>
          <w:szCs w:val="20"/>
        </w:rPr>
        <w:instrText xml:space="preserve"> NUMWORDS   \* MERGEFORMAT </w:instrText>
      </w:r>
      <w:r w:rsidRPr="00F51BB3">
        <w:rPr>
          <w:rFonts w:ascii="Times New Roman" w:eastAsia="Times New Roman" w:hAnsi="Times New Roman" w:cs="Times New Roman"/>
          <w:sz w:val="20"/>
          <w:szCs w:val="20"/>
          <w:lang w:val="en-AU"/>
        </w:rPr>
        <w:fldChar w:fldCharType="separate"/>
      </w:r>
      <w:r w:rsidR="00916553">
        <w:rPr>
          <w:rFonts w:ascii="Times New Roman" w:eastAsia="Times New Roman" w:hAnsi="Times New Roman" w:cs="Times New Roman"/>
          <w:noProof/>
          <w:sz w:val="20"/>
          <w:szCs w:val="20"/>
        </w:rPr>
        <w:t>1114</w:t>
      </w:r>
      <w:r w:rsidRPr="00F51BB3">
        <w:rPr>
          <w:rFonts w:ascii="Times New Roman" w:eastAsia="Times New Roman" w:hAnsi="Times New Roman" w:cs="Times New Roman"/>
          <w:sz w:val="20"/>
          <w:szCs w:val="20"/>
          <w:lang w:val="en-AU"/>
        </w:rPr>
        <w:fldChar w:fldCharType="end"/>
      </w:r>
    </w:p>
    <w:p w:rsidR="00DE67BE" w:rsidRDefault="00DE67BE" w:rsidP="00DE67BE">
      <w:pPr>
        <w:tabs>
          <w:tab w:val="left" w:pos="6840"/>
        </w:tabs>
        <w:spacing w:after="0" w:line="240" w:lineRule="auto"/>
        <w:jc w:val="both"/>
        <w:rPr>
          <w:rFonts w:ascii="Times New Roman" w:eastAsia="Times New Roman" w:hAnsi="Times New Roman" w:cs="Times New Roman"/>
          <w:sz w:val="20"/>
          <w:szCs w:val="20"/>
        </w:rPr>
      </w:pPr>
      <w:r w:rsidRPr="00F51BB3">
        <w:rPr>
          <w:rFonts w:ascii="Times New Roman" w:eastAsia="Times New Roman" w:hAnsi="Times New Roman" w:cs="Times New Roman"/>
          <w:sz w:val="20"/>
          <w:szCs w:val="20"/>
        </w:rPr>
        <w:t>E.Bučinska</w:t>
      </w:r>
      <w:r>
        <w:rPr>
          <w:rFonts w:ascii="Times New Roman" w:eastAsia="Times New Roman" w:hAnsi="Times New Roman" w:cs="Times New Roman"/>
          <w:sz w:val="20"/>
          <w:szCs w:val="20"/>
        </w:rPr>
        <w:t xml:space="preserve"> </w:t>
      </w:r>
      <w:r w:rsidRPr="00F51BB3">
        <w:rPr>
          <w:rFonts w:ascii="Times New Roman" w:eastAsia="Times New Roman" w:hAnsi="Times New Roman" w:cs="Times New Roman"/>
          <w:sz w:val="20"/>
          <w:szCs w:val="20"/>
        </w:rPr>
        <w:t xml:space="preserve">67013032, </w:t>
      </w:r>
    </w:p>
    <w:p w:rsidR="00DE67BE" w:rsidRPr="00F51BB3" w:rsidRDefault="00DE67BE" w:rsidP="00DE67BE">
      <w:pPr>
        <w:tabs>
          <w:tab w:val="left" w:pos="6840"/>
        </w:tabs>
        <w:spacing w:after="0" w:line="240" w:lineRule="auto"/>
        <w:jc w:val="both"/>
        <w:rPr>
          <w:rFonts w:ascii="Times New Roman" w:hAnsi="Times New Roman" w:cs="Times New Roman"/>
        </w:rPr>
      </w:pPr>
      <w:r w:rsidRPr="00E25788">
        <w:rPr>
          <w:rFonts w:ascii="Times New Roman" w:hAnsi="Times New Roman" w:cs="Times New Roman"/>
          <w:sz w:val="20"/>
          <w:szCs w:val="20"/>
        </w:rPr>
        <w:t>Elga.Bucinska@em.gov.lv</w:t>
      </w:r>
    </w:p>
    <w:p w:rsidR="00DE67BE" w:rsidRDefault="00DE67BE" w:rsidP="00DE67BE"/>
    <w:p w:rsidR="00307AF2" w:rsidRDefault="00307AF2">
      <w:bookmarkStart w:id="6" w:name="_GoBack"/>
      <w:bookmarkEnd w:id="6"/>
    </w:p>
    <w:sectPr w:rsidR="00307AF2" w:rsidSect="00072033">
      <w:headerReference w:type="default" r:id="rId8"/>
      <w:footerReference w:type="default" r:id="rId9"/>
      <w:footerReference w:type="first" r:id="rId10"/>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BE" w:rsidRDefault="00E759BE" w:rsidP="00916553">
      <w:pPr>
        <w:spacing w:after="0" w:line="240" w:lineRule="auto"/>
      </w:pPr>
      <w:r>
        <w:separator/>
      </w:r>
    </w:p>
  </w:endnote>
  <w:endnote w:type="continuationSeparator" w:id="0">
    <w:p w:rsidR="00E759BE" w:rsidRDefault="00E759BE" w:rsidP="0091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D9C" w:rsidRPr="00FB3D9C" w:rsidRDefault="00E759BE" w:rsidP="00FB3D9C">
    <w:pPr>
      <w:pStyle w:val="Footer"/>
      <w:jc w:val="both"/>
      <w:rPr>
        <w:rFonts w:ascii="Times New Roman" w:hAnsi="Times New Roman" w:cs="Times New Roman"/>
        <w:color w:val="000000" w:themeColor="text1"/>
        <w:sz w:val="20"/>
        <w:szCs w:val="20"/>
      </w:rPr>
    </w:pPr>
    <w:r w:rsidRPr="00FB3D9C">
      <w:rPr>
        <w:rFonts w:ascii="Times New Roman" w:hAnsi="Times New Roman" w:cs="Times New Roman"/>
        <w:sz w:val="20"/>
        <w:szCs w:val="20"/>
      </w:rPr>
      <w:fldChar w:fldCharType="begin"/>
    </w:r>
    <w:r w:rsidRPr="00FB3D9C">
      <w:rPr>
        <w:rFonts w:ascii="Times New Roman" w:hAnsi="Times New Roman" w:cs="Times New Roman"/>
        <w:sz w:val="20"/>
        <w:szCs w:val="20"/>
      </w:rPr>
      <w:instrText xml:space="preserve"> FILENAME   \* MERGEFORMAT </w:instrText>
    </w:r>
    <w:r w:rsidRPr="00FB3D9C">
      <w:rPr>
        <w:rFonts w:ascii="Times New Roman" w:hAnsi="Times New Roman" w:cs="Times New Roman"/>
        <w:sz w:val="20"/>
        <w:szCs w:val="20"/>
      </w:rPr>
      <w:fldChar w:fldCharType="separate"/>
    </w:r>
    <w:r w:rsidR="00916553">
      <w:rPr>
        <w:rFonts w:ascii="Times New Roman" w:hAnsi="Times New Roman" w:cs="Times New Roman"/>
        <w:noProof/>
        <w:sz w:val="20"/>
        <w:szCs w:val="20"/>
      </w:rPr>
      <w:t>EManot_221215_groz480_nodevas</w:t>
    </w:r>
    <w:r w:rsidRPr="00FB3D9C">
      <w:rPr>
        <w:rFonts w:ascii="Times New Roman" w:hAnsi="Times New Roman" w:cs="Times New Roman"/>
        <w:sz w:val="20"/>
        <w:szCs w:val="20"/>
      </w:rPr>
      <w:fldChar w:fldCharType="end"/>
    </w:r>
    <w:r w:rsidRPr="00FB3D9C">
      <w:rPr>
        <w:rFonts w:ascii="Times New Roman" w:hAnsi="Times New Roman" w:cs="Times New Roman"/>
        <w:sz w:val="20"/>
        <w:szCs w:val="20"/>
      </w:rPr>
      <w:t xml:space="preserve">; </w:t>
    </w:r>
    <w:r w:rsidRPr="00FB3D9C">
      <w:rPr>
        <w:rFonts w:ascii="Times New Roman" w:hAnsi="Times New Roman" w:cs="Times New Roman"/>
        <w:color w:val="000000" w:themeColor="text1"/>
        <w:sz w:val="20"/>
        <w:szCs w:val="20"/>
      </w:rPr>
      <w:t xml:space="preserve">Ministru kabineta noteikumu projekts “Grozījumi Ministru kabineta 2005.gada 28.jūnija noteikumos Nr.480 „noteikumi par kārtību, kādā pašvaldības var uzlikt pašvaldību nodevas”  </w:t>
    </w:r>
    <w:r w:rsidRPr="00FB3D9C">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33" w:rsidRPr="00FB3D9C" w:rsidRDefault="00E759BE" w:rsidP="00072033">
    <w:pPr>
      <w:pStyle w:val="Footer"/>
      <w:jc w:val="both"/>
      <w:rPr>
        <w:rFonts w:ascii="Times New Roman" w:hAnsi="Times New Roman" w:cs="Times New Roman"/>
        <w:color w:val="000000" w:themeColor="text1"/>
        <w:sz w:val="20"/>
        <w:szCs w:val="20"/>
      </w:rPr>
    </w:pPr>
    <w:r w:rsidRPr="00FB3D9C">
      <w:rPr>
        <w:rFonts w:ascii="Times New Roman" w:hAnsi="Times New Roman" w:cs="Times New Roman"/>
        <w:sz w:val="20"/>
        <w:szCs w:val="20"/>
      </w:rPr>
      <w:fldChar w:fldCharType="begin"/>
    </w:r>
    <w:r w:rsidRPr="00FB3D9C">
      <w:rPr>
        <w:rFonts w:ascii="Times New Roman" w:hAnsi="Times New Roman" w:cs="Times New Roman"/>
        <w:sz w:val="20"/>
        <w:szCs w:val="20"/>
      </w:rPr>
      <w:instrText xml:space="preserve"> FILENAME   \* MERGEFORMAT </w:instrText>
    </w:r>
    <w:r w:rsidRPr="00FB3D9C">
      <w:rPr>
        <w:rFonts w:ascii="Times New Roman" w:hAnsi="Times New Roman" w:cs="Times New Roman"/>
        <w:sz w:val="20"/>
        <w:szCs w:val="20"/>
      </w:rPr>
      <w:fldChar w:fldCharType="separate"/>
    </w:r>
    <w:r w:rsidR="00916553">
      <w:rPr>
        <w:rFonts w:ascii="Times New Roman" w:hAnsi="Times New Roman" w:cs="Times New Roman"/>
        <w:noProof/>
        <w:sz w:val="20"/>
        <w:szCs w:val="20"/>
      </w:rPr>
      <w:t>EManot_221215_groz480_nodevas</w:t>
    </w:r>
    <w:r w:rsidRPr="00FB3D9C">
      <w:rPr>
        <w:rFonts w:ascii="Times New Roman" w:hAnsi="Times New Roman" w:cs="Times New Roman"/>
        <w:sz w:val="20"/>
        <w:szCs w:val="20"/>
      </w:rPr>
      <w:fldChar w:fldCharType="end"/>
    </w:r>
    <w:r w:rsidRPr="00FB3D9C">
      <w:rPr>
        <w:rFonts w:ascii="Times New Roman" w:hAnsi="Times New Roman" w:cs="Times New Roman"/>
        <w:sz w:val="20"/>
        <w:szCs w:val="20"/>
      </w:rPr>
      <w:t xml:space="preserve">; </w:t>
    </w:r>
    <w:r w:rsidRPr="00FB3D9C">
      <w:rPr>
        <w:rFonts w:ascii="Times New Roman" w:hAnsi="Times New Roman" w:cs="Times New Roman"/>
        <w:color w:val="000000" w:themeColor="text1"/>
        <w:sz w:val="20"/>
        <w:szCs w:val="20"/>
      </w:rPr>
      <w:t xml:space="preserve">Ministru kabineta noteikumu projekts “Grozījumi Ministru kabineta 2005.gada 28.jūnija noteikumos Nr.480 „noteikumi par kārtību, kādā pašvaldības var uzlikt pašvaldību nodevas”  </w:t>
    </w:r>
    <w:r w:rsidRPr="00FB3D9C">
      <w:rPr>
        <w:rFonts w:ascii="Times New Roman" w:eastAsia="Times New Roman" w:hAnsi="Times New Roman" w:cs="Times New Roman"/>
        <w:bCs/>
        <w:color w:val="000000" w:themeColor="text1"/>
        <w:sz w:val="20"/>
        <w:szCs w:val="20"/>
        <w:lang w:eastAsia="lv-LV"/>
      </w:rPr>
      <w:t>sākotnējās ietekmes novērt</w:t>
    </w:r>
    <w:r w:rsidRPr="00FB3D9C">
      <w:rPr>
        <w:rFonts w:ascii="Times New Roman" w:eastAsia="Times New Roman" w:hAnsi="Times New Roman" w:cs="Times New Roman"/>
        <w:bCs/>
        <w:color w:val="000000" w:themeColor="text1"/>
        <w:sz w:val="20"/>
        <w:szCs w:val="20"/>
        <w:lang w:eastAsia="lv-LV"/>
      </w:rPr>
      <w: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BE" w:rsidRDefault="00E759BE" w:rsidP="00916553">
      <w:pPr>
        <w:spacing w:after="0" w:line="240" w:lineRule="auto"/>
      </w:pPr>
      <w:r>
        <w:separator/>
      </w:r>
    </w:p>
  </w:footnote>
  <w:footnote w:type="continuationSeparator" w:id="0">
    <w:p w:rsidR="00E759BE" w:rsidRDefault="00E759BE" w:rsidP="00916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248542"/>
      <w:docPartObj>
        <w:docPartGallery w:val="Page Numbers (Top of Page)"/>
        <w:docPartUnique/>
      </w:docPartObj>
    </w:sdtPr>
    <w:sdtEndPr>
      <w:rPr>
        <w:noProof/>
      </w:rPr>
    </w:sdtEndPr>
    <w:sdtContent>
      <w:p w:rsidR="00072033" w:rsidRDefault="00E759BE">
        <w:pPr>
          <w:pStyle w:val="Header"/>
          <w:jc w:val="center"/>
        </w:pPr>
        <w:r>
          <w:fldChar w:fldCharType="begin"/>
        </w:r>
        <w:r>
          <w:instrText xml:space="preserve"> PAGE   \* MERGEFORMAT </w:instrText>
        </w:r>
        <w:r>
          <w:fldChar w:fldCharType="separate"/>
        </w:r>
        <w:r w:rsidR="00916553">
          <w:rPr>
            <w:noProof/>
          </w:rPr>
          <w:t>6</w:t>
        </w:r>
        <w:r>
          <w:rPr>
            <w:noProof/>
          </w:rPr>
          <w:fldChar w:fldCharType="end"/>
        </w:r>
      </w:p>
    </w:sdtContent>
  </w:sdt>
  <w:p w:rsidR="00072033" w:rsidRDefault="00E75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BE"/>
    <w:rsid w:val="00307AF2"/>
    <w:rsid w:val="00916553"/>
    <w:rsid w:val="00DE67BE"/>
    <w:rsid w:val="00E75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6036E00-5082-4F01-A007-DEAE51B2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BE"/>
  </w:style>
  <w:style w:type="paragraph" w:styleId="Heading1">
    <w:name w:val="heading 1"/>
    <w:basedOn w:val="Normal"/>
    <w:next w:val="Normal"/>
    <w:link w:val="Heading1Char"/>
    <w:qFormat/>
    <w:rsid w:val="00DE67BE"/>
    <w:pPr>
      <w:keepNext/>
      <w:spacing w:after="0" w:line="240" w:lineRule="auto"/>
      <w:ind w:left="709" w:right="-427" w:hanging="709"/>
      <w:jc w:val="both"/>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7BE"/>
    <w:rPr>
      <w:rFonts w:ascii="Times New Roman" w:eastAsia="Times New Roman" w:hAnsi="Times New Roman" w:cs="Times New Roman"/>
      <w:sz w:val="28"/>
      <w:szCs w:val="20"/>
      <w:lang w:eastAsia="lv-LV"/>
    </w:rPr>
  </w:style>
  <w:style w:type="paragraph" w:customStyle="1" w:styleId="naisf">
    <w:name w:val="naisf"/>
    <w:basedOn w:val="Normal"/>
    <w:rsid w:val="00DE67BE"/>
    <w:pPr>
      <w:spacing w:before="100" w:after="100" w:line="240" w:lineRule="auto"/>
    </w:pPr>
    <w:rPr>
      <w:rFonts w:ascii="Times New Roman" w:eastAsia="Times New Roman" w:hAnsi="Times New Roman" w:cs="Times New Roman"/>
      <w:sz w:val="24"/>
      <w:szCs w:val="20"/>
      <w:lang w:eastAsia="lv-LV"/>
    </w:rPr>
  </w:style>
  <w:style w:type="paragraph" w:customStyle="1" w:styleId="naiskr">
    <w:name w:val="naiskr"/>
    <w:basedOn w:val="Normal"/>
    <w:rsid w:val="00DE67BE"/>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DE67BE"/>
    <w:pPr>
      <w:spacing w:before="150" w:after="150" w:line="240" w:lineRule="auto"/>
      <w:jc w:val="center"/>
    </w:pPr>
    <w:rPr>
      <w:rFonts w:ascii="Times New Roman" w:eastAsia="Times New Roman" w:hAnsi="Times New Roman" w:cs="Times New Roman"/>
      <w:b/>
      <w:bCs/>
      <w:sz w:val="24"/>
      <w:szCs w:val="24"/>
      <w:lang w:eastAsia="lv-LV"/>
    </w:rPr>
  </w:style>
  <w:style w:type="paragraph" w:styleId="Header">
    <w:name w:val="header"/>
    <w:basedOn w:val="Normal"/>
    <w:link w:val="HeaderChar"/>
    <w:uiPriority w:val="99"/>
    <w:unhideWhenUsed/>
    <w:rsid w:val="00DE67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7BE"/>
  </w:style>
  <w:style w:type="paragraph" w:styleId="Footer">
    <w:name w:val="footer"/>
    <w:basedOn w:val="Normal"/>
    <w:link w:val="FooterChar"/>
    <w:uiPriority w:val="99"/>
    <w:unhideWhenUsed/>
    <w:rsid w:val="00DE67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7BE"/>
  </w:style>
  <w:style w:type="paragraph" w:styleId="BalloonText">
    <w:name w:val="Balloon Text"/>
    <w:basedOn w:val="Normal"/>
    <w:link w:val="BalloonTextChar"/>
    <w:uiPriority w:val="99"/>
    <w:semiHidden/>
    <w:unhideWhenUsed/>
    <w:rsid w:val="00916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kumi.lv/ta/id/33946-par-nodokliem-un-nodev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33946-par-nodokliem-un-nodeva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1047</Words>
  <Characters>8577</Characters>
  <Application>Microsoft Office Word</Application>
  <DocSecurity>0</DocSecurity>
  <Lines>372</Lines>
  <Paragraphs>178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2</cp:revision>
  <cp:lastPrinted>2015-12-22T16:19:00Z</cp:lastPrinted>
  <dcterms:created xsi:type="dcterms:W3CDTF">2015-12-22T16:11:00Z</dcterms:created>
  <dcterms:modified xsi:type="dcterms:W3CDTF">2015-12-22T16:20:00Z</dcterms:modified>
</cp:coreProperties>
</file>