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4808" w14:textId="18191FDE" w:rsidR="001A55C9" w:rsidRPr="004D3AEF" w:rsidRDefault="001A55C9" w:rsidP="001A55C9">
      <w:pPr>
        <w:spacing w:after="0" w:line="240" w:lineRule="auto"/>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 xml:space="preserve">Ministru kabineta rīkojuma </w:t>
      </w:r>
      <w:r w:rsidR="008A2835">
        <w:rPr>
          <w:rFonts w:ascii="Times New Roman" w:eastAsia="Times New Roman" w:hAnsi="Times New Roman" w:cs="Times New Roman"/>
          <w:b/>
          <w:bCs/>
          <w:sz w:val="24"/>
          <w:szCs w:val="24"/>
          <w:lang w:eastAsia="lv-LV"/>
        </w:rPr>
        <w:t xml:space="preserve">projekta </w:t>
      </w:r>
      <w:r w:rsidR="001D7781" w:rsidRPr="002D5294">
        <w:rPr>
          <w:rFonts w:ascii="Times New Roman" w:eastAsia="Times New Roman" w:hAnsi="Times New Roman" w:cs="Times New Roman"/>
          <w:b/>
          <w:bCs/>
          <w:sz w:val="24"/>
          <w:szCs w:val="24"/>
          <w:lang w:eastAsia="lv-LV"/>
        </w:rPr>
        <w:t>„Par finanšu līdzekļu piešķiršanu no valsts budžeta programmas „Līdzekļi neparedzētiem gadījumiem””</w:t>
      </w:r>
      <w:r w:rsidR="001D7781" w:rsidRPr="004D3AEF">
        <w:rPr>
          <w:rFonts w:ascii="Times New Roman" w:eastAsia="Times New Roman" w:hAnsi="Times New Roman" w:cs="Times New Roman"/>
          <w:b/>
          <w:bCs/>
          <w:sz w:val="24"/>
          <w:szCs w:val="24"/>
          <w:lang w:eastAsia="lv-LV"/>
        </w:rPr>
        <w:t xml:space="preserve"> </w:t>
      </w:r>
      <w:r w:rsidR="00677F94" w:rsidRPr="004D3AEF">
        <w:rPr>
          <w:rFonts w:ascii="Times New Roman" w:eastAsia="Times New Roman" w:hAnsi="Times New Roman" w:cs="Times New Roman"/>
          <w:b/>
          <w:bCs/>
          <w:sz w:val="24"/>
          <w:szCs w:val="24"/>
          <w:lang w:eastAsia="lv-LV"/>
        </w:rPr>
        <w:t>sākotnējās ietekmes novērtējuma ziņojums (anotācija</w:t>
      </w:r>
      <w:r w:rsidRPr="004D3AEF">
        <w:rPr>
          <w:rFonts w:ascii="Times New Roman" w:eastAsia="Times New Roman" w:hAnsi="Times New Roman" w:cs="Times New Roman"/>
          <w:b/>
          <w:bCs/>
          <w:sz w:val="24"/>
          <w:szCs w:val="24"/>
          <w:lang w:eastAsia="lv-LV"/>
        </w:rPr>
        <w:t>)</w:t>
      </w:r>
    </w:p>
    <w:p w14:paraId="07106A09" w14:textId="77777777" w:rsidR="001E7BDD" w:rsidRPr="004D3AEF" w:rsidRDefault="001E7BDD"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9"/>
        <w:gridCol w:w="1625"/>
        <w:gridCol w:w="942"/>
        <w:gridCol w:w="961"/>
        <w:gridCol w:w="626"/>
        <w:gridCol w:w="846"/>
        <w:gridCol w:w="1067"/>
        <w:gridCol w:w="1067"/>
        <w:gridCol w:w="1407"/>
      </w:tblGrid>
      <w:tr w:rsidR="001A55C9" w:rsidRPr="004D3AEF" w14:paraId="6B5FE4D1" w14:textId="77777777" w:rsidTr="001813AA">
        <w:trPr>
          <w:trHeight w:val="405"/>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33C36E01"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 Tiesību akta projekta izstrādes nepieciešamība</w:t>
            </w:r>
          </w:p>
        </w:tc>
      </w:tr>
      <w:tr w:rsidR="001A55C9" w:rsidRPr="004D3AEF" w14:paraId="0104E154" w14:textId="77777777" w:rsidTr="00D470DF">
        <w:trPr>
          <w:trHeight w:val="405"/>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8DA1891" w14:textId="77777777" w:rsidR="001A55C9" w:rsidRPr="004D3AEF" w:rsidRDefault="001A55C9"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1003" w:type="pct"/>
            <w:gridSpan w:val="2"/>
            <w:tcBorders>
              <w:top w:val="outset" w:sz="6" w:space="0" w:color="auto"/>
              <w:left w:val="outset" w:sz="6" w:space="0" w:color="auto"/>
              <w:bottom w:val="outset" w:sz="6" w:space="0" w:color="auto"/>
              <w:right w:val="outset" w:sz="6" w:space="0" w:color="auto"/>
            </w:tcBorders>
            <w:hideMark/>
          </w:tcPr>
          <w:p w14:paraId="41ED4938" w14:textId="77777777" w:rsidR="001A55C9" w:rsidRPr="004D3AEF" w:rsidRDefault="001A55C9"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Pamatojums</w:t>
            </w:r>
          </w:p>
        </w:tc>
        <w:tc>
          <w:tcPr>
            <w:tcW w:w="3782" w:type="pct"/>
            <w:gridSpan w:val="7"/>
            <w:tcBorders>
              <w:top w:val="outset" w:sz="6" w:space="0" w:color="auto"/>
              <w:left w:val="outset" w:sz="6" w:space="0" w:color="auto"/>
              <w:bottom w:val="outset" w:sz="6" w:space="0" w:color="auto"/>
              <w:right w:val="outset" w:sz="6" w:space="0" w:color="auto"/>
            </w:tcBorders>
            <w:hideMark/>
          </w:tcPr>
          <w:p w14:paraId="471EBB51" w14:textId="26C173F6" w:rsidR="001A55C9" w:rsidRPr="00FC0B2B" w:rsidRDefault="00FC0B2B" w:rsidP="00FC0B2B">
            <w:pPr>
              <w:pStyle w:val="naiskr"/>
              <w:tabs>
                <w:tab w:val="left" w:pos="390"/>
              </w:tabs>
              <w:spacing w:before="0" w:after="0"/>
              <w:ind w:firstLine="459"/>
              <w:jc w:val="both"/>
            </w:pPr>
            <w:r w:rsidRPr="00FC0B2B">
              <w:t>Ministru kabineta 2009.gada 22.decembra noteikumu Nr.1644 „Kārtība, kādā pieprasa un izlieto budžeta programmas „Līdzekļi neparedzētiem gadījumiem” līdzekļus” 3.punkts,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922271" w:rsidRPr="005465AA" w14:paraId="7A2B23BF" w14:textId="77777777" w:rsidTr="00D470DF">
        <w:trPr>
          <w:trHeight w:val="465"/>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3451142"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1003" w:type="pct"/>
            <w:gridSpan w:val="2"/>
            <w:tcBorders>
              <w:top w:val="outset" w:sz="6" w:space="0" w:color="auto"/>
              <w:left w:val="outset" w:sz="6" w:space="0" w:color="auto"/>
              <w:bottom w:val="outset" w:sz="6" w:space="0" w:color="auto"/>
              <w:right w:val="outset" w:sz="6" w:space="0" w:color="auto"/>
            </w:tcBorders>
            <w:hideMark/>
          </w:tcPr>
          <w:p w14:paraId="7BB3DE3A" w14:textId="12F9C5CB" w:rsidR="001B6418"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C6F3E96" w14:textId="77777777" w:rsidR="001B6418" w:rsidRPr="001B6418" w:rsidRDefault="001B6418" w:rsidP="001B6418">
            <w:pPr>
              <w:rPr>
                <w:rFonts w:ascii="Times New Roman" w:eastAsia="Times New Roman" w:hAnsi="Times New Roman" w:cs="Times New Roman"/>
                <w:sz w:val="24"/>
                <w:szCs w:val="24"/>
                <w:lang w:eastAsia="lv-LV"/>
              </w:rPr>
            </w:pPr>
          </w:p>
          <w:p w14:paraId="2D4AEC1E" w14:textId="77777777" w:rsidR="001B6418" w:rsidRPr="001B6418" w:rsidRDefault="001B6418" w:rsidP="001B6418">
            <w:pPr>
              <w:rPr>
                <w:rFonts w:ascii="Times New Roman" w:eastAsia="Times New Roman" w:hAnsi="Times New Roman" w:cs="Times New Roman"/>
                <w:sz w:val="24"/>
                <w:szCs w:val="24"/>
                <w:lang w:eastAsia="lv-LV"/>
              </w:rPr>
            </w:pPr>
          </w:p>
          <w:p w14:paraId="77AC674B" w14:textId="77777777" w:rsidR="001B6418" w:rsidRPr="001B6418" w:rsidRDefault="001B6418" w:rsidP="001B6418">
            <w:pPr>
              <w:rPr>
                <w:rFonts w:ascii="Times New Roman" w:eastAsia="Times New Roman" w:hAnsi="Times New Roman" w:cs="Times New Roman"/>
                <w:sz w:val="24"/>
                <w:szCs w:val="24"/>
                <w:lang w:eastAsia="lv-LV"/>
              </w:rPr>
            </w:pPr>
          </w:p>
          <w:p w14:paraId="241FCCFE" w14:textId="77777777" w:rsidR="001B6418" w:rsidRPr="001B6418" w:rsidRDefault="001B6418" w:rsidP="001B6418">
            <w:pPr>
              <w:rPr>
                <w:rFonts w:ascii="Times New Roman" w:eastAsia="Times New Roman" w:hAnsi="Times New Roman" w:cs="Times New Roman"/>
                <w:sz w:val="24"/>
                <w:szCs w:val="24"/>
                <w:lang w:eastAsia="lv-LV"/>
              </w:rPr>
            </w:pPr>
          </w:p>
          <w:p w14:paraId="1095751F" w14:textId="77777777" w:rsidR="001B6418" w:rsidRPr="001B6418" w:rsidRDefault="001B6418" w:rsidP="001B6418">
            <w:pPr>
              <w:rPr>
                <w:rFonts w:ascii="Times New Roman" w:eastAsia="Times New Roman" w:hAnsi="Times New Roman" w:cs="Times New Roman"/>
                <w:sz w:val="24"/>
                <w:szCs w:val="24"/>
                <w:lang w:eastAsia="lv-LV"/>
              </w:rPr>
            </w:pPr>
          </w:p>
          <w:p w14:paraId="2E9E5289" w14:textId="77777777" w:rsidR="001B6418" w:rsidRPr="001B6418" w:rsidRDefault="001B6418" w:rsidP="001B6418">
            <w:pPr>
              <w:rPr>
                <w:rFonts w:ascii="Times New Roman" w:eastAsia="Times New Roman" w:hAnsi="Times New Roman" w:cs="Times New Roman"/>
                <w:sz w:val="24"/>
                <w:szCs w:val="24"/>
                <w:lang w:eastAsia="lv-LV"/>
              </w:rPr>
            </w:pPr>
          </w:p>
          <w:p w14:paraId="14242120" w14:textId="77777777" w:rsidR="001B6418" w:rsidRPr="001B6418" w:rsidRDefault="001B6418" w:rsidP="001B6418">
            <w:pPr>
              <w:rPr>
                <w:rFonts w:ascii="Times New Roman" w:eastAsia="Times New Roman" w:hAnsi="Times New Roman" w:cs="Times New Roman"/>
                <w:sz w:val="24"/>
                <w:szCs w:val="24"/>
                <w:lang w:eastAsia="lv-LV"/>
              </w:rPr>
            </w:pPr>
          </w:p>
          <w:p w14:paraId="258ABCE9" w14:textId="77777777" w:rsidR="001B6418" w:rsidRPr="001B6418" w:rsidRDefault="001B6418" w:rsidP="001B6418">
            <w:pPr>
              <w:rPr>
                <w:rFonts w:ascii="Times New Roman" w:eastAsia="Times New Roman" w:hAnsi="Times New Roman" w:cs="Times New Roman"/>
                <w:sz w:val="24"/>
                <w:szCs w:val="24"/>
                <w:lang w:eastAsia="lv-LV"/>
              </w:rPr>
            </w:pPr>
          </w:p>
          <w:p w14:paraId="3C5401D7" w14:textId="77777777" w:rsidR="001B6418" w:rsidRPr="001B6418" w:rsidRDefault="001B6418" w:rsidP="001B6418">
            <w:pPr>
              <w:rPr>
                <w:rFonts w:ascii="Times New Roman" w:eastAsia="Times New Roman" w:hAnsi="Times New Roman" w:cs="Times New Roman"/>
                <w:sz w:val="24"/>
                <w:szCs w:val="24"/>
                <w:lang w:eastAsia="lv-LV"/>
              </w:rPr>
            </w:pPr>
          </w:p>
          <w:p w14:paraId="4E157C95" w14:textId="77777777" w:rsidR="001B6418" w:rsidRPr="001B6418" w:rsidRDefault="001B6418" w:rsidP="001B6418">
            <w:pPr>
              <w:rPr>
                <w:rFonts w:ascii="Times New Roman" w:eastAsia="Times New Roman" w:hAnsi="Times New Roman" w:cs="Times New Roman"/>
                <w:sz w:val="24"/>
                <w:szCs w:val="24"/>
                <w:lang w:eastAsia="lv-LV"/>
              </w:rPr>
            </w:pPr>
          </w:p>
          <w:p w14:paraId="1325BC97" w14:textId="7DD777A2" w:rsidR="001813AA" w:rsidRPr="001B6418" w:rsidRDefault="001813AA" w:rsidP="001B6418">
            <w:pPr>
              <w:rPr>
                <w:rFonts w:ascii="Times New Roman" w:eastAsia="Times New Roman" w:hAnsi="Times New Roman" w:cs="Times New Roman"/>
                <w:sz w:val="24"/>
                <w:szCs w:val="24"/>
                <w:lang w:eastAsia="lv-LV"/>
              </w:rPr>
            </w:pPr>
          </w:p>
        </w:tc>
        <w:tc>
          <w:tcPr>
            <w:tcW w:w="3782" w:type="pct"/>
            <w:gridSpan w:val="7"/>
            <w:tcBorders>
              <w:top w:val="outset" w:sz="6" w:space="0" w:color="auto"/>
              <w:left w:val="outset" w:sz="6" w:space="0" w:color="auto"/>
              <w:bottom w:val="outset" w:sz="6" w:space="0" w:color="auto"/>
              <w:right w:val="outset" w:sz="6" w:space="0" w:color="auto"/>
            </w:tcBorders>
            <w:hideMark/>
          </w:tcPr>
          <w:p w14:paraId="0790CD9F" w14:textId="5E27514E" w:rsidR="005465AA" w:rsidRPr="00A36F7A" w:rsidRDefault="005465AA" w:rsidP="005465AA">
            <w:pPr>
              <w:spacing w:line="100" w:lineRule="atLeast"/>
              <w:jc w:val="both"/>
              <w:rPr>
                <w:rFonts w:ascii="Times New Roman" w:hAnsi="Times New Roman" w:cs="Times New Roman"/>
                <w:sz w:val="24"/>
                <w:szCs w:val="24"/>
              </w:rPr>
            </w:pPr>
            <w:r w:rsidRPr="005465AA">
              <w:rPr>
                <w:rFonts w:ascii="Times New Roman" w:hAnsi="Times New Roman" w:cs="Times New Roman"/>
                <w:sz w:val="24"/>
                <w:szCs w:val="24"/>
              </w:rPr>
              <w:t xml:space="preserve">Ar Latvijas Republikas Augstākās tiesas Civillietu departamenta 2015.gada </w:t>
            </w:r>
            <w:r w:rsidR="00F93262">
              <w:rPr>
                <w:rFonts w:ascii="Times New Roman" w:hAnsi="Times New Roman" w:cs="Times New Roman"/>
                <w:sz w:val="24"/>
                <w:szCs w:val="24"/>
              </w:rPr>
              <w:t>21</w:t>
            </w:r>
            <w:r w:rsidRPr="005465AA">
              <w:rPr>
                <w:rFonts w:ascii="Times New Roman" w:hAnsi="Times New Roman" w:cs="Times New Roman"/>
                <w:sz w:val="24"/>
                <w:szCs w:val="24"/>
              </w:rPr>
              <w:t>.decembra rīcības sēdes lēmumu atteikts ierosināt kasācija</w:t>
            </w:r>
            <w:bookmarkStart w:id="0" w:name="_GoBack"/>
            <w:bookmarkEnd w:id="0"/>
            <w:r w:rsidRPr="005465AA">
              <w:rPr>
                <w:rFonts w:ascii="Times New Roman" w:hAnsi="Times New Roman" w:cs="Times New Roman"/>
                <w:sz w:val="24"/>
                <w:szCs w:val="24"/>
              </w:rPr>
              <w:t>s tiesvedību sakarā ar</w:t>
            </w:r>
            <w:r w:rsidR="00F93262">
              <w:rPr>
                <w:rFonts w:ascii="Times New Roman" w:hAnsi="Times New Roman" w:cs="Times New Roman"/>
                <w:sz w:val="24"/>
                <w:szCs w:val="24"/>
              </w:rPr>
              <w:t xml:space="preserve"> A. Lemberga un  Latvijas valsts </w:t>
            </w:r>
            <w:r w:rsidR="00517859">
              <w:rPr>
                <w:rFonts w:ascii="Times New Roman" w:hAnsi="Times New Roman" w:cs="Times New Roman"/>
                <w:sz w:val="24"/>
                <w:szCs w:val="24"/>
              </w:rPr>
              <w:t>Ģenerālprokuratūras</w:t>
            </w:r>
            <w:r w:rsidRPr="005465AA">
              <w:rPr>
                <w:rFonts w:ascii="Times New Roman" w:hAnsi="Times New Roman" w:cs="Times New Roman"/>
                <w:sz w:val="24"/>
                <w:szCs w:val="24"/>
              </w:rPr>
              <w:t xml:space="preserve"> kasācijas sūdzību par </w:t>
            </w:r>
            <w:r w:rsidR="00A36F7A">
              <w:rPr>
                <w:rFonts w:ascii="Times New Roman" w:hAnsi="Times New Roman" w:cs="Times New Roman"/>
                <w:sz w:val="24"/>
                <w:szCs w:val="24"/>
              </w:rPr>
              <w:t xml:space="preserve">Augstākās tiesas Civillietu tiesu </w:t>
            </w:r>
            <w:r w:rsidR="00A36F7A" w:rsidRPr="00A36F7A">
              <w:rPr>
                <w:rFonts w:ascii="Times New Roman" w:hAnsi="Times New Roman" w:cs="Times New Roman"/>
                <w:sz w:val="24"/>
                <w:szCs w:val="24"/>
              </w:rPr>
              <w:t>palātas</w:t>
            </w:r>
            <w:r w:rsidRPr="00A36F7A">
              <w:rPr>
                <w:rFonts w:ascii="Times New Roman" w:hAnsi="Times New Roman" w:cs="Times New Roman"/>
                <w:sz w:val="24"/>
                <w:szCs w:val="24"/>
              </w:rPr>
              <w:t xml:space="preserve"> 201</w:t>
            </w:r>
            <w:r w:rsidR="00A36F7A" w:rsidRPr="00A36F7A">
              <w:rPr>
                <w:rFonts w:ascii="Times New Roman" w:hAnsi="Times New Roman" w:cs="Times New Roman"/>
                <w:sz w:val="24"/>
                <w:szCs w:val="24"/>
              </w:rPr>
              <w:t>3</w:t>
            </w:r>
            <w:r w:rsidRPr="00A36F7A">
              <w:rPr>
                <w:rFonts w:ascii="Times New Roman" w:hAnsi="Times New Roman" w:cs="Times New Roman"/>
                <w:sz w:val="24"/>
                <w:szCs w:val="24"/>
              </w:rPr>
              <w:t xml:space="preserve">.gada </w:t>
            </w:r>
            <w:r w:rsidR="00A36F7A" w:rsidRPr="00A36F7A">
              <w:rPr>
                <w:rFonts w:ascii="Times New Roman" w:hAnsi="Times New Roman" w:cs="Times New Roman"/>
                <w:sz w:val="24"/>
                <w:szCs w:val="24"/>
              </w:rPr>
              <w:t>19. decembra</w:t>
            </w:r>
            <w:r w:rsidRPr="00A36F7A">
              <w:rPr>
                <w:rFonts w:ascii="Times New Roman" w:hAnsi="Times New Roman" w:cs="Times New Roman"/>
                <w:sz w:val="24"/>
                <w:szCs w:val="24"/>
              </w:rPr>
              <w:t xml:space="preserve"> spriedumu</w:t>
            </w:r>
            <w:r w:rsidR="00735672" w:rsidRPr="00A36F7A">
              <w:rPr>
                <w:rFonts w:ascii="Times New Roman" w:hAnsi="Times New Roman" w:cs="Times New Roman"/>
                <w:sz w:val="24"/>
                <w:szCs w:val="24"/>
              </w:rPr>
              <w:t>,</w:t>
            </w:r>
            <w:r w:rsidRPr="00A36F7A">
              <w:rPr>
                <w:rFonts w:ascii="Times New Roman" w:hAnsi="Times New Roman" w:cs="Times New Roman"/>
                <w:sz w:val="24"/>
                <w:szCs w:val="24"/>
              </w:rPr>
              <w:t xml:space="preserve"> ar kuru no Latvijas </w:t>
            </w:r>
            <w:r w:rsidR="00A36F7A" w:rsidRPr="00A36F7A">
              <w:rPr>
                <w:rFonts w:ascii="Times New Roman" w:hAnsi="Times New Roman" w:cs="Times New Roman"/>
                <w:sz w:val="24"/>
                <w:szCs w:val="24"/>
              </w:rPr>
              <w:t>Republikas A. Lemberga</w:t>
            </w:r>
            <w:r w:rsidRPr="00A36F7A">
              <w:rPr>
                <w:rFonts w:ascii="Times New Roman" w:hAnsi="Times New Roman" w:cs="Times New Roman"/>
                <w:sz w:val="24"/>
                <w:szCs w:val="24"/>
              </w:rPr>
              <w:t xml:space="preserve"> labā piedzīt</w:t>
            </w:r>
            <w:r w:rsidR="00A36F7A" w:rsidRPr="00A36F7A">
              <w:rPr>
                <w:rFonts w:ascii="Times New Roman" w:hAnsi="Times New Roman" w:cs="Times New Roman"/>
                <w:sz w:val="24"/>
                <w:szCs w:val="24"/>
              </w:rPr>
              <w:t>a mantiskā kompensācija par goda un cieņu aizskarošu, nepatiesu ziņu izplatīšanu Ls 250 un tiesāšanās izdevumus Ls 155,74, kopā Ls 405.74 (</w:t>
            </w:r>
            <w:r w:rsidR="00C44AB3">
              <w:rPr>
                <w:rFonts w:ascii="Times New Roman" w:hAnsi="Times New Roman" w:cs="Times New Roman"/>
                <w:sz w:val="24"/>
                <w:szCs w:val="24"/>
              </w:rPr>
              <w:t xml:space="preserve">EUR </w:t>
            </w:r>
            <w:r w:rsidR="00C44AB3">
              <w:rPr>
                <w:rFonts w:ascii="Times New Roman" w:hAnsi="Times New Roman" w:cs="Times New Roman"/>
                <w:color w:val="000000"/>
                <w:sz w:val="24"/>
                <w:szCs w:val="24"/>
              </w:rPr>
              <w:t>577,</w:t>
            </w:r>
            <w:r w:rsidR="00A36F7A" w:rsidRPr="00A36F7A">
              <w:rPr>
                <w:rFonts w:ascii="Times New Roman" w:hAnsi="Times New Roman" w:cs="Times New Roman"/>
                <w:color w:val="000000"/>
                <w:sz w:val="24"/>
                <w:szCs w:val="24"/>
              </w:rPr>
              <w:t>32</w:t>
            </w:r>
            <w:r w:rsidR="00100D7C">
              <w:rPr>
                <w:rFonts w:ascii="Times New Roman" w:hAnsi="Times New Roman" w:cs="Times New Roman"/>
                <w:color w:val="000000"/>
                <w:sz w:val="24"/>
                <w:szCs w:val="24"/>
              </w:rPr>
              <w:t>/578</w:t>
            </w:r>
            <w:r w:rsidR="00A36F7A" w:rsidRPr="00A36F7A">
              <w:rPr>
                <w:rFonts w:ascii="Times New Roman" w:hAnsi="Times New Roman" w:cs="Times New Roman"/>
                <w:color w:val="000000"/>
                <w:sz w:val="24"/>
                <w:szCs w:val="24"/>
              </w:rPr>
              <w:t>)</w:t>
            </w:r>
            <w:r w:rsidRPr="00A36F7A">
              <w:rPr>
                <w:rFonts w:ascii="Times New Roman" w:hAnsi="Times New Roman" w:cs="Times New Roman"/>
                <w:sz w:val="24"/>
                <w:szCs w:val="24"/>
              </w:rPr>
              <w:t xml:space="preserve">. Tiesas spriedums pamatots ar </w:t>
            </w:r>
            <w:r w:rsidR="00A36F7A">
              <w:rPr>
                <w:rFonts w:ascii="Times New Roman" w:hAnsi="Times New Roman" w:cs="Times New Roman"/>
                <w:sz w:val="24"/>
                <w:szCs w:val="24"/>
              </w:rPr>
              <w:t>Civillikum</w:t>
            </w:r>
            <w:r w:rsidR="00353199">
              <w:rPr>
                <w:rFonts w:ascii="Times New Roman" w:hAnsi="Times New Roman" w:cs="Times New Roman"/>
                <w:sz w:val="24"/>
                <w:szCs w:val="24"/>
              </w:rPr>
              <w:t>a</w:t>
            </w:r>
            <w:r w:rsidR="00A36F7A">
              <w:rPr>
                <w:rFonts w:ascii="Times New Roman" w:hAnsi="Times New Roman" w:cs="Times New Roman"/>
                <w:sz w:val="24"/>
                <w:szCs w:val="24"/>
              </w:rPr>
              <w:t xml:space="preserve"> 2352.</w:t>
            </w:r>
            <w:r w:rsidR="00A36F7A" w:rsidRPr="00A36F7A">
              <w:rPr>
                <w:rFonts w:ascii="Times New Roman" w:hAnsi="Times New Roman" w:cs="Times New Roman"/>
                <w:sz w:val="24"/>
                <w:szCs w:val="24"/>
                <w:vertAlign w:val="superscript"/>
              </w:rPr>
              <w:t>1</w:t>
            </w:r>
            <w:r w:rsidR="00A36F7A">
              <w:rPr>
                <w:rFonts w:ascii="Times New Roman" w:hAnsi="Times New Roman" w:cs="Times New Roman"/>
                <w:sz w:val="24"/>
                <w:szCs w:val="24"/>
              </w:rPr>
              <w:t xml:space="preserve"> panta trešo daļu</w:t>
            </w:r>
            <w:r w:rsidRPr="00A36F7A">
              <w:rPr>
                <w:rFonts w:ascii="Times New Roman" w:hAnsi="Times New Roman" w:cs="Times New Roman"/>
                <w:sz w:val="24"/>
                <w:szCs w:val="24"/>
              </w:rPr>
              <w:t xml:space="preserve"> un stājies likumīgā spēkā 2015.gada </w:t>
            </w:r>
            <w:r w:rsidR="00A36F7A">
              <w:rPr>
                <w:rFonts w:ascii="Times New Roman" w:hAnsi="Times New Roman" w:cs="Times New Roman"/>
                <w:sz w:val="24"/>
                <w:szCs w:val="24"/>
              </w:rPr>
              <w:t>21</w:t>
            </w:r>
            <w:r w:rsidRPr="00A36F7A">
              <w:rPr>
                <w:rFonts w:ascii="Times New Roman" w:hAnsi="Times New Roman" w:cs="Times New Roman"/>
                <w:sz w:val="24"/>
                <w:szCs w:val="24"/>
              </w:rPr>
              <w:t xml:space="preserve">.decembrī. </w:t>
            </w:r>
            <w:r w:rsidR="00353199" w:rsidRPr="00BD0B3B">
              <w:rPr>
                <w:rFonts w:ascii="Times New Roman" w:hAnsi="Times New Roman" w:cs="Times New Roman"/>
                <w:sz w:val="24"/>
                <w:szCs w:val="24"/>
              </w:rPr>
              <w:t xml:space="preserve">Spriedumā ir minēts, ka mantiskā kompensācija ir piedzenama no Latvijas Republikas, nenorādot iestādi, kurai būtu jāveic mantiskās kompensācijas izmaksa. Savukārt attiecībā uz goda un cieņu aizskarošo, nepatieso ziņu atsaukumu sprieduma izpilde ir uzticēta </w:t>
            </w:r>
            <w:r w:rsidR="00517859">
              <w:rPr>
                <w:rFonts w:ascii="Times New Roman" w:hAnsi="Times New Roman" w:cs="Times New Roman"/>
                <w:sz w:val="24"/>
                <w:szCs w:val="24"/>
              </w:rPr>
              <w:t>Ģenerālprokuratūrai</w:t>
            </w:r>
            <w:r w:rsidR="00353199" w:rsidRPr="00284B30">
              <w:rPr>
                <w:rFonts w:ascii="Times New Roman" w:hAnsi="Times New Roman" w:cs="Times New Roman"/>
                <w:sz w:val="24"/>
                <w:szCs w:val="24"/>
              </w:rPr>
              <w:t>.</w:t>
            </w:r>
            <w:r w:rsidR="00284B30" w:rsidRPr="00284B30">
              <w:rPr>
                <w:rFonts w:ascii="Times New Roman" w:hAnsi="Times New Roman" w:cs="Times New Roman"/>
                <w:sz w:val="24"/>
                <w:szCs w:val="24"/>
              </w:rPr>
              <w:t xml:space="preserve"> kura spriedumu šajā daļā ir izpildījusi 2015. gada 30. decembrī (skat.http://www.prokuratura.gov.lv/public/32053.html?doc_print=1).</w:t>
            </w:r>
            <w:r w:rsidR="00284B30" w:rsidRPr="00950156">
              <w:rPr>
                <w:rFonts w:ascii="Times New Roman" w:hAnsi="Times New Roman" w:cs="Times New Roman"/>
                <w:sz w:val="24"/>
                <w:szCs w:val="24"/>
              </w:rPr>
              <w:t xml:space="preserve"> </w:t>
            </w:r>
            <w:r w:rsidR="00353199" w:rsidRPr="00BD0B3B">
              <w:rPr>
                <w:rFonts w:ascii="Times New Roman" w:hAnsi="Times New Roman" w:cs="Times New Roman"/>
                <w:sz w:val="24"/>
                <w:szCs w:val="24"/>
              </w:rPr>
              <w:t xml:space="preserve"> Valsts pārvaldes iekārtas likuma 10.panta 10. daļa paredz, ka valsts pārvaldi organizē pēc iespējas efektīvi, tāpēc ievērojot šo principu</w:t>
            </w:r>
            <w:r w:rsidR="007D185F">
              <w:rPr>
                <w:rFonts w:ascii="Times New Roman" w:hAnsi="Times New Roman" w:cs="Times New Roman"/>
                <w:sz w:val="24"/>
                <w:szCs w:val="24"/>
              </w:rPr>
              <w:t>,</w:t>
            </w:r>
            <w:r w:rsidR="00353199" w:rsidRPr="00BD0B3B">
              <w:rPr>
                <w:rFonts w:ascii="Times New Roman" w:hAnsi="Times New Roman" w:cs="Times New Roman"/>
                <w:sz w:val="24"/>
                <w:szCs w:val="24"/>
              </w:rPr>
              <w:t xml:space="preserve"> būtu tikai racionāli, ja spriedumu izpilda viena institūcija.</w:t>
            </w:r>
          </w:p>
          <w:p w14:paraId="3A784D41" w14:textId="331BAB2F" w:rsidR="00A36F7A" w:rsidRPr="00A36F7A" w:rsidRDefault="00A36F7A" w:rsidP="00A36F7A">
            <w:pPr>
              <w:pStyle w:val="NoSpacing"/>
              <w:ind w:firstLine="720"/>
              <w:jc w:val="both"/>
              <w:rPr>
                <w:rFonts w:ascii="Times New Roman" w:hAnsi="Times New Roman"/>
                <w:sz w:val="24"/>
                <w:szCs w:val="24"/>
              </w:rPr>
            </w:pPr>
            <w:r w:rsidRPr="00A36F7A">
              <w:rPr>
                <w:rFonts w:ascii="Times New Roman" w:hAnsi="Times New Roman"/>
                <w:sz w:val="24"/>
                <w:szCs w:val="24"/>
              </w:rPr>
              <w:t xml:space="preserve">Šobrīd ir izveidojies likuma robs, jo saskaņā ar </w:t>
            </w:r>
            <w:r w:rsidR="00C44AB3">
              <w:rPr>
                <w:rFonts w:ascii="Times New Roman" w:hAnsi="Times New Roman"/>
                <w:sz w:val="24"/>
                <w:szCs w:val="24"/>
              </w:rPr>
              <w:t>Civillikuma 2352.</w:t>
            </w:r>
            <w:r w:rsidR="00C44AB3" w:rsidRPr="00C44AB3">
              <w:rPr>
                <w:rFonts w:ascii="Times New Roman" w:hAnsi="Times New Roman"/>
                <w:sz w:val="24"/>
                <w:szCs w:val="24"/>
                <w:vertAlign w:val="superscript"/>
              </w:rPr>
              <w:t>1</w:t>
            </w:r>
            <w:r w:rsidR="00C44AB3">
              <w:rPr>
                <w:rFonts w:ascii="Times New Roman" w:hAnsi="Times New Roman"/>
                <w:sz w:val="24"/>
                <w:szCs w:val="24"/>
              </w:rPr>
              <w:t xml:space="preserve"> panta trešo daļu</w:t>
            </w:r>
            <w:r w:rsidRPr="00A36F7A">
              <w:rPr>
                <w:rFonts w:ascii="Times New Roman" w:hAnsi="Times New Roman"/>
                <w:sz w:val="24"/>
                <w:szCs w:val="24"/>
              </w:rPr>
              <w:t xml:space="preserve"> personai ir tiesības prasīt atlīdzinājumu, bet iepriekš aprakstītais gadījums kā zaudējumu atlīdzināšanas pamats nav paredzēts nedz likumā “Par izziņas iestādes, prokuratūras vai tiesas nelikumīgas vai nepamatotas rīcības rezultātā nodarīto zaudējumu atlīdzināšanu”, pamatojoties uz kuru zaudējumus atlīdzina Tieslietu ministrija, nedz Valsts pārvaldes iestāžu nodarīto zaudējumu atlīdzināšanas likumā, pamatojoties uz kuru zaudējumus atlīdzina Finanšu ministrija.</w:t>
            </w:r>
          </w:p>
          <w:p w14:paraId="2E7D5530" w14:textId="5E7ECCF5" w:rsidR="005465AA" w:rsidRPr="005465AA" w:rsidRDefault="005465AA" w:rsidP="005465AA">
            <w:pPr>
              <w:spacing w:line="100" w:lineRule="atLeast"/>
              <w:jc w:val="both"/>
              <w:rPr>
                <w:rFonts w:ascii="Times New Roman" w:hAnsi="Times New Roman" w:cs="Times New Roman"/>
                <w:sz w:val="24"/>
                <w:szCs w:val="24"/>
              </w:rPr>
            </w:pPr>
            <w:r w:rsidRPr="005465AA">
              <w:rPr>
                <w:rFonts w:ascii="Times New Roman" w:hAnsi="Times New Roman" w:cs="Times New Roman"/>
                <w:sz w:val="24"/>
                <w:szCs w:val="24"/>
              </w:rPr>
              <w:t>Likuma “Valsts pārvaldes iekārtas likums” 44.panta pirmās daļas 1.punkts nosaka, ka mantiskos zaudējumus, kas nodarīt</w:t>
            </w:r>
            <w:r w:rsidR="003729FE">
              <w:rPr>
                <w:rFonts w:ascii="Times New Roman" w:hAnsi="Times New Roman" w:cs="Times New Roman"/>
                <w:sz w:val="24"/>
                <w:szCs w:val="24"/>
              </w:rPr>
              <w:t>i</w:t>
            </w:r>
            <w:r w:rsidRPr="005465AA">
              <w:rPr>
                <w:rFonts w:ascii="Times New Roman" w:hAnsi="Times New Roman" w:cs="Times New Roman"/>
                <w:sz w:val="24"/>
                <w:szCs w:val="24"/>
              </w:rPr>
              <w:t xml:space="preserve"> trešajai personai</w:t>
            </w:r>
            <w:r w:rsidR="003729FE">
              <w:rPr>
                <w:rFonts w:ascii="Times New Roman" w:hAnsi="Times New Roman" w:cs="Times New Roman"/>
                <w:sz w:val="24"/>
                <w:szCs w:val="24"/>
              </w:rPr>
              <w:t>,</w:t>
            </w:r>
            <w:r w:rsidRPr="005465AA">
              <w:rPr>
                <w:rFonts w:ascii="Times New Roman" w:hAnsi="Times New Roman" w:cs="Times New Roman"/>
                <w:sz w:val="24"/>
                <w:szCs w:val="24"/>
              </w:rPr>
              <w:t xml:space="preserve"> atlīdzina no valsts budžeta, kad deleģēšana ir noteikta ar likumu. Arī Valsts pārvaldes iestāžu nodarīto zaudējumu atlīdzināšanas </w:t>
            </w:r>
            <w:r w:rsidRPr="005465AA">
              <w:rPr>
                <w:rFonts w:ascii="Times New Roman" w:hAnsi="Times New Roman" w:cs="Times New Roman"/>
                <w:sz w:val="24"/>
                <w:szCs w:val="24"/>
              </w:rPr>
              <w:lastRenderedPageBreak/>
              <w:t xml:space="preserve">likuma 1.panta, 24.panta pirmā un otrā daļa paredz zaudējumu atlīdzinājumu no valsts pamatbudžeta. </w:t>
            </w:r>
          </w:p>
          <w:p w14:paraId="1939D739" w14:textId="677E55D1" w:rsidR="005465AA" w:rsidRPr="005465AA" w:rsidRDefault="005465AA" w:rsidP="005465AA">
            <w:pPr>
              <w:spacing w:line="100" w:lineRule="atLeast"/>
              <w:jc w:val="both"/>
              <w:rPr>
                <w:rFonts w:ascii="Times New Roman" w:hAnsi="Times New Roman" w:cs="Times New Roman"/>
                <w:sz w:val="24"/>
                <w:szCs w:val="24"/>
              </w:rPr>
            </w:pPr>
            <w:r w:rsidRPr="005465AA">
              <w:rPr>
                <w:rFonts w:ascii="Times New Roman" w:hAnsi="Times New Roman" w:cs="Times New Roman"/>
                <w:sz w:val="24"/>
                <w:szCs w:val="24"/>
              </w:rPr>
              <w:t xml:space="preserve">Tā kā minētajos normatīvajos aktos nav paredzēta kārtība, kādā </w:t>
            </w:r>
            <w:r w:rsidR="00C44AB3">
              <w:rPr>
                <w:rFonts w:ascii="Times New Roman" w:hAnsi="Times New Roman" w:cs="Times New Roman"/>
                <w:sz w:val="24"/>
                <w:szCs w:val="24"/>
              </w:rPr>
              <w:t xml:space="preserve">personām izmaksājama </w:t>
            </w:r>
            <w:r w:rsidR="00C44AB3" w:rsidRPr="00A36F7A">
              <w:rPr>
                <w:rFonts w:ascii="Times New Roman" w:hAnsi="Times New Roman" w:cs="Times New Roman"/>
                <w:sz w:val="24"/>
                <w:szCs w:val="24"/>
              </w:rPr>
              <w:t>mantiskā kompensācija par goda un cieņu aizskarošu, nepatiesu ziņu izplatīšanu</w:t>
            </w:r>
            <w:r w:rsidRPr="005465AA">
              <w:rPr>
                <w:rFonts w:ascii="Times New Roman" w:hAnsi="Times New Roman" w:cs="Times New Roman"/>
                <w:sz w:val="24"/>
                <w:szCs w:val="24"/>
              </w:rPr>
              <w:t xml:space="preserve"> un </w:t>
            </w:r>
            <w:r w:rsidR="00517859">
              <w:rPr>
                <w:rFonts w:ascii="Times New Roman" w:hAnsi="Times New Roman" w:cs="Times New Roman"/>
                <w:sz w:val="24"/>
                <w:szCs w:val="24"/>
              </w:rPr>
              <w:t>Ģenerālprokuratūras</w:t>
            </w:r>
            <w:r w:rsidRPr="005465AA">
              <w:rPr>
                <w:rFonts w:ascii="Times New Roman" w:hAnsi="Times New Roman" w:cs="Times New Roman"/>
                <w:sz w:val="24"/>
                <w:szCs w:val="24"/>
              </w:rPr>
              <w:t xml:space="preserve"> budžetā šādi līdzekļi nav paredzēti, tiesas sprieduma izpildei piešķirami  līdzekļi no valsts budžeta programmas „Līdzekļi neparedzētiem gadījumiem”.  </w:t>
            </w:r>
          </w:p>
          <w:p w14:paraId="5473D124" w14:textId="7D8963F6" w:rsidR="00D4751C" w:rsidRPr="005465AA" w:rsidRDefault="005465AA" w:rsidP="007D185F">
            <w:pPr>
              <w:spacing w:after="0" w:line="240" w:lineRule="auto"/>
              <w:jc w:val="both"/>
              <w:rPr>
                <w:rFonts w:ascii="Times New Roman" w:hAnsi="Times New Roman" w:cs="Times New Roman"/>
                <w:sz w:val="24"/>
                <w:szCs w:val="24"/>
              </w:rPr>
            </w:pPr>
            <w:r w:rsidRPr="005465AA">
              <w:rPr>
                <w:rFonts w:ascii="Times New Roman" w:hAnsi="Times New Roman" w:cs="Times New Roman"/>
                <w:sz w:val="24"/>
                <w:szCs w:val="24"/>
              </w:rPr>
              <w:t xml:space="preserve">Rīkojuma projekts paredz uzdot Finanšu ministrijai piešķirt  </w:t>
            </w:r>
            <w:r w:rsidR="00BD0B3B">
              <w:rPr>
                <w:rFonts w:ascii="Times New Roman" w:hAnsi="Times New Roman" w:cs="Times New Roman"/>
                <w:bCs/>
                <w:sz w:val="24"/>
                <w:szCs w:val="24"/>
              </w:rPr>
              <w:t>Ģenerālprokuratūrai</w:t>
            </w:r>
            <w:r w:rsidRPr="005465AA">
              <w:rPr>
                <w:rFonts w:ascii="Times New Roman" w:hAnsi="Times New Roman" w:cs="Times New Roman"/>
                <w:b/>
                <w:bCs/>
                <w:sz w:val="24"/>
                <w:szCs w:val="24"/>
              </w:rPr>
              <w:t xml:space="preserve"> </w:t>
            </w:r>
            <w:r w:rsidRPr="005465AA">
              <w:rPr>
                <w:rFonts w:ascii="Times New Roman" w:hAnsi="Times New Roman" w:cs="Times New Roman"/>
                <w:sz w:val="24"/>
                <w:szCs w:val="24"/>
              </w:rPr>
              <w:t xml:space="preserve"> no valsts budžeta programmas „Līdzekļi nepared</w:t>
            </w:r>
            <w:r w:rsidR="00735672">
              <w:rPr>
                <w:rFonts w:ascii="Times New Roman" w:hAnsi="Times New Roman" w:cs="Times New Roman"/>
                <w:sz w:val="24"/>
                <w:szCs w:val="24"/>
              </w:rPr>
              <w:t xml:space="preserve">zētiem gadījumiem” </w:t>
            </w:r>
            <w:r w:rsidR="00C44AB3">
              <w:rPr>
                <w:rFonts w:ascii="Times New Roman" w:hAnsi="Times New Roman" w:cs="Times New Roman"/>
                <w:sz w:val="24"/>
                <w:szCs w:val="24"/>
              </w:rPr>
              <w:t xml:space="preserve">EUR </w:t>
            </w:r>
            <w:r w:rsidR="007D185F">
              <w:rPr>
                <w:rFonts w:ascii="Times New Roman" w:hAnsi="Times New Roman" w:cs="Times New Roman"/>
                <w:color w:val="000000"/>
                <w:sz w:val="24"/>
                <w:szCs w:val="24"/>
              </w:rPr>
              <w:t>578</w:t>
            </w:r>
            <w:r w:rsidRPr="005465AA">
              <w:rPr>
                <w:rFonts w:ascii="Times New Roman" w:hAnsi="Times New Roman" w:cs="Times New Roman"/>
                <w:sz w:val="24"/>
                <w:szCs w:val="24"/>
              </w:rPr>
              <w:t>, lai nodrošinātu tiesas sprieduma izpildi.</w:t>
            </w:r>
          </w:p>
        </w:tc>
      </w:tr>
      <w:tr w:rsidR="001A55C9" w:rsidRPr="004D3AEF" w14:paraId="52E96D39" w14:textId="77777777" w:rsidTr="00D470DF">
        <w:trPr>
          <w:trHeight w:val="465"/>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4075623"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w:t>
            </w:r>
          </w:p>
        </w:tc>
        <w:tc>
          <w:tcPr>
            <w:tcW w:w="1003" w:type="pct"/>
            <w:gridSpan w:val="2"/>
            <w:tcBorders>
              <w:top w:val="outset" w:sz="6" w:space="0" w:color="auto"/>
              <w:left w:val="outset" w:sz="6" w:space="0" w:color="auto"/>
              <w:bottom w:val="outset" w:sz="6" w:space="0" w:color="auto"/>
              <w:right w:val="outset" w:sz="6" w:space="0" w:color="auto"/>
            </w:tcBorders>
            <w:hideMark/>
          </w:tcPr>
          <w:p w14:paraId="0880716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izstrādē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3782" w:type="pct"/>
            <w:gridSpan w:val="7"/>
            <w:tcBorders>
              <w:top w:val="outset" w:sz="6" w:space="0" w:color="auto"/>
              <w:left w:val="outset" w:sz="6" w:space="0" w:color="auto"/>
              <w:bottom w:val="outset" w:sz="6" w:space="0" w:color="auto"/>
              <w:right w:val="outset" w:sz="6" w:space="0" w:color="auto"/>
            </w:tcBorders>
            <w:hideMark/>
          </w:tcPr>
          <w:p w14:paraId="428A68F6" w14:textId="2BAF315F" w:rsidR="001813AA" w:rsidRPr="004D3AEF" w:rsidRDefault="00BD0B3B" w:rsidP="003F18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Ģenerālprokuratūra</w:t>
            </w:r>
            <w:r w:rsidR="005465AA">
              <w:rPr>
                <w:rFonts w:ascii="Times New Roman" w:eastAsia="Times New Roman" w:hAnsi="Times New Roman" w:cs="Times New Roman"/>
                <w:sz w:val="24"/>
                <w:szCs w:val="24"/>
                <w:lang w:eastAsia="lv-LV"/>
              </w:rPr>
              <w:t>, Finanšu ministrija</w:t>
            </w:r>
            <w:r w:rsidR="008A2835">
              <w:rPr>
                <w:rFonts w:ascii="Times New Roman" w:eastAsia="Times New Roman" w:hAnsi="Times New Roman" w:cs="Times New Roman"/>
                <w:sz w:val="24"/>
                <w:szCs w:val="24"/>
                <w:lang w:eastAsia="lv-LV"/>
              </w:rPr>
              <w:t>.</w:t>
            </w:r>
          </w:p>
        </w:tc>
      </w:tr>
      <w:tr w:rsidR="001A55C9" w:rsidRPr="004D3AEF" w14:paraId="0579936A" w14:textId="77777777" w:rsidTr="00D470DF">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1004F6" w14:textId="77777777" w:rsidR="001813AA" w:rsidRPr="004D3AEF" w:rsidRDefault="001813AA" w:rsidP="001813AA">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1003" w:type="pct"/>
            <w:gridSpan w:val="2"/>
            <w:tcBorders>
              <w:top w:val="outset" w:sz="6" w:space="0" w:color="auto"/>
              <w:left w:val="outset" w:sz="6" w:space="0" w:color="auto"/>
              <w:bottom w:val="outset" w:sz="6" w:space="0" w:color="auto"/>
              <w:right w:val="outset" w:sz="6" w:space="0" w:color="auto"/>
            </w:tcBorders>
            <w:hideMark/>
          </w:tcPr>
          <w:p w14:paraId="619B48BA"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3782" w:type="pct"/>
            <w:gridSpan w:val="7"/>
            <w:tcBorders>
              <w:top w:val="outset" w:sz="6" w:space="0" w:color="auto"/>
              <w:left w:val="outset" w:sz="6" w:space="0" w:color="auto"/>
              <w:bottom w:val="outset" w:sz="6" w:space="0" w:color="auto"/>
              <w:right w:val="outset" w:sz="6" w:space="0" w:color="auto"/>
            </w:tcBorders>
            <w:hideMark/>
          </w:tcPr>
          <w:p w14:paraId="1D41EEF9" w14:textId="61E9E66E"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r w:rsidR="001A55C9" w:rsidRPr="004D3AEF" w14:paraId="638E0D47" w14:textId="77777777" w:rsidTr="001813AA">
        <w:tblPrEx>
          <w:jc w:val="center"/>
        </w:tblPrEx>
        <w:trPr>
          <w:trHeight w:val="360"/>
          <w:tblCellSpacing w:w="15"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6E26DA35"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4D3AEF" w14:paraId="12169F33" w14:textId="77777777" w:rsidTr="00D470DF">
        <w:tblPrEx>
          <w:jc w:val="center"/>
        </w:tblPrEx>
        <w:trPr>
          <w:tblCellSpacing w:w="15" w:type="dxa"/>
          <w:jc w:val="center"/>
        </w:trPr>
        <w:tc>
          <w:tcPr>
            <w:tcW w:w="1671"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5BA0378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Rādītāji</w:t>
            </w:r>
          </w:p>
        </w:tc>
        <w:tc>
          <w:tcPr>
            <w:tcW w:w="1328"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2C7F34F9" w14:textId="05D9C85D" w:rsidR="001813AA" w:rsidRPr="004D3AEF" w:rsidRDefault="00735672" w:rsidP="008A283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1934" w:type="pct"/>
            <w:gridSpan w:val="3"/>
            <w:tcBorders>
              <w:top w:val="outset" w:sz="6" w:space="0" w:color="auto"/>
              <w:left w:val="outset" w:sz="6" w:space="0" w:color="auto"/>
              <w:bottom w:val="outset" w:sz="6" w:space="0" w:color="auto"/>
              <w:right w:val="outset" w:sz="6" w:space="0" w:color="auto"/>
            </w:tcBorders>
            <w:vAlign w:val="center"/>
            <w:hideMark/>
          </w:tcPr>
          <w:p w14:paraId="272002C2"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Turpmākie trīs gadi (</w:t>
            </w:r>
            <w:proofErr w:type="spellStart"/>
            <w:r w:rsidR="008A004D" w:rsidRPr="004D3AEF">
              <w:rPr>
                <w:rFonts w:ascii="Times New Roman" w:eastAsia="Times New Roman" w:hAnsi="Times New Roman" w:cs="Times New Roman"/>
                <w:i/>
                <w:sz w:val="24"/>
                <w:szCs w:val="24"/>
                <w:lang w:eastAsia="lv-LV"/>
              </w:rPr>
              <w:t>euro</w:t>
            </w:r>
            <w:proofErr w:type="spellEnd"/>
            <w:r w:rsidRPr="004D3AEF">
              <w:rPr>
                <w:rFonts w:ascii="Times New Roman" w:eastAsia="Times New Roman" w:hAnsi="Times New Roman" w:cs="Times New Roman"/>
                <w:sz w:val="24"/>
                <w:szCs w:val="24"/>
                <w:lang w:eastAsia="lv-LV"/>
              </w:rPr>
              <w:t>)</w:t>
            </w:r>
          </w:p>
        </w:tc>
      </w:tr>
      <w:tr w:rsidR="008A2835" w:rsidRPr="004D3AEF" w14:paraId="21FEE3CF" w14:textId="77777777" w:rsidTr="00D470DF">
        <w:tblPrEx>
          <w:jc w:val="center"/>
        </w:tblPrEx>
        <w:trPr>
          <w:tblCellSpacing w:w="15" w:type="dxa"/>
          <w:jc w:val="center"/>
        </w:trPr>
        <w:tc>
          <w:tcPr>
            <w:tcW w:w="1671" w:type="pct"/>
            <w:gridSpan w:val="4"/>
            <w:vMerge/>
            <w:tcBorders>
              <w:top w:val="outset" w:sz="6" w:space="0" w:color="auto"/>
              <w:left w:val="outset" w:sz="6" w:space="0" w:color="auto"/>
              <w:bottom w:val="outset" w:sz="6" w:space="0" w:color="auto"/>
              <w:right w:val="outset" w:sz="6" w:space="0" w:color="auto"/>
            </w:tcBorders>
            <w:vAlign w:val="center"/>
            <w:hideMark/>
          </w:tcPr>
          <w:p w14:paraId="08E62F6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1328" w:type="pct"/>
            <w:gridSpan w:val="3"/>
            <w:vMerge/>
            <w:tcBorders>
              <w:top w:val="outset" w:sz="6" w:space="0" w:color="auto"/>
              <w:left w:val="outset" w:sz="6" w:space="0" w:color="auto"/>
              <w:bottom w:val="outset" w:sz="6" w:space="0" w:color="auto"/>
              <w:right w:val="outset" w:sz="6" w:space="0" w:color="auto"/>
            </w:tcBorders>
            <w:vAlign w:val="center"/>
            <w:hideMark/>
          </w:tcPr>
          <w:p w14:paraId="01B4A3DD"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14:paraId="09FEFFEC" w14:textId="7E09D8A0" w:rsidR="001813AA" w:rsidRPr="004D3AEF" w:rsidRDefault="001A55C9" w:rsidP="00FC0B2B">
            <w:pPr>
              <w:spacing w:after="0" w:line="240" w:lineRule="auto"/>
              <w:ind w:firstLine="15"/>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201</w:t>
            </w:r>
            <w:r w:rsidR="00735672">
              <w:rPr>
                <w:rFonts w:ascii="Times New Roman" w:eastAsia="Times New Roman" w:hAnsi="Times New Roman" w:cs="Times New Roman"/>
                <w:b/>
                <w:bCs/>
                <w:sz w:val="24"/>
                <w:szCs w:val="24"/>
                <w:lang w:eastAsia="lv-LV"/>
              </w:rPr>
              <w:t>7</w:t>
            </w:r>
          </w:p>
        </w:tc>
        <w:tc>
          <w:tcPr>
            <w:tcW w:w="589" w:type="pct"/>
            <w:tcBorders>
              <w:top w:val="outset" w:sz="6" w:space="0" w:color="auto"/>
              <w:left w:val="outset" w:sz="6" w:space="0" w:color="auto"/>
              <w:bottom w:val="outset" w:sz="6" w:space="0" w:color="auto"/>
              <w:right w:val="outset" w:sz="6" w:space="0" w:color="auto"/>
            </w:tcBorders>
            <w:vAlign w:val="center"/>
            <w:hideMark/>
          </w:tcPr>
          <w:p w14:paraId="16ACC1C7" w14:textId="26410DE6" w:rsidR="001813AA" w:rsidRPr="004D3AEF" w:rsidRDefault="00735672" w:rsidP="008A283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724" w:type="pct"/>
            <w:tcBorders>
              <w:top w:val="outset" w:sz="6" w:space="0" w:color="auto"/>
              <w:left w:val="outset" w:sz="6" w:space="0" w:color="auto"/>
              <w:bottom w:val="outset" w:sz="6" w:space="0" w:color="auto"/>
              <w:right w:val="outset" w:sz="6" w:space="0" w:color="auto"/>
            </w:tcBorders>
            <w:vAlign w:val="center"/>
            <w:hideMark/>
          </w:tcPr>
          <w:p w14:paraId="7C92ACDF" w14:textId="79B25782" w:rsidR="001813AA" w:rsidRPr="004D3AEF" w:rsidRDefault="00735672" w:rsidP="008A283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r>
      <w:tr w:rsidR="008A2835" w:rsidRPr="004D3AEF" w14:paraId="5DF441FE" w14:textId="77777777" w:rsidTr="00D470DF">
        <w:tblPrEx>
          <w:jc w:val="center"/>
        </w:tblPrEx>
        <w:trPr>
          <w:tblCellSpacing w:w="15" w:type="dxa"/>
          <w:jc w:val="center"/>
        </w:trPr>
        <w:tc>
          <w:tcPr>
            <w:tcW w:w="1671" w:type="pct"/>
            <w:gridSpan w:val="4"/>
            <w:vMerge/>
            <w:tcBorders>
              <w:top w:val="outset" w:sz="6" w:space="0" w:color="auto"/>
              <w:left w:val="outset" w:sz="6" w:space="0" w:color="auto"/>
              <w:bottom w:val="outset" w:sz="6" w:space="0" w:color="auto"/>
              <w:right w:val="outset" w:sz="6" w:space="0" w:color="auto"/>
            </w:tcBorders>
            <w:vAlign w:val="center"/>
            <w:hideMark/>
          </w:tcPr>
          <w:p w14:paraId="4A763093" w14:textId="77777777" w:rsidR="001813AA" w:rsidRPr="004D3AEF" w:rsidRDefault="001813AA" w:rsidP="001813AA">
            <w:pPr>
              <w:spacing w:after="0" w:line="240" w:lineRule="auto"/>
              <w:rPr>
                <w:rFonts w:ascii="Times New Roman" w:eastAsia="Times New Roman" w:hAnsi="Times New Roman" w:cs="Times New Roman"/>
                <w:b/>
                <w:bCs/>
                <w:sz w:val="24"/>
                <w:szCs w:val="24"/>
                <w:lang w:eastAsia="lv-LV"/>
              </w:rPr>
            </w:pPr>
          </w:p>
        </w:tc>
        <w:tc>
          <w:tcPr>
            <w:tcW w:w="526" w:type="pct"/>
            <w:tcBorders>
              <w:top w:val="outset" w:sz="6" w:space="0" w:color="auto"/>
              <w:left w:val="outset" w:sz="6" w:space="0" w:color="auto"/>
              <w:bottom w:val="outset" w:sz="6" w:space="0" w:color="auto"/>
              <w:right w:val="outset" w:sz="6" w:space="0" w:color="auto"/>
            </w:tcBorders>
            <w:vAlign w:val="center"/>
            <w:hideMark/>
          </w:tcPr>
          <w:p w14:paraId="33324FF8" w14:textId="77777777" w:rsidR="001813AA" w:rsidRPr="004D3AEF"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saskaņā ar valsts budžetu kārtējam gadam</w:t>
            </w:r>
          </w:p>
        </w:tc>
        <w:tc>
          <w:tcPr>
            <w:tcW w:w="785" w:type="pct"/>
            <w:gridSpan w:val="2"/>
            <w:tcBorders>
              <w:top w:val="outset" w:sz="6" w:space="0" w:color="auto"/>
              <w:left w:val="outset" w:sz="6" w:space="0" w:color="auto"/>
              <w:bottom w:val="outset" w:sz="6" w:space="0" w:color="auto"/>
              <w:right w:val="outset" w:sz="6" w:space="0" w:color="auto"/>
            </w:tcBorders>
            <w:vAlign w:val="center"/>
            <w:hideMark/>
          </w:tcPr>
          <w:p w14:paraId="2C32AB65"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kārtējā gadā,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salīdzinot ar valsts budžetu kārtējam gadam</w:t>
            </w:r>
          </w:p>
        </w:tc>
        <w:tc>
          <w:tcPr>
            <w:tcW w:w="589" w:type="pct"/>
            <w:tcBorders>
              <w:top w:val="outset" w:sz="6" w:space="0" w:color="auto"/>
              <w:left w:val="outset" w:sz="6" w:space="0" w:color="auto"/>
              <w:bottom w:val="outset" w:sz="6" w:space="0" w:color="auto"/>
              <w:right w:val="outset" w:sz="6" w:space="0" w:color="auto"/>
            </w:tcBorders>
            <w:vAlign w:val="center"/>
            <w:hideMark/>
          </w:tcPr>
          <w:p w14:paraId="2EE6146A"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589" w:type="pct"/>
            <w:tcBorders>
              <w:top w:val="outset" w:sz="6" w:space="0" w:color="auto"/>
              <w:left w:val="outset" w:sz="6" w:space="0" w:color="auto"/>
              <w:bottom w:val="outset" w:sz="6" w:space="0" w:color="auto"/>
              <w:right w:val="outset" w:sz="6" w:space="0" w:color="auto"/>
            </w:tcBorders>
            <w:vAlign w:val="center"/>
            <w:hideMark/>
          </w:tcPr>
          <w:p w14:paraId="4BA9EE5D"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c>
          <w:tcPr>
            <w:tcW w:w="724" w:type="pct"/>
            <w:tcBorders>
              <w:top w:val="outset" w:sz="6" w:space="0" w:color="auto"/>
              <w:left w:val="outset" w:sz="6" w:space="0" w:color="auto"/>
              <w:bottom w:val="outset" w:sz="6" w:space="0" w:color="auto"/>
              <w:right w:val="outset" w:sz="6" w:space="0" w:color="auto"/>
            </w:tcBorders>
            <w:vAlign w:val="center"/>
            <w:hideMark/>
          </w:tcPr>
          <w:p w14:paraId="512A470B"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izmaiņas, salīdzinot ar kārtējo (n) gadu</w:t>
            </w:r>
          </w:p>
        </w:tc>
      </w:tr>
      <w:tr w:rsidR="008A2835" w:rsidRPr="004D3AEF" w14:paraId="10797D69"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vAlign w:val="center"/>
            <w:hideMark/>
          </w:tcPr>
          <w:p w14:paraId="7E9494A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526" w:type="pct"/>
            <w:tcBorders>
              <w:top w:val="outset" w:sz="6" w:space="0" w:color="auto"/>
              <w:left w:val="outset" w:sz="6" w:space="0" w:color="auto"/>
              <w:bottom w:val="outset" w:sz="6" w:space="0" w:color="auto"/>
              <w:right w:val="outset" w:sz="6" w:space="0" w:color="auto"/>
            </w:tcBorders>
            <w:vAlign w:val="center"/>
            <w:hideMark/>
          </w:tcPr>
          <w:p w14:paraId="25187DCD"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w:t>
            </w:r>
          </w:p>
        </w:tc>
        <w:tc>
          <w:tcPr>
            <w:tcW w:w="785" w:type="pct"/>
            <w:gridSpan w:val="2"/>
            <w:tcBorders>
              <w:top w:val="outset" w:sz="6" w:space="0" w:color="auto"/>
              <w:left w:val="outset" w:sz="6" w:space="0" w:color="auto"/>
              <w:bottom w:val="outset" w:sz="6" w:space="0" w:color="auto"/>
              <w:right w:val="outset" w:sz="6" w:space="0" w:color="auto"/>
            </w:tcBorders>
            <w:vAlign w:val="center"/>
            <w:hideMark/>
          </w:tcPr>
          <w:p w14:paraId="379EE9E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589" w:type="pct"/>
            <w:tcBorders>
              <w:top w:val="outset" w:sz="6" w:space="0" w:color="auto"/>
              <w:left w:val="outset" w:sz="6" w:space="0" w:color="auto"/>
              <w:bottom w:val="outset" w:sz="6" w:space="0" w:color="auto"/>
              <w:right w:val="outset" w:sz="6" w:space="0" w:color="auto"/>
            </w:tcBorders>
            <w:vAlign w:val="center"/>
            <w:hideMark/>
          </w:tcPr>
          <w:p w14:paraId="66811BBC"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w:t>
            </w:r>
          </w:p>
        </w:tc>
        <w:tc>
          <w:tcPr>
            <w:tcW w:w="589" w:type="pct"/>
            <w:tcBorders>
              <w:top w:val="outset" w:sz="6" w:space="0" w:color="auto"/>
              <w:left w:val="outset" w:sz="6" w:space="0" w:color="auto"/>
              <w:bottom w:val="outset" w:sz="6" w:space="0" w:color="auto"/>
              <w:right w:val="outset" w:sz="6" w:space="0" w:color="auto"/>
            </w:tcBorders>
            <w:vAlign w:val="center"/>
            <w:hideMark/>
          </w:tcPr>
          <w:p w14:paraId="0211F80E"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w:t>
            </w:r>
          </w:p>
        </w:tc>
        <w:tc>
          <w:tcPr>
            <w:tcW w:w="724" w:type="pct"/>
            <w:tcBorders>
              <w:top w:val="outset" w:sz="6" w:space="0" w:color="auto"/>
              <w:left w:val="outset" w:sz="6" w:space="0" w:color="auto"/>
              <w:bottom w:val="outset" w:sz="6" w:space="0" w:color="auto"/>
              <w:right w:val="outset" w:sz="6" w:space="0" w:color="auto"/>
            </w:tcBorders>
            <w:vAlign w:val="center"/>
            <w:hideMark/>
          </w:tcPr>
          <w:p w14:paraId="0665F520" w14:textId="77777777" w:rsidR="001813AA" w:rsidRPr="004D3AEF" w:rsidRDefault="001813AA" w:rsidP="008A2835">
            <w:pPr>
              <w:spacing w:after="0" w:line="240" w:lineRule="auto"/>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w:t>
            </w:r>
          </w:p>
        </w:tc>
      </w:tr>
      <w:tr w:rsidR="008A2835" w:rsidRPr="004D3AEF" w14:paraId="4EC69422"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1FCCD2C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 Budžeta ieņēmumi:</w:t>
            </w:r>
          </w:p>
        </w:tc>
        <w:tc>
          <w:tcPr>
            <w:tcW w:w="526" w:type="pct"/>
            <w:tcBorders>
              <w:top w:val="outset" w:sz="6" w:space="0" w:color="auto"/>
              <w:left w:val="outset" w:sz="6" w:space="0" w:color="auto"/>
              <w:bottom w:val="outset" w:sz="6" w:space="0" w:color="auto"/>
              <w:right w:val="outset" w:sz="6" w:space="0" w:color="auto"/>
            </w:tcBorders>
            <w:hideMark/>
          </w:tcPr>
          <w:p w14:paraId="0FBE8B8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1BFC4FF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3995821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37ACF1D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00C6340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BC84616"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332DC0E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1.1. valsts pamatbudžets, tai skaitā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ieņēmumi no maksas pakalpojumiem un citi pašu ieņēmumi</w:t>
            </w:r>
          </w:p>
        </w:tc>
        <w:tc>
          <w:tcPr>
            <w:tcW w:w="526" w:type="pct"/>
            <w:tcBorders>
              <w:top w:val="outset" w:sz="6" w:space="0" w:color="auto"/>
              <w:left w:val="outset" w:sz="6" w:space="0" w:color="auto"/>
              <w:bottom w:val="outset" w:sz="6" w:space="0" w:color="auto"/>
              <w:right w:val="outset" w:sz="6" w:space="0" w:color="auto"/>
            </w:tcBorders>
            <w:hideMark/>
          </w:tcPr>
          <w:p w14:paraId="7D4E607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42D6B8E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428128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700AE0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6C4E1D55"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1932849"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1D35656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1.2. valsts speciālais budžets</w:t>
            </w:r>
          </w:p>
        </w:tc>
        <w:tc>
          <w:tcPr>
            <w:tcW w:w="526" w:type="pct"/>
            <w:tcBorders>
              <w:top w:val="outset" w:sz="6" w:space="0" w:color="auto"/>
              <w:left w:val="outset" w:sz="6" w:space="0" w:color="auto"/>
              <w:bottom w:val="outset" w:sz="6" w:space="0" w:color="auto"/>
              <w:right w:val="outset" w:sz="6" w:space="0" w:color="auto"/>
            </w:tcBorders>
            <w:hideMark/>
          </w:tcPr>
          <w:p w14:paraId="247EF43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356C6BE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1B74490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572319D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78A2333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BD12206"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057D3CA2"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1.3. pašvaldību budžets</w:t>
            </w:r>
          </w:p>
        </w:tc>
        <w:tc>
          <w:tcPr>
            <w:tcW w:w="526" w:type="pct"/>
            <w:tcBorders>
              <w:top w:val="outset" w:sz="6" w:space="0" w:color="auto"/>
              <w:left w:val="outset" w:sz="6" w:space="0" w:color="auto"/>
              <w:bottom w:val="outset" w:sz="6" w:space="0" w:color="auto"/>
              <w:right w:val="outset" w:sz="6" w:space="0" w:color="auto"/>
            </w:tcBorders>
            <w:hideMark/>
          </w:tcPr>
          <w:p w14:paraId="308BCA9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7DE83A4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5111EAB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3767247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0AEE878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30F43EB2"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211328E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 Budžeta izdevumi:</w:t>
            </w:r>
          </w:p>
        </w:tc>
        <w:tc>
          <w:tcPr>
            <w:tcW w:w="526" w:type="pct"/>
            <w:tcBorders>
              <w:top w:val="outset" w:sz="6" w:space="0" w:color="auto"/>
              <w:left w:val="outset" w:sz="6" w:space="0" w:color="auto"/>
              <w:bottom w:val="outset" w:sz="6" w:space="0" w:color="auto"/>
              <w:right w:val="outset" w:sz="6" w:space="0" w:color="auto"/>
            </w:tcBorders>
            <w:hideMark/>
          </w:tcPr>
          <w:p w14:paraId="771609E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2386BBC9" w14:textId="2F2FC7A0" w:rsidR="001813AA" w:rsidRPr="004D3AEF" w:rsidRDefault="00C44AB3" w:rsidP="001E7BDD">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57</w:t>
            </w:r>
            <w:r w:rsidR="001E7BDD">
              <w:rPr>
                <w:rFonts w:ascii="Times New Roman" w:hAnsi="Times New Roman" w:cs="Times New Roman"/>
                <w:color w:val="000000"/>
                <w:sz w:val="24"/>
                <w:szCs w:val="24"/>
              </w:rPr>
              <w:t>8</w:t>
            </w:r>
          </w:p>
        </w:tc>
        <w:tc>
          <w:tcPr>
            <w:tcW w:w="589" w:type="pct"/>
            <w:tcBorders>
              <w:top w:val="outset" w:sz="6" w:space="0" w:color="auto"/>
              <w:left w:val="outset" w:sz="6" w:space="0" w:color="auto"/>
              <w:bottom w:val="outset" w:sz="6" w:space="0" w:color="auto"/>
              <w:right w:val="outset" w:sz="6" w:space="0" w:color="auto"/>
            </w:tcBorders>
            <w:hideMark/>
          </w:tcPr>
          <w:p w14:paraId="02DED1F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392A5A5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28D93C8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5C0111AB"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2515EDDC"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2.1. valsts pamatbudžets</w:t>
            </w:r>
          </w:p>
        </w:tc>
        <w:tc>
          <w:tcPr>
            <w:tcW w:w="526" w:type="pct"/>
            <w:tcBorders>
              <w:top w:val="outset" w:sz="6" w:space="0" w:color="auto"/>
              <w:left w:val="outset" w:sz="6" w:space="0" w:color="auto"/>
              <w:bottom w:val="outset" w:sz="6" w:space="0" w:color="auto"/>
              <w:right w:val="outset" w:sz="6" w:space="0" w:color="auto"/>
            </w:tcBorders>
            <w:hideMark/>
          </w:tcPr>
          <w:p w14:paraId="5552D76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661F6DE0" w14:textId="002BA6AB" w:rsidR="001813AA" w:rsidRPr="004D3AEF" w:rsidRDefault="00C44AB3" w:rsidP="001E7BDD">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57</w:t>
            </w:r>
            <w:r w:rsidR="001E7BDD">
              <w:rPr>
                <w:rFonts w:ascii="Times New Roman" w:hAnsi="Times New Roman" w:cs="Times New Roman"/>
                <w:color w:val="000000"/>
                <w:sz w:val="24"/>
                <w:szCs w:val="24"/>
              </w:rPr>
              <w:t>8</w:t>
            </w:r>
          </w:p>
        </w:tc>
        <w:tc>
          <w:tcPr>
            <w:tcW w:w="589" w:type="pct"/>
            <w:tcBorders>
              <w:top w:val="outset" w:sz="6" w:space="0" w:color="auto"/>
              <w:left w:val="outset" w:sz="6" w:space="0" w:color="auto"/>
              <w:bottom w:val="outset" w:sz="6" w:space="0" w:color="auto"/>
              <w:right w:val="outset" w:sz="6" w:space="0" w:color="auto"/>
            </w:tcBorders>
            <w:hideMark/>
          </w:tcPr>
          <w:p w14:paraId="5EC71F3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1804551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79415FB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7217B9D"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300FBD71"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2.2. valsts speciālais budžets</w:t>
            </w:r>
          </w:p>
        </w:tc>
        <w:tc>
          <w:tcPr>
            <w:tcW w:w="526" w:type="pct"/>
            <w:tcBorders>
              <w:top w:val="outset" w:sz="6" w:space="0" w:color="auto"/>
              <w:left w:val="outset" w:sz="6" w:space="0" w:color="auto"/>
              <w:bottom w:val="outset" w:sz="6" w:space="0" w:color="auto"/>
              <w:right w:val="outset" w:sz="6" w:space="0" w:color="auto"/>
            </w:tcBorders>
            <w:hideMark/>
          </w:tcPr>
          <w:p w14:paraId="66E3563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3A70593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031BAB3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5784FA3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238096A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84D3F6C"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7A8FE6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2.3. pašvaldību budžets</w:t>
            </w:r>
          </w:p>
        </w:tc>
        <w:tc>
          <w:tcPr>
            <w:tcW w:w="526" w:type="pct"/>
            <w:tcBorders>
              <w:top w:val="outset" w:sz="6" w:space="0" w:color="auto"/>
              <w:left w:val="outset" w:sz="6" w:space="0" w:color="auto"/>
              <w:bottom w:val="outset" w:sz="6" w:space="0" w:color="auto"/>
              <w:right w:val="outset" w:sz="6" w:space="0" w:color="auto"/>
            </w:tcBorders>
            <w:hideMark/>
          </w:tcPr>
          <w:p w14:paraId="7D969CE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160EB7D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4DAE9BA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3E97120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449AF8F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8452830"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1686CE1B"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 Finansiālā ietekme:</w:t>
            </w:r>
          </w:p>
        </w:tc>
        <w:tc>
          <w:tcPr>
            <w:tcW w:w="526" w:type="pct"/>
            <w:tcBorders>
              <w:top w:val="outset" w:sz="6" w:space="0" w:color="auto"/>
              <w:left w:val="outset" w:sz="6" w:space="0" w:color="auto"/>
              <w:bottom w:val="outset" w:sz="6" w:space="0" w:color="auto"/>
              <w:right w:val="outset" w:sz="6" w:space="0" w:color="auto"/>
            </w:tcBorders>
            <w:vAlign w:val="center"/>
            <w:hideMark/>
          </w:tcPr>
          <w:p w14:paraId="4C9D9A4E"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55357A87" w14:textId="082415FD" w:rsidR="001813AA" w:rsidRPr="0049356B" w:rsidRDefault="00445F21" w:rsidP="001E7BD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E7BDD">
              <w:rPr>
                <w:rFonts w:ascii="Times New Roman" w:hAnsi="Times New Roman" w:cs="Times New Roman"/>
                <w:color w:val="000000"/>
                <w:sz w:val="24"/>
                <w:szCs w:val="24"/>
              </w:rPr>
              <w:t>578</w:t>
            </w:r>
          </w:p>
        </w:tc>
        <w:tc>
          <w:tcPr>
            <w:tcW w:w="589" w:type="pct"/>
            <w:tcBorders>
              <w:top w:val="outset" w:sz="6" w:space="0" w:color="auto"/>
              <w:left w:val="outset" w:sz="6" w:space="0" w:color="auto"/>
              <w:bottom w:val="outset" w:sz="6" w:space="0" w:color="auto"/>
              <w:right w:val="outset" w:sz="6" w:space="0" w:color="auto"/>
            </w:tcBorders>
            <w:hideMark/>
          </w:tcPr>
          <w:p w14:paraId="7FAA5ED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46062B9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75C3EC1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1D678F7"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1023A0C4"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3.1. valsts pamatbudžets</w:t>
            </w:r>
          </w:p>
        </w:tc>
        <w:tc>
          <w:tcPr>
            <w:tcW w:w="526" w:type="pct"/>
            <w:tcBorders>
              <w:top w:val="outset" w:sz="6" w:space="0" w:color="auto"/>
              <w:left w:val="outset" w:sz="6" w:space="0" w:color="auto"/>
              <w:bottom w:val="outset" w:sz="6" w:space="0" w:color="auto"/>
              <w:right w:val="outset" w:sz="6" w:space="0" w:color="auto"/>
            </w:tcBorders>
            <w:hideMark/>
          </w:tcPr>
          <w:p w14:paraId="41DB454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13FCEED0" w14:textId="2EBE25B6" w:rsidR="001813AA" w:rsidRPr="0049356B" w:rsidRDefault="00445F21" w:rsidP="001E7BD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C44AB3">
              <w:rPr>
                <w:rFonts w:ascii="Times New Roman" w:hAnsi="Times New Roman" w:cs="Times New Roman"/>
                <w:color w:val="000000"/>
                <w:sz w:val="24"/>
                <w:szCs w:val="24"/>
              </w:rPr>
              <w:t>5</w:t>
            </w:r>
            <w:r w:rsidR="001E7BDD">
              <w:rPr>
                <w:rFonts w:ascii="Times New Roman" w:hAnsi="Times New Roman" w:cs="Times New Roman"/>
                <w:color w:val="000000"/>
                <w:sz w:val="24"/>
                <w:szCs w:val="24"/>
              </w:rPr>
              <w:t>78</w:t>
            </w:r>
          </w:p>
        </w:tc>
        <w:tc>
          <w:tcPr>
            <w:tcW w:w="589" w:type="pct"/>
            <w:tcBorders>
              <w:top w:val="outset" w:sz="6" w:space="0" w:color="auto"/>
              <w:left w:val="outset" w:sz="6" w:space="0" w:color="auto"/>
              <w:bottom w:val="outset" w:sz="6" w:space="0" w:color="auto"/>
              <w:right w:val="outset" w:sz="6" w:space="0" w:color="auto"/>
            </w:tcBorders>
            <w:hideMark/>
          </w:tcPr>
          <w:p w14:paraId="6962626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7E64DB48"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7E3D544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25BAA8D9"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6BEB617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lastRenderedPageBreak/>
              <w:t>3.2. speciālais budžets</w:t>
            </w:r>
          </w:p>
        </w:tc>
        <w:tc>
          <w:tcPr>
            <w:tcW w:w="526" w:type="pct"/>
            <w:tcBorders>
              <w:top w:val="outset" w:sz="6" w:space="0" w:color="auto"/>
              <w:left w:val="outset" w:sz="6" w:space="0" w:color="auto"/>
              <w:bottom w:val="outset" w:sz="6" w:space="0" w:color="auto"/>
              <w:right w:val="outset" w:sz="6" w:space="0" w:color="auto"/>
            </w:tcBorders>
            <w:hideMark/>
          </w:tcPr>
          <w:p w14:paraId="4007D65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07B7CBF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311860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0F4865C9"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67759AA5"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14774897"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04EC5EC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3.3. pašvaldību budžets</w:t>
            </w:r>
          </w:p>
        </w:tc>
        <w:tc>
          <w:tcPr>
            <w:tcW w:w="526" w:type="pct"/>
            <w:tcBorders>
              <w:top w:val="outset" w:sz="6" w:space="0" w:color="auto"/>
              <w:left w:val="outset" w:sz="6" w:space="0" w:color="auto"/>
              <w:bottom w:val="outset" w:sz="6" w:space="0" w:color="auto"/>
              <w:right w:val="outset" w:sz="6" w:space="0" w:color="auto"/>
            </w:tcBorders>
            <w:hideMark/>
          </w:tcPr>
          <w:p w14:paraId="7AFDD3B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85" w:type="pct"/>
            <w:gridSpan w:val="2"/>
            <w:tcBorders>
              <w:top w:val="outset" w:sz="6" w:space="0" w:color="auto"/>
              <w:left w:val="outset" w:sz="6" w:space="0" w:color="auto"/>
              <w:bottom w:val="outset" w:sz="6" w:space="0" w:color="auto"/>
              <w:right w:val="outset" w:sz="6" w:space="0" w:color="auto"/>
            </w:tcBorders>
            <w:hideMark/>
          </w:tcPr>
          <w:p w14:paraId="76B0B76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7478B7AB"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562AFF7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4A96C10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C2CB925" w14:textId="77777777" w:rsidTr="00D470DF">
        <w:tblPrEx>
          <w:jc w:val="center"/>
        </w:tblPrEx>
        <w:trPr>
          <w:tblCellSpacing w:w="15" w:type="dxa"/>
          <w:jc w:val="center"/>
        </w:trPr>
        <w:tc>
          <w:tcPr>
            <w:tcW w:w="1671" w:type="pct"/>
            <w:gridSpan w:val="4"/>
            <w:vMerge w:val="restart"/>
            <w:tcBorders>
              <w:top w:val="outset" w:sz="6" w:space="0" w:color="auto"/>
              <w:left w:val="outset" w:sz="6" w:space="0" w:color="auto"/>
              <w:bottom w:val="outset" w:sz="6" w:space="0" w:color="auto"/>
              <w:right w:val="outset" w:sz="6" w:space="0" w:color="auto"/>
            </w:tcBorders>
            <w:hideMark/>
          </w:tcPr>
          <w:p w14:paraId="3F287AAF"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26" w:type="pct"/>
            <w:vMerge w:val="restart"/>
            <w:tcBorders>
              <w:top w:val="outset" w:sz="6" w:space="0" w:color="auto"/>
              <w:left w:val="outset" w:sz="6" w:space="0" w:color="auto"/>
              <w:bottom w:val="outset" w:sz="6" w:space="0" w:color="auto"/>
              <w:right w:val="outset" w:sz="6" w:space="0" w:color="auto"/>
            </w:tcBorders>
            <w:hideMark/>
          </w:tcPr>
          <w:p w14:paraId="0EF75D66" w14:textId="77777777" w:rsidR="001813AA" w:rsidRPr="004D3AEF"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785" w:type="pct"/>
            <w:gridSpan w:val="2"/>
            <w:tcBorders>
              <w:top w:val="outset" w:sz="6" w:space="0" w:color="auto"/>
              <w:left w:val="outset" w:sz="6" w:space="0" w:color="auto"/>
              <w:bottom w:val="outset" w:sz="6" w:space="0" w:color="auto"/>
              <w:right w:val="outset" w:sz="6" w:space="0" w:color="auto"/>
            </w:tcBorders>
            <w:hideMark/>
          </w:tcPr>
          <w:p w14:paraId="42C6D305"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hideMark/>
          </w:tcPr>
          <w:p w14:paraId="609A2CCC"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hideMark/>
          </w:tcPr>
          <w:p w14:paraId="15B580FA"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24" w:type="pct"/>
            <w:tcBorders>
              <w:top w:val="outset" w:sz="6" w:space="0" w:color="auto"/>
              <w:left w:val="outset" w:sz="6" w:space="0" w:color="auto"/>
              <w:bottom w:val="outset" w:sz="6" w:space="0" w:color="auto"/>
              <w:right w:val="outset" w:sz="6" w:space="0" w:color="auto"/>
            </w:tcBorders>
            <w:hideMark/>
          </w:tcPr>
          <w:p w14:paraId="6F21BBC0"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4D3AEF" w14:paraId="00A19212" w14:textId="77777777" w:rsidTr="00D470DF">
        <w:tblPrEx>
          <w:jc w:val="center"/>
        </w:tblPrEx>
        <w:trPr>
          <w:tblCellSpacing w:w="15" w:type="dxa"/>
          <w:jc w:val="center"/>
        </w:trPr>
        <w:tc>
          <w:tcPr>
            <w:tcW w:w="1671" w:type="pct"/>
            <w:gridSpan w:val="4"/>
            <w:vMerge/>
            <w:tcBorders>
              <w:top w:val="outset" w:sz="6" w:space="0" w:color="auto"/>
              <w:left w:val="outset" w:sz="6" w:space="0" w:color="auto"/>
              <w:bottom w:val="outset" w:sz="6" w:space="0" w:color="auto"/>
              <w:right w:val="outset" w:sz="6" w:space="0" w:color="auto"/>
            </w:tcBorders>
            <w:vAlign w:val="center"/>
            <w:hideMark/>
          </w:tcPr>
          <w:p w14:paraId="5AC7BF2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526" w:type="pct"/>
            <w:vMerge/>
            <w:tcBorders>
              <w:top w:val="outset" w:sz="6" w:space="0" w:color="auto"/>
              <w:left w:val="outset" w:sz="6" w:space="0" w:color="auto"/>
              <w:bottom w:val="outset" w:sz="6" w:space="0" w:color="auto"/>
              <w:right w:val="outset" w:sz="6" w:space="0" w:color="auto"/>
            </w:tcBorders>
            <w:vAlign w:val="center"/>
            <w:hideMark/>
          </w:tcPr>
          <w:p w14:paraId="3BFCCE46"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85" w:type="pct"/>
            <w:gridSpan w:val="2"/>
            <w:tcBorders>
              <w:top w:val="outset" w:sz="6" w:space="0" w:color="auto"/>
              <w:left w:val="outset" w:sz="6" w:space="0" w:color="auto"/>
              <w:bottom w:val="outset" w:sz="6" w:space="0" w:color="auto"/>
              <w:right w:val="outset" w:sz="6" w:space="0" w:color="auto"/>
            </w:tcBorders>
            <w:hideMark/>
          </w:tcPr>
          <w:p w14:paraId="6C82397B"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hideMark/>
          </w:tcPr>
          <w:p w14:paraId="5AE40CA8"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hideMark/>
          </w:tcPr>
          <w:p w14:paraId="79C6754D"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24" w:type="pct"/>
            <w:tcBorders>
              <w:top w:val="outset" w:sz="6" w:space="0" w:color="auto"/>
              <w:left w:val="outset" w:sz="6" w:space="0" w:color="auto"/>
              <w:bottom w:val="outset" w:sz="6" w:space="0" w:color="auto"/>
              <w:right w:val="outset" w:sz="6" w:space="0" w:color="auto"/>
            </w:tcBorders>
            <w:hideMark/>
          </w:tcPr>
          <w:p w14:paraId="4D8EF6DE"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4D3AEF" w14:paraId="6B29882C" w14:textId="77777777" w:rsidTr="00D470DF">
        <w:tblPrEx>
          <w:jc w:val="center"/>
        </w:tblPrEx>
        <w:trPr>
          <w:tblCellSpacing w:w="15" w:type="dxa"/>
          <w:jc w:val="center"/>
        </w:trPr>
        <w:tc>
          <w:tcPr>
            <w:tcW w:w="1671" w:type="pct"/>
            <w:gridSpan w:val="4"/>
            <w:vMerge/>
            <w:tcBorders>
              <w:top w:val="outset" w:sz="6" w:space="0" w:color="auto"/>
              <w:left w:val="outset" w:sz="6" w:space="0" w:color="auto"/>
              <w:bottom w:val="outset" w:sz="6" w:space="0" w:color="auto"/>
              <w:right w:val="outset" w:sz="6" w:space="0" w:color="auto"/>
            </w:tcBorders>
            <w:vAlign w:val="center"/>
            <w:hideMark/>
          </w:tcPr>
          <w:p w14:paraId="516D73D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c>
          <w:tcPr>
            <w:tcW w:w="526" w:type="pct"/>
            <w:vMerge/>
            <w:tcBorders>
              <w:top w:val="outset" w:sz="6" w:space="0" w:color="auto"/>
              <w:left w:val="outset" w:sz="6" w:space="0" w:color="auto"/>
              <w:bottom w:val="outset" w:sz="6" w:space="0" w:color="auto"/>
              <w:right w:val="outset" w:sz="6" w:space="0" w:color="auto"/>
            </w:tcBorders>
            <w:vAlign w:val="center"/>
            <w:hideMark/>
          </w:tcPr>
          <w:p w14:paraId="6F01B487"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85" w:type="pct"/>
            <w:gridSpan w:val="2"/>
            <w:tcBorders>
              <w:top w:val="outset" w:sz="6" w:space="0" w:color="auto"/>
              <w:left w:val="outset" w:sz="6" w:space="0" w:color="auto"/>
              <w:bottom w:val="outset" w:sz="6" w:space="0" w:color="auto"/>
              <w:right w:val="outset" w:sz="6" w:space="0" w:color="auto"/>
            </w:tcBorders>
            <w:hideMark/>
          </w:tcPr>
          <w:p w14:paraId="2F7797E7" w14:textId="0D037512" w:rsidR="001813AA" w:rsidRPr="004D3AEF" w:rsidRDefault="00C44AB3" w:rsidP="001E7BDD">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5</w:t>
            </w:r>
            <w:r w:rsidR="001E7BDD">
              <w:rPr>
                <w:rFonts w:ascii="Times New Roman" w:hAnsi="Times New Roman" w:cs="Times New Roman"/>
                <w:color w:val="000000"/>
                <w:sz w:val="24"/>
                <w:szCs w:val="24"/>
              </w:rPr>
              <w:t>78</w:t>
            </w:r>
          </w:p>
        </w:tc>
        <w:tc>
          <w:tcPr>
            <w:tcW w:w="589" w:type="pct"/>
            <w:tcBorders>
              <w:top w:val="outset" w:sz="6" w:space="0" w:color="auto"/>
              <w:left w:val="outset" w:sz="6" w:space="0" w:color="auto"/>
              <w:bottom w:val="outset" w:sz="6" w:space="0" w:color="auto"/>
              <w:right w:val="outset" w:sz="6" w:space="0" w:color="auto"/>
            </w:tcBorders>
            <w:hideMark/>
          </w:tcPr>
          <w:p w14:paraId="1A0B524F"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3F616EE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17E945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79388F46"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3359E0D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 Precizēta finansiālā</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ietekme:</w:t>
            </w:r>
          </w:p>
        </w:tc>
        <w:tc>
          <w:tcPr>
            <w:tcW w:w="526" w:type="pct"/>
            <w:vMerge w:val="restart"/>
            <w:tcBorders>
              <w:top w:val="outset" w:sz="6" w:space="0" w:color="auto"/>
              <w:left w:val="outset" w:sz="6" w:space="0" w:color="auto"/>
              <w:bottom w:val="outset" w:sz="6" w:space="0" w:color="auto"/>
              <w:right w:val="outset" w:sz="6" w:space="0" w:color="auto"/>
            </w:tcBorders>
            <w:hideMark/>
          </w:tcPr>
          <w:p w14:paraId="1A14793F" w14:textId="77777777" w:rsidR="001813AA" w:rsidRPr="004D3AEF"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X</w:t>
            </w:r>
          </w:p>
        </w:tc>
        <w:tc>
          <w:tcPr>
            <w:tcW w:w="785" w:type="pct"/>
            <w:gridSpan w:val="2"/>
            <w:tcBorders>
              <w:top w:val="outset" w:sz="6" w:space="0" w:color="auto"/>
              <w:left w:val="outset" w:sz="6" w:space="0" w:color="auto"/>
              <w:bottom w:val="outset" w:sz="6" w:space="0" w:color="auto"/>
              <w:right w:val="outset" w:sz="6" w:space="0" w:color="auto"/>
            </w:tcBorders>
            <w:hideMark/>
          </w:tcPr>
          <w:p w14:paraId="1E7C1C2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1A5031AD"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118E6DD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2018F9E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40CCD870"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09DD67A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5.1. valsts pamatbudžets</w:t>
            </w:r>
          </w:p>
        </w:tc>
        <w:tc>
          <w:tcPr>
            <w:tcW w:w="526" w:type="pct"/>
            <w:vMerge/>
            <w:tcBorders>
              <w:top w:val="outset" w:sz="6" w:space="0" w:color="auto"/>
              <w:left w:val="outset" w:sz="6" w:space="0" w:color="auto"/>
              <w:bottom w:val="outset" w:sz="6" w:space="0" w:color="auto"/>
              <w:right w:val="outset" w:sz="6" w:space="0" w:color="auto"/>
            </w:tcBorders>
            <w:vAlign w:val="center"/>
            <w:hideMark/>
          </w:tcPr>
          <w:p w14:paraId="0DDDD81F"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85" w:type="pct"/>
            <w:gridSpan w:val="2"/>
            <w:tcBorders>
              <w:top w:val="outset" w:sz="6" w:space="0" w:color="auto"/>
              <w:left w:val="outset" w:sz="6" w:space="0" w:color="auto"/>
              <w:bottom w:val="outset" w:sz="6" w:space="0" w:color="auto"/>
              <w:right w:val="outset" w:sz="6" w:space="0" w:color="auto"/>
            </w:tcBorders>
            <w:hideMark/>
          </w:tcPr>
          <w:p w14:paraId="12B8D310"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5785D05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4395CCE1"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64E1AD9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0EE1CE82"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0D981A1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5.2. speciālais budžets</w:t>
            </w:r>
          </w:p>
        </w:tc>
        <w:tc>
          <w:tcPr>
            <w:tcW w:w="526" w:type="pct"/>
            <w:vMerge/>
            <w:tcBorders>
              <w:top w:val="outset" w:sz="6" w:space="0" w:color="auto"/>
              <w:left w:val="outset" w:sz="6" w:space="0" w:color="auto"/>
              <w:bottom w:val="outset" w:sz="6" w:space="0" w:color="auto"/>
              <w:right w:val="outset" w:sz="6" w:space="0" w:color="auto"/>
            </w:tcBorders>
            <w:vAlign w:val="center"/>
            <w:hideMark/>
          </w:tcPr>
          <w:p w14:paraId="1F2D3F7E"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85" w:type="pct"/>
            <w:gridSpan w:val="2"/>
            <w:tcBorders>
              <w:top w:val="outset" w:sz="6" w:space="0" w:color="auto"/>
              <w:left w:val="outset" w:sz="6" w:space="0" w:color="auto"/>
              <w:bottom w:val="outset" w:sz="6" w:space="0" w:color="auto"/>
              <w:right w:val="outset" w:sz="6" w:space="0" w:color="auto"/>
            </w:tcBorders>
            <w:hideMark/>
          </w:tcPr>
          <w:p w14:paraId="25E99087"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0C5A5706"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00C93BB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4304168C"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2835" w:rsidRPr="004D3AEF" w14:paraId="6AF4B706"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07BC0169"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5.3. pašvaldību budžets</w:t>
            </w:r>
          </w:p>
        </w:tc>
        <w:tc>
          <w:tcPr>
            <w:tcW w:w="526" w:type="pct"/>
            <w:vMerge/>
            <w:tcBorders>
              <w:top w:val="outset" w:sz="6" w:space="0" w:color="auto"/>
              <w:left w:val="outset" w:sz="6" w:space="0" w:color="auto"/>
              <w:bottom w:val="outset" w:sz="6" w:space="0" w:color="auto"/>
              <w:right w:val="outset" w:sz="6" w:space="0" w:color="auto"/>
            </w:tcBorders>
            <w:vAlign w:val="center"/>
            <w:hideMark/>
          </w:tcPr>
          <w:p w14:paraId="528EC4C1" w14:textId="77777777" w:rsidR="001813AA" w:rsidRPr="004D3AEF" w:rsidRDefault="001813AA" w:rsidP="0049356B">
            <w:pPr>
              <w:spacing w:after="0" w:line="240" w:lineRule="auto"/>
              <w:jc w:val="center"/>
              <w:rPr>
                <w:rFonts w:ascii="Times New Roman" w:eastAsia="Times New Roman" w:hAnsi="Times New Roman" w:cs="Times New Roman"/>
                <w:sz w:val="24"/>
                <w:szCs w:val="24"/>
                <w:lang w:eastAsia="lv-LV"/>
              </w:rPr>
            </w:pPr>
          </w:p>
        </w:tc>
        <w:tc>
          <w:tcPr>
            <w:tcW w:w="785" w:type="pct"/>
            <w:gridSpan w:val="2"/>
            <w:tcBorders>
              <w:top w:val="outset" w:sz="6" w:space="0" w:color="auto"/>
              <w:left w:val="outset" w:sz="6" w:space="0" w:color="auto"/>
              <w:bottom w:val="outset" w:sz="6" w:space="0" w:color="auto"/>
              <w:right w:val="outset" w:sz="6" w:space="0" w:color="auto"/>
            </w:tcBorders>
            <w:hideMark/>
          </w:tcPr>
          <w:p w14:paraId="4A1EEF03"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1FC42A32"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43938D6A"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24" w:type="pct"/>
            <w:tcBorders>
              <w:top w:val="outset" w:sz="6" w:space="0" w:color="auto"/>
              <w:left w:val="outset" w:sz="6" w:space="0" w:color="auto"/>
              <w:bottom w:val="outset" w:sz="6" w:space="0" w:color="auto"/>
              <w:right w:val="outset" w:sz="6" w:space="0" w:color="auto"/>
            </w:tcBorders>
            <w:hideMark/>
          </w:tcPr>
          <w:p w14:paraId="0EA4FFC4" w14:textId="77777777" w:rsidR="001813AA" w:rsidRPr="004D3AEF" w:rsidRDefault="00083F97" w:rsidP="0049356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A55C9" w:rsidRPr="004D3AEF" w14:paraId="47688DE7"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491E638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279" w:type="pct"/>
            <w:gridSpan w:val="6"/>
            <w:vMerge w:val="restart"/>
            <w:tcBorders>
              <w:top w:val="outset" w:sz="6" w:space="0" w:color="auto"/>
              <w:left w:val="outset" w:sz="6" w:space="0" w:color="auto"/>
              <w:bottom w:val="outset" w:sz="6" w:space="0" w:color="auto"/>
              <w:right w:val="outset" w:sz="6" w:space="0" w:color="auto"/>
            </w:tcBorders>
            <w:vAlign w:val="center"/>
          </w:tcPr>
          <w:p w14:paraId="5ED25DE2" w14:textId="56010EFE" w:rsidR="009C2917" w:rsidRPr="004D3AEF" w:rsidRDefault="00C44AB3" w:rsidP="00C44AB3">
            <w:pPr>
              <w:pStyle w:val="BodyText"/>
              <w:tabs>
                <w:tab w:val="left" w:pos="709"/>
              </w:tabs>
              <w:rPr>
                <w:sz w:val="24"/>
                <w:lang w:eastAsia="lv-LV"/>
              </w:rPr>
            </w:pPr>
            <w:r>
              <w:rPr>
                <w:sz w:val="24"/>
              </w:rPr>
              <w:t xml:space="preserve">Augstākās tiesas Civillietu tiesu </w:t>
            </w:r>
            <w:r w:rsidRPr="00A36F7A">
              <w:rPr>
                <w:sz w:val="24"/>
              </w:rPr>
              <w:t>palātas 2013.gada 19. decembra</w:t>
            </w:r>
            <w:r>
              <w:rPr>
                <w:sz w:val="24"/>
              </w:rPr>
              <w:t xml:space="preserve"> spriedums</w:t>
            </w:r>
            <w:r w:rsidR="00D968FD">
              <w:rPr>
                <w:sz w:val="24"/>
              </w:rPr>
              <w:t>.</w:t>
            </w:r>
          </w:p>
        </w:tc>
      </w:tr>
      <w:tr w:rsidR="001A55C9" w:rsidRPr="004D3AEF" w14:paraId="2D293B63"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1118B8DA" w14:textId="1D14810C"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6.1. detalizēts ieņēmumu aprēķins</w:t>
            </w:r>
          </w:p>
        </w:tc>
        <w:tc>
          <w:tcPr>
            <w:tcW w:w="3279" w:type="pct"/>
            <w:gridSpan w:val="6"/>
            <w:vMerge/>
            <w:tcBorders>
              <w:top w:val="outset" w:sz="6" w:space="0" w:color="auto"/>
              <w:left w:val="outset" w:sz="6" w:space="0" w:color="auto"/>
              <w:bottom w:val="outset" w:sz="6" w:space="0" w:color="auto"/>
              <w:right w:val="outset" w:sz="6" w:space="0" w:color="auto"/>
            </w:tcBorders>
            <w:vAlign w:val="center"/>
            <w:hideMark/>
          </w:tcPr>
          <w:p w14:paraId="7C78462E"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324CB465" w14:textId="77777777" w:rsidTr="00D470DF">
        <w:tblPrEx>
          <w:jc w:val="center"/>
        </w:tblPrEx>
        <w:trPr>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21D8155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6.2. detalizēts izdevumu aprēķins</w:t>
            </w:r>
          </w:p>
        </w:tc>
        <w:tc>
          <w:tcPr>
            <w:tcW w:w="3279" w:type="pct"/>
            <w:gridSpan w:val="6"/>
            <w:vMerge/>
            <w:tcBorders>
              <w:top w:val="outset" w:sz="6" w:space="0" w:color="auto"/>
              <w:left w:val="outset" w:sz="6" w:space="0" w:color="auto"/>
              <w:bottom w:val="outset" w:sz="6" w:space="0" w:color="auto"/>
              <w:right w:val="outset" w:sz="6" w:space="0" w:color="auto"/>
            </w:tcBorders>
            <w:vAlign w:val="center"/>
            <w:hideMark/>
          </w:tcPr>
          <w:p w14:paraId="79B866CD"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p>
        </w:tc>
      </w:tr>
      <w:tr w:rsidR="001A55C9" w:rsidRPr="004D3AEF" w14:paraId="73053D64" w14:textId="77777777" w:rsidTr="00D470DF">
        <w:tblPrEx>
          <w:jc w:val="center"/>
        </w:tblPrEx>
        <w:trPr>
          <w:trHeight w:val="555"/>
          <w:tblCellSpacing w:w="15" w:type="dxa"/>
          <w:jc w:val="center"/>
        </w:trPr>
        <w:tc>
          <w:tcPr>
            <w:tcW w:w="1671" w:type="pct"/>
            <w:gridSpan w:val="4"/>
            <w:tcBorders>
              <w:top w:val="outset" w:sz="6" w:space="0" w:color="auto"/>
              <w:left w:val="outset" w:sz="6" w:space="0" w:color="auto"/>
              <w:bottom w:val="outset" w:sz="6" w:space="0" w:color="auto"/>
              <w:right w:val="outset" w:sz="6" w:space="0" w:color="auto"/>
            </w:tcBorders>
            <w:hideMark/>
          </w:tcPr>
          <w:p w14:paraId="43B14C2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7. Cita informācija</w:t>
            </w:r>
          </w:p>
        </w:tc>
        <w:tc>
          <w:tcPr>
            <w:tcW w:w="3279" w:type="pct"/>
            <w:gridSpan w:val="6"/>
            <w:tcBorders>
              <w:top w:val="outset" w:sz="6" w:space="0" w:color="auto"/>
              <w:left w:val="outset" w:sz="6" w:space="0" w:color="auto"/>
              <w:bottom w:val="outset" w:sz="6" w:space="0" w:color="auto"/>
              <w:right w:val="outset" w:sz="6" w:space="0" w:color="auto"/>
            </w:tcBorders>
            <w:hideMark/>
          </w:tcPr>
          <w:p w14:paraId="03C33642" w14:textId="3FE444A9" w:rsidR="001813AA" w:rsidRPr="004D3AEF" w:rsidRDefault="00445F21" w:rsidP="00445F21">
            <w:pPr>
              <w:spacing w:after="0" w:line="240" w:lineRule="auto"/>
              <w:rPr>
                <w:rFonts w:ascii="Times New Roman" w:eastAsia="Times New Roman" w:hAnsi="Times New Roman" w:cs="Times New Roman"/>
                <w:sz w:val="24"/>
                <w:szCs w:val="24"/>
                <w:lang w:eastAsia="lv-LV"/>
              </w:rPr>
            </w:pPr>
            <w:r w:rsidRPr="00445F21">
              <w:rPr>
                <w:rFonts w:ascii="Times New Roman" w:eastAsia="Times New Roman" w:hAnsi="Times New Roman" w:cs="Times New Roman"/>
                <w:sz w:val="24"/>
                <w:szCs w:val="24"/>
                <w:lang w:eastAsia="lv-LV"/>
              </w:rPr>
              <w:t>Izdevumus sedz no valsts budžeta programmas 02.00.00 „Līdzekļi neparedzētiem gadījumiem”</w:t>
            </w:r>
            <w:r w:rsidR="00532399">
              <w:rPr>
                <w:rFonts w:ascii="Times New Roman" w:eastAsia="Times New Roman" w:hAnsi="Times New Roman" w:cs="Times New Roman"/>
                <w:sz w:val="24"/>
                <w:szCs w:val="24"/>
                <w:lang w:eastAsia="lv-LV"/>
              </w:rPr>
              <w:t>.</w:t>
            </w:r>
          </w:p>
        </w:tc>
      </w:tr>
      <w:tr w:rsidR="001A55C9" w:rsidRPr="004D3AEF" w14:paraId="04D36311" w14:textId="77777777" w:rsidTr="001813AA">
        <w:tblPrEx>
          <w:jc w:val="center"/>
        </w:tblPrEx>
        <w:trPr>
          <w:trHeight w:val="375"/>
          <w:tblCellSpacing w:w="15"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1D6D4A98" w14:textId="77777777" w:rsidR="001813AA" w:rsidRPr="004D3AEF"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4D3AEF">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4D3AEF" w14:paraId="6DD61C75" w14:textId="77777777" w:rsidTr="00D470DF">
        <w:tblPrEx>
          <w:jc w:val="center"/>
        </w:tblPrEx>
        <w:trPr>
          <w:trHeight w:val="420"/>
          <w:tblCellSpacing w:w="15" w:type="dxa"/>
          <w:jc w:val="center"/>
        </w:trPr>
        <w:tc>
          <w:tcPr>
            <w:tcW w:w="246" w:type="pct"/>
            <w:gridSpan w:val="2"/>
            <w:tcBorders>
              <w:top w:val="outset" w:sz="6" w:space="0" w:color="auto"/>
              <w:left w:val="outset" w:sz="6" w:space="0" w:color="auto"/>
              <w:bottom w:val="outset" w:sz="6" w:space="0" w:color="auto"/>
              <w:right w:val="outset" w:sz="6" w:space="0" w:color="auto"/>
            </w:tcBorders>
            <w:hideMark/>
          </w:tcPr>
          <w:p w14:paraId="3C8C3F5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1.</w:t>
            </w:r>
          </w:p>
        </w:tc>
        <w:tc>
          <w:tcPr>
            <w:tcW w:w="2290" w:type="pct"/>
            <w:gridSpan w:val="4"/>
            <w:tcBorders>
              <w:top w:val="outset" w:sz="6" w:space="0" w:color="auto"/>
              <w:left w:val="outset" w:sz="6" w:space="0" w:color="auto"/>
              <w:bottom w:val="outset" w:sz="6" w:space="0" w:color="auto"/>
              <w:right w:val="outset" w:sz="6" w:space="0" w:color="auto"/>
            </w:tcBorders>
            <w:hideMark/>
          </w:tcPr>
          <w:p w14:paraId="6B66E756"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Projekta izpildē</w:t>
            </w:r>
            <w:r w:rsidR="000A5A05" w:rsidRPr="004D3AEF">
              <w:rPr>
                <w:rFonts w:ascii="Times New Roman" w:eastAsia="Times New Roman" w:hAnsi="Times New Roman" w:cs="Times New Roman"/>
                <w:sz w:val="24"/>
                <w:szCs w:val="24"/>
                <w:lang w:eastAsia="lv-LV"/>
              </w:rPr>
              <w:t xml:space="preserve"> </w:t>
            </w:r>
            <w:r w:rsidRPr="004D3AEF">
              <w:rPr>
                <w:rFonts w:ascii="Times New Roman" w:eastAsia="Times New Roman" w:hAnsi="Times New Roman" w:cs="Times New Roman"/>
                <w:sz w:val="24"/>
                <w:szCs w:val="24"/>
                <w:lang w:eastAsia="lv-LV"/>
              </w:rPr>
              <w:t>iesaistītās institūcijas</w:t>
            </w:r>
          </w:p>
        </w:tc>
        <w:tc>
          <w:tcPr>
            <w:tcW w:w="2397" w:type="pct"/>
            <w:gridSpan w:val="4"/>
            <w:tcBorders>
              <w:top w:val="outset" w:sz="6" w:space="0" w:color="auto"/>
              <w:left w:val="outset" w:sz="6" w:space="0" w:color="auto"/>
              <w:bottom w:val="outset" w:sz="6" w:space="0" w:color="auto"/>
              <w:right w:val="outset" w:sz="6" w:space="0" w:color="auto"/>
            </w:tcBorders>
            <w:hideMark/>
          </w:tcPr>
          <w:p w14:paraId="65C5BC4F" w14:textId="4781E868" w:rsidR="001813AA" w:rsidRPr="004D3AEF" w:rsidRDefault="00735672" w:rsidP="006067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Ģenerālprokuratūra</w:t>
            </w:r>
            <w:r w:rsidR="00DC17E5">
              <w:rPr>
                <w:rFonts w:ascii="Times New Roman" w:eastAsia="Times New Roman" w:hAnsi="Times New Roman" w:cs="Times New Roman"/>
                <w:sz w:val="24"/>
                <w:szCs w:val="24"/>
                <w:lang w:eastAsia="lv-LV"/>
              </w:rPr>
              <w:t xml:space="preserve"> un Finanšu ministrija</w:t>
            </w:r>
            <w:r w:rsidR="008A2835">
              <w:rPr>
                <w:rFonts w:ascii="Times New Roman" w:eastAsia="Times New Roman" w:hAnsi="Times New Roman" w:cs="Times New Roman"/>
                <w:sz w:val="24"/>
                <w:szCs w:val="24"/>
                <w:lang w:eastAsia="lv-LV"/>
              </w:rPr>
              <w:t>.</w:t>
            </w:r>
          </w:p>
        </w:tc>
      </w:tr>
      <w:tr w:rsidR="001A55C9" w:rsidRPr="00772DEE" w14:paraId="5BE36EE8" w14:textId="77777777" w:rsidTr="00D470DF">
        <w:tblPrEx>
          <w:jc w:val="center"/>
        </w:tblPrEx>
        <w:trPr>
          <w:trHeight w:val="450"/>
          <w:tblCellSpacing w:w="15" w:type="dxa"/>
          <w:jc w:val="center"/>
        </w:trPr>
        <w:tc>
          <w:tcPr>
            <w:tcW w:w="246" w:type="pct"/>
            <w:gridSpan w:val="2"/>
            <w:tcBorders>
              <w:top w:val="outset" w:sz="6" w:space="0" w:color="auto"/>
              <w:left w:val="outset" w:sz="6" w:space="0" w:color="auto"/>
              <w:bottom w:val="outset" w:sz="6" w:space="0" w:color="auto"/>
              <w:right w:val="outset" w:sz="6" w:space="0" w:color="auto"/>
            </w:tcBorders>
            <w:hideMark/>
          </w:tcPr>
          <w:p w14:paraId="4A0E94B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2.</w:t>
            </w:r>
          </w:p>
        </w:tc>
        <w:tc>
          <w:tcPr>
            <w:tcW w:w="2290" w:type="pct"/>
            <w:gridSpan w:val="4"/>
            <w:tcBorders>
              <w:top w:val="outset" w:sz="6" w:space="0" w:color="auto"/>
              <w:left w:val="outset" w:sz="6" w:space="0" w:color="auto"/>
              <w:bottom w:val="outset" w:sz="6" w:space="0" w:color="auto"/>
              <w:right w:val="outset" w:sz="6" w:space="0" w:color="auto"/>
            </w:tcBorders>
            <w:hideMark/>
          </w:tcPr>
          <w:p w14:paraId="2C6BECA6" w14:textId="77777777" w:rsidR="001813AA" w:rsidRPr="00772DEE" w:rsidRDefault="001813AA" w:rsidP="001813AA">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Projekta izpildes ietekme uz pārvaldes funkcijām un institucionālo struktūru.</w:t>
            </w:r>
          </w:p>
          <w:p w14:paraId="436270AD" w14:textId="77777777" w:rsidR="001813AA" w:rsidRPr="00772DEE" w:rsidRDefault="001813AA" w:rsidP="00211112">
            <w:pPr>
              <w:spacing w:after="0" w:line="240" w:lineRule="auto"/>
              <w:rPr>
                <w:rFonts w:ascii="Times New Roman" w:eastAsia="Times New Roman" w:hAnsi="Times New Roman" w:cs="Times New Roman"/>
                <w:sz w:val="24"/>
                <w:szCs w:val="24"/>
                <w:lang w:eastAsia="lv-LV"/>
              </w:rPr>
            </w:pPr>
            <w:r w:rsidRPr="00772DE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397" w:type="pct"/>
            <w:gridSpan w:val="4"/>
            <w:tcBorders>
              <w:top w:val="outset" w:sz="6" w:space="0" w:color="auto"/>
              <w:left w:val="outset" w:sz="6" w:space="0" w:color="auto"/>
              <w:bottom w:val="outset" w:sz="6" w:space="0" w:color="auto"/>
              <w:right w:val="outset" w:sz="6" w:space="0" w:color="auto"/>
            </w:tcBorders>
            <w:hideMark/>
          </w:tcPr>
          <w:p w14:paraId="0D50A9D4" w14:textId="77777777" w:rsidR="00215D0D" w:rsidRPr="00772DEE" w:rsidRDefault="00772DEE" w:rsidP="00772DEE">
            <w:pPr>
              <w:spacing w:after="0" w:line="240" w:lineRule="auto"/>
              <w:jc w:val="both"/>
              <w:rPr>
                <w:rFonts w:ascii="Times New Roman" w:hAnsi="Times New Roman" w:cs="Times New Roman"/>
                <w:sz w:val="24"/>
                <w:szCs w:val="24"/>
              </w:rPr>
            </w:pPr>
            <w:r w:rsidRPr="00772DEE">
              <w:rPr>
                <w:rFonts w:ascii="Times New Roman" w:hAnsi="Times New Roman" w:cs="Times New Roman"/>
                <w:sz w:val="24"/>
                <w:szCs w:val="24"/>
              </w:rPr>
              <w:t xml:space="preserve">Rīkojuma </w:t>
            </w:r>
            <w:r w:rsidR="00DC17E5" w:rsidRPr="00772DEE">
              <w:rPr>
                <w:rFonts w:ascii="Times New Roman" w:hAnsi="Times New Roman" w:cs="Times New Roman"/>
                <w:sz w:val="24"/>
                <w:szCs w:val="24"/>
              </w:rPr>
              <w:t xml:space="preserve">projekta izpilde </w:t>
            </w:r>
            <w:r w:rsidRPr="00772DEE">
              <w:rPr>
                <w:rFonts w:ascii="Times New Roman" w:hAnsi="Times New Roman" w:cs="Times New Roman"/>
                <w:sz w:val="24"/>
                <w:szCs w:val="24"/>
              </w:rPr>
              <w:t>ne</w:t>
            </w:r>
            <w:r w:rsidR="00DC17E5" w:rsidRPr="00772DEE">
              <w:rPr>
                <w:rFonts w:ascii="Times New Roman" w:hAnsi="Times New Roman" w:cs="Times New Roman"/>
                <w:sz w:val="24"/>
                <w:szCs w:val="24"/>
              </w:rPr>
              <w:t>ietekmē iesaistīt</w:t>
            </w:r>
            <w:r w:rsidRPr="00772DEE">
              <w:rPr>
                <w:rFonts w:ascii="Times New Roman" w:hAnsi="Times New Roman" w:cs="Times New Roman"/>
                <w:sz w:val="24"/>
                <w:szCs w:val="24"/>
              </w:rPr>
              <w:t>o</w:t>
            </w:r>
            <w:r w:rsidR="00DC17E5" w:rsidRPr="00772DEE">
              <w:rPr>
                <w:rFonts w:ascii="Times New Roman" w:hAnsi="Times New Roman" w:cs="Times New Roman"/>
                <w:sz w:val="24"/>
                <w:szCs w:val="24"/>
              </w:rPr>
              <w:t xml:space="preserve"> institūcij</w:t>
            </w:r>
            <w:r w:rsidRPr="00772DEE">
              <w:rPr>
                <w:rFonts w:ascii="Times New Roman" w:hAnsi="Times New Roman" w:cs="Times New Roman"/>
                <w:sz w:val="24"/>
                <w:szCs w:val="24"/>
              </w:rPr>
              <w:t>u</w:t>
            </w:r>
            <w:r w:rsidR="00DC17E5" w:rsidRPr="00772DEE">
              <w:rPr>
                <w:rFonts w:ascii="Times New Roman" w:hAnsi="Times New Roman" w:cs="Times New Roman"/>
                <w:sz w:val="24"/>
                <w:szCs w:val="24"/>
              </w:rPr>
              <w:t xml:space="preserve"> funkcijas un uzdevumus. </w:t>
            </w:r>
          </w:p>
          <w:p w14:paraId="3289648E" w14:textId="5220AD36" w:rsidR="00772DEE" w:rsidRPr="00772DEE" w:rsidRDefault="00772DEE" w:rsidP="00772DEE">
            <w:pPr>
              <w:spacing w:after="0" w:line="240" w:lineRule="auto"/>
              <w:jc w:val="both"/>
              <w:rPr>
                <w:rFonts w:ascii="Times New Roman" w:eastAsia="Times New Roman" w:hAnsi="Times New Roman" w:cs="Times New Roman"/>
                <w:sz w:val="24"/>
                <w:szCs w:val="24"/>
                <w:lang w:eastAsia="lv-LV"/>
              </w:rPr>
            </w:pPr>
            <w:r w:rsidRPr="00772DEE">
              <w:rPr>
                <w:rFonts w:ascii="Times New Roman" w:hAnsi="Times New Roman" w:cs="Times New Roman"/>
                <w:sz w:val="24"/>
                <w:szCs w:val="24"/>
              </w:rPr>
              <w:t>Rīkojuma projekta izpilde neietekmē valsts pārvaldes institucionālo sistēmu.</w:t>
            </w:r>
          </w:p>
        </w:tc>
      </w:tr>
      <w:tr w:rsidR="001A55C9" w:rsidRPr="004D3AEF" w14:paraId="04BCD696" w14:textId="77777777" w:rsidTr="00D470DF">
        <w:tblPrEx>
          <w:jc w:val="center"/>
        </w:tblPrEx>
        <w:trPr>
          <w:trHeight w:val="390"/>
          <w:tblCellSpacing w:w="15" w:type="dxa"/>
          <w:jc w:val="center"/>
        </w:trPr>
        <w:tc>
          <w:tcPr>
            <w:tcW w:w="246" w:type="pct"/>
            <w:gridSpan w:val="2"/>
            <w:tcBorders>
              <w:top w:val="outset" w:sz="6" w:space="0" w:color="auto"/>
              <w:left w:val="outset" w:sz="6" w:space="0" w:color="auto"/>
              <w:bottom w:val="outset" w:sz="6" w:space="0" w:color="auto"/>
              <w:right w:val="outset" w:sz="6" w:space="0" w:color="auto"/>
            </w:tcBorders>
            <w:hideMark/>
          </w:tcPr>
          <w:p w14:paraId="3F229385"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3.</w:t>
            </w:r>
          </w:p>
        </w:tc>
        <w:tc>
          <w:tcPr>
            <w:tcW w:w="2290" w:type="pct"/>
            <w:gridSpan w:val="4"/>
            <w:tcBorders>
              <w:top w:val="outset" w:sz="6" w:space="0" w:color="auto"/>
              <w:left w:val="outset" w:sz="6" w:space="0" w:color="auto"/>
              <w:bottom w:val="outset" w:sz="6" w:space="0" w:color="auto"/>
              <w:right w:val="outset" w:sz="6" w:space="0" w:color="auto"/>
            </w:tcBorders>
            <w:hideMark/>
          </w:tcPr>
          <w:p w14:paraId="2C823BF8" w14:textId="77777777" w:rsidR="001813AA" w:rsidRPr="004D3AEF" w:rsidRDefault="001813AA" w:rsidP="001813AA">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Cita informācija</w:t>
            </w:r>
          </w:p>
        </w:tc>
        <w:tc>
          <w:tcPr>
            <w:tcW w:w="2397" w:type="pct"/>
            <w:gridSpan w:val="4"/>
            <w:tcBorders>
              <w:top w:val="outset" w:sz="6" w:space="0" w:color="auto"/>
              <w:left w:val="outset" w:sz="6" w:space="0" w:color="auto"/>
              <w:bottom w:val="outset" w:sz="6" w:space="0" w:color="auto"/>
              <w:right w:val="outset" w:sz="6" w:space="0" w:color="auto"/>
            </w:tcBorders>
            <w:hideMark/>
          </w:tcPr>
          <w:p w14:paraId="1B436D17" w14:textId="1D9CE6E5" w:rsidR="001813AA" w:rsidRPr="004D3AEF" w:rsidRDefault="001A55C9" w:rsidP="001A55C9">
            <w:pPr>
              <w:spacing w:after="0" w:line="240" w:lineRule="auto"/>
              <w:rPr>
                <w:rFonts w:ascii="Times New Roman" w:eastAsia="Times New Roman" w:hAnsi="Times New Roman" w:cs="Times New Roman"/>
                <w:sz w:val="24"/>
                <w:szCs w:val="24"/>
                <w:lang w:eastAsia="lv-LV"/>
              </w:rPr>
            </w:pPr>
            <w:r w:rsidRPr="004D3AEF">
              <w:rPr>
                <w:rFonts w:ascii="Times New Roman" w:eastAsia="Times New Roman" w:hAnsi="Times New Roman" w:cs="Times New Roman"/>
                <w:sz w:val="24"/>
                <w:szCs w:val="24"/>
                <w:lang w:eastAsia="lv-LV"/>
              </w:rPr>
              <w:t>Nav</w:t>
            </w:r>
            <w:r w:rsidR="008A2835">
              <w:rPr>
                <w:rFonts w:ascii="Times New Roman" w:eastAsia="Times New Roman" w:hAnsi="Times New Roman" w:cs="Times New Roman"/>
                <w:sz w:val="24"/>
                <w:szCs w:val="24"/>
                <w:lang w:eastAsia="lv-LV"/>
              </w:rPr>
              <w:t>.</w:t>
            </w:r>
          </w:p>
        </w:tc>
      </w:tr>
    </w:tbl>
    <w:p w14:paraId="7C0A248A" w14:textId="77777777" w:rsidR="00612B69" w:rsidRDefault="00612B69" w:rsidP="00FF090A">
      <w:pPr>
        <w:tabs>
          <w:tab w:val="left" w:pos="6521"/>
        </w:tabs>
        <w:spacing w:after="0" w:line="240" w:lineRule="auto"/>
        <w:rPr>
          <w:rFonts w:ascii="Times New Roman" w:hAnsi="Times New Roman" w:cs="Times New Roman"/>
          <w:sz w:val="24"/>
          <w:szCs w:val="24"/>
        </w:rPr>
      </w:pPr>
    </w:p>
    <w:p w14:paraId="7E05C273" w14:textId="336EB583" w:rsidR="00FF090A" w:rsidRPr="004D3AEF" w:rsidRDefault="00FF090A" w:rsidP="00FF090A">
      <w:pPr>
        <w:tabs>
          <w:tab w:val="left" w:pos="6521"/>
        </w:tabs>
        <w:spacing w:after="0" w:line="240" w:lineRule="auto"/>
        <w:rPr>
          <w:rFonts w:ascii="Times New Roman" w:hAnsi="Times New Roman" w:cs="Times New Roman"/>
          <w:sz w:val="24"/>
          <w:szCs w:val="24"/>
        </w:rPr>
      </w:pPr>
      <w:r w:rsidRPr="004D3AEF">
        <w:rPr>
          <w:rFonts w:ascii="Times New Roman" w:hAnsi="Times New Roman" w:cs="Times New Roman"/>
          <w:i/>
          <w:color w:val="000000"/>
          <w:sz w:val="24"/>
          <w:szCs w:val="24"/>
        </w:rPr>
        <w:t xml:space="preserve">Anotācijas </w:t>
      </w:r>
      <w:r w:rsidR="00EF6DC8">
        <w:rPr>
          <w:rFonts w:ascii="Times New Roman" w:hAnsi="Times New Roman" w:cs="Times New Roman"/>
          <w:i/>
          <w:color w:val="000000"/>
          <w:sz w:val="24"/>
          <w:szCs w:val="24"/>
        </w:rPr>
        <w:t xml:space="preserve">II, </w:t>
      </w:r>
      <w:r w:rsidR="008A2835">
        <w:rPr>
          <w:rFonts w:ascii="Times New Roman" w:hAnsi="Times New Roman" w:cs="Times New Roman"/>
          <w:i/>
          <w:color w:val="000000"/>
          <w:sz w:val="24"/>
          <w:szCs w:val="24"/>
        </w:rPr>
        <w:t xml:space="preserve">IV, </w:t>
      </w:r>
      <w:r w:rsidRPr="004D3AEF">
        <w:rPr>
          <w:rFonts w:ascii="Times New Roman" w:hAnsi="Times New Roman" w:cs="Times New Roman"/>
          <w:i/>
          <w:color w:val="000000"/>
          <w:sz w:val="24"/>
          <w:szCs w:val="24"/>
        </w:rPr>
        <w:t>V un VI sadaļa – projekts šo jomu neskar.</w:t>
      </w:r>
    </w:p>
    <w:p w14:paraId="3E01AE0A" w14:textId="77777777" w:rsidR="00FF090A" w:rsidRDefault="00FF090A" w:rsidP="001813AA">
      <w:pPr>
        <w:tabs>
          <w:tab w:val="left" w:pos="6521"/>
        </w:tabs>
        <w:spacing w:after="0" w:line="240" w:lineRule="auto"/>
        <w:rPr>
          <w:rFonts w:ascii="Times New Roman" w:hAnsi="Times New Roman" w:cs="Times New Roman"/>
          <w:sz w:val="24"/>
          <w:szCs w:val="24"/>
        </w:rPr>
      </w:pPr>
    </w:p>
    <w:p w14:paraId="34F015E7" w14:textId="49824EE2" w:rsidR="001813AA" w:rsidRPr="004D3AEF" w:rsidRDefault="001E7BDD" w:rsidP="00C44AB3">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Ministrs</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w:t>
      </w:r>
      <w:r w:rsidR="00C44AB3">
        <w:rPr>
          <w:rFonts w:ascii="Times New Roman" w:hAnsi="Times New Roman" w:cs="Times New Roman"/>
          <w:sz w:val="24"/>
          <w:szCs w:val="24"/>
        </w:rPr>
        <w:t>Reirs</w:t>
      </w:r>
      <w:proofErr w:type="spellEnd"/>
    </w:p>
    <w:p w14:paraId="798500B4" w14:textId="77777777" w:rsidR="001813AA" w:rsidRDefault="001813AA" w:rsidP="001813AA">
      <w:pPr>
        <w:tabs>
          <w:tab w:val="left" w:pos="6521"/>
        </w:tabs>
        <w:spacing w:after="0" w:line="240" w:lineRule="auto"/>
        <w:rPr>
          <w:rFonts w:ascii="Times New Roman" w:hAnsi="Times New Roman" w:cs="Times New Roman"/>
          <w:sz w:val="24"/>
          <w:szCs w:val="24"/>
        </w:rPr>
      </w:pPr>
    </w:p>
    <w:p w14:paraId="1811103D" w14:textId="136ADBDE" w:rsidR="00532399" w:rsidRPr="00C44AB3" w:rsidRDefault="00C44AB3" w:rsidP="00C44AB3">
      <w:pPr>
        <w:pStyle w:val="NoSpacing"/>
        <w:rPr>
          <w:rFonts w:ascii="Times New Roman" w:hAnsi="Times New Roman" w:cs="Times New Roman"/>
          <w:sz w:val="20"/>
          <w:szCs w:val="20"/>
        </w:rPr>
      </w:pPr>
      <w:r w:rsidRPr="00C44AB3">
        <w:rPr>
          <w:rFonts w:ascii="Times New Roman" w:hAnsi="Times New Roman" w:cs="Times New Roman"/>
          <w:sz w:val="20"/>
          <w:szCs w:val="20"/>
        </w:rPr>
        <w:t>05.01.2016 13:56</w:t>
      </w:r>
    </w:p>
    <w:p w14:paraId="5C6AF57F" w14:textId="401F3F89" w:rsidR="00BD57BE" w:rsidRDefault="00284B30" w:rsidP="00C44AB3">
      <w:pPr>
        <w:pStyle w:val="NoSpacing"/>
        <w:rPr>
          <w:rFonts w:ascii="Times New Roman" w:hAnsi="Times New Roman" w:cs="Times New Roman"/>
          <w:sz w:val="20"/>
          <w:szCs w:val="20"/>
        </w:rPr>
      </w:pPr>
      <w:r>
        <w:rPr>
          <w:rFonts w:ascii="Times New Roman" w:hAnsi="Times New Roman" w:cs="Times New Roman"/>
          <w:sz w:val="20"/>
          <w:szCs w:val="20"/>
        </w:rPr>
        <w:t>800</w:t>
      </w:r>
    </w:p>
    <w:p w14:paraId="57971380" w14:textId="77777777" w:rsidR="00C44AB3" w:rsidRPr="00C44AB3" w:rsidRDefault="00C44AB3" w:rsidP="00C44AB3">
      <w:pPr>
        <w:pStyle w:val="NoSpacing"/>
        <w:rPr>
          <w:rFonts w:ascii="Times New Roman" w:hAnsi="Times New Roman" w:cs="Times New Roman"/>
          <w:color w:val="000000"/>
          <w:sz w:val="20"/>
          <w:szCs w:val="20"/>
        </w:rPr>
      </w:pPr>
      <w:bookmarkStart w:id="1" w:name="OLE_LINK13"/>
      <w:bookmarkStart w:id="2" w:name="OLE_LINK12"/>
      <w:bookmarkStart w:id="3" w:name="OLE_LINK9"/>
      <w:bookmarkStart w:id="4" w:name="OLE_LINK8"/>
      <w:bookmarkStart w:id="5" w:name="OLE_LINK7"/>
      <w:proofErr w:type="spellStart"/>
      <w:r w:rsidRPr="00C44AB3">
        <w:rPr>
          <w:rFonts w:ascii="Times New Roman" w:hAnsi="Times New Roman" w:cs="Times New Roman"/>
          <w:color w:val="000000"/>
          <w:sz w:val="20"/>
          <w:szCs w:val="20"/>
        </w:rPr>
        <w:t>A.Tihomirovs</w:t>
      </w:r>
      <w:proofErr w:type="spellEnd"/>
    </w:p>
    <w:p w14:paraId="03F6FBE4" w14:textId="3412DCF3" w:rsidR="00532399" w:rsidRPr="00C44AB3" w:rsidRDefault="00C44AB3" w:rsidP="00C44AB3">
      <w:pPr>
        <w:pStyle w:val="NoSpacing"/>
        <w:rPr>
          <w:rFonts w:ascii="Times New Roman" w:hAnsi="Times New Roman" w:cs="Times New Roman"/>
          <w:sz w:val="20"/>
          <w:szCs w:val="20"/>
        </w:rPr>
      </w:pPr>
      <w:r w:rsidRPr="00C44AB3">
        <w:rPr>
          <w:rFonts w:ascii="Times New Roman" w:hAnsi="Times New Roman" w:cs="Times New Roman"/>
          <w:color w:val="000000"/>
          <w:sz w:val="20"/>
          <w:szCs w:val="20"/>
        </w:rPr>
        <w:t xml:space="preserve">67083883, </w:t>
      </w:r>
      <w:bookmarkEnd w:id="1"/>
      <w:bookmarkEnd w:id="2"/>
      <w:bookmarkEnd w:id="3"/>
      <w:bookmarkEnd w:id="4"/>
      <w:bookmarkEnd w:id="5"/>
      <w:r w:rsidRPr="00C44AB3">
        <w:rPr>
          <w:rFonts w:ascii="Times New Roman" w:hAnsi="Times New Roman" w:cs="Times New Roman"/>
          <w:color w:val="000000"/>
          <w:sz w:val="20"/>
          <w:szCs w:val="20"/>
        </w:rPr>
        <w:t>Andrejs.Tihomirovs@fm.gov.lv</w:t>
      </w:r>
    </w:p>
    <w:sectPr w:rsidR="00532399" w:rsidRPr="00C44AB3" w:rsidSect="008A283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9D493" w14:textId="77777777" w:rsidR="00B01245" w:rsidRDefault="00B01245" w:rsidP="001A55C9">
      <w:pPr>
        <w:spacing w:after="0" w:line="240" w:lineRule="auto"/>
      </w:pPr>
      <w:r>
        <w:separator/>
      </w:r>
    </w:p>
  </w:endnote>
  <w:endnote w:type="continuationSeparator" w:id="0">
    <w:p w14:paraId="7F868E7C" w14:textId="77777777" w:rsidR="00B01245" w:rsidRDefault="00B01245"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0D35" w14:textId="516CF7CB" w:rsidR="001A55C9" w:rsidRPr="00FC0B2B" w:rsidRDefault="00BD57BE" w:rsidP="00FC0B2B">
    <w:pPr>
      <w:spacing w:after="0" w:line="240" w:lineRule="auto"/>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14A99">
      <w:rPr>
        <w:rFonts w:ascii="Times New Roman" w:hAnsi="Times New Roman" w:cs="Times New Roman"/>
        <w:noProof/>
        <w:sz w:val="20"/>
        <w:szCs w:val="20"/>
      </w:rPr>
      <w:t>FMAnot_05012016_finlidz.docx</w:t>
    </w:r>
    <w:r>
      <w:rPr>
        <w:rFonts w:ascii="Times New Roman" w:hAnsi="Times New Roman" w:cs="Times New Roman"/>
        <w:sz w:val="20"/>
        <w:szCs w:val="20"/>
      </w:rPr>
      <w:fldChar w:fldCharType="end"/>
    </w:r>
    <w:r w:rsidR="00FC0B2B" w:rsidRPr="00D41E6F">
      <w:rPr>
        <w:rFonts w:ascii="Times New Roman" w:hAnsi="Times New Roman" w:cs="Times New Roman"/>
        <w:sz w:val="20"/>
        <w:szCs w:val="20"/>
      </w:rPr>
      <w:t xml:space="preserve">; </w:t>
    </w:r>
    <w:r w:rsidR="00FC0B2B" w:rsidRPr="00D41E6F">
      <w:rPr>
        <w:rFonts w:ascii="Times New Roman" w:eastAsia="Times New Roman" w:hAnsi="Times New Roman" w:cs="Times New Roman"/>
        <w:bCs/>
        <w:sz w:val="20"/>
        <w:szCs w:val="20"/>
        <w:lang w:eastAsia="lv-LV"/>
      </w:rPr>
      <w:t xml:space="preserve">Ministru kabineta rīkojuma </w:t>
    </w:r>
    <w:r w:rsidR="00FC0B2B">
      <w:rPr>
        <w:rFonts w:ascii="Times New Roman" w:eastAsia="Times New Roman" w:hAnsi="Times New Roman" w:cs="Times New Roman"/>
        <w:bCs/>
        <w:sz w:val="20"/>
        <w:szCs w:val="20"/>
        <w:lang w:eastAsia="lv-LV"/>
      </w:rPr>
      <w:t xml:space="preserve">projekta </w:t>
    </w:r>
    <w:r w:rsidR="00FC0B2B"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00FC0B2B"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0216" w14:textId="009985A3" w:rsidR="00CA4D71" w:rsidRDefault="00BD57BE" w:rsidP="00CA4D71">
    <w:pPr>
      <w:spacing w:after="0" w:line="240" w:lineRule="auto"/>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14A99">
      <w:rPr>
        <w:rFonts w:ascii="Times New Roman" w:hAnsi="Times New Roman" w:cs="Times New Roman"/>
        <w:noProof/>
        <w:sz w:val="20"/>
        <w:szCs w:val="20"/>
      </w:rPr>
      <w:t>FMAnot_05012016_finlidz.docx</w:t>
    </w:r>
    <w:r>
      <w:rPr>
        <w:rFonts w:ascii="Times New Roman" w:hAnsi="Times New Roman" w:cs="Times New Roman"/>
        <w:sz w:val="20"/>
        <w:szCs w:val="20"/>
      </w:rPr>
      <w:fldChar w:fldCharType="end"/>
    </w:r>
    <w:r w:rsidR="00CA4D71" w:rsidRPr="00D41E6F">
      <w:rPr>
        <w:rFonts w:ascii="Times New Roman" w:hAnsi="Times New Roman" w:cs="Times New Roman"/>
        <w:sz w:val="20"/>
        <w:szCs w:val="20"/>
      </w:rPr>
      <w:t xml:space="preserve">; </w:t>
    </w:r>
    <w:r w:rsidR="00CA4D71" w:rsidRPr="00D41E6F">
      <w:rPr>
        <w:rFonts w:ascii="Times New Roman" w:eastAsia="Times New Roman" w:hAnsi="Times New Roman" w:cs="Times New Roman"/>
        <w:bCs/>
        <w:sz w:val="20"/>
        <w:szCs w:val="20"/>
        <w:lang w:eastAsia="lv-LV"/>
      </w:rPr>
      <w:t xml:space="preserve">Ministru kabineta rīkojuma </w:t>
    </w:r>
    <w:r w:rsidR="00CA4D71">
      <w:rPr>
        <w:rFonts w:ascii="Times New Roman" w:eastAsia="Times New Roman" w:hAnsi="Times New Roman" w:cs="Times New Roman"/>
        <w:bCs/>
        <w:sz w:val="20"/>
        <w:szCs w:val="20"/>
        <w:lang w:eastAsia="lv-LV"/>
      </w:rPr>
      <w:t xml:space="preserve">projekta </w:t>
    </w:r>
    <w:r w:rsidR="00FC0B2B" w:rsidRPr="00FC0B2B">
      <w:rPr>
        <w:rFonts w:ascii="Times New Roman" w:eastAsia="Times New Roman" w:hAnsi="Times New Roman" w:cs="Times New Roman"/>
        <w:bCs/>
        <w:sz w:val="20"/>
        <w:szCs w:val="20"/>
        <w:lang w:eastAsia="lv-LV"/>
      </w:rPr>
      <w:t>„Par finanšu līdzekļu piešķiršanu no valsts budžeta programmas „Līdzekļi neparedzētiem gadījumiem””</w:t>
    </w:r>
    <w:r w:rsidR="00CA4D71" w:rsidRPr="00D41E6F">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C0734" w14:textId="77777777" w:rsidR="00B01245" w:rsidRDefault="00B01245" w:rsidP="001A55C9">
      <w:pPr>
        <w:spacing w:after="0" w:line="240" w:lineRule="auto"/>
      </w:pPr>
      <w:r>
        <w:separator/>
      </w:r>
    </w:p>
  </w:footnote>
  <w:footnote w:type="continuationSeparator" w:id="0">
    <w:p w14:paraId="21190794" w14:textId="77777777" w:rsidR="00B01245" w:rsidRDefault="00B01245" w:rsidP="001A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477205"/>
      <w:docPartObj>
        <w:docPartGallery w:val="Page Numbers (Top of Page)"/>
        <w:docPartUnique/>
      </w:docPartObj>
    </w:sdtPr>
    <w:sdtEndPr>
      <w:rPr>
        <w:rFonts w:ascii="Times New Roman" w:hAnsi="Times New Roman" w:cs="Times New Roman"/>
        <w:sz w:val="24"/>
        <w:szCs w:val="24"/>
      </w:rPr>
    </w:sdtEndPr>
    <w:sdtContent>
      <w:p w14:paraId="0C93176F" w14:textId="71CC646A" w:rsidR="008A2835" w:rsidRPr="008A2835" w:rsidRDefault="008A2835">
        <w:pPr>
          <w:pStyle w:val="Header"/>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FD1CD4">
          <w:rPr>
            <w:rFonts w:ascii="Times New Roman" w:hAnsi="Times New Roman" w:cs="Times New Roman"/>
            <w:noProof/>
            <w:sz w:val="24"/>
            <w:szCs w:val="24"/>
          </w:rPr>
          <w:t>2</w:t>
        </w:r>
        <w:r w:rsidRPr="008A2835">
          <w:rPr>
            <w:rFonts w:ascii="Times New Roman" w:hAnsi="Times New Roman" w:cs="Times New Roman"/>
            <w:sz w:val="24"/>
            <w:szCs w:val="24"/>
          </w:rPr>
          <w:fldChar w:fldCharType="end"/>
        </w:r>
      </w:p>
    </w:sdtContent>
  </w:sdt>
  <w:p w14:paraId="5E1C2017" w14:textId="77777777" w:rsidR="008A2835" w:rsidRDefault="008A2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166F"/>
    <w:rsid w:val="0000181F"/>
    <w:rsid w:val="000047C3"/>
    <w:rsid w:val="00063203"/>
    <w:rsid w:val="00083F97"/>
    <w:rsid w:val="000A5A05"/>
    <w:rsid w:val="000D2D72"/>
    <w:rsid w:val="001007E4"/>
    <w:rsid w:val="00100D7C"/>
    <w:rsid w:val="00102F2E"/>
    <w:rsid w:val="00110313"/>
    <w:rsid w:val="0011098E"/>
    <w:rsid w:val="00153866"/>
    <w:rsid w:val="001813AA"/>
    <w:rsid w:val="00182E51"/>
    <w:rsid w:val="001954A3"/>
    <w:rsid w:val="001A1CA6"/>
    <w:rsid w:val="001A55C9"/>
    <w:rsid w:val="001B6418"/>
    <w:rsid w:val="001B7D56"/>
    <w:rsid w:val="001D25FA"/>
    <w:rsid w:val="001D33CC"/>
    <w:rsid w:val="001D7781"/>
    <w:rsid w:val="001E7BDD"/>
    <w:rsid w:val="001F1946"/>
    <w:rsid w:val="00211112"/>
    <w:rsid w:val="00215D0D"/>
    <w:rsid w:val="00252FAE"/>
    <w:rsid w:val="0027138C"/>
    <w:rsid w:val="00282324"/>
    <w:rsid w:val="00284B30"/>
    <w:rsid w:val="002925C5"/>
    <w:rsid w:val="00292D65"/>
    <w:rsid w:val="00297023"/>
    <w:rsid w:val="002A7C63"/>
    <w:rsid w:val="002C2287"/>
    <w:rsid w:val="002D34F3"/>
    <w:rsid w:val="002D5294"/>
    <w:rsid w:val="002D5C3D"/>
    <w:rsid w:val="002D68CD"/>
    <w:rsid w:val="002E2762"/>
    <w:rsid w:val="00305F05"/>
    <w:rsid w:val="0031520B"/>
    <w:rsid w:val="00320910"/>
    <w:rsid w:val="00321466"/>
    <w:rsid w:val="00324D4F"/>
    <w:rsid w:val="00326D71"/>
    <w:rsid w:val="00333EB2"/>
    <w:rsid w:val="0034203F"/>
    <w:rsid w:val="00353199"/>
    <w:rsid w:val="003729FE"/>
    <w:rsid w:val="003A5A4B"/>
    <w:rsid w:val="003A608F"/>
    <w:rsid w:val="003E72EA"/>
    <w:rsid w:val="003F1869"/>
    <w:rsid w:val="00404D0C"/>
    <w:rsid w:val="00407E2E"/>
    <w:rsid w:val="00445F21"/>
    <w:rsid w:val="00491BD6"/>
    <w:rsid w:val="0049356B"/>
    <w:rsid w:val="004A4485"/>
    <w:rsid w:val="004A63E5"/>
    <w:rsid w:val="004B29DD"/>
    <w:rsid w:val="004C0529"/>
    <w:rsid w:val="004D3AEF"/>
    <w:rsid w:val="004E0BF2"/>
    <w:rsid w:val="00500D2B"/>
    <w:rsid w:val="00517859"/>
    <w:rsid w:val="00524130"/>
    <w:rsid w:val="00532399"/>
    <w:rsid w:val="0054069C"/>
    <w:rsid w:val="005465AA"/>
    <w:rsid w:val="00571A21"/>
    <w:rsid w:val="005914C6"/>
    <w:rsid w:val="006067CE"/>
    <w:rsid w:val="006102AF"/>
    <w:rsid w:val="00612B69"/>
    <w:rsid w:val="00634602"/>
    <w:rsid w:val="00637049"/>
    <w:rsid w:val="00657FE6"/>
    <w:rsid w:val="00674F2F"/>
    <w:rsid w:val="00677F94"/>
    <w:rsid w:val="0069020C"/>
    <w:rsid w:val="006B2CE1"/>
    <w:rsid w:val="006B4326"/>
    <w:rsid w:val="006D31EF"/>
    <w:rsid w:val="007040DA"/>
    <w:rsid w:val="00706FA0"/>
    <w:rsid w:val="0072497A"/>
    <w:rsid w:val="00735672"/>
    <w:rsid w:val="00740B75"/>
    <w:rsid w:val="00772DEE"/>
    <w:rsid w:val="007B2A12"/>
    <w:rsid w:val="007C1B0D"/>
    <w:rsid w:val="007D185F"/>
    <w:rsid w:val="007F728D"/>
    <w:rsid w:val="00800AAA"/>
    <w:rsid w:val="0082780E"/>
    <w:rsid w:val="0083097A"/>
    <w:rsid w:val="0084799A"/>
    <w:rsid w:val="008506BA"/>
    <w:rsid w:val="00855D74"/>
    <w:rsid w:val="00864BC6"/>
    <w:rsid w:val="008A004D"/>
    <w:rsid w:val="008A2835"/>
    <w:rsid w:val="008D6CB3"/>
    <w:rsid w:val="008D6F22"/>
    <w:rsid w:val="008E39D8"/>
    <w:rsid w:val="00910C6C"/>
    <w:rsid w:val="00922271"/>
    <w:rsid w:val="0093602B"/>
    <w:rsid w:val="00937D1F"/>
    <w:rsid w:val="00944202"/>
    <w:rsid w:val="00951909"/>
    <w:rsid w:val="00953412"/>
    <w:rsid w:val="00953FB7"/>
    <w:rsid w:val="009B048C"/>
    <w:rsid w:val="009C2917"/>
    <w:rsid w:val="009D3562"/>
    <w:rsid w:val="00A36F7A"/>
    <w:rsid w:val="00A3709F"/>
    <w:rsid w:val="00A523D5"/>
    <w:rsid w:val="00A81D73"/>
    <w:rsid w:val="00A82624"/>
    <w:rsid w:val="00A93907"/>
    <w:rsid w:val="00AC082E"/>
    <w:rsid w:val="00AE091B"/>
    <w:rsid w:val="00AE3194"/>
    <w:rsid w:val="00AE65AD"/>
    <w:rsid w:val="00AE668F"/>
    <w:rsid w:val="00AF3C58"/>
    <w:rsid w:val="00B01245"/>
    <w:rsid w:val="00B610F7"/>
    <w:rsid w:val="00B70738"/>
    <w:rsid w:val="00BB2E70"/>
    <w:rsid w:val="00BD0B3B"/>
    <w:rsid w:val="00BD57BE"/>
    <w:rsid w:val="00C14A99"/>
    <w:rsid w:val="00C44AB3"/>
    <w:rsid w:val="00C63E86"/>
    <w:rsid w:val="00C77E20"/>
    <w:rsid w:val="00C82667"/>
    <w:rsid w:val="00CA4D71"/>
    <w:rsid w:val="00CF0D14"/>
    <w:rsid w:val="00CF4889"/>
    <w:rsid w:val="00D17F76"/>
    <w:rsid w:val="00D2049F"/>
    <w:rsid w:val="00D26754"/>
    <w:rsid w:val="00D31DB3"/>
    <w:rsid w:val="00D36B37"/>
    <w:rsid w:val="00D41E6F"/>
    <w:rsid w:val="00D470DF"/>
    <w:rsid w:val="00D4751C"/>
    <w:rsid w:val="00D70651"/>
    <w:rsid w:val="00D91B3E"/>
    <w:rsid w:val="00D968FD"/>
    <w:rsid w:val="00D97D04"/>
    <w:rsid w:val="00DB0405"/>
    <w:rsid w:val="00DB19E9"/>
    <w:rsid w:val="00DC1048"/>
    <w:rsid w:val="00DC17E5"/>
    <w:rsid w:val="00DC6375"/>
    <w:rsid w:val="00DE1DBD"/>
    <w:rsid w:val="00E12F67"/>
    <w:rsid w:val="00E62CF0"/>
    <w:rsid w:val="00E6460F"/>
    <w:rsid w:val="00E933D6"/>
    <w:rsid w:val="00EA3B18"/>
    <w:rsid w:val="00EA4A64"/>
    <w:rsid w:val="00EB026A"/>
    <w:rsid w:val="00EB1178"/>
    <w:rsid w:val="00EB1AE0"/>
    <w:rsid w:val="00ED42AB"/>
    <w:rsid w:val="00EE0980"/>
    <w:rsid w:val="00EF5E5D"/>
    <w:rsid w:val="00EF6DC8"/>
    <w:rsid w:val="00F17891"/>
    <w:rsid w:val="00F3042F"/>
    <w:rsid w:val="00F3550D"/>
    <w:rsid w:val="00F80FC4"/>
    <w:rsid w:val="00F90A50"/>
    <w:rsid w:val="00F93262"/>
    <w:rsid w:val="00FA17BB"/>
    <w:rsid w:val="00FC0B2B"/>
    <w:rsid w:val="00FC2EAD"/>
    <w:rsid w:val="00FC76B8"/>
    <w:rsid w:val="00FC7AE2"/>
    <w:rsid w:val="00FD081E"/>
    <w:rsid w:val="00FD1CD4"/>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D8532"/>
  <w15:docId w15:val="{86A1A5E9-4BA0-47BB-919D-A15BA18B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1A55C9"/>
    <w:pPr>
      <w:ind w:left="720"/>
      <w:contextualSpacing/>
    </w:pPr>
  </w:style>
  <w:style w:type="character" w:styleId="Hyperlink">
    <w:name w:val="Hyperlink"/>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paragraph" w:styleId="BodyText">
    <w:name w:val="Body Text"/>
    <w:basedOn w:val="Normal"/>
    <w:link w:val="BodyTextChar"/>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B432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8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51"/>
    <w:rPr>
      <w:rFonts w:ascii="Tahoma" w:hAnsi="Tahoma" w:cs="Tahoma"/>
      <w:sz w:val="16"/>
      <w:szCs w:val="16"/>
    </w:rPr>
  </w:style>
  <w:style w:type="character" w:styleId="CommentReference">
    <w:name w:val="annotation reference"/>
    <w:basedOn w:val="DefaultParagraphFont"/>
    <w:uiPriority w:val="99"/>
    <w:semiHidden/>
    <w:unhideWhenUsed/>
    <w:rsid w:val="001007E4"/>
    <w:rPr>
      <w:sz w:val="16"/>
      <w:szCs w:val="16"/>
    </w:rPr>
  </w:style>
  <w:style w:type="paragraph" w:styleId="CommentText">
    <w:name w:val="annotation text"/>
    <w:basedOn w:val="Normal"/>
    <w:link w:val="CommentTextChar"/>
    <w:uiPriority w:val="99"/>
    <w:semiHidden/>
    <w:unhideWhenUsed/>
    <w:rsid w:val="001007E4"/>
    <w:pPr>
      <w:spacing w:line="240" w:lineRule="auto"/>
    </w:pPr>
    <w:rPr>
      <w:sz w:val="20"/>
      <w:szCs w:val="20"/>
    </w:rPr>
  </w:style>
  <w:style w:type="character" w:customStyle="1" w:styleId="CommentTextChar">
    <w:name w:val="Comment Text Char"/>
    <w:basedOn w:val="DefaultParagraphFont"/>
    <w:link w:val="CommentText"/>
    <w:uiPriority w:val="99"/>
    <w:semiHidden/>
    <w:rsid w:val="001007E4"/>
    <w:rPr>
      <w:sz w:val="20"/>
      <w:szCs w:val="20"/>
    </w:rPr>
  </w:style>
  <w:style w:type="paragraph" w:styleId="CommentSubject">
    <w:name w:val="annotation subject"/>
    <w:basedOn w:val="CommentText"/>
    <w:next w:val="CommentText"/>
    <w:link w:val="CommentSubjectChar"/>
    <w:uiPriority w:val="99"/>
    <w:semiHidden/>
    <w:unhideWhenUsed/>
    <w:rsid w:val="001007E4"/>
    <w:rPr>
      <w:b/>
      <w:bCs/>
    </w:rPr>
  </w:style>
  <w:style w:type="character" w:customStyle="1" w:styleId="CommentSubjectChar">
    <w:name w:val="Comment Subject Char"/>
    <w:basedOn w:val="CommentTextChar"/>
    <w:link w:val="CommentSubject"/>
    <w:uiPriority w:val="99"/>
    <w:semiHidden/>
    <w:rsid w:val="001007E4"/>
    <w:rPr>
      <w:b/>
      <w:bCs/>
      <w:sz w:val="20"/>
      <w:szCs w:val="20"/>
    </w:rPr>
  </w:style>
  <w:style w:type="paragraph" w:customStyle="1" w:styleId="naiskr">
    <w:name w:val="naiskr"/>
    <w:basedOn w:val="Normal"/>
    <w:rsid w:val="00FC0B2B"/>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36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E95F-D73D-4B73-8A80-B91F8086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3887</Words>
  <Characters>2216</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 </vt:lpstr>
    </vt:vector>
  </TitlesOfParts>
  <Company>Tieslietu Sektors</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 </dc:title>
  <dc:subject>finanšu līdzekļu piešķiršana no līdzekļiem neparedzētiem gadījumiem</dc:subject>
  <dc:creator>Juridiskā departamenta juriskonsults  Andrejs Tihomirovs</dc:creator>
  <dc:description>A.Tihomirovs
67083883; Andrejs.Tihomirovs@fm.gov.lv</dc:description>
  <cp:lastModifiedBy>Tihomirovs Andrejs</cp:lastModifiedBy>
  <cp:revision>16</cp:revision>
  <cp:lastPrinted>2016-01-04T13:34:00Z</cp:lastPrinted>
  <dcterms:created xsi:type="dcterms:W3CDTF">2016-01-04T11:57:00Z</dcterms:created>
  <dcterms:modified xsi:type="dcterms:W3CDTF">2016-01-05T06:51:00Z</dcterms:modified>
</cp:coreProperties>
</file>