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FB0B" w14:textId="412D456A" w:rsidR="00A529D3" w:rsidRPr="0055454B" w:rsidRDefault="00A529D3" w:rsidP="00EA1814">
      <w:pPr>
        <w:pStyle w:val="naisf"/>
        <w:spacing w:before="0" w:beforeAutospacing="0" w:after="0" w:afterAutospacing="0"/>
        <w:jc w:val="center"/>
        <w:rPr>
          <w:b/>
        </w:rPr>
      </w:pPr>
      <w:r w:rsidRPr="0055454B">
        <w:rPr>
          <w:b/>
        </w:rPr>
        <w:t>Ministru kabineta noteikumu projekta „</w:t>
      </w:r>
      <w:r w:rsidR="0055454B" w:rsidRPr="0055454B">
        <w:rPr>
          <w:b/>
        </w:rPr>
        <w:t>Grozījumi Ministru kabineta 2014.gada 2.decembra noteikumos Nr.740 “</w:t>
      </w:r>
      <w:proofErr w:type="spellStart"/>
      <w:r w:rsidR="00420910" w:rsidRPr="0055454B">
        <w:rPr>
          <w:b/>
          <w:i/>
        </w:rPr>
        <w:t>De</w:t>
      </w:r>
      <w:proofErr w:type="spellEnd"/>
      <w:r w:rsidR="00BD72AE" w:rsidRPr="0055454B">
        <w:rPr>
          <w:b/>
          <w:i/>
        </w:rPr>
        <w:t xml:space="preserve"> </w:t>
      </w:r>
      <w:proofErr w:type="spellStart"/>
      <w:r w:rsidR="00BD72AE" w:rsidRPr="0055454B">
        <w:rPr>
          <w:b/>
          <w:i/>
        </w:rPr>
        <w:t>minimis</w:t>
      </w:r>
      <w:proofErr w:type="spellEnd"/>
      <w:r w:rsidR="00BD72AE" w:rsidRPr="0055454B">
        <w:rPr>
          <w:b/>
        </w:rPr>
        <w:t xml:space="preserve"> atbalsta uzskaites un piešķiršanas kārtīb</w:t>
      </w:r>
      <w:r w:rsidR="00420910" w:rsidRPr="0055454B">
        <w:rPr>
          <w:b/>
        </w:rPr>
        <w:t>a</w:t>
      </w:r>
      <w:r w:rsidR="00BD72AE" w:rsidRPr="0055454B">
        <w:rPr>
          <w:b/>
        </w:rPr>
        <w:t xml:space="preserve"> un uzskaites veidlapu paraugi</w:t>
      </w:r>
      <w:r w:rsidRPr="0055454B">
        <w:rPr>
          <w:b/>
        </w:rPr>
        <w:t>”</w:t>
      </w:r>
      <w:r w:rsidR="0055454B" w:rsidRPr="0055454B">
        <w:rPr>
          <w:b/>
        </w:rPr>
        <w:t>”</w:t>
      </w:r>
      <w:r w:rsidRPr="0055454B">
        <w:rPr>
          <w:b/>
        </w:rPr>
        <w:t xml:space="preserve"> sākotnējās ietekmes novērtējuma ziņojums (anotācija)</w:t>
      </w:r>
    </w:p>
    <w:p w14:paraId="7115B1C1" w14:textId="77777777" w:rsidR="00A529D3" w:rsidRPr="0055454B" w:rsidRDefault="00A529D3" w:rsidP="00EA1814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773"/>
        <w:gridCol w:w="6247"/>
      </w:tblGrid>
      <w:tr w:rsidR="00A529D3" w:rsidRPr="0055454B" w14:paraId="0E52F2B6" w14:textId="77777777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14:paraId="6851345E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55454B">
              <w:rPr>
                <w:b/>
              </w:rPr>
              <w:t>I. Tiesību akta projekta izstrādes nepieciešamība</w:t>
            </w:r>
          </w:p>
        </w:tc>
      </w:tr>
      <w:tr w:rsidR="00A529D3" w:rsidRPr="0055454B" w14:paraId="78F718AF" w14:textId="77777777" w:rsidTr="00F640B6">
        <w:trPr>
          <w:trHeight w:val="415"/>
        </w:trPr>
        <w:tc>
          <w:tcPr>
            <w:tcW w:w="482" w:type="pct"/>
          </w:tcPr>
          <w:p w14:paraId="1F35ED90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1.</w:t>
            </w:r>
          </w:p>
        </w:tc>
        <w:tc>
          <w:tcPr>
            <w:tcW w:w="1389" w:type="pct"/>
          </w:tcPr>
          <w:p w14:paraId="72E75EB0" w14:textId="1140D235" w:rsidR="00C964CE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Pamatojums</w:t>
            </w:r>
          </w:p>
          <w:p w14:paraId="7ECCEF07" w14:textId="16FACD17" w:rsidR="00C964CE" w:rsidRDefault="00C964CE" w:rsidP="00C964CE">
            <w:pPr>
              <w:rPr>
                <w:lang w:eastAsia="lv-LV"/>
              </w:rPr>
            </w:pPr>
          </w:p>
          <w:p w14:paraId="2E9AB469" w14:textId="77777777" w:rsidR="00A529D3" w:rsidRPr="00C964CE" w:rsidRDefault="00A529D3" w:rsidP="00C964CE">
            <w:pPr>
              <w:ind w:firstLine="720"/>
              <w:rPr>
                <w:lang w:eastAsia="lv-LV"/>
              </w:rPr>
            </w:pPr>
          </w:p>
        </w:tc>
        <w:tc>
          <w:tcPr>
            <w:tcW w:w="3129" w:type="pct"/>
          </w:tcPr>
          <w:p w14:paraId="31287AAD" w14:textId="00CC55BE" w:rsidR="00A529D3" w:rsidRPr="0055454B" w:rsidRDefault="00BD72AE" w:rsidP="00EA1814">
            <w:pPr>
              <w:spacing w:after="0" w:line="240" w:lineRule="auto"/>
              <w:ind w:right="181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Eiropas Komisijas (ES) 2013.gada 18.decembra regula Nr.1407/2013 par Līguma par Eiropas Savienības darbību 107. un 108. panta piemērošanu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atbalstam (turpmāk – Komisijas regula Nr.1407/2013)</w:t>
            </w:r>
            <w:r w:rsidR="00054736" w:rsidRPr="0055454B">
              <w:rPr>
                <w:rFonts w:ascii="Times New Roman" w:hAnsi="Times New Roman"/>
                <w:sz w:val="24"/>
                <w:szCs w:val="24"/>
              </w:rPr>
              <w:t xml:space="preserve"> un Komercdarbības atbalsta ko</w:t>
            </w:r>
            <w:r w:rsidR="002E258B" w:rsidRPr="0055454B">
              <w:rPr>
                <w:rFonts w:ascii="Times New Roman" w:hAnsi="Times New Roman"/>
                <w:sz w:val="24"/>
                <w:szCs w:val="24"/>
              </w:rPr>
              <w:t>ntroles likuma 12.panta 5.punkts</w:t>
            </w:r>
            <w:r w:rsidR="00054736" w:rsidRPr="00554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E36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D3" w:rsidRPr="0055454B" w14:paraId="2FA5469F" w14:textId="77777777" w:rsidTr="00F640B6">
        <w:trPr>
          <w:trHeight w:val="472"/>
        </w:trPr>
        <w:tc>
          <w:tcPr>
            <w:tcW w:w="482" w:type="pct"/>
          </w:tcPr>
          <w:p w14:paraId="3A7AE99C" w14:textId="5961B5F4" w:rsidR="00D75701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2.</w:t>
            </w:r>
          </w:p>
          <w:p w14:paraId="0E1ABAC8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5179C9F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FE200AE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109A673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37D16A9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36CAA96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9A16577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B68FFCB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77DC72A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A471946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48E300E" w14:textId="64A14348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99F0B7B" w14:textId="77777777" w:rsidR="00A529D3" w:rsidRPr="0055454B" w:rsidRDefault="00A529D3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</w:tcPr>
          <w:p w14:paraId="1860DF37" w14:textId="3C77A42F" w:rsidR="00D75701" w:rsidRPr="0055454B" w:rsidRDefault="00A529D3" w:rsidP="00EA181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55454B">
              <w:t>Pašreizējā situācija un problēmas, kuru risināšanai tiesību akta projekts izstrādāts, tiesiskā regulējuma mērķis un būtība</w:t>
            </w:r>
          </w:p>
          <w:p w14:paraId="54E27684" w14:textId="77777777" w:rsidR="00A529D3" w:rsidRPr="0055454B" w:rsidRDefault="00A529D3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14:paraId="312156C0" w14:textId="77777777" w:rsidR="00EA1814" w:rsidRDefault="0055454B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atbalsta, ko piešķir saskaņā ar Komisijas regulu Nr.1407/2013, uzskaites un piešķiršanas kārtība un uzskaites veidlapu paraugi ir noteikta Ministru kabineta 2014.gada 2.decembra noteikumos Nr.740 “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un uzskaites veidlapu paraugi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(turpmāk – MK noteikumi Nr.740). </w:t>
            </w:r>
          </w:p>
          <w:p w14:paraId="70D46016" w14:textId="77777777" w:rsidR="00EA1814" w:rsidRDefault="00EA1814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vērā, ka saskaņā ar Komisijas regulas Nr.1407/2013 nosacījumiem, izvērtējot piešķiramo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apmēru, atbalsta sniedzējam ir nepieciešams vērtēt atbalsta pretendenta kārtējā un iepriekšējos divos fiskālajos gados saņemto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apmēru viena vienota uzņēmuma līmenī tikai attiecībā uz atbalstu, kas piešķirts Latvijas Republikā, noteikumu projekts paredz papildināt MK noteikumus Nr.740 ar attiecīgu punktu.</w:t>
            </w:r>
          </w:p>
          <w:p w14:paraId="6A62342E" w14:textId="77777777" w:rsidR="00EA1814" w:rsidRDefault="00EA1814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korekti tiktu ievēroti Komisijas regulas Nr.1407/2013 6.panta 4.punkta nosacījumi attiecībā uz datu, kas nepieciešami, lai pierādītu Komisijas regulas Nr.1407/2013 nosacījumu ievērošanu, glabāšanu, noteikumu projekts paredz precizēt MK noteikumus Nr.740, nosakot, ka gan </w:t>
            </w:r>
            <w:proofErr w:type="spellStart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pretendentam, gan atbalsta sniedzējam ir pienākums glabāt ne tikai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uzskaites veidlapas, bet gan visus datus par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piešķiršanu 10 gadus no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piešķiršanas.</w:t>
            </w:r>
          </w:p>
          <w:p w14:paraId="15FFBB09" w14:textId="1D9FD641" w:rsidR="005719DE" w:rsidRDefault="00C83F5C" w:rsidP="005719D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nodrošinātu korektu atbilstību Komisijas regulas Nr.1407/2013 2.panta 2.punkta nosacījumiem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, ir nepieciešams no atbalsta pretendentiem pieprasīt papildu informāciju, lai atbalsta sniedzējs varētu korekti izvērtēt </w:t>
            </w:r>
            <w:proofErr w:type="spellStart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piešķiršanu. Noteikumu projekts paredz papildināt MK noteikumu Nr.740 1.pielikumu “Uzskaites veidlapa par sniedzamo informāciju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piešķiršanai”, uzliekot pienākumu atbalsta pretendentam sniegt informāciju par tā atbilstību viena vienota uzņēmuma definīcijai atbilstoši Komisijas regulas Nr.1407/2013 2.panta 2.punktam ne tikai gadījumā, ja tam ir būtiska ietekme saistītajās komercsabiedrības, bet arī, ja citai komercsabiedrībai ir šāda ietekme atbalsta pretendenta komercsabiedrībā. </w:t>
            </w:r>
          </w:p>
          <w:p w14:paraId="0EB70F28" w14:textId="587A547D" w:rsidR="005719DE" w:rsidRDefault="00C83F5C" w:rsidP="005719D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kontroles uzlabošanai, 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noteikumu projekts nosaka, ka turpmāk atbalsta pretendentam būs nepieciešams sniegt informāciju ne tikai par kārtējā un iepriekšējos divos fiskālajos gados saņemto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atbalstu un citu valsts atbalstu, bet arī par atbalsta pretendenta plānoto citu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atbalstu un citu valsts atbalstu, jo atbalsta sniedzējam ir būtiski to zināt un izvērtēt lēmuma par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piešķiršanu brīdī, lai atbalsta kumulācijas rezultātā netiktu pārsniegta nedz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Nr.1407/2013 3.panta 2.punktā, nedz arī atbalsta intensitāte un atbalsta apmērs, kas noteikts citā atbalsta programmā vai Eiropas Komisijas lēmumā.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45" w:rsidRPr="004F7645">
              <w:rPr>
                <w:rFonts w:ascii="Times New Roman" w:hAnsi="Times New Roman"/>
                <w:lang w:eastAsia="lv-LV"/>
              </w:rPr>
              <w:t xml:space="preserve"> </w:t>
            </w:r>
            <w:r w:rsidR="004F7645">
              <w:rPr>
                <w:rFonts w:ascii="Times New Roman" w:hAnsi="Times New Roman"/>
                <w:sz w:val="24"/>
                <w:szCs w:val="24"/>
              </w:rPr>
              <w:t>A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r terminu “plānotais </w:t>
            </w:r>
            <w:proofErr w:type="spellStart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ir jāsaprot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 tādu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 atbalstu, uz kuru atbalsta pretendents ir paralēli pieteicies citā atbalsta programmā vai pieteicies individuālam atbalstam, bet par kuru atbalsta sn</w:t>
            </w:r>
            <w:r w:rsidR="00973D40">
              <w:rPr>
                <w:rFonts w:ascii="Times New Roman" w:hAnsi="Times New Roman"/>
                <w:sz w:val="24"/>
                <w:szCs w:val="24"/>
              </w:rPr>
              <w:t>iedzējs vēl nav pieņēmis lēmumu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>.</w:t>
            </w:r>
            <w:r w:rsidR="00A24F1E">
              <w:rPr>
                <w:rFonts w:ascii="Times New Roman" w:hAnsi="Times New Roman"/>
                <w:sz w:val="24"/>
                <w:szCs w:val="24"/>
              </w:rPr>
              <w:t xml:space="preserve">  Papildus noteikumu projekts paredz papildināt  MK noteikumu Nr.740 1.pielikumu “Uzskaites veidlapa par sniedzamo informāciju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4F1E">
              <w:rPr>
                <w:rFonts w:ascii="Times New Roman" w:hAnsi="Times New Roman"/>
                <w:sz w:val="24"/>
                <w:szCs w:val="24"/>
              </w:rPr>
              <w:t xml:space="preserve"> atbalsta piešķiršanai” ar pienākumu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4F1E">
              <w:rPr>
                <w:rFonts w:ascii="Times New Roman" w:hAnsi="Times New Roman"/>
                <w:sz w:val="24"/>
                <w:szCs w:val="24"/>
              </w:rPr>
              <w:t xml:space="preserve"> atbalsta pretendentam sniegt apliecinājumu, ka tas apņemas ievērot un nepārsniegt Komisijas regulas Nr.1407/2013 3.panta 2.punktā noteiktās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4F1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4F1E">
              <w:rPr>
                <w:rFonts w:ascii="Times New Roman" w:hAnsi="Times New Roman"/>
                <w:sz w:val="24"/>
                <w:szCs w:val="24"/>
              </w:rPr>
              <w:t xml:space="preserve"> atbalsta robežvērtības kārtējā un divos iepriekšējos fiskālajos gados vienas vienotas komercsabiedrības līmenī.</w:t>
            </w:r>
          </w:p>
          <w:p w14:paraId="4F1D3C75" w14:textId="37067150" w:rsidR="00EA1814" w:rsidRPr="0055454B" w:rsidRDefault="00B47785" w:rsidP="00A24F1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atbalsta sniedzējam būtu skaidrs, ka, izvērtējot piešķiramā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apmēru, ir nepieciešams ņemt vērā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pretendenta iepriekš saņemto citu valsts atbalstu</w:t>
            </w:r>
            <w:r w:rsidR="008F68B2">
              <w:rPr>
                <w:rFonts w:ascii="Times New Roman" w:hAnsi="Times New Roman"/>
                <w:sz w:val="24"/>
                <w:szCs w:val="24"/>
              </w:rPr>
              <w:t xml:space="preserve"> par tām pašām attiecināmajām izmaksām</w:t>
            </w:r>
            <w:r>
              <w:rPr>
                <w:rFonts w:ascii="Times New Roman" w:hAnsi="Times New Roman"/>
                <w:sz w:val="24"/>
                <w:szCs w:val="24"/>
              </w:rPr>
              <w:t>, lai netiktu pārsniegta nedz maksimāli pieļaujamā atbalsta intensitāte, kas noteikta citā atbalsta programmā vai individuālajā</w:t>
            </w:r>
            <w:r w:rsidR="008F68B2">
              <w:rPr>
                <w:rFonts w:ascii="Times New Roman" w:hAnsi="Times New Roman"/>
                <w:sz w:val="24"/>
                <w:szCs w:val="24"/>
              </w:rPr>
              <w:t xml:space="preserve"> atbalsta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projektā, nedz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Nr.1407/2013 3.panta 2.punktā, noteikumu projekts paredz attiecīgus papildinājumus</w:t>
            </w:r>
            <w:r w:rsidR="00A24F1E">
              <w:rPr>
                <w:rFonts w:ascii="Times New Roman" w:hAnsi="Times New Roman"/>
                <w:sz w:val="24"/>
                <w:szCs w:val="24"/>
              </w:rPr>
              <w:t xml:space="preserve"> MK noteikumu Nr.740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2.pielikumā</w:t>
            </w:r>
            <w:r w:rsidR="00A24F1E">
              <w:rPr>
                <w:rFonts w:ascii="Times New Roman" w:hAnsi="Times New Roman"/>
                <w:sz w:val="24"/>
                <w:szCs w:val="24"/>
              </w:rPr>
              <w:t xml:space="preserve"> “Uzskaites veidlapa par </w:t>
            </w:r>
            <w:proofErr w:type="spellStart"/>
            <w:r w:rsidR="00A24F1E" w:rsidRPr="00A24F1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4F1E" w:rsidRPr="00A24F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4F1E" w:rsidRPr="00A24F1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4F1E">
              <w:rPr>
                <w:rFonts w:ascii="Times New Roman" w:hAnsi="Times New Roman"/>
                <w:sz w:val="24"/>
                <w:szCs w:val="24"/>
              </w:rPr>
              <w:t xml:space="preserve"> atbalsta piešķiršanu”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529D3" w:rsidRPr="0055454B" w14:paraId="1667FFF8" w14:textId="77777777" w:rsidTr="00F640B6">
        <w:trPr>
          <w:trHeight w:val="476"/>
        </w:trPr>
        <w:tc>
          <w:tcPr>
            <w:tcW w:w="482" w:type="pct"/>
          </w:tcPr>
          <w:p w14:paraId="72930DBC" w14:textId="1E772AFF" w:rsidR="00A529D3" w:rsidRPr="0055454B" w:rsidRDefault="0055454B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lastRenderedPageBreak/>
              <w:t>3.</w:t>
            </w:r>
          </w:p>
        </w:tc>
        <w:tc>
          <w:tcPr>
            <w:tcW w:w="1389" w:type="pct"/>
          </w:tcPr>
          <w:p w14:paraId="0E82EC8C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Projekta izstrādē iesaistītās institūcijas</w:t>
            </w:r>
          </w:p>
        </w:tc>
        <w:tc>
          <w:tcPr>
            <w:tcW w:w="3129" w:type="pct"/>
          </w:tcPr>
          <w:p w14:paraId="4FB96517" w14:textId="77777777" w:rsidR="00A529D3" w:rsidRPr="0055454B" w:rsidRDefault="007453E5" w:rsidP="00EA18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Ministru kabineta</w:t>
            </w:r>
            <w:r w:rsidR="00A529D3" w:rsidRPr="0055454B">
              <w:rPr>
                <w:rFonts w:ascii="Times New Roman" w:hAnsi="Times New Roman"/>
                <w:sz w:val="24"/>
                <w:szCs w:val="24"/>
              </w:rPr>
              <w:t xml:space="preserve"> noteikumu projektu izstrādāja </w:t>
            </w:r>
            <w:r w:rsidR="00475210" w:rsidRPr="0055454B">
              <w:rPr>
                <w:rFonts w:ascii="Times New Roman" w:hAnsi="Times New Roman"/>
                <w:sz w:val="24"/>
                <w:szCs w:val="24"/>
              </w:rPr>
              <w:t>Finanšu ministrija</w:t>
            </w:r>
            <w:r w:rsidR="00A529D3" w:rsidRPr="005545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55454B" w14:paraId="2698432C" w14:textId="77777777" w:rsidTr="00F640B6">
        <w:tc>
          <w:tcPr>
            <w:tcW w:w="482" w:type="pct"/>
          </w:tcPr>
          <w:p w14:paraId="2ED3940D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4.</w:t>
            </w:r>
          </w:p>
        </w:tc>
        <w:tc>
          <w:tcPr>
            <w:tcW w:w="1389" w:type="pct"/>
          </w:tcPr>
          <w:p w14:paraId="05E39117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Cita informācija</w:t>
            </w:r>
          </w:p>
        </w:tc>
        <w:tc>
          <w:tcPr>
            <w:tcW w:w="3129" w:type="pct"/>
          </w:tcPr>
          <w:p w14:paraId="0641D515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Nav</w:t>
            </w:r>
          </w:p>
        </w:tc>
      </w:tr>
    </w:tbl>
    <w:p w14:paraId="3A55BFD5" w14:textId="77777777" w:rsidR="00F32A94" w:rsidRPr="0055454B" w:rsidRDefault="00F32A94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55454B" w14:paraId="5CE26763" w14:textId="77777777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14:paraId="06AD27D9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5454B">
              <w:rPr>
                <w:b/>
              </w:rPr>
              <w:t>II. Tiesību akta projekta ietekme uz sabiedrību, tautsaimniecības attīstību</w:t>
            </w:r>
          </w:p>
          <w:p w14:paraId="3BDE5EAA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5454B">
              <w:rPr>
                <w:b/>
              </w:rPr>
              <w:t>un administratīvo slogu</w:t>
            </w:r>
          </w:p>
        </w:tc>
      </w:tr>
      <w:tr w:rsidR="00A529D3" w:rsidRPr="0055454B" w14:paraId="211F74B0" w14:textId="77777777" w:rsidTr="00EC6F22">
        <w:trPr>
          <w:trHeight w:val="467"/>
        </w:trPr>
        <w:tc>
          <w:tcPr>
            <w:tcW w:w="562" w:type="dxa"/>
          </w:tcPr>
          <w:p w14:paraId="74A533AD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1.</w:t>
            </w:r>
          </w:p>
        </w:tc>
        <w:tc>
          <w:tcPr>
            <w:tcW w:w="2976" w:type="dxa"/>
          </w:tcPr>
          <w:p w14:paraId="00BC7793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 xml:space="preserve">Sabiedrības </w:t>
            </w:r>
            <w:proofErr w:type="spellStart"/>
            <w:r w:rsidRPr="0055454B">
              <w:t>mērķgrupas</w:t>
            </w:r>
            <w:proofErr w:type="spellEnd"/>
            <w:r w:rsidRPr="0055454B">
              <w:t>, kuras tiesiskais regulējums ietekmē vai varētu ietekmēt</w:t>
            </w:r>
          </w:p>
        </w:tc>
        <w:tc>
          <w:tcPr>
            <w:tcW w:w="6389" w:type="dxa"/>
          </w:tcPr>
          <w:p w14:paraId="59440277" w14:textId="77777777" w:rsidR="00A529D3" w:rsidRPr="0055454B" w:rsidRDefault="00A529D3" w:rsidP="00EA181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pastarpinātās pārvaldes iestādes, Latvijas Republikā reģistrētas </w:t>
            </w:r>
            <w:r w:rsidR="007453E5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BA6316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55454B" w14:paraId="60E0AC9F" w14:textId="77777777" w:rsidTr="00EC6F22">
        <w:trPr>
          <w:trHeight w:val="523"/>
        </w:trPr>
        <w:tc>
          <w:tcPr>
            <w:tcW w:w="562" w:type="dxa"/>
          </w:tcPr>
          <w:p w14:paraId="4ECC40A1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2.</w:t>
            </w:r>
          </w:p>
        </w:tc>
        <w:tc>
          <w:tcPr>
            <w:tcW w:w="2976" w:type="dxa"/>
          </w:tcPr>
          <w:p w14:paraId="0CD83F47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Tiesiskā regulējuma ietekme uz tautsaimniecību un administratīvo slogu</w:t>
            </w:r>
          </w:p>
          <w:p w14:paraId="5F0031A6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14:paraId="257DA99D" w14:textId="2503B702" w:rsidR="00A529D3" w:rsidRPr="0055454B" w:rsidRDefault="00420910" w:rsidP="005719D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paredz komercsabiedrībai, kura vēlēsies pieteikties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, ja šādas atbalsta programmas nozaru ministrijas būs izstrādājušas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pienākumu sniegt informāciju ne tikai par pēdējo triju fiskālo gadu laikā saņemto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un 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citu komercdarbības atbalstu</w:t>
            </w:r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arī par plānoto citu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un citu komercdarbības atbalstu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Tas nepieciešams, lai varētu izpildīt Komisijas regulas Nr.1407/2013 5.panta 2.daļā noteikto un lai varētu korekti noteikt piešķiramā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apmēru.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Tiesiskajam regulējuma nav ietekmes uz tautsaimniecību, jo šis MK noteikumu projekts nenosaka </w:t>
            </w:r>
            <w:proofErr w:type="spellStart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un uzskaites kontroles kārtību.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palielināsies minimāli, ņemot vērā, ka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šajā MK noteikumu projektā ietvertās prasības tikai sniedz papildu skaidrojumus atbalsta sniedzējam un saņēmējam par nepieciešamo uzskaites kārtību</w:t>
            </w:r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Spēkā esošajā Komisijas regulā Nr.1407/2013 ietvertās prasības nav papildu prasības, bet nodrošina interpretācijas kļūdu novēršanu.</w:t>
            </w:r>
          </w:p>
        </w:tc>
      </w:tr>
      <w:tr w:rsidR="00A529D3" w:rsidRPr="0055454B" w14:paraId="19B77739" w14:textId="77777777" w:rsidTr="00EC6F22">
        <w:trPr>
          <w:trHeight w:val="523"/>
        </w:trPr>
        <w:tc>
          <w:tcPr>
            <w:tcW w:w="562" w:type="dxa"/>
          </w:tcPr>
          <w:p w14:paraId="264B3FA2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lastRenderedPageBreak/>
              <w:t>3.</w:t>
            </w:r>
          </w:p>
        </w:tc>
        <w:tc>
          <w:tcPr>
            <w:tcW w:w="2976" w:type="dxa"/>
          </w:tcPr>
          <w:p w14:paraId="2FD4E499" w14:textId="239040F4" w:rsidR="001C502F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Administratīvo izmaksu monetārs novērtējums</w:t>
            </w:r>
          </w:p>
          <w:p w14:paraId="7018A921" w14:textId="77777777" w:rsidR="00A529D3" w:rsidRPr="001C502F" w:rsidRDefault="00A529D3" w:rsidP="001C502F">
            <w:pPr>
              <w:jc w:val="center"/>
              <w:rPr>
                <w:lang w:eastAsia="lv-LV"/>
              </w:rPr>
            </w:pPr>
          </w:p>
        </w:tc>
        <w:tc>
          <w:tcPr>
            <w:tcW w:w="6389" w:type="dxa"/>
          </w:tcPr>
          <w:p w14:paraId="155284A5" w14:textId="0309478F" w:rsidR="00A529D3" w:rsidRPr="0055454B" w:rsidRDefault="00C157FF" w:rsidP="00EA181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nenosaka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 w:rsidR="00E26B11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piešķiršanu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gan tā piešķiršanas un uzskaites kontroles kārtību. Minētā kārtība tiks piemērota tikai tad, ja nozaru ministrijas izstrādās Ministru kabineta noteikumus (atbalsta programmas), kuras paredzēs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55454B" w14:paraId="5AF1B46E" w14:textId="77777777" w:rsidTr="00EC6F22">
        <w:trPr>
          <w:trHeight w:val="357"/>
        </w:trPr>
        <w:tc>
          <w:tcPr>
            <w:tcW w:w="562" w:type="dxa"/>
          </w:tcPr>
          <w:p w14:paraId="2E6591E9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4.</w:t>
            </w:r>
          </w:p>
        </w:tc>
        <w:tc>
          <w:tcPr>
            <w:tcW w:w="2976" w:type="dxa"/>
          </w:tcPr>
          <w:p w14:paraId="099B6712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Cita informācija</w:t>
            </w:r>
          </w:p>
        </w:tc>
        <w:tc>
          <w:tcPr>
            <w:tcW w:w="6389" w:type="dxa"/>
          </w:tcPr>
          <w:p w14:paraId="29CDE5B2" w14:textId="77777777" w:rsidR="00A529D3" w:rsidRPr="0055454B" w:rsidRDefault="00A529D3" w:rsidP="00EA181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5A3C6D7" w14:textId="77777777" w:rsidR="00854907" w:rsidRPr="0055454B" w:rsidRDefault="00854907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55454B" w14:paraId="385CC0CF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70FE8A4" w14:textId="77777777" w:rsidR="00A529D3" w:rsidRPr="0055454B" w:rsidRDefault="00A529D3" w:rsidP="00E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55454B" w14:paraId="4FDD73F8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87F6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BC22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F6767" w14:textId="556432F0" w:rsidR="00125033" w:rsidRPr="0055454B" w:rsidRDefault="003924FE" w:rsidP="00EA18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454B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55454B">
              <w:rPr>
                <w:rFonts w:ascii="Times New Roman" w:hAnsi="Times New Roman" w:cs="Times New Roman"/>
              </w:rPr>
              <w:t xml:space="preserve">nodrošina </w:t>
            </w:r>
            <w:r w:rsidRPr="0055454B">
              <w:rPr>
                <w:rFonts w:ascii="Times New Roman" w:hAnsi="Times New Roman" w:cs="Times New Roman"/>
              </w:rPr>
              <w:t>Komisijas regulas Nr.1407/2013</w:t>
            </w:r>
            <w:r w:rsidR="00B416E0" w:rsidRPr="0055454B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55454B">
              <w:rPr>
                <w:rFonts w:ascii="Times New Roman" w:hAnsi="Times New Roman" w:cs="Times New Roman"/>
              </w:rPr>
              <w:t>.</w:t>
            </w:r>
          </w:p>
          <w:p w14:paraId="1D7FEE16" w14:textId="0002FD21" w:rsidR="00A529D3" w:rsidRPr="0055454B" w:rsidRDefault="00A529D3" w:rsidP="00EA18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55454B" w14:paraId="14D68A29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6D0D9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71A47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802F7" w14:textId="77777777" w:rsidR="00A529D3" w:rsidRPr="0055454B" w:rsidRDefault="00473639" w:rsidP="00EA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55454B" w14:paraId="434B33EB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04DD" w14:textId="77777777" w:rsidR="00995BCC" w:rsidRPr="0055454B" w:rsidRDefault="00995BCC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A4E13" w14:textId="77777777" w:rsidR="00995BCC" w:rsidRPr="0055454B" w:rsidRDefault="00995BCC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C22D28" w14:textId="77777777" w:rsidR="00995BCC" w:rsidRPr="0055454B" w:rsidRDefault="00995BCC" w:rsidP="00EA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55454B" w14:paraId="7AA71159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71396CA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14:paraId="058C83C0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55454B" w14:paraId="09676FB9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70CD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6150D9" w14:textId="7B6BE770" w:rsidR="00A529D3" w:rsidRPr="0055454B" w:rsidRDefault="004F3292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2013.gada 18.decembra Eiropas Komisijas (ES) regula Nr.1407/2013 par Līguma par Eiropas Savienības darbību 107. un 108. panta piemērošanu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</w:p>
        </w:tc>
      </w:tr>
      <w:tr w:rsidR="00A529D3" w:rsidRPr="0055454B" w14:paraId="61E362ED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CC58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3865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27CC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98A44A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55454B" w14:paraId="4AA740E8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71934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A71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0FEA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14:paraId="33C46D0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198A541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08690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14:paraId="65B331F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14:paraId="269203C4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55454B" w14:paraId="6AD25816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1E1CC" w14:textId="5BED4250" w:rsidR="00791A95" w:rsidRPr="0055454B" w:rsidRDefault="007A6785" w:rsidP="005719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Komisijas regula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>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9DE">
              <w:rPr>
                <w:rFonts w:ascii="Times New Roman" w:hAnsi="Times New Roman"/>
                <w:sz w:val="24"/>
                <w:szCs w:val="24"/>
              </w:rPr>
              <w:t>3.panta 2.punkts</w:t>
            </w:r>
            <w:r w:rsidR="00F25F3F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F698" w14:textId="2CFECE0E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4602A">
              <w:rPr>
                <w:rFonts w:ascii="Times New Roman" w:hAnsi="Times New Roman"/>
                <w:bCs/>
                <w:sz w:val="24"/>
                <w:szCs w:val="24"/>
              </w:rPr>
              <w:t xml:space="preserve"> un 6.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ADB" w14:textId="160AE130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72424" w14:textId="77777777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55454B" w14:paraId="448DA563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2A1F" w14:textId="10AD2E40" w:rsidR="00791A95" w:rsidRPr="0055454B" w:rsidRDefault="007A6785" w:rsidP="00EA181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>Nr.1407/2013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8170CE" w:rsidRPr="0055454B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9DE">
              <w:rPr>
                <w:rFonts w:ascii="Times New Roman" w:hAnsi="Times New Roman"/>
                <w:sz w:val="24"/>
                <w:szCs w:val="24"/>
              </w:rPr>
              <w:t>panta 4</w:t>
            </w:r>
            <w:r w:rsidR="008170CE" w:rsidRPr="0055454B">
              <w:rPr>
                <w:rFonts w:ascii="Times New Roman" w:hAnsi="Times New Roman"/>
                <w:sz w:val="24"/>
                <w:szCs w:val="24"/>
              </w:rPr>
              <w:t>.punkts</w:t>
            </w:r>
            <w:r w:rsidR="00F25F3F" w:rsidRPr="00554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B0EB" w14:textId="3F26D4B9" w:rsidR="00791A95" w:rsidRPr="0055454B" w:rsidRDefault="00791A95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3A3A" w:rsidRPr="005545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F00C" w14:textId="3A6DB6AC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>ieviesta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E703E9" w14:textId="77777777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E258B" w:rsidRPr="0055454B" w14:paraId="6E75136A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E6B8" w14:textId="276C2176" w:rsidR="002E258B" w:rsidRPr="0055454B" w:rsidRDefault="005719DE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Nr.1407/2013 2.panta 2</w:t>
            </w:r>
            <w:r w:rsidR="002E258B" w:rsidRPr="0055454B">
              <w:rPr>
                <w:rFonts w:ascii="Times New Roman" w:hAnsi="Times New Roman"/>
                <w:sz w:val="24"/>
                <w:szCs w:val="24"/>
              </w:rPr>
              <w:t>.punkts.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F896" w14:textId="6C986244" w:rsidR="002E258B" w:rsidRPr="0055454B" w:rsidRDefault="002E258B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8460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60DD" w14:textId="1E05B2DD" w:rsidR="002E258B" w:rsidRPr="0055454B" w:rsidRDefault="002E258B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C7FE57" w14:textId="77777777" w:rsidR="002E258B" w:rsidRPr="0055454B" w:rsidRDefault="002E258B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01925" w:rsidRPr="0055454B" w14:paraId="411AAAC0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CAB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14:paraId="4BC32259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98AB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55454B" w14:paraId="409BB434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AA8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A97FE1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55454B" w14:paraId="73C9D179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0416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287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2BB4032D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07612C2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14:paraId="6CBA636E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58573B0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01925" w:rsidRPr="0055454B" w14:paraId="32DBBDFA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9FD4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Attiecīgā starptautiskā tiesību akta vai starptautiskas institūcijas vai organizācijas dokumenta (turpmāk – starptautiskais dokuments) datums,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0250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</w:t>
            </w:r>
          </w:p>
        </w:tc>
      </w:tr>
      <w:tr w:rsidR="00601925" w:rsidRPr="0055454B" w14:paraId="20674446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EDF9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2E3E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3D0A0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01925" w:rsidRPr="0055454B" w14:paraId="6DDDDF31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E31C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14:paraId="4DBF6D0E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A1A7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16F4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5266573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B2DFA08" w14:textId="77777777" w:rsidR="00601925" w:rsidRPr="0055454B" w:rsidRDefault="00601925" w:rsidP="00EA18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01925" w:rsidRPr="0055454B" w14:paraId="5E3DEDB7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5648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EF2E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EAE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70EC1CC3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6B50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8289C4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06D486B7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48B9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AA99A1" w14:textId="77777777" w:rsidR="00601925" w:rsidRPr="0055454B" w:rsidRDefault="00601925" w:rsidP="00EA181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240CA10" w14:textId="77777777" w:rsidR="00A529D3" w:rsidRPr="0055454B" w:rsidRDefault="00A529D3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2562"/>
        <w:gridCol w:w="6946"/>
      </w:tblGrid>
      <w:tr w:rsidR="000B5361" w:rsidRPr="0055454B" w14:paraId="7E01B18E" w14:textId="77777777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0F7B" w14:textId="77777777" w:rsidR="000B5361" w:rsidRPr="0055454B" w:rsidRDefault="000B5361" w:rsidP="00EA1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2C028D" w:rsidRPr="0055454B" w14:paraId="72A7D6E8" w14:textId="77777777" w:rsidTr="003D002A">
        <w:trPr>
          <w:trHeight w:val="983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5868E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7B3B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5CA1F" w14:textId="6E3F1B50" w:rsidR="000B5361" w:rsidRPr="0055454B" w:rsidRDefault="00D57E64" w:rsidP="00D5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informācija par MK noteikumu projektu ir ievietota Finanšu ministrijas mājas lapas sadaļas “Sabiedrības līdzdalība”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apakšsadaļā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“Tiesību aktu projekti” “Komercdarbības atbalsta kontroles politika” (pieejams: </w:t>
            </w:r>
            <w:hyperlink r:id="rId8" w:anchor="project167" w:history="1">
              <w:r w:rsidRPr="00B33C23">
                <w:rPr>
                  <w:rStyle w:val="Hyperlink"/>
                  <w:sz w:val="24"/>
                  <w:szCs w:val="24"/>
                </w:rPr>
                <w:t>http://www.fm.gov.lv/lv/sabiedribas_lidzdaliba/tiesibu_aktu_projekti/komercdarbibas_atbalsta_kontroles_politika#project167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C028D" w:rsidRPr="0055454B" w14:paraId="3E4EF486" w14:textId="77777777" w:rsidTr="003D002A">
        <w:trPr>
          <w:trHeight w:val="330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C85B5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23B4F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A1546" w14:textId="78102F9F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55454B" w14:paraId="1C699174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7873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ABD85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A552E2" w14:textId="333EB23D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55454B" w14:paraId="4136057D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D19B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EDF3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06213C" w14:textId="0DE308DF" w:rsidR="001C502F" w:rsidRPr="0055454B" w:rsidRDefault="000B5361" w:rsidP="00C96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MK noteikumu projekts</w:t>
            </w:r>
            <w:r w:rsidR="00C964CE">
              <w:rPr>
                <w:rFonts w:ascii="Times New Roman" w:hAnsi="Times New Roman"/>
                <w:sz w:val="24"/>
                <w:szCs w:val="24"/>
              </w:rPr>
              <w:t xml:space="preserve"> paredz papildināt MK noteikumus Nr.740, kas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 xml:space="preserve"> nosaka tikai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kontroles kārtību un paredz nosacījumus, kas izriet tieši no Komisijas regulas Nr.1407/2013. Līdz ar to MK noteikumu projekta izstrādes procesa gaitā nav nepieciešams iesaistīt sabiedrības pārstāvjus. Sabiedrības pārstāvjiem bija iespēja izteikt viedokli par Komisijas regulas Nr.1407/2013 projektu sabiedriskās apspriešanas laikā, jo minētais projekts bija publicēts Eiropas Komisijas mājaslapā (pieejams šeit: </w:t>
            </w:r>
            <w:hyperlink r:id="rId9" w:history="1">
              <w:r w:rsidRPr="0055454B">
                <w:rPr>
                  <w:rStyle w:val="Hyperlink"/>
                  <w:sz w:val="24"/>
                  <w:szCs w:val="24"/>
                </w:rPr>
                <w:t>http://ec.europa.eu/competition/consultations/2012_de_minimis/index_en.html</w:t>
              </w:r>
            </w:hyperlink>
            <w:r w:rsidRPr="0055454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2C028D" w:rsidRPr="0055454B">
              <w:rPr>
                <w:rFonts w:ascii="Times New Roman" w:hAnsi="Times New Roman"/>
                <w:sz w:val="24"/>
                <w:szCs w:val="24"/>
              </w:rPr>
              <w:t xml:space="preserve">Sabiedriskās apspriešanas laikā komentāri no sabiedrības pārstāvjiem saņemti netika. Finanšu ministrija kā 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t xml:space="preserve">nacionālā 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komercdarbības</w:t>
            </w:r>
            <w:r w:rsidR="002C028D" w:rsidRPr="0055454B">
              <w:rPr>
                <w:rFonts w:ascii="Times New Roman" w:hAnsi="Times New Roman"/>
                <w:sz w:val="24"/>
                <w:szCs w:val="24"/>
              </w:rPr>
              <w:t xml:space="preserve"> atbalsta kontroles iest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t>āde informēs nozaru ministrijas par MK noteikumu projekta piemērošanas praktiskajiem aspektiem.</w:t>
            </w:r>
          </w:p>
        </w:tc>
      </w:tr>
    </w:tbl>
    <w:p w14:paraId="0B2BB07F" w14:textId="77777777" w:rsidR="000B5361" w:rsidRPr="0055454B" w:rsidRDefault="000B5361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48867" w14:textId="36CB52FF" w:rsidR="007966F6" w:rsidRPr="0055454B" w:rsidRDefault="007966F6" w:rsidP="00EA18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54B">
        <w:rPr>
          <w:rFonts w:ascii="Times New Roman" w:hAnsi="Times New Roman"/>
          <w:i/>
          <w:sz w:val="24"/>
          <w:szCs w:val="24"/>
        </w:rPr>
        <w:t>Anotācijas II</w:t>
      </w:r>
      <w:r w:rsidR="000B5361" w:rsidRPr="0055454B">
        <w:rPr>
          <w:rFonts w:ascii="Times New Roman" w:hAnsi="Times New Roman"/>
          <w:i/>
          <w:sz w:val="24"/>
          <w:szCs w:val="24"/>
        </w:rPr>
        <w:t>I</w:t>
      </w:r>
      <w:r w:rsidR="00C964CE">
        <w:rPr>
          <w:rFonts w:ascii="Times New Roman" w:hAnsi="Times New Roman"/>
          <w:i/>
          <w:sz w:val="24"/>
          <w:szCs w:val="24"/>
        </w:rPr>
        <w:t>, IV</w:t>
      </w:r>
      <w:r w:rsidR="000B5361" w:rsidRPr="0055454B">
        <w:rPr>
          <w:rFonts w:ascii="Times New Roman" w:hAnsi="Times New Roman"/>
          <w:i/>
          <w:sz w:val="24"/>
          <w:szCs w:val="24"/>
        </w:rPr>
        <w:t xml:space="preserve"> </w:t>
      </w:r>
      <w:r w:rsidRPr="0055454B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55454B">
        <w:rPr>
          <w:rFonts w:ascii="Times New Roman" w:hAnsi="Times New Roman"/>
          <w:i/>
          <w:sz w:val="24"/>
          <w:szCs w:val="24"/>
        </w:rPr>
        <w:t xml:space="preserve">sadaļa – </w:t>
      </w:r>
      <w:r w:rsidRPr="0055454B">
        <w:rPr>
          <w:rFonts w:ascii="Times New Roman" w:hAnsi="Times New Roman"/>
          <w:i/>
          <w:sz w:val="24"/>
          <w:szCs w:val="24"/>
        </w:rPr>
        <w:t>projekts šīs jomas neskar.</w:t>
      </w:r>
    </w:p>
    <w:p w14:paraId="4D18D819" w14:textId="77777777" w:rsidR="00F918BA" w:rsidRDefault="00F918BA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9E817" w14:textId="77777777" w:rsidR="00773094" w:rsidRDefault="00773094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9A069" w14:textId="77777777" w:rsidR="00773094" w:rsidRPr="0055454B" w:rsidRDefault="00773094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1AFAA2" w14:textId="2C7AC5BB" w:rsidR="001F7B0C" w:rsidRDefault="001F7B0C" w:rsidP="00773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Finanšu ministra vietā – </w:t>
      </w:r>
    </w:p>
    <w:p w14:paraId="466E4FEC" w14:textId="77777777" w:rsidR="001F7B0C" w:rsidRDefault="001F7B0C" w:rsidP="00773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Vides aizsardzības un reģionālās </w:t>
      </w:r>
    </w:p>
    <w:p w14:paraId="275AF5B0" w14:textId="2E8D5C45" w:rsidR="007966F6" w:rsidRPr="0055454B" w:rsidRDefault="001F7B0C" w:rsidP="00773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attīstības ministrs</w:t>
      </w:r>
      <w:r w:rsidR="00A94952" w:rsidRPr="00554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55454B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Kaspars Gerhards</w:t>
      </w:r>
    </w:p>
    <w:p w14:paraId="67902D24" w14:textId="77777777" w:rsidR="007966F6" w:rsidRPr="0055454B" w:rsidRDefault="007966F6" w:rsidP="00EA181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45EE84AE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A64DCDA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3A7988A3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37BAF34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1AFD3D80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002D28A7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5F7D3747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1BE89DD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5BBE12A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1D80186B" w14:textId="6D01DF29" w:rsidR="00A529D3" w:rsidRPr="00C964CE" w:rsidRDefault="00166EF9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12.01.2016 16:32</w:t>
      </w:r>
      <w:bookmarkStart w:id="1" w:name="_GoBack"/>
      <w:bookmarkEnd w:id="1"/>
    </w:p>
    <w:p w14:paraId="2823BD18" w14:textId="343994F1" w:rsidR="00773094" w:rsidRDefault="001F7B0C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1552</w:t>
      </w:r>
    </w:p>
    <w:p w14:paraId="5D723858" w14:textId="7E19FC3C" w:rsidR="00A529D3" w:rsidRPr="00C964CE" w:rsidRDefault="003924FE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C964CE">
        <w:rPr>
          <w:sz w:val="20"/>
          <w:szCs w:val="20"/>
        </w:rPr>
        <w:t>I.Mažuika</w:t>
      </w:r>
      <w:proofErr w:type="spellEnd"/>
      <w:r w:rsidR="00A529D3" w:rsidRPr="00C964CE">
        <w:rPr>
          <w:sz w:val="20"/>
          <w:szCs w:val="20"/>
        </w:rPr>
        <w:t>, 670</w:t>
      </w:r>
      <w:r w:rsidR="00D8573F" w:rsidRPr="00C964CE">
        <w:rPr>
          <w:sz w:val="20"/>
          <w:szCs w:val="20"/>
        </w:rPr>
        <w:t>95481</w:t>
      </w:r>
    </w:p>
    <w:p w14:paraId="01E87B23" w14:textId="77777777" w:rsidR="00A529D3" w:rsidRPr="00C964CE" w:rsidRDefault="00004CDA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10" w:history="1">
        <w:r w:rsidR="003341BD" w:rsidRPr="00C964CE">
          <w:rPr>
            <w:rStyle w:val="Hyperlink"/>
            <w:sz w:val="20"/>
            <w:szCs w:val="20"/>
          </w:rPr>
          <w:t>ieva.mazuika@fm.gov.lv</w:t>
        </w:r>
      </w:hyperlink>
    </w:p>
    <w:sectPr w:rsidR="00A529D3" w:rsidRPr="00C964CE" w:rsidSect="001C502F">
      <w:headerReference w:type="default" r:id="rId11"/>
      <w:footerReference w:type="default" r:id="rId12"/>
      <w:footerReference w:type="first" r:id="rId13"/>
      <w:pgSz w:w="11906" w:h="16838"/>
      <w:pgMar w:top="1134" w:right="141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6E10" w14:textId="77777777" w:rsidR="00004CDA" w:rsidRDefault="00004CDA" w:rsidP="001615B9">
      <w:pPr>
        <w:spacing w:after="0" w:line="240" w:lineRule="auto"/>
      </w:pPr>
      <w:r>
        <w:separator/>
      </w:r>
    </w:p>
  </w:endnote>
  <w:endnote w:type="continuationSeparator" w:id="0">
    <w:p w14:paraId="40DE1FC1" w14:textId="77777777" w:rsidR="00004CDA" w:rsidRDefault="00004CDA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1EB6" w14:textId="7757ED0E" w:rsidR="00D8573F" w:rsidRPr="00C964CE" w:rsidRDefault="00A24F1E" w:rsidP="00D8573F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FMAnot_12012016_groz_demin.docx</w:t>
    </w:r>
    <w:r>
      <w:rPr>
        <w:rFonts w:ascii="Times New Roman" w:hAnsi="Times New Roman"/>
        <w:sz w:val="20"/>
        <w:szCs w:val="20"/>
      </w:rPr>
      <w:fldChar w:fldCharType="end"/>
    </w:r>
    <w:r w:rsidR="00D8573F" w:rsidRPr="00C964CE">
      <w:rPr>
        <w:rFonts w:ascii="Times New Roman" w:hAnsi="Times New Roman"/>
        <w:sz w:val="20"/>
        <w:szCs w:val="20"/>
      </w:rPr>
      <w:t xml:space="preserve">; Ministru kabineta noteikumu </w:t>
    </w:r>
    <w:r w:rsidR="003341BD" w:rsidRPr="00C964CE">
      <w:rPr>
        <w:rFonts w:ascii="Times New Roman" w:hAnsi="Times New Roman"/>
        <w:sz w:val="20"/>
        <w:szCs w:val="20"/>
      </w:rPr>
      <w:t>projekta</w:t>
    </w:r>
    <w:r w:rsidR="00D8573F" w:rsidRPr="00C964CE">
      <w:rPr>
        <w:rFonts w:ascii="Times New Roman" w:hAnsi="Times New Roman"/>
        <w:sz w:val="20"/>
        <w:szCs w:val="20"/>
      </w:rPr>
      <w:t xml:space="preserve"> „</w:t>
    </w:r>
    <w:r w:rsidR="00C964CE" w:rsidRPr="00C964CE">
      <w:rPr>
        <w:rFonts w:ascii="Times New Roman" w:hAnsi="Times New Roman"/>
        <w:sz w:val="20"/>
        <w:szCs w:val="20"/>
      </w:rPr>
      <w:t>Grozījumi Ministru kabineta 2014.gada 2.decembra noteikumos Nr.740 “</w:t>
    </w:r>
    <w:proofErr w:type="spellStart"/>
    <w:r w:rsidR="00420910" w:rsidRPr="00C964CE">
      <w:rPr>
        <w:rFonts w:ascii="Times New Roman" w:hAnsi="Times New Roman"/>
        <w:i/>
        <w:sz w:val="20"/>
        <w:szCs w:val="20"/>
      </w:rPr>
      <w:t>De</w:t>
    </w:r>
    <w:proofErr w:type="spellEnd"/>
    <w:r w:rsidR="003341BD" w:rsidRPr="00C964CE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="003341BD" w:rsidRPr="00C964CE">
      <w:rPr>
        <w:rFonts w:ascii="Times New Roman" w:hAnsi="Times New Roman"/>
        <w:i/>
        <w:sz w:val="20"/>
        <w:szCs w:val="20"/>
      </w:rPr>
      <w:t>minimis</w:t>
    </w:r>
    <w:proofErr w:type="spellEnd"/>
    <w:r w:rsidR="003341BD" w:rsidRPr="00C964CE">
      <w:rPr>
        <w:rFonts w:ascii="Times New Roman" w:hAnsi="Times New Roman"/>
        <w:sz w:val="20"/>
        <w:szCs w:val="20"/>
      </w:rPr>
      <w:t xml:space="preserve"> atbalsta uzskaites un piešķiršanas kārtīb</w:t>
    </w:r>
    <w:r w:rsidR="00420910" w:rsidRPr="00C964CE">
      <w:rPr>
        <w:rFonts w:ascii="Times New Roman" w:hAnsi="Times New Roman"/>
        <w:sz w:val="20"/>
        <w:szCs w:val="20"/>
      </w:rPr>
      <w:t>a</w:t>
    </w:r>
    <w:r w:rsidR="003341BD" w:rsidRPr="00C964CE">
      <w:rPr>
        <w:rFonts w:ascii="Times New Roman" w:hAnsi="Times New Roman"/>
        <w:sz w:val="20"/>
        <w:szCs w:val="20"/>
      </w:rPr>
      <w:t xml:space="preserve"> un uzskaites veidlapu paraugi</w:t>
    </w:r>
    <w:r w:rsidR="00D8573F" w:rsidRPr="00C964CE">
      <w:rPr>
        <w:rFonts w:ascii="Times New Roman" w:hAnsi="Times New Roman"/>
        <w:sz w:val="20"/>
        <w:szCs w:val="20"/>
      </w:rPr>
      <w:t>”</w:t>
    </w:r>
    <w:r w:rsidR="00C964CE" w:rsidRPr="00C964CE">
      <w:rPr>
        <w:rFonts w:ascii="Times New Roman" w:hAnsi="Times New Roman"/>
        <w:sz w:val="20"/>
        <w:szCs w:val="20"/>
      </w:rPr>
      <w:t>”</w:t>
    </w:r>
    <w:r w:rsidR="00D8573F" w:rsidRPr="00C964CE">
      <w:rPr>
        <w:rFonts w:ascii="Times New Roman" w:hAnsi="Times New Roman"/>
        <w:sz w:val="20"/>
        <w:szCs w:val="20"/>
      </w:rPr>
      <w:t xml:space="preserve"> </w:t>
    </w:r>
    <w:r w:rsidR="00D8573F" w:rsidRPr="00C964CE">
      <w:rPr>
        <w:rFonts w:ascii="Times New Roman" w:hAnsi="Times New Roman"/>
        <w:bCs/>
        <w:color w:val="000000"/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705B" w14:textId="5B5286A9" w:rsidR="00A529D3" w:rsidRPr="00C964CE" w:rsidRDefault="00A24F1E" w:rsidP="00C964CE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FMAnot_12012016_groz_demin.docx</w:t>
    </w:r>
    <w:r>
      <w:rPr>
        <w:rFonts w:ascii="Times New Roman" w:hAnsi="Times New Roman"/>
        <w:sz w:val="20"/>
        <w:szCs w:val="20"/>
      </w:rPr>
      <w:fldChar w:fldCharType="end"/>
    </w:r>
    <w:r w:rsidR="00C964CE" w:rsidRPr="00C964CE">
      <w:rPr>
        <w:rFonts w:ascii="Times New Roman" w:hAnsi="Times New Roman"/>
        <w:sz w:val="20"/>
        <w:szCs w:val="20"/>
      </w:rPr>
      <w:t>; Ministru kabineta noteikumu projekta „Grozījumi Ministru kabineta 2014.gada 2.decembra noteikumos Nr.740 “</w:t>
    </w:r>
    <w:proofErr w:type="spellStart"/>
    <w:r w:rsidR="00C964CE" w:rsidRPr="00C964CE">
      <w:rPr>
        <w:rFonts w:ascii="Times New Roman" w:hAnsi="Times New Roman"/>
        <w:i/>
        <w:sz w:val="20"/>
        <w:szCs w:val="20"/>
      </w:rPr>
      <w:t>De</w:t>
    </w:r>
    <w:proofErr w:type="spellEnd"/>
    <w:r w:rsidR="00C964CE" w:rsidRPr="00C964CE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="00C964CE" w:rsidRPr="00C964CE">
      <w:rPr>
        <w:rFonts w:ascii="Times New Roman" w:hAnsi="Times New Roman"/>
        <w:i/>
        <w:sz w:val="20"/>
        <w:szCs w:val="20"/>
      </w:rPr>
      <w:t>minimis</w:t>
    </w:r>
    <w:proofErr w:type="spellEnd"/>
    <w:r w:rsidR="00C964CE" w:rsidRPr="00C964CE">
      <w:rPr>
        <w:rFonts w:ascii="Times New Roman" w:hAnsi="Times New Roman"/>
        <w:sz w:val="20"/>
        <w:szCs w:val="20"/>
      </w:rPr>
      <w:t xml:space="preserve"> atbalsta uzskaites un piešķiršanas kārtība un uzskaites veidlapu paraugi”” </w:t>
    </w:r>
    <w:r w:rsidR="00C964CE">
      <w:rPr>
        <w:rFonts w:ascii="Times New Roman" w:hAnsi="Times New Roman"/>
        <w:bCs/>
        <w:color w:val="000000"/>
        <w:sz w:val="20"/>
        <w:szCs w:val="20"/>
      </w:rPr>
      <w:t>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C70E" w14:textId="77777777" w:rsidR="00004CDA" w:rsidRDefault="00004CDA" w:rsidP="001615B9">
      <w:pPr>
        <w:spacing w:after="0" w:line="240" w:lineRule="auto"/>
      </w:pPr>
      <w:r>
        <w:separator/>
      </w:r>
    </w:p>
  </w:footnote>
  <w:footnote w:type="continuationSeparator" w:id="0">
    <w:p w14:paraId="7AD76B51" w14:textId="77777777" w:rsidR="00004CDA" w:rsidRDefault="00004CDA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08883" w14:textId="77777777" w:rsidR="00DF190B" w:rsidRDefault="00DF190B">
        <w:pPr>
          <w:pStyle w:val="Header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166EF9">
          <w:rPr>
            <w:rFonts w:ascii="Times New Roman" w:hAnsi="Times New Roman"/>
            <w:noProof/>
            <w:sz w:val="28"/>
            <w:szCs w:val="28"/>
          </w:rPr>
          <w:t>5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9C1E47A" w14:textId="77777777" w:rsidR="00DF190B" w:rsidRDefault="00DF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F"/>
    <w:rsid w:val="00002D40"/>
    <w:rsid w:val="00004CDA"/>
    <w:rsid w:val="00007C73"/>
    <w:rsid w:val="000101F3"/>
    <w:rsid w:val="00023C06"/>
    <w:rsid w:val="00027E38"/>
    <w:rsid w:val="00054736"/>
    <w:rsid w:val="00057603"/>
    <w:rsid w:val="00062DF9"/>
    <w:rsid w:val="00062E4C"/>
    <w:rsid w:val="00067245"/>
    <w:rsid w:val="00083CCB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68B4"/>
    <w:rsid w:val="000D018D"/>
    <w:rsid w:val="000D18CA"/>
    <w:rsid w:val="000E58E5"/>
    <w:rsid w:val="000E59CC"/>
    <w:rsid w:val="000F2271"/>
    <w:rsid w:val="00110C02"/>
    <w:rsid w:val="001164B0"/>
    <w:rsid w:val="001237D3"/>
    <w:rsid w:val="00125033"/>
    <w:rsid w:val="00134F5A"/>
    <w:rsid w:val="001615B9"/>
    <w:rsid w:val="00166EF9"/>
    <w:rsid w:val="001675FD"/>
    <w:rsid w:val="00173299"/>
    <w:rsid w:val="001843F3"/>
    <w:rsid w:val="001B3E83"/>
    <w:rsid w:val="001B45E1"/>
    <w:rsid w:val="001B6149"/>
    <w:rsid w:val="001C502F"/>
    <w:rsid w:val="001D41F2"/>
    <w:rsid w:val="001D47C1"/>
    <w:rsid w:val="001D495A"/>
    <w:rsid w:val="001E452A"/>
    <w:rsid w:val="001F7B0C"/>
    <w:rsid w:val="00202516"/>
    <w:rsid w:val="00222D46"/>
    <w:rsid w:val="0022628D"/>
    <w:rsid w:val="00231264"/>
    <w:rsid w:val="00231D3A"/>
    <w:rsid w:val="002456FC"/>
    <w:rsid w:val="00252E53"/>
    <w:rsid w:val="00260537"/>
    <w:rsid w:val="002951E5"/>
    <w:rsid w:val="002A4474"/>
    <w:rsid w:val="002B3237"/>
    <w:rsid w:val="002B5F71"/>
    <w:rsid w:val="002C028D"/>
    <w:rsid w:val="002C0FCC"/>
    <w:rsid w:val="002D4477"/>
    <w:rsid w:val="002E258B"/>
    <w:rsid w:val="002E63F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77FC"/>
    <w:rsid w:val="00364FDC"/>
    <w:rsid w:val="003731F1"/>
    <w:rsid w:val="00391BD5"/>
    <w:rsid w:val="003924FE"/>
    <w:rsid w:val="003A3F3C"/>
    <w:rsid w:val="003A6AB0"/>
    <w:rsid w:val="003C1BB5"/>
    <w:rsid w:val="003D002A"/>
    <w:rsid w:val="003D185C"/>
    <w:rsid w:val="003D79A3"/>
    <w:rsid w:val="00406259"/>
    <w:rsid w:val="004151D3"/>
    <w:rsid w:val="0041774E"/>
    <w:rsid w:val="00420910"/>
    <w:rsid w:val="00421937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A0E0C"/>
    <w:rsid w:val="004C3E36"/>
    <w:rsid w:val="004D3509"/>
    <w:rsid w:val="004D7489"/>
    <w:rsid w:val="004E0F41"/>
    <w:rsid w:val="004E7FA8"/>
    <w:rsid w:val="004F2237"/>
    <w:rsid w:val="004F3292"/>
    <w:rsid w:val="004F7645"/>
    <w:rsid w:val="004F77E2"/>
    <w:rsid w:val="00504DCD"/>
    <w:rsid w:val="00507196"/>
    <w:rsid w:val="00507E4D"/>
    <w:rsid w:val="0051744A"/>
    <w:rsid w:val="005224CF"/>
    <w:rsid w:val="00535E99"/>
    <w:rsid w:val="00536ADB"/>
    <w:rsid w:val="00546CAA"/>
    <w:rsid w:val="005510E6"/>
    <w:rsid w:val="0055454B"/>
    <w:rsid w:val="00565B96"/>
    <w:rsid w:val="005719DE"/>
    <w:rsid w:val="005725DC"/>
    <w:rsid w:val="00574783"/>
    <w:rsid w:val="005754AF"/>
    <w:rsid w:val="00577D3A"/>
    <w:rsid w:val="005817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E024B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71CA0"/>
    <w:rsid w:val="0067487E"/>
    <w:rsid w:val="006926E0"/>
    <w:rsid w:val="00692D38"/>
    <w:rsid w:val="006969F4"/>
    <w:rsid w:val="006A27DC"/>
    <w:rsid w:val="006A29D0"/>
    <w:rsid w:val="006A55E2"/>
    <w:rsid w:val="006A5910"/>
    <w:rsid w:val="006C3547"/>
    <w:rsid w:val="006C4941"/>
    <w:rsid w:val="006D0302"/>
    <w:rsid w:val="006D0AF4"/>
    <w:rsid w:val="006D14C5"/>
    <w:rsid w:val="006D65D0"/>
    <w:rsid w:val="006E10DB"/>
    <w:rsid w:val="006E69F9"/>
    <w:rsid w:val="00711E3B"/>
    <w:rsid w:val="007177BA"/>
    <w:rsid w:val="0074067B"/>
    <w:rsid w:val="00740AA7"/>
    <w:rsid w:val="007418B5"/>
    <w:rsid w:val="007453E5"/>
    <w:rsid w:val="0075065D"/>
    <w:rsid w:val="00755F19"/>
    <w:rsid w:val="00757F5D"/>
    <w:rsid w:val="00763068"/>
    <w:rsid w:val="0076486E"/>
    <w:rsid w:val="00773094"/>
    <w:rsid w:val="007738BE"/>
    <w:rsid w:val="007747B8"/>
    <w:rsid w:val="0078455F"/>
    <w:rsid w:val="007875D5"/>
    <w:rsid w:val="007910B0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12D81"/>
    <w:rsid w:val="0081498A"/>
    <w:rsid w:val="008170CE"/>
    <w:rsid w:val="00832359"/>
    <w:rsid w:val="00832FD4"/>
    <w:rsid w:val="00835EC1"/>
    <w:rsid w:val="0084602A"/>
    <w:rsid w:val="00850050"/>
    <w:rsid w:val="00854907"/>
    <w:rsid w:val="00870A31"/>
    <w:rsid w:val="008872BF"/>
    <w:rsid w:val="0089414F"/>
    <w:rsid w:val="008947AD"/>
    <w:rsid w:val="008978AC"/>
    <w:rsid w:val="00897FB2"/>
    <w:rsid w:val="008B32FB"/>
    <w:rsid w:val="008B6B20"/>
    <w:rsid w:val="008C2FFE"/>
    <w:rsid w:val="008D03EB"/>
    <w:rsid w:val="008D2178"/>
    <w:rsid w:val="008D2D4F"/>
    <w:rsid w:val="008D50AE"/>
    <w:rsid w:val="008D5AB3"/>
    <w:rsid w:val="008E29BD"/>
    <w:rsid w:val="008E5C65"/>
    <w:rsid w:val="008F68B2"/>
    <w:rsid w:val="008F7FE8"/>
    <w:rsid w:val="009037F1"/>
    <w:rsid w:val="00904354"/>
    <w:rsid w:val="00905332"/>
    <w:rsid w:val="0092444B"/>
    <w:rsid w:val="00935341"/>
    <w:rsid w:val="009358F9"/>
    <w:rsid w:val="009377CF"/>
    <w:rsid w:val="00945641"/>
    <w:rsid w:val="009520FA"/>
    <w:rsid w:val="009631E0"/>
    <w:rsid w:val="009641FA"/>
    <w:rsid w:val="0096528E"/>
    <w:rsid w:val="00973D40"/>
    <w:rsid w:val="009848E7"/>
    <w:rsid w:val="00995BCC"/>
    <w:rsid w:val="009D117D"/>
    <w:rsid w:val="009D1634"/>
    <w:rsid w:val="009D5BAB"/>
    <w:rsid w:val="009F1135"/>
    <w:rsid w:val="00A24F1E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0826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43A1"/>
    <w:rsid w:val="00AF6642"/>
    <w:rsid w:val="00B10193"/>
    <w:rsid w:val="00B13CF4"/>
    <w:rsid w:val="00B14BEF"/>
    <w:rsid w:val="00B257FE"/>
    <w:rsid w:val="00B277E3"/>
    <w:rsid w:val="00B37A43"/>
    <w:rsid w:val="00B416E0"/>
    <w:rsid w:val="00B43410"/>
    <w:rsid w:val="00B447B4"/>
    <w:rsid w:val="00B47785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72AE"/>
    <w:rsid w:val="00BE2116"/>
    <w:rsid w:val="00BE679D"/>
    <w:rsid w:val="00BE711E"/>
    <w:rsid w:val="00BE7A16"/>
    <w:rsid w:val="00BF3A3A"/>
    <w:rsid w:val="00C02924"/>
    <w:rsid w:val="00C03790"/>
    <w:rsid w:val="00C157FF"/>
    <w:rsid w:val="00C34950"/>
    <w:rsid w:val="00C35AC3"/>
    <w:rsid w:val="00C403E9"/>
    <w:rsid w:val="00C6216B"/>
    <w:rsid w:val="00C64802"/>
    <w:rsid w:val="00C76201"/>
    <w:rsid w:val="00C83F5C"/>
    <w:rsid w:val="00C87BB2"/>
    <w:rsid w:val="00C909D3"/>
    <w:rsid w:val="00C964CE"/>
    <w:rsid w:val="00C9770B"/>
    <w:rsid w:val="00C97F52"/>
    <w:rsid w:val="00CC0C54"/>
    <w:rsid w:val="00CC58E2"/>
    <w:rsid w:val="00CD7C2C"/>
    <w:rsid w:val="00CE1593"/>
    <w:rsid w:val="00CE5F30"/>
    <w:rsid w:val="00CE7B80"/>
    <w:rsid w:val="00D065CF"/>
    <w:rsid w:val="00D13B50"/>
    <w:rsid w:val="00D1597B"/>
    <w:rsid w:val="00D204EC"/>
    <w:rsid w:val="00D3181C"/>
    <w:rsid w:val="00D354DA"/>
    <w:rsid w:val="00D43CFD"/>
    <w:rsid w:val="00D46EDE"/>
    <w:rsid w:val="00D515A1"/>
    <w:rsid w:val="00D57E64"/>
    <w:rsid w:val="00D6476E"/>
    <w:rsid w:val="00D74FF7"/>
    <w:rsid w:val="00D75701"/>
    <w:rsid w:val="00D8146E"/>
    <w:rsid w:val="00D845AD"/>
    <w:rsid w:val="00D8573F"/>
    <w:rsid w:val="00D96F80"/>
    <w:rsid w:val="00DB164F"/>
    <w:rsid w:val="00DB7DFB"/>
    <w:rsid w:val="00DC56D9"/>
    <w:rsid w:val="00DD2034"/>
    <w:rsid w:val="00DD2A6D"/>
    <w:rsid w:val="00DD455C"/>
    <w:rsid w:val="00DE3174"/>
    <w:rsid w:val="00DE456B"/>
    <w:rsid w:val="00DF190B"/>
    <w:rsid w:val="00E05585"/>
    <w:rsid w:val="00E105DB"/>
    <w:rsid w:val="00E268DB"/>
    <w:rsid w:val="00E26B11"/>
    <w:rsid w:val="00E30BA1"/>
    <w:rsid w:val="00E32AD6"/>
    <w:rsid w:val="00E4228A"/>
    <w:rsid w:val="00E51FBC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1814"/>
    <w:rsid w:val="00EA26D0"/>
    <w:rsid w:val="00EB061E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25464"/>
    <w:rsid w:val="00F25ED0"/>
    <w:rsid w:val="00F25F3F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0FB8"/>
    <w:rsid w:val="00F918BA"/>
    <w:rsid w:val="00F97C58"/>
    <w:rsid w:val="00FB06C5"/>
    <w:rsid w:val="00FB34B3"/>
    <w:rsid w:val="00FB69D4"/>
    <w:rsid w:val="00FC122D"/>
    <w:rsid w:val="00FD30EB"/>
    <w:rsid w:val="00FD4C4A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9495"/>
  <w15:docId w15:val="{BADDD8E8-12D9-4527-9087-7E3188C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Normal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Normal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96F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Normal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DefaultParagraphFont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tiesibu_aktu_projekti/komercdarbibas_atbalsta_kontroles_poli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va.mazuika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competition/consultations/2012_de_minimis/index_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2EDD-EABC-4942-AF96-78CAEA8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8234</Words>
  <Characters>4694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cp:keywords/>
  <dc:description>67095481, ieva.mazuika@fm.gov.lv</dc:description>
  <cp:lastModifiedBy>Gunta Puidīte</cp:lastModifiedBy>
  <cp:revision>40</cp:revision>
  <cp:lastPrinted>2014-10-20T12:53:00Z</cp:lastPrinted>
  <dcterms:created xsi:type="dcterms:W3CDTF">2014-09-05T13:53:00Z</dcterms:created>
  <dcterms:modified xsi:type="dcterms:W3CDTF">2016-01-14T06:14:00Z</dcterms:modified>
  <cp:category>Noteikumu projekta anotācija</cp:category>
</cp:coreProperties>
</file>