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7" w:rsidRPr="0037455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7455B">
        <w:rPr>
          <w:rFonts w:ascii="Times New Roman" w:hAnsi="Times New Roman"/>
          <w:b/>
          <w:sz w:val="24"/>
          <w:szCs w:val="24"/>
        </w:rPr>
        <w:t>Ministru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kabineta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noteikumu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projekta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37455B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Grozījum</w:t>
      </w:r>
      <w:r w:rsidR="004108E9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Ministru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kabineta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20</w:t>
      </w:r>
      <w:r w:rsidR="0037455B" w:rsidRPr="0037455B">
        <w:rPr>
          <w:rFonts w:ascii="Times New Roman" w:hAnsi="Times New Roman"/>
          <w:b/>
          <w:sz w:val="24"/>
          <w:szCs w:val="24"/>
        </w:rPr>
        <w:t>09</w:t>
      </w:r>
      <w:r w:rsidRPr="0037455B">
        <w:rPr>
          <w:rFonts w:ascii="Times New Roman" w:hAnsi="Times New Roman"/>
          <w:b/>
          <w:sz w:val="24"/>
          <w:szCs w:val="24"/>
        </w:rPr>
        <w:t xml:space="preserve">.gada </w:t>
      </w:r>
      <w:r w:rsidR="0037455B" w:rsidRPr="0037455B">
        <w:rPr>
          <w:rFonts w:ascii="Times New Roman" w:hAnsi="Times New Roman"/>
          <w:b/>
          <w:sz w:val="24"/>
          <w:szCs w:val="24"/>
        </w:rPr>
        <w:t>22.septembra</w:t>
      </w:r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noteikumos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Nr.</w:t>
      </w:r>
      <w:r w:rsidR="0037455B" w:rsidRPr="0037455B">
        <w:rPr>
          <w:rFonts w:ascii="Times New Roman" w:hAnsi="Times New Roman"/>
          <w:b/>
          <w:sz w:val="24"/>
          <w:szCs w:val="24"/>
        </w:rPr>
        <w:t>1068</w:t>
      </w:r>
      <w:r w:rsidRPr="0037455B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37455B" w:rsidRPr="004108E9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oteikumi</w:t>
      </w:r>
      <w:proofErr w:type="spellEnd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par </w:t>
      </w:r>
      <w:proofErr w:type="spellStart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būvdarbu</w:t>
      </w:r>
      <w:proofErr w:type="spellEnd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koncesiju</w:t>
      </w:r>
      <w:proofErr w:type="spellEnd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līgumcenu</w:t>
      </w:r>
      <w:proofErr w:type="spellEnd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7455B" w:rsidRPr="004108E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robežām</w:t>
      </w:r>
      <w:proofErr w:type="spellEnd"/>
      <w:r w:rsidRPr="004108E9">
        <w:rPr>
          <w:rFonts w:ascii="Times New Roman" w:hAnsi="Times New Roman"/>
          <w:b/>
          <w:color w:val="000000" w:themeColor="text1"/>
          <w:sz w:val="24"/>
          <w:szCs w:val="24"/>
        </w:rPr>
        <w:t>””</w:t>
      </w:r>
      <w:bookmarkEnd w:id="0"/>
      <w:bookmarkEnd w:id="1"/>
      <w:bookmarkEnd w:id="2"/>
      <w:r w:rsidRPr="004108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08E9">
        <w:rPr>
          <w:rFonts w:ascii="Times New Roman" w:hAnsi="Times New Roman"/>
          <w:b/>
          <w:color w:val="000000" w:themeColor="text1"/>
          <w:sz w:val="24"/>
          <w:szCs w:val="24"/>
        </w:rPr>
        <w:t>sākotnējās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ietekmes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novērtējuma</w:t>
      </w:r>
      <w:proofErr w:type="spellEnd"/>
      <w:r w:rsidRPr="00374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55B">
        <w:rPr>
          <w:rFonts w:ascii="Times New Roman" w:hAnsi="Times New Roman"/>
          <w:b/>
          <w:sz w:val="24"/>
          <w:szCs w:val="24"/>
        </w:rPr>
        <w:t>ziņojums</w:t>
      </w:r>
      <w:proofErr w:type="spellEnd"/>
    </w:p>
    <w:p w:rsidR="006B2EB6" w:rsidRPr="00310E53" w:rsidRDefault="001832F7" w:rsidP="00310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55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37455B">
        <w:rPr>
          <w:rFonts w:ascii="Times New Roman" w:hAnsi="Times New Roman"/>
          <w:b/>
          <w:sz w:val="24"/>
          <w:szCs w:val="24"/>
        </w:rPr>
        <w:t>anotācija</w:t>
      </w:r>
      <w:proofErr w:type="spellEnd"/>
      <w:proofErr w:type="gramEnd"/>
      <w:r w:rsidRPr="0037455B">
        <w:rPr>
          <w:rFonts w:ascii="Times New Roman" w:hAnsi="Times New Roman"/>
          <w:b/>
          <w:sz w:val="24"/>
          <w:szCs w:val="24"/>
        </w:rPr>
        <w:t>)</w:t>
      </w:r>
    </w:p>
    <w:p w:rsidR="006B2EB6" w:rsidRPr="002A0DAB" w:rsidRDefault="006B2EB6" w:rsidP="006B2EB6">
      <w:pPr>
        <w:widowControl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923"/>
        <w:gridCol w:w="6035"/>
      </w:tblGrid>
      <w:tr w:rsidR="00244C96" w:rsidRPr="002A0DAB" w:rsidTr="005533E2">
        <w:trPr>
          <w:trHeight w:val="405"/>
        </w:trPr>
        <w:tc>
          <w:tcPr>
            <w:tcW w:w="94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244C96" w:rsidRPr="002A0DAB" w:rsidTr="005533E2">
        <w:trPr>
          <w:trHeight w:val="40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F7758" w:rsidRDefault="009F7758" w:rsidP="009F77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Eiropas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Parlamenta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un Padomes 2004.gada 31.marta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direktīva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2004/18/EK par to,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kā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koordinēt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būvdarbu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valsts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piegādes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valsts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pakalpojumu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valsts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līgumu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slēgšanas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tiesību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piešķiršanas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168C">
              <w:rPr>
                <w:rFonts w:ascii="Times New Roman" w:hAnsi="Times New Roman"/>
                <w:sz w:val="24"/>
              </w:rPr>
              <w:t>procedūru</w:t>
            </w:r>
            <w:proofErr w:type="spellEnd"/>
            <w:r w:rsidRPr="0062168C">
              <w:rPr>
                <w:rFonts w:ascii="Times New Roman" w:hAnsi="Times New Roman"/>
                <w:sz w:val="24"/>
              </w:rPr>
              <w:t xml:space="preserve">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.pantu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pārskata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2004/18/EK 7.pantā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13" w:rsidRPr="004053FE" w:rsidRDefault="009F7758" w:rsidP="00773B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regul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Nr.2015/2342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Direktīvu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grozītas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Direktīv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7.pantā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Publiskās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56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otrajā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deleģējums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pamatojoties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starptautiskajām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saistībām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08B">
              <w:rPr>
                <w:rFonts w:ascii="Times New Roman" w:hAnsi="Times New Roman"/>
                <w:sz w:val="24"/>
                <w:szCs w:val="24"/>
              </w:rPr>
              <w:t>jāievēro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publiskajam</w:t>
            </w:r>
            <w:proofErr w:type="spellEnd"/>
            <w:r w:rsidR="0077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partnerim</w:t>
            </w:r>
            <w:proofErr w:type="spellEnd"/>
            <w:r w:rsidRPr="0045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3" w:name="_GoBack"/>
        <w:bookmarkEnd w:id="3"/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  <w:p w:rsidR="00E52D2A" w:rsidRDefault="00E52D2A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P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E52D2A" w:rsidRDefault="00E52D2A" w:rsidP="00E52D2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B2EB6" w:rsidRPr="00E52D2A" w:rsidRDefault="006B2EB6" w:rsidP="00E52D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53FE" w:rsidRDefault="004053FE" w:rsidP="004053FE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lastRenderedPageBreak/>
              <w:t>Publiskās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56</w:t>
            </w:r>
            <w:r w:rsidR="0066388F" w:rsidRPr="004053FE">
              <w:rPr>
                <w:rFonts w:ascii="Times New Roman" w:hAnsi="Times New Roman"/>
                <w:sz w:val="24"/>
                <w:szCs w:val="24"/>
              </w:rPr>
              <w:t>.pant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otrajā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noteikts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pilnvarojums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kabinetam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77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koncesijas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pamatojoties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starptautiskajām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saistībām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="0066388F" w:rsidRPr="004053FE">
              <w:rPr>
                <w:rFonts w:ascii="Times New Roman" w:hAnsi="Times New Roman"/>
                <w:sz w:val="24"/>
                <w:szCs w:val="24"/>
              </w:rPr>
              <w:t>ām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jāievēro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publiskajam</w:t>
            </w:r>
            <w:proofErr w:type="spellEnd"/>
            <w:r w:rsidR="0077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partnerim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Publiskās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56.panta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otrā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kabinets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77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koncesijas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vismaz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reizi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divos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gados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mēneša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laikā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tam,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Komisija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paziņojusi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Oficiālajā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Vēstnesī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attiecīgās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3FE" w:rsidRDefault="0066388F" w:rsidP="004053FE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Šobrīd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>piemērojamās</w:t>
            </w:r>
            <w:proofErr w:type="spellEnd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t>būvdarbu</w:t>
            </w:r>
            <w:proofErr w:type="spellEnd"/>
            <w:r w:rsidR="00773B06">
              <w:t xml:space="preserve"> </w:t>
            </w:r>
            <w:proofErr w:type="spellStart"/>
            <w:r w:rsidR="00773B06">
              <w:t>koncesijas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>noteiktas</w:t>
            </w:r>
            <w:proofErr w:type="spellEnd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Padomes 2004.gada 31.marta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Direktīvai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2004/18/EK par to,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koordinēt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piegādes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procedūru</w:t>
            </w:r>
            <w:proofErr w:type="spellEnd"/>
            <w:r w:rsidR="009F7758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un</w:t>
            </w:r>
            <w:r w:rsidR="009F7758" w:rsidRPr="00C2703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bCs/>
                <w:sz w:val="24"/>
                <w:szCs w:val="24"/>
              </w:rPr>
              <w:t>Komisijas</w:t>
            </w:r>
            <w:proofErr w:type="spellEnd"/>
            <w:r w:rsidR="009F7758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2013.gada 13.decembra </w:t>
            </w:r>
            <w:proofErr w:type="spellStart"/>
            <w:r w:rsidR="009F7758" w:rsidRPr="002A0DAB">
              <w:rPr>
                <w:rFonts w:ascii="Times New Roman" w:hAnsi="Times New Roman"/>
                <w:bCs/>
                <w:sz w:val="24"/>
                <w:szCs w:val="24"/>
              </w:rPr>
              <w:t>regula</w:t>
            </w:r>
            <w:r w:rsidR="00091FC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="009F7758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Nr.1336/2013,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2004/17/EK, 2004/18/EK un 2009/81/EK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2A0DAB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="009F7758"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3FE" w:rsidRDefault="007A34E4" w:rsidP="004053FE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3FE">
              <w:rPr>
                <w:rFonts w:ascii="Times New Roman" w:hAnsi="Times New Roman"/>
                <w:sz w:val="24"/>
                <w:szCs w:val="24"/>
              </w:rPr>
              <w:t xml:space="preserve">2015.gada </w:t>
            </w:r>
            <w:r w:rsidR="00FF4D98" w:rsidRPr="004053FE">
              <w:rPr>
                <w:rFonts w:ascii="Times New Roman" w:hAnsi="Times New Roman"/>
                <w:sz w:val="24"/>
                <w:szCs w:val="24"/>
              </w:rPr>
              <w:t>1</w:t>
            </w:r>
            <w:r w:rsidR="00426042">
              <w:rPr>
                <w:rFonts w:ascii="Times New Roman" w:hAnsi="Times New Roman"/>
                <w:sz w:val="24"/>
                <w:szCs w:val="24"/>
              </w:rPr>
              <w:t>6</w:t>
            </w:r>
            <w:r w:rsidR="00FF4D98" w:rsidRPr="004053FE">
              <w:rPr>
                <w:rFonts w:ascii="Times New Roman" w:hAnsi="Times New Roman"/>
                <w:sz w:val="24"/>
                <w:szCs w:val="24"/>
              </w:rPr>
              <w:t>.decembrī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Savienības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Oficiālajā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Vēstnesī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FF4D98" w:rsidRPr="004053FE">
              <w:rPr>
                <w:rFonts w:ascii="Times New Roman" w:hAnsi="Times New Roman"/>
                <w:sz w:val="24"/>
                <w:szCs w:val="24"/>
              </w:rPr>
              <w:t>30</w:t>
            </w:r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.numurā)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publicēta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2015.gada </w:t>
            </w:r>
            <w:r w:rsidR="00FF4D98" w:rsidRPr="004053FE">
              <w:rPr>
                <w:rFonts w:ascii="Times New Roman" w:hAnsi="Times New Roman"/>
                <w:sz w:val="24"/>
                <w:szCs w:val="24"/>
              </w:rPr>
              <w:t>15.decembra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Nr.2015/</w:t>
            </w:r>
            <w:r w:rsidR="00FF4D98" w:rsidRPr="004053FE">
              <w:rPr>
                <w:rFonts w:ascii="Times New Roman" w:hAnsi="Times New Roman"/>
                <w:sz w:val="24"/>
                <w:szCs w:val="24"/>
              </w:rPr>
              <w:t>234</w:t>
            </w:r>
            <w:r w:rsidR="0066388F" w:rsidRPr="004053FE">
              <w:rPr>
                <w:rFonts w:ascii="Times New Roman" w:hAnsi="Times New Roman"/>
                <w:sz w:val="24"/>
                <w:szCs w:val="24"/>
              </w:rPr>
              <w:t>2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Direktīvu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="0066388F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88F" w:rsidRPr="004053FE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="00CF1D6C" w:rsidRPr="00405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>piemērojamās</w:t>
            </w:r>
            <w:proofErr w:type="spellEnd"/>
            <w:r w:rsidR="004053FE" w:rsidRPr="004053FE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koncesijas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mainītas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lastRenderedPageBreak/>
              <w:t>nepieciešams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veikt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>
              <w:rPr>
                <w:rFonts w:ascii="Times New Roman" w:hAnsi="Times New Roman"/>
                <w:sz w:val="24"/>
                <w:szCs w:val="24"/>
              </w:rPr>
              <w:t>grozījumus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Ministru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kabineta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2009.gada 22.septembra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noteikumos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Nr.1068 </w:t>
            </w:r>
            <w:r w:rsidR="009F7758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Noteikumi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par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būvdarbu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koncesiju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līgumcenu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ām</w:t>
            </w:r>
            <w:proofErr w:type="spellEnd"/>
            <w:r w:rsidR="004053FE" w:rsidRPr="004053FE">
              <w:rPr>
                <w:rFonts w:ascii="Times New Roman" w:hAnsi="Times New Roman"/>
                <w:bCs/>
                <w:sz w:val="24"/>
                <w:szCs w:val="24"/>
              </w:rPr>
              <w:t>”.</w:t>
            </w:r>
          </w:p>
          <w:p w:rsidR="00CF1D6C" w:rsidRPr="005945A3" w:rsidRDefault="004053FE" w:rsidP="00A7005D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tiesiskais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regulējums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precizēt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koncesiju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Publiskās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56.panta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pirmajā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minētajā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gadījumā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59.panta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otrajā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minētajā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gadījumā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nosakot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vismaz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5 225 000 </w:t>
            </w:r>
            <w:r w:rsidRPr="004053F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šobrīd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5 186 00 </w:t>
            </w:r>
            <w:r w:rsidRPr="009F775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>).</w:t>
            </w:r>
            <w:r w:rsidR="005945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Finanšu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ministrija.</w:t>
            </w:r>
          </w:p>
        </w:tc>
      </w:tr>
      <w:tr w:rsidR="00244C96" w:rsidRPr="002A0DAB" w:rsidTr="005533E2"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FF4D9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244C96" w:rsidRPr="002A0DAB" w:rsidTr="005533E2">
        <w:trPr>
          <w:trHeight w:val="128"/>
        </w:trPr>
        <w:tc>
          <w:tcPr>
            <w:tcW w:w="94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B2EB6" w:rsidRPr="002A0DAB" w:rsidRDefault="006B2EB6" w:rsidP="00244C96">
            <w:pPr>
              <w:widowControl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4C96" w:rsidRPr="002A0DAB" w:rsidTr="005533E2">
        <w:trPr>
          <w:trHeight w:val="555"/>
        </w:trPr>
        <w:tc>
          <w:tcPr>
            <w:tcW w:w="94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Sabiedrības </w:t>
            </w:r>
            <w:proofErr w:type="spellStart"/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mērķgrupas</w:t>
            </w:r>
            <w:proofErr w:type="spellEnd"/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53FE" w:rsidRPr="004053FE" w:rsidRDefault="004053FE" w:rsidP="00405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Publiskās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56.panta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pirmajai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daļai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noteiktās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koncesijas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procedūras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59.panta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otrajai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daļai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noteiktie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privātie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partneri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EB6" w:rsidRPr="002A0DAB" w:rsidRDefault="004053FE" w:rsidP="004053F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Kopējo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skaitu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noteikt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iespējams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privātais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partneris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var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būt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gan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fiziskas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gan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juridiskas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personas,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tajā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skaitā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 xml:space="preserve"> personas no </w:t>
            </w:r>
            <w:proofErr w:type="spellStart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ārvalstīm</w:t>
            </w:r>
            <w:proofErr w:type="spellEnd"/>
            <w:r w:rsidRPr="004053FE">
              <w:rPr>
                <w:rFonts w:ascii="Times New Roman" w:eastAsia="EUAlbertina_Bold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562FB" w:rsidRPr="002A0DAB" w:rsidRDefault="00DE30DB" w:rsidP="004053FE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Administratīvais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slogs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nemainās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131565" w:rsidP="00EB3F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5533E2">
        <w:trPr>
          <w:trHeight w:val="34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364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2"/>
        <w:gridCol w:w="8"/>
        <w:gridCol w:w="467"/>
        <w:gridCol w:w="644"/>
        <w:gridCol w:w="1268"/>
        <w:gridCol w:w="622"/>
        <w:gridCol w:w="1363"/>
        <w:gridCol w:w="2163"/>
        <w:gridCol w:w="2799"/>
      </w:tblGrid>
      <w:tr w:rsidR="00244C96" w:rsidRPr="002A0DAB" w:rsidTr="00C927EF"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left="77" w:hanging="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6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53FE" w:rsidRPr="004053FE" w:rsidRDefault="00DF5F9F" w:rsidP="004053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Padomes 2004.gada 31.marta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direktīva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2004/18/EK par to,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koordinēt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būvdarbu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piegādes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procedūru</w:t>
            </w:r>
            <w:proofErr w:type="spellEnd"/>
            <w:r w:rsidR="00136837" w:rsidRPr="004053FE">
              <w:rPr>
                <w:rFonts w:ascii="Times New Roman" w:hAnsi="Times New Roman"/>
                <w:sz w:val="24"/>
                <w:szCs w:val="24"/>
              </w:rPr>
              <w:t>.</w:t>
            </w:r>
            <w:r w:rsidR="00131565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565" w:rsidRPr="004053FE">
              <w:rPr>
                <w:rFonts w:ascii="Times New Roman" w:hAnsi="Times New Roman"/>
                <w:sz w:val="24"/>
                <w:szCs w:val="24"/>
              </w:rPr>
              <w:t>Minētā</w:t>
            </w:r>
            <w:proofErr w:type="spellEnd"/>
            <w:r w:rsidR="00131565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565" w:rsidRPr="004053FE">
              <w:rPr>
                <w:rFonts w:ascii="Times New Roman" w:hAnsi="Times New Roman"/>
                <w:sz w:val="24"/>
                <w:szCs w:val="24"/>
              </w:rPr>
              <w:t>Direktīva</w:t>
            </w:r>
            <w:proofErr w:type="spellEnd"/>
            <w:r w:rsidR="00131565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565" w:rsidRPr="004053FE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="00131565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1565" w:rsidRP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131565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Publiskās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 w:rsidRPr="004053FE">
              <w:rPr>
                <w:rFonts w:ascii="Times New Roman" w:hAnsi="Times New Roman"/>
                <w:sz w:val="24"/>
                <w:szCs w:val="24"/>
              </w:rPr>
              <w:t>likumu</w:t>
            </w:r>
            <w:proofErr w:type="spellEnd"/>
            <w:r w:rsidR="004053FE" w:rsidRPr="0040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F20" w:rsidRPr="004053FE" w:rsidRDefault="00131565" w:rsidP="004053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2013.gada 13.decembra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r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>egula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Nr.1336/2013,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2004/17/EK, 2004/18/EK un 2009/81/EK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stājas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spēkā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2014.gada 1.janvārī.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Minētā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direktīva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 w:rsidRPr="004053FE">
              <w:rPr>
                <w:rFonts w:ascii="Times New Roman" w:hAnsi="Times New Roman"/>
                <w:sz w:val="24"/>
                <w:szCs w:val="24"/>
              </w:rPr>
              <w:t>Publiskā</w:t>
            </w:r>
            <w:r w:rsidR="009F7758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9F7758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9F7758">
              <w:rPr>
                <w:rFonts w:ascii="Times New Roman" w:hAnsi="Times New Roman"/>
                <w:sz w:val="24"/>
                <w:szCs w:val="24"/>
              </w:rPr>
              <w:t>privātās</w:t>
            </w:r>
            <w:proofErr w:type="spellEnd"/>
            <w:r w:rsidR="009F7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>
              <w:rPr>
                <w:rFonts w:ascii="Times New Roman" w:hAnsi="Times New Roman"/>
                <w:sz w:val="24"/>
                <w:szCs w:val="24"/>
              </w:rPr>
              <w:t>partnerības</w:t>
            </w:r>
            <w:proofErr w:type="spellEnd"/>
            <w:r w:rsidR="009F7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758">
              <w:rPr>
                <w:rFonts w:ascii="Times New Roman" w:hAnsi="Times New Roman"/>
                <w:sz w:val="24"/>
                <w:szCs w:val="24"/>
              </w:rPr>
              <w:t>likumu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3FE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Ministru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kabineta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2009.gada 22.septembra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noteikumos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Nr.1068 </w:t>
            </w:r>
            <w:r w:rsidR="009F7758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Noteikumi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par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būvdarbu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koncesiju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līgumcenu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robežām</w:t>
            </w:r>
            <w:proofErr w:type="spellEnd"/>
            <w:r w:rsidR="009F7758" w:rsidRPr="004053F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7B52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1565" w:rsidRPr="004053FE" w:rsidRDefault="00136837" w:rsidP="004053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Nr.2015/2342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Direktīvu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3FE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  <w:r w:rsidRPr="00405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7EF" w:rsidRPr="002A0DAB" w:rsidRDefault="00C927EF" w:rsidP="000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6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right="8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D2A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  <w:p w:rsidR="00244C96" w:rsidRPr="00E52D2A" w:rsidRDefault="00244C96" w:rsidP="00E52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26" w:type="dxa"/>
            <w:gridSpan w:val="7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1.tabula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Attiecīgā ES tiesību akta datums, numurs un nosaukums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136837" w:rsidP="004648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Komisijas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2015.gada 15.decembra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regula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Nr.2015/2342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groza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Parlamenta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un Padomes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Direktīvu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attiecībā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piemērošanas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robežvērtībām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slēgšanas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piešķiršanas</w:t>
            </w:r>
            <w:proofErr w:type="spellEnd"/>
            <w:r w:rsidRPr="00663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388F">
              <w:rPr>
                <w:rFonts w:ascii="Times New Roman" w:hAnsi="Times New Roman"/>
                <w:sz w:val="24"/>
                <w:szCs w:val="24"/>
              </w:rPr>
              <w:t>procedūrās</w:t>
            </w:r>
            <w:proofErr w:type="spellEnd"/>
          </w:p>
        </w:tc>
      </w:tr>
      <w:tr w:rsidR="00244C96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D</w:t>
            </w:r>
          </w:p>
        </w:tc>
      </w:tr>
      <w:tr w:rsidR="00803513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3513" w:rsidRPr="002A0DAB" w:rsidRDefault="00803513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 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panta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uzskaitot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katru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pantu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apakšpunktu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ievieš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katru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to,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daļēji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sniedz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skaidrojumu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arī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precīzi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kad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kādā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veidā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institūciju,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atbildīga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saistību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izpildi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pilnībā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Informācija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par to,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šīs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tabulas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ailē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minētās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vienības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satur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attiecīgais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pamatojumu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samērīgumu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Norāda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iespējamās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alternatīvas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(t.sk.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alternatīvas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tiesiskā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regulējuma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izstrādi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kādos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gadījumos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būtu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iespējams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izvairīties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stingrāku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prasību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noteikšanas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nekā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paredzēts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attiecīgajos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ES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aktos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565" w:rsidRPr="002A0DAB" w:rsidTr="007E7CD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1.panta</w:t>
            </w:r>
          </w:p>
        </w:tc>
        <w:tc>
          <w:tcPr>
            <w:tcW w:w="1268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1.punkta “a” 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B97C33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F11B7F" w:rsidP="00B97C33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C620E4" w:rsidRDefault="00DA754A" w:rsidP="00773B06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robežu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diferencēšana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atkarībā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publiskā</w:t>
            </w:r>
            <w:proofErr w:type="spellEnd"/>
            <w:r w:rsidR="0077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3B06">
              <w:rPr>
                <w:rFonts w:ascii="Times New Roman" w:hAnsi="Times New Roman"/>
                <w:sz w:val="24"/>
                <w:szCs w:val="24"/>
              </w:rPr>
              <w:t>partnera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priekšmeta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veida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netika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pārņemta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lik</w:t>
            </w:r>
            <w:r w:rsidR="00C620E4">
              <w:rPr>
                <w:rFonts w:ascii="Times New Roman" w:hAnsi="Times New Roman"/>
                <w:sz w:val="24"/>
                <w:szCs w:val="24"/>
              </w:rPr>
              <w:t>umā</w:t>
            </w:r>
            <w:proofErr w:type="spellEnd"/>
            <w:r w:rsidR="00C620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 w:rsidR="00C62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C620E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šāda</w:t>
            </w:r>
            <w:proofErr w:type="spellEnd"/>
            <w:r w:rsidR="00C62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C62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lastRenderedPageBreak/>
              <w:t>netiek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noteikta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šajos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565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46480D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1.punkta </w:t>
            </w:r>
            <w:r w:rsidR="00131565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“b”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DA754A" w:rsidRDefault="00B97C33" w:rsidP="00B97C33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 2.2.punktā</w:t>
            </w:r>
          </w:p>
        </w:tc>
        <w:tc>
          <w:tcPr>
            <w:tcW w:w="216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B97C33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2A0DAB" w:rsidP="0046480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</w:tc>
      </w:tr>
      <w:tr w:rsidR="0046480D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80D" w:rsidRPr="002A0DAB" w:rsidRDefault="0046480D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80D" w:rsidRPr="002A0DAB" w:rsidRDefault="0046480D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46480D" w:rsidRPr="002A0DAB" w:rsidRDefault="0046480D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1.punkta “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80D" w:rsidRPr="00DA754A" w:rsidRDefault="00B97C33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 2.1.punktā</w:t>
            </w:r>
          </w:p>
        </w:tc>
        <w:tc>
          <w:tcPr>
            <w:tcW w:w="216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2A0DAB" w:rsidRDefault="00F11B7F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46480D" w:rsidP="0046480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</w:tc>
      </w:tr>
      <w:tr w:rsidR="00131565" w:rsidRPr="002A0DAB" w:rsidTr="00310E53">
        <w:trPr>
          <w:gridBefore w:val="1"/>
          <w:wBefore w:w="8" w:type="dxa"/>
          <w:trHeight w:val="2473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“a”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DA754A" w:rsidRDefault="00B97C33" w:rsidP="00B0008A">
            <w:pPr>
              <w:widowControl/>
              <w:spacing w:after="0"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053FE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A754A" w:rsidRPr="00DA754A" w:rsidRDefault="00DA754A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2.1.punkts</w:t>
            </w:r>
          </w:p>
        </w:tc>
        <w:tc>
          <w:tcPr>
            <w:tcW w:w="216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B97C33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2A0DAB" w:rsidP="0046480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</w:tc>
      </w:tr>
      <w:tr w:rsidR="00131565" w:rsidRPr="002A0DAB" w:rsidTr="008C5D85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.punkta </w:t>
            </w:r>
            <w:r w:rsidR="00131565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“b”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DA754A" w:rsidRDefault="00B97C33" w:rsidP="00B0008A">
            <w:pPr>
              <w:widowControl/>
              <w:spacing w:after="0"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="0040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3FE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4053FE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A754A" w:rsidRPr="00DA754A" w:rsidRDefault="00DA754A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2.2.punkts</w:t>
            </w:r>
          </w:p>
        </w:tc>
        <w:tc>
          <w:tcPr>
            <w:tcW w:w="2163" w:type="dxa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B97C33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0DAB" w:rsidRPr="00DA754A" w:rsidRDefault="002A0DAB" w:rsidP="00DA754A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  <w:p w:rsidR="002A0DAB" w:rsidRPr="00DA754A" w:rsidRDefault="002A0DAB" w:rsidP="00DA754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131565" w:rsidRPr="00DA754A" w:rsidRDefault="00131565" w:rsidP="00DA754A">
            <w:pP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36837" w:rsidRPr="002A0DAB" w:rsidTr="008C5D85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outset" w:sz="8" w:space="0" w:color="414142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outset" w:sz="8" w:space="0" w:color="414142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.punkta </w:t>
            </w:r>
          </w:p>
        </w:tc>
        <w:tc>
          <w:tcPr>
            <w:tcW w:w="1985" w:type="dxa"/>
            <w:gridSpan w:val="2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754A" w:rsidRPr="00BF4D30" w:rsidRDefault="00BF4D30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D30">
              <w:rPr>
                <w:rFonts w:ascii="Times New Roman" w:hAnsi="Times New Roman"/>
                <w:sz w:val="24"/>
              </w:rPr>
              <w:t>Ministru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kabineta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noteikumiem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Grozījums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2009.gada 22.septembra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noteikumos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Nr.1068 „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Noteikumi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par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lastRenderedPageBreak/>
              <w:t>būvdarbu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koncesiju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līgumcenu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robežām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>”</w:t>
            </w:r>
            <w:r w:rsidR="004053FE">
              <w:rPr>
                <w:rFonts w:ascii="Times New Roman" w:hAnsi="Times New Roman"/>
                <w:sz w:val="24"/>
              </w:rPr>
              <w:t>” 2.3.apakšpunkts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F11B7F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1B7F" w:rsidRPr="00DA754A" w:rsidRDefault="00F11B7F" w:rsidP="00F11B7F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  <w:p w:rsidR="00136837" w:rsidRPr="00DA754A" w:rsidRDefault="00136837" w:rsidP="00DA754A">
            <w:pPr>
              <w:widowControl/>
              <w:spacing w:line="26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6837" w:rsidRPr="002A0DAB" w:rsidTr="008C5D85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.punkta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BF4D30" w:rsidRDefault="00BF4D30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D30">
              <w:rPr>
                <w:rFonts w:ascii="Times New Roman" w:hAnsi="Times New Roman"/>
                <w:sz w:val="24"/>
              </w:rPr>
              <w:t>Tiks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ieviests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Ministru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kabineta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noteikumiem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„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Grozījums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Ministru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kabineta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2009.gada 22.septembra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noteikumos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Nr.1068 „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Noteikumi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par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būvdarbu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koncesiju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līgumcenu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bCs/>
                <w:sz w:val="24"/>
              </w:rPr>
              <w:t>robežām</w:t>
            </w:r>
            <w:proofErr w:type="spellEnd"/>
            <w:r w:rsidRPr="00BF4D30">
              <w:rPr>
                <w:rFonts w:ascii="Times New Roman" w:hAnsi="Times New Roman"/>
                <w:bCs/>
                <w:sz w:val="24"/>
              </w:rPr>
              <w:t>”</w:t>
            </w:r>
            <w:r w:rsidR="004053FE">
              <w:rPr>
                <w:rFonts w:ascii="Times New Roman" w:hAnsi="Times New Roman"/>
                <w:sz w:val="24"/>
              </w:rPr>
              <w:t>” 2.3.apakšpunkts.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F11B7F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1B7F" w:rsidRPr="00DA754A" w:rsidRDefault="00F11B7F" w:rsidP="00F11B7F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stingrākas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prasības</w:t>
            </w:r>
            <w:proofErr w:type="spellEnd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neparedz</w:t>
            </w:r>
            <w:proofErr w:type="spellEnd"/>
          </w:p>
          <w:p w:rsidR="00136837" w:rsidRPr="00DA754A" w:rsidRDefault="00136837" w:rsidP="00DA754A">
            <w:pPr>
              <w:widowControl/>
              <w:spacing w:line="26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6837" w:rsidRPr="002A0DAB" w:rsidTr="00C927EF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“a”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DA754A" w:rsidRDefault="004053FE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D30">
              <w:rPr>
                <w:rFonts w:ascii="Times New Roman" w:hAnsi="Times New Roman"/>
                <w:sz w:val="24"/>
              </w:rPr>
              <w:t>Tiks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ieviests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4D30">
              <w:rPr>
                <w:rFonts w:ascii="Times New Roman" w:hAnsi="Times New Roman"/>
                <w:sz w:val="24"/>
              </w:rPr>
              <w:t>ar</w:t>
            </w:r>
            <w:proofErr w:type="spellEnd"/>
            <w:r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54A" w:rsidRPr="00DA754A" w:rsidRDefault="00DA754A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46480D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DA754A" w:rsidP="00DA754A">
            <w:pPr>
              <w:widowControl/>
              <w:spacing w:line="26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71.panta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pirmo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konkursu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piemēro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nevis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2004/18/EK 67.panta 1.punktā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minētajām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, bet tad, ja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paredzamā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6837" w:rsidRPr="002A0DAB" w:rsidTr="007E7CD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</w:t>
            </w:r>
            <w:r w:rsidR="004648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B97C33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Ieviests</w:t>
            </w:r>
            <w:proofErr w:type="spellEnd"/>
            <w:r w:rsidR="004053FE"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053FE" w:rsidRPr="00BF4D30">
              <w:rPr>
                <w:rFonts w:ascii="Times New Roman" w:hAnsi="Times New Roman"/>
                <w:sz w:val="24"/>
              </w:rPr>
              <w:t>ar</w:t>
            </w:r>
            <w:proofErr w:type="spellEnd"/>
            <w:r w:rsidR="004053FE"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46480D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DA754A" w:rsidP="00DA754A">
            <w:pPr>
              <w:widowControl/>
              <w:spacing w:line="26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71.panta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pirmo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konkursu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piemēro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nevis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2004/18/EK 67.panta 1.punktā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minētajām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, bet tad, ja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paredzamā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80D" w:rsidRPr="002A0DAB" w:rsidTr="00310E53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80D" w:rsidRPr="002A0DAB" w:rsidRDefault="0046480D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80D" w:rsidRPr="002A0DAB" w:rsidRDefault="0046480D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8" w:type="dxa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vAlign w:val="center"/>
          </w:tcPr>
          <w:p w:rsidR="0046480D" w:rsidRPr="002A0DAB" w:rsidRDefault="009F7758" w:rsidP="009F7758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</w:t>
            </w:r>
            <w:r w:rsidR="004648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B97C33" w:rsidP="00131565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Ieviests</w:t>
            </w:r>
            <w:proofErr w:type="spellEnd"/>
            <w:r w:rsidR="004053FE"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053FE" w:rsidRPr="00BF4D30">
              <w:rPr>
                <w:rFonts w:ascii="Times New Roman" w:hAnsi="Times New Roman"/>
                <w:sz w:val="24"/>
              </w:rPr>
              <w:t>ar</w:t>
            </w:r>
            <w:proofErr w:type="spellEnd"/>
            <w:r w:rsidR="004053FE" w:rsidRPr="00BF4D3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2010.gada 8.jūnija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noteikumos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Nr.519 “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80D" w:rsidRPr="00DA754A">
              <w:rPr>
                <w:rFonts w:ascii="Times New Roman" w:hAnsi="Times New Roman"/>
                <w:sz w:val="24"/>
                <w:szCs w:val="24"/>
              </w:rPr>
              <w:t>robežām</w:t>
            </w:r>
            <w:proofErr w:type="spellEnd"/>
            <w:r w:rsidR="0046480D" w:rsidRPr="00DA754A">
              <w:rPr>
                <w:rFonts w:ascii="Times New Roman" w:hAnsi="Times New Roman"/>
                <w:sz w:val="24"/>
                <w:szCs w:val="24"/>
              </w:rPr>
              <w:t>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2A0DAB" w:rsidRDefault="0046480D" w:rsidP="00B97C33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ES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vienība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ieviesta</w:t>
            </w:r>
            <w:proofErr w:type="spellEnd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DA754A" w:rsidP="00DA754A">
            <w:pPr>
              <w:widowControl/>
              <w:spacing w:line="26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Saskaņā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Publisko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iepirkumu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likuma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71.panta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pirmo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daļu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konkursu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piemēro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nevis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Direktīvas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2004/18/EK 67.panta 1.punktā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minētajām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E4">
              <w:rPr>
                <w:rFonts w:ascii="Times New Roman" w:hAnsi="Times New Roman"/>
                <w:sz w:val="24"/>
                <w:szCs w:val="24"/>
              </w:rPr>
              <w:t>robežvērtīb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ām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, bet tad, ja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paredzamā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līgumcena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54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DA754A">
              <w:rPr>
                <w:rFonts w:ascii="Times New Roman" w:hAnsi="Times New Roman"/>
                <w:sz w:val="24"/>
                <w:szCs w:val="24"/>
              </w:rPr>
              <w:t xml:space="preserve">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27EF" w:rsidRPr="002A0DAB" w:rsidTr="00310E53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27EF" w:rsidRPr="002A0DAB" w:rsidRDefault="00C927EF" w:rsidP="00A10537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A10537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B97C33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Netiek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7C33">
              <w:rPr>
                <w:rFonts w:ascii="Times New Roman" w:hAnsi="Times New Roman"/>
                <w:sz w:val="24"/>
                <w:szCs w:val="24"/>
              </w:rPr>
              <w:t>ieviests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A10537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DA754A" w:rsidRDefault="00C927EF" w:rsidP="00A10537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C927EF" w:rsidRPr="002A0DAB" w:rsidTr="00310E53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EF" w:rsidRPr="002A0DAB" w:rsidRDefault="00C927EF" w:rsidP="00A10537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27EF" w:rsidRPr="002A0DAB" w:rsidRDefault="00C927EF" w:rsidP="00A1053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27EF" w:rsidRPr="000F156F" w:rsidRDefault="00C927EF" w:rsidP="00A1053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0F15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C927EF" w:rsidTr="00C927EF"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EF" w:rsidRDefault="00C927EF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34" w:type="dxa"/>
            <w:gridSpan w:val="8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27EF" w:rsidRDefault="00C927EF" w:rsidP="00C927EF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4C96" w:rsidRPr="002A0DAB" w:rsidTr="00C927EF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2.tabula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Pasākumi šo saistību izpildei</w:t>
            </w:r>
          </w:p>
        </w:tc>
      </w:tr>
      <w:tr w:rsidR="00F816B2" w:rsidRPr="002A0DAB" w:rsidTr="00C927EF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816B2" w:rsidRPr="002A0DAB" w:rsidRDefault="00F816B2" w:rsidP="00244C9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</w:tbl>
    <w:p w:rsidR="005533E2" w:rsidRPr="002A0DAB" w:rsidRDefault="005533E2" w:rsidP="006B2EB6">
      <w:pPr>
        <w:widowControl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2828"/>
        <w:gridCol w:w="6129"/>
      </w:tblGrid>
      <w:tr w:rsidR="00244C96" w:rsidRPr="002A0DAB" w:rsidTr="0046480D">
        <w:trPr>
          <w:trHeight w:val="392"/>
        </w:trPr>
        <w:tc>
          <w:tcPr>
            <w:tcW w:w="907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244C96" w:rsidRPr="002A0DAB" w:rsidTr="00244C96">
        <w:trPr>
          <w:trHeight w:val="540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33404" w:rsidRPr="002A0DAB" w:rsidRDefault="002A0DAB" w:rsidP="00433404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Sabiedrības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līdzdalība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izstrādē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nepieciešama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jo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nemaina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pastāvošo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tiesisko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regulējumu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būtības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Līgumcenu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robežvērtības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Eiropas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Savienība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tehniska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rakstura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precizējumus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244C96">
        <w:trPr>
          <w:trHeight w:val="2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C9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EB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E266F9" w:rsidRPr="002A0DAB" w:rsidTr="007B582E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266F9" w:rsidRPr="002A0DAB" w:rsidRDefault="00E266F9" w:rsidP="007B58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266F9" w:rsidRPr="002A0DAB" w:rsidTr="007B582E">
        <w:trPr>
          <w:trHeight w:val="42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Finanšu ministrija.</w:t>
            </w:r>
          </w:p>
        </w:tc>
      </w:tr>
      <w:tr w:rsidR="00E266F9" w:rsidRPr="002A0DAB" w:rsidTr="007B582E">
        <w:trPr>
          <w:trHeight w:val="45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Projekts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šo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jomu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DAB">
              <w:rPr>
                <w:rFonts w:ascii="Times New Roman" w:hAnsi="Times New Roman"/>
                <w:sz w:val="24"/>
                <w:szCs w:val="24"/>
              </w:rPr>
              <w:t>neskar</w:t>
            </w:r>
            <w:proofErr w:type="spellEnd"/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F9" w:rsidRPr="002A0DAB" w:rsidTr="007B582E">
        <w:trPr>
          <w:trHeight w:val="138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EB3F20" w:rsidRPr="00310E53" w:rsidRDefault="002A0DAB" w:rsidP="00310E53">
      <w:pPr>
        <w:rPr>
          <w:rFonts w:ascii="Times New Roman" w:hAnsi="Times New Roman"/>
          <w:sz w:val="24"/>
          <w:szCs w:val="24"/>
        </w:rPr>
      </w:pPr>
      <w:proofErr w:type="spellStart"/>
      <w:r w:rsidRPr="002A0DAB">
        <w:rPr>
          <w:rFonts w:ascii="Times New Roman" w:hAnsi="Times New Roman"/>
          <w:sz w:val="24"/>
          <w:szCs w:val="24"/>
        </w:rPr>
        <w:t>Anotācijas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III </w:t>
      </w:r>
      <w:proofErr w:type="gramStart"/>
      <w:r w:rsidRPr="002A0DAB">
        <w:rPr>
          <w:rFonts w:ascii="Times New Roman" w:hAnsi="Times New Roman"/>
          <w:sz w:val="24"/>
          <w:szCs w:val="24"/>
        </w:rPr>
        <w:t>un</w:t>
      </w:r>
      <w:proofErr w:type="gramEnd"/>
      <w:r w:rsidRPr="002A0DAB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2A0DAB">
        <w:rPr>
          <w:rFonts w:ascii="Times New Roman" w:hAnsi="Times New Roman"/>
          <w:sz w:val="24"/>
          <w:szCs w:val="24"/>
        </w:rPr>
        <w:t>sadaļa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A0DAB">
        <w:rPr>
          <w:rFonts w:ascii="Times New Roman" w:hAnsi="Times New Roman"/>
          <w:sz w:val="24"/>
          <w:szCs w:val="24"/>
        </w:rPr>
        <w:t>projekts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šīs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jomas</w:t>
      </w:r>
      <w:proofErr w:type="spellEnd"/>
      <w:r w:rsidRPr="002A0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DAB">
        <w:rPr>
          <w:rFonts w:ascii="Times New Roman" w:hAnsi="Times New Roman"/>
          <w:sz w:val="24"/>
          <w:szCs w:val="24"/>
        </w:rPr>
        <w:t>neskar</w:t>
      </w:r>
      <w:proofErr w:type="spellEnd"/>
      <w:r w:rsidRPr="002A0DAB">
        <w:rPr>
          <w:rFonts w:ascii="Times New Roman" w:hAnsi="Times New Roman"/>
          <w:sz w:val="24"/>
          <w:szCs w:val="24"/>
        </w:rPr>
        <w:t>.</w:t>
      </w:r>
    </w:p>
    <w:p w:rsidR="00310E53" w:rsidRDefault="00310E53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E53" w:rsidRPr="002A0DAB" w:rsidRDefault="00310E53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6F9" w:rsidRPr="002A0DAB" w:rsidRDefault="00E266F9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0DAB">
        <w:rPr>
          <w:rFonts w:ascii="Times New Roman" w:hAnsi="Times New Roman"/>
          <w:color w:val="000000" w:themeColor="text1"/>
          <w:sz w:val="24"/>
          <w:szCs w:val="24"/>
        </w:rPr>
        <w:t>Finanšu ministrs</w:t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A0DAB">
        <w:rPr>
          <w:rFonts w:ascii="Times New Roman" w:hAnsi="Times New Roman"/>
          <w:color w:val="000000" w:themeColor="text1"/>
          <w:sz w:val="24"/>
          <w:szCs w:val="24"/>
        </w:rPr>
        <w:t>J.Reirs</w:t>
      </w:r>
      <w:proofErr w:type="spellEnd"/>
    </w:p>
    <w:p w:rsidR="00E266F9" w:rsidRPr="002A0DAB" w:rsidRDefault="00E266F9" w:rsidP="00E266F9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310E53" w:rsidRPr="002A0DAB" w:rsidRDefault="00310E53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2872B0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28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.1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2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.2015.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12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:</w:t>
      </w:r>
      <w:r w:rsidR="00EB3F20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40</w:t>
      </w:r>
    </w:p>
    <w:p w:rsidR="00E266F9" w:rsidRPr="002A0DAB" w:rsidRDefault="0046480D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</w:t>
      </w:r>
      <w:r w:rsidR="007B52B7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3</w:t>
      </w:r>
      <w:r w:rsidR="00310E53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8</w:t>
      </w:r>
      <w:r w:rsidR="007B52B7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3</w:t>
      </w:r>
    </w:p>
    <w:p w:rsidR="00E266F9" w:rsidRPr="002A0DAB" w:rsidRDefault="002A0DAB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Matulis</w:t>
      </w:r>
    </w:p>
    <w:p w:rsidR="006B2EB6" w:rsidRPr="002A0DAB" w:rsidRDefault="00E266F9" w:rsidP="00310E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67095</w:t>
      </w:r>
      <w:r w:rsidR="00C369D4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,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edgars.matulis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@fm.gov.lv</w:t>
      </w:r>
    </w:p>
    <w:sectPr w:rsidR="006B2EB6" w:rsidRPr="002A0DAB" w:rsidSect="00310E53">
      <w:headerReference w:type="default" r:id="rId8"/>
      <w:footerReference w:type="default" r:id="rId9"/>
      <w:footerReference w:type="first" r:id="rId10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CA" w:rsidRDefault="00985DCA" w:rsidP="00E266F9">
      <w:pPr>
        <w:spacing w:after="0" w:line="240" w:lineRule="auto"/>
      </w:pPr>
      <w:r>
        <w:separator/>
      </w:r>
    </w:p>
  </w:endnote>
  <w:endnote w:type="continuationSeparator" w:id="0">
    <w:p w:rsidR="00985DCA" w:rsidRDefault="00985DCA" w:rsidP="00E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E52D2A" w:rsidRDefault="00E52D2A" w:rsidP="005945A3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FMAnot_161215_</w:t>
    </w:r>
    <w:r>
      <w:rPr>
        <w:rFonts w:ascii="Times New Roman" w:hAnsi="Times New Roman"/>
        <w:sz w:val="20"/>
        <w:szCs w:val="20"/>
      </w:rPr>
      <w:t>PPP</w:t>
    </w:r>
    <w:r w:rsidRPr="002A0DAB">
      <w:rPr>
        <w:rFonts w:ascii="Times New Roman" w:hAnsi="Times New Roman"/>
        <w:sz w:val="20"/>
        <w:szCs w:val="20"/>
      </w:rPr>
      <w:t xml:space="preserve">; </w:t>
    </w:r>
    <w:proofErr w:type="spellStart"/>
    <w:r w:rsidRPr="0046480D">
      <w:rPr>
        <w:rFonts w:ascii="Times New Roman" w:hAnsi="Times New Roman"/>
        <w:color w:val="000000" w:themeColor="text1"/>
        <w:sz w:val="20"/>
        <w:szCs w:val="20"/>
      </w:rPr>
      <w:t>Noteikumu</w:t>
    </w:r>
    <w:proofErr w:type="spellEnd"/>
    <w:r w:rsidRPr="0046480D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projekts</w:t>
    </w:r>
    <w:proofErr w:type="spellEnd"/>
    <w:r w:rsidRPr="00E52D2A">
      <w:rPr>
        <w:rFonts w:ascii="Times New Roman" w:hAnsi="Times New Roman"/>
        <w:sz w:val="20"/>
      </w:rPr>
      <w:t xml:space="preserve"> „</w:t>
    </w:r>
    <w:proofErr w:type="spellStart"/>
    <w:r w:rsidRPr="00E52D2A">
      <w:rPr>
        <w:rFonts w:ascii="Times New Roman" w:hAnsi="Times New Roman"/>
        <w:sz w:val="20"/>
      </w:rPr>
      <w:t>Noteikumi</w:t>
    </w:r>
    <w:proofErr w:type="spellEnd"/>
    <w:r w:rsidRPr="00E52D2A">
      <w:rPr>
        <w:rFonts w:ascii="Times New Roman" w:hAnsi="Times New Roman"/>
        <w:sz w:val="20"/>
      </w:rPr>
      <w:t xml:space="preserve"> par </w:t>
    </w:r>
    <w:proofErr w:type="spellStart"/>
    <w:r w:rsidRPr="00E52D2A">
      <w:rPr>
        <w:rFonts w:ascii="Times New Roman" w:hAnsi="Times New Roman"/>
        <w:sz w:val="20"/>
      </w:rPr>
      <w:t>būvdarbu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koncesiju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līgumcenu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robežām</w:t>
    </w:r>
    <w:proofErr w:type="spellEnd"/>
    <w:r w:rsidRPr="00E52D2A">
      <w:rPr>
        <w:rFonts w:ascii="Times New Roman" w:hAnsi="Times New Roman"/>
        <w:sz w:val="20"/>
      </w:rPr>
      <w:t xml:space="preserve">” </w:t>
    </w:r>
    <w:proofErr w:type="spellStart"/>
    <w:r w:rsidRPr="00E52D2A">
      <w:rPr>
        <w:rFonts w:ascii="Times New Roman" w:hAnsi="Times New Roman"/>
        <w:sz w:val="20"/>
      </w:rPr>
      <w:t>sākotnējās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ietekmes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novērtējum</w:t>
    </w:r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ziņojums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(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anotācija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2A0DAB" w:rsidP="005945A3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FMAnot_161215_</w:t>
    </w:r>
    <w:r w:rsidR="00E52D2A">
      <w:rPr>
        <w:rFonts w:ascii="Times New Roman" w:hAnsi="Times New Roman"/>
        <w:sz w:val="20"/>
        <w:szCs w:val="20"/>
      </w:rPr>
      <w:t>PPP</w:t>
    </w:r>
    <w:r w:rsidRPr="002A0DAB">
      <w:rPr>
        <w:rFonts w:ascii="Times New Roman" w:hAnsi="Times New Roman"/>
        <w:sz w:val="20"/>
        <w:szCs w:val="20"/>
      </w:rPr>
      <w:t xml:space="preserve">; </w:t>
    </w:r>
    <w:proofErr w:type="spellStart"/>
    <w:r w:rsidRPr="0046480D">
      <w:rPr>
        <w:rFonts w:ascii="Times New Roman" w:hAnsi="Times New Roman"/>
        <w:color w:val="000000" w:themeColor="text1"/>
        <w:sz w:val="20"/>
        <w:szCs w:val="20"/>
      </w:rPr>
      <w:t>Noteikumu</w:t>
    </w:r>
    <w:proofErr w:type="spellEnd"/>
    <w:r w:rsidRPr="0046480D">
      <w:rPr>
        <w:rFonts w:ascii="Times New Roman" w:hAnsi="Times New Roman"/>
        <w:color w:val="000000" w:themeColor="text1"/>
        <w:sz w:val="20"/>
        <w:szCs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projekts</w:t>
    </w:r>
    <w:proofErr w:type="spellEnd"/>
    <w:r w:rsidRPr="00E52D2A">
      <w:rPr>
        <w:rFonts w:ascii="Times New Roman" w:hAnsi="Times New Roman"/>
        <w:sz w:val="20"/>
      </w:rPr>
      <w:t xml:space="preserve"> „</w:t>
    </w:r>
    <w:proofErr w:type="spellStart"/>
    <w:r w:rsidR="00E52D2A" w:rsidRPr="00E52D2A">
      <w:rPr>
        <w:rFonts w:ascii="Times New Roman" w:hAnsi="Times New Roman"/>
        <w:sz w:val="20"/>
      </w:rPr>
      <w:t>Noteikumi</w:t>
    </w:r>
    <w:proofErr w:type="spellEnd"/>
    <w:r w:rsidR="00E52D2A" w:rsidRPr="00E52D2A">
      <w:rPr>
        <w:rFonts w:ascii="Times New Roman" w:hAnsi="Times New Roman"/>
        <w:sz w:val="20"/>
      </w:rPr>
      <w:t xml:space="preserve"> par </w:t>
    </w:r>
    <w:proofErr w:type="spellStart"/>
    <w:r w:rsidR="00E52D2A" w:rsidRPr="00E52D2A">
      <w:rPr>
        <w:rFonts w:ascii="Times New Roman" w:hAnsi="Times New Roman"/>
        <w:sz w:val="20"/>
      </w:rPr>
      <w:t>būvdarbu</w:t>
    </w:r>
    <w:proofErr w:type="spellEnd"/>
    <w:r w:rsidR="00E52D2A" w:rsidRPr="00E52D2A">
      <w:rPr>
        <w:rFonts w:ascii="Times New Roman" w:hAnsi="Times New Roman"/>
        <w:sz w:val="20"/>
      </w:rPr>
      <w:t xml:space="preserve"> </w:t>
    </w:r>
    <w:proofErr w:type="spellStart"/>
    <w:r w:rsidR="00E52D2A" w:rsidRPr="00E52D2A">
      <w:rPr>
        <w:rFonts w:ascii="Times New Roman" w:hAnsi="Times New Roman"/>
        <w:sz w:val="20"/>
      </w:rPr>
      <w:t>koncesiju</w:t>
    </w:r>
    <w:proofErr w:type="spellEnd"/>
    <w:r w:rsidR="00E52D2A" w:rsidRPr="00E52D2A">
      <w:rPr>
        <w:rFonts w:ascii="Times New Roman" w:hAnsi="Times New Roman"/>
        <w:sz w:val="20"/>
      </w:rPr>
      <w:t xml:space="preserve"> </w:t>
    </w:r>
    <w:proofErr w:type="spellStart"/>
    <w:r w:rsidR="00E52D2A" w:rsidRPr="00E52D2A">
      <w:rPr>
        <w:rFonts w:ascii="Times New Roman" w:hAnsi="Times New Roman"/>
        <w:sz w:val="20"/>
      </w:rPr>
      <w:t>līgumcenu</w:t>
    </w:r>
    <w:proofErr w:type="spellEnd"/>
    <w:r w:rsidR="00E52D2A" w:rsidRPr="00E52D2A">
      <w:rPr>
        <w:rFonts w:ascii="Times New Roman" w:hAnsi="Times New Roman"/>
        <w:sz w:val="20"/>
      </w:rPr>
      <w:t xml:space="preserve"> </w:t>
    </w:r>
    <w:proofErr w:type="spellStart"/>
    <w:r w:rsidR="00E52D2A" w:rsidRPr="00E52D2A">
      <w:rPr>
        <w:rFonts w:ascii="Times New Roman" w:hAnsi="Times New Roman"/>
        <w:sz w:val="20"/>
      </w:rPr>
      <w:t>robežām</w:t>
    </w:r>
    <w:proofErr w:type="spellEnd"/>
    <w:r w:rsidRPr="00E52D2A">
      <w:rPr>
        <w:rFonts w:ascii="Times New Roman" w:hAnsi="Times New Roman"/>
        <w:sz w:val="20"/>
      </w:rPr>
      <w:t xml:space="preserve">” </w:t>
    </w:r>
    <w:proofErr w:type="spellStart"/>
    <w:r w:rsidRPr="00E52D2A">
      <w:rPr>
        <w:rFonts w:ascii="Times New Roman" w:hAnsi="Times New Roman"/>
        <w:sz w:val="20"/>
      </w:rPr>
      <w:t>sākotnējās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ietekmes</w:t>
    </w:r>
    <w:proofErr w:type="spellEnd"/>
    <w:r w:rsidRPr="00E52D2A">
      <w:rPr>
        <w:rFonts w:ascii="Times New Roman" w:hAnsi="Times New Roman"/>
        <w:sz w:val="20"/>
      </w:rPr>
      <w:t xml:space="preserve"> </w:t>
    </w:r>
    <w:proofErr w:type="spellStart"/>
    <w:r w:rsidRPr="00E52D2A">
      <w:rPr>
        <w:rFonts w:ascii="Times New Roman" w:hAnsi="Times New Roman"/>
        <w:sz w:val="20"/>
      </w:rPr>
      <w:t>novērtējum</w:t>
    </w:r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ziņojums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 xml:space="preserve"> (</w:t>
    </w:r>
    <w:proofErr w:type="spellStart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anotācija</w:t>
    </w:r>
    <w:proofErr w:type="spellEnd"/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CA" w:rsidRDefault="00985DCA" w:rsidP="00E266F9">
      <w:pPr>
        <w:spacing w:after="0" w:line="240" w:lineRule="auto"/>
      </w:pPr>
      <w:r>
        <w:separator/>
      </w:r>
    </w:p>
  </w:footnote>
  <w:footnote w:type="continuationSeparator" w:id="0">
    <w:p w:rsidR="00985DCA" w:rsidRDefault="00985DCA" w:rsidP="00E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2F7" w:rsidRDefault="001832F7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29265C">
          <w:rPr>
            <w:rFonts w:ascii="Times New Roman" w:hAnsi="Times New Roman"/>
            <w:noProof/>
            <w:sz w:val="24"/>
            <w:szCs w:val="24"/>
          </w:rPr>
          <w:t>6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32F7" w:rsidRDefault="0018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517"/>
    <w:multiLevelType w:val="hybridMultilevel"/>
    <w:tmpl w:val="F7B09F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593"/>
    <w:multiLevelType w:val="hybridMultilevel"/>
    <w:tmpl w:val="50C860E6"/>
    <w:lvl w:ilvl="0" w:tplc="CC96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8DD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9B7"/>
    <w:multiLevelType w:val="hybridMultilevel"/>
    <w:tmpl w:val="7C6CB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1D7"/>
    <w:multiLevelType w:val="hybridMultilevel"/>
    <w:tmpl w:val="C1E62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51B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0C56"/>
    <w:multiLevelType w:val="hybridMultilevel"/>
    <w:tmpl w:val="850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500B"/>
    <w:multiLevelType w:val="hybridMultilevel"/>
    <w:tmpl w:val="0AEC4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63CF"/>
    <w:multiLevelType w:val="hybridMultilevel"/>
    <w:tmpl w:val="7702E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B5C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75F1"/>
    <w:multiLevelType w:val="hybridMultilevel"/>
    <w:tmpl w:val="7BF83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43A"/>
    <w:multiLevelType w:val="hybridMultilevel"/>
    <w:tmpl w:val="04404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2144"/>
    <w:multiLevelType w:val="hybridMultilevel"/>
    <w:tmpl w:val="B34E47E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7EC9"/>
    <w:multiLevelType w:val="hybridMultilevel"/>
    <w:tmpl w:val="54C47E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7AF"/>
    <w:multiLevelType w:val="hybridMultilevel"/>
    <w:tmpl w:val="23B2E8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20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B"/>
    <w:rsid w:val="000144DE"/>
    <w:rsid w:val="00027847"/>
    <w:rsid w:val="000352BD"/>
    <w:rsid w:val="00044D5E"/>
    <w:rsid w:val="00064823"/>
    <w:rsid w:val="00072BA0"/>
    <w:rsid w:val="00085ED0"/>
    <w:rsid w:val="00091FCC"/>
    <w:rsid w:val="000B132A"/>
    <w:rsid w:val="000C2F91"/>
    <w:rsid w:val="000C3B95"/>
    <w:rsid w:val="000C3F7D"/>
    <w:rsid w:val="000C6C54"/>
    <w:rsid w:val="000E3389"/>
    <w:rsid w:val="000E7C35"/>
    <w:rsid w:val="000F156F"/>
    <w:rsid w:val="001037C4"/>
    <w:rsid w:val="00104145"/>
    <w:rsid w:val="0011641E"/>
    <w:rsid w:val="001170F4"/>
    <w:rsid w:val="00131565"/>
    <w:rsid w:val="00136837"/>
    <w:rsid w:val="00147B92"/>
    <w:rsid w:val="001534E3"/>
    <w:rsid w:val="001559B7"/>
    <w:rsid w:val="00160ADA"/>
    <w:rsid w:val="00167586"/>
    <w:rsid w:val="00172917"/>
    <w:rsid w:val="00181F8B"/>
    <w:rsid w:val="001832F7"/>
    <w:rsid w:val="001868E4"/>
    <w:rsid w:val="00191562"/>
    <w:rsid w:val="00192D7E"/>
    <w:rsid w:val="001B678D"/>
    <w:rsid w:val="001C5486"/>
    <w:rsid w:val="001C7692"/>
    <w:rsid w:val="001D36B9"/>
    <w:rsid w:val="001E2E74"/>
    <w:rsid w:val="001E41A1"/>
    <w:rsid w:val="001E6781"/>
    <w:rsid w:val="001E78DF"/>
    <w:rsid w:val="001F4BE1"/>
    <w:rsid w:val="002005B5"/>
    <w:rsid w:val="00202485"/>
    <w:rsid w:val="00206330"/>
    <w:rsid w:val="00215548"/>
    <w:rsid w:val="002361D7"/>
    <w:rsid w:val="00237EE6"/>
    <w:rsid w:val="00244C96"/>
    <w:rsid w:val="0025295E"/>
    <w:rsid w:val="00261F75"/>
    <w:rsid w:val="00282D84"/>
    <w:rsid w:val="00284BEC"/>
    <w:rsid w:val="00284D7A"/>
    <w:rsid w:val="002872B0"/>
    <w:rsid w:val="0029265C"/>
    <w:rsid w:val="00295244"/>
    <w:rsid w:val="002A0DAB"/>
    <w:rsid w:val="002D6E95"/>
    <w:rsid w:val="002E4242"/>
    <w:rsid w:val="002F21B6"/>
    <w:rsid w:val="002F3B9E"/>
    <w:rsid w:val="00302076"/>
    <w:rsid w:val="0031061A"/>
    <w:rsid w:val="00310E53"/>
    <w:rsid w:val="003220C5"/>
    <w:rsid w:val="00326673"/>
    <w:rsid w:val="00333A62"/>
    <w:rsid w:val="00336258"/>
    <w:rsid w:val="00341ABD"/>
    <w:rsid w:val="00353DF3"/>
    <w:rsid w:val="00355740"/>
    <w:rsid w:val="00370E76"/>
    <w:rsid w:val="00371A12"/>
    <w:rsid w:val="0037455B"/>
    <w:rsid w:val="0037684A"/>
    <w:rsid w:val="003B469A"/>
    <w:rsid w:val="003B62BC"/>
    <w:rsid w:val="003C40B7"/>
    <w:rsid w:val="003E4194"/>
    <w:rsid w:val="00400F1C"/>
    <w:rsid w:val="004053FE"/>
    <w:rsid w:val="004070D8"/>
    <w:rsid w:val="004108E9"/>
    <w:rsid w:val="00410E69"/>
    <w:rsid w:val="00426042"/>
    <w:rsid w:val="00433404"/>
    <w:rsid w:val="00435EED"/>
    <w:rsid w:val="004417E1"/>
    <w:rsid w:val="004459C7"/>
    <w:rsid w:val="00447E70"/>
    <w:rsid w:val="004573DA"/>
    <w:rsid w:val="004617A5"/>
    <w:rsid w:val="00463DC9"/>
    <w:rsid w:val="0046480D"/>
    <w:rsid w:val="004811CB"/>
    <w:rsid w:val="0048782D"/>
    <w:rsid w:val="004A3315"/>
    <w:rsid w:val="004B6EC8"/>
    <w:rsid w:val="004E1674"/>
    <w:rsid w:val="004E613B"/>
    <w:rsid w:val="004F017D"/>
    <w:rsid w:val="00507243"/>
    <w:rsid w:val="00512635"/>
    <w:rsid w:val="0051422C"/>
    <w:rsid w:val="0054195C"/>
    <w:rsid w:val="005533E2"/>
    <w:rsid w:val="00572EC5"/>
    <w:rsid w:val="0057605F"/>
    <w:rsid w:val="005909D6"/>
    <w:rsid w:val="00590C9F"/>
    <w:rsid w:val="0059291A"/>
    <w:rsid w:val="005945A3"/>
    <w:rsid w:val="00595F26"/>
    <w:rsid w:val="005A17D7"/>
    <w:rsid w:val="005A7912"/>
    <w:rsid w:val="005B3322"/>
    <w:rsid w:val="005C5846"/>
    <w:rsid w:val="005D6E74"/>
    <w:rsid w:val="005F0FA6"/>
    <w:rsid w:val="005F2358"/>
    <w:rsid w:val="005F45BF"/>
    <w:rsid w:val="00640043"/>
    <w:rsid w:val="00650AC5"/>
    <w:rsid w:val="00657A94"/>
    <w:rsid w:val="0066180E"/>
    <w:rsid w:val="0066388F"/>
    <w:rsid w:val="00665094"/>
    <w:rsid w:val="00667BFC"/>
    <w:rsid w:val="00680506"/>
    <w:rsid w:val="00692C91"/>
    <w:rsid w:val="00693019"/>
    <w:rsid w:val="006A73C5"/>
    <w:rsid w:val="006B0CF1"/>
    <w:rsid w:val="006B2EB6"/>
    <w:rsid w:val="006C4E40"/>
    <w:rsid w:val="006E1610"/>
    <w:rsid w:val="006E2A07"/>
    <w:rsid w:val="006F3F63"/>
    <w:rsid w:val="006F4A6D"/>
    <w:rsid w:val="00701A21"/>
    <w:rsid w:val="007046DC"/>
    <w:rsid w:val="00706AC6"/>
    <w:rsid w:val="00707269"/>
    <w:rsid w:val="007166EF"/>
    <w:rsid w:val="00726A35"/>
    <w:rsid w:val="007335F7"/>
    <w:rsid w:val="0073518A"/>
    <w:rsid w:val="00742393"/>
    <w:rsid w:val="0076236B"/>
    <w:rsid w:val="00773B06"/>
    <w:rsid w:val="007A3206"/>
    <w:rsid w:val="007A34E4"/>
    <w:rsid w:val="007A5779"/>
    <w:rsid w:val="007B40E4"/>
    <w:rsid w:val="007B42AD"/>
    <w:rsid w:val="007B52B7"/>
    <w:rsid w:val="007B582E"/>
    <w:rsid w:val="007D170F"/>
    <w:rsid w:val="007D457F"/>
    <w:rsid w:val="007E7CD4"/>
    <w:rsid w:val="007F7CAD"/>
    <w:rsid w:val="00803513"/>
    <w:rsid w:val="008048F3"/>
    <w:rsid w:val="008134C9"/>
    <w:rsid w:val="00820053"/>
    <w:rsid w:val="00822D05"/>
    <w:rsid w:val="00825192"/>
    <w:rsid w:val="008336C0"/>
    <w:rsid w:val="00844376"/>
    <w:rsid w:val="008846C5"/>
    <w:rsid w:val="00885F96"/>
    <w:rsid w:val="00891AFB"/>
    <w:rsid w:val="008A1BB6"/>
    <w:rsid w:val="008A1C24"/>
    <w:rsid w:val="008A6275"/>
    <w:rsid w:val="008C5D85"/>
    <w:rsid w:val="008C701B"/>
    <w:rsid w:val="008E7FC1"/>
    <w:rsid w:val="00904756"/>
    <w:rsid w:val="00912900"/>
    <w:rsid w:val="0091389B"/>
    <w:rsid w:val="00940742"/>
    <w:rsid w:val="009466CD"/>
    <w:rsid w:val="0095225A"/>
    <w:rsid w:val="009532D1"/>
    <w:rsid w:val="00954557"/>
    <w:rsid w:val="009562FB"/>
    <w:rsid w:val="00957840"/>
    <w:rsid w:val="00970367"/>
    <w:rsid w:val="00985DCA"/>
    <w:rsid w:val="009946F0"/>
    <w:rsid w:val="0099511F"/>
    <w:rsid w:val="009A4B8A"/>
    <w:rsid w:val="009A4C84"/>
    <w:rsid w:val="009C19A7"/>
    <w:rsid w:val="009C351B"/>
    <w:rsid w:val="009C779B"/>
    <w:rsid w:val="009D7039"/>
    <w:rsid w:val="009E5A5B"/>
    <w:rsid w:val="009F7758"/>
    <w:rsid w:val="00A162C3"/>
    <w:rsid w:val="00A20822"/>
    <w:rsid w:val="00A40F02"/>
    <w:rsid w:val="00A47426"/>
    <w:rsid w:val="00A474CD"/>
    <w:rsid w:val="00A53BE4"/>
    <w:rsid w:val="00A7005D"/>
    <w:rsid w:val="00A72BD3"/>
    <w:rsid w:val="00A95D5A"/>
    <w:rsid w:val="00A960CF"/>
    <w:rsid w:val="00AB1C02"/>
    <w:rsid w:val="00AD23A9"/>
    <w:rsid w:val="00AD36B9"/>
    <w:rsid w:val="00AD4557"/>
    <w:rsid w:val="00AE4488"/>
    <w:rsid w:val="00AE485F"/>
    <w:rsid w:val="00B0008A"/>
    <w:rsid w:val="00B02B68"/>
    <w:rsid w:val="00B07F1F"/>
    <w:rsid w:val="00B170C9"/>
    <w:rsid w:val="00B2029A"/>
    <w:rsid w:val="00B2304C"/>
    <w:rsid w:val="00B53EC4"/>
    <w:rsid w:val="00B564ED"/>
    <w:rsid w:val="00B725FA"/>
    <w:rsid w:val="00B813D9"/>
    <w:rsid w:val="00B82800"/>
    <w:rsid w:val="00B8615D"/>
    <w:rsid w:val="00B9130E"/>
    <w:rsid w:val="00B97C33"/>
    <w:rsid w:val="00BB6EFF"/>
    <w:rsid w:val="00BC2F40"/>
    <w:rsid w:val="00BD2D5A"/>
    <w:rsid w:val="00BD66DC"/>
    <w:rsid w:val="00BE5622"/>
    <w:rsid w:val="00BF4D30"/>
    <w:rsid w:val="00BF536D"/>
    <w:rsid w:val="00BF63B8"/>
    <w:rsid w:val="00BF70A6"/>
    <w:rsid w:val="00C230D9"/>
    <w:rsid w:val="00C2622F"/>
    <w:rsid w:val="00C27032"/>
    <w:rsid w:val="00C35193"/>
    <w:rsid w:val="00C36787"/>
    <w:rsid w:val="00C369D4"/>
    <w:rsid w:val="00C42E48"/>
    <w:rsid w:val="00C47F58"/>
    <w:rsid w:val="00C50A46"/>
    <w:rsid w:val="00C52A47"/>
    <w:rsid w:val="00C575F6"/>
    <w:rsid w:val="00C620E4"/>
    <w:rsid w:val="00C62BD7"/>
    <w:rsid w:val="00C64259"/>
    <w:rsid w:val="00C8189A"/>
    <w:rsid w:val="00C927EF"/>
    <w:rsid w:val="00C96B34"/>
    <w:rsid w:val="00CA0861"/>
    <w:rsid w:val="00CA5B66"/>
    <w:rsid w:val="00CB1645"/>
    <w:rsid w:val="00CC1F20"/>
    <w:rsid w:val="00CD4A5D"/>
    <w:rsid w:val="00CF1C23"/>
    <w:rsid w:val="00CF1D6C"/>
    <w:rsid w:val="00D018D4"/>
    <w:rsid w:val="00D020A9"/>
    <w:rsid w:val="00D027E9"/>
    <w:rsid w:val="00D25FAC"/>
    <w:rsid w:val="00D40429"/>
    <w:rsid w:val="00D45A7F"/>
    <w:rsid w:val="00D5217B"/>
    <w:rsid w:val="00D61EE3"/>
    <w:rsid w:val="00D704BB"/>
    <w:rsid w:val="00D75D0D"/>
    <w:rsid w:val="00D80402"/>
    <w:rsid w:val="00D90A6D"/>
    <w:rsid w:val="00D9306E"/>
    <w:rsid w:val="00D94E10"/>
    <w:rsid w:val="00DA39DA"/>
    <w:rsid w:val="00DA754A"/>
    <w:rsid w:val="00DB3361"/>
    <w:rsid w:val="00DB3639"/>
    <w:rsid w:val="00DE30DB"/>
    <w:rsid w:val="00DE3A49"/>
    <w:rsid w:val="00DF5F9F"/>
    <w:rsid w:val="00DF7844"/>
    <w:rsid w:val="00E015F1"/>
    <w:rsid w:val="00E11AEB"/>
    <w:rsid w:val="00E12C78"/>
    <w:rsid w:val="00E238BF"/>
    <w:rsid w:val="00E2580C"/>
    <w:rsid w:val="00E266F9"/>
    <w:rsid w:val="00E458E1"/>
    <w:rsid w:val="00E52D2A"/>
    <w:rsid w:val="00E546F8"/>
    <w:rsid w:val="00E54FF7"/>
    <w:rsid w:val="00E71C42"/>
    <w:rsid w:val="00E74BC1"/>
    <w:rsid w:val="00E760C8"/>
    <w:rsid w:val="00E93965"/>
    <w:rsid w:val="00E94CB9"/>
    <w:rsid w:val="00E969D5"/>
    <w:rsid w:val="00EA3C5D"/>
    <w:rsid w:val="00EB2C34"/>
    <w:rsid w:val="00EB3F20"/>
    <w:rsid w:val="00ED06C8"/>
    <w:rsid w:val="00EF4052"/>
    <w:rsid w:val="00EF55E1"/>
    <w:rsid w:val="00EF643A"/>
    <w:rsid w:val="00F01729"/>
    <w:rsid w:val="00F11B7F"/>
    <w:rsid w:val="00F157C3"/>
    <w:rsid w:val="00F231C4"/>
    <w:rsid w:val="00F27980"/>
    <w:rsid w:val="00F31C4B"/>
    <w:rsid w:val="00F51050"/>
    <w:rsid w:val="00F57CD4"/>
    <w:rsid w:val="00F61F69"/>
    <w:rsid w:val="00F816B2"/>
    <w:rsid w:val="00FB075F"/>
    <w:rsid w:val="00FB5F37"/>
    <w:rsid w:val="00FC78F0"/>
    <w:rsid w:val="00FD5F71"/>
    <w:rsid w:val="00FD66C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1FBB-81CA-41BD-A3C7-CEB603F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053"/>
    <w:pPr>
      <w:ind w:left="720"/>
      <w:contextualSpacing/>
    </w:pPr>
  </w:style>
  <w:style w:type="paragraph" w:customStyle="1" w:styleId="naisf">
    <w:name w:val="naisf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basedOn w:val="Normal"/>
    <w:uiPriority w:val="1"/>
    <w:qFormat/>
    <w:rsid w:val="005533E2"/>
    <w:pPr>
      <w:widowControl/>
      <w:spacing w:after="0" w:line="240" w:lineRule="auto"/>
    </w:pPr>
    <w:rPr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244C96"/>
  </w:style>
  <w:style w:type="character" w:customStyle="1" w:styleId="apple-converted-space">
    <w:name w:val="apple-converted-space"/>
    <w:basedOn w:val="DefaultParagraphFont"/>
    <w:rsid w:val="00244C96"/>
  </w:style>
  <w:style w:type="paragraph" w:customStyle="1" w:styleId="tvhtml">
    <w:name w:val="tv_html"/>
    <w:basedOn w:val="Normal"/>
    <w:rsid w:val="00244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4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F9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B170C9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6B0C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CD"/>
    <w:rPr>
      <w:rFonts w:ascii="Segoe UI" w:eastAsia="Calibri" w:hAnsi="Segoe UI" w:cs="Segoe UI"/>
      <w:sz w:val="18"/>
      <w:szCs w:val="18"/>
      <w:lang w:val="en-US"/>
    </w:rPr>
  </w:style>
  <w:style w:type="character" w:customStyle="1" w:styleId="spelle">
    <w:name w:val="spelle"/>
    <w:rsid w:val="00CF1D6C"/>
  </w:style>
  <w:style w:type="character" w:customStyle="1" w:styleId="apple-style-span">
    <w:name w:val="apple-style-span"/>
    <w:basedOn w:val="DefaultParagraphFont"/>
    <w:rsid w:val="0013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581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29D8-E0A8-4FC0-83F2-1DB89CE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"Publisko iepirkumu likums" sākotnējās ietekmes novērtējuma ziņojums (anotācija)</vt:lpstr>
    </vt:vector>
  </TitlesOfParts>
  <Company>Finanšu ministrija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Likumprojekta anotācija</dc:subject>
  <dc:creator>Edgars Matulis</dc:creator>
  <cp:keywords/>
  <dc:description>Matulis
67095457, edgars.matulis@fm.gov.lv</dc:description>
  <cp:lastModifiedBy>Gunta Puidīte</cp:lastModifiedBy>
  <cp:revision>28</cp:revision>
  <cp:lastPrinted>2016-01-07T15:26:00Z</cp:lastPrinted>
  <dcterms:created xsi:type="dcterms:W3CDTF">2015-12-17T07:26:00Z</dcterms:created>
  <dcterms:modified xsi:type="dcterms:W3CDTF">2016-01-08T10:59:00Z</dcterms:modified>
</cp:coreProperties>
</file>