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45" w:rsidRPr="00147145" w:rsidRDefault="00147145" w:rsidP="009F5147">
      <w:pPr>
        <w:tabs>
          <w:tab w:val="left" w:pos="6480"/>
        </w:tabs>
        <w:rPr>
          <w:rFonts w:eastAsia="Times New Roman" w:cs="Times New Roman"/>
          <w:sz w:val="28"/>
          <w:szCs w:val="28"/>
          <w:lang w:val="en-GB"/>
        </w:rPr>
      </w:pPr>
      <w:bookmarkStart w:id="0" w:name="_GoBack"/>
      <w:bookmarkEnd w:id="0"/>
    </w:p>
    <w:p w:rsidR="00A211A5" w:rsidRPr="00A211A5" w:rsidRDefault="00A211A5" w:rsidP="00A211A5">
      <w:pPr>
        <w:keepNext/>
        <w:jc w:val="right"/>
        <w:outlineLvl w:val="1"/>
        <w:rPr>
          <w:rFonts w:eastAsia="Times New Roman" w:cs="Times New Roman"/>
          <w:i/>
          <w:sz w:val="28"/>
          <w:szCs w:val="28"/>
        </w:rPr>
      </w:pPr>
      <w:bookmarkStart w:id="1" w:name="n0"/>
      <w:bookmarkEnd w:id="1"/>
      <w:r w:rsidRPr="00A211A5">
        <w:rPr>
          <w:rFonts w:eastAsia="Times New Roman" w:cs="Times New Roman"/>
          <w:i/>
          <w:sz w:val="28"/>
          <w:szCs w:val="28"/>
        </w:rPr>
        <w:t>Projekts</w:t>
      </w:r>
    </w:p>
    <w:p w:rsidR="00A211A5" w:rsidRPr="00A211A5" w:rsidRDefault="00A211A5" w:rsidP="00A211A5">
      <w:pPr>
        <w:outlineLvl w:val="0"/>
        <w:rPr>
          <w:rFonts w:eastAsia="Times New Roman" w:cs="Times New Roman"/>
          <w:sz w:val="28"/>
          <w:szCs w:val="28"/>
        </w:rPr>
      </w:pPr>
    </w:p>
    <w:p w:rsidR="00A211A5" w:rsidRPr="00A211A5" w:rsidRDefault="00A211A5" w:rsidP="00A211A5">
      <w:pPr>
        <w:tabs>
          <w:tab w:val="left" w:pos="6804"/>
        </w:tabs>
        <w:rPr>
          <w:rFonts w:eastAsia="Times New Roman" w:cs="Times New Roman"/>
          <w:sz w:val="28"/>
          <w:szCs w:val="28"/>
        </w:rPr>
      </w:pPr>
    </w:p>
    <w:p w:rsidR="00A211A5" w:rsidRPr="00C97436" w:rsidRDefault="00A211A5" w:rsidP="00A211A5">
      <w:pPr>
        <w:tabs>
          <w:tab w:val="left" w:pos="5812"/>
        </w:tabs>
        <w:rPr>
          <w:rFonts w:eastAsia="Times New Roman" w:cs="Times New Roman"/>
          <w:sz w:val="26"/>
          <w:szCs w:val="26"/>
        </w:rPr>
      </w:pPr>
      <w:r w:rsidRPr="00C97436">
        <w:rPr>
          <w:rFonts w:eastAsia="Times New Roman" w:cs="Times New Roman"/>
          <w:sz w:val="26"/>
          <w:szCs w:val="26"/>
        </w:rPr>
        <w:t xml:space="preserve">2015. gada ___. _________                                </w:t>
      </w:r>
      <w:r w:rsidR="009F5147" w:rsidRPr="00C97436">
        <w:rPr>
          <w:rFonts w:eastAsia="Times New Roman" w:cs="Times New Roman"/>
          <w:sz w:val="26"/>
          <w:szCs w:val="26"/>
        </w:rPr>
        <w:t xml:space="preserve">             </w:t>
      </w:r>
      <w:r w:rsidRPr="00C97436">
        <w:rPr>
          <w:rFonts w:eastAsia="Times New Roman" w:cs="Times New Roman"/>
          <w:sz w:val="26"/>
          <w:szCs w:val="26"/>
        </w:rPr>
        <w:t>Noteikumi Nr.__</w:t>
      </w:r>
    </w:p>
    <w:p w:rsidR="00A211A5" w:rsidRPr="00C97436" w:rsidRDefault="00A211A5" w:rsidP="009F5147">
      <w:pPr>
        <w:tabs>
          <w:tab w:val="left" w:pos="6237"/>
          <w:tab w:val="left" w:pos="8364"/>
        </w:tabs>
        <w:rPr>
          <w:rFonts w:eastAsia="Times New Roman" w:cs="Times New Roman"/>
          <w:sz w:val="26"/>
          <w:szCs w:val="26"/>
        </w:rPr>
      </w:pPr>
      <w:r w:rsidRPr="00C97436">
        <w:rPr>
          <w:rFonts w:eastAsia="Times New Roman" w:cs="Times New Roman"/>
          <w:sz w:val="26"/>
          <w:szCs w:val="26"/>
        </w:rPr>
        <w:t>Rīgā</w:t>
      </w:r>
      <w:r w:rsidRPr="00C97436">
        <w:rPr>
          <w:rFonts w:eastAsia="Times New Roman" w:cs="Times New Roman"/>
          <w:sz w:val="26"/>
          <w:szCs w:val="26"/>
        </w:rPr>
        <w:tab/>
        <w:t>(prot. Nr. __. __§)</w:t>
      </w:r>
    </w:p>
    <w:p w:rsidR="00147145" w:rsidRPr="00C97436" w:rsidRDefault="00147145" w:rsidP="00147145">
      <w:pPr>
        <w:jc w:val="both"/>
        <w:rPr>
          <w:rFonts w:eastAsia="Times New Roman" w:cs="Times New Roman"/>
          <w:sz w:val="26"/>
          <w:szCs w:val="26"/>
          <w:lang w:val="en-GB"/>
        </w:rPr>
      </w:pPr>
    </w:p>
    <w:p w:rsidR="00147145" w:rsidRPr="00C97436" w:rsidRDefault="00147145" w:rsidP="00147145">
      <w:pPr>
        <w:jc w:val="both"/>
        <w:rPr>
          <w:rFonts w:eastAsia="Times New Roman" w:cs="Times New Roman"/>
          <w:sz w:val="26"/>
          <w:szCs w:val="26"/>
          <w:lang w:val="en-GB"/>
        </w:rPr>
      </w:pPr>
    </w:p>
    <w:p w:rsidR="00147145" w:rsidRPr="00C97436" w:rsidRDefault="00147145" w:rsidP="00147145">
      <w:pPr>
        <w:rPr>
          <w:rFonts w:eastAsia="Times New Roman" w:cs="Times New Roman"/>
          <w:sz w:val="26"/>
          <w:szCs w:val="26"/>
          <w:lang w:val="en-GB"/>
        </w:rPr>
      </w:pPr>
    </w:p>
    <w:p w:rsidR="00500242" w:rsidRPr="00C97436" w:rsidRDefault="00035A28" w:rsidP="00147145">
      <w:pPr>
        <w:jc w:val="center"/>
        <w:rPr>
          <w:rFonts w:eastAsia="Times New Roman" w:cs="Times New Roman"/>
          <w:b/>
          <w:bCs/>
          <w:sz w:val="26"/>
          <w:szCs w:val="26"/>
          <w:lang w:val="pt-BR" w:eastAsia="lv-LV"/>
        </w:rPr>
      </w:pPr>
      <w:r w:rsidRPr="00C97436">
        <w:rPr>
          <w:rFonts w:eastAsia="Times New Roman" w:cs="Times New Roman"/>
          <w:b/>
          <w:bCs/>
          <w:sz w:val="26"/>
          <w:szCs w:val="26"/>
          <w:lang w:val="pt-BR" w:eastAsia="lv-LV"/>
        </w:rPr>
        <w:t xml:space="preserve">Noteikumi par </w:t>
      </w:r>
      <w:r w:rsidR="00500242" w:rsidRPr="00C97436">
        <w:rPr>
          <w:rFonts w:eastAsia="Times New Roman" w:cs="Times New Roman"/>
          <w:b/>
          <w:bCs/>
          <w:sz w:val="26"/>
          <w:szCs w:val="26"/>
          <w:lang w:val="pt-BR" w:eastAsia="lv-LV"/>
        </w:rPr>
        <w:t>neapliekamā minimuma un nodokļa atvieglojuma apmēru</w:t>
      </w:r>
      <w:r w:rsidRPr="00C97436">
        <w:rPr>
          <w:rFonts w:eastAsia="Times New Roman" w:cs="Times New Roman"/>
          <w:b/>
          <w:bCs/>
          <w:sz w:val="26"/>
          <w:szCs w:val="26"/>
          <w:lang w:val="pt-BR" w:eastAsia="lv-LV"/>
        </w:rPr>
        <w:t xml:space="preserve"> </w:t>
      </w:r>
      <w:r w:rsidR="00500242" w:rsidRPr="00C97436">
        <w:rPr>
          <w:rFonts w:eastAsia="Times New Roman" w:cs="Times New Roman"/>
          <w:b/>
          <w:bCs/>
          <w:sz w:val="26"/>
          <w:szCs w:val="26"/>
          <w:lang w:val="pt-BR" w:eastAsia="lv-LV"/>
        </w:rPr>
        <w:t>iedzīvotāju ienākuma nodokļa aprēķināšanai</w:t>
      </w:r>
    </w:p>
    <w:p w:rsidR="00147145" w:rsidRPr="00C97436" w:rsidRDefault="00147145" w:rsidP="00147145">
      <w:pPr>
        <w:ind w:firstLine="709"/>
        <w:rPr>
          <w:rFonts w:eastAsia="Times New Roman" w:cs="Times New Roman"/>
          <w:sz w:val="26"/>
          <w:szCs w:val="26"/>
          <w:lang w:val="en-GB"/>
        </w:rPr>
      </w:pPr>
    </w:p>
    <w:p w:rsidR="00147145" w:rsidRPr="00C97436" w:rsidRDefault="00147145" w:rsidP="00147145">
      <w:pPr>
        <w:jc w:val="right"/>
        <w:rPr>
          <w:rFonts w:eastAsia="Times New Roman" w:cs="Times New Roman"/>
          <w:i/>
          <w:sz w:val="26"/>
          <w:szCs w:val="26"/>
        </w:rPr>
      </w:pPr>
      <w:r w:rsidRPr="00C97436">
        <w:rPr>
          <w:rFonts w:eastAsia="Times New Roman" w:cs="Times New Roman"/>
          <w:i/>
          <w:sz w:val="26"/>
          <w:szCs w:val="26"/>
        </w:rPr>
        <w:t xml:space="preserve">Izdoti saskaņā ar likuma </w:t>
      </w:r>
    </w:p>
    <w:p w:rsidR="00147145" w:rsidRPr="00C97436" w:rsidRDefault="00147145" w:rsidP="00147145">
      <w:pPr>
        <w:jc w:val="right"/>
        <w:rPr>
          <w:rFonts w:eastAsia="Times New Roman" w:cs="Times New Roman"/>
          <w:i/>
          <w:sz w:val="26"/>
          <w:szCs w:val="26"/>
        </w:rPr>
      </w:pPr>
      <w:r w:rsidRPr="00C97436">
        <w:rPr>
          <w:rFonts w:eastAsia="Times New Roman" w:cs="Times New Roman"/>
          <w:i/>
          <w:sz w:val="26"/>
          <w:szCs w:val="26"/>
        </w:rPr>
        <w:t>“Par iedzīvotāju ienākuma nodokli”</w:t>
      </w:r>
    </w:p>
    <w:p w:rsidR="00BF01DB" w:rsidRPr="00C97436" w:rsidRDefault="00500242" w:rsidP="00147145">
      <w:pPr>
        <w:jc w:val="right"/>
        <w:rPr>
          <w:rFonts w:eastAsia="Times New Roman" w:cs="Times New Roman"/>
          <w:i/>
          <w:sz w:val="26"/>
          <w:szCs w:val="26"/>
        </w:rPr>
      </w:pPr>
      <w:r w:rsidRPr="00C97436">
        <w:rPr>
          <w:rFonts w:eastAsia="Times New Roman" w:cs="Times New Roman"/>
          <w:i/>
          <w:sz w:val="26"/>
          <w:szCs w:val="26"/>
        </w:rPr>
        <w:t xml:space="preserve">12.panta </w:t>
      </w:r>
      <w:r w:rsidR="00BF01DB" w:rsidRPr="00C97436">
        <w:rPr>
          <w:rFonts w:eastAsia="Times New Roman" w:cs="Times New Roman"/>
          <w:i/>
          <w:sz w:val="26"/>
          <w:szCs w:val="26"/>
        </w:rPr>
        <w:t>1.</w:t>
      </w:r>
      <w:r w:rsidR="00BF01DB" w:rsidRPr="00C97436">
        <w:rPr>
          <w:rFonts w:eastAsia="Times New Roman" w:cs="Times New Roman"/>
          <w:i/>
          <w:sz w:val="26"/>
          <w:szCs w:val="26"/>
          <w:vertAlign w:val="superscript"/>
        </w:rPr>
        <w:t>1</w:t>
      </w:r>
      <w:r w:rsidR="007D70C9" w:rsidRPr="00C97436">
        <w:rPr>
          <w:rFonts w:eastAsia="Times New Roman" w:cs="Times New Roman"/>
          <w:i/>
          <w:sz w:val="26"/>
          <w:szCs w:val="26"/>
        </w:rPr>
        <w:t>, 1.</w:t>
      </w:r>
      <w:r w:rsidR="007D70C9" w:rsidRPr="00C97436">
        <w:rPr>
          <w:rFonts w:eastAsia="Times New Roman" w:cs="Times New Roman"/>
          <w:i/>
          <w:sz w:val="26"/>
          <w:szCs w:val="26"/>
          <w:vertAlign w:val="superscript"/>
        </w:rPr>
        <w:t>3</w:t>
      </w:r>
      <w:r w:rsidR="00BF01DB" w:rsidRPr="00C97436">
        <w:rPr>
          <w:rFonts w:eastAsia="Times New Roman" w:cs="Times New Roman"/>
          <w:i/>
          <w:sz w:val="26"/>
          <w:szCs w:val="26"/>
        </w:rPr>
        <w:t xml:space="preserve"> un</w:t>
      </w:r>
      <w:r w:rsidR="007D70C9" w:rsidRPr="00C97436">
        <w:rPr>
          <w:rFonts w:eastAsia="Times New Roman" w:cs="Times New Roman"/>
          <w:i/>
          <w:sz w:val="26"/>
          <w:szCs w:val="26"/>
        </w:rPr>
        <w:t xml:space="preserve"> 4.</w:t>
      </w:r>
      <w:r w:rsidR="007D70C9" w:rsidRPr="00C97436">
        <w:rPr>
          <w:rFonts w:eastAsia="Times New Roman" w:cs="Times New Roman"/>
          <w:i/>
          <w:sz w:val="26"/>
          <w:szCs w:val="26"/>
          <w:vertAlign w:val="superscript"/>
        </w:rPr>
        <w:t>2</w:t>
      </w:r>
      <w:r w:rsidR="007D70C9" w:rsidRPr="00C97436">
        <w:rPr>
          <w:rFonts w:eastAsia="Times New Roman" w:cs="Times New Roman"/>
          <w:i/>
          <w:sz w:val="26"/>
          <w:szCs w:val="26"/>
        </w:rPr>
        <w:t xml:space="preserve"> </w:t>
      </w:r>
      <w:r w:rsidRPr="00C97436">
        <w:rPr>
          <w:rFonts w:eastAsia="Times New Roman" w:cs="Times New Roman"/>
          <w:i/>
          <w:sz w:val="26"/>
          <w:szCs w:val="26"/>
        </w:rPr>
        <w:t xml:space="preserve">daļu un </w:t>
      </w:r>
    </w:p>
    <w:p w:rsidR="00500242" w:rsidRPr="00C97436" w:rsidRDefault="00500242" w:rsidP="00147145">
      <w:pPr>
        <w:jc w:val="right"/>
        <w:rPr>
          <w:rFonts w:eastAsia="Times New Roman" w:cs="Times New Roman"/>
          <w:i/>
          <w:sz w:val="26"/>
          <w:szCs w:val="26"/>
        </w:rPr>
      </w:pPr>
      <w:r w:rsidRPr="00C97436">
        <w:rPr>
          <w:rFonts w:eastAsia="Times New Roman" w:cs="Times New Roman"/>
          <w:i/>
          <w:sz w:val="26"/>
          <w:szCs w:val="26"/>
        </w:rPr>
        <w:t>13.panta pirmās daļas 1.punktu</w:t>
      </w:r>
    </w:p>
    <w:p w:rsidR="00147145" w:rsidRPr="00C97436" w:rsidRDefault="00147145" w:rsidP="00BF01DB">
      <w:pPr>
        <w:tabs>
          <w:tab w:val="left" w:pos="720"/>
        </w:tabs>
        <w:jc w:val="both"/>
        <w:rPr>
          <w:rFonts w:eastAsia="Times New Roman" w:cs="Times New Roman"/>
          <w:sz w:val="26"/>
          <w:szCs w:val="26"/>
        </w:rPr>
      </w:pPr>
    </w:p>
    <w:p w:rsidR="00BF01DB" w:rsidRPr="00C97436" w:rsidRDefault="00BF01DB" w:rsidP="006140EE">
      <w:pPr>
        <w:numPr>
          <w:ilvl w:val="0"/>
          <w:numId w:val="1"/>
        </w:numPr>
        <w:ind w:left="0" w:firstLine="720"/>
        <w:jc w:val="both"/>
        <w:rPr>
          <w:rFonts w:eastAsia="Times New Roman" w:cs="Times New Roman"/>
          <w:sz w:val="26"/>
          <w:szCs w:val="26"/>
        </w:rPr>
      </w:pPr>
      <w:r w:rsidRPr="00C97436">
        <w:rPr>
          <w:rFonts w:eastAsia="Times New Roman" w:cs="Times New Roman"/>
          <w:sz w:val="26"/>
          <w:szCs w:val="26"/>
        </w:rPr>
        <w:t>Noteikumi nosaka iedzīvotāju ienākuma nodokļa maksātāja</w:t>
      </w:r>
      <w:r w:rsidR="00035A28" w:rsidRPr="00C97436">
        <w:rPr>
          <w:rFonts w:eastAsia="Times New Roman" w:cs="Times New Roman"/>
          <w:sz w:val="26"/>
          <w:szCs w:val="26"/>
        </w:rPr>
        <w:t xml:space="preserve"> </w:t>
      </w:r>
      <w:r w:rsidR="00C73863" w:rsidRPr="00C97436">
        <w:rPr>
          <w:rFonts w:eastAsia="Times New Roman" w:cs="Times New Roman"/>
          <w:sz w:val="26"/>
          <w:szCs w:val="26"/>
        </w:rPr>
        <w:t xml:space="preserve">minimālo </w:t>
      </w:r>
      <w:r w:rsidRPr="00C97436">
        <w:rPr>
          <w:rFonts w:eastAsia="Times New Roman" w:cs="Times New Roman"/>
          <w:sz w:val="26"/>
          <w:szCs w:val="26"/>
        </w:rPr>
        <w:t>mēneša neapliekamā minimuma</w:t>
      </w:r>
      <w:r w:rsidR="00C73863" w:rsidRPr="00C97436">
        <w:rPr>
          <w:rFonts w:eastAsia="Times New Roman" w:cs="Times New Roman"/>
          <w:sz w:val="26"/>
          <w:szCs w:val="26"/>
        </w:rPr>
        <w:t xml:space="preserve"> apmēru</w:t>
      </w:r>
      <w:r w:rsidR="00035A28" w:rsidRPr="00C97436">
        <w:rPr>
          <w:rFonts w:eastAsia="Times New Roman" w:cs="Times New Roman"/>
          <w:sz w:val="26"/>
          <w:szCs w:val="26"/>
        </w:rPr>
        <w:t xml:space="preserve">, </w:t>
      </w:r>
      <w:r w:rsidR="00C73863" w:rsidRPr="00C97436">
        <w:rPr>
          <w:rFonts w:eastAsia="Times New Roman" w:cs="Times New Roman"/>
          <w:sz w:val="26"/>
          <w:szCs w:val="26"/>
        </w:rPr>
        <w:t>maksimālo g</w:t>
      </w:r>
      <w:r w:rsidR="00236D23" w:rsidRPr="00C97436">
        <w:rPr>
          <w:rFonts w:eastAsia="Times New Roman" w:cs="Times New Roman"/>
          <w:sz w:val="26"/>
          <w:szCs w:val="26"/>
        </w:rPr>
        <w:t>ada neapliekamā minimuma apmēru,</w:t>
      </w:r>
      <w:r w:rsidR="00035A28" w:rsidRPr="00C97436">
        <w:rPr>
          <w:rFonts w:eastAsia="Times New Roman" w:cs="Times New Roman"/>
          <w:sz w:val="26"/>
          <w:szCs w:val="26"/>
        </w:rPr>
        <w:t xml:space="preserve"> </w:t>
      </w:r>
      <w:r w:rsidR="00C73863" w:rsidRPr="00C97436">
        <w:rPr>
          <w:rFonts w:eastAsia="Times New Roman" w:cs="Times New Roman"/>
          <w:sz w:val="26"/>
          <w:szCs w:val="26"/>
        </w:rPr>
        <w:t>gada apliekamā ienākuma</w:t>
      </w:r>
      <w:r w:rsidR="006140EE" w:rsidRPr="00C97436">
        <w:rPr>
          <w:rFonts w:eastAsia="Times New Roman" w:cs="Times New Roman"/>
          <w:sz w:val="26"/>
          <w:szCs w:val="26"/>
        </w:rPr>
        <w:t xml:space="preserve"> apmēru, līdz kuram piemēro maksimālo gada neapliekamo minimumu</w:t>
      </w:r>
      <w:r w:rsidR="00035A28" w:rsidRPr="00C97436">
        <w:rPr>
          <w:rFonts w:eastAsia="Times New Roman" w:cs="Times New Roman"/>
          <w:sz w:val="26"/>
          <w:szCs w:val="26"/>
        </w:rPr>
        <w:t xml:space="preserve">, </w:t>
      </w:r>
      <w:r w:rsidR="00013593" w:rsidRPr="00C97436">
        <w:rPr>
          <w:rFonts w:eastAsia="Times New Roman" w:cs="Times New Roman"/>
          <w:sz w:val="26"/>
          <w:szCs w:val="26"/>
        </w:rPr>
        <w:t xml:space="preserve">gada apliekamā ienākuma </w:t>
      </w:r>
      <w:r w:rsidR="006B4748" w:rsidRPr="00C97436">
        <w:rPr>
          <w:rFonts w:eastAsia="Times New Roman" w:cs="Times New Roman"/>
          <w:sz w:val="26"/>
          <w:szCs w:val="26"/>
        </w:rPr>
        <w:t>apmēru, virs kura piemēro tikai mini</w:t>
      </w:r>
      <w:r w:rsidR="00DA37F8" w:rsidRPr="00C97436">
        <w:rPr>
          <w:rFonts w:eastAsia="Times New Roman" w:cs="Times New Roman"/>
          <w:sz w:val="26"/>
          <w:szCs w:val="26"/>
        </w:rPr>
        <w:t>mālo gada neapliekamo minimumu</w:t>
      </w:r>
      <w:r w:rsidR="00035A28" w:rsidRPr="00C97436">
        <w:rPr>
          <w:rFonts w:eastAsia="Times New Roman" w:cs="Times New Roman"/>
          <w:sz w:val="26"/>
          <w:szCs w:val="26"/>
        </w:rPr>
        <w:t>, formulu</w:t>
      </w:r>
      <w:r w:rsidR="00013593" w:rsidRPr="00C97436">
        <w:rPr>
          <w:rFonts w:eastAsia="Times New Roman" w:cs="Times New Roman"/>
          <w:sz w:val="26"/>
          <w:szCs w:val="26"/>
        </w:rPr>
        <w:t xml:space="preserve"> maksātāja gada diferencētā neapliekamā minimuma notei</w:t>
      </w:r>
      <w:r w:rsidR="00035A28" w:rsidRPr="00C97436">
        <w:rPr>
          <w:rFonts w:eastAsia="Times New Roman" w:cs="Times New Roman"/>
          <w:sz w:val="26"/>
          <w:szCs w:val="26"/>
        </w:rPr>
        <w:t xml:space="preserve">kšanai, </w:t>
      </w:r>
      <w:r w:rsidR="00013593" w:rsidRPr="00C97436">
        <w:rPr>
          <w:rFonts w:eastAsia="Times New Roman" w:cs="Times New Roman"/>
          <w:sz w:val="26"/>
          <w:szCs w:val="26"/>
        </w:rPr>
        <w:t>gada diferencētā neapliekamā minimuma aprēķināšanas un piemērošanas kārtību par nepilnu taksācijas gadu un</w:t>
      </w:r>
      <w:r w:rsidR="00035A28" w:rsidRPr="00C97436">
        <w:rPr>
          <w:rFonts w:eastAsia="Times New Roman" w:cs="Times New Roman"/>
          <w:sz w:val="26"/>
          <w:szCs w:val="26"/>
        </w:rPr>
        <w:t xml:space="preserve"> </w:t>
      </w:r>
      <w:r w:rsidR="006140EE" w:rsidRPr="00C97436">
        <w:rPr>
          <w:rFonts w:eastAsia="Times New Roman" w:cs="Times New Roman"/>
          <w:sz w:val="26"/>
          <w:szCs w:val="26"/>
        </w:rPr>
        <w:t>nodokļa atvieglojuma</w:t>
      </w:r>
      <w:r w:rsidR="00013593" w:rsidRPr="00C97436">
        <w:rPr>
          <w:rFonts w:eastAsia="Times New Roman" w:cs="Times New Roman"/>
          <w:sz w:val="26"/>
          <w:szCs w:val="26"/>
        </w:rPr>
        <w:t xml:space="preserve"> apmēru</w:t>
      </w:r>
      <w:r w:rsidR="00035A28" w:rsidRPr="00C97436">
        <w:rPr>
          <w:rFonts w:eastAsia="Times New Roman" w:cs="Times New Roman"/>
          <w:sz w:val="26"/>
          <w:szCs w:val="26"/>
        </w:rPr>
        <w:t xml:space="preserve"> </w:t>
      </w:r>
      <w:r w:rsidRPr="00C97436">
        <w:rPr>
          <w:sz w:val="26"/>
          <w:szCs w:val="26"/>
        </w:rPr>
        <w:t>iedzīvotāju ienākuma nodokļa aprēķināšanai saskaņā ar likumu "Par iedzīvotāju ienākuma nodokli".</w:t>
      </w:r>
    </w:p>
    <w:p w:rsidR="006B4748" w:rsidRPr="00C97436" w:rsidRDefault="006B4748" w:rsidP="006140EE">
      <w:pPr>
        <w:jc w:val="both"/>
        <w:rPr>
          <w:sz w:val="26"/>
          <w:szCs w:val="26"/>
        </w:rPr>
      </w:pPr>
    </w:p>
    <w:p w:rsidR="00517D65" w:rsidRPr="00C97436" w:rsidRDefault="00517D65" w:rsidP="006B4748">
      <w:pPr>
        <w:pStyle w:val="ListParagraph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C97436">
        <w:rPr>
          <w:sz w:val="26"/>
          <w:szCs w:val="26"/>
        </w:rPr>
        <w:t>I</w:t>
      </w:r>
      <w:r w:rsidR="006B4748" w:rsidRPr="00C97436">
        <w:rPr>
          <w:sz w:val="26"/>
          <w:szCs w:val="26"/>
        </w:rPr>
        <w:t>edzīvotāju ienākuma nodokļa maksātāja minimālais mē</w:t>
      </w:r>
      <w:r w:rsidR="00082ED1" w:rsidRPr="00C97436">
        <w:rPr>
          <w:sz w:val="26"/>
          <w:szCs w:val="26"/>
        </w:rPr>
        <w:t>neša neapliekamais minimums ir</w:t>
      </w:r>
      <w:r w:rsidRPr="00C97436">
        <w:rPr>
          <w:sz w:val="26"/>
          <w:szCs w:val="26"/>
        </w:rPr>
        <w:t>:</w:t>
      </w:r>
    </w:p>
    <w:p w:rsidR="00D3277F" w:rsidRPr="00C97436" w:rsidRDefault="00D3277F" w:rsidP="00C97436">
      <w:pPr>
        <w:pStyle w:val="ListParagraph"/>
        <w:numPr>
          <w:ilvl w:val="1"/>
          <w:numId w:val="1"/>
        </w:numPr>
        <w:ind w:left="1418" w:hanging="709"/>
        <w:jc w:val="both"/>
        <w:rPr>
          <w:sz w:val="26"/>
          <w:szCs w:val="26"/>
        </w:rPr>
      </w:pPr>
      <w:r w:rsidRPr="00C97436">
        <w:rPr>
          <w:sz w:val="26"/>
          <w:szCs w:val="26"/>
        </w:rPr>
        <w:t xml:space="preserve">2016.gadā – 75 </w:t>
      </w:r>
      <w:proofErr w:type="spellStart"/>
      <w:r w:rsidRPr="00C97436">
        <w:rPr>
          <w:i/>
          <w:sz w:val="26"/>
          <w:szCs w:val="26"/>
        </w:rPr>
        <w:t>euro</w:t>
      </w:r>
      <w:proofErr w:type="spellEnd"/>
      <w:r w:rsidRPr="00C97436">
        <w:rPr>
          <w:sz w:val="26"/>
          <w:szCs w:val="26"/>
        </w:rPr>
        <w:t>;</w:t>
      </w:r>
    </w:p>
    <w:p w:rsidR="00D3277F" w:rsidRPr="00C97436" w:rsidRDefault="00D3277F" w:rsidP="00C97436">
      <w:pPr>
        <w:pStyle w:val="ListParagraph"/>
        <w:numPr>
          <w:ilvl w:val="1"/>
          <w:numId w:val="1"/>
        </w:numPr>
        <w:ind w:left="1418" w:hanging="709"/>
        <w:jc w:val="both"/>
        <w:rPr>
          <w:sz w:val="26"/>
          <w:szCs w:val="26"/>
        </w:rPr>
      </w:pPr>
      <w:r w:rsidRPr="00C97436">
        <w:rPr>
          <w:sz w:val="26"/>
          <w:szCs w:val="26"/>
        </w:rPr>
        <w:t xml:space="preserve">2017.gadā – 60 </w:t>
      </w:r>
      <w:proofErr w:type="spellStart"/>
      <w:r w:rsidRPr="00C97436">
        <w:rPr>
          <w:i/>
          <w:sz w:val="26"/>
          <w:szCs w:val="26"/>
        </w:rPr>
        <w:t>euro</w:t>
      </w:r>
      <w:proofErr w:type="spellEnd"/>
      <w:r w:rsidRPr="00C97436">
        <w:rPr>
          <w:sz w:val="26"/>
          <w:szCs w:val="26"/>
        </w:rPr>
        <w:t>;</w:t>
      </w:r>
    </w:p>
    <w:p w:rsidR="00D3277F" w:rsidRPr="00C97436" w:rsidRDefault="00D3277F" w:rsidP="00C97436">
      <w:pPr>
        <w:pStyle w:val="ListParagraph"/>
        <w:numPr>
          <w:ilvl w:val="1"/>
          <w:numId w:val="1"/>
        </w:numPr>
        <w:ind w:left="1418" w:hanging="709"/>
        <w:jc w:val="both"/>
        <w:rPr>
          <w:sz w:val="26"/>
          <w:szCs w:val="26"/>
        </w:rPr>
      </w:pPr>
      <w:r w:rsidRPr="00C97436">
        <w:rPr>
          <w:sz w:val="26"/>
          <w:szCs w:val="26"/>
        </w:rPr>
        <w:t xml:space="preserve">2018.gadā – 40 </w:t>
      </w:r>
      <w:proofErr w:type="spellStart"/>
      <w:r w:rsidRPr="00C97436">
        <w:rPr>
          <w:i/>
          <w:sz w:val="26"/>
          <w:szCs w:val="26"/>
        </w:rPr>
        <w:t>euro</w:t>
      </w:r>
      <w:proofErr w:type="spellEnd"/>
      <w:r w:rsidRPr="00C97436">
        <w:rPr>
          <w:sz w:val="26"/>
          <w:szCs w:val="26"/>
        </w:rPr>
        <w:t>;</w:t>
      </w:r>
    </w:p>
    <w:p w:rsidR="00D3277F" w:rsidRPr="00C97436" w:rsidRDefault="00D3277F" w:rsidP="00C97436">
      <w:pPr>
        <w:pStyle w:val="ListParagraph"/>
        <w:numPr>
          <w:ilvl w:val="1"/>
          <w:numId w:val="1"/>
        </w:numPr>
        <w:ind w:left="1418" w:hanging="709"/>
        <w:jc w:val="both"/>
        <w:rPr>
          <w:sz w:val="26"/>
          <w:szCs w:val="26"/>
        </w:rPr>
      </w:pPr>
      <w:r w:rsidRPr="00C97436">
        <w:rPr>
          <w:sz w:val="26"/>
          <w:szCs w:val="26"/>
        </w:rPr>
        <w:t xml:space="preserve">2019.gadā – 20 </w:t>
      </w:r>
      <w:proofErr w:type="spellStart"/>
      <w:r w:rsidRPr="00C97436">
        <w:rPr>
          <w:i/>
          <w:sz w:val="26"/>
          <w:szCs w:val="26"/>
        </w:rPr>
        <w:t>euro</w:t>
      </w:r>
      <w:proofErr w:type="spellEnd"/>
      <w:r w:rsidRPr="00C97436">
        <w:rPr>
          <w:sz w:val="26"/>
          <w:szCs w:val="26"/>
        </w:rPr>
        <w:t>;</w:t>
      </w:r>
    </w:p>
    <w:p w:rsidR="00D3277F" w:rsidRPr="00C97436" w:rsidRDefault="005C5D63" w:rsidP="00C97436">
      <w:pPr>
        <w:pStyle w:val="ListParagraph"/>
        <w:numPr>
          <w:ilvl w:val="1"/>
          <w:numId w:val="1"/>
        </w:numPr>
        <w:ind w:left="1418" w:hanging="709"/>
        <w:jc w:val="both"/>
        <w:rPr>
          <w:sz w:val="26"/>
          <w:szCs w:val="26"/>
        </w:rPr>
      </w:pPr>
      <w:r w:rsidRPr="00C97436">
        <w:rPr>
          <w:sz w:val="26"/>
          <w:szCs w:val="26"/>
        </w:rPr>
        <w:t>no 2020.gada</w:t>
      </w:r>
      <w:r w:rsidR="00D3277F" w:rsidRPr="00C97436">
        <w:rPr>
          <w:sz w:val="26"/>
          <w:szCs w:val="26"/>
        </w:rPr>
        <w:t xml:space="preserve"> – 0 </w:t>
      </w:r>
      <w:proofErr w:type="spellStart"/>
      <w:r w:rsidR="00D3277F" w:rsidRPr="00C97436">
        <w:rPr>
          <w:i/>
          <w:sz w:val="26"/>
          <w:szCs w:val="26"/>
        </w:rPr>
        <w:t>euro</w:t>
      </w:r>
      <w:proofErr w:type="spellEnd"/>
      <w:r w:rsidR="00D3277F" w:rsidRPr="00C97436">
        <w:rPr>
          <w:sz w:val="26"/>
          <w:szCs w:val="26"/>
        </w:rPr>
        <w:t>.</w:t>
      </w:r>
    </w:p>
    <w:p w:rsidR="006B4748" w:rsidRPr="00C97436" w:rsidRDefault="006B4748" w:rsidP="006B4748">
      <w:pPr>
        <w:jc w:val="both"/>
        <w:rPr>
          <w:sz w:val="26"/>
          <w:szCs w:val="26"/>
        </w:rPr>
      </w:pPr>
    </w:p>
    <w:p w:rsidR="006B4748" w:rsidRPr="00C97436" w:rsidRDefault="00B959BF" w:rsidP="00B959BF">
      <w:pPr>
        <w:pStyle w:val="ListParagraph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C97436">
        <w:rPr>
          <w:rFonts w:eastAsia="Times New Roman" w:cs="Times New Roman"/>
          <w:iCs/>
          <w:color w:val="000000"/>
          <w:sz w:val="26"/>
          <w:szCs w:val="26"/>
        </w:rPr>
        <w:t>Nodokļa maksātāja gada apliekamajā ienākumā netiek ietverts ienākums gada diferencētā neapliekamā minimuma apmērā, kuru nosaka atbilstoši formulai:</w:t>
      </w:r>
    </w:p>
    <w:p w:rsidR="00B959BF" w:rsidRPr="00C97436" w:rsidRDefault="00B959BF" w:rsidP="00B959BF">
      <w:pPr>
        <w:pStyle w:val="ListParagraph"/>
        <w:rPr>
          <w:sz w:val="26"/>
          <w:szCs w:val="26"/>
        </w:rPr>
      </w:pPr>
    </w:p>
    <w:p w:rsidR="00B959BF" w:rsidRPr="00C97436" w:rsidRDefault="00B959BF" w:rsidP="0046758A">
      <w:pPr>
        <w:pStyle w:val="ListParagraph"/>
        <w:ind w:left="709"/>
        <w:jc w:val="center"/>
        <w:rPr>
          <w:sz w:val="26"/>
          <w:szCs w:val="26"/>
        </w:rPr>
      </w:pPr>
      <w:r w:rsidRPr="00C97436">
        <w:rPr>
          <w:sz w:val="26"/>
          <w:szCs w:val="26"/>
        </w:rPr>
        <w:t xml:space="preserve">GDNM = </w:t>
      </w:r>
      <w:proofErr w:type="spellStart"/>
      <w:r w:rsidRPr="00C97436">
        <w:rPr>
          <w:sz w:val="26"/>
          <w:szCs w:val="26"/>
        </w:rPr>
        <w:t>GNM</w:t>
      </w:r>
      <w:r w:rsidRPr="00C97436">
        <w:rPr>
          <w:sz w:val="26"/>
          <w:szCs w:val="26"/>
          <w:vertAlign w:val="subscript"/>
        </w:rPr>
        <w:t>max</w:t>
      </w:r>
      <w:proofErr w:type="spellEnd"/>
      <w:r w:rsidRPr="00C97436">
        <w:rPr>
          <w:sz w:val="26"/>
          <w:szCs w:val="26"/>
          <w:vertAlign w:val="subscript"/>
        </w:rPr>
        <w:t xml:space="preserve"> </w:t>
      </w:r>
      <w:r w:rsidRPr="00C97436">
        <w:rPr>
          <w:sz w:val="26"/>
          <w:szCs w:val="26"/>
        </w:rPr>
        <w:t>–</w:t>
      </w:r>
      <w:r w:rsidR="0046758A" w:rsidRPr="00C97436">
        <w:rPr>
          <w:sz w:val="26"/>
          <w:szCs w:val="26"/>
        </w:rPr>
        <w:t xml:space="preserve"> K</w:t>
      </w:r>
      <w:r w:rsidRPr="00C97436">
        <w:rPr>
          <w:sz w:val="26"/>
          <w:szCs w:val="26"/>
        </w:rPr>
        <w:t xml:space="preserve"> </w:t>
      </w:r>
      <w:r w:rsidR="0046758A" w:rsidRPr="00C97436">
        <w:rPr>
          <w:sz w:val="26"/>
          <w:szCs w:val="26"/>
        </w:rPr>
        <w:t xml:space="preserve">x </w:t>
      </w:r>
      <w:r w:rsidRPr="00C97436">
        <w:rPr>
          <w:sz w:val="26"/>
          <w:szCs w:val="26"/>
        </w:rPr>
        <w:t>(</w:t>
      </w:r>
      <w:r w:rsidR="0046758A" w:rsidRPr="00C97436">
        <w:rPr>
          <w:sz w:val="26"/>
          <w:szCs w:val="26"/>
        </w:rPr>
        <w:t xml:space="preserve">AI – </w:t>
      </w:r>
      <w:proofErr w:type="spellStart"/>
      <w:r w:rsidR="0046758A" w:rsidRPr="00C97436">
        <w:rPr>
          <w:sz w:val="26"/>
          <w:szCs w:val="26"/>
        </w:rPr>
        <w:t>AI</w:t>
      </w:r>
      <w:r w:rsidR="0046758A" w:rsidRPr="00C97436">
        <w:rPr>
          <w:sz w:val="26"/>
          <w:szCs w:val="26"/>
          <w:vertAlign w:val="subscript"/>
        </w:rPr>
        <w:t>min</w:t>
      </w:r>
      <w:proofErr w:type="spellEnd"/>
      <w:r w:rsidR="0046758A" w:rsidRPr="00C97436">
        <w:rPr>
          <w:sz w:val="26"/>
          <w:szCs w:val="26"/>
        </w:rPr>
        <w:t>)</w:t>
      </w:r>
      <w:r w:rsidR="00443C65" w:rsidRPr="00C97436">
        <w:rPr>
          <w:sz w:val="26"/>
          <w:szCs w:val="26"/>
        </w:rPr>
        <w:t>, kur</w:t>
      </w:r>
    </w:p>
    <w:p w:rsidR="0046758A" w:rsidRPr="00C97436" w:rsidRDefault="0046758A" w:rsidP="0046758A">
      <w:pPr>
        <w:pStyle w:val="ListParagraph"/>
        <w:ind w:left="709"/>
        <w:jc w:val="center"/>
        <w:rPr>
          <w:sz w:val="26"/>
          <w:szCs w:val="26"/>
        </w:rPr>
      </w:pPr>
    </w:p>
    <w:p w:rsidR="00822D75" w:rsidRPr="00C97436" w:rsidRDefault="00D05E9B" w:rsidP="00822D75">
      <w:pPr>
        <w:pStyle w:val="ListParagraph"/>
        <w:ind w:left="709"/>
        <w:rPr>
          <w:sz w:val="26"/>
          <w:szCs w:val="26"/>
        </w:rPr>
      </w:pPr>
      <w:r w:rsidRPr="00C97436">
        <w:rPr>
          <w:sz w:val="26"/>
          <w:szCs w:val="26"/>
        </w:rPr>
        <w:t>K – koeficients,</w:t>
      </w:r>
      <w:r w:rsidR="00822D75" w:rsidRPr="00C97436">
        <w:rPr>
          <w:sz w:val="26"/>
          <w:szCs w:val="26"/>
        </w:rPr>
        <w:t xml:space="preserve"> kuru nosaka šādi:</w:t>
      </w:r>
    </w:p>
    <w:p w:rsidR="0046758A" w:rsidRPr="00C97436" w:rsidRDefault="00B777F5" w:rsidP="007C13A5">
      <w:pPr>
        <w:pStyle w:val="ListParagraph"/>
        <w:ind w:left="709"/>
        <w:jc w:val="center"/>
        <w:rPr>
          <w:sz w:val="26"/>
          <w:szCs w:val="26"/>
        </w:rPr>
      </w:pPr>
      <w:r w:rsidRPr="00C97436">
        <w:rPr>
          <w:sz w:val="26"/>
          <w:szCs w:val="26"/>
        </w:rPr>
        <w:t>K</w:t>
      </w:r>
      <w:r w:rsidR="0046758A" w:rsidRPr="00C97436">
        <w:rPr>
          <w:sz w:val="26"/>
          <w:szCs w:val="26"/>
        </w:rPr>
        <w:t xml:space="preserve"> = (</w:t>
      </w:r>
      <w:proofErr w:type="spellStart"/>
      <w:r w:rsidRPr="00C97436">
        <w:rPr>
          <w:sz w:val="26"/>
          <w:szCs w:val="26"/>
        </w:rPr>
        <w:t>G</w:t>
      </w:r>
      <w:r w:rsidR="0046758A" w:rsidRPr="00C97436">
        <w:rPr>
          <w:sz w:val="26"/>
          <w:szCs w:val="26"/>
        </w:rPr>
        <w:t>NM</w:t>
      </w:r>
      <w:r w:rsidR="0046758A" w:rsidRPr="00C97436">
        <w:rPr>
          <w:sz w:val="26"/>
          <w:szCs w:val="26"/>
          <w:vertAlign w:val="subscript"/>
        </w:rPr>
        <w:t>max</w:t>
      </w:r>
      <w:proofErr w:type="spellEnd"/>
      <w:r w:rsidR="0046758A" w:rsidRPr="00C97436">
        <w:rPr>
          <w:sz w:val="26"/>
          <w:szCs w:val="26"/>
        </w:rPr>
        <w:t xml:space="preserve"> – </w:t>
      </w:r>
      <w:proofErr w:type="spellStart"/>
      <w:r w:rsidR="0046758A" w:rsidRPr="00C97436">
        <w:rPr>
          <w:sz w:val="26"/>
          <w:szCs w:val="26"/>
        </w:rPr>
        <w:t>NM</w:t>
      </w:r>
      <w:r w:rsidR="0046758A" w:rsidRPr="00C97436">
        <w:rPr>
          <w:sz w:val="26"/>
          <w:szCs w:val="26"/>
          <w:vertAlign w:val="subscript"/>
        </w:rPr>
        <w:t>min</w:t>
      </w:r>
      <w:proofErr w:type="spellEnd"/>
      <w:r w:rsidRPr="00C97436">
        <w:rPr>
          <w:sz w:val="26"/>
          <w:szCs w:val="26"/>
        </w:rPr>
        <w:t xml:space="preserve"> x 12</w:t>
      </w:r>
      <w:r w:rsidR="0046758A" w:rsidRPr="00C97436">
        <w:rPr>
          <w:sz w:val="26"/>
          <w:szCs w:val="26"/>
        </w:rPr>
        <w:t>)/(</w:t>
      </w:r>
      <w:proofErr w:type="spellStart"/>
      <w:r w:rsidR="0046758A" w:rsidRPr="00C97436">
        <w:rPr>
          <w:sz w:val="26"/>
          <w:szCs w:val="26"/>
        </w:rPr>
        <w:t>AI</w:t>
      </w:r>
      <w:r w:rsidR="0046758A" w:rsidRPr="00C97436">
        <w:rPr>
          <w:sz w:val="26"/>
          <w:szCs w:val="26"/>
          <w:vertAlign w:val="subscript"/>
        </w:rPr>
        <w:t>max</w:t>
      </w:r>
      <w:proofErr w:type="spellEnd"/>
      <w:r w:rsidR="0046758A" w:rsidRPr="00C97436">
        <w:rPr>
          <w:sz w:val="26"/>
          <w:szCs w:val="26"/>
        </w:rPr>
        <w:t xml:space="preserve"> – </w:t>
      </w:r>
      <w:proofErr w:type="spellStart"/>
      <w:r w:rsidR="0046758A" w:rsidRPr="00C97436">
        <w:rPr>
          <w:sz w:val="26"/>
          <w:szCs w:val="26"/>
        </w:rPr>
        <w:t>AI</w:t>
      </w:r>
      <w:r w:rsidR="0046758A" w:rsidRPr="00C97436">
        <w:rPr>
          <w:sz w:val="26"/>
          <w:szCs w:val="26"/>
          <w:vertAlign w:val="subscript"/>
        </w:rPr>
        <w:t>min</w:t>
      </w:r>
      <w:proofErr w:type="spellEnd"/>
      <w:r w:rsidR="0046758A" w:rsidRPr="00C97436">
        <w:rPr>
          <w:sz w:val="26"/>
          <w:szCs w:val="26"/>
        </w:rPr>
        <w:t>)</w:t>
      </w:r>
      <w:r w:rsidR="00822D75" w:rsidRPr="00C97436">
        <w:rPr>
          <w:sz w:val="26"/>
          <w:szCs w:val="26"/>
        </w:rPr>
        <w:t>;</w:t>
      </w:r>
    </w:p>
    <w:p w:rsidR="00822D75" w:rsidRPr="00C97436" w:rsidRDefault="00822D75" w:rsidP="00822D75">
      <w:pPr>
        <w:pStyle w:val="ListParagraph"/>
        <w:ind w:left="709"/>
        <w:jc w:val="both"/>
        <w:rPr>
          <w:sz w:val="26"/>
          <w:szCs w:val="26"/>
        </w:rPr>
      </w:pPr>
      <w:r w:rsidRPr="00C97436">
        <w:rPr>
          <w:sz w:val="26"/>
          <w:szCs w:val="26"/>
        </w:rPr>
        <w:t>GDNM – gada diferencētais neapliekamais minimums;</w:t>
      </w:r>
    </w:p>
    <w:p w:rsidR="00822D75" w:rsidRPr="00C97436" w:rsidRDefault="00822D75" w:rsidP="00822D75">
      <w:pPr>
        <w:pStyle w:val="ListParagraph"/>
        <w:ind w:left="709"/>
        <w:jc w:val="both"/>
        <w:rPr>
          <w:sz w:val="26"/>
          <w:szCs w:val="26"/>
        </w:rPr>
      </w:pPr>
      <w:proofErr w:type="spellStart"/>
      <w:r w:rsidRPr="00C97436">
        <w:rPr>
          <w:sz w:val="26"/>
          <w:szCs w:val="26"/>
        </w:rPr>
        <w:t>NM</w:t>
      </w:r>
      <w:r w:rsidRPr="00C97436">
        <w:rPr>
          <w:sz w:val="26"/>
          <w:szCs w:val="26"/>
          <w:vertAlign w:val="subscript"/>
        </w:rPr>
        <w:t>min</w:t>
      </w:r>
      <w:proofErr w:type="spellEnd"/>
      <w:r w:rsidRPr="00C97436">
        <w:rPr>
          <w:sz w:val="26"/>
          <w:szCs w:val="26"/>
        </w:rPr>
        <w:t xml:space="preserve"> – minimālais mēneša neapliekamais minimums;</w:t>
      </w:r>
    </w:p>
    <w:p w:rsidR="00822D75" w:rsidRPr="00C97436" w:rsidRDefault="00822D75" w:rsidP="00822D75">
      <w:pPr>
        <w:pStyle w:val="ListParagraph"/>
        <w:ind w:left="709"/>
        <w:jc w:val="both"/>
        <w:rPr>
          <w:sz w:val="26"/>
          <w:szCs w:val="26"/>
        </w:rPr>
      </w:pPr>
      <w:proofErr w:type="spellStart"/>
      <w:r w:rsidRPr="00C97436">
        <w:rPr>
          <w:sz w:val="26"/>
          <w:szCs w:val="26"/>
        </w:rPr>
        <w:t>GNM</w:t>
      </w:r>
      <w:r w:rsidRPr="00C97436">
        <w:rPr>
          <w:sz w:val="26"/>
          <w:szCs w:val="26"/>
          <w:vertAlign w:val="subscript"/>
        </w:rPr>
        <w:t>max</w:t>
      </w:r>
      <w:proofErr w:type="spellEnd"/>
      <w:r w:rsidRPr="00C97436">
        <w:rPr>
          <w:sz w:val="26"/>
          <w:szCs w:val="26"/>
        </w:rPr>
        <w:t xml:space="preserve"> – maksimālais gada neapliekamais minimums;</w:t>
      </w:r>
    </w:p>
    <w:p w:rsidR="00822D75" w:rsidRPr="00C97436" w:rsidRDefault="00822D75" w:rsidP="00822D75">
      <w:pPr>
        <w:pStyle w:val="ListParagraph"/>
        <w:ind w:left="0" w:firstLine="709"/>
        <w:jc w:val="both"/>
        <w:rPr>
          <w:sz w:val="26"/>
          <w:szCs w:val="26"/>
        </w:rPr>
      </w:pPr>
      <w:proofErr w:type="spellStart"/>
      <w:r w:rsidRPr="00C97436">
        <w:rPr>
          <w:sz w:val="26"/>
          <w:szCs w:val="26"/>
        </w:rPr>
        <w:t>AI</w:t>
      </w:r>
      <w:r w:rsidRPr="00C97436">
        <w:rPr>
          <w:sz w:val="26"/>
          <w:szCs w:val="26"/>
          <w:vertAlign w:val="subscript"/>
        </w:rPr>
        <w:t>min</w:t>
      </w:r>
      <w:proofErr w:type="spellEnd"/>
      <w:r w:rsidRPr="00C97436">
        <w:rPr>
          <w:sz w:val="26"/>
          <w:szCs w:val="26"/>
        </w:rPr>
        <w:t xml:space="preserve"> – gada apliekamā ienākuma apmērs, līdz kuram piemēro maksimālo gada neapliekamo minimumu;</w:t>
      </w:r>
    </w:p>
    <w:p w:rsidR="00822D75" w:rsidRPr="00C97436" w:rsidRDefault="00822D75" w:rsidP="00822D75">
      <w:pPr>
        <w:pStyle w:val="ListParagraph"/>
        <w:ind w:left="0" w:firstLine="709"/>
        <w:jc w:val="both"/>
        <w:rPr>
          <w:sz w:val="26"/>
          <w:szCs w:val="26"/>
        </w:rPr>
      </w:pPr>
      <w:proofErr w:type="spellStart"/>
      <w:r w:rsidRPr="00C97436">
        <w:rPr>
          <w:sz w:val="26"/>
          <w:szCs w:val="26"/>
        </w:rPr>
        <w:lastRenderedPageBreak/>
        <w:t>AI</w:t>
      </w:r>
      <w:r w:rsidRPr="00C97436">
        <w:rPr>
          <w:sz w:val="26"/>
          <w:szCs w:val="26"/>
          <w:vertAlign w:val="subscript"/>
        </w:rPr>
        <w:t>max</w:t>
      </w:r>
      <w:proofErr w:type="spellEnd"/>
      <w:r w:rsidRPr="00C97436">
        <w:rPr>
          <w:sz w:val="26"/>
          <w:szCs w:val="26"/>
        </w:rPr>
        <w:t xml:space="preserve"> – gada apliekamā ienākuma apmērs, virs kura piemēro tikai minimālo gada neapliekamo minimumu;</w:t>
      </w:r>
    </w:p>
    <w:p w:rsidR="00822D75" w:rsidRPr="00C97436" w:rsidRDefault="00834B5F" w:rsidP="00822D75">
      <w:pPr>
        <w:pStyle w:val="ListParagraph"/>
        <w:ind w:left="709"/>
        <w:jc w:val="both"/>
        <w:rPr>
          <w:sz w:val="26"/>
          <w:szCs w:val="26"/>
        </w:rPr>
      </w:pPr>
      <w:r w:rsidRPr="00C97436">
        <w:rPr>
          <w:sz w:val="26"/>
          <w:szCs w:val="26"/>
        </w:rPr>
        <w:t xml:space="preserve">AI – nodokļa maksātāja gada kopējo </w:t>
      </w:r>
      <w:r w:rsidR="00FF4D5F" w:rsidRPr="00C97436">
        <w:rPr>
          <w:sz w:val="26"/>
          <w:szCs w:val="26"/>
        </w:rPr>
        <w:t xml:space="preserve">apliekamo </w:t>
      </w:r>
      <w:r w:rsidRPr="00C97436">
        <w:rPr>
          <w:sz w:val="26"/>
          <w:szCs w:val="26"/>
        </w:rPr>
        <w:t>ienākumu apmērs.</w:t>
      </w:r>
    </w:p>
    <w:p w:rsidR="00B02EE3" w:rsidRPr="00C97436" w:rsidRDefault="00B02EE3" w:rsidP="00B02EE3">
      <w:pPr>
        <w:jc w:val="both"/>
        <w:rPr>
          <w:sz w:val="26"/>
          <w:szCs w:val="26"/>
        </w:rPr>
      </w:pPr>
    </w:p>
    <w:p w:rsidR="006361B6" w:rsidRPr="00C97436" w:rsidRDefault="002A3E9F" w:rsidP="006361B6">
      <w:pPr>
        <w:pStyle w:val="ListParagraph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C97436">
        <w:rPr>
          <w:sz w:val="26"/>
          <w:szCs w:val="26"/>
        </w:rPr>
        <w:t>G</w:t>
      </w:r>
      <w:r w:rsidR="00FE110F" w:rsidRPr="00C97436">
        <w:rPr>
          <w:sz w:val="26"/>
          <w:szCs w:val="26"/>
        </w:rPr>
        <w:t>ada diferencētā neapliekamā minimuma aprēķināšanai</w:t>
      </w:r>
      <w:r w:rsidR="006361B6" w:rsidRPr="00C97436">
        <w:rPr>
          <w:sz w:val="26"/>
          <w:szCs w:val="26"/>
        </w:rPr>
        <w:t xml:space="preserve"> ir noteikti šādi lielumi:</w:t>
      </w:r>
    </w:p>
    <w:p w:rsidR="005C5D63" w:rsidRPr="00C97436" w:rsidRDefault="005C5D63" w:rsidP="00562CEE">
      <w:pPr>
        <w:pStyle w:val="ListParagraph"/>
        <w:numPr>
          <w:ilvl w:val="1"/>
          <w:numId w:val="1"/>
        </w:numPr>
        <w:ind w:left="1418" w:hanging="709"/>
        <w:jc w:val="both"/>
        <w:rPr>
          <w:sz w:val="26"/>
          <w:szCs w:val="26"/>
        </w:rPr>
      </w:pPr>
      <w:r w:rsidRPr="00C97436">
        <w:rPr>
          <w:sz w:val="26"/>
          <w:szCs w:val="26"/>
        </w:rPr>
        <w:t>maksimālais gada neapliekamais minimums:</w:t>
      </w:r>
    </w:p>
    <w:p w:rsidR="005C5D63" w:rsidRPr="00562CEE" w:rsidRDefault="005C5D63" w:rsidP="00562CEE">
      <w:pPr>
        <w:pStyle w:val="ListParagraph"/>
        <w:numPr>
          <w:ilvl w:val="2"/>
          <w:numId w:val="1"/>
        </w:numPr>
        <w:ind w:left="1418" w:hanging="709"/>
        <w:jc w:val="both"/>
        <w:rPr>
          <w:sz w:val="26"/>
          <w:szCs w:val="26"/>
        </w:rPr>
      </w:pPr>
      <w:r w:rsidRPr="00C97436">
        <w:rPr>
          <w:sz w:val="26"/>
          <w:szCs w:val="26"/>
        </w:rPr>
        <w:t xml:space="preserve">2016.gadā – 1 200 </w:t>
      </w:r>
      <w:proofErr w:type="spellStart"/>
      <w:r w:rsidRPr="00562CEE">
        <w:rPr>
          <w:i/>
          <w:sz w:val="26"/>
          <w:szCs w:val="26"/>
        </w:rPr>
        <w:t>euro</w:t>
      </w:r>
      <w:proofErr w:type="spellEnd"/>
      <w:r w:rsidRPr="00562CEE">
        <w:rPr>
          <w:sz w:val="26"/>
          <w:szCs w:val="26"/>
        </w:rPr>
        <w:t>;</w:t>
      </w:r>
    </w:p>
    <w:p w:rsidR="005C5D63" w:rsidRPr="00562CEE" w:rsidRDefault="005C5D63" w:rsidP="00562CEE">
      <w:pPr>
        <w:pStyle w:val="ListParagraph"/>
        <w:numPr>
          <w:ilvl w:val="2"/>
          <w:numId w:val="1"/>
        </w:numPr>
        <w:ind w:left="1418" w:hanging="709"/>
        <w:jc w:val="both"/>
        <w:rPr>
          <w:sz w:val="26"/>
          <w:szCs w:val="26"/>
        </w:rPr>
      </w:pPr>
      <w:r w:rsidRPr="00562CEE">
        <w:rPr>
          <w:sz w:val="26"/>
          <w:szCs w:val="26"/>
        </w:rPr>
        <w:t xml:space="preserve">2017.gadā – 1 380 </w:t>
      </w:r>
      <w:proofErr w:type="spellStart"/>
      <w:r w:rsidRPr="00562CEE">
        <w:rPr>
          <w:i/>
          <w:sz w:val="26"/>
          <w:szCs w:val="26"/>
        </w:rPr>
        <w:t>euro</w:t>
      </w:r>
      <w:proofErr w:type="spellEnd"/>
      <w:r w:rsidRPr="00562CEE">
        <w:rPr>
          <w:sz w:val="26"/>
          <w:szCs w:val="26"/>
        </w:rPr>
        <w:t>;</w:t>
      </w:r>
    </w:p>
    <w:p w:rsidR="005C5D63" w:rsidRPr="00562CEE" w:rsidRDefault="005C5D63" w:rsidP="00562CEE">
      <w:pPr>
        <w:pStyle w:val="ListParagraph"/>
        <w:numPr>
          <w:ilvl w:val="2"/>
          <w:numId w:val="1"/>
        </w:numPr>
        <w:ind w:left="1418" w:hanging="709"/>
        <w:jc w:val="both"/>
        <w:rPr>
          <w:sz w:val="26"/>
          <w:szCs w:val="26"/>
        </w:rPr>
      </w:pPr>
      <w:r w:rsidRPr="00562CEE">
        <w:rPr>
          <w:sz w:val="26"/>
          <w:szCs w:val="26"/>
        </w:rPr>
        <w:t xml:space="preserve">2018.gadā – 1 560 </w:t>
      </w:r>
      <w:proofErr w:type="spellStart"/>
      <w:r w:rsidRPr="00562CEE">
        <w:rPr>
          <w:i/>
          <w:sz w:val="26"/>
          <w:szCs w:val="26"/>
        </w:rPr>
        <w:t>euro</w:t>
      </w:r>
      <w:proofErr w:type="spellEnd"/>
      <w:r w:rsidRPr="00562CEE">
        <w:rPr>
          <w:sz w:val="26"/>
          <w:szCs w:val="26"/>
        </w:rPr>
        <w:t>;</w:t>
      </w:r>
    </w:p>
    <w:p w:rsidR="005C5D63" w:rsidRPr="00562CEE" w:rsidRDefault="005C5D63" w:rsidP="00562CEE">
      <w:pPr>
        <w:pStyle w:val="ListParagraph"/>
        <w:numPr>
          <w:ilvl w:val="2"/>
          <w:numId w:val="1"/>
        </w:numPr>
        <w:ind w:left="1418" w:hanging="709"/>
        <w:jc w:val="both"/>
        <w:rPr>
          <w:sz w:val="26"/>
          <w:szCs w:val="26"/>
        </w:rPr>
      </w:pPr>
      <w:r w:rsidRPr="00562CEE">
        <w:rPr>
          <w:sz w:val="26"/>
          <w:szCs w:val="26"/>
        </w:rPr>
        <w:t xml:space="preserve">2019.gadā – 1 740 </w:t>
      </w:r>
      <w:proofErr w:type="spellStart"/>
      <w:r w:rsidRPr="00562CEE">
        <w:rPr>
          <w:i/>
          <w:sz w:val="26"/>
          <w:szCs w:val="26"/>
        </w:rPr>
        <w:t>euro</w:t>
      </w:r>
      <w:proofErr w:type="spellEnd"/>
      <w:r w:rsidRPr="00562CEE">
        <w:rPr>
          <w:sz w:val="26"/>
          <w:szCs w:val="26"/>
        </w:rPr>
        <w:t>;</w:t>
      </w:r>
    </w:p>
    <w:p w:rsidR="00845C5D" w:rsidRPr="00562CEE" w:rsidRDefault="005C5D63" w:rsidP="00562CEE">
      <w:pPr>
        <w:pStyle w:val="ListParagraph"/>
        <w:numPr>
          <w:ilvl w:val="2"/>
          <w:numId w:val="1"/>
        </w:numPr>
        <w:ind w:left="1418" w:hanging="709"/>
        <w:jc w:val="both"/>
        <w:rPr>
          <w:sz w:val="26"/>
          <w:szCs w:val="26"/>
        </w:rPr>
      </w:pPr>
      <w:r w:rsidRPr="00562CEE">
        <w:rPr>
          <w:sz w:val="26"/>
          <w:szCs w:val="26"/>
        </w:rPr>
        <w:t xml:space="preserve">no 2020.gada – 1 920 </w:t>
      </w:r>
      <w:proofErr w:type="spellStart"/>
      <w:r w:rsidRPr="00562CEE">
        <w:rPr>
          <w:i/>
          <w:sz w:val="26"/>
          <w:szCs w:val="26"/>
        </w:rPr>
        <w:t>euro</w:t>
      </w:r>
      <w:proofErr w:type="spellEnd"/>
      <w:r w:rsidRPr="00562CEE">
        <w:rPr>
          <w:sz w:val="26"/>
          <w:szCs w:val="26"/>
        </w:rPr>
        <w:t xml:space="preserve">; </w:t>
      </w:r>
    </w:p>
    <w:p w:rsidR="00845C5D" w:rsidRPr="00562CEE" w:rsidRDefault="00845C5D" w:rsidP="00562CEE">
      <w:pPr>
        <w:pStyle w:val="ListParagraph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562CEE">
        <w:rPr>
          <w:sz w:val="26"/>
          <w:szCs w:val="26"/>
        </w:rPr>
        <w:t>gada apliekamā ienākuma apmērs, līdz kuram piemēro maksimālo gada neapliekamo minimumu:</w:t>
      </w:r>
    </w:p>
    <w:p w:rsidR="00845C5D" w:rsidRPr="00562CEE" w:rsidRDefault="00845C5D" w:rsidP="00562CEE">
      <w:pPr>
        <w:pStyle w:val="ListParagraph"/>
        <w:numPr>
          <w:ilvl w:val="2"/>
          <w:numId w:val="1"/>
        </w:numPr>
        <w:ind w:left="1418" w:hanging="709"/>
        <w:jc w:val="both"/>
        <w:rPr>
          <w:sz w:val="26"/>
          <w:szCs w:val="26"/>
        </w:rPr>
      </w:pPr>
      <w:r w:rsidRPr="00562CEE">
        <w:rPr>
          <w:sz w:val="26"/>
          <w:szCs w:val="26"/>
        </w:rPr>
        <w:t xml:space="preserve">2016.gadā – 4 560 </w:t>
      </w:r>
      <w:proofErr w:type="spellStart"/>
      <w:r w:rsidRPr="00562CEE">
        <w:rPr>
          <w:i/>
          <w:sz w:val="26"/>
          <w:szCs w:val="26"/>
        </w:rPr>
        <w:t>euro</w:t>
      </w:r>
      <w:proofErr w:type="spellEnd"/>
      <w:r w:rsidRPr="00562CEE">
        <w:rPr>
          <w:sz w:val="26"/>
          <w:szCs w:val="26"/>
        </w:rPr>
        <w:t>;</w:t>
      </w:r>
    </w:p>
    <w:p w:rsidR="00845C5D" w:rsidRPr="00562CEE" w:rsidRDefault="00845C5D" w:rsidP="00562CEE">
      <w:pPr>
        <w:pStyle w:val="ListParagraph"/>
        <w:numPr>
          <w:ilvl w:val="2"/>
          <w:numId w:val="1"/>
        </w:numPr>
        <w:ind w:left="1418" w:hanging="709"/>
        <w:jc w:val="both"/>
        <w:rPr>
          <w:sz w:val="26"/>
          <w:szCs w:val="26"/>
        </w:rPr>
      </w:pPr>
      <w:r w:rsidRPr="00562CEE">
        <w:rPr>
          <w:sz w:val="26"/>
          <w:szCs w:val="26"/>
        </w:rPr>
        <w:t xml:space="preserve">2017.gadā – 4 800 </w:t>
      </w:r>
      <w:proofErr w:type="spellStart"/>
      <w:r w:rsidRPr="00562CEE">
        <w:rPr>
          <w:i/>
          <w:sz w:val="26"/>
          <w:szCs w:val="26"/>
        </w:rPr>
        <w:t>euro</w:t>
      </w:r>
      <w:proofErr w:type="spellEnd"/>
      <w:r w:rsidRPr="00562CEE">
        <w:rPr>
          <w:sz w:val="26"/>
          <w:szCs w:val="26"/>
        </w:rPr>
        <w:t>;</w:t>
      </w:r>
    </w:p>
    <w:p w:rsidR="00845C5D" w:rsidRPr="00562CEE" w:rsidRDefault="00845C5D" w:rsidP="00562CEE">
      <w:pPr>
        <w:pStyle w:val="ListParagraph"/>
        <w:numPr>
          <w:ilvl w:val="2"/>
          <w:numId w:val="1"/>
        </w:numPr>
        <w:ind w:left="1418" w:hanging="709"/>
        <w:jc w:val="both"/>
        <w:rPr>
          <w:sz w:val="26"/>
          <w:szCs w:val="26"/>
        </w:rPr>
      </w:pPr>
      <w:r w:rsidRPr="00562CEE">
        <w:rPr>
          <w:sz w:val="26"/>
          <w:szCs w:val="26"/>
        </w:rPr>
        <w:t xml:space="preserve">2018.gadā – 5 040 </w:t>
      </w:r>
      <w:proofErr w:type="spellStart"/>
      <w:r w:rsidRPr="00562CEE">
        <w:rPr>
          <w:i/>
          <w:sz w:val="26"/>
          <w:szCs w:val="26"/>
        </w:rPr>
        <w:t>euro</w:t>
      </w:r>
      <w:proofErr w:type="spellEnd"/>
      <w:r w:rsidRPr="00562CEE">
        <w:rPr>
          <w:sz w:val="26"/>
          <w:szCs w:val="26"/>
        </w:rPr>
        <w:t>;</w:t>
      </w:r>
    </w:p>
    <w:p w:rsidR="00845C5D" w:rsidRPr="00562CEE" w:rsidRDefault="00845C5D" w:rsidP="00562CEE">
      <w:pPr>
        <w:pStyle w:val="ListParagraph"/>
        <w:numPr>
          <w:ilvl w:val="2"/>
          <w:numId w:val="1"/>
        </w:numPr>
        <w:ind w:left="1418" w:hanging="709"/>
        <w:jc w:val="both"/>
        <w:rPr>
          <w:sz w:val="26"/>
          <w:szCs w:val="26"/>
        </w:rPr>
      </w:pPr>
      <w:r w:rsidRPr="00562CEE">
        <w:rPr>
          <w:sz w:val="26"/>
          <w:szCs w:val="26"/>
        </w:rPr>
        <w:t xml:space="preserve">2019.gadā – 5 280 </w:t>
      </w:r>
      <w:proofErr w:type="spellStart"/>
      <w:r w:rsidRPr="00562CEE">
        <w:rPr>
          <w:i/>
          <w:sz w:val="26"/>
          <w:szCs w:val="26"/>
        </w:rPr>
        <w:t>euro</w:t>
      </w:r>
      <w:proofErr w:type="spellEnd"/>
      <w:r w:rsidRPr="00562CEE">
        <w:rPr>
          <w:sz w:val="26"/>
          <w:szCs w:val="26"/>
        </w:rPr>
        <w:t>;</w:t>
      </w:r>
    </w:p>
    <w:p w:rsidR="00845C5D" w:rsidRPr="00562CEE" w:rsidRDefault="00845C5D" w:rsidP="00562CEE">
      <w:pPr>
        <w:pStyle w:val="ListParagraph"/>
        <w:numPr>
          <w:ilvl w:val="2"/>
          <w:numId w:val="1"/>
        </w:numPr>
        <w:ind w:left="1418" w:hanging="709"/>
        <w:jc w:val="both"/>
        <w:rPr>
          <w:sz w:val="26"/>
          <w:szCs w:val="26"/>
        </w:rPr>
      </w:pPr>
      <w:r w:rsidRPr="00562CEE">
        <w:rPr>
          <w:sz w:val="26"/>
          <w:szCs w:val="26"/>
        </w:rPr>
        <w:t xml:space="preserve">no 2020.gada – 5 520 </w:t>
      </w:r>
      <w:proofErr w:type="spellStart"/>
      <w:r w:rsidRPr="00562CEE">
        <w:rPr>
          <w:i/>
          <w:sz w:val="26"/>
          <w:szCs w:val="26"/>
        </w:rPr>
        <w:t>euro</w:t>
      </w:r>
      <w:proofErr w:type="spellEnd"/>
      <w:r w:rsidRPr="00562CEE">
        <w:rPr>
          <w:sz w:val="26"/>
          <w:szCs w:val="26"/>
        </w:rPr>
        <w:t>;</w:t>
      </w:r>
    </w:p>
    <w:p w:rsidR="00845C5D" w:rsidRPr="00562CEE" w:rsidRDefault="00845C5D" w:rsidP="00562CEE">
      <w:pPr>
        <w:pStyle w:val="ListParagraph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562CEE">
        <w:rPr>
          <w:sz w:val="26"/>
          <w:szCs w:val="26"/>
        </w:rPr>
        <w:t>gada apliekamā ienākuma apmērs, virs kura piemēro tikai minimālo gada neapliekamo minimumu:</w:t>
      </w:r>
    </w:p>
    <w:p w:rsidR="00845C5D" w:rsidRPr="00562CEE" w:rsidRDefault="00845C5D" w:rsidP="00562CEE">
      <w:pPr>
        <w:pStyle w:val="ListParagraph"/>
        <w:numPr>
          <w:ilvl w:val="2"/>
          <w:numId w:val="1"/>
        </w:numPr>
        <w:ind w:left="1418" w:hanging="709"/>
        <w:jc w:val="both"/>
        <w:rPr>
          <w:sz w:val="26"/>
          <w:szCs w:val="26"/>
        </w:rPr>
      </w:pPr>
      <w:r w:rsidRPr="00562CEE">
        <w:rPr>
          <w:sz w:val="26"/>
          <w:szCs w:val="26"/>
        </w:rPr>
        <w:t xml:space="preserve">2016.gadā – 12 000 </w:t>
      </w:r>
      <w:proofErr w:type="spellStart"/>
      <w:r w:rsidRPr="00562CEE">
        <w:rPr>
          <w:i/>
          <w:sz w:val="26"/>
          <w:szCs w:val="26"/>
        </w:rPr>
        <w:t>euro</w:t>
      </w:r>
      <w:proofErr w:type="spellEnd"/>
      <w:r w:rsidRPr="00562CEE">
        <w:rPr>
          <w:sz w:val="26"/>
          <w:szCs w:val="26"/>
        </w:rPr>
        <w:t>;</w:t>
      </w:r>
    </w:p>
    <w:p w:rsidR="00845C5D" w:rsidRPr="00562CEE" w:rsidRDefault="00845C5D" w:rsidP="00562CEE">
      <w:pPr>
        <w:pStyle w:val="ListParagraph"/>
        <w:numPr>
          <w:ilvl w:val="2"/>
          <w:numId w:val="1"/>
        </w:numPr>
        <w:ind w:left="1418" w:hanging="709"/>
        <w:jc w:val="both"/>
        <w:rPr>
          <w:sz w:val="26"/>
          <w:szCs w:val="26"/>
        </w:rPr>
      </w:pPr>
      <w:r w:rsidRPr="00562CEE">
        <w:rPr>
          <w:sz w:val="26"/>
          <w:szCs w:val="26"/>
        </w:rPr>
        <w:t xml:space="preserve">2017.gadā – 13 200 </w:t>
      </w:r>
      <w:proofErr w:type="spellStart"/>
      <w:r w:rsidRPr="00562CEE">
        <w:rPr>
          <w:i/>
          <w:sz w:val="26"/>
          <w:szCs w:val="26"/>
        </w:rPr>
        <w:t>euro</w:t>
      </w:r>
      <w:proofErr w:type="spellEnd"/>
      <w:r w:rsidRPr="00562CEE">
        <w:rPr>
          <w:sz w:val="26"/>
          <w:szCs w:val="26"/>
        </w:rPr>
        <w:t>;</w:t>
      </w:r>
    </w:p>
    <w:p w:rsidR="00845C5D" w:rsidRPr="00562CEE" w:rsidRDefault="00845C5D" w:rsidP="00562CEE">
      <w:pPr>
        <w:pStyle w:val="ListParagraph"/>
        <w:numPr>
          <w:ilvl w:val="2"/>
          <w:numId w:val="1"/>
        </w:numPr>
        <w:ind w:left="1418" w:hanging="709"/>
        <w:jc w:val="both"/>
        <w:rPr>
          <w:sz w:val="26"/>
          <w:szCs w:val="26"/>
        </w:rPr>
      </w:pPr>
      <w:r w:rsidRPr="00562CEE">
        <w:rPr>
          <w:sz w:val="26"/>
          <w:szCs w:val="26"/>
        </w:rPr>
        <w:t xml:space="preserve">2018.gadā – 14 400 </w:t>
      </w:r>
      <w:proofErr w:type="spellStart"/>
      <w:r w:rsidRPr="00562CEE">
        <w:rPr>
          <w:i/>
          <w:sz w:val="26"/>
          <w:szCs w:val="26"/>
        </w:rPr>
        <w:t>euro</w:t>
      </w:r>
      <w:proofErr w:type="spellEnd"/>
      <w:r w:rsidRPr="00562CEE">
        <w:rPr>
          <w:sz w:val="26"/>
          <w:szCs w:val="26"/>
        </w:rPr>
        <w:t>;</w:t>
      </w:r>
    </w:p>
    <w:p w:rsidR="00DD500D" w:rsidRPr="00562CEE" w:rsidRDefault="00845C5D" w:rsidP="00562CEE">
      <w:pPr>
        <w:pStyle w:val="ListParagraph"/>
        <w:numPr>
          <w:ilvl w:val="2"/>
          <w:numId w:val="1"/>
        </w:numPr>
        <w:ind w:left="1418" w:hanging="709"/>
        <w:jc w:val="both"/>
        <w:rPr>
          <w:sz w:val="26"/>
          <w:szCs w:val="26"/>
        </w:rPr>
      </w:pPr>
      <w:r w:rsidRPr="00562CEE">
        <w:rPr>
          <w:sz w:val="26"/>
          <w:szCs w:val="26"/>
        </w:rPr>
        <w:t xml:space="preserve">2019.gadā </w:t>
      </w:r>
      <w:r w:rsidR="00DD500D" w:rsidRPr="00562CEE">
        <w:rPr>
          <w:sz w:val="26"/>
          <w:szCs w:val="26"/>
        </w:rPr>
        <w:t>–</w:t>
      </w:r>
      <w:r w:rsidRPr="00562CEE">
        <w:rPr>
          <w:sz w:val="26"/>
          <w:szCs w:val="26"/>
        </w:rPr>
        <w:t xml:space="preserve"> </w:t>
      </w:r>
      <w:r w:rsidR="00DD500D" w:rsidRPr="00562CEE">
        <w:rPr>
          <w:sz w:val="26"/>
          <w:szCs w:val="26"/>
        </w:rPr>
        <w:t xml:space="preserve">16 200 </w:t>
      </w:r>
      <w:proofErr w:type="spellStart"/>
      <w:r w:rsidR="00DD500D" w:rsidRPr="00562CEE">
        <w:rPr>
          <w:i/>
          <w:sz w:val="26"/>
          <w:szCs w:val="26"/>
        </w:rPr>
        <w:t>euro</w:t>
      </w:r>
      <w:proofErr w:type="spellEnd"/>
      <w:r w:rsidR="00DD500D" w:rsidRPr="00562CEE">
        <w:rPr>
          <w:sz w:val="26"/>
          <w:szCs w:val="26"/>
        </w:rPr>
        <w:t>;</w:t>
      </w:r>
    </w:p>
    <w:p w:rsidR="00DD500D" w:rsidRPr="00562CEE" w:rsidRDefault="00DD500D" w:rsidP="00562CEE">
      <w:pPr>
        <w:pStyle w:val="ListParagraph"/>
        <w:numPr>
          <w:ilvl w:val="2"/>
          <w:numId w:val="1"/>
        </w:numPr>
        <w:ind w:left="1418" w:hanging="709"/>
        <w:jc w:val="both"/>
        <w:rPr>
          <w:sz w:val="26"/>
          <w:szCs w:val="26"/>
        </w:rPr>
      </w:pPr>
      <w:r w:rsidRPr="00562CEE">
        <w:rPr>
          <w:sz w:val="26"/>
          <w:szCs w:val="26"/>
        </w:rPr>
        <w:t xml:space="preserve">no 2020.gada – 18 000 </w:t>
      </w:r>
      <w:proofErr w:type="spellStart"/>
      <w:r w:rsidRPr="00562CEE">
        <w:rPr>
          <w:i/>
          <w:sz w:val="26"/>
          <w:szCs w:val="26"/>
        </w:rPr>
        <w:t>euro</w:t>
      </w:r>
      <w:proofErr w:type="spellEnd"/>
      <w:r w:rsidRPr="00562CEE">
        <w:rPr>
          <w:sz w:val="26"/>
          <w:szCs w:val="26"/>
        </w:rPr>
        <w:t>;</w:t>
      </w:r>
    </w:p>
    <w:p w:rsidR="00DD500D" w:rsidRPr="00562CEE" w:rsidRDefault="00DD500D" w:rsidP="00562CEE">
      <w:pPr>
        <w:pStyle w:val="ListParagraph"/>
        <w:numPr>
          <w:ilvl w:val="1"/>
          <w:numId w:val="1"/>
        </w:numPr>
        <w:ind w:left="1418" w:hanging="709"/>
        <w:jc w:val="both"/>
        <w:rPr>
          <w:sz w:val="26"/>
          <w:szCs w:val="26"/>
        </w:rPr>
      </w:pPr>
      <w:r w:rsidRPr="00562CEE">
        <w:rPr>
          <w:sz w:val="26"/>
          <w:szCs w:val="26"/>
        </w:rPr>
        <w:t>koeficients:</w:t>
      </w:r>
    </w:p>
    <w:p w:rsidR="00DD500D" w:rsidRPr="00562CEE" w:rsidRDefault="00DD500D" w:rsidP="00562CEE">
      <w:pPr>
        <w:pStyle w:val="ListParagraph"/>
        <w:numPr>
          <w:ilvl w:val="2"/>
          <w:numId w:val="1"/>
        </w:numPr>
        <w:ind w:left="1418" w:hanging="709"/>
        <w:jc w:val="both"/>
        <w:rPr>
          <w:sz w:val="26"/>
          <w:szCs w:val="26"/>
        </w:rPr>
      </w:pPr>
      <w:r w:rsidRPr="00562CEE">
        <w:rPr>
          <w:sz w:val="26"/>
          <w:szCs w:val="26"/>
        </w:rPr>
        <w:t>2016.gadā – 0,0403;</w:t>
      </w:r>
    </w:p>
    <w:p w:rsidR="00DD500D" w:rsidRPr="00562CEE" w:rsidRDefault="00DD500D" w:rsidP="00562CEE">
      <w:pPr>
        <w:pStyle w:val="ListParagraph"/>
        <w:numPr>
          <w:ilvl w:val="2"/>
          <w:numId w:val="1"/>
        </w:numPr>
        <w:ind w:left="1418" w:hanging="709"/>
        <w:jc w:val="both"/>
        <w:rPr>
          <w:sz w:val="26"/>
          <w:szCs w:val="26"/>
        </w:rPr>
      </w:pPr>
      <w:r w:rsidRPr="00562CEE">
        <w:rPr>
          <w:sz w:val="26"/>
          <w:szCs w:val="26"/>
        </w:rPr>
        <w:t>2017.gadā – 0,0786;</w:t>
      </w:r>
    </w:p>
    <w:p w:rsidR="00DD500D" w:rsidRPr="00562CEE" w:rsidRDefault="00DD500D" w:rsidP="00562CEE">
      <w:pPr>
        <w:pStyle w:val="ListParagraph"/>
        <w:numPr>
          <w:ilvl w:val="2"/>
          <w:numId w:val="1"/>
        </w:numPr>
        <w:ind w:left="1418" w:hanging="709"/>
        <w:jc w:val="both"/>
        <w:rPr>
          <w:sz w:val="26"/>
          <w:szCs w:val="26"/>
        </w:rPr>
      </w:pPr>
      <w:r w:rsidRPr="00562CEE">
        <w:rPr>
          <w:sz w:val="26"/>
          <w:szCs w:val="26"/>
        </w:rPr>
        <w:t>2018.gadā – 0,1154;</w:t>
      </w:r>
    </w:p>
    <w:p w:rsidR="00DD500D" w:rsidRPr="00562CEE" w:rsidRDefault="00DD500D" w:rsidP="00562CEE">
      <w:pPr>
        <w:pStyle w:val="ListParagraph"/>
        <w:numPr>
          <w:ilvl w:val="2"/>
          <w:numId w:val="1"/>
        </w:numPr>
        <w:ind w:left="1418" w:hanging="709"/>
        <w:jc w:val="both"/>
        <w:rPr>
          <w:sz w:val="26"/>
          <w:szCs w:val="26"/>
        </w:rPr>
      </w:pPr>
      <w:r w:rsidRPr="00562CEE">
        <w:rPr>
          <w:sz w:val="26"/>
          <w:szCs w:val="26"/>
        </w:rPr>
        <w:t>2019.gadā – 0,1374;</w:t>
      </w:r>
    </w:p>
    <w:p w:rsidR="005C5D63" w:rsidRPr="00562CEE" w:rsidRDefault="00DF63DC" w:rsidP="00562CEE">
      <w:pPr>
        <w:pStyle w:val="ListParagraph"/>
        <w:numPr>
          <w:ilvl w:val="2"/>
          <w:numId w:val="1"/>
        </w:numPr>
        <w:ind w:left="1418" w:hanging="709"/>
        <w:jc w:val="both"/>
        <w:rPr>
          <w:sz w:val="26"/>
          <w:szCs w:val="26"/>
        </w:rPr>
      </w:pPr>
      <w:r w:rsidRPr="00562CEE">
        <w:rPr>
          <w:sz w:val="26"/>
          <w:szCs w:val="26"/>
        </w:rPr>
        <w:t>n</w:t>
      </w:r>
      <w:r w:rsidR="00DD500D" w:rsidRPr="00562CEE">
        <w:rPr>
          <w:sz w:val="26"/>
          <w:szCs w:val="26"/>
        </w:rPr>
        <w:t>o 2020.gada – 0,1538.</w:t>
      </w:r>
      <w:r w:rsidR="005C5D63" w:rsidRPr="00562CEE">
        <w:rPr>
          <w:sz w:val="26"/>
          <w:szCs w:val="26"/>
        </w:rPr>
        <w:t xml:space="preserve"> </w:t>
      </w:r>
    </w:p>
    <w:p w:rsidR="00A7430B" w:rsidRPr="00562CEE" w:rsidRDefault="00A7430B" w:rsidP="0044448B">
      <w:pPr>
        <w:jc w:val="both"/>
        <w:rPr>
          <w:sz w:val="26"/>
          <w:szCs w:val="26"/>
        </w:rPr>
      </w:pPr>
    </w:p>
    <w:p w:rsidR="00691E42" w:rsidRPr="00562CEE" w:rsidRDefault="0044448B" w:rsidP="00236D23">
      <w:pPr>
        <w:pStyle w:val="ListParagraph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2CEE">
        <w:rPr>
          <w:sz w:val="26"/>
          <w:szCs w:val="26"/>
        </w:rPr>
        <w:t xml:space="preserve">Nodokļa maksātāja gada diferencētā neapliekamā minimuma apmēra noteikšanai ņem vērā visus nodokļa </w:t>
      </w:r>
      <w:r w:rsidR="00236D23" w:rsidRPr="00562CEE">
        <w:rPr>
          <w:sz w:val="26"/>
          <w:szCs w:val="26"/>
        </w:rPr>
        <w:t>maksātāja gada ienākumus</w:t>
      </w:r>
      <w:r w:rsidRPr="00562CEE">
        <w:rPr>
          <w:sz w:val="26"/>
          <w:szCs w:val="26"/>
        </w:rPr>
        <w:t xml:space="preserve"> </w:t>
      </w:r>
      <w:r w:rsidR="00236D23" w:rsidRPr="00562CEE">
        <w:rPr>
          <w:sz w:val="26"/>
          <w:szCs w:val="26"/>
        </w:rPr>
        <w:t>(</w:t>
      </w:r>
      <w:r w:rsidRPr="00562CEE">
        <w:rPr>
          <w:sz w:val="26"/>
          <w:szCs w:val="26"/>
        </w:rPr>
        <w:t>tai skaitā ienākumus, kas apliekami ar samazinātu nodokļa likmi</w:t>
      </w:r>
      <w:r w:rsidR="00236D23" w:rsidRPr="00562CEE">
        <w:rPr>
          <w:sz w:val="26"/>
          <w:szCs w:val="26"/>
        </w:rPr>
        <w:t>)</w:t>
      </w:r>
      <w:r w:rsidRPr="00562CEE">
        <w:rPr>
          <w:sz w:val="26"/>
          <w:szCs w:val="26"/>
        </w:rPr>
        <w:t>, izņemot likuma</w:t>
      </w:r>
      <w:r w:rsidR="00380C91" w:rsidRPr="00562CEE">
        <w:rPr>
          <w:sz w:val="26"/>
          <w:szCs w:val="26"/>
        </w:rPr>
        <w:t xml:space="preserve"> </w:t>
      </w:r>
      <w:r w:rsidR="002369FD" w:rsidRPr="00562CEE">
        <w:rPr>
          <w:sz w:val="26"/>
          <w:szCs w:val="26"/>
        </w:rPr>
        <w:t>"</w:t>
      </w:r>
      <w:r w:rsidR="00380C91" w:rsidRPr="00562CEE">
        <w:rPr>
          <w:sz w:val="26"/>
          <w:szCs w:val="26"/>
        </w:rPr>
        <w:t>Par iedzīvotāju ienākuma nodokli</w:t>
      </w:r>
      <w:r w:rsidR="002369FD" w:rsidRPr="00562CEE">
        <w:rPr>
          <w:sz w:val="26"/>
          <w:szCs w:val="26"/>
        </w:rPr>
        <w:t>"</w:t>
      </w:r>
      <w:r w:rsidRPr="00562CEE">
        <w:rPr>
          <w:sz w:val="26"/>
          <w:szCs w:val="26"/>
        </w:rPr>
        <w:t xml:space="preserve"> 9.pantā minētos neapliekamos ienākumus</w:t>
      </w:r>
      <w:r w:rsidR="00624E3F" w:rsidRPr="00562CEE">
        <w:rPr>
          <w:sz w:val="26"/>
          <w:szCs w:val="26"/>
        </w:rPr>
        <w:t xml:space="preserve">, saimnieciskās darbības ieņēmumus, par kuriem maksā patentmaksu, un ienākumu, par kuru maksā </w:t>
      </w:r>
      <w:proofErr w:type="spellStart"/>
      <w:r w:rsidR="00624E3F" w:rsidRPr="00562CEE">
        <w:rPr>
          <w:sz w:val="26"/>
          <w:szCs w:val="26"/>
        </w:rPr>
        <w:t>mikrouzņēmumu</w:t>
      </w:r>
      <w:proofErr w:type="spellEnd"/>
      <w:r w:rsidR="00624E3F" w:rsidRPr="00562CEE">
        <w:rPr>
          <w:sz w:val="26"/>
          <w:szCs w:val="26"/>
        </w:rPr>
        <w:t xml:space="preserve"> nodokli.</w:t>
      </w:r>
    </w:p>
    <w:p w:rsidR="0044448B" w:rsidRPr="00562CEE" w:rsidRDefault="0044448B" w:rsidP="00691E42">
      <w:pPr>
        <w:jc w:val="both"/>
        <w:rPr>
          <w:sz w:val="26"/>
          <w:szCs w:val="26"/>
        </w:rPr>
      </w:pPr>
    </w:p>
    <w:p w:rsidR="00A7430B" w:rsidRPr="00562CEE" w:rsidRDefault="00691E42" w:rsidP="00236D23">
      <w:pPr>
        <w:pStyle w:val="ListParagraph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562CEE">
        <w:rPr>
          <w:sz w:val="26"/>
          <w:szCs w:val="26"/>
        </w:rPr>
        <w:t>Maksimālo gada neapliekamo minimumu</w:t>
      </w:r>
      <w:r w:rsidR="002F60E7" w:rsidRPr="00562CEE">
        <w:rPr>
          <w:sz w:val="26"/>
          <w:szCs w:val="26"/>
        </w:rPr>
        <w:t xml:space="preserve"> </w:t>
      </w:r>
      <w:r w:rsidRPr="00562CEE">
        <w:rPr>
          <w:sz w:val="26"/>
          <w:szCs w:val="26"/>
        </w:rPr>
        <w:t xml:space="preserve">piemēro, ja gada kopējie </w:t>
      </w:r>
      <w:r w:rsidR="00FF4D5F" w:rsidRPr="00562CEE">
        <w:rPr>
          <w:sz w:val="26"/>
          <w:szCs w:val="26"/>
        </w:rPr>
        <w:t xml:space="preserve">apliekamie </w:t>
      </w:r>
      <w:r w:rsidRPr="00562CEE">
        <w:rPr>
          <w:sz w:val="26"/>
          <w:szCs w:val="26"/>
        </w:rPr>
        <w:t xml:space="preserve">ienākumi ir mazāki vai vienādi ar </w:t>
      </w:r>
      <w:r w:rsidR="00212A34" w:rsidRPr="00562CEE">
        <w:rPr>
          <w:sz w:val="26"/>
          <w:szCs w:val="26"/>
        </w:rPr>
        <w:t>gada apliekamā ienākuma apmēru, līdz kuram piemēro maksimālo gada neapliekamo minimumu</w:t>
      </w:r>
      <w:r w:rsidRPr="00562CEE">
        <w:rPr>
          <w:sz w:val="26"/>
          <w:szCs w:val="26"/>
        </w:rPr>
        <w:t xml:space="preserve">. Ja gada kopējie </w:t>
      </w:r>
      <w:r w:rsidR="00FF4D5F" w:rsidRPr="00562CEE">
        <w:rPr>
          <w:sz w:val="26"/>
          <w:szCs w:val="26"/>
        </w:rPr>
        <w:t xml:space="preserve">apliekamie </w:t>
      </w:r>
      <w:r w:rsidRPr="00562CEE">
        <w:rPr>
          <w:sz w:val="26"/>
          <w:szCs w:val="26"/>
        </w:rPr>
        <w:t xml:space="preserve">ienākumi ir robežās no </w:t>
      </w:r>
      <w:r w:rsidR="00C661B2" w:rsidRPr="00562CEE">
        <w:rPr>
          <w:sz w:val="26"/>
          <w:szCs w:val="26"/>
        </w:rPr>
        <w:t xml:space="preserve">gada apliekamā ienākuma apmēra, līdz kuram piemēro maksimālo gada neapliekamo minimumu, </w:t>
      </w:r>
      <w:r w:rsidRPr="00562CEE">
        <w:rPr>
          <w:sz w:val="26"/>
          <w:szCs w:val="26"/>
        </w:rPr>
        <w:t>līdz</w:t>
      </w:r>
      <w:r w:rsidR="00C661B2" w:rsidRPr="00562CEE">
        <w:rPr>
          <w:sz w:val="26"/>
          <w:szCs w:val="26"/>
        </w:rPr>
        <w:t xml:space="preserve"> gada apliekamā </w:t>
      </w:r>
      <w:r w:rsidR="00DF63DC" w:rsidRPr="00562CEE">
        <w:rPr>
          <w:sz w:val="26"/>
          <w:szCs w:val="26"/>
        </w:rPr>
        <w:t>ienākuma</w:t>
      </w:r>
      <w:r w:rsidR="00C661B2" w:rsidRPr="00562CEE">
        <w:rPr>
          <w:sz w:val="26"/>
          <w:szCs w:val="26"/>
        </w:rPr>
        <w:t xml:space="preserve"> apmēram, virs kura piemēro tikai minimālo gada neapliekamo </w:t>
      </w:r>
      <w:r w:rsidR="00C661B2" w:rsidRPr="00562CEE">
        <w:rPr>
          <w:sz w:val="26"/>
          <w:szCs w:val="26"/>
        </w:rPr>
        <w:lastRenderedPageBreak/>
        <w:t>minimumu</w:t>
      </w:r>
      <w:r w:rsidRPr="00562CEE">
        <w:rPr>
          <w:sz w:val="26"/>
          <w:szCs w:val="26"/>
        </w:rPr>
        <w:t>,</w:t>
      </w:r>
      <w:r w:rsidR="00C661B2" w:rsidRPr="00562CEE">
        <w:rPr>
          <w:sz w:val="26"/>
          <w:szCs w:val="26"/>
        </w:rPr>
        <w:t xml:space="preserve"> </w:t>
      </w:r>
      <w:r w:rsidRPr="00562CEE">
        <w:rPr>
          <w:sz w:val="26"/>
          <w:szCs w:val="26"/>
        </w:rPr>
        <w:t xml:space="preserve">gada </w:t>
      </w:r>
      <w:r w:rsidR="002F60E7" w:rsidRPr="00562CEE">
        <w:rPr>
          <w:sz w:val="26"/>
          <w:szCs w:val="26"/>
        </w:rPr>
        <w:t xml:space="preserve">diferencētais </w:t>
      </w:r>
      <w:r w:rsidRPr="00562CEE">
        <w:rPr>
          <w:sz w:val="26"/>
          <w:szCs w:val="26"/>
        </w:rPr>
        <w:t>neapliekamais minimums, piemērojot</w:t>
      </w:r>
      <w:r w:rsidR="00FF4D5F" w:rsidRPr="00562CEE">
        <w:rPr>
          <w:sz w:val="26"/>
          <w:szCs w:val="26"/>
        </w:rPr>
        <w:t xml:space="preserve"> šo noteikumu </w:t>
      </w:r>
      <w:r w:rsidR="007C00B9">
        <w:rPr>
          <w:sz w:val="26"/>
          <w:szCs w:val="26"/>
        </w:rPr>
        <w:t>3</w:t>
      </w:r>
      <w:r w:rsidR="00FF4D5F" w:rsidRPr="00562CEE">
        <w:rPr>
          <w:sz w:val="26"/>
          <w:szCs w:val="26"/>
        </w:rPr>
        <w:t>.punktā minēto</w:t>
      </w:r>
      <w:r w:rsidRPr="00562CEE">
        <w:rPr>
          <w:sz w:val="26"/>
          <w:szCs w:val="26"/>
        </w:rPr>
        <w:t xml:space="preserve"> formulu</w:t>
      </w:r>
      <w:r w:rsidR="002F60E7" w:rsidRPr="00562CEE">
        <w:rPr>
          <w:sz w:val="26"/>
          <w:szCs w:val="26"/>
        </w:rPr>
        <w:t>,</w:t>
      </w:r>
      <w:r w:rsidR="00DA37F8" w:rsidRPr="00562CEE">
        <w:rPr>
          <w:sz w:val="26"/>
          <w:szCs w:val="26"/>
        </w:rPr>
        <w:t xml:space="preserve"> pakāpeniski samazinās. P</w:t>
      </w:r>
      <w:r w:rsidRPr="00562CEE">
        <w:rPr>
          <w:sz w:val="26"/>
          <w:szCs w:val="26"/>
        </w:rPr>
        <w:t xml:space="preserve">ie gada </w:t>
      </w:r>
      <w:r w:rsidR="002F60E7" w:rsidRPr="00562CEE">
        <w:rPr>
          <w:sz w:val="26"/>
          <w:szCs w:val="26"/>
        </w:rPr>
        <w:t xml:space="preserve">kopējiem </w:t>
      </w:r>
      <w:r w:rsidR="00FF4D5F" w:rsidRPr="00562CEE">
        <w:rPr>
          <w:sz w:val="26"/>
          <w:szCs w:val="26"/>
        </w:rPr>
        <w:t xml:space="preserve">apliekamajiem </w:t>
      </w:r>
      <w:r w:rsidR="002F60E7" w:rsidRPr="00562CEE">
        <w:rPr>
          <w:sz w:val="26"/>
          <w:szCs w:val="26"/>
        </w:rPr>
        <w:t>ienākumiem</w:t>
      </w:r>
      <w:r w:rsidRPr="00562CEE">
        <w:rPr>
          <w:sz w:val="26"/>
          <w:szCs w:val="26"/>
        </w:rPr>
        <w:t xml:space="preserve">, kas pārsniedz </w:t>
      </w:r>
      <w:r w:rsidR="00C661B2" w:rsidRPr="00562CEE">
        <w:rPr>
          <w:sz w:val="26"/>
          <w:szCs w:val="26"/>
        </w:rPr>
        <w:t xml:space="preserve">gada apliekamā </w:t>
      </w:r>
      <w:r w:rsidR="00DF63DC" w:rsidRPr="00562CEE">
        <w:rPr>
          <w:sz w:val="26"/>
          <w:szCs w:val="26"/>
        </w:rPr>
        <w:t>ienākuma</w:t>
      </w:r>
      <w:r w:rsidR="00C661B2" w:rsidRPr="00562CEE">
        <w:rPr>
          <w:sz w:val="26"/>
          <w:szCs w:val="26"/>
        </w:rPr>
        <w:t xml:space="preserve"> apmēru, virs kura piemēro tikai minimālo gada neapliekamo minimumu</w:t>
      </w:r>
      <w:r w:rsidR="002F60E7" w:rsidRPr="00562CEE">
        <w:rPr>
          <w:sz w:val="26"/>
          <w:szCs w:val="26"/>
        </w:rPr>
        <w:t>, tiek piemērota tikai minimālo</w:t>
      </w:r>
      <w:r w:rsidRPr="00562CEE">
        <w:rPr>
          <w:sz w:val="26"/>
          <w:szCs w:val="26"/>
        </w:rPr>
        <w:t xml:space="preserve"> mēneša neapliek</w:t>
      </w:r>
      <w:r w:rsidR="00134DC4" w:rsidRPr="00562CEE">
        <w:rPr>
          <w:sz w:val="26"/>
          <w:szCs w:val="26"/>
        </w:rPr>
        <w:t>amo minimumu summa</w:t>
      </w:r>
      <w:r w:rsidRPr="00562CEE">
        <w:rPr>
          <w:sz w:val="26"/>
          <w:szCs w:val="26"/>
        </w:rPr>
        <w:t xml:space="preserve">.  </w:t>
      </w:r>
      <w:r w:rsidR="00A7430B" w:rsidRPr="00562CEE">
        <w:rPr>
          <w:sz w:val="26"/>
          <w:szCs w:val="26"/>
        </w:rPr>
        <w:t xml:space="preserve"> </w:t>
      </w:r>
    </w:p>
    <w:p w:rsidR="00443C65" w:rsidRPr="00562CEE" w:rsidRDefault="00443C65" w:rsidP="006361B6">
      <w:pPr>
        <w:ind w:firstLine="709"/>
        <w:jc w:val="both"/>
        <w:rPr>
          <w:sz w:val="26"/>
          <w:szCs w:val="26"/>
        </w:rPr>
      </w:pPr>
    </w:p>
    <w:p w:rsidR="00A7430B" w:rsidRPr="00562CEE" w:rsidRDefault="00443C65" w:rsidP="00236D23">
      <w:pPr>
        <w:pStyle w:val="ListParagraph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2CEE">
        <w:rPr>
          <w:rFonts w:eastAsia="Times New Roman" w:cs="Times New Roman"/>
          <w:iCs/>
          <w:color w:val="000000"/>
          <w:sz w:val="26"/>
          <w:szCs w:val="26"/>
        </w:rPr>
        <w:t>Gada d</w:t>
      </w:r>
      <w:r w:rsidRPr="00562CEE">
        <w:rPr>
          <w:rFonts w:eastAsia="Times New Roman" w:cs="Times New Roman"/>
          <w:iCs/>
          <w:sz w:val="26"/>
          <w:szCs w:val="26"/>
        </w:rPr>
        <w:t xml:space="preserve">iferencēto neapliekamo minimumu </w:t>
      </w:r>
      <w:r w:rsidR="00A7430B" w:rsidRPr="00562CEE">
        <w:rPr>
          <w:rFonts w:eastAsia="Times New Roman" w:cs="Times New Roman"/>
          <w:iCs/>
          <w:sz w:val="26"/>
          <w:szCs w:val="26"/>
        </w:rPr>
        <w:t xml:space="preserve">nodokļa </w:t>
      </w:r>
      <w:r w:rsidRPr="00562CEE">
        <w:rPr>
          <w:rFonts w:eastAsia="Times New Roman" w:cs="Times New Roman"/>
          <w:iCs/>
          <w:sz w:val="26"/>
          <w:szCs w:val="26"/>
        </w:rPr>
        <w:t>maksātāja</w:t>
      </w:r>
      <w:r w:rsidR="00021DDB" w:rsidRPr="00562CEE">
        <w:rPr>
          <w:rFonts w:eastAsia="Times New Roman" w:cs="Times New Roman"/>
          <w:iCs/>
          <w:sz w:val="26"/>
          <w:szCs w:val="26"/>
        </w:rPr>
        <w:t>m</w:t>
      </w:r>
      <w:r w:rsidRPr="00562CEE">
        <w:rPr>
          <w:rFonts w:eastAsia="Times New Roman" w:cs="Times New Roman"/>
          <w:iCs/>
          <w:sz w:val="26"/>
          <w:szCs w:val="26"/>
        </w:rPr>
        <w:t xml:space="preserve"> piemēro reizi gadā, iesniedzot gada ienākumu deklarāciju.</w:t>
      </w:r>
      <w:r w:rsidR="000704EC" w:rsidRPr="00562CEE">
        <w:rPr>
          <w:rFonts w:eastAsia="Times New Roman" w:cs="Times New Roman"/>
          <w:iCs/>
          <w:sz w:val="26"/>
          <w:szCs w:val="26"/>
        </w:rPr>
        <w:t xml:space="preserve"> Gada diferencētais neapliekamais minimums ietver nodokļa maksātājam taksācijas gada laikā piemēroto minimālo mēnešu neapliekamo minimumu summu.</w:t>
      </w:r>
      <w:r w:rsidRPr="00562CEE">
        <w:rPr>
          <w:rFonts w:cs="Times New Roman"/>
          <w:sz w:val="26"/>
          <w:szCs w:val="26"/>
        </w:rPr>
        <w:t xml:space="preserve"> </w:t>
      </w:r>
    </w:p>
    <w:p w:rsidR="00DA37F8" w:rsidRPr="00562CEE" w:rsidRDefault="00DA37F8" w:rsidP="00DA37F8">
      <w:pPr>
        <w:jc w:val="both"/>
        <w:rPr>
          <w:sz w:val="26"/>
          <w:szCs w:val="26"/>
        </w:rPr>
      </w:pPr>
    </w:p>
    <w:p w:rsidR="000704EC" w:rsidRPr="00562CEE" w:rsidRDefault="002F60E7">
      <w:pPr>
        <w:pStyle w:val="ListParagraph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2CEE">
        <w:rPr>
          <w:sz w:val="26"/>
          <w:szCs w:val="26"/>
        </w:rPr>
        <w:t>Ja nodokļa maksātājam neapliekamais minimums ir piemērojams par nepilnu gadu, diferencēto neapliekamo minimumu piemēro proporcionāli</w:t>
      </w:r>
      <w:r w:rsidR="008D4C39" w:rsidRPr="00562CEE">
        <w:rPr>
          <w:sz w:val="26"/>
          <w:szCs w:val="26"/>
        </w:rPr>
        <w:t xml:space="preserve"> laika periodam</w:t>
      </w:r>
      <w:r w:rsidR="006D4137" w:rsidRPr="00562CEE">
        <w:rPr>
          <w:sz w:val="26"/>
          <w:szCs w:val="26"/>
        </w:rPr>
        <w:t xml:space="preserve">, par kuru </w:t>
      </w:r>
      <w:r w:rsidR="008D4C39" w:rsidRPr="00562CEE">
        <w:rPr>
          <w:sz w:val="26"/>
          <w:szCs w:val="26"/>
        </w:rPr>
        <w:t xml:space="preserve">saskaņā ar likumu </w:t>
      </w:r>
      <w:r w:rsidR="002369FD" w:rsidRPr="00562CEE">
        <w:rPr>
          <w:sz w:val="26"/>
          <w:szCs w:val="26"/>
        </w:rPr>
        <w:t>"</w:t>
      </w:r>
      <w:r w:rsidR="008D4C39" w:rsidRPr="00562CEE">
        <w:rPr>
          <w:sz w:val="26"/>
          <w:szCs w:val="26"/>
        </w:rPr>
        <w:t>Par iedzīvotāju ienākuma nodokli</w:t>
      </w:r>
      <w:r w:rsidR="002369FD" w:rsidRPr="00562CEE">
        <w:rPr>
          <w:sz w:val="26"/>
          <w:szCs w:val="26"/>
        </w:rPr>
        <w:t>"</w:t>
      </w:r>
      <w:r w:rsidR="008D4C39" w:rsidRPr="00562CEE">
        <w:rPr>
          <w:sz w:val="26"/>
          <w:szCs w:val="26"/>
        </w:rPr>
        <w:t xml:space="preserve"> </w:t>
      </w:r>
      <w:r w:rsidR="006D4137" w:rsidRPr="00562CEE">
        <w:rPr>
          <w:sz w:val="26"/>
          <w:szCs w:val="26"/>
        </w:rPr>
        <w:t>neapliekamais minimums ir piemērojams</w:t>
      </w:r>
      <w:r w:rsidR="000704EC" w:rsidRPr="00562CEE">
        <w:rPr>
          <w:sz w:val="26"/>
          <w:szCs w:val="26"/>
        </w:rPr>
        <w:t>. Diferencēto neapliekamo minimumu par nepilnu gadu nosaka šādi:</w:t>
      </w:r>
    </w:p>
    <w:p w:rsidR="00DA37F8" w:rsidRPr="00562CEE" w:rsidRDefault="000704EC" w:rsidP="00793A25">
      <w:pPr>
        <w:jc w:val="both"/>
        <w:rPr>
          <w:sz w:val="26"/>
          <w:szCs w:val="26"/>
        </w:rPr>
      </w:pPr>
      <w:r w:rsidRPr="00562CEE">
        <w:rPr>
          <w:sz w:val="26"/>
          <w:szCs w:val="26"/>
        </w:rPr>
        <w:t xml:space="preserve">DNM = </w:t>
      </w:r>
      <w:proofErr w:type="spellStart"/>
      <w:r w:rsidRPr="00562CEE">
        <w:rPr>
          <w:sz w:val="26"/>
          <w:szCs w:val="26"/>
        </w:rPr>
        <w:t>GNM</w:t>
      </w:r>
      <w:r w:rsidRPr="00562CEE">
        <w:rPr>
          <w:sz w:val="26"/>
          <w:szCs w:val="26"/>
          <w:vertAlign w:val="subscript"/>
        </w:rPr>
        <w:t>max</w:t>
      </w:r>
      <w:proofErr w:type="spellEnd"/>
      <w:r w:rsidRPr="00562CEE">
        <w:rPr>
          <w:sz w:val="26"/>
          <w:szCs w:val="26"/>
        </w:rPr>
        <w:t xml:space="preserve"> / 12 x n – </w:t>
      </w:r>
      <w:r w:rsidR="00C661B2" w:rsidRPr="00562CEE">
        <w:rPr>
          <w:sz w:val="26"/>
          <w:szCs w:val="26"/>
        </w:rPr>
        <w:t>K</w:t>
      </w:r>
      <w:r w:rsidRPr="00562CEE">
        <w:rPr>
          <w:sz w:val="26"/>
          <w:szCs w:val="26"/>
        </w:rPr>
        <w:t xml:space="preserve">(AI – </w:t>
      </w:r>
      <w:proofErr w:type="spellStart"/>
      <w:r w:rsidRPr="00562CEE">
        <w:rPr>
          <w:sz w:val="26"/>
          <w:szCs w:val="26"/>
        </w:rPr>
        <w:t>AI</w:t>
      </w:r>
      <w:r w:rsidRPr="00562CEE">
        <w:rPr>
          <w:sz w:val="26"/>
          <w:szCs w:val="26"/>
          <w:vertAlign w:val="subscript"/>
        </w:rPr>
        <w:t>min</w:t>
      </w:r>
      <w:proofErr w:type="spellEnd"/>
      <w:r w:rsidRPr="00562CEE">
        <w:rPr>
          <w:sz w:val="26"/>
          <w:szCs w:val="26"/>
        </w:rPr>
        <w:t>/ 12 x n)</w:t>
      </w:r>
      <w:r w:rsidR="00380C91" w:rsidRPr="00562CEE">
        <w:rPr>
          <w:sz w:val="26"/>
          <w:szCs w:val="26"/>
        </w:rPr>
        <w:t xml:space="preserve">, kur </w:t>
      </w:r>
      <w:r w:rsidR="007D70C9" w:rsidRPr="00562CEE">
        <w:rPr>
          <w:sz w:val="26"/>
          <w:szCs w:val="26"/>
        </w:rPr>
        <w:t xml:space="preserve">DNM – diferencētais neapliekamais minimums nepilnam taksācijas gadam, </w:t>
      </w:r>
      <w:r w:rsidR="00380C91" w:rsidRPr="00562CEE">
        <w:rPr>
          <w:sz w:val="26"/>
          <w:szCs w:val="26"/>
        </w:rPr>
        <w:t xml:space="preserve">n – mēnešu skaits, par kuru piemēro diferencēto neapliekamo minimumu </w:t>
      </w:r>
      <w:r w:rsidR="00134DC4" w:rsidRPr="00562CEE">
        <w:rPr>
          <w:sz w:val="26"/>
          <w:szCs w:val="26"/>
        </w:rPr>
        <w:t>(1.piemērs šo noteikumu pielikumā)</w:t>
      </w:r>
      <w:r w:rsidR="006D4137" w:rsidRPr="00562CEE">
        <w:rPr>
          <w:sz w:val="26"/>
          <w:szCs w:val="26"/>
        </w:rPr>
        <w:t>.</w:t>
      </w:r>
    </w:p>
    <w:p w:rsidR="000D7882" w:rsidRPr="00562CEE" w:rsidRDefault="006D4137" w:rsidP="00DA37F8">
      <w:pPr>
        <w:jc w:val="both"/>
        <w:rPr>
          <w:sz w:val="26"/>
          <w:szCs w:val="26"/>
        </w:rPr>
      </w:pPr>
      <w:r w:rsidRPr="00562CEE">
        <w:rPr>
          <w:sz w:val="26"/>
          <w:szCs w:val="26"/>
        </w:rPr>
        <w:t xml:space="preserve"> </w:t>
      </w:r>
    </w:p>
    <w:p w:rsidR="000D7882" w:rsidRPr="00562CEE" w:rsidRDefault="00BE4BF5" w:rsidP="00236D23">
      <w:pPr>
        <w:pStyle w:val="ListParagraph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2CEE">
        <w:rPr>
          <w:sz w:val="26"/>
          <w:szCs w:val="26"/>
        </w:rPr>
        <w:t xml:space="preserve">Ja šo noteikumu </w:t>
      </w:r>
      <w:r w:rsidR="007C00B9">
        <w:rPr>
          <w:sz w:val="26"/>
          <w:szCs w:val="26"/>
        </w:rPr>
        <w:t>8</w:t>
      </w:r>
      <w:r w:rsidR="000D7882" w:rsidRPr="00562CEE">
        <w:rPr>
          <w:sz w:val="26"/>
          <w:szCs w:val="26"/>
        </w:rPr>
        <w:t xml:space="preserve">.punktā minētais diferencētā neapliekamā minimuma piemērošanas periods ietver nepilnu mēnesi, tad </w:t>
      </w:r>
      <w:r w:rsidR="00767397" w:rsidRPr="00562CEE">
        <w:rPr>
          <w:sz w:val="26"/>
          <w:szCs w:val="26"/>
        </w:rPr>
        <w:t>diferencēto neapliekamo minimumu</w:t>
      </w:r>
      <w:r w:rsidR="000D7882" w:rsidRPr="00562CEE">
        <w:rPr>
          <w:sz w:val="26"/>
          <w:szCs w:val="26"/>
        </w:rPr>
        <w:t xml:space="preserve"> piemēro proporcionāli laika periodam, kas izteikts gan pilnos mēnešos, gan dienās</w:t>
      </w:r>
      <w:r w:rsidR="005D0E14" w:rsidRPr="00562CEE">
        <w:rPr>
          <w:sz w:val="26"/>
          <w:szCs w:val="26"/>
        </w:rPr>
        <w:t xml:space="preserve"> (2.piemērs šo noteikumu pielikumā)</w:t>
      </w:r>
      <w:r w:rsidR="000D7882" w:rsidRPr="00562CEE">
        <w:rPr>
          <w:sz w:val="26"/>
          <w:szCs w:val="26"/>
        </w:rPr>
        <w:t>.</w:t>
      </w:r>
    </w:p>
    <w:p w:rsidR="00624E3F" w:rsidRPr="00562CEE" w:rsidRDefault="00624E3F" w:rsidP="00F65A50">
      <w:pPr>
        <w:pStyle w:val="ListParagraph"/>
        <w:ind w:left="709"/>
        <w:jc w:val="both"/>
        <w:rPr>
          <w:sz w:val="26"/>
          <w:szCs w:val="26"/>
        </w:rPr>
      </w:pPr>
    </w:p>
    <w:p w:rsidR="00624E3F" w:rsidRPr="00562CEE" w:rsidRDefault="0024788D" w:rsidP="0024788D">
      <w:pPr>
        <w:pStyle w:val="ListParagraph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624E3F" w:rsidRPr="00562CEE">
        <w:rPr>
          <w:sz w:val="26"/>
          <w:szCs w:val="26"/>
        </w:rPr>
        <w:t xml:space="preserve">Aprēķinot šo noteikumu </w:t>
      </w:r>
      <w:r w:rsidR="007C00B9">
        <w:rPr>
          <w:sz w:val="26"/>
          <w:szCs w:val="26"/>
        </w:rPr>
        <w:t>8</w:t>
      </w:r>
      <w:r w:rsidR="00624E3F" w:rsidRPr="00562CEE">
        <w:rPr>
          <w:sz w:val="26"/>
          <w:szCs w:val="26"/>
        </w:rPr>
        <w:t xml:space="preserve">. un </w:t>
      </w:r>
      <w:r w:rsidR="007C00B9">
        <w:rPr>
          <w:sz w:val="26"/>
          <w:szCs w:val="26"/>
        </w:rPr>
        <w:t>9</w:t>
      </w:r>
      <w:r w:rsidR="00624E3F" w:rsidRPr="00562CEE">
        <w:rPr>
          <w:sz w:val="26"/>
          <w:szCs w:val="26"/>
        </w:rPr>
        <w:t>.punktā minēto diferencēto neapliekamo minimumu par nepilnu gadu, nodokļa maksātāja kopējos ienākumus nosaka šādi:</w:t>
      </w:r>
    </w:p>
    <w:p w:rsidR="00624E3F" w:rsidRPr="00562CEE" w:rsidRDefault="0024788D" w:rsidP="0024788D">
      <w:pPr>
        <w:pStyle w:val="ListParagraph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10.1. </w:t>
      </w:r>
      <w:r w:rsidR="00624E3F" w:rsidRPr="00562CEE">
        <w:rPr>
          <w:sz w:val="26"/>
          <w:szCs w:val="26"/>
        </w:rPr>
        <w:t>ienākumus, par kuriem maksā algas nodokli, ņem vērā par to taksācijas gada periodu, par kuru aprēķina diferencēto neapliekamo minimumu;</w:t>
      </w:r>
    </w:p>
    <w:p w:rsidR="00624E3F" w:rsidRPr="00562CEE" w:rsidRDefault="0024788D" w:rsidP="0024788D">
      <w:pPr>
        <w:pStyle w:val="ListParagraph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10.2. </w:t>
      </w:r>
      <w:r w:rsidR="00624E3F" w:rsidRPr="00562CEE">
        <w:rPr>
          <w:sz w:val="26"/>
          <w:szCs w:val="26"/>
        </w:rPr>
        <w:t>pensiju, kurai tiek piemērots likuma "Par iedzīvotāju ienākuma nodokli" 12.panta piektajā daļā noteiktais neapliekamais minimums, neņem vērā;</w:t>
      </w:r>
    </w:p>
    <w:p w:rsidR="00624E3F" w:rsidRPr="00562CEE" w:rsidRDefault="0024788D" w:rsidP="0024788D">
      <w:pPr>
        <w:pStyle w:val="ListParagraph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10.3. </w:t>
      </w:r>
      <w:r w:rsidR="00624E3F" w:rsidRPr="00562CEE">
        <w:rPr>
          <w:sz w:val="26"/>
          <w:szCs w:val="26"/>
        </w:rPr>
        <w:t xml:space="preserve">pārējos šo noteikumu </w:t>
      </w:r>
      <w:r w:rsidR="007C00B9">
        <w:rPr>
          <w:sz w:val="26"/>
          <w:szCs w:val="26"/>
        </w:rPr>
        <w:t>5</w:t>
      </w:r>
      <w:r w:rsidR="00624E3F" w:rsidRPr="00562CEE">
        <w:rPr>
          <w:sz w:val="26"/>
          <w:szCs w:val="26"/>
        </w:rPr>
        <w:t>.punktā noteiktos taksācijas gada laikā gūtos ienākumus ņem vērā proporcionāli laika periodam, par kuru aprēķina diferencēto neapliekamo minimumu (3.piemērs šo noteikumu pielikumā).</w:t>
      </w:r>
    </w:p>
    <w:p w:rsidR="00DE486D" w:rsidRPr="00562CEE" w:rsidRDefault="00DE486D" w:rsidP="004475C1">
      <w:pPr>
        <w:jc w:val="both"/>
        <w:rPr>
          <w:sz w:val="26"/>
          <w:szCs w:val="26"/>
        </w:rPr>
      </w:pPr>
    </w:p>
    <w:p w:rsidR="00A7430B" w:rsidRPr="00562CEE" w:rsidRDefault="00912A0D" w:rsidP="00F65A50">
      <w:pPr>
        <w:pStyle w:val="ListParagraph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562CEE">
        <w:rPr>
          <w:sz w:val="26"/>
          <w:szCs w:val="26"/>
        </w:rPr>
        <w:t>Ar 2016.gada 1.janvāri likuma "Par iedzīvotāju ienākuma nodokli" 13.panta pirmās daļas 1.punktā minētais iedzīvotāju ienākuma n</w:t>
      </w:r>
      <w:r w:rsidR="00082ED1" w:rsidRPr="00562CEE">
        <w:rPr>
          <w:sz w:val="26"/>
          <w:szCs w:val="26"/>
        </w:rPr>
        <w:t>odokļa atvieglojums mēnesī ir 17</w:t>
      </w:r>
      <w:r w:rsidRPr="00562CEE">
        <w:rPr>
          <w:sz w:val="26"/>
          <w:szCs w:val="26"/>
        </w:rPr>
        <w:t xml:space="preserve">5 </w:t>
      </w:r>
      <w:proofErr w:type="spellStart"/>
      <w:r w:rsidRPr="00562CEE">
        <w:rPr>
          <w:i/>
          <w:sz w:val="26"/>
          <w:szCs w:val="26"/>
        </w:rPr>
        <w:t>euro</w:t>
      </w:r>
      <w:proofErr w:type="spellEnd"/>
      <w:r w:rsidRPr="00562CEE">
        <w:rPr>
          <w:sz w:val="26"/>
          <w:szCs w:val="26"/>
        </w:rPr>
        <w:t>.</w:t>
      </w:r>
      <w:r w:rsidR="00513BF0" w:rsidRPr="00562CEE">
        <w:rPr>
          <w:sz w:val="26"/>
          <w:szCs w:val="26"/>
        </w:rPr>
        <w:t xml:space="preserve"> </w:t>
      </w:r>
      <w:r w:rsidR="008D4C39" w:rsidRPr="00562CEE">
        <w:rPr>
          <w:sz w:val="26"/>
          <w:szCs w:val="26"/>
        </w:rPr>
        <w:t xml:space="preserve"> </w:t>
      </w:r>
      <w:r w:rsidR="006D4137" w:rsidRPr="00562CEE">
        <w:rPr>
          <w:sz w:val="26"/>
          <w:szCs w:val="26"/>
        </w:rPr>
        <w:t xml:space="preserve"> </w:t>
      </w:r>
    </w:p>
    <w:p w:rsidR="006361B6" w:rsidRPr="00562CEE" w:rsidRDefault="006361B6" w:rsidP="006361B6">
      <w:pPr>
        <w:pStyle w:val="ListParagraph"/>
        <w:rPr>
          <w:sz w:val="26"/>
          <w:szCs w:val="26"/>
        </w:rPr>
      </w:pPr>
    </w:p>
    <w:p w:rsidR="00B777F5" w:rsidRPr="00562CEE" w:rsidRDefault="00912A0D" w:rsidP="00620EF3">
      <w:pPr>
        <w:pStyle w:val="ListParagraph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562CEE">
        <w:rPr>
          <w:sz w:val="26"/>
          <w:szCs w:val="26"/>
        </w:rPr>
        <w:t>Atzīt par spēku zaudējušiem Ministru kabineta 2013.gada 29.</w:t>
      </w:r>
      <w:r w:rsidR="006E30D7" w:rsidRPr="00562CEE">
        <w:rPr>
          <w:sz w:val="26"/>
          <w:szCs w:val="26"/>
        </w:rPr>
        <w:t>okt</w:t>
      </w:r>
      <w:r w:rsidRPr="00562CEE">
        <w:rPr>
          <w:sz w:val="26"/>
          <w:szCs w:val="26"/>
        </w:rPr>
        <w:t>o</w:t>
      </w:r>
      <w:r w:rsidR="006E30D7" w:rsidRPr="00562CEE">
        <w:rPr>
          <w:sz w:val="26"/>
          <w:szCs w:val="26"/>
        </w:rPr>
        <w:t>bra noteikumus Nr.1210</w:t>
      </w:r>
      <w:r w:rsidRPr="00562CEE">
        <w:rPr>
          <w:sz w:val="26"/>
          <w:szCs w:val="26"/>
        </w:rPr>
        <w:t xml:space="preserve"> "Noteikumi par mēneša neapliekamā minimuma un nodokļa atvieglojuma apmēru iedzīvotāju ienākuma nodokļa aprēķinā</w:t>
      </w:r>
      <w:r w:rsidR="006E30D7" w:rsidRPr="00562CEE">
        <w:rPr>
          <w:sz w:val="26"/>
          <w:szCs w:val="26"/>
        </w:rPr>
        <w:t>šanai" (Latvijas Vēstnesis, 2013</w:t>
      </w:r>
      <w:r w:rsidRPr="00562CEE">
        <w:rPr>
          <w:sz w:val="26"/>
          <w:szCs w:val="26"/>
        </w:rPr>
        <w:t xml:space="preserve">, </w:t>
      </w:r>
      <w:r w:rsidR="006E30D7" w:rsidRPr="00562CEE">
        <w:rPr>
          <w:sz w:val="26"/>
          <w:szCs w:val="26"/>
        </w:rPr>
        <w:t>215</w:t>
      </w:r>
      <w:r w:rsidRPr="00562CEE">
        <w:rPr>
          <w:sz w:val="26"/>
          <w:szCs w:val="26"/>
        </w:rPr>
        <w:t>.nr.).</w:t>
      </w:r>
    </w:p>
    <w:p w:rsidR="006E30D7" w:rsidRPr="00562CEE" w:rsidRDefault="006E30D7" w:rsidP="006E30D7">
      <w:pPr>
        <w:pStyle w:val="ListParagraph"/>
        <w:rPr>
          <w:sz w:val="26"/>
          <w:szCs w:val="26"/>
        </w:rPr>
      </w:pPr>
    </w:p>
    <w:p w:rsidR="006E30D7" w:rsidRPr="004F3693" w:rsidRDefault="006E30D7" w:rsidP="00620EF3">
      <w:pPr>
        <w:pStyle w:val="ListParagraph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4F3693">
        <w:rPr>
          <w:sz w:val="26"/>
          <w:szCs w:val="26"/>
        </w:rPr>
        <w:t xml:space="preserve">Noteikumi </w:t>
      </w:r>
      <w:r w:rsidR="007C00B9" w:rsidRPr="004F3693">
        <w:rPr>
          <w:sz w:val="26"/>
          <w:szCs w:val="26"/>
        </w:rPr>
        <w:t>piemērojami ar</w:t>
      </w:r>
      <w:r w:rsidRPr="004F3693">
        <w:rPr>
          <w:sz w:val="26"/>
          <w:szCs w:val="26"/>
        </w:rPr>
        <w:t xml:space="preserve"> 2016.gada 1.janvār</w:t>
      </w:r>
      <w:r w:rsidR="007C00B9" w:rsidRPr="004F3693">
        <w:rPr>
          <w:sz w:val="26"/>
          <w:szCs w:val="26"/>
        </w:rPr>
        <w:t>i</w:t>
      </w:r>
      <w:r w:rsidRPr="004F3693">
        <w:rPr>
          <w:sz w:val="26"/>
          <w:szCs w:val="26"/>
        </w:rPr>
        <w:t>.</w:t>
      </w:r>
    </w:p>
    <w:p w:rsidR="00134DC4" w:rsidRPr="00562CEE" w:rsidRDefault="00134DC4" w:rsidP="00134DC4">
      <w:pPr>
        <w:pStyle w:val="ListParagraph"/>
        <w:rPr>
          <w:sz w:val="26"/>
          <w:szCs w:val="26"/>
        </w:rPr>
      </w:pPr>
    </w:p>
    <w:p w:rsidR="00134DC4" w:rsidRPr="00562CEE" w:rsidRDefault="00134DC4" w:rsidP="00134DC4">
      <w:pPr>
        <w:jc w:val="both"/>
        <w:rPr>
          <w:sz w:val="26"/>
          <w:szCs w:val="26"/>
        </w:rPr>
      </w:pPr>
    </w:p>
    <w:p w:rsidR="00134DC4" w:rsidRPr="00562CEE" w:rsidRDefault="0035452A" w:rsidP="00134DC4">
      <w:pPr>
        <w:jc w:val="both"/>
        <w:rPr>
          <w:sz w:val="26"/>
          <w:szCs w:val="26"/>
        </w:rPr>
      </w:pPr>
      <w:r w:rsidRPr="00562CEE">
        <w:rPr>
          <w:sz w:val="26"/>
          <w:szCs w:val="26"/>
        </w:rPr>
        <w:t>Ministru prezidente</w:t>
      </w:r>
      <w:r w:rsidRPr="00562CEE">
        <w:rPr>
          <w:sz w:val="26"/>
          <w:szCs w:val="26"/>
        </w:rPr>
        <w:tab/>
      </w:r>
      <w:r w:rsidRPr="00562CEE">
        <w:rPr>
          <w:sz w:val="26"/>
          <w:szCs w:val="26"/>
        </w:rPr>
        <w:tab/>
      </w:r>
      <w:r w:rsidRPr="00562CEE">
        <w:rPr>
          <w:sz w:val="26"/>
          <w:szCs w:val="26"/>
        </w:rPr>
        <w:tab/>
      </w:r>
      <w:r w:rsidRPr="00562CEE">
        <w:rPr>
          <w:sz w:val="26"/>
          <w:szCs w:val="26"/>
        </w:rPr>
        <w:tab/>
      </w:r>
      <w:r w:rsidRPr="00562CEE">
        <w:rPr>
          <w:sz w:val="26"/>
          <w:szCs w:val="26"/>
        </w:rPr>
        <w:tab/>
      </w:r>
      <w:r w:rsidRPr="00562CEE">
        <w:rPr>
          <w:sz w:val="26"/>
          <w:szCs w:val="26"/>
        </w:rPr>
        <w:tab/>
      </w:r>
      <w:r w:rsidR="00562CEE">
        <w:rPr>
          <w:sz w:val="26"/>
          <w:szCs w:val="26"/>
        </w:rPr>
        <w:t xml:space="preserve">  </w:t>
      </w:r>
      <w:proofErr w:type="spellStart"/>
      <w:r w:rsidRPr="00562CEE">
        <w:rPr>
          <w:sz w:val="26"/>
          <w:szCs w:val="26"/>
        </w:rPr>
        <w:t>L.Straujuma</w:t>
      </w:r>
      <w:proofErr w:type="spellEnd"/>
    </w:p>
    <w:p w:rsidR="00134DC4" w:rsidRPr="00562CEE" w:rsidRDefault="00134DC4" w:rsidP="00134DC4">
      <w:pPr>
        <w:jc w:val="both"/>
        <w:rPr>
          <w:sz w:val="26"/>
          <w:szCs w:val="26"/>
        </w:rPr>
      </w:pPr>
    </w:p>
    <w:p w:rsidR="0035452A" w:rsidRPr="00562CEE" w:rsidRDefault="0035452A" w:rsidP="00134DC4">
      <w:pPr>
        <w:jc w:val="both"/>
        <w:rPr>
          <w:sz w:val="26"/>
          <w:szCs w:val="26"/>
        </w:rPr>
      </w:pPr>
    </w:p>
    <w:p w:rsidR="008C0919" w:rsidRDefault="0035452A" w:rsidP="00134DC4">
      <w:pPr>
        <w:jc w:val="both"/>
        <w:rPr>
          <w:sz w:val="26"/>
          <w:szCs w:val="26"/>
        </w:rPr>
      </w:pPr>
      <w:r w:rsidRPr="00562CEE">
        <w:rPr>
          <w:sz w:val="26"/>
          <w:szCs w:val="26"/>
        </w:rPr>
        <w:t>Finanšu ministr</w:t>
      </w:r>
      <w:r w:rsidR="008C0919">
        <w:rPr>
          <w:sz w:val="26"/>
          <w:szCs w:val="26"/>
        </w:rPr>
        <w:t>a vietā –</w:t>
      </w:r>
    </w:p>
    <w:p w:rsidR="0035452A" w:rsidRPr="00562CEE" w:rsidRDefault="008C0919" w:rsidP="00134DC4">
      <w:pPr>
        <w:jc w:val="both"/>
        <w:rPr>
          <w:sz w:val="26"/>
          <w:szCs w:val="26"/>
        </w:rPr>
      </w:pPr>
      <w:r>
        <w:rPr>
          <w:sz w:val="26"/>
          <w:szCs w:val="26"/>
        </w:rPr>
        <w:t>ārlietu ministrs</w:t>
      </w:r>
      <w:r w:rsidR="0035452A" w:rsidRPr="00562CEE">
        <w:rPr>
          <w:sz w:val="26"/>
          <w:szCs w:val="26"/>
        </w:rPr>
        <w:tab/>
      </w:r>
      <w:r w:rsidR="0035452A" w:rsidRPr="00562CEE">
        <w:rPr>
          <w:sz w:val="26"/>
          <w:szCs w:val="26"/>
        </w:rPr>
        <w:tab/>
      </w:r>
      <w:r w:rsidR="0035452A" w:rsidRPr="00562CEE">
        <w:rPr>
          <w:sz w:val="26"/>
          <w:szCs w:val="26"/>
        </w:rPr>
        <w:tab/>
      </w:r>
      <w:r w:rsidR="0035452A" w:rsidRPr="00562CEE">
        <w:rPr>
          <w:sz w:val="26"/>
          <w:szCs w:val="26"/>
        </w:rPr>
        <w:tab/>
      </w:r>
      <w:r w:rsidR="0035452A" w:rsidRPr="00562CEE">
        <w:rPr>
          <w:sz w:val="26"/>
          <w:szCs w:val="26"/>
        </w:rPr>
        <w:tab/>
      </w:r>
      <w:r w:rsidR="0035452A" w:rsidRPr="00562CEE">
        <w:rPr>
          <w:sz w:val="26"/>
          <w:szCs w:val="26"/>
        </w:rPr>
        <w:tab/>
      </w:r>
      <w:r w:rsidR="0035452A" w:rsidRPr="00562CEE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E.Rinkēvičs</w:t>
      </w:r>
      <w:proofErr w:type="spellEnd"/>
    </w:p>
    <w:p w:rsidR="00134DC4" w:rsidRPr="00562CEE" w:rsidRDefault="00134DC4" w:rsidP="00134DC4">
      <w:pPr>
        <w:jc w:val="both"/>
        <w:rPr>
          <w:sz w:val="26"/>
          <w:szCs w:val="26"/>
        </w:rPr>
      </w:pPr>
    </w:p>
    <w:p w:rsidR="00082ED1" w:rsidRDefault="00082ED1" w:rsidP="00134DC4">
      <w:pPr>
        <w:jc w:val="both"/>
        <w:rPr>
          <w:sz w:val="28"/>
          <w:szCs w:val="28"/>
        </w:rPr>
      </w:pPr>
    </w:p>
    <w:p w:rsidR="004C53DF" w:rsidRPr="004C53DF" w:rsidRDefault="00C661B2" w:rsidP="004C53DF">
      <w:pPr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1</w:t>
      </w:r>
      <w:r w:rsidR="007C00B9">
        <w:rPr>
          <w:rFonts w:eastAsia="Calibri" w:cs="Times New Roman"/>
          <w:sz w:val="20"/>
          <w:szCs w:val="20"/>
        </w:rPr>
        <w:t>8</w:t>
      </w:r>
      <w:r w:rsidR="004C53DF" w:rsidRPr="004C53DF">
        <w:rPr>
          <w:rFonts w:eastAsia="Calibri" w:cs="Times New Roman"/>
          <w:sz w:val="20"/>
          <w:szCs w:val="20"/>
        </w:rPr>
        <w:t>.1</w:t>
      </w:r>
      <w:r w:rsidR="00C93E71">
        <w:rPr>
          <w:rFonts w:eastAsia="Calibri" w:cs="Times New Roman"/>
          <w:sz w:val="20"/>
          <w:szCs w:val="20"/>
        </w:rPr>
        <w:t>2</w:t>
      </w:r>
      <w:r w:rsidR="004C53DF" w:rsidRPr="004C53DF">
        <w:rPr>
          <w:rFonts w:eastAsia="Calibri" w:cs="Times New Roman"/>
          <w:sz w:val="20"/>
          <w:szCs w:val="20"/>
        </w:rPr>
        <w:t xml:space="preserve">.2015. </w:t>
      </w:r>
    </w:p>
    <w:p w:rsidR="004C53DF" w:rsidRPr="004C53DF" w:rsidRDefault="004C53DF" w:rsidP="004C53DF">
      <w:pPr>
        <w:jc w:val="both"/>
        <w:rPr>
          <w:rFonts w:eastAsia="Calibri" w:cs="Times New Roman"/>
          <w:sz w:val="20"/>
          <w:szCs w:val="20"/>
        </w:rPr>
      </w:pPr>
      <w:r w:rsidRPr="004C53DF">
        <w:rPr>
          <w:rFonts w:eastAsia="Calibri" w:cs="Times New Roman"/>
          <w:sz w:val="20"/>
          <w:szCs w:val="20"/>
          <w:lang w:val="en-GB"/>
        </w:rPr>
        <w:fldChar w:fldCharType="begin"/>
      </w:r>
      <w:r w:rsidRPr="004C53DF">
        <w:rPr>
          <w:rFonts w:eastAsia="Calibri" w:cs="Times New Roman"/>
          <w:sz w:val="20"/>
          <w:szCs w:val="20"/>
          <w:lang w:val="en-GB"/>
        </w:rPr>
        <w:instrText xml:space="preserve"> NUMWORDS  \* MERGEFORMAT </w:instrText>
      </w:r>
      <w:r w:rsidRPr="004C53DF">
        <w:rPr>
          <w:rFonts w:eastAsia="Calibri" w:cs="Times New Roman"/>
          <w:sz w:val="20"/>
          <w:szCs w:val="20"/>
          <w:lang w:val="en-GB"/>
        </w:rPr>
        <w:fldChar w:fldCharType="separate"/>
      </w:r>
      <w:r w:rsidR="008C0919" w:rsidRPr="008C0919">
        <w:rPr>
          <w:rFonts w:eastAsia="Calibri" w:cs="Times New Roman"/>
          <w:noProof/>
          <w:sz w:val="20"/>
          <w:szCs w:val="20"/>
        </w:rPr>
        <w:t>807</w:t>
      </w:r>
      <w:r w:rsidRPr="004C53DF">
        <w:rPr>
          <w:rFonts w:eastAsia="Calibri" w:cs="Times New Roman"/>
          <w:sz w:val="20"/>
          <w:szCs w:val="20"/>
        </w:rPr>
        <w:fldChar w:fldCharType="end"/>
      </w:r>
    </w:p>
    <w:p w:rsidR="004C53DF" w:rsidRPr="004C53DF" w:rsidRDefault="004C53DF" w:rsidP="004C53DF">
      <w:pPr>
        <w:jc w:val="both"/>
        <w:rPr>
          <w:rFonts w:eastAsia="Calibri" w:cs="Times New Roman"/>
          <w:sz w:val="20"/>
          <w:szCs w:val="20"/>
        </w:rPr>
      </w:pPr>
      <w:r w:rsidRPr="004C53DF">
        <w:rPr>
          <w:rFonts w:eastAsia="Calibri" w:cs="Times New Roman"/>
          <w:sz w:val="20"/>
          <w:szCs w:val="20"/>
        </w:rPr>
        <w:t>Bērziņa, 67095644</w:t>
      </w:r>
    </w:p>
    <w:p w:rsidR="004C53DF" w:rsidRPr="004C53DF" w:rsidRDefault="004C53DF" w:rsidP="004C53DF">
      <w:pPr>
        <w:jc w:val="both"/>
        <w:rPr>
          <w:rFonts w:eastAsia="Calibri" w:cs="Times New Roman"/>
          <w:sz w:val="20"/>
          <w:szCs w:val="20"/>
          <w:lang w:val="en-GB"/>
        </w:rPr>
      </w:pPr>
      <w:r w:rsidRPr="004C53DF">
        <w:rPr>
          <w:rFonts w:eastAsia="Calibri" w:cs="Times New Roman"/>
          <w:sz w:val="20"/>
          <w:szCs w:val="20"/>
        </w:rPr>
        <w:t xml:space="preserve">e-pasts: </w:t>
      </w:r>
      <w:hyperlink r:id="rId8" w:history="1">
        <w:r w:rsidRPr="004C53DF">
          <w:rPr>
            <w:rStyle w:val="Hyperlink"/>
            <w:rFonts w:eastAsia="Calibri" w:cs="Times New Roman"/>
            <w:sz w:val="20"/>
            <w:szCs w:val="20"/>
          </w:rPr>
          <w:t>Inese.Berzina@fm.gov.lv</w:t>
        </w:r>
      </w:hyperlink>
      <w:r w:rsidRPr="004C53DF">
        <w:rPr>
          <w:rFonts w:eastAsia="Calibri" w:cs="Times New Roman"/>
          <w:sz w:val="20"/>
          <w:szCs w:val="20"/>
        </w:rPr>
        <w:t xml:space="preserve"> </w:t>
      </w:r>
      <w:r w:rsidRPr="004C53DF">
        <w:rPr>
          <w:rFonts w:eastAsia="Calibri" w:cs="Times New Roman"/>
          <w:sz w:val="20"/>
          <w:szCs w:val="20"/>
          <w:lang w:val="en-GB"/>
        </w:rPr>
        <w:t xml:space="preserve"> </w:t>
      </w:r>
    </w:p>
    <w:sectPr w:rsidR="004C53DF" w:rsidRPr="004C53DF" w:rsidSect="00082ED1">
      <w:headerReference w:type="default" r:id="rId9"/>
      <w:footerReference w:type="default" r:id="rId10"/>
      <w:footerReference w:type="first" r:id="rId11"/>
      <w:pgSz w:w="11906" w:h="16838"/>
      <w:pgMar w:top="568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F9" w:rsidRDefault="00C203F9" w:rsidP="007205EE">
      <w:r>
        <w:separator/>
      </w:r>
    </w:p>
  </w:endnote>
  <w:endnote w:type="continuationSeparator" w:id="0">
    <w:p w:rsidR="00C203F9" w:rsidRDefault="00C203F9" w:rsidP="0072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CEC" w:rsidRPr="004039C9" w:rsidRDefault="00D0206A" w:rsidP="00632CEC">
    <w:pPr>
      <w:pStyle w:val="Footer"/>
      <w:jc w:val="both"/>
      <w:rPr>
        <w:sz w:val="20"/>
        <w:szCs w:val="20"/>
      </w:rPr>
    </w:pPr>
    <w:r w:rsidRPr="004039C9">
      <w:rPr>
        <w:sz w:val="20"/>
        <w:szCs w:val="20"/>
      </w:rPr>
      <w:fldChar w:fldCharType="begin"/>
    </w:r>
    <w:r w:rsidRPr="004039C9">
      <w:rPr>
        <w:sz w:val="20"/>
        <w:szCs w:val="20"/>
      </w:rPr>
      <w:instrText xml:space="preserve"> FILENAME   \* MERGEFORMAT </w:instrText>
    </w:r>
    <w:r w:rsidRPr="004039C9">
      <w:rPr>
        <w:sz w:val="20"/>
        <w:szCs w:val="20"/>
      </w:rPr>
      <w:fldChar w:fldCharType="separate"/>
    </w:r>
    <w:r w:rsidR="009F2769">
      <w:rPr>
        <w:noProof/>
        <w:sz w:val="20"/>
        <w:szCs w:val="20"/>
      </w:rPr>
      <w:t>FMNot_181215_DFNM.docx</w:t>
    </w:r>
    <w:r w:rsidRPr="004039C9">
      <w:rPr>
        <w:sz w:val="20"/>
        <w:szCs w:val="20"/>
      </w:rPr>
      <w:fldChar w:fldCharType="end"/>
    </w:r>
    <w:r w:rsidRPr="004039C9">
      <w:rPr>
        <w:sz w:val="20"/>
        <w:szCs w:val="20"/>
      </w:rPr>
      <w:t>;</w:t>
    </w:r>
    <w:r w:rsidRPr="004039C9" w:rsidDel="00D0206A">
      <w:rPr>
        <w:sz w:val="20"/>
        <w:szCs w:val="20"/>
      </w:rPr>
      <w:t xml:space="preserve"> </w:t>
    </w:r>
    <w:r w:rsidRPr="004039C9">
      <w:rPr>
        <w:sz w:val="20"/>
        <w:szCs w:val="20"/>
      </w:rPr>
      <w:t>Ministru kabineta noteikumu projekts “</w:t>
    </w:r>
    <w:r w:rsidRPr="004039C9">
      <w:rPr>
        <w:rFonts w:eastAsia="Times New Roman" w:cs="Times New Roman"/>
        <w:bCs/>
        <w:sz w:val="20"/>
        <w:szCs w:val="20"/>
        <w:lang w:val="pt-BR" w:eastAsia="lv-LV"/>
      </w:rPr>
      <w:t>Noteikumi par neapliekamā minimuma un nodokļa atvieglojuma apmēru iedzīvotāju ienākuma nodokļa aprēķināšanai</w:t>
    </w:r>
    <w:r w:rsidR="00082ED1" w:rsidRPr="004039C9">
      <w:rPr>
        <w:rFonts w:eastAsia="Times New Roman" w:cs="Times New Roman"/>
        <w:bCs/>
        <w:sz w:val="20"/>
        <w:szCs w:val="20"/>
        <w:lang w:val="pt-BR" w:eastAsia="lv-LV"/>
      </w:rPr>
      <w:t>”</w:t>
    </w:r>
  </w:p>
  <w:p w:rsidR="007205EE" w:rsidRDefault="007205EE">
    <w:pPr>
      <w:pStyle w:val="Footer"/>
    </w:pPr>
  </w:p>
  <w:p w:rsidR="007205EE" w:rsidRDefault="007205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5EE" w:rsidRPr="004039C9" w:rsidRDefault="00D0206A" w:rsidP="00D0206A">
    <w:pPr>
      <w:pStyle w:val="Footer"/>
      <w:jc w:val="both"/>
      <w:rPr>
        <w:sz w:val="20"/>
        <w:szCs w:val="20"/>
      </w:rPr>
    </w:pPr>
    <w:r w:rsidRPr="004039C9">
      <w:rPr>
        <w:sz w:val="20"/>
        <w:szCs w:val="20"/>
      </w:rPr>
      <w:fldChar w:fldCharType="begin"/>
    </w:r>
    <w:r w:rsidRPr="004039C9">
      <w:rPr>
        <w:sz w:val="20"/>
        <w:szCs w:val="20"/>
      </w:rPr>
      <w:instrText xml:space="preserve"> FILENAME   \* MERGEFORMAT </w:instrText>
    </w:r>
    <w:r w:rsidRPr="004039C9">
      <w:rPr>
        <w:sz w:val="20"/>
        <w:szCs w:val="20"/>
      </w:rPr>
      <w:fldChar w:fldCharType="separate"/>
    </w:r>
    <w:r w:rsidR="009F2769">
      <w:rPr>
        <w:noProof/>
        <w:sz w:val="20"/>
        <w:szCs w:val="20"/>
      </w:rPr>
      <w:t>FMNot_181215_DFNM.docx</w:t>
    </w:r>
    <w:r w:rsidRPr="004039C9">
      <w:rPr>
        <w:sz w:val="20"/>
        <w:szCs w:val="20"/>
      </w:rPr>
      <w:fldChar w:fldCharType="end"/>
    </w:r>
    <w:r w:rsidRPr="004039C9">
      <w:rPr>
        <w:sz w:val="20"/>
        <w:szCs w:val="20"/>
      </w:rPr>
      <w:t>;</w:t>
    </w:r>
    <w:r w:rsidRPr="004039C9" w:rsidDel="00D0206A">
      <w:rPr>
        <w:sz w:val="20"/>
        <w:szCs w:val="20"/>
      </w:rPr>
      <w:t xml:space="preserve"> </w:t>
    </w:r>
    <w:r w:rsidRPr="004039C9">
      <w:rPr>
        <w:sz w:val="20"/>
        <w:szCs w:val="20"/>
      </w:rPr>
      <w:t>M</w:t>
    </w:r>
    <w:r w:rsidR="00B225FB" w:rsidRPr="004039C9">
      <w:rPr>
        <w:sz w:val="20"/>
        <w:szCs w:val="20"/>
      </w:rPr>
      <w:t>inistru kabineta noteikumu projekts “</w:t>
    </w:r>
    <w:r w:rsidR="00B225FB" w:rsidRPr="004039C9">
      <w:rPr>
        <w:rFonts w:eastAsia="Times New Roman" w:cs="Times New Roman"/>
        <w:bCs/>
        <w:sz w:val="20"/>
        <w:szCs w:val="20"/>
        <w:lang w:val="pt-BR" w:eastAsia="lv-LV"/>
      </w:rPr>
      <w:t>Noteikumi par neapliekamā minimuma un nodokļa atvieglojuma apmēru iedzīvotāju ienākuma nodokļa aprēķināšana</w:t>
    </w:r>
    <w:r w:rsidR="00A56603" w:rsidRPr="004039C9">
      <w:rPr>
        <w:rFonts w:eastAsia="Times New Roman" w:cs="Times New Roman"/>
        <w:bCs/>
        <w:sz w:val="20"/>
        <w:szCs w:val="20"/>
        <w:lang w:val="pt-BR" w:eastAsia="lv-LV"/>
      </w:rPr>
      <w:t>i</w:t>
    </w:r>
    <w:r w:rsidR="00082ED1" w:rsidRPr="004039C9">
      <w:rPr>
        <w:rFonts w:eastAsia="Times New Roman" w:cs="Times New Roman"/>
        <w:bCs/>
        <w:sz w:val="20"/>
        <w:szCs w:val="20"/>
        <w:lang w:val="pt-BR"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F9" w:rsidRDefault="00C203F9" w:rsidP="007205EE">
      <w:r>
        <w:separator/>
      </w:r>
    </w:p>
  </w:footnote>
  <w:footnote w:type="continuationSeparator" w:id="0">
    <w:p w:rsidR="00C203F9" w:rsidRDefault="00C203F9" w:rsidP="00720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0216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25FB" w:rsidRDefault="00B225F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C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25FB" w:rsidRDefault="00B225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D6284"/>
    <w:multiLevelType w:val="multilevel"/>
    <w:tmpl w:val="6E7AA9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4EE3DBA"/>
    <w:multiLevelType w:val="hybridMultilevel"/>
    <w:tmpl w:val="0F58FBD0"/>
    <w:lvl w:ilvl="0" w:tplc="30F483AE">
      <w:start w:val="1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C356E55"/>
    <w:multiLevelType w:val="multilevel"/>
    <w:tmpl w:val="3E08056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4F3203AC"/>
    <w:multiLevelType w:val="multilevel"/>
    <w:tmpl w:val="5EE4ECD6"/>
    <w:lvl w:ilvl="0">
      <w:start w:val="11"/>
      <w:numFmt w:val="decimal"/>
      <w:lvlText w:val="%1."/>
      <w:lvlJc w:val="left"/>
      <w:pPr>
        <w:ind w:left="207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BB86E0A"/>
    <w:multiLevelType w:val="hybridMultilevel"/>
    <w:tmpl w:val="7C5418A6"/>
    <w:lvl w:ilvl="0" w:tplc="3D8C93CC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54"/>
    <w:rsid w:val="00000DF5"/>
    <w:rsid w:val="00013593"/>
    <w:rsid w:val="00021DDB"/>
    <w:rsid w:val="00035A28"/>
    <w:rsid w:val="0004619D"/>
    <w:rsid w:val="000704EC"/>
    <w:rsid w:val="00082ED1"/>
    <w:rsid w:val="00092A78"/>
    <w:rsid w:val="000D7882"/>
    <w:rsid w:val="00134DC4"/>
    <w:rsid w:val="00147145"/>
    <w:rsid w:val="0014755E"/>
    <w:rsid w:val="001707E3"/>
    <w:rsid w:val="00170995"/>
    <w:rsid w:val="00175525"/>
    <w:rsid w:val="0019637C"/>
    <w:rsid w:val="001B1D4B"/>
    <w:rsid w:val="00212A34"/>
    <w:rsid w:val="002356B4"/>
    <w:rsid w:val="002369FD"/>
    <w:rsid w:val="00236D23"/>
    <w:rsid w:val="002410DE"/>
    <w:rsid w:val="0024788D"/>
    <w:rsid w:val="002841C0"/>
    <w:rsid w:val="00287466"/>
    <w:rsid w:val="002A3E9F"/>
    <w:rsid w:val="002A6754"/>
    <w:rsid w:val="002B6867"/>
    <w:rsid w:val="002D1ACA"/>
    <w:rsid w:val="002F3F28"/>
    <w:rsid w:val="002F60E7"/>
    <w:rsid w:val="0035452A"/>
    <w:rsid w:val="00380C91"/>
    <w:rsid w:val="003D28C0"/>
    <w:rsid w:val="003D477D"/>
    <w:rsid w:val="003E1DBB"/>
    <w:rsid w:val="004039C9"/>
    <w:rsid w:val="004305E8"/>
    <w:rsid w:val="00443C65"/>
    <w:rsid w:val="0044448B"/>
    <w:rsid w:val="004475C1"/>
    <w:rsid w:val="004638E1"/>
    <w:rsid w:val="0046758A"/>
    <w:rsid w:val="00471AB3"/>
    <w:rsid w:val="00496B1A"/>
    <w:rsid w:val="004A21AD"/>
    <w:rsid w:val="004A4776"/>
    <w:rsid w:val="004C53DF"/>
    <w:rsid w:val="004F3693"/>
    <w:rsid w:val="00500242"/>
    <w:rsid w:val="00512807"/>
    <w:rsid w:val="00513BF0"/>
    <w:rsid w:val="00517D65"/>
    <w:rsid w:val="00541F89"/>
    <w:rsid w:val="00542376"/>
    <w:rsid w:val="00562CEE"/>
    <w:rsid w:val="005A647E"/>
    <w:rsid w:val="005C5D63"/>
    <w:rsid w:val="005D0E14"/>
    <w:rsid w:val="006140EE"/>
    <w:rsid w:val="00620EF3"/>
    <w:rsid w:val="00624E3F"/>
    <w:rsid w:val="00632CEC"/>
    <w:rsid w:val="006361B6"/>
    <w:rsid w:val="006533C2"/>
    <w:rsid w:val="0067220D"/>
    <w:rsid w:val="00691E42"/>
    <w:rsid w:val="006A116E"/>
    <w:rsid w:val="006B4748"/>
    <w:rsid w:val="006D33A6"/>
    <w:rsid w:val="006D4137"/>
    <w:rsid w:val="006E30D7"/>
    <w:rsid w:val="006F73DE"/>
    <w:rsid w:val="007205EE"/>
    <w:rsid w:val="007237A0"/>
    <w:rsid w:val="00756969"/>
    <w:rsid w:val="00767397"/>
    <w:rsid w:val="00793A25"/>
    <w:rsid w:val="007A4D6B"/>
    <w:rsid w:val="007B6C41"/>
    <w:rsid w:val="007C00B9"/>
    <w:rsid w:val="007C13A5"/>
    <w:rsid w:val="007D0CE6"/>
    <w:rsid w:val="007D3702"/>
    <w:rsid w:val="007D70C9"/>
    <w:rsid w:val="007E0CC1"/>
    <w:rsid w:val="007F10E3"/>
    <w:rsid w:val="00822D75"/>
    <w:rsid w:val="00834B5F"/>
    <w:rsid w:val="00844303"/>
    <w:rsid w:val="00845C5D"/>
    <w:rsid w:val="00861ACA"/>
    <w:rsid w:val="00874609"/>
    <w:rsid w:val="00896C64"/>
    <w:rsid w:val="008B38A7"/>
    <w:rsid w:val="008B7A0C"/>
    <w:rsid w:val="008C0919"/>
    <w:rsid w:val="008D0318"/>
    <w:rsid w:val="008D4C39"/>
    <w:rsid w:val="00912A0D"/>
    <w:rsid w:val="00931526"/>
    <w:rsid w:val="009539D0"/>
    <w:rsid w:val="00973E0B"/>
    <w:rsid w:val="00993BB1"/>
    <w:rsid w:val="00997B16"/>
    <w:rsid w:val="009A543B"/>
    <w:rsid w:val="009B29FB"/>
    <w:rsid w:val="009D1BFF"/>
    <w:rsid w:val="009F2769"/>
    <w:rsid w:val="009F5147"/>
    <w:rsid w:val="00A10656"/>
    <w:rsid w:val="00A211A5"/>
    <w:rsid w:val="00A5444C"/>
    <w:rsid w:val="00A54DE1"/>
    <w:rsid w:val="00A56603"/>
    <w:rsid w:val="00A7430B"/>
    <w:rsid w:val="00AA0BDE"/>
    <w:rsid w:val="00B0044A"/>
    <w:rsid w:val="00B010F4"/>
    <w:rsid w:val="00B02EE3"/>
    <w:rsid w:val="00B1754F"/>
    <w:rsid w:val="00B225FB"/>
    <w:rsid w:val="00B777F5"/>
    <w:rsid w:val="00B838B6"/>
    <w:rsid w:val="00B959BF"/>
    <w:rsid w:val="00BB3E1B"/>
    <w:rsid w:val="00BE4BF5"/>
    <w:rsid w:val="00BF01DB"/>
    <w:rsid w:val="00C060B7"/>
    <w:rsid w:val="00C11FDE"/>
    <w:rsid w:val="00C15085"/>
    <w:rsid w:val="00C203F9"/>
    <w:rsid w:val="00C351AA"/>
    <w:rsid w:val="00C47E2B"/>
    <w:rsid w:val="00C507F1"/>
    <w:rsid w:val="00C56CC4"/>
    <w:rsid w:val="00C661B2"/>
    <w:rsid w:val="00C73863"/>
    <w:rsid w:val="00C93E71"/>
    <w:rsid w:val="00C97436"/>
    <w:rsid w:val="00CC32EA"/>
    <w:rsid w:val="00CC5078"/>
    <w:rsid w:val="00CD7637"/>
    <w:rsid w:val="00D0206A"/>
    <w:rsid w:val="00D05E9B"/>
    <w:rsid w:val="00D158ED"/>
    <w:rsid w:val="00D3277F"/>
    <w:rsid w:val="00D60AA1"/>
    <w:rsid w:val="00D6132D"/>
    <w:rsid w:val="00D7599E"/>
    <w:rsid w:val="00DA37F8"/>
    <w:rsid w:val="00DD500D"/>
    <w:rsid w:val="00DE486D"/>
    <w:rsid w:val="00DE6CE4"/>
    <w:rsid w:val="00DF63DC"/>
    <w:rsid w:val="00E05770"/>
    <w:rsid w:val="00E15B7F"/>
    <w:rsid w:val="00E53AA2"/>
    <w:rsid w:val="00E7259C"/>
    <w:rsid w:val="00EB6257"/>
    <w:rsid w:val="00EE2AB0"/>
    <w:rsid w:val="00EF76F9"/>
    <w:rsid w:val="00F154F8"/>
    <w:rsid w:val="00F65A50"/>
    <w:rsid w:val="00F7360B"/>
    <w:rsid w:val="00F94A27"/>
    <w:rsid w:val="00FB1249"/>
    <w:rsid w:val="00FB32F0"/>
    <w:rsid w:val="00FD5CE4"/>
    <w:rsid w:val="00FE110F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0F9256-9C0E-4C70-9AC5-2B50FEA4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8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3A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5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5EE"/>
  </w:style>
  <w:style w:type="paragraph" w:styleId="Footer">
    <w:name w:val="footer"/>
    <w:basedOn w:val="Normal"/>
    <w:link w:val="FooterChar"/>
    <w:uiPriority w:val="99"/>
    <w:unhideWhenUsed/>
    <w:rsid w:val="007205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5EE"/>
  </w:style>
  <w:style w:type="table" w:styleId="TableGrid">
    <w:name w:val="Table Grid"/>
    <w:basedOn w:val="TableNormal"/>
    <w:uiPriority w:val="39"/>
    <w:rsid w:val="00D32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93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15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13622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27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5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71571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57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7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Berzina@f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3302-50B3-49DD-961A-66ED1CCA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3973</Words>
  <Characters>2265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NEAPLIEKAMĀ MINIMUMA UN NODOKĻA ATVIEGLOJUMA APMĒRU  IEDZĪVOTĀJU IENĀKUMA NODOKĻA APRĒĶINĀŠANAI"</vt:lpstr>
    </vt:vector>
  </TitlesOfParts>
  <Company>FM</Company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NEAPLIEKAMĀ MINIMUMA UN NODOKĻA ATVIEGLOJUMA APMĒRU  IEDZĪVOTĀJU IENĀKUMA NODOKĻA APRĒĶINĀŠANAI"</dc:title>
  <dc:subject>noteikumu projeks</dc:subject>
  <dc:creator>Inese Bērziņa</dc:creator>
  <cp:keywords/>
  <dc:description>67095644, fakss 67095497,
Inese.Berzina@fm.gov.lv </dc:description>
  <cp:lastModifiedBy>Finanšu ministrija</cp:lastModifiedBy>
  <cp:revision>5</cp:revision>
  <cp:lastPrinted>2015-12-21T10:17:00Z</cp:lastPrinted>
  <dcterms:created xsi:type="dcterms:W3CDTF">2015-12-18T09:41:00Z</dcterms:created>
  <dcterms:modified xsi:type="dcterms:W3CDTF">2015-12-22T10:59:00Z</dcterms:modified>
</cp:coreProperties>
</file>