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E1" w:rsidRPr="008168E1" w:rsidRDefault="008168E1" w:rsidP="008168E1">
      <w:pPr>
        <w:suppressAutoHyphens/>
        <w:autoSpaceDN w:val="0"/>
        <w:jc w:val="right"/>
        <w:rPr>
          <w:rFonts w:eastAsia="Arial Unicode MS" w:cs="Times New Roman"/>
          <w:bCs/>
          <w:i/>
          <w:sz w:val="28"/>
          <w:szCs w:val="28"/>
          <w:lang w:val="pt-BR"/>
        </w:rPr>
      </w:pPr>
      <w:r w:rsidRPr="008168E1">
        <w:rPr>
          <w:rFonts w:eastAsia="Arial Unicode MS" w:cs="Times New Roman"/>
          <w:bCs/>
          <w:i/>
          <w:sz w:val="28"/>
          <w:szCs w:val="28"/>
          <w:lang w:val="pt-BR"/>
        </w:rPr>
        <w:t>Projekts</w:t>
      </w:r>
    </w:p>
    <w:p w:rsidR="008168E1" w:rsidRDefault="008168E1" w:rsidP="0034597B">
      <w:pPr>
        <w:suppressAutoHyphens/>
        <w:autoSpaceDN w:val="0"/>
        <w:jc w:val="center"/>
        <w:rPr>
          <w:rFonts w:eastAsia="Arial Unicode MS" w:cs="Times New Roman"/>
          <w:b/>
          <w:bCs/>
          <w:sz w:val="28"/>
          <w:szCs w:val="28"/>
          <w:lang w:val="pt-BR"/>
        </w:rPr>
      </w:pPr>
    </w:p>
    <w:p w:rsidR="00065D8E" w:rsidRDefault="0033312F" w:rsidP="00065D8E">
      <w:pPr>
        <w:suppressAutoHyphens/>
        <w:autoSpaceDN w:val="0"/>
        <w:jc w:val="both"/>
        <w:rPr>
          <w:rFonts w:eastAsia="Arial Unicode MS" w:cs="Times New Roman"/>
          <w:bCs/>
          <w:sz w:val="28"/>
          <w:szCs w:val="28"/>
          <w:lang w:val="pt-BR"/>
        </w:rPr>
      </w:pPr>
      <w:r>
        <w:rPr>
          <w:rFonts w:eastAsia="Arial Unicode MS" w:cs="Times New Roman"/>
          <w:bCs/>
          <w:sz w:val="28"/>
          <w:szCs w:val="28"/>
          <w:lang w:val="pt-BR"/>
        </w:rPr>
        <w:t xml:space="preserve">2015.gada                                  </w:t>
      </w:r>
      <w:r w:rsidR="00065D8E">
        <w:rPr>
          <w:rFonts w:eastAsia="Arial Unicode MS" w:cs="Times New Roman"/>
          <w:bCs/>
          <w:sz w:val="28"/>
          <w:szCs w:val="28"/>
          <w:lang w:val="pt-BR"/>
        </w:rPr>
        <w:t xml:space="preserve">                                              </w:t>
      </w:r>
      <w:r w:rsidR="00836D06">
        <w:rPr>
          <w:rFonts w:eastAsia="Arial Unicode MS" w:cs="Times New Roman"/>
          <w:bCs/>
          <w:sz w:val="28"/>
          <w:szCs w:val="28"/>
          <w:lang w:val="pt-BR"/>
        </w:rPr>
        <w:t xml:space="preserve"> </w:t>
      </w:r>
      <w:r>
        <w:rPr>
          <w:rFonts w:eastAsia="Arial Unicode MS" w:cs="Times New Roman"/>
          <w:bCs/>
          <w:sz w:val="28"/>
          <w:szCs w:val="28"/>
          <w:lang w:val="pt-BR"/>
        </w:rPr>
        <w:t>Noteikumi Nr.</w:t>
      </w:r>
    </w:p>
    <w:p w:rsidR="00065D8E" w:rsidRPr="00065D8E" w:rsidRDefault="00065D8E" w:rsidP="00065D8E">
      <w:pPr>
        <w:suppressAutoHyphens/>
        <w:autoSpaceDN w:val="0"/>
        <w:jc w:val="both"/>
        <w:rPr>
          <w:rFonts w:eastAsia="Arial Unicode MS" w:cs="Times New Roman"/>
          <w:bCs/>
          <w:sz w:val="28"/>
          <w:szCs w:val="28"/>
          <w:lang w:val="pt-BR"/>
        </w:rPr>
      </w:pPr>
      <w:r>
        <w:rPr>
          <w:rFonts w:eastAsia="Arial Unicode MS" w:cs="Times New Roman"/>
          <w:bCs/>
          <w:sz w:val="28"/>
          <w:szCs w:val="28"/>
          <w:lang w:val="pt-BR"/>
        </w:rPr>
        <w:t xml:space="preserve">Rīgā                                                                                          </w:t>
      </w:r>
      <w:r w:rsidR="0033312F">
        <w:rPr>
          <w:rFonts w:eastAsia="Arial Unicode MS" w:cs="Times New Roman"/>
          <w:bCs/>
          <w:sz w:val="28"/>
          <w:szCs w:val="28"/>
          <w:lang w:val="pt-BR"/>
        </w:rPr>
        <w:t>(prot. Nr.            .</w:t>
      </w:r>
      <w:r>
        <w:rPr>
          <w:rFonts w:eastAsia="Arial Unicode MS" w:cs="Times New Roman"/>
          <w:bCs/>
          <w:sz w:val="28"/>
          <w:szCs w:val="28"/>
          <w:lang w:val="pt-BR"/>
        </w:rPr>
        <w:t>§)</w:t>
      </w:r>
    </w:p>
    <w:p w:rsidR="008168E1" w:rsidRPr="00065D8E" w:rsidRDefault="008168E1" w:rsidP="0034597B">
      <w:pPr>
        <w:suppressAutoHyphens/>
        <w:autoSpaceDN w:val="0"/>
        <w:jc w:val="center"/>
        <w:rPr>
          <w:rFonts w:eastAsia="Arial Unicode MS" w:cs="Times New Roman"/>
          <w:bCs/>
          <w:sz w:val="28"/>
          <w:szCs w:val="28"/>
          <w:lang w:val="pt-BR"/>
        </w:rPr>
      </w:pPr>
    </w:p>
    <w:p w:rsidR="00065D8E" w:rsidRDefault="00065D8E" w:rsidP="0034597B">
      <w:pPr>
        <w:suppressAutoHyphens/>
        <w:autoSpaceDN w:val="0"/>
        <w:jc w:val="center"/>
        <w:rPr>
          <w:rFonts w:eastAsia="Arial Unicode MS" w:cs="Times New Roman"/>
          <w:b/>
          <w:bCs/>
          <w:sz w:val="28"/>
          <w:szCs w:val="28"/>
          <w:lang w:val="pt-BR"/>
        </w:rPr>
      </w:pPr>
    </w:p>
    <w:p w:rsidR="0034597B" w:rsidRPr="0034597B" w:rsidRDefault="0034597B" w:rsidP="0034597B">
      <w:pPr>
        <w:suppressAutoHyphens/>
        <w:autoSpaceDN w:val="0"/>
        <w:jc w:val="center"/>
        <w:rPr>
          <w:rFonts w:eastAsia="Arial Unicode MS" w:cs="Times New Roman"/>
          <w:b/>
          <w:bCs/>
          <w:sz w:val="28"/>
          <w:szCs w:val="28"/>
          <w:lang w:val="pt-BR"/>
        </w:rPr>
      </w:pPr>
      <w:r w:rsidRPr="0034597B">
        <w:rPr>
          <w:rFonts w:eastAsia="Arial Unicode MS" w:cs="Times New Roman"/>
          <w:b/>
          <w:bCs/>
          <w:sz w:val="28"/>
          <w:szCs w:val="28"/>
          <w:lang w:val="pt-BR"/>
        </w:rPr>
        <w:t>Grozījumi Ministru kabineta 2010.gada 21.septembra</w:t>
      </w:r>
    </w:p>
    <w:p w:rsidR="0034597B" w:rsidRPr="0034597B" w:rsidRDefault="0034597B" w:rsidP="0034597B">
      <w:pPr>
        <w:suppressAutoHyphens/>
        <w:autoSpaceDN w:val="0"/>
        <w:jc w:val="center"/>
        <w:rPr>
          <w:rFonts w:eastAsia="Arial Unicode MS" w:cs="Times New Roman"/>
          <w:b/>
          <w:bCs/>
          <w:sz w:val="28"/>
          <w:szCs w:val="28"/>
          <w:lang w:val="pt-BR"/>
        </w:rPr>
      </w:pPr>
      <w:r w:rsidRPr="0034597B">
        <w:rPr>
          <w:rFonts w:eastAsia="Arial Unicode MS" w:cs="Times New Roman"/>
          <w:b/>
          <w:bCs/>
          <w:sz w:val="28"/>
          <w:szCs w:val="28"/>
          <w:lang w:val="pt-BR"/>
        </w:rPr>
        <w:t>noteikumos Nr.899 “Likuma “Par iedzīvotāju ienākuma nodokli”</w:t>
      </w:r>
    </w:p>
    <w:p w:rsidR="0034597B" w:rsidRPr="0034597B" w:rsidRDefault="0034597B" w:rsidP="0034597B">
      <w:pPr>
        <w:suppressAutoHyphens/>
        <w:autoSpaceDN w:val="0"/>
        <w:jc w:val="center"/>
        <w:rPr>
          <w:rFonts w:ascii="Arial Unicode MS" w:eastAsia="Arial Unicode MS" w:hAnsi="Arial Unicode MS" w:cs="Arial Unicode MS"/>
          <w:szCs w:val="24"/>
        </w:rPr>
      </w:pPr>
      <w:r w:rsidRPr="0034597B">
        <w:rPr>
          <w:rFonts w:eastAsia="Arial Unicode MS" w:cs="Times New Roman"/>
          <w:b/>
          <w:bCs/>
          <w:sz w:val="28"/>
          <w:szCs w:val="28"/>
          <w:lang w:val="pt-BR"/>
        </w:rPr>
        <w:t>normu piemērošanas kārtība</w:t>
      </w:r>
      <w:r w:rsidRPr="0034597B">
        <w:rPr>
          <w:rFonts w:eastAsia="Arial Unicode MS" w:cs="Times New Roman"/>
          <w:b/>
          <w:sz w:val="28"/>
          <w:szCs w:val="28"/>
          <w:lang w:val="pt-BR"/>
        </w:rPr>
        <w:t>”</w:t>
      </w:r>
    </w:p>
    <w:p w:rsidR="0034597B" w:rsidRPr="0034597B" w:rsidRDefault="0034597B" w:rsidP="0034597B">
      <w:pPr>
        <w:widowControl w:val="0"/>
        <w:suppressAutoHyphens/>
        <w:autoSpaceDN w:val="0"/>
        <w:spacing w:line="360" w:lineRule="atLeast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p w:rsidR="00E45ABB" w:rsidRPr="00E45ABB" w:rsidRDefault="00E45ABB" w:rsidP="0034597B">
      <w:pPr>
        <w:widowControl w:val="0"/>
        <w:suppressAutoHyphens/>
        <w:autoSpaceDN w:val="0"/>
        <w:spacing w:line="360" w:lineRule="atLeast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p w:rsidR="00E45ABB" w:rsidRPr="0021769D" w:rsidRDefault="00E45ABB" w:rsidP="00E45ABB">
      <w:pPr>
        <w:jc w:val="right"/>
        <w:rPr>
          <w:rFonts w:eastAsia="Times New Roman" w:cs="Times New Roman"/>
          <w:szCs w:val="24"/>
        </w:rPr>
      </w:pPr>
      <w:r w:rsidRPr="0021769D">
        <w:rPr>
          <w:rFonts w:eastAsia="Times New Roman" w:cs="Times New Roman"/>
          <w:szCs w:val="24"/>
        </w:rPr>
        <w:t>Izdoti saskaņā ar likuma “Par iedzīvotāju ienākuma nodokli”</w:t>
      </w:r>
    </w:p>
    <w:p w:rsidR="00E45ABB" w:rsidRPr="0021769D" w:rsidRDefault="00E45ABB" w:rsidP="00E45ABB">
      <w:pPr>
        <w:jc w:val="right"/>
        <w:rPr>
          <w:rFonts w:eastAsia="Times New Roman" w:cs="Times New Roman"/>
          <w:szCs w:val="24"/>
        </w:rPr>
      </w:pPr>
      <w:r w:rsidRPr="0021769D">
        <w:rPr>
          <w:rFonts w:eastAsia="Times New Roman" w:cs="Times New Roman"/>
          <w:szCs w:val="24"/>
        </w:rPr>
        <w:t xml:space="preserve">3. panta trešās daļas 12. punkta “a” apakšpunktu, </w:t>
      </w:r>
    </w:p>
    <w:p w:rsidR="00E45ABB" w:rsidRPr="0021769D" w:rsidRDefault="00E45ABB" w:rsidP="00E45ABB">
      <w:pPr>
        <w:jc w:val="right"/>
        <w:rPr>
          <w:rFonts w:eastAsia="Times New Roman" w:cs="Times New Roman"/>
          <w:szCs w:val="24"/>
        </w:rPr>
      </w:pPr>
      <w:r w:rsidRPr="0021769D">
        <w:rPr>
          <w:rFonts w:eastAsia="Times New Roman" w:cs="Times New Roman"/>
          <w:szCs w:val="24"/>
        </w:rPr>
        <w:t xml:space="preserve">8. panta otro daļu, 9. panta pirmās daļas 16. un 17. punktu, </w:t>
      </w:r>
    </w:p>
    <w:p w:rsidR="00E45ABB" w:rsidRPr="0021769D" w:rsidRDefault="00E45ABB" w:rsidP="00E45ABB">
      <w:pPr>
        <w:jc w:val="right"/>
        <w:rPr>
          <w:rFonts w:eastAsia="Times New Roman" w:cs="Times New Roman"/>
          <w:szCs w:val="24"/>
        </w:rPr>
      </w:pPr>
      <w:r w:rsidRPr="0021769D">
        <w:rPr>
          <w:rFonts w:eastAsia="Times New Roman" w:cs="Times New Roman"/>
          <w:szCs w:val="24"/>
        </w:rPr>
        <w:t xml:space="preserve">10. panta pirmās daļas 4. punktu, 11. panta trešās daļas 15. punktu, </w:t>
      </w:r>
    </w:p>
    <w:p w:rsidR="00E45ABB" w:rsidRPr="0021769D" w:rsidRDefault="00E45ABB" w:rsidP="00E45ABB">
      <w:pPr>
        <w:jc w:val="right"/>
        <w:rPr>
          <w:rFonts w:eastAsia="Times New Roman" w:cs="Times New Roman"/>
          <w:szCs w:val="24"/>
        </w:rPr>
      </w:pPr>
      <w:r w:rsidRPr="0021769D">
        <w:rPr>
          <w:rFonts w:eastAsia="Times New Roman" w:cs="Times New Roman"/>
          <w:iCs/>
          <w:szCs w:val="24"/>
        </w:rPr>
        <w:t>16.</w:t>
      </w:r>
      <w:r w:rsidRPr="0021769D">
        <w:rPr>
          <w:rFonts w:eastAsia="Times New Roman" w:cs="Times New Roman"/>
          <w:iCs/>
          <w:szCs w:val="24"/>
          <w:vertAlign w:val="superscript"/>
        </w:rPr>
        <w:t>1 </w:t>
      </w:r>
      <w:r w:rsidRPr="0021769D">
        <w:rPr>
          <w:rFonts w:eastAsia="Times New Roman" w:cs="Times New Roman"/>
          <w:iCs/>
          <w:szCs w:val="24"/>
        </w:rPr>
        <w:t xml:space="preserve">panta ceturto daļu, </w:t>
      </w:r>
      <w:r w:rsidRPr="0021769D">
        <w:rPr>
          <w:rFonts w:eastAsia="Times New Roman" w:cs="Times New Roman"/>
          <w:szCs w:val="24"/>
        </w:rPr>
        <w:t xml:space="preserve">17. panta vienpadsmitās daļas </w:t>
      </w:r>
    </w:p>
    <w:p w:rsidR="00E45ABB" w:rsidRDefault="00E45ABB" w:rsidP="00E45ABB">
      <w:pPr>
        <w:jc w:val="right"/>
        <w:rPr>
          <w:rFonts w:eastAsia="Times New Roman" w:cs="Times New Roman"/>
          <w:szCs w:val="24"/>
        </w:rPr>
      </w:pPr>
      <w:r w:rsidRPr="0021769D">
        <w:rPr>
          <w:rFonts w:eastAsia="Times New Roman" w:cs="Times New Roman"/>
          <w:szCs w:val="24"/>
        </w:rPr>
        <w:t>2. punktu, 38. panta otro daļu un 39. pantu</w:t>
      </w:r>
    </w:p>
    <w:p w:rsidR="0021769D" w:rsidRDefault="0021769D" w:rsidP="00E45ABB">
      <w:pPr>
        <w:jc w:val="right"/>
        <w:rPr>
          <w:rFonts w:eastAsia="Times New Roman" w:cs="Times New Roman"/>
          <w:szCs w:val="24"/>
        </w:rPr>
      </w:pPr>
    </w:p>
    <w:p w:rsidR="0021769D" w:rsidRDefault="0021769D" w:rsidP="00E45ABB">
      <w:pPr>
        <w:jc w:val="right"/>
        <w:rPr>
          <w:rFonts w:eastAsia="Times New Roman" w:cs="Times New Roman"/>
          <w:szCs w:val="24"/>
        </w:rPr>
      </w:pPr>
      <w:r>
        <w:rPr>
          <w:rFonts w:ascii="Arial" w:hAnsi="Arial" w:cs="Arial"/>
          <w:i/>
          <w:iCs/>
          <w:color w:val="414142"/>
          <w:sz w:val="20"/>
          <w:szCs w:val="20"/>
        </w:rPr>
        <w:br/>
      </w:r>
    </w:p>
    <w:p w:rsidR="00E45ABB" w:rsidRPr="00E45ABB" w:rsidRDefault="00E45ABB" w:rsidP="00E45ABB">
      <w:pPr>
        <w:numPr>
          <w:ilvl w:val="0"/>
          <w:numId w:val="10"/>
        </w:numPr>
        <w:tabs>
          <w:tab w:val="left" w:pos="720"/>
        </w:tabs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E45ABB">
        <w:rPr>
          <w:rFonts w:eastAsia="Times New Roman" w:cs="Times New Roman"/>
          <w:sz w:val="28"/>
          <w:szCs w:val="28"/>
        </w:rPr>
        <w:t>Izdarīt Ministru kabineta 2010. gada 21. septembra noteikumos Nr. 899 “Likuma “Par iedzīvotāju ienākuma nodokli” normu piemērošanas kārtība”” (Latvijas Vēstnesis, 2010, 156. nr.; 2012, 203. nr.; 2013, 168., 198., 252. nr.; 2014, 190.</w:t>
      </w:r>
      <w:r w:rsidR="0021769D">
        <w:rPr>
          <w:rFonts w:eastAsia="Times New Roman" w:cs="Times New Roman"/>
          <w:sz w:val="28"/>
          <w:szCs w:val="28"/>
        </w:rPr>
        <w:t>, 252.</w:t>
      </w:r>
      <w:r w:rsidRPr="00E45ABB">
        <w:rPr>
          <w:rFonts w:eastAsia="Times New Roman" w:cs="Times New Roman"/>
          <w:sz w:val="28"/>
          <w:szCs w:val="28"/>
        </w:rPr>
        <w:t xml:space="preserve"> nr.) </w:t>
      </w:r>
      <w:r w:rsidR="0021769D">
        <w:rPr>
          <w:rFonts w:eastAsia="Times New Roman" w:cs="Times New Roman"/>
          <w:sz w:val="28"/>
          <w:szCs w:val="28"/>
        </w:rPr>
        <w:t xml:space="preserve">šādus </w:t>
      </w:r>
      <w:r w:rsidRPr="00E45ABB">
        <w:rPr>
          <w:rFonts w:eastAsia="Times New Roman" w:cs="Times New Roman"/>
          <w:sz w:val="28"/>
          <w:szCs w:val="28"/>
        </w:rPr>
        <w:t>grozījumu</w:t>
      </w:r>
      <w:r w:rsidR="0021769D">
        <w:rPr>
          <w:rFonts w:eastAsia="Times New Roman" w:cs="Times New Roman"/>
          <w:sz w:val="28"/>
          <w:szCs w:val="28"/>
        </w:rPr>
        <w:t>s:</w:t>
      </w:r>
    </w:p>
    <w:p w:rsidR="00E45ABB" w:rsidRPr="0021769D" w:rsidRDefault="00E45ABB" w:rsidP="00E45ABB">
      <w:pPr>
        <w:tabs>
          <w:tab w:val="left" w:pos="720"/>
        </w:tabs>
        <w:jc w:val="both"/>
        <w:rPr>
          <w:rFonts w:eastAsia="Times New Roman" w:cs="Times New Roman"/>
          <w:sz w:val="28"/>
          <w:szCs w:val="28"/>
        </w:rPr>
      </w:pPr>
    </w:p>
    <w:p w:rsidR="0021769D" w:rsidRDefault="003D611C" w:rsidP="003D611C">
      <w:pPr>
        <w:pStyle w:val="ListParagraph"/>
        <w:numPr>
          <w:ilvl w:val="1"/>
          <w:numId w:val="10"/>
        </w:numPr>
        <w:ind w:left="0" w:firstLine="698"/>
        <w:jc w:val="both"/>
        <w:rPr>
          <w:rFonts w:eastAsia="Times New Roman" w:cs="Times New Roman"/>
          <w:sz w:val="28"/>
          <w:szCs w:val="28"/>
        </w:rPr>
      </w:pPr>
      <w:r w:rsidRPr="003D611C">
        <w:rPr>
          <w:rFonts w:eastAsia="Times New Roman" w:cs="Times New Roman"/>
          <w:sz w:val="28"/>
          <w:szCs w:val="28"/>
        </w:rPr>
        <w:t>aizstāt norādē</w:t>
      </w:r>
      <w:r w:rsidR="0021769D" w:rsidRPr="003D611C">
        <w:rPr>
          <w:rFonts w:eastAsia="Times New Roman" w:cs="Times New Roman"/>
          <w:sz w:val="28"/>
          <w:szCs w:val="28"/>
        </w:rPr>
        <w:t>, uz kāda likuma pamata noteikumi izdoti, skaitļ</w:t>
      </w:r>
      <w:r w:rsidRPr="003D611C">
        <w:rPr>
          <w:rFonts w:eastAsia="Times New Roman" w:cs="Times New Roman"/>
          <w:sz w:val="28"/>
          <w:szCs w:val="28"/>
        </w:rPr>
        <w:t>us</w:t>
      </w:r>
      <w:r w:rsidR="0021769D" w:rsidRPr="003D611C">
        <w:rPr>
          <w:rFonts w:eastAsia="Times New Roman" w:cs="Times New Roman"/>
          <w:sz w:val="28"/>
          <w:szCs w:val="28"/>
        </w:rPr>
        <w:t xml:space="preserve"> un vārd</w:t>
      </w:r>
      <w:r w:rsidRPr="003D611C">
        <w:rPr>
          <w:rFonts w:eastAsia="Times New Roman" w:cs="Times New Roman"/>
          <w:sz w:val="28"/>
          <w:szCs w:val="28"/>
        </w:rPr>
        <w:t>us</w:t>
      </w:r>
      <w:r w:rsidR="0021769D" w:rsidRPr="003D611C">
        <w:rPr>
          <w:rFonts w:eastAsia="Times New Roman" w:cs="Times New Roman"/>
          <w:sz w:val="28"/>
          <w:szCs w:val="28"/>
        </w:rPr>
        <w:t xml:space="preserve"> </w:t>
      </w:r>
      <w:r w:rsidR="002609CD" w:rsidRPr="003D611C">
        <w:rPr>
          <w:rFonts w:eastAsia="Times New Roman" w:cs="Times New Roman"/>
          <w:sz w:val="28"/>
          <w:szCs w:val="28"/>
        </w:rPr>
        <w:t>“</w:t>
      </w:r>
      <w:r w:rsidRPr="003D611C">
        <w:rPr>
          <w:rFonts w:eastAsia="Times New Roman" w:cs="Times New Roman"/>
          <w:sz w:val="28"/>
          <w:szCs w:val="28"/>
        </w:rPr>
        <w:t>9</w:t>
      </w:r>
      <w:r w:rsidR="0021769D" w:rsidRPr="003D611C">
        <w:rPr>
          <w:rFonts w:eastAsia="Times New Roman" w:cs="Times New Roman"/>
          <w:sz w:val="28"/>
          <w:szCs w:val="28"/>
        </w:rPr>
        <w:t xml:space="preserve">. panta </w:t>
      </w:r>
      <w:r w:rsidRPr="003D611C">
        <w:rPr>
          <w:rFonts w:eastAsia="Times New Roman" w:cs="Times New Roman"/>
          <w:sz w:val="28"/>
          <w:szCs w:val="28"/>
        </w:rPr>
        <w:t>pirmās</w:t>
      </w:r>
      <w:r w:rsidR="0021769D" w:rsidRPr="003D611C">
        <w:rPr>
          <w:rFonts w:eastAsia="Times New Roman" w:cs="Times New Roman"/>
          <w:sz w:val="28"/>
          <w:szCs w:val="28"/>
        </w:rPr>
        <w:t xml:space="preserve"> daļas </w:t>
      </w:r>
      <w:r w:rsidRPr="003D611C">
        <w:rPr>
          <w:rFonts w:eastAsia="Times New Roman" w:cs="Times New Roman"/>
          <w:sz w:val="28"/>
          <w:szCs w:val="28"/>
        </w:rPr>
        <w:t>16. un 17</w:t>
      </w:r>
      <w:r w:rsidR="0021769D" w:rsidRPr="003D611C">
        <w:rPr>
          <w:rFonts w:eastAsia="Times New Roman" w:cs="Times New Roman"/>
          <w:sz w:val="28"/>
          <w:szCs w:val="28"/>
        </w:rPr>
        <w:t>. punkt</w:t>
      </w:r>
      <w:r w:rsidRPr="003D611C">
        <w:rPr>
          <w:rFonts w:eastAsia="Times New Roman" w:cs="Times New Roman"/>
          <w:sz w:val="28"/>
          <w:szCs w:val="28"/>
        </w:rPr>
        <w:t>u” ar skaitļiem</w:t>
      </w:r>
      <w:r w:rsidR="0021769D" w:rsidRPr="003D611C">
        <w:rPr>
          <w:rFonts w:eastAsia="Times New Roman" w:cs="Times New Roman"/>
          <w:sz w:val="28"/>
          <w:szCs w:val="28"/>
        </w:rPr>
        <w:t xml:space="preserve"> un vārd</w:t>
      </w:r>
      <w:r w:rsidRPr="003D611C">
        <w:rPr>
          <w:rFonts w:eastAsia="Times New Roman" w:cs="Times New Roman"/>
          <w:sz w:val="28"/>
          <w:szCs w:val="28"/>
        </w:rPr>
        <w:t>iem</w:t>
      </w:r>
      <w:r w:rsidR="0021769D" w:rsidRPr="003D611C">
        <w:rPr>
          <w:rFonts w:eastAsia="Times New Roman" w:cs="Times New Roman"/>
          <w:sz w:val="28"/>
          <w:szCs w:val="28"/>
        </w:rPr>
        <w:t xml:space="preserve"> </w:t>
      </w:r>
      <w:r w:rsidRPr="003D611C">
        <w:rPr>
          <w:rFonts w:eastAsia="Times New Roman" w:cs="Times New Roman"/>
          <w:sz w:val="28"/>
          <w:szCs w:val="28"/>
        </w:rPr>
        <w:t>“9. panta pirmās daļas 16., 17. un 44.punktu</w:t>
      </w:r>
      <w:r w:rsidR="00050863">
        <w:rPr>
          <w:rFonts w:eastAsia="Times New Roman" w:cs="Times New Roman"/>
          <w:sz w:val="28"/>
          <w:szCs w:val="28"/>
        </w:rPr>
        <w:t>,</w:t>
      </w:r>
      <w:r w:rsidRPr="003D611C">
        <w:rPr>
          <w:rFonts w:eastAsia="Times New Roman" w:cs="Times New Roman"/>
          <w:sz w:val="28"/>
          <w:szCs w:val="28"/>
        </w:rPr>
        <w:t>”</w:t>
      </w:r>
      <w:r>
        <w:rPr>
          <w:rFonts w:eastAsia="Times New Roman" w:cs="Times New Roman"/>
          <w:sz w:val="28"/>
          <w:szCs w:val="28"/>
        </w:rPr>
        <w:t>.</w:t>
      </w:r>
    </w:p>
    <w:p w:rsidR="003D611C" w:rsidRDefault="003D611C" w:rsidP="003D611C">
      <w:pPr>
        <w:pStyle w:val="ListParagraph"/>
        <w:ind w:left="698"/>
        <w:jc w:val="both"/>
        <w:rPr>
          <w:rFonts w:eastAsia="Times New Roman" w:cs="Times New Roman"/>
          <w:sz w:val="28"/>
          <w:szCs w:val="28"/>
        </w:rPr>
      </w:pPr>
    </w:p>
    <w:p w:rsidR="003D611C" w:rsidRPr="003D611C" w:rsidRDefault="003D611C" w:rsidP="003D611C">
      <w:pPr>
        <w:pStyle w:val="ListParagraph"/>
        <w:numPr>
          <w:ilvl w:val="1"/>
          <w:numId w:val="10"/>
        </w:numPr>
        <w:ind w:left="0" w:firstLine="69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4"/>
        </w:rPr>
        <w:t>P</w:t>
      </w:r>
      <w:r w:rsidRPr="003D611C">
        <w:rPr>
          <w:rFonts w:eastAsia="Times New Roman" w:cs="Times New Roman"/>
          <w:iCs/>
          <w:sz w:val="28"/>
          <w:szCs w:val="24"/>
        </w:rPr>
        <w:t>apildināt noteikumus ar 54.</w:t>
      </w:r>
      <w:r w:rsidR="009538C2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D611C">
        <w:rPr>
          <w:rFonts w:eastAsia="Times New Roman" w:cs="Times New Roman"/>
          <w:iCs/>
          <w:sz w:val="28"/>
          <w:szCs w:val="24"/>
        </w:rPr>
        <w:t xml:space="preserve"> un 54.</w:t>
      </w:r>
      <w:r w:rsidR="009538C2">
        <w:rPr>
          <w:rFonts w:eastAsia="Times New Roman" w:cs="Times New Roman"/>
          <w:iCs/>
          <w:sz w:val="28"/>
          <w:szCs w:val="24"/>
          <w:vertAlign w:val="superscript"/>
        </w:rPr>
        <w:t>3</w:t>
      </w:r>
      <w:r w:rsidRPr="003D611C">
        <w:rPr>
          <w:rFonts w:eastAsia="Times New Roman" w:cs="Times New Roman"/>
          <w:iCs/>
          <w:sz w:val="28"/>
          <w:szCs w:val="24"/>
          <w:vertAlign w:val="superscript"/>
        </w:rPr>
        <w:t xml:space="preserve"> </w:t>
      </w:r>
      <w:r w:rsidRPr="003D611C">
        <w:rPr>
          <w:rFonts w:eastAsia="Times New Roman" w:cs="Times New Roman"/>
          <w:iCs/>
          <w:sz w:val="28"/>
          <w:szCs w:val="24"/>
        </w:rPr>
        <w:t>punktu šādā redakcijā: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p w:rsidR="003D611C" w:rsidRPr="0034597B" w:rsidRDefault="009538C2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“</w:t>
      </w:r>
      <w:r w:rsidR="003D611C"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="003D611C" w:rsidRPr="0034597B">
        <w:rPr>
          <w:rFonts w:eastAsia="Times New Roman" w:cs="Times New Roman"/>
          <w:iCs/>
          <w:sz w:val="28"/>
          <w:szCs w:val="24"/>
        </w:rPr>
        <w:t xml:space="preserve"> Piemērojot likuma 9.panta pirmās daļas 44.punktu, ar nodokli nav apliekamas ar brīvprātīgā darba veikšanu saistīto personificēto izdevumu  kompensācijas, kuras brīvprātīgā darba veicējam, atbilstoši brīvp</w:t>
      </w:r>
      <w:r w:rsidR="006627B7">
        <w:rPr>
          <w:rFonts w:eastAsia="Times New Roman" w:cs="Times New Roman"/>
          <w:iCs/>
          <w:sz w:val="28"/>
          <w:szCs w:val="24"/>
        </w:rPr>
        <w:t>rātīgā darba līguma noteikumiem</w:t>
      </w:r>
      <w:r w:rsidR="003D611C" w:rsidRPr="0034597B">
        <w:rPr>
          <w:rFonts w:eastAsia="Times New Roman" w:cs="Times New Roman"/>
          <w:iCs/>
          <w:sz w:val="28"/>
          <w:szCs w:val="24"/>
        </w:rPr>
        <w:t xml:space="preserve"> sedz brīvprātīgā darba organizētāji, šādā apmērā:</w:t>
      </w:r>
    </w:p>
    <w:p w:rsidR="003D611C" w:rsidRDefault="003D611C" w:rsidP="003D611C">
      <w:pPr>
        <w:ind w:firstLine="720"/>
        <w:contextualSpacing/>
        <w:jc w:val="both"/>
        <w:rPr>
          <w:rFonts w:eastAsia="Times New Roman" w:cs="Times New Roman"/>
          <w:iCs/>
          <w:sz w:val="28"/>
          <w:szCs w:val="24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1. izdevumi, </w:t>
      </w:r>
      <w:r w:rsidRPr="0034597B">
        <w:rPr>
          <w:rFonts w:eastAsia="Calibri" w:cs="Times New Roman"/>
          <w:sz w:val="28"/>
        </w:rPr>
        <w:t xml:space="preserve">kuru kopējais apmērs taksācijas gada laikā (neatkarīgi no izmaksātāja) nepārsniedz 1000 </w:t>
      </w:r>
      <w:proofErr w:type="spellStart"/>
      <w:r w:rsidRPr="0034597B">
        <w:rPr>
          <w:rFonts w:eastAsia="Calibri" w:cs="Times New Roman"/>
          <w:i/>
          <w:sz w:val="28"/>
        </w:rPr>
        <w:t>euro</w:t>
      </w:r>
      <w:proofErr w:type="spellEnd"/>
      <w:r>
        <w:rPr>
          <w:rFonts w:eastAsia="Calibri" w:cs="Times New Roman"/>
          <w:sz w:val="28"/>
        </w:rPr>
        <w:t xml:space="preserve"> (izņemot </w:t>
      </w: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A04AF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2.</w:t>
      </w:r>
      <w:r>
        <w:rPr>
          <w:rFonts w:eastAsia="Times New Roman" w:cs="Times New Roman"/>
          <w:iCs/>
          <w:sz w:val="28"/>
          <w:szCs w:val="24"/>
        </w:rPr>
        <w:t>punktā minētos izdevumus)</w:t>
      </w:r>
      <w:r>
        <w:rPr>
          <w:rFonts w:eastAsia="Calibri" w:cs="Times New Roman"/>
          <w:sz w:val="28"/>
        </w:rPr>
        <w:t>:</w:t>
      </w:r>
      <w:r>
        <w:rPr>
          <w:rFonts w:eastAsia="Times New Roman" w:cs="Times New Roman"/>
          <w:iCs/>
          <w:sz w:val="28"/>
          <w:szCs w:val="24"/>
        </w:rPr>
        <w:t xml:space="preserve"> 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1.1. par ēdināšanu – ne vairāk kā 6 </w:t>
      </w:r>
      <w:proofErr w:type="spellStart"/>
      <w:r w:rsidRPr="0034597B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Pr="0034597B">
        <w:rPr>
          <w:rFonts w:eastAsia="Times New Roman" w:cs="Times New Roman"/>
          <w:iCs/>
          <w:sz w:val="28"/>
          <w:szCs w:val="24"/>
        </w:rPr>
        <w:t xml:space="preserve"> par katru dienu;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Calibri" w:cs="Times New Roman"/>
          <w:sz w:val="28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1.2. par </w:t>
      </w:r>
      <w:r w:rsidRPr="0034597B">
        <w:rPr>
          <w:rFonts w:eastAsia="Calibri" w:cs="Times New Roman"/>
          <w:sz w:val="28"/>
        </w:rPr>
        <w:t>viesnīcu (naktsmītni), ja ir iesniegti attiecīgos izdevumus apliec</w:t>
      </w:r>
      <w:r w:rsidR="005D613D">
        <w:rPr>
          <w:rFonts w:eastAsia="Calibri" w:cs="Times New Roman"/>
          <w:sz w:val="28"/>
        </w:rPr>
        <w:t>inoši attaisnojuma dokumenti</w:t>
      </w:r>
      <w:r w:rsidRPr="0034597B">
        <w:rPr>
          <w:rFonts w:eastAsia="Calibri" w:cs="Times New Roman"/>
          <w:sz w:val="28"/>
        </w:rPr>
        <w:t xml:space="preserve"> –</w:t>
      </w:r>
      <w:r w:rsidR="00B81ED0">
        <w:rPr>
          <w:rFonts w:eastAsia="Calibri" w:cs="Times New Roman"/>
          <w:sz w:val="28"/>
        </w:rPr>
        <w:t xml:space="preserve"> ne vairāk kā </w:t>
      </w:r>
      <w:r w:rsidRPr="0034597B">
        <w:rPr>
          <w:rFonts w:eastAsia="Calibri" w:cs="Times New Roman"/>
          <w:sz w:val="28"/>
        </w:rPr>
        <w:t xml:space="preserve">57 </w:t>
      </w:r>
      <w:proofErr w:type="spellStart"/>
      <w:r w:rsidRPr="0034597B">
        <w:rPr>
          <w:rFonts w:eastAsia="Calibri" w:cs="Times New Roman"/>
          <w:i/>
          <w:sz w:val="28"/>
        </w:rPr>
        <w:t>euro</w:t>
      </w:r>
      <w:proofErr w:type="spellEnd"/>
      <w:r w:rsidRPr="0034597B">
        <w:rPr>
          <w:rFonts w:eastAsia="Calibri" w:cs="Times New Roman"/>
          <w:sz w:val="28"/>
        </w:rPr>
        <w:t xml:space="preserve"> par diennakti;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1.3. par </w:t>
      </w:r>
      <w:r w:rsidRPr="0034597B">
        <w:rPr>
          <w:rFonts w:eastAsia="Calibri" w:cs="Times New Roman"/>
          <w:sz w:val="28"/>
        </w:rPr>
        <w:t>ceļa (transporta) izdevumiem</w:t>
      </w:r>
      <w:r>
        <w:rPr>
          <w:rFonts w:eastAsia="Calibri" w:cs="Times New Roman"/>
          <w:sz w:val="28"/>
        </w:rPr>
        <w:t xml:space="preserve"> (izņemot izdevumus par degvielu)</w:t>
      </w:r>
      <w:r w:rsidRPr="0034597B">
        <w:rPr>
          <w:rFonts w:eastAsia="Calibri" w:cs="Times New Roman"/>
          <w:sz w:val="28"/>
        </w:rPr>
        <w:t>,</w:t>
      </w:r>
      <w:r w:rsidRPr="0034597B">
        <w:rPr>
          <w:rFonts w:eastAsia="Times New Roman" w:cs="Times New Roman"/>
          <w:iCs/>
          <w:sz w:val="28"/>
          <w:szCs w:val="24"/>
        </w:rPr>
        <w:t xml:space="preserve"> </w:t>
      </w:r>
      <w:r w:rsidRPr="0034597B">
        <w:rPr>
          <w:rFonts w:eastAsia="Calibri" w:cs="Times New Roman"/>
          <w:sz w:val="28"/>
        </w:rPr>
        <w:t>ja ir iesniegti attiecīgos izdevumus apliecinoši attaisnojuma dokumenti;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1.4. par degvielu, ja brīvprātīgā darba veicējs lieto viņa īpašumā vai </w:t>
      </w:r>
      <w:r w:rsidRPr="0034597B">
        <w:rPr>
          <w:rFonts w:eastAsia="Times New Roman" w:cs="Times New Roman"/>
          <w:iCs/>
          <w:sz w:val="28"/>
          <w:szCs w:val="24"/>
        </w:rPr>
        <w:lastRenderedPageBreak/>
        <w:t xml:space="preserve">valdījumā esošu transportlīdzekli, – ne vairāk kā 50 </w:t>
      </w:r>
      <w:proofErr w:type="spellStart"/>
      <w:r w:rsidRPr="0034597B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Pr="0034597B">
        <w:rPr>
          <w:rFonts w:eastAsia="Times New Roman" w:cs="Times New Roman"/>
          <w:iCs/>
          <w:sz w:val="28"/>
          <w:szCs w:val="24"/>
        </w:rPr>
        <w:t xml:space="preserve"> mēnesī;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 w:rsidRP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1.5. par apģērbu, ja tas saistīts ar darbības specifiku vai norāda uz konkrētu atpazīstamību un piederību;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 w:rsidRP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1.6. par apmācību, ja tā saistīta ar darbības specifiku un nav saistīta ar pamatizglītību – ne vairāk kā 200 </w:t>
      </w:r>
      <w:proofErr w:type="spellStart"/>
      <w:r w:rsidRPr="0034597B">
        <w:rPr>
          <w:rFonts w:eastAsia="Times New Roman" w:cs="Times New Roman"/>
          <w:i/>
          <w:iCs/>
          <w:sz w:val="28"/>
          <w:szCs w:val="24"/>
        </w:rPr>
        <w:t>euro</w:t>
      </w:r>
      <w:proofErr w:type="spellEnd"/>
      <w:r w:rsidR="00E11C53">
        <w:rPr>
          <w:rFonts w:eastAsia="Times New Roman" w:cs="Times New Roman"/>
          <w:iCs/>
          <w:sz w:val="28"/>
          <w:szCs w:val="24"/>
        </w:rPr>
        <w:t xml:space="preserve"> gadā.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p w:rsidR="003D611C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Calibri" w:cs="Times New Roman"/>
          <w:sz w:val="28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2. izdevumi, par pakalpojumiem, </w:t>
      </w:r>
      <w:r w:rsidRPr="0034597B">
        <w:rPr>
          <w:rFonts w:eastAsia="Calibri" w:cs="Times New Roman"/>
          <w:sz w:val="28"/>
        </w:rPr>
        <w:t>kuru obligāta nodrošināšana ir noteikta saskaņā ar normatīvajiem aktiem: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54.</w:t>
      </w:r>
      <w:r w:rsidR="00315605">
        <w:rPr>
          <w:rFonts w:eastAsia="Calibri" w:cs="Times New Roman"/>
          <w:sz w:val="28"/>
          <w:vertAlign w:val="superscript"/>
        </w:rPr>
        <w:t>2</w:t>
      </w:r>
      <w:r>
        <w:rPr>
          <w:rFonts w:eastAsia="Calibri" w:cs="Times New Roman"/>
          <w:sz w:val="28"/>
        </w:rPr>
        <w:t xml:space="preserve"> 2.1. </w:t>
      </w:r>
      <w:r w:rsidRPr="00DC16C2">
        <w:rPr>
          <w:rFonts w:eastAsia="Calibri" w:cs="Times New Roman"/>
          <w:sz w:val="28"/>
        </w:rPr>
        <w:t>par veselības un dzīvības apdrošināšanu pret nelaimes gadījumiem brīvprātīgā darba veikšanas laikā, ja</w:t>
      </w:r>
      <w:r w:rsidRPr="00DC16C2">
        <w:t xml:space="preserve"> </w:t>
      </w:r>
      <w:r w:rsidRPr="00DC16C2">
        <w:rPr>
          <w:rFonts w:eastAsia="Calibri" w:cs="Times New Roman"/>
          <w:sz w:val="28"/>
        </w:rPr>
        <w:t>tā ir pamatota ar izdevumus apliecinošiem attaisnojuma dokumentiem;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2.</w:t>
      </w:r>
      <w:r>
        <w:rPr>
          <w:rFonts w:eastAsia="Times New Roman" w:cs="Times New Roman"/>
          <w:iCs/>
          <w:sz w:val="28"/>
          <w:szCs w:val="24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>. par civiltiesisk</w:t>
      </w:r>
      <w:r w:rsidR="00463FFB">
        <w:rPr>
          <w:rFonts w:eastAsia="Times New Roman" w:cs="Times New Roman"/>
          <w:iCs/>
          <w:sz w:val="28"/>
          <w:szCs w:val="24"/>
        </w:rPr>
        <w:t>ās atbildības</w:t>
      </w:r>
      <w:r w:rsidRPr="0034597B">
        <w:rPr>
          <w:rFonts w:eastAsia="Times New Roman" w:cs="Times New Roman"/>
          <w:iCs/>
          <w:sz w:val="28"/>
          <w:szCs w:val="24"/>
        </w:rPr>
        <w:t xml:space="preserve"> apdrošināšanu attiecībā uz trešajām personām (izņemot </w:t>
      </w:r>
      <w:r w:rsidR="00463FFB">
        <w:rPr>
          <w:rFonts w:eastAsia="Times New Roman" w:cs="Times New Roman"/>
          <w:iCs/>
          <w:sz w:val="28"/>
          <w:szCs w:val="24"/>
        </w:rPr>
        <w:t xml:space="preserve">sauszemes </w:t>
      </w:r>
      <w:r w:rsidRPr="0034597B">
        <w:rPr>
          <w:rFonts w:eastAsia="Times New Roman" w:cs="Times New Roman"/>
          <w:iCs/>
          <w:sz w:val="28"/>
          <w:szCs w:val="24"/>
        </w:rPr>
        <w:t>transportlīdzekļ</w:t>
      </w:r>
      <w:r w:rsidR="00463FFB">
        <w:rPr>
          <w:rFonts w:eastAsia="Times New Roman" w:cs="Times New Roman"/>
          <w:iCs/>
          <w:sz w:val="28"/>
          <w:szCs w:val="24"/>
        </w:rPr>
        <w:t>u īpašnieku</w:t>
      </w:r>
      <w:r w:rsidRPr="0034597B">
        <w:rPr>
          <w:rFonts w:eastAsia="Times New Roman" w:cs="Times New Roman"/>
          <w:iCs/>
          <w:sz w:val="28"/>
          <w:szCs w:val="24"/>
        </w:rPr>
        <w:t xml:space="preserve"> civiltiesisk</w:t>
      </w:r>
      <w:r w:rsidR="00463FFB">
        <w:rPr>
          <w:rFonts w:eastAsia="Times New Roman" w:cs="Times New Roman"/>
          <w:iCs/>
          <w:sz w:val="28"/>
          <w:szCs w:val="24"/>
        </w:rPr>
        <w:t>ās atbildības obligāto</w:t>
      </w:r>
      <w:r w:rsidRPr="0034597B">
        <w:rPr>
          <w:rFonts w:eastAsia="Times New Roman" w:cs="Times New Roman"/>
          <w:iCs/>
          <w:sz w:val="28"/>
          <w:szCs w:val="24"/>
        </w:rPr>
        <w:t xml:space="preserve"> apdrošināšanu), ja tā ir pamatota ar izdevumus apliecinošiem attaisnojuma dokumentiem;</w:t>
      </w:r>
    </w:p>
    <w:p w:rsidR="003D611C" w:rsidRPr="0034597B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2.</w:t>
      </w:r>
      <w:r>
        <w:rPr>
          <w:rFonts w:eastAsia="Times New Roman" w:cs="Times New Roman"/>
          <w:iCs/>
          <w:sz w:val="28"/>
          <w:szCs w:val="24"/>
        </w:rPr>
        <w:t>3</w:t>
      </w:r>
      <w:r w:rsidRPr="0034597B">
        <w:rPr>
          <w:rFonts w:eastAsia="Times New Roman" w:cs="Times New Roman"/>
          <w:iCs/>
          <w:sz w:val="28"/>
          <w:szCs w:val="24"/>
        </w:rPr>
        <w:t>. par veselības pārbaudēm, ja tās ir pamatotas ar izdevumus apliecinošiem attaisnojuma dokumentiem.</w:t>
      </w:r>
    </w:p>
    <w:p w:rsidR="003D611C" w:rsidRDefault="003D611C" w:rsidP="003D611C">
      <w:pPr>
        <w:ind w:firstLine="720"/>
        <w:jc w:val="both"/>
        <w:rPr>
          <w:sz w:val="28"/>
        </w:rPr>
      </w:pPr>
    </w:p>
    <w:p w:rsidR="003D611C" w:rsidRDefault="003D611C" w:rsidP="003D611C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</w:rPr>
      </w:pP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315605">
        <w:rPr>
          <w:rFonts w:eastAsia="Times New Roman" w:cs="Times New Roman"/>
          <w:iCs/>
          <w:sz w:val="28"/>
          <w:szCs w:val="24"/>
          <w:vertAlign w:val="superscript"/>
        </w:rPr>
        <w:t>3</w:t>
      </w:r>
      <w:r w:rsidRPr="0034597B">
        <w:rPr>
          <w:rFonts w:eastAsia="Times New Roman" w:cs="Times New Roman"/>
          <w:iCs/>
          <w:sz w:val="28"/>
          <w:szCs w:val="24"/>
        </w:rPr>
        <w:t xml:space="preserve"> Piemērojot likuma 9.panta pirmās daļas 44.punktu, ar </w:t>
      </w:r>
      <w:r w:rsidRPr="0002791F">
        <w:rPr>
          <w:sz w:val="28"/>
        </w:rPr>
        <w:t xml:space="preserve">nodokli </w:t>
      </w:r>
      <w:r>
        <w:rPr>
          <w:rFonts w:eastAsia="Times New Roman" w:cs="Times New Roman"/>
          <w:iCs/>
          <w:sz w:val="28"/>
          <w:szCs w:val="24"/>
        </w:rPr>
        <w:t>ir</w:t>
      </w:r>
      <w:r w:rsidRPr="0034597B">
        <w:rPr>
          <w:rFonts w:eastAsia="Times New Roman" w:cs="Times New Roman"/>
          <w:iCs/>
          <w:sz w:val="28"/>
          <w:szCs w:val="24"/>
        </w:rPr>
        <w:t xml:space="preserve"> apliekama</w:t>
      </w:r>
      <w:r w:rsidRPr="0002791F">
        <w:t xml:space="preserve"> </w:t>
      </w:r>
      <w:r w:rsidRPr="0002791F">
        <w:rPr>
          <w:rFonts w:eastAsia="Times New Roman" w:cs="Times New Roman"/>
          <w:iCs/>
          <w:sz w:val="28"/>
          <w:szCs w:val="24"/>
        </w:rPr>
        <w:t>tā brīvprātīgā darba organizētāj</w:t>
      </w:r>
      <w:r>
        <w:rPr>
          <w:rFonts w:eastAsia="Times New Roman" w:cs="Times New Roman"/>
          <w:iCs/>
          <w:sz w:val="28"/>
          <w:szCs w:val="24"/>
        </w:rPr>
        <w:t>a segtā</w:t>
      </w:r>
      <w:r w:rsidRPr="0002791F">
        <w:rPr>
          <w:rFonts w:eastAsia="Times New Roman" w:cs="Times New Roman"/>
          <w:iCs/>
          <w:sz w:val="28"/>
          <w:szCs w:val="24"/>
        </w:rPr>
        <w:t xml:space="preserve"> izdevumu daļa</w:t>
      </w:r>
      <w:r>
        <w:rPr>
          <w:rFonts w:eastAsia="Times New Roman" w:cs="Times New Roman"/>
          <w:iCs/>
          <w:sz w:val="28"/>
          <w:szCs w:val="24"/>
        </w:rPr>
        <w:t>,</w:t>
      </w:r>
      <w:r w:rsidRPr="0002791F">
        <w:t xml:space="preserve"> </w:t>
      </w:r>
      <w:r w:rsidRPr="0002791F">
        <w:rPr>
          <w:rFonts w:eastAsia="Times New Roman" w:cs="Times New Roman"/>
          <w:iCs/>
          <w:sz w:val="28"/>
          <w:szCs w:val="24"/>
        </w:rPr>
        <w:t>kas pārsniedz šo noteikum</w:t>
      </w:r>
      <w:r>
        <w:rPr>
          <w:rFonts w:eastAsia="Times New Roman" w:cs="Times New Roman"/>
          <w:iCs/>
          <w:sz w:val="28"/>
          <w:szCs w:val="24"/>
        </w:rPr>
        <w:t xml:space="preserve">u </w:t>
      </w:r>
      <w:r w:rsidRPr="0034597B">
        <w:rPr>
          <w:rFonts w:eastAsia="Times New Roman" w:cs="Times New Roman"/>
          <w:iCs/>
          <w:sz w:val="28"/>
          <w:szCs w:val="24"/>
        </w:rPr>
        <w:t>54.</w:t>
      </w:r>
      <w:r w:rsidR="00496D45">
        <w:rPr>
          <w:rFonts w:eastAsia="Times New Roman" w:cs="Times New Roman"/>
          <w:iCs/>
          <w:sz w:val="28"/>
          <w:szCs w:val="24"/>
          <w:vertAlign w:val="superscript"/>
        </w:rPr>
        <w:t>2</w:t>
      </w:r>
      <w:r w:rsidRPr="0034597B">
        <w:rPr>
          <w:rFonts w:eastAsia="Times New Roman" w:cs="Times New Roman"/>
          <w:iCs/>
          <w:sz w:val="28"/>
          <w:szCs w:val="24"/>
        </w:rPr>
        <w:t xml:space="preserve"> </w:t>
      </w:r>
      <w:r w:rsidR="00923358">
        <w:rPr>
          <w:rFonts w:eastAsia="Times New Roman" w:cs="Times New Roman"/>
          <w:iCs/>
          <w:sz w:val="28"/>
          <w:szCs w:val="24"/>
        </w:rPr>
        <w:t>1.apakš</w:t>
      </w:r>
      <w:r>
        <w:rPr>
          <w:rFonts w:eastAsia="Times New Roman" w:cs="Times New Roman"/>
          <w:iCs/>
          <w:sz w:val="28"/>
          <w:szCs w:val="24"/>
        </w:rPr>
        <w:t>punktā</w:t>
      </w:r>
      <w:r w:rsidRPr="0002791F">
        <w:rPr>
          <w:rFonts w:eastAsia="Times New Roman" w:cs="Times New Roman"/>
          <w:iCs/>
          <w:sz w:val="28"/>
          <w:szCs w:val="24"/>
        </w:rPr>
        <w:t xml:space="preserve"> noteiktās normas</w:t>
      </w:r>
      <w:r>
        <w:rPr>
          <w:rFonts w:eastAsia="Times New Roman" w:cs="Times New Roman"/>
          <w:iCs/>
          <w:sz w:val="28"/>
          <w:szCs w:val="24"/>
        </w:rPr>
        <w:t>.”.</w:t>
      </w:r>
    </w:p>
    <w:p w:rsidR="003D611C" w:rsidRDefault="003D611C" w:rsidP="003D611C">
      <w:pPr>
        <w:ind w:firstLine="720"/>
        <w:jc w:val="both"/>
        <w:rPr>
          <w:sz w:val="28"/>
        </w:rPr>
      </w:pPr>
    </w:p>
    <w:p w:rsidR="00E45ABB" w:rsidRPr="00E45ABB" w:rsidRDefault="00E45ABB" w:rsidP="00E45ABB">
      <w:pPr>
        <w:numPr>
          <w:ilvl w:val="0"/>
          <w:numId w:val="10"/>
        </w:numPr>
        <w:tabs>
          <w:tab w:val="left" w:pos="720"/>
        </w:tabs>
        <w:jc w:val="both"/>
        <w:rPr>
          <w:rFonts w:eastAsia="Times New Roman" w:cs="Times New Roman"/>
          <w:sz w:val="28"/>
          <w:szCs w:val="28"/>
        </w:rPr>
      </w:pPr>
      <w:r w:rsidRPr="00E45ABB">
        <w:rPr>
          <w:rFonts w:eastAsia="Times New Roman" w:cs="Times New Roman"/>
          <w:sz w:val="28"/>
          <w:szCs w:val="28"/>
        </w:rPr>
        <w:t>Noteikumi stājas spēkā 201</w:t>
      </w:r>
      <w:r w:rsidR="003A04AF">
        <w:rPr>
          <w:rFonts w:eastAsia="Times New Roman" w:cs="Times New Roman"/>
          <w:sz w:val="28"/>
          <w:szCs w:val="28"/>
        </w:rPr>
        <w:t>6</w:t>
      </w:r>
      <w:r w:rsidRPr="00E45ABB">
        <w:rPr>
          <w:rFonts w:eastAsia="Times New Roman" w:cs="Times New Roman"/>
          <w:sz w:val="28"/>
          <w:szCs w:val="28"/>
        </w:rPr>
        <w:t>. gada 1. janvārī.</w:t>
      </w:r>
    </w:p>
    <w:p w:rsidR="00E45ABB" w:rsidRPr="00E45ABB" w:rsidRDefault="00E45ABB" w:rsidP="00E45ABB">
      <w:pPr>
        <w:tabs>
          <w:tab w:val="left" w:pos="4116"/>
        </w:tabs>
        <w:ind w:firstLine="851"/>
        <w:jc w:val="both"/>
        <w:rPr>
          <w:rFonts w:eastAsia="Times New Roman" w:cs="Times New Roman"/>
          <w:sz w:val="28"/>
          <w:szCs w:val="28"/>
        </w:rPr>
      </w:pPr>
      <w:r w:rsidRPr="00E45ABB">
        <w:rPr>
          <w:rFonts w:eastAsia="Times New Roman" w:cs="Times New Roman"/>
          <w:sz w:val="28"/>
          <w:szCs w:val="28"/>
        </w:rPr>
        <w:tab/>
      </w:r>
    </w:p>
    <w:p w:rsidR="00E45ABB" w:rsidRPr="00E45ABB" w:rsidRDefault="00E45ABB" w:rsidP="00E45ABB">
      <w:pPr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45ABB" w:rsidRDefault="00315605" w:rsidP="00315605">
      <w:pPr>
        <w:widowControl w:val="0"/>
        <w:suppressAutoHyphens/>
        <w:autoSpaceDN w:val="0"/>
        <w:spacing w:line="360" w:lineRule="atLeast"/>
        <w:ind w:left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Ministru prezidente</w:t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proofErr w:type="spellStart"/>
      <w:r>
        <w:rPr>
          <w:rFonts w:eastAsia="Times New Roman" w:cs="Times New Roman"/>
          <w:iCs/>
          <w:sz w:val="28"/>
          <w:szCs w:val="24"/>
        </w:rPr>
        <w:t>L.Straujuma</w:t>
      </w:r>
      <w:proofErr w:type="spellEnd"/>
    </w:p>
    <w:p w:rsidR="00315605" w:rsidRDefault="00315605" w:rsidP="00315605">
      <w:pPr>
        <w:widowControl w:val="0"/>
        <w:suppressAutoHyphens/>
        <w:autoSpaceDN w:val="0"/>
        <w:spacing w:line="360" w:lineRule="atLeast"/>
        <w:ind w:left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p w:rsidR="00315605" w:rsidRDefault="00315605" w:rsidP="00315605">
      <w:pPr>
        <w:widowControl w:val="0"/>
        <w:suppressAutoHyphens/>
        <w:autoSpaceDN w:val="0"/>
        <w:spacing w:line="360" w:lineRule="atLeast"/>
        <w:ind w:left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>
        <w:rPr>
          <w:rFonts w:eastAsia="Times New Roman" w:cs="Times New Roman"/>
          <w:iCs/>
          <w:sz w:val="28"/>
          <w:szCs w:val="24"/>
        </w:rPr>
        <w:t>Finanšu ministrs</w:t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r>
        <w:rPr>
          <w:rFonts w:eastAsia="Times New Roman" w:cs="Times New Roman"/>
          <w:iCs/>
          <w:sz w:val="28"/>
          <w:szCs w:val="24"/>
        </w:rPr>
        <w:tab/>
      </w:r>
      <w:proofErr w:type="spellStart"/>
      <w:r>
        <w:rPr>
          <w:rFonts w:eastAsia="Times New Roman" w:cs="Times New Roman"/>
          <w:iCs/>
          <w:sz w:val="28"/>
          <w:szCs w:val="24"/>
        </w:rPr>
        <w:t>J.Reirs</w:t>
      </w:r>
      <w:proofErr w:type="spellEnd"/>
    </w:p>
    <w:p w:rsidR="00315605" w:rsidRDefault="00315605" w:rsidP="00315605">
      <w:pPr>
        <w:widowControl w:val="0"/>
        <w:suppressAutoHyphens/>
        <w:autoSpaceDN w:val="0"/>
        <w:spacing w:line="360" w:lineRule="atLeast"/>
        <w:ind w:left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p w:rsidR="00315605" w:rsidRDefault="00315605" w:rsidP="00315605">
      <w:pPr>
        <w:widowControl w:val="0"/>
        <w:suppressAutoHyphens/>
        <w:autoSpaceDN w:val="0"/>
        <w:spacing w:line="360" w:lineRule="atLeast"/>
        <w:ind w:left="72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p w:rsidR="00E6775A" w:rsidRDefault="00E6775A" w:rsidP="00E6775A">
      <w:pPr>
        <w:jc w:val="both"/>
        <w:rPr>
          <w:rFonts w:eastAsia="Times New Roman" w:cs="Times New Roman"/>
          <w:sz w:val="20"/>
          <w:szCs w:val="20"/>
        </w:rPr>
      </w:pPr>
    </w:p>
    <w:p w:rsidR="00E6775A" w:rsidRDefault="00E6775A" w:rsidP="00E6775A">
      <w:pPr>
        <w:jc w:val="both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E6775A" w:rsidRPr="00E6775A" w:rsidRDefault="00E6775A" w:rsidP="00E6775A">
      <w:pPr>
        <w:rPr>
          <w:rFonts w:eastAsia="Times New Roman" w:cs="Times New Roman"/>
          <w:sz w:val="28"/>
          <w:szCs w:val="28"/>
        </w:rPr>
      </w:pPr>
    </w:p>
    <w:p w:rsidR="00280935" w:rsidRPr="00280935" w:rsidRDefault="00280935" w:rsidP="00280935">
      <w:pPr>
        <w:tabs>
          <w:tab w:val="center" w:pos="4320"/>
          <w:tab w:val="right" w:pos="8640"/>
        </w:tabs>
        <w:rPr>
          <w:rFonts w:eastAsia="Times New Roman" w:cs="Times New Roman"/>
          <w:sz w:val="20"/>
          <w:szCs w:val="20"/>
        </w:rPr>
      </w:pPr>
      <w:r w:rsidRPr="00280935">
        <w:rPr>
          <w:rFonts w:eastAsia="Times New Roman" w:cs="Times New Roman"/>
          <w:sz w:val="20"/>
          <w:szCs w:val="20"/>
        </w:rPr>
        <w:fldChar w:fldCharType="begin"/>
      </w:r>
      <w:r w:rsidRPr="00280935">
        <w:rPr>
          <w:rFonts w:eastAsia="Times New Roman" w:cs="Times New Roman"/>
          <w:sz w:val="20"/>
          <w:szCs w:val="20"/>
        </w:rPr>
        <w:instrText xml:space="preserve"> CREATEDATE  \@ "dd.MM.yyyy H:mm"  \* MERGEFORMAT </w:instrText>
      </w:r>
      <w:r w:rsidRPr="00280935">
        <w:rPr>
          <w:rFonts w:eastAsia="Times New Roman" w:cs="Times New Roman"/>
          <w:sz w:val="20"/>
          <w:szCs w:val="20"/>
        </w:rPr>
        <w:fldChar w:fldCharType="separate"/>
      </w:r>
      <w:r w:rsidR="004A0CD8">
        <w:rPr>
          <w:rFonts w:eastAsia="Times New Roman" w:cs="Times New Roman"/>
          <w:noProof/>
          <w:sz w:val="20"/>
          <w:szCs w:val="20"/>
        </w:rPr>
        <w:t>1</w:t>
      </w:r>
      <w:r w:rsidR="004A0CD8">
        <w:rPr>
          <w:rFonts w:eastAsia="Times New Roman" w:cs="Times New Roman"/>
          <w:noProof/>
          <w:sz w:val="20"/>
          <w:szCs w:val="20"/>
        </w:rPr>
        <w:t>0</w:t>
      </w:r>
      <w:r w:rsidR="004A0CD8">
        <w:rPr>
          <w:rFonts w:eastAsia="Times New Roman" w:cs="Times New Roman"/>
          <w:noProof/>
          <w:sz w:val="20"/>
          <w:szCs w:val="20"/>
        </w:rPr>
        <w:t>.12.2015 11:00</w:t>
      </w:r>
      <w:r w:rsidRPr="00280935">
        <w:rPr>
          <w:rFonts w:eastAsia="Times New Roman" w:cs="Times New Roman"/>
          <w:sz w:val="20"/>
          <w:szCs w:val="20"/>
        </w:rPr>
        <w:fldChar w:fldCharType="end"/>
      </w:r>
    </w:p>
    <w:p w:rsidR="00280935" w:rsidRDefault="00280935" w:rsidP="00280935">
      <w:pPr>
        <w:rPr>
          <w:rFonts w:eastAsia="Times New Roman" w:cs="Times New Roman"/>
          <w:sz w:val="20"/>
          <w:szCs w:val="20"/>
        </w:rPr>
      </w:pPr>
      <w:r w:rsidRPr="00280935">
        <w:rPr>
          <w:rFonts w:eastAsia="Times New Roman" w:cs="Times New Roman"/>
          <w:sz w:val="20"/>
          <w:szCs w:val="20"/>
          <w:lang w:val="en-GB"/>
        </w:rPr>
        <w:fldChar w:fldCharType="begin"/>
      </w:r>
      <w:r w:rsidRPr="00280935">
        <w:rPr>
          <w:rFonts w:eastAsia="Times New Roman" w:cs="Times New Roman"/>
          <w:sz w:val="20"/>
          <w:szCs w:val="20"/>
          <w:lang w:val="en-GB"/>
        </w:rPr>
        <w:instrText xml:space="preserve"> NUMWORDS  \* MERGEFORMAT </w:instrText>
      </w:r>
      <w:r w:rsidRPr="00280935">
        <w:rPr>
          <w:rFonts w:eastAsia="Times New Roman" w:cs="Times New Roman"/>
          <w:sz w:val="20"/>
          <w:szCs w:val="20"/>
          <w:lang w:val="en-GB"/>
        </w:rPr>
        <w:fldChar w:fldCharType="separate"/>
      </w:r>
      <w:r w:rsidR="00016C3A" w:rsidRPr="00016C3A">
        <w:rPr>
          <w:rFonts w:eastAsia="Times New Roman" w:cs="Times New Roman"/>
          <w:noProof/>
          <w:sz w:val="20"/>
          <w:szCs w:val="20"/>
        </w:rPr>
        <w:t>462</w:t>
      </w:r>
      <w:r w:rsidRPr="00280935">
        <w:rPr>
          <w:rFonts w:eastAsia="Times New Roman" w:cs="Times New Roman"/>
          <w:sz w:val="20"/>
          <w:szCs w:val="20"/>
        </w:rPr>
        <w:fldChar w:fldCharType="end"/>
      </w:r>
    </w:p>
    <w:p w:rsidR="004A0CD8" w:rsidRDefault="004A0CD8" w:rsidP="00280935">
      <w:pPr>
        <w:rPr>
          <w:rFonts w:eastAsia="Times New Roman" w:cs="Times New Roman"/>
          <w:sz w:val="20"/>
          <w:szCs w:val="20"/>
        </w:rPr>
      </w:pPr>
    </w:p>
    <w:p w:rsidR="00E6775A" w:rsidRPr="00E6775A" w:rsidRDefault="00A22602" w:rsidP="00280935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Ozoliņa</w:t>
      </w:r>
    </w:p>
    <w:p w:rsidR="00E6775A" w:rsidRPr="00E6775A" w:rsidRDefault="008133DA" w:rsidP="00E6775A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Finanšu ministrijas </w:t>
      </w:r>
      <w:r w:rsidR="00E6775A" w:rsidRPr="00E6775A">
        <w:rPr>
          <w:rFonts w:eastAsia="Times New Roman" w:cs="Times New Roman"/>
          <w:sz w:val="20"/>
          <w:szCs w:val="20"/>
        </w:rPr>
        <w:t>Tiešo nodokļu departamenta</w:t>
      </w:r>
    </w:p>
    <w:p w:rsidR="00E6775A" w:rsidRPr="00E6775A" w:rsidRDefault="00E6775A" w:rsidP="00E6775A">
      <w:pPr>
        <w:rPr>
          <w:rFonts w:eastAsia="Times New Roman" w:cs="Times New Roman"/>
          <w:sz w:val="20"/>
          <w:szCs w:val="20"/>
        </w:rPr>
      </w:pPr>
      <w:r w:rsidRPr="00E6775A">
        <w:rPr>
          <w:rFonts w:eastAsia="Times New Roman" w:cs="Times New Roman"/>
          <w:sz w:val="20"/>
          <w:szCs w:val="20"/>
        </w:rPr>
        <w:t>Īpašuma un iedzīvotāju ienākuma</w:t>
      </w:r>
    </w:p>
    <w:p w:rsidR="00E6775A" w:rsidRPr="00E6775A" w:rsidRDefault="00E6775A" w:rsidP="00E6775A">
      <w:pPr>
        <w:rPr>
          <w:rFonts w:eastAsia="Times New Roman" w:cs="Times New Roman"/>
          <w:sz w:val="20"/>
          <w:szCs w:val="20"/>
        </w:rPr>
      </w:pPr>
      <w:r w:rsidRPr="00E6775A">
        <w:rPr>
          <w:rFonts w:eastAsia="Times New Roman" w:cs="Times New Roman"/>
          <w:sz w:val="20"/>
          <w:szCs w:val="20"/>
        </w:rPr>
        <w:t>nodokļu nodaļas vecākā referente</w:t>
      </w:r>
    </w:p>
    <w:p w:rsidR="00E6775A" w:rsidRPr="00E6775A" w:rsidRDefault="00E6775A" w:rsidP="00E6775A">
      <w:pPr>
        <w:rPr>
          <w:rFonts w:eastAsia="Times New Roman" w:cs="Times New Roman"/>
          <w:sz w:val="20"/>
          <w:szCs w:val="20"/>
          <w:lang w:val="en-US"/>
        </w:rPr>
      </w:pPr>
      <w:r w:rsidRPr="00E6775A">
        <w:rPr>
          <w:rFonts w:eastAsia="Times New Roman" w:cs="Times New Roman"/>
          <w:sz w:val="20"/>
          <w:szCs w:val="20"/>
          <w:lang w:val="en-US"/>
        </w:rPr>
        <w:t>670</w:t>
      </w:r>
      <w:r w:rsidR="00A22602">
        <w:rPr>
          <w:rFonts w:eastAsia="Times New Roman" w:cs="Times New Roman"/>
          <w:sz w:val="20"/>
          <w:szCs w:val="20"/>
          <w:lang w:val="en-US"/>
        </w:rPr>
        <w:t>95493</w:t>
      </w:r>
      <w:r w:rsidRPr="00E6775A">
        <w:rPr>
          <w:rFonts w:eastAsia="Times New Roman" w:cs="Times New Roman"/>
          <w:sz w:val="20"/>
          <w:szCs w:val="20"/>
          <w:lang w:val="en-US"/>
        </w:rPr>
        <w:t xml:space="preserve">, </w:t>
      </w:r>
      <w:proofErr w:type="spellStart"/>
      <w:r w:rsidRPr="00E6775A">
        <w:rPr>
          <w:rFonts w:eastAsia="Times New Roman" w:cs="Times New Roman"/>
          <w:sz w:val="20"/>
          <w:szCs w:val="20"/>
          <w:lang w:val="en-US"/>
        </w:rPr>
        <w:t>fakss</w:t>
      </w:r>
      <w:proofErr w:type="spellEnd"/>
      <w:r w:rsidRPr="00E6775A">
        <w:rPr>
          <w:rFonts w:eastAsia="Times New Roman" w:cs="Times New Roman"/>
          <w:sz w:val="20"/>
          <w:szCs w:val="20"/>
          <w:lang w:val="en-US"/>
        </w:rPr>
        <w:t xml:space="preserve"> 670954</w:t>
      </w:r>
      <w:r w:rsidR="008133DA">
        <w:rPr>
          <w:rFonts w:eastAsia="Times New Roman" w:cs="Times New Roman"/>
          <w:sz w:val="20"/>
          <w:szCs w:val="20"/>
          <w:lang w:val="en-US"/>
        </w:rPr>
        <w:t>21</w:t>
      </w:r>
      <w:r w:rsidRPr="00E6775A">
        <w:rPr>
          <w:rFonts w:eastAsia="Times New Roman" w:cs="Times New Roman"/>
          <w:sz w:val="20"/>
          <w:szCs w:val="20"/>
          <w:lang w:val="en-US"/>
        </w:rPr>
        <w:t>,</w:t>
      </w:r>
    </w:p>
    <w:p w:rsidR="00E45ABB" w:rsidRPr="003772D6" w:rsidRDefault="00B306FB" w:rsidP="003772D6">
      <w:pPr>
        <w:rPr>
          <w:rFonts w:eastAsia="Times New Roman" w:cs="Times New Roman"/>
          <w:sz w:val="20"/>
          <w:szCs w:val="20"/>
          <w:lang w:val="en-US"/>
        </w:rPr>
      </w:pPr>
      <w:hyperlink r:id="rId8" w:history="1">
        <w:r w:rsidR="00A22602" w:rsidRPr="00A40AAC">
          <w:rPr>
            <w:rStyle w:val="Hyperlink"/>
            <w:rFonts w:eastAsia="Times New Roman" w:cs="Times New Roman"/>
            <w:sz w:val="20"/>
            <w:szCs w:val="20"/>
            <w:lang w:val="en-US"/>
          </w:rPr>
          <w:t>Agrita.Ozolina@fm.gov.lv</w:t>
        </w:r>
      </w:hyperlink>
    </w:p>
    <w:sectPr w:rsidR="00E45ABB" w:rsidRPr="003772D6" w:rsidSect="003772D6">
      <w:headerReference w:type="default" r:id="rId9"/>
      <w:footerReference w:type="default" r:id="rId10"/>
      <w:footerReference w:type="first" r:id="rId11"/>
      <w:pgSz w:w="11906" w:h="16838"/>
      <w:pgMar w:top="1276" w:right="1133" w:bottom="1560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FB" w:rsidRDefault="00B306FB" w:rsidP="00140F4C">
      <w:r>
        <w:separator/>
      </w:r>
    </w:p>
  </w:endnote>
  <w:endnote w:type="continuationSeparator" w:id="0">
    <w:p w:rsidR="00B306FB" w:rsidRDefault="00B306FB" w:rsidP="0014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D6" w:rsidRPr="003772D6" w:rsidRDefault="003772D6" w:rsidP="003772D6">
    <w:pPr>
      <w:jc w:val="both"/>
      <w:rPr>
        <w:rFonts w:eastAsia="Times New Roman" w:cs="Times New Roman"/>
        <w:bCs/>
        <w:sz w:val="20"/>
        <w:szCs w:val="20"/>
        <w:lang w:eastAsia="lv-LV"/>
      </w:rPr>
    </w:pPr>
    <w:r w:rsidRPr="003772D6">
      <w:rPr>
        <w:rFonts w:eastAsia="Times New Roman" w:cs="Times New Roman"/>
        <w:bCs/>
        <w:sz w:val="20"/>
        <w:szCs w:val="20"/>
        <w:lang w:eastAsia="lv-LV"/>
      </w:rPr>
      <w:fldChar w:fldCharType="begin"/>
    </w:r>
    <w:r w:rsidRPr="003772D6">
      <w:rPr>
        <w:rFonts w:eastAsia="Times New Roman" w:cs="Times New Roman"/>
        <w:bCs/>
        <w:sz w:val="20"/>
        <w:szCs w:val="20"/>
        <w:lang w:eastAsia="lv-LV"/>
      </w:rPr>
      <w:instrText xml:space="preserve"> FILENAME   \* MERGEFORMAT </w:instrText>
    </w:r>
    <w:r w:rsidRPr="003772D6">
      <w:rPr>
        <w:rFonts w:eastAsia="Times New Roman" w:cs="Times New Roman"/>
        <w:bCs/>
        <w:sz w:val="20"/>
        <w:szCs w:val="20"/>
        <w:lang w:eastAsia="lv-LV"/>
      </w:rPr>
      <w:fldChar w:fldCharType="separate"/>
    </w:r>
    <w:r w:rsidR="004A0CD8">
      <w:rPr>
        <w:rFonts w:eastAsia="Times New Roman" w:cs="Times New Roman"/>
        <w:bCs/>
        <w:noProof/>
        <w:sz w:val="20"/>
        <w:szCs w:val="20"/>
        <w:lang w:eastAsia="lv-LV"/>
      </w:rPr>
      <w:t>FMnot_101215_MK899.docx</w:t>
    </w:r>
    <w:r w:rsidRPr="003772D6">
      <w:rPr>
        <w:rFonts w:eastAsia="Times New Roman" w:cs="Times New Roman"/>
        <w:bCs/>
        <w:sz w:val="20"/>
        <w:szCs w:val="20"/>
        <w:lang w:eastAsia="lv-LV"/>
      </w:rPr>
      <w:fldChar w:fldCharType="end"/>
    </w:r>
    <w:r w:rsidRPr="003772D6">
      <w:rPr>
        <w:rFonts w:eastAsia="Times New Roman" w:cs="Times New Roman"/>
        <w:bCs/>
        <w:sz w:val="20"/>
        <w:szCs w:val="20"/>
        <w:lang w:eastAsia="lv-LV"/>
      </w:rPr>
      <w:t>; Ministru kabineta noteikumu projekt</w:t>
    </w:r>
    <w:r>
      <w:rPr>
        <w:rFonts w:eastAsia="Times New Roman" w:cs="Times New Roman"/>
        <w:bCs/>
        <w:sz w:val="20"/>
        <w:szCs w:val="20"/>
        <w:lang w:eastAsia="lv-LV"/>
      </w:rPr>
      <w:t>s</w:t>
    </w:r>
    <w:r w:rsidRPr="003772D6">
      <w:rPr>
        <w:rFonts w:eastAsia="Times New Roman" w:cs="Times New Roman"/>
        <w:bCs/>
        <w:sz w:val="20"/>
        <w:szCs w:val="20"/>
        <w:lang w:eastAsia="lv-LV"/>
      </w:rPr>
      <w:t xml:space="preserve"> „Grozījumi Ministru kabineta 2010.gada 21.septembra noteikumos Nr.899 „Likuma „Par iedzīvotāju ienākuma nodokli” normu piemērošanas kārtība””</w:t>
    </w:r>
  </w:p>
  <w:p w:rsidR="003772D6" w:rsidRDefault="00377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D6" w:rsidRPr="003772D6" w:rsidRDefault="003772D6" w:rsidP="003772D6">
    <w:pPr>
      <w:jc w:val="both"/>
      <w:rPr>
        <w:rFonts w:eastAsia="Times New Roman" w:cs="Times New Roman"/>
        <w:bCs/>
        <w:sz w:val="20"/>
        <w:szCs w:val="20"/>
        <w:lang w:eastAsia="lv-LV"/>
      </w:rPr>
    </w:pPr>
    <w:r w:rsidRPr="003772D6">
      <w:rPr>
        <w:rFonts w:eastAsia="Times New Roman" w:cs="Times New Roman"/>
        <w:bCs/>
        <w:sz w:val="20"/>
        <w:szCs w:val="20"/>
        <w:lang w:eastAsia="lv-LV"/>
      </w:rPr>
      <w:fldChar w:fldCharType="begin"/>
    </w:r>
    <w:r w:rsidRPr="003772D6">
      <w:rPr>
        <w:rFonts w:eastAsia="Times New Roman" w:cs="Times New Roman"/>
        <w:bCs/>
        <w:sz w:val="20"/>
        <w:szCs w:val="20"/>
        <w:lang w:eastAsia="lv-LV"/>
      </w:rPr>
      <w:instrText xml:space="preserve"> FILENAME   \* MERGEFORMAT </w:instrText>
    </w:r>
    <w:r w:rsidRPr="003772D6">
      <w:rPr>
        <w:rFonts w:eastAsia="Times New Roman" w:cs="Times New Roman"/>
        <w:bCs/>
        <w:sz w:val="20"/>
        <w:szCs w:val="20"/>
        <w:lang w:eastAsia="lv-LV"/>
      </w:rPr>
      <w:fldChar w:fldCharType="separate"/>
    </w:r>
    <w:r w:rsidR="004A0CD8">
      <w:rPr>
        <w:rFonts w:eastAsia="Times New Roman" w:cs="Times New Roman"/>
        <w:bCs/>
        <w:noProof/>
        <w:sz w:val="20"/>
        <w:szCs w:val="20"/>
        <w:lang w:eastAsia="lv-LV"/>
      </w:rPr>
      <w:t>FMnot_101215_MK899.docx</w:t>
    </w:r>
    <w:r w:rsidRPr="003772D6">
      <w:rPr>
        <w:rFonts w:eastAsia="Times New Roman" w:cs="Times New Roman"/>
        <w:bCs/>
        <w:sz w:val="20"/>
        <w:szCs w:val="20"/>
        <w:lang w:eastAsia="lv-LV"/>
      </w:rPr>
      <w:fldChar w:fldCharType="end"/>
    </w:r>
    <w:r w:rsidRPr="003772D6">
      <w:rPr>
        <w:rFonts w:eastAsia="Times New Roman" w:cs="Times New Roman"/>
        <w:bCs/>
        <w:sz w:val="20"/>
        <w:szCs w:val="20"/>
        <w:lang w:eastAsia="lv-LV"/>
      </w:rPr>
      <w:t>; Ministru kabineta noteikumu projekt</w:t>
    </w:r>
    <w:r>
      <w:rPr>
        <w:rFonts w:eastAsia="Times New Roman" w:cs="Times New Roman"/>
        <w:bCs/>
        <w:sz w:val="20"/>
        <w:szCs w:val="20"/>
        <w:lang w:eastAsia="lv-LV"/>
      </w:rPr>
      <w:t>s</w:t>
    </w:r>
    <w:r w:rsidRPr="003772D6">
      <w:rPr>
        <w:rFonts w:eastAsia="Times New Roman" w:cs="Times New Roman"/>
        <w:bCs/>
        <w:sz w:val="20"/>
        <w:szCs w:val="20"/>
        <w:lang w:eastAsia="lv-LV"/>
      </w:rPr>
      <w:t xml:space="preserve"> „Grozījumi Ministru kabineta 2010.gada 21.septembra noteikumos Nr.899 „Likuma „Par iedzīvotāju ienākuma nodokli” normu piemērošanas kārtība””</w:t>
    </w:r>
  </w:p>
  <w:p w:rsidR="003772D6" w:rsidRDefault="00377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FB" w:rsidRDefault="00B306FB" w:rsidP="00140F4C">
      <w:r>
        <w:separator/>
      </w:r>
    </w:p>
  </w:footnote>
  <w:footnote w:type="continuationSeparator" w:id="0">
    <w:p w:rsidR="00B306FB" w:rsidRDefault="00B306FB" w:rsidP="0014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197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0F4C" w:rsidRDefault="00140F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F4C" w:rsidRDefault="00140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765D"/>
    <w:multiLevelType w:val="hybridMultilevel"/>
    <w:tmpl w:val="DFE4AFB8"/>
    <w:lvl w:ilvl="0" w:tplc="3DF8B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35809"/>
    <w:multiLevelType w:val="hybridMultilevel"/>
    <w:tmpl w:val="387C48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557A"/>
    <w:multiLevelType w:val="hybridMultilevel"/>
    <w:tmpl w:val="A7BA2C22"/>
    <w:lvl w:ilvl="0" w:tplc="02E2D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93499"/>
    <w:multiLevelType w:val="hybridMultilevel"/>
    <w:tmpl w:val="CFB01FE2"/>
    <w:lvl w:ilvl="0" w:tplc="146CE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6E55"/>
    <w:multiLevelType w:val="multilevel"/>
    <w:tmpl w:val="52E0E0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23908D2"/>
    <w:multiLevelType w:val="hybridMultilevel"/>
    <w:tmpl w:val="A7BA2C22"/>
    <w:lvl w:ilvl="0" w:tplc="02E2D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574C7"/>
    <w:multiLevelType w:val="hybridMultilevel"/>
    <w:tmpl w:val="77A45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33AC9"/>
    <w:multiLevelType w:val="hybridMultilevel"/>
    <w:tmpl w:val="3528A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F653A"/>
    <w:multiLevelType w:val="hybridMultilevel"/>
    <w:tmpl w:val="D240674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8"/>
    <w:rsid w:val="00016C3A"/>
    <w:rsid w:val="0002791F"/>
    <w:rsid w:val="000336D8"/>
    <w:rsid w:val="00050863"/>
    <w:rsid w:val="00061248"/>
    <w:rsid w:val="00065D8E"/>
    <w:rsid w:val="000C536E"/>
    <w:rsid w:val="000C7787"/>
    <w:rsid w:val="000D62A9"/>
    <w:rsid w:val="000D7F50"/>
    <w:rsid w:val="00100BE6"/>
    <w:rsid w:val="001018BF"/>
    <w:rsid w:val="00140F4C"/>
    <w:rsid w:val="001659BE"/>
    <w:rsid w:val="001870DF"/>
    <w:rsid w:val="001B42BD"/>
    <w:rsid w:val="001E3146"/>
    <w:rsid w:val="0021769D"/>
    <w:rsid w:val="00234827"/>
    <w:rsid w:val="002609CD"/>
    <w:rsid w:val="00271A1E"/>
    <w:rsid w:val="00280935"/>
    <w:rsid w:val="002B005A"/>
    <w:rsid w:val="002B6F4A"/>
    <w:rsid w:val="002F3210"/>
    <w:rsid w:val="00315605"/>
    <w:rsid w:val="0033312F"/>
    <w:rsid w:val="0034597B"/>
    <w:rsid w:val="003772D6"/>
    <w:rsid w:val="003A04AF"/>
    <w:rsid w:val="003D611C"/>
    <w:rsid w:val="003E09EF"/>
    <w:rsid w:val="003E0FA2"/>
    <w:rsid w:val="003E7EEF"/>
    <w:rsid w:val="00451080"/>
    <w:rsid w:val="0045380D"/>
    <w:rsid w:val="00463FFB"/>
    <w:rsid w:val="00496D45"/>
    <w:rsid w:val="00497B7A"/>
    <w:rsid w:val="004A0CD8"/>
    <w:rsid w:val="004C1F72"/>
    <w:rsid w:val="00583C77"/>
    <w:rsid w:val="005B6E01"/>
    <w:rsid w:val="005D1A71"/>
    <w:rsid w:val="005D613D"/>
    <w:rsid w:val="00637EBB"/>
    <w:rsid w:val="006627B7"/>
    <w:rsid w:val="006631D1"/>
    <w:rsid w:val="0066413F"/>
    <w:rsid w:val="00697336"/>
    <w:rsid w:val="006F66D2"/>
    <w:rsid w:val="00704A51"/>
    <w:rsid w:val="00706342"/>
    <w:rsid w:val="00731D79"/>
    <w:rsid w:val="00737EFA"/>
    <w:rsid w:val="007474D2"/>
    <w:rsid w:val="00781AB4"/>
    <w:rsid w:val="00784764"/>
    <w:rsid w:val="008133DA"/>
    <w:rsid w:val="008168E1"/>
    <w:rsid w:val="00836D06"/>
    <w:rsid w:val="00836F7E"/>
    <w:rsid w:val="008525B5"/>
    <w:rsid w:val="00857EFE"/>
    <w:rsid w:val="008D6165"/>
    <w:rsid w:val="008E1CA6"/>
    <w:rsid w:val="008F2F7C"/>
    <w:rsid w:val="00904B0A"/>
    <w:rsid w:val="00923358"/>
    <w:rsid w:val="009538C2"/>
    <w:rsid w:val="00955A2B"/>
    <w:rsid w:val="00966E4A"/>
    <w:rsid w:val="0097107F"/>
    <w:rsid w:val="009D10D7"/>
    <w:rsid w:val="00A22602"/>
    <w:rsid w:val="00A2435E"/>
    <w:rsid w:val="00A41BAF"/>
    <w:rsid w:val="00A41C57"/>
    <w:rsid w:val="00A44B0B"/>
    <w:rsid w:val="00A641ED"/>
    <w:rsid w:val="00A6519B"/>
    <w:rsid w:val="00AC0627"/>
    <w:rsid w:val="00B01F9C"/>
    <w:rsid w:val="00B306FB"/>
    <w:rsid w:val="00B773B5"/>
    <w:rsid w:val="00B81ED0"/>
    <w:rsid w:val="00BB42C6"/>
    <w:rsid w:val="00BC6014"/>
    <w:rsid w:val="00BC7405"/>
    <w:rsid w:val="00C138F8"/>
    <w:rsid w:val="00C7564A"/>
    <w:rsid w:val="00C9178A"/>
    <w:rsid w:val="00CA2483"/>
    <w:rsid w:val="00CB500F"/>
    <w:rsid w:val="00CF2F25"/>
    <w:rsid w:val="00D1520B"/>
    <w:rsid w:val="00D66112"/>
    <w:rsid w:val="00D71B8D"/>
    <w:rsid w:val="00DC16C2"/>
    <w:rsid w:val="00E013D9"/>
    <w:rsid w:val="00E11C53"/>
    <w:rsid w:val="00E22C9A"/>
    <w:rsid w:val="00E32DEF"/>
    <w:rsid w:val="00E43837"/>
    <w:rsid w:val="00E45ABB"/>
    <w:rsid w:val="00E54319"/>
    <w:rsid w:val="00E6622F"/>
    <w:rsid w:val="00E6775A"/>
    <w:rsid w:val="00E85BE0"/>
    <w:rsid w:val="00EA013F"/>
    <w:rsid w:val="00F03437"/>
    <w:rsid w:val="00F477C9"/>
    <w:rsid w:val="00FA3125"/>
    <w:rsid w:val="00FB6BE8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5E479-E618-4FD4-B4E9-A744AD3D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1E"/>
    <w:rPr>
      <w:rFonts w:ascii="Tahoma" w:hAnsi="Tahoma" w:cs="Tahoma"/>
      <w:sz w:val="16"/>
      <w:szCs w:val="16"/>
    </w:rPr>
  </w:style>
  <w:style w:type="character" w:styleId="Hyperlink">
    <w:name w:val="Hyperlink"/>
    <w:rsid w:val="00E677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77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6775A"/>
    <w:pPr>
      <w:spacing w:line="259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F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4C"/>
  </w:style>
  <w:style w:type="paragraph" w:styleId="Footer">
    <w:name w:val="footer"/>
    <w:basedOn w:val="Normal"/>
    <w:link w:val="FooterChar"/>
    <w:uiPriority w:val="99"/>
    <w:unhideWhenUsed/>
    <w:rsid w:val="00140F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75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Ozolin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F370-D01B-4450-96D6-7851AF75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3220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21.septembranoteikumos Nr.899 “Likuma “Par iedzīvotāju ienākuma nodokli” normu piemērošanas kārtība”</vt:lpstr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21.septembranoteikumos Nr.899 “Likuma “Par iedzīvotāju ienākuma nodokli” normu piemērošanas kārtība”</dc:title>
  <dc:subject>MK noteikumu projekts</dc:subject>
  <dc:creator>Agrita Ozoliņa</dc:creator>
  <cp:keywords/>
  <dc:description>A.Ozoliņa, 67095493
Agrita.Ozolina@fm.gov.lv</dc:description>
  <cp:lastModifiedBy>Agrita Ozoliņa</cp:lastModifiedBy>
  <cp:revision>5</cp:revision>
  <cp:lastPrinted>2015-11-25T08:48:00Z</cp:lastPrinted>
  <dcterms:created xsi:type="dcterms:W3CDTF">2015-12-11T09:00:00Z</dcterms:created>
  <dcterms:modified xsi:type="dcterms:W3CDTF">2015-12-11T09:04:00Z</dcterms:modified>
</cp:coreProperties>
</file>