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E2" w:rsidRPr="000852E1" w:rsidRDefault="007427CD" w:rsidP="006F293E">
      <w:pPr>
        <w:pStyle w:val="NormalWeb"/>
        <w:spacing w:before="0" w:beforeAutospacing="0" w:after="0" w:afterAutospacing="0"/>
        <w:jc w:val="center"/>
        <w:rPr>
          <w:b/>
          <w:bCs/>
        </w:rPr>
      </w:pPr>
      <w:r w:rsidRPr="000852E1">
        <w:rPr>
          <w:b/>
          <w:bCs/>
        </w:rPr>
        <w:t>M</w:t>
      </w:r>
      <w:r w:rsidR="008C239A" w:rsidRPr="000852E1">
        <w:rPr>
          <w:b/>
          <w:bCs/>
        </w:rPr>
        <w:t xml:space="preserve">inistru kabineta noteikumu </w:t>
      </w:r>
      <w:r w:rsidR="005128C9" w:rsidRPr="000852E1">
        <w:rPr>
          <w:b/>
          <w:bCs/>
        </w:rPr>
        <w:t xml:space="preserve">projekta </w:t>
      </w:r>
    </w:p>
    <w:p w:rsidR="007F6B1C" w:rsidRPr="000852E1" w:rsidRDefault="0027057E" w:rsidP="006F293E">
      <w:pPr>
        <w:pStyle w:val="NormalWeb"/>
        <w:spacing w:before="0" w:beforeAutospacing="0" w:after="0" w:afterAutospacing="0"/>
        <w:jc w:val="center"/>
        <w:rPr>
          <w:b/>
          <w:bCs/>
        </w:rPr>
      </w:pPr>
      <w:r w:rsidRPr="000852E1">
        <w:rPr>
          <w:b/>
          <w:bCs/>
        </w:rPr>
        <w:t>„Grozījums</w:t>
      </w:r>
      <w:r w:rsidR="00070476" w:rsidRPr="000852E1">
        <w:rPr>
          <w:b/>
          <w:bCs/>
        </w:rPr>
        <w:t xml:space="preserve"> Ministru kabineta 2014.gada 22.jūlija noteikumos Nr.423 </w:t>
      </w:r>
      <w:r w:rsidR="005128C9" w:rsidRPr="000852E1">
        <w:rPr>
          <w:b/>
          <w:bCs/>
        </w:rPr>
        <w:t>„</w:t>
      </w:r>
      <w:r w:rsidR="008C239A" w:rsidRPr="000852E1">
        <w:rPr>
          <w:b/>
          <w:bCs/>
        </w:rPr>
        <w:t>Nodrošinājuma valsts aģentūras maksas pakalpojumu cenrādis</w:t>
      </w:r>
      <w:r w:rsidR="005128C9" w:rsidRPr="000852E1">
        <w:rPr>
          <w:b/>
          <w:bCs/>
        </w:rPr>
        <w:t>”</w:t>
      </w:r>
      <w:r w:rsidR="00070476" w:rsidRPr="000852E1">
        <w:rPr>
          <w:b/>
          <w:bCs/>
        </w:rPr>
        <w:t>”</w:t>
      </w:r>
      <w:r w:rsidR="005128C9" w:rsidRPr="000852E1">
        <w:rPr>
          <w:b/>
          <w:bCs/>
        </w:rPr>
        <w:t xml:space="preserve"> sākotnējās ietekmes novērtējuma </w:t>
      </w:r>
      <w:smartTag w:uri="schemas-tilde-lv/tildestengine" w:element="veidnes">
        <w:smartTagPr>
          <w:attr w:name="id" w:val="-1"/>
          <w:attr w:name="baseform" w:val="ziņojums"/>
          <w:attr w:name="text" w:val="ziņojums"/>
        </w:smartTagPr>
        <w:r w:rsidR="005128C9" w:rsidRPr="000852E1">
          <w:rPr>
            <w:b/>
            <w:bCs/>
          </w:rPr>
          <w:t>ziņojums</w:t>
        </w:r>
      </w:smartTag>
      <w:r w:rsidR="005128C9" w:rsidRPr="000852E1">
        <w:rPr>
          <w:b/>
          <w:bCs/>
        </w:rPr>
        <w:t xml:space="preserve"> (anotācija)</w:t>
      </w:r>
    </w:p>
    <w:p w:rsidR="00A718F7" w:rsidRPr="000852E1" w:rsidRDefault="00A718F7" w:rsidP="006F293E">
      <w:pPr>
        <w:pStyle w:val="NormalWeb"/>
        <w:spacing w:before="0" w:beforeAutospacing="0" w:after="0" w:afterAutospacing="0"/>
        <w:jc w:val="center"/>
        <w:rPr>
          <w:b/>
          <w:bCs/>
        </w:rPr>
      </w:pPr>
    </w:p>
    <w:p w:rsidR="00BE2B47" w:rsidRPr="000852E1" w:rsidRDefault="00BE2B47" w:rsidP="008B3A62">
      <w:pPr>
        <w:pStyle w:val="NormalWeb"/>
        <w:spacing w:before="0" w:beforeAutospacing="0" w:after="0" w:afterAutospacing="0"/>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0852E1" w:rsidTr="00E919D3">
        <w:trPr>
          <w:trHeight w:val="419"/>
        </w:trPr>
        <w:tc>
          <w:tcPr>
            <w:tcW w:w="5000" w:type="pct"/>
            <w:gridSpan w:val="3"/>
            <w:vAlign w:val="center"/>
          </w:tcPr>
          <w:p w:rsidR="007F6B1C" w:rsidRPr="000852E1" w:rsidRDefault="007F6B1C" w:rsidP="00516115">
            <w:pPr>
              <w:pStyle w:val="naisnod"/>
              <w:spacing w:before="0" w:beforeAutospacing="0" w:after="0" w:afterAutospacing="0"/>
              <w:ind w:left="57" w:right="57"/>
              <w:jc w:val="center"/>
              <w:rPr>
                <w:b/>
              </w:rPr>
            </w:pPr>
            <w:r w:rsidRPr="000852E1">
              <w:rPr>
                <w:b/>
              </w:rPr>
              <w:t>I. Tiesību akta projekta izstrādes nepieciešamība</w:t>
            </w:r>
          </w:p>
        </w:tc>
      </w:tr>
      <w:tr w:rsidR="000F5EDB" w:rsidRPr="000852E1" w:rsidTr="00E919D3">
        <w:trPr>
          <w:trHeight w:val="415"/>
        </w:trPr>
        <w:tc>
          <w:tcPr>
            <w:tcW w:w="227" w:type="pct"/>
          </w:tcPr>
          <w:p w:rsidR="007F6B1C" w:rsidRPr="000852E1" w:rsidRDefault="007F6B1C" w:rsidP="00516115">
            <w:pPr>
              <w:pStyle w:val="naiskr"/>
              <w:spacing w:before="0" w:beforeAutospacing="0" w:after="0" w:afterAutospacing="0"/>
              <w:ind w:left="57" w:right="57"/>
              <w:jc w:val="center"/>
            </w:pPr>
            <w:r w:rsidRPr="000852E1">
              <w:t>1.</w:t>
            </w:r>
          </w:p>
        </w:tc>
        <w:tc>
          <w:tcPr>
            <w:tcW w:w="1565" w:type="pct"/>
          </w:tcPr>
          <w:p w:rsidR="007F6B1C" w:rsidRPr="000852E1" w:rsidRDefault="007F6B1C" w:rsidP="00516115">
            <w:pPr>
              <w:pStyle w:val="naiskr"/>
              <w:spacing w:before="0" w:beforeAutospacing="0" w:after="0" w:afterAutospacing="0"/>
              <w:ind w:left="57" w:right="57"/>
            </w:pPr>
            <w:r w:rsidRPr="000852E1">
              <w:t>Pamatojums</w:t>
            </w:r>
          </w:p>
        </w:tc>
        <w:tc>
          <w:tcPr>
            <w:tcW w:w="3208" w:type="pct"/>
          </w:tcPr>
          <w:p w:rsidR="00D7749B" w:rsidRPr="000852E1" w:rsidRDefault="00D7749B" w:rsidP="00D7749B">
            <w:pPr>
              <w:pStyle w:val="Heading3"/>
              <w:shd w:val="clear" w:color="auto" w:fill="FFFFFF"/>
              <w:spacing w:before="0" w:beforeAutospacing="0" w:after="0" w:afterAutospacing="0"/>
              <w:ind w:right="57"/>
              <w:jc w:val="both"/>
              <w:rPr>
                <w:b w:val="0"/>
                <w:sz w:val="24"/>
                <w:szCs w:val="24"/>
              </w:rPr>
            </w:pPr>
            <w:r w:rsidRPr="000852E1">
              <w:rPr>
                <w:b w:val="0"/>
                <w:sz w:val="24"/>
                <w:szCs w:val="24"/>
              </w:rPr>
              <w:t xml:space="preserve">           Likuma par budžetu un finanšu vadību 5.panta devītā daļa un 5.panta 12</w:t>
            </w:r>
            <w:r w:rsidRPr="000852E1">
              <w:rPr>
                <w:b w:val="0"/>
                <w:sz w:val="24"/>
                <w:szCs w:val="24"/>
                <w:vertAlign w:val="superscript"/>
              </w:rPr>
              <w:t>1</w:t>
            </w:r>
            <w:r w:rsidRPr="000852E1">
              <w:rPr>
                <w:b w:val="0"/>
                <w:sz w:val="24"/>
                <w:szCs w:val="24"/>
              </w:rPr>
              <w:t>daļa</w:t>
            </w:r>
            <w:r w:rsidR="00A7403A" w:rsidRPr="000852E1">
              <w:rPr>
                <w:b w:val="0"/>
                <w:sz w:val="24"/>
                <w:szCs w:val="24"/>
              </w:rPr>
              <w:t>.</w:t>
            </w:r>
            <w:r w:rsidRPr="000852E1">
              <w:rPr>
                <w:b w:val="0"/>
                <w:sz w:val="24"/>
                <w:szCs w:val="24"/>
              </w:rPr>
              <w:t xml:space="preserve"> </w:t>
            </w:r>
          </w:p>
          <w:p w:rsidR="00D7749B" w:rsidRPr="000852E1" w:rsidRDefault="00D7749B" w:rsidP="00D7749B">
            <w:pPr>
              <w:pStyle w:val="Heading3"/>
              <w:shd w:val="clear" w:color="auto" w:fill="FFFFFF"/>
              <w:spacing w:before="0" w:beforeAutospacing="0" w:after="0" w:afterAutospacing="0"/>
              <w:ind w:right="57"/>
              <w:jc w:val="both"/>
              <w:rPr>
                <w:b w:val="0"/>
                <w:sz w:val="24"/>
                <w:szCs w:val="24"/>
              </w:rPr>
            </w:pPr>
            <w:r w:rsidRPr="000852E1">
              <w:rPr>
                <w:b w:val="0"/>
                <w:sz w:val="24"/>
                <w:szCs w:val="24"/>
              </w:rPr>
              <w:t xml:space="preserve">           </w:t>
            </w:r>
            <w:r w:rsidR="006C73B6" w:rsidRPr="000852E1">
              <w:rPr>
                <w:b w:val="0"/>
                <w:sz w:val="24"/>
                <w:szCs w:val="24"/>
              </w:rPr>
              <w:t>Ministru kabineta 2011.gada 3.maija noteikumi Nr.333 „Kārtība, kādā plānojami un uzskaitāmi ieņēmumi no maksas pak</w:t>
            </w:r>
            <w:bookmarkStart w:id="0" w:name="_GoBack"/>
            <w:bookmarkEnd w:id="0"/>
            <w:r w:rsidR="006C73B6" w:rsidRPr="000852E1">
              <w:rPr>
                <w:b w:val="0"/>
                <w:sz w:val="24"/>
                <w:szCs w:val="24"/>
              </w:rPr>
              <w:t>alpojumiem un ar šo pakalpojumu sniegšanu saistītie izdevumi, kā arī maksas pakalpojumu izcenojumu noteikšanas metodika un izcenojumu apstiprināšanas kārtība”</w:t>
            </w:r>
            <w:r w:rsidR="00A7403A" w:rsidRPr="000852E1">
              <w:rPr>
                <w:b w:val="0"/>
                <w:sz w:val="24"/>
                <w:szCs w:val="24"/>
              </w:rPr>
              <w:t>.</w:t>
            </w:r>
          </w:p>
          <w:p w:rsidR="00D7749B" w:rsidRPr="000852E1" w:rsidRDefault="00D7749B" w:rsidP="00D7749B">
            <w:pPr>
              <w:pStyle w:val="Heading3"/>
              <w:shd w:val="clear" w:color="auto" w:fill="FFFFFF"/>
              <w:spacing w:before="0" w:beforeAutospacing="0" w:after="0" w:afterAutospacing="0"/>
              <w:ind w:right="57"/>
              <w:jc w:val="both"/>
              <w:rPr>
                <w:b w:val="0"/>
                <w:sz w:val="24"/>
                <w:szCs w:val="24"/>
              </w:rPr>
            </w:pPr>
            <w:r w:rsidRPr="000852E1">
              <w:rPr>
                <w:b w:val="0"/>
                <w:sz w:val="24"/>
                <w:szCs w:val="24"/>
              </w:rPr>
              <w:t xml:space="preserve">          </w:t>
            </w:r>
            <w:r w:rsidR="0005385E" w:rsidRPr="000852E1">
              <w:rPr>
                <w:b w:val="0"/>
                <w:sz w:val="24"/>
                <w:szCs w:val="24"/>
              </w:rPr>
              <w:t xml:space="preserve"> Ministru kabineta 2006.gada 9.maija rīkojums Nr.319 „Par Valsts nekustamā īpašuma vienotas pārvaldīšanas un apsaimniekošanas koncepciju”</w:t>
            </w:r>
            <w:r w:rsidR="00A7403A" w:rsidRPr="000852E1">
              <w:rPr>
                <w:b w:val="0"/>
                <w:sz w:val="24"/>
                <w:szCs w:val="24"/>
              </w:rPr>
              <w:t>.</w:t>
            </w:r>
          </w:p>
          <w:p w:rsidR="00096ACC" w:rsidRPr="000852E1" w:rsidRDefault="00D7749B" w:rsidP="00D7749B">
            <w:pPr>
              <w:pStyle w:val="Heading3"/>
              <w:shd w:val="clear" w:color="auto" w:fill="FFFFFF"/>
              <w:spacing w:before="0" w:beforeAutospacing="0" w:after="0" w:afterAutospacing="0"/>
              <w:ind w:right="57"/>
              <w:jc w:val="both"/>
              <w:rPr>
                <w:b w:val="0"/>
                <w:sz w:val="24"/>
                <w:szCs w:val="24"/>
              </w:rPr>
            </w:pPr>
            <w:r w:rsidRPr="000852E1">
              <w:rPr>
                <w:b w:val="0"/>
                <w:sz w:val="24"/>
                <w:szCs w:val="24"/>
              </w:rPr>
              <w:t xml:space="preserve">          </w:t>
            </w:r>
            <w:r w:rsidR="0005385E" w:rsidRPr="000852E1">
              <w:rPr>
                <w:b w:val="0"/>
                <w:sz w:val="24"/>
                <w:szCs w:val="24"/>
              </w:rPr>
              <w:t xml:space="preserve"> Iekšlietu ministrijas 2011.gada 19.decembra rīkojums Nr.2248 „Par nekustamo īpašumu pārvaldīšanas centralizāciju”.</w:t>
            </w:r>
          </w:p>
          <w:p w:rsidR="00F766DD" w:rsidRPr="000852E1" w:rsidRDefault="00F766DD" w:rsidP="00D7749B">
            <w:pPr>
              <w:pStyle w:val="Heading3"/>
              <w:shd w:val="clear" w:color="auto" w:fill="FFFFFF"/>
              <w:spacing w:before="0" w:beforeAutospacing="0" w:after="0" w:afterAutospacing="0"/>
              <w:ind w:right="57"/>
              <w:jc w:val="both"/>
              <w:rPr>
                <w:b w:val="0"/>
                <w:i/>
                <w:color w:val="FF0000"/>
                <w:sz w:val="24"/>
                <w:szCs w:val="24"/>
                <w:shd w:val="clear" w:color="auto" w:fill="FFFFFF"/>
              </w:rPr>
            </w:pPr>
            <w:r w:rsidRPr="000852E1">
              <w:rPr>
                <w:b w:val="0"/>
                <w:sz w:val="24"/>
                <w:szCs w:val="24"/>
              </w:rPr>
              <w:t xml:space="preserve">           Jūrmalas pilsētas domes 2014.gada 15.maija lēmums Nr.231 „Par zemes vienības sadales apstiprināšanu Piestātnes ielā 6/14, Jūrmalā un adreses piešķiršanu” un 2014.gada 21.novembra </w:t>
            </w:r>
            <w:r w:rsidR="00D112E4" w:rsidRPr="000852E1">
              <w:rPr>
                <w:b w:val="0"/>
                <w:sz w:val="24"/>
                <w:szCs w:val="24"/>
              </w:rPr>
              <w:t>Zemesgrāmatu apliecība</w:t>
            </w:r>
            <w:r w:rsidR="0092749F" w:rsidRPr="000852E1">
              <w:rPr>
                <w:b w:val="0"/>
                <w:sz w:val="24"/>
                <w:szCs w:val="24"/>
              </w:rPr>
              <w:t>s informācija</w:t>
            </w:r>
            <w:r w:rsidR="00D112E4" w:rsidRPr="000852E1">
              <w:rPr>
                <w:b w:val="0"/>
                <w:sz w:val="24"/>
                <w:szCs w:val="24"/>
              </w:rPr>
              <w:t xml:space="preserve"> (žurnāla Nr.300003751761).</w:t>
            </w:r>
          </w:p>
        </w:tc>
      </w:tr>
      <w:tr w:rsidR="000F5EDB" w:rsidRPr="000852E1" w:rsidTr="00E919D3">
        <w:trPr>
          <w:trHeight w:val="472"/>
        </w:trPr>
        <w:tc>
          <w:tcPr>
            <w:tcW w:w="227" w:type="pct"/>
          </w:tcPr>
          <w:p w:rsidR="007F6B1C" w:rsidRPr="000852E1" w:rsidRDefault="007F6B1C" w:rsidP="00516115">
            <w:pPr>
              <w:pStyle w:val="naiskr"/>
              <w:spacing w:before="0" w:beforeAutospacing="0" w:after="0" w:afterAutospacing="0"/>
              <w:ind w:left="57" w:right="57"/>
              <w:jc w:val="center"/>
            </w:pPr>
            <w:r w:rsidRPr="000852E1">
              <w:t>2.</w:t>
            </w:r>
          </w:p>
        </w:tc>
        <w:tc>
          <w:tcPr>
            <w:tcW w:w="1565" w:type="pct"/>
          </w:tcPr>
          <w:p w:rsidR="007F6B1C" w:rsidRPr="000852E1" w:rsidRDefault="007F6B1C" w:rsidP="00516115">
            <w:pPr>
              <w:pStyle w:val="naiskr"/>
              <w:tabs>
                <w:tab w:val="left" w:pos="170"/>
              </w:tabs>
              <w:spacing w:before="0" w:beforeAutospacing="0" w:after="0" w:afterAutospacing="0"/>
              <w:ind w:left="57" w:right="57"/>
            </w:pPr>
            <w:r w:rsidRPr="000852E1">
              <w:t>Pašreizējā situācija un problēmas, kuru risināšanai tiesību akta projekts izstrādāts, tiesiskā regulējuma mērķis un būtība</w:t>
            </w:r>
          </w:p>
        </w:tc>
        <w:tc>
          <w:tcPr>
            <w:tcW w:w="3208" w:type="pct"/>
          </w:tcPr>
          <w:p w:rsidR="006C73B6" w:rsidRPr="000852E1" w:rsidRDefault="006C73B6" w:rsidP="00456365">
            <w:pPr>
              <w:spacing w:after="0" w:line="240" w:lineRule="auto"/>
              <w:ind w:firstLine="741"/>
              <w:jc w:val="both"/>
              <w:rPr>
                <w:rFonts w:ascii="Times New Roman" w:hAnsi="Times New Roman" w:cs="Times New Roman"/>
                <w:sz w:val="24"/>
                <w:szCs w:val="24"/>
              </w:rPr>
            </w:pPr>
            <w:r w:rsidRPr="000852E1">
              <w:rPr>
                <w:rFonts w:ascii="Times New Roman" w:hAnsi="Times New Roman" w:cs="Times New Roman"/>
                <w:sz w:val="24"/>
                <w:szCs w:val="24"/>
              </w:rPr>
              <w:t xml:space="preserve">Ministru kabineta noteikumu projekts </w:t>
            </w:r>
            <w:r w:rsidR="00070476" w:rsidRPr="000852E1">
              <w:rPr>
                <w:rFonts w:ascii="Times New Roman" w:hAnsi="Times New Roman" w:cs="Times New Roman"/>
                <w:sz w:val="24"/>
                <w:szCs w:val="24"/>
              </w:rPr>
              <w:t>„Grozījum</w:t>
            </w:r>
            <w:r w:rsidR="001F3E10" w:rsidRPr="000852E1">
              <w:rPr>
                <w:rFonts w:ascii="Times New Roman" w:hAnsi="Times New Roman" w:cs="Times New Roman"/>
                <w:sz w:val="24"/>
                <w:szCs w:val="24"/>
              </w:rPr>
              <w:t>s</w:t>
            </w:r>
            <w:r w:rsidR="00070476" w:rsidRPr="000852E1">
              <w:rPr>
                <w:rFonts w:ascii="Times New Roman" w:hAnsi="Times New Roman" w:cs="Times New Roman"/>
                <w:sz w:val="24"/>
                <w:szCs w:val="24"/>
              </w:rPr>
              <w:t xml:space="preserve"> Ministru kabineta 2014.gada 22.jūlija noteikumos Nr.423</w:t>
            </w:r>
            <w:r w:rsidR="001F3E10" w:rsidRPr="000852E1">
              <w:rPr>
                <w:rFonts w:ascii="Times New Roman" w:hAnsi="Times New Roman" w:cs="Times New Roman"/>
                <w:sz w:val="24"/>
                <w:szCs w:val="24"/>
              </w:rPr>
              <w:t xml:space="preserve"> </w:t>
            </w:r>
            <w:r w:rsidRPr="000852E1">
              <w:rPr>
                <w:rFonts w:ascii="Times New Roman" w:hAnsi="Times New Roman" w:cs="Times New Roman"/>
                <w:sz w:val="24"/>
                <w:szCs w:val="24"/>
              </w:rPr>
              <w:t>„Nodrošinājuma valsts aģentūras maksas pakalpojumu cenrādis”</w:t>
            </w:r>
            <w:r w:rsidR="00070476" w:rsidRPr="000852E1">
              <w:rPr>
                <w:rFonts w:ascii="Times New Roman" w:hAnsi="Times New Roman" w:cs="Times New Roman"/>
                <w:sz w:val="24"/>
                <w:szCs w:val="24"/>
              </w:rPr>
              <w:t>”</w:t>
            </w:r>
            <w:r w:rsidRPr="000852E1">
              <w:rPr>
                <w:rFonts w:ascii="Times New Roman" w:hAnsi="Times New Roman" w:cs="Times New Roman"/>
                <w:sz w:val="24"/>
                <w:szCs w:val="24"/>
              </w:rPr>
              <w:t xml:space="preserve"> (turpmāk - projekts) paredz aktualizēt Nodrošinājuma valsts aģentūras (turpmāk – Aģentūra) sniegto maksas pakalpojumu cenrādi.</w:t>
            </w:r>
          </w:p>
          <w:p w:rsidR="006C73B6" w:rsidRPr="000852E1" w:rsidRDefault="006C73B6" w:rsidP="00456365">
            <w:pPr>
              <w:spacing w:after="0" w:line="240" w:lineRule="auto"/>
              <w:ind w:firstLine="741"/>
              <w:jc w:val="both"/>
              <w:rPr>
                <w:rFonts w:ascii="Times New Roman" w:hAnsi="Times New Roman" w:cs="Times New Roman"/>
                <w:sz w:val="24"/>
                <w:szCs w:val="24"/>
              </w:rPr>
            </w:pPr>
            <w:r w:rsidRPr="000852E1">
              <w:rPr>
                <w:rFonts w:ascii="Times New Roman" w:hAnsi="Times New Roman" w:cs="Times New Roman"/>
                <w:sz w:val="24"/>
                <w:szCs w:val="24"/>
              </w:rPr>
              <w:t xml:space="preserve"> Saskaņā ar Ministru kabineta 2012.gada 11.decembra noteikumu Nr.839 „Nodrošinājuma valsts aģentūras nolikums” 5.3.apakšpunktu Aģentūra var sniegt publiskos maksas pakalpojumus citām valsts un pašvaldību institūcijām un privātpersonām.</w:t>
            </w:r>
          </w:p>
          <w:p w:rsidR="006C73B6" w:rsidRPr="000852E1" w:rsidRDefault="006C73B6" w:rsidP="00456365">
            <w:pPr>
              <w:spacing w:after="0" w:line="240" w:lineRule="auto"/>
              <w:ind w:firstLine="741"/>
              <w:jc w:val="both"/>
              <w:rPr>
                <w:rFonts w:ascii="Times New Roman" w:hAnsi="Times New Roman" w:cs="Times New Roman"/>
                <w:sz w:val="24"/>
                <w:szCs w:val="24"/>
              </w:rPr>
            </w:pPr>
            <w:r w:rsidRPr="000852E1">
              <w:rPr>
                <w:rFonts w:ascii="Times New Roman" w:hAnsi="Times New Roman" w:cs="Times New Roman"/>
                <w:sz w:val="24"/>
                <w:szCs w:val="24"/>
              </w:rPr>
              <w:t>Šobrīd Aģentūras sniegto maksas pakalpojumu cenrādi nosaka Ministru kabineta 20</w:t>
            </w:r>
            <w:r w:rsidR="0005385E" w:rsidRPr="000852E1">
              <w:rPr>
                <w:rFonts w:ascii="Times New Roman" w:hAnsi="Times New Roman" w:cs="Times New Roman"/>
                <w:sz w:val="24"/>
                <w:szCs w:val="24"/>
              </w:rPr>
              <w:t>1</w:t>
            </w:r>
            <w:r w:rsidR="002408AC" w:rsidRPr="000852E1">
              <w:rPr>
                <w:rFonts w:ascii="Times New Roman" w:hAnsi="Times New Roman" w:cs="Times New Roman"/>
                <w:sz w:val="24"/>
                <w:szCs w:val="24"/>
              </w:rPr>
              <w:t>4</w:t>
            </w:r>
            <w:r w:rsidRPr="000852E1">
              <w:rPr>
                <w:rFonts w:ascii="Times New Roman" w:hAnsi="Times New Roman" w:cs="Times New Roman"/>
                <w:sz w:val="24"/>
                <w:szCs w:val="24"/>
              </w:rPr>
              <w:t xml:space="preserve">.gada </w:t>
            </w:r>
            <w:r w:rsidR="002408AC" w:rsidRPr="000852E1">
              <w:rPr>
                <w:rFonts w:ascii="Times New Roman" w:hAnsi="Times New Roman" w:cs="Times New Roman"/>
                <w:sz w:val="24"/>
                <w:szCs w:val="24"/>
              </w:rPr>
              <w:t>22.jūlija</w:t>
            </w:r>
            <w:r w:rsidRPr="000852E1">
              <w:rPr>
                <w:rFonts w:ascii="Times New Roman" w:hAnsi="Times New Roman" w:cs="Times New Roman"/>
                <w:sz w:val="24"/>
                <w:szCs w:val="24"/>
              </w:rPr>
              <w:t xml:space="preserve"> noteikumi Nr.</w:t>
            </w:r>
            <w:r w:rsidR="002408AC" w:rsidRPr="000852E1">
              <w:rPr>
                <w:rFonts w:ascii="Times New Roman" w:hAnsi="Times New Roman" w:cs="Times New Roman"/>
                <w:sz w:val="24"/>
                <w:szCs w:val="24"/>
              </w:rPr>
              <w:t>423</w:t>
            </w:r>
            <w:r w:rsidRPr="000852E1">
              <w:rPr>
                <w:rFonts w:ascii="Times New Roman" w:hAnsi="Times New Roman" w:cs="Times New Roman"/>
                <w:sz w:val="24"/>
                <w:szCs w:val="24"/>
              </w:rPr>
              <w:t xml:space="preserve"> „Nodrošinājuma valsts aģentūras maksas pakalpojumu cenrādi</w:t>
            </w:r>
            <w:r w:rsidR="007638C2" w:rsidRPr="000852E1">
              <w:rPr>
                <w:rFonts w:ascii="Times New Roman" w:hAnsi="Times New Roman" w:cs="Times New Roman"/>
                <w:sz w:val="24"/>
                <w:szCs w:val="24"/>
              </w:rPr>
              <w:t>s</w:t>
            </w:r>
            <w:r w:rsidRPr="000852E1">
              <w:rPr>
                <w:rFonts w:ascii="Times New Roman" w:hAnsi="Times New Roman" w:cs="Times New Roman"/>
                <w:sz w:val="24"/>
                <w:szCs w:val="24"/>
              </w:rPr>
              <w:t>”.</w:t>
            </w:r>
          </w:p>
          <w:p w:rsidR="007638C2" w:rsidRPr="000852E1" w:rsidRDefault="007638C2" w:rsidP="007638C2">
            <w:pPr>
              <w:pStyle w:val="Heading3"/>
              <w:shd w:val="clear" w:color="auto" w:fill="FFFFFF"/>
              <w:spacing w:before="0" w:beforeAutospacing="0" w:after="0" w:afterAutospacing="0"/>
              <w:ind w:right="57" w:firstLine="813"/>
              <w:jc w:val="both"/>
              <w:rPr>
                <w:b w:val="0"/>
                <w:sz w:val="24"/>
                <w:szCs w:val="24"/>
              </w:rPr>
            </w:pPr>
            <w:r w:rsidRPr="000852E1">
              <w:rPr>
                <w:b w:val="0"/>
                <w:sz w:val="24"/>
                <w:szCs w:val="24"/>
              </w:rPr>
              <w:t xml:space="preserve">Saskaņā ar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18.punktu un ņemot vērā to, ka noteikumi par maksas pakalpojumiem ir jāaktualizē atbilstoši faktiskajai situācijai, Aģentūra ir sagatavojusi </w:t>
            </w:r>
            <w:r w:rsidR="002408AC" w:rsidRPr="000852E1">
              <w:rPr>
                <w:b w:val="0"/>
                <w:sz w:val="24"/>
                <w:szCs w:val="24"/>
              </w:rPr>
              <w:t xml:space="preserve"> grozījumus 2014.gada 22.jūlija Ministru kabineta </w:t>
            </w:r>
            <w:r w:rsidR="002408AC" w:rsidRPr="000852E1">
              <w:rPr>
                <w:b w:val="0"/>
                <w:sz w:val="24"/>
                <w:szCs w:val="24"/>
              </w:rPr>
              <w:lastRenderedPageBreak/>
              <w:t>noteikumos Nr.423 „Nodrošinājuma valsts aģentūras maksas pakalpojumu cenrādis”</w:t>
            </w:r>
            <w:r w:rsidRPr="000852E1">
              <w:rPr>
                <w:b w:val="0"/>
                <w:sz w:val="24"/>
                <w:szCs w:val="24"/>
              </w:rPr>
              <w:t>.</w:t>
            </w:r>
          </w:p>
          <w:p w:rsidR="00277BE8" w:rsidRPr="000852E1" w:rsidRDefault="00A7403A" w:rsidP="00277BE8">
            <w:pPr>
              <w:pStyle w:val="Heading3"/>
              <w:shd w:val="clear" w:color="auto" w:fill="FFFFFF"/>
              <w:spacing w:before="0" w:beforeAutospacing="0" w:after="0" w:afterAutospacing="0"/>
              <w:ind w:right="57" w:firstLine="813"/>
              <w:jc w:val="both"/>
              <w:rPr>
                <w:b w:val="0"/>
                <w:sz w:val="24"/>
                <w:szCs w:val="24"/>
              </w:rPr>
            </w:pPr>
            <w:r w:rsidRPr="000852E1">
              <w:rPr>
                <w:b w:val="0"/>
                <w:sz w:val="24"/>
                <w:szCs w:val="24"/>
              </w:rPr>
              <w:t>Projekts paredz</w:t>
            </w:r>
            <w:r w:rsidR="00277BE8" w:rsidRPr="000852E1">
              <w:rPr>
                <w:b w:val="0"/>
                <w:sz w:val="24"/>
                <w:szCs w:val="24"/>
              </w:rPr>
              <w:t xml:space="preserve"> </w:t>
            </w:r>
            <w:r w:rsidR="00456365" w:rsidRPr="000852E1">
              <w:rPr>
                <w:b w:val="0"/>
                <w:sz w:val="24"/>
                <w:szCs w:val="24"/>
              </w:rPr>
              <w:t xml:space="preserve">aktualizēt </w:t>
            </w:r>
            <w:r w:rsidR="001F3E10" w:rsidRPr="000852E1">
              <w:rPr>
                <w:b w:val="0"/>
                <w:sz w:val="24"/>
                <w:szCs w:val="24"/>
              </w:rPr>
              <w:t xml:space="preserve">Nodrošinājuma valsts aģentūras maksas pakalpojumu </w:t>
            </w:r>
            <w:r w:rsidR="00456365" w:rsidRPr="000852E1">
              <w:rPr>
                <w:b w:val="0"/>
                <w:sz w:val="24"/>
                <w:szCs w:val="24"/>
              </w:rPr>
              <w:t>cenrādi, jo Aģentūra konstatēja, ka laika posmā no 201</w:t>
            </w:r>
            <w:r w:rsidR="002408AC" w:rsidRPr="000852E1">
              <w:rPr>
                <w:b w:val="0"/>
                <w:sz w:val="24"/>
                <w:szCs w:val="24"/>
              </w:rPr>
              <w:t>4</w:t>
            </w:r>
            <w:r w:rsidR="00456365" w:rsidRPr="000852E1">
              <w:rPr>
                <w:b w:val="0"/>
                <w:sz w:val="24"/>
                <w:szCs w:val="24"/>
              </w:rPr>
              <w:t>.gada</w:t>
            </w:r>
            <w:r w:rsidR="00B56F0D" w:rsidRPr="000852E1">
              <w:rPr>
                <w:b w:val="0"/>
                <w:sz w:val="24"/>
                <w:szCs w:val="24"/>
              </w:rPr>
              <w:t xml:space="preserve"> </w:t>
            </w:r>
            <w:r w:rsidR="002408AC" w:rsidRPr="000852E1">
              <w:rPr>
                <w:b w:val="0"/>
                <w:sz w:val="24"/>
                <w:szCs w:val="24"/>
              </w:rPr>
              <w:t>22.jūlija</w:t>
            </w:r>
            <w:r w:rsidR="00456365" w:rsidRPr="000852E1">
              <w:rPr>
                <w:b w:val="0"/>
                <w:sz w:val="24"/>
                <w:szCs w:val="24"/>
              </w:rPr>
              <w:t>, kad tika izstrādāti un pieņemti spēkā esošie Ministru kabineta 201</w:t>
            </w:r>
            <w:r w:rsidR="002408AC" w:rsidRPr="000852E1">
              <w:rPr>
                <w:b w:val="0"/>
                <w:sz w:val="24"/>
                <w:szCs w:val="24"/>
              </w:rPr>
              <w:t>4</w:t>
            </w:r>
            <w:r w:rsidR="00456365" w:rsidRPr="000852E1">
              <w:rPr>
                <w:b w:val="0"/>
                <w:sz w:val="24"/>
                <w:szCs w:val="24"/>
              </w:rPr>
              <w:t xml:space="preserve">.gada </w:t>
            </w:r>
            <w:r w:rsidR="002408AC" w:rsidRPr="000852E1">
              <w:rPr>
                <w:b w:val="0"/>
                <w:sz w:val="24"/>
                <w:szCs w:val="24"/>
              </w:rPr>
              <w:t>22.jūlija</w:t>
            </w:r>
            <w:r w:rsidR="00456365" w:rsidRPr="000852E1">
              <w:rPr>
                <w:b w:val="0"/>
                <w:sz w:val="24"/>
                <w:szCs w:val="24"/>
              </w:rPr>
              <w:t xml:space="preserve"> noteikumi Nr.</w:t>
            </w:r>
            <w:r w:rsidR="002408AC" w:rsidRPr="000852E1">
              <w:rPr>
                <w:b w:val="0"/>
                <w:sz w:val="24"/>
                <w:szCs w:val="24"/>
              </w:rPr>
              <w:t>423</w:t>
            </w:r>
            <w:r w:rsidR="00456365" w:rsidRPr="000852E1">
              <w:rPr>
                <w:b w:val="0"/>
                <w:sz w:val="24"/>
                <w:szCs w:val="24"/>
              </w:rPr>
              <w:t xml:space="preserve"> „Nodrošinājuma valsts aģentūras maksas pakalpojumu cenrādi</w:t>
            </w:r>
            <w:r w:rsidR="00B22A37" w:rsidRPr="000852E1">
              <w:rPr>
                <w:b w:val="0"/>
                <w:sz w:val="24"/>
                <w:szCs w:val="24"/>
              </w:rPr>
              <w:t>s</w:t>
            </w:r>
            <w:r w:rsidR="00456365" w:rsidRPr="000852E1">
              <w:rPr>
                <w:b w:val="0"/>
                <w:sz w:val="24"/>
                <w:szCs w:val="24"/>
              </w:rPr>
              <w:t>”</w:t>
            </w:r>
            <w:r w:rsidR="00277BE8" w:rsidRPr="000852E1">
              <w:rPr>
                <w:b w:val="0"/>
                <w:sz w:val="24"/>
                <w:szCs w:val="24"/>
              </w:rPr>
              <w:t>:</w:t>
            </w:r>
          </w:p>
          <w:p w:rsidR="00277BE8" w:rsidRPr="000852E1" w:rsidRDefault="00277BE8" w:rsidP="007638C2">
            <w:pPr>
              <w:spacing w:after="0" w:line="240" w:lineRule="auto"/>
              <w:jc w:val="both"/>
              <w:rPr>
                <w:rFonts w:ascii="Times New Roman" w:hAnsi="Times New Roman" w:cs="Times New Roman"/>
                <w:sz w:val="24"/>
                <w:szCs w:val="24"/>
              </w:rPr>
            </w:pPr>
            <w:r w:rsidRPr="000852E1">
              <w:rPr>
                <w:rFonts w:ascii="Times New Roman" w:hAnsi="Times New Roman" w:cs="Times New Roman"/>
                <w:sz w:val="24"/>
                <w:szCs w:val="24"/>
              </w:rPr>
              <w:t xml:space="preserve">1.1. </w:t>
            </w:r>
            <w:r w:rsidR="00D60648" w:rsidRPr="000852E1">
              <w:rPr>
                <w:rFonts w:ascii="Times New Roman" w:hAnsi="Times New Roman" w:cs="Times New Roman"/>
                <w:sz w:val="24"/>
                <w:szCs w:val="24"/>
              </w:rPr>
              <w:t xml:space="preserve">ir sagatavotas īrei papildus </w:t>
            </w:r>
            <w:r w:rsidR="00DC387C" w:rsidRPr="000852E1">
              <w:rPr>
                <w:rFonts w:ascii="Times New Roman" w:hAnsi="Times New Roman" w:cs="Times New Roman"/>
                <w:sz w:val="24"/>
                <w:szCs w:val="24"/>
              </w:rPr>
              <w:t>telpas Ezermalas ielā 8a, Rīgā</w:t>
            </w:r>
            <w:r w:rsidR="00D22461" w:rsidRPr="000852E1">
              <w:rPr>
                <w:rFonts w:ascii="Times New Roman" w:hAnsi="Times New Roman" w:cs="Times New Roman"/>
                <w:sz w:val="24"/>
                <w:szCs w:val="24"/>
              </w:rPr>
              <w:t xml:space="preserve"> un Piestātnes ielā 14</w:t>
            </w:r>
            <w:r w:rsidRPr="000852E1">
              <w:rPr>
                <w:rFonts w:ascii="Times New Roman" w:hAnsi="Times New Roman" w:cs="Times New Roman"/>
                <w:sz w:val="24"/>
                <w:szCs w:val="24"/>
              </w:rPr>
              <w:t xml:space="preserve"> k-1, Jūrmalā;</w:t>
            </w:r>
          </w:p>
          <w:p w:rsidR="00456365" w:rsidRPr="000852E1" w:rsidRDefault="00277BE8" w:rsidP="007638C2">
            <w:pPr>
              <w:spacing w:after="0" w:line="240" w:lineRule="auto"/>
              <w:jc w:val="both"/>
              <w:rPr>
                <w:rFonts w:ascii="Times New Roman" w:hAnsi="Times New Roman" w:cs="Times New Roman"/>
                <w:sz w:val="24"/>
                <w:szCs w:val="24"/>
              </w:rPr>
            </w:pPr>
            <w:r w:rsidRPr="000852E1">
              <w:rPr>
                <w:rFonts w:ascii="Times New Roman" w:hAnsi="Times New Roman" w:cs="Times New Roman"/>
                <w:sz w:val="24"/>
                <w:szCs w:val="24"/>
              </w:rPr>
              <w:t xml:space="preserve">1.2. </w:t>
            </w:r>
            <w:r w:rsidR="00D60648" w:rsidRPr="000852E1">
              <w:rPr>
                <w:rFonts w:ascii="Times New Roman" w:hAnsi="Times New Roman" w:cs="Times New Roman"/>
                <w:sz w:val="24"/>
                <w:szCs w:val="24"/>
              </w:rPr>
              <w:t>no jauna piedāvātas īrei</w:t>
            </w:r>
            <w:r w:rsidR="00D60648" w:rsidRPr="000852E1">
              <w:rPr>
                <w:rFonts w:ascii="Times New Roman" w:hAnsi="Times New Roman" w:cs="Times New Roman"/>
                <w:i/>
                <w:color w:val="FF0000"/>
                <w:sz w:val="24"/>
                <w:szCs w:val="24"/>
              </w:rPr>
              <w:t xml:space="preserve"> </w:t>
            </w:r>
            <w:r w:rsidR="00DC387C" w:rsidRPr="000852E1">
              <w:rPr>
                <w:rFonts w:ascii="Times New Roman" w:hAnsi="Times New Roman" w:cs="Times New Roman"/>
                <w:sz w:val="24"/>
                <w:szCs w:val="24"/>
              </w:rPr>
              <w:t>dienesta viesnīcas</w:t>
            </w:r>
            <w:r w:rsidR="00D60648" w:rsidRPr="000852E1">
              <w:rPr>
                <w:rFonts w:ascii="Times New Roman" w:hAnsi="Times New Roman" w:cs="Times New Roman"/>
                <w:i/>
                <w:sz w:val="24"/>
                <w:szCs w:val="24"/>
              </w:rPr>
              <w:t xml:space="preserve"> </w:t>
            </w:r>
            <w:r w:rsidR="00D60648" w:rsidRPr="000852E1">
              <w:rPr>
                <w:rFonts w:ascii="Times New Roman" w:hAnsi="Times New Roman" w:cs="Times New Roman"/>
                <w:sz w:val="24"/>
                <w:szCs w:val="24"/>
              </w:rPr>
              <w:t>telpas</w:t>
            </w:r>
            <w:r w:rsidRPr="000852E1">
              <w:rPr>
                <w:rFonts w:ascii="Times New Roman" w:hAnsi="Times New Roman" w:cs="Times New Roman"/>
                <w:sz w:val="24"/>
                <w:szCs w:val="24"/>
              </w:rPr>
              <w:t xml:space="preserve">                    </w:t>
            </w:r>
            <w:r w:rsidR="00D60648" w:rsidRPr="000852E1">
              <w:rPr>
                <w:rFonts w:ascii="Times New Roman" w:hAnsi="Times New Roman" w:cs="Times New Roman"/>
                <w:sz w:val="24"/>
                <w:szCs w:val="24"/>
              </w:rPr>
              <w:t>Krustpils ielā 10, Rīgā</w:t>
            </w:r>
            <w:r w:rsidRPr="000852E1">
              <w:rPr>
                <w:rFonts w:ascii="Times New Roman" w:hAnsi="Times New Roman" w:cs="Times New Roman"/>
                <w:sz w:val="24"/>
                <w:szCs w:val="24"/>
              </w:rPr>
              <w:t>;</w:t>
            </w:r>
            <w:r w:rsidR="00D60648" w:rsidRPr="000852E1">
              <w:rPr>
                <w:rFonts w:ascii="Times New Roman" w:hAnsi="Times New Roman" w:cs="Times New Roman"/>
                <w:sz w:val="24"/>
                <w:szCs w:val="24"/>
              </w:rPr>
              <w:t xml:space="preserve"> </w:t>
            </w:r>
          </w:p>
          <w:p w:rsidR="001A4520" w:rsidRPr="000852E1" w:rsidRDefault="00277BE8" w:rsidP="00D60648">
            <w:pPr>
              <w:tabs>
                <w:tab w:val="left" w:pos="828"/>
              </w:tabs>
              <w:spacing w:after="0" w:line="240" w:lineRule="auto"/>
              <w:ind w:left="-6"/>
              <w:jc w:val="both"/>
              <w:rPr>
                <w:rFonts w:ascii="Times New Roman" w:hAnsi="Times New Roman" w:cs="Times New Roman"/>
                <w:sz w:val="24"/>
                <w:szCs w:val="24"/>
              </w:rPr>
            </w:pPr>
            <w:r w:rsidRPr="000852E1">
              <w:rPr>
                <w:rFonts w:ascii="Times New Roman" w:hAnsi="Times New Roman" w:cs="Times New Roman"/>
                <w:sz w:val="24"/>
                <w:szCs w:val="24"/>
              </w:rPr>
              <w:t>1.3.</w:t>
            </w:r>
            <w:r w:rsidR="001902BF" w:rsidRPr="000852E1">
              <w:rPr>
                <w:rFonts w:ascii="Times New Roman" w:hAnsi="Times New Roman" w:cs="Times New Roman"/>
                <w:sz w:val="24"/>
                <w:szCs w:val="24"/>
              </w:rPr>
              <w:t xml:space="preserve"> tiks piedāvāts</w:t>
            </w:r>
            <w:r w:rsidRPr="000852E1">
              <w:rPr>
                <w:rFonts w:ascii="Times New Roman" w:hAnsi="Times New Roman" w:cs="Times New Roman"/>
                <w:sz w:val="24"/>
                <w:szCs w:val="24"/>
              </w:rPr>
              <w:t xml:space="preserve"> </w:t>
            </w:r>
            <w:r w:rsidR="00456365" w:rsidRPr="000852E1">
              <w:rPr>
                <w:rFonts w:ascii="Times New Roman" w:hAnsi="Times New Roman" w:cs="Times New Roman"/>
                <w:sz w:val="24"/>
                <w:szCs w:val="24"/>
              </w:rPr>
              <w:t>jaun</w:t>
            </w:r>
            <w:r w:rsidR="001902BF" w:rsidRPr="000852E1">
              <w:rPr>
                <w:rFonts w:ascii="Times New Roman" w:hAnsi="Times New Roman" w:cs="Times New Roman"/>
                <w:sz w:val="24"/>
                <w:szCs w:val="24"/>
              </w:rPr>
              <w:t>s</w:t>
            </w:r>
            <w:r w:rsidR="00456365" w:rsidRPr="000852E1">
              <w:rPr>
                <w:rFonts w:ascii="Times New Roman" w:hAnsi="Times New Roman" w:cs="Times New Roman"/>
                <w:sz w:val="24"/>
                <w:szCs w:val="24"/>
              </w:rPr>
              <w:t xml:space="preserve"> maksas pakalpojum</w:t>
            </w:r>
            <w:r w:rsidR="00DC387C" w:rsidRPr="000852E1">
              <w:rPr>
                <w:rFonts w:ascii="Times New Roman" w:hAnsi="Times New Roman" w:cs="Times New Roman"/>
                <w:sz w:val="24"/>
                <w:szCs w:val="24"/>
              </w:rPr>
              <w:t>u veid</w:t>
            </w:r>
            <w:r w:rsidR="001902BF" w:rsidRPr="000852E1">
              <w:rPr>
                <w:rFonts w:ascii="Times New Roman" w:hAnsi="Times New Roman" w:cs="Times New Roman"/>
                <w:sz w:val="24"/>
                <w:szCs w:val="24"/>
              </w:rPr>
              <w:t>s</w:t>
            </w:r>
            <w:r w:rsidR="00D60648" w:rsidRPr="000852E1">
              <w:rPr>
                <w:rFonts w:ascii="Times New Roman" w:hAnsi="Times New Roman" w:cs="Times New Roman"/>
                <w:sz w:val="24"/>
                <w:szCs w:val="24"/>
              </w:rPr>
              <w:t xml:space="preserve"> – rekreācijas pakalpojum</w:t>
            </w:r>
            <w:r w:rsidR="001902BF" w:rsidRPr="000852E1">
              <w:rPr>
                <w:rFonts w:ascii="Times New Roman" w:hAnsi="Times New Roman" w:cs="Times New Roman"/>
                <w:sz w:val="24"/>
                <w:szCs w:val="24"/>
              </w:rPr>
              <w:t>i</w:t>
            </w:r>
            <w:r w:rsidR="00D60648" w:rsidRPr="000852E1">
              <w:rPr>
                <w:rFonts w:ascii="Times New Roman" w:hAnsi="Times New Roman" w:cs="Times New Roman"/>
                <w:sz w:val="24"/>
                <w:szCs w:val="24"/>
              </w:rPr>
              <w:t xml:space="preserve"> Aizsargu ielā 25, Ludzā</w:t>
            </w:r>
            <w:r w:rsidRPr="000852E1">
              <w:rPr>
                <w:rFonts w:ascii="Times New Roman" w:hAnsi="Times New Roman" w:cs="Times New Roman"/>
                <w:sz w:val="24"/>
                <w:szCs w:val="24"/>
              </w:rPr>
              <w:t>;</w:t>
            </w:r>
          </w:p>
          <w:p w:rsidR="00D112E4" w:rsidRPr="000852E1" w:rsidRDefault="008925F9" w:rsidP="00DC387C">
            <w:pPr>
              <w:tabs>
                <w:tab w:val="left" w:pos="246"/>
              </w:tabs>
              <w:spacing w:after="0" w:line="240" w:lineRule="auto"/>
              <w:ind w:left="-6"/>
              <w:jc w:val="both"/>
              <w:rPr>
                <w:rFonts w:ascii="Times New Roman" w:hAnsi="Times New Roman" w:cs="Times New Roman"/>
                <w:sz w:val="24"/>
                <w:szCs w:val="24"/>
              </w:rPr>
            </w:pPr>
            <w:r w:rsidRPr="000852E1">
              <w:rPr>
                <w:rFonts w:ascii="Times New Roman" w:hAnsi="Times New Roman" w:cs="Times New Roman"/>
                <w:sz w:val="24"/>
                <w:szCs w:val="24"/>
              </w:rPr>
              <w:t>1.4</w:t>
            </w:r>
            <w:r w:rsidR="00483745" w:rsidRPr="000852E1">
              <w:rPr>
                <w:rFonts w:ascii="Times New Roman" w:hAnsi="Times New Roman" w:cs="Times New Roman"/>
                <w:sz w:val="24"/>
                <w:szCs w:val="24"/>
              </w:rPr>
              <w:t xml:space="preserve">. tiek </w:t>
            </w:r>
            <w:r w:rsidR="00666D05" w:rsidRPr="000852E1">
              <w:rPr>
                <w:rFonts w:ascii="Times New Roman" w:hAnsi="Times New Roman" w:cs="Times New Roman"/>
                <w:sz w:val="24"/>
                <w:szCs w:val="24"/>
              </w:rPr>
              <w:t>svītrots</w:t>
            </w:r>
            <w:r w:rsidR="00483745" w:rsidRPr="000852E1">
              <w:rPr>
                <w:rFonts w:ascii="Times New Roman" w:hAnsi="Times New Roman" w:cs="Times New Roman"/>
                <w:sz w:val="24"/>
                <w:szCs w:val="24"/>
              </w:rPr>
              <w:t xml:space="preserve"> pakalpojums - neaprīkotas telpas noma P</w:t>
            </w:r>
            <w:r w:rsidR="00D22461" w:rsidRPr="000852E1">
              <w:rPr>
                <w:rFonts w:ascii="Times New Roman" w:hAnsi="Times New Roman" w:cs="Times New Roman"/>
                <w:sz w:val="24"/>
                <w:szCs w:val="24"/>
              </w:rPr>
              <w:t>iestātnes ielā 14 k-7, Jūrmalā, jo Aģentūra šo telpu izmantos savām vajadzībām.</w:t>
            </w:r>
            <w:r w:rsidR="00DC387C" w:rsidRPr="000852E1">
              <w:rPr>
                <w:rFonts w:ascii="Times New Roman" w:hAnsi="Times New Roman" w:cs="Times New Roman"/>
                <w:sz w:val="24"/>
                <w:szCs w:val="24"/>
              </w:rPr>
              <w:t xml:space="preserve"> </w:t>
            </w:r>
          </w:p>
          <w:p w:rsidR="00483745" w:rsidRPr="000852E1" w:rsidRDefault="00D112E4" w:rsidP="00483745">
            <w:pPr>
              <w:pStyle w:val="Heading3"/>
              <w:shd w:val="clear" w:color="auto" w:fill="FFFFFF"/>
              <w:spacing w:before="0" w:beforeAutospacing="0" w:after="0" w:afterAutospacing="0"/>
              <w:ind w:right="57"/>
              <w:jc w:val="both"/>
              <w:rPr>
                <w:b w:val="0"/>
                <w:sz w:val="24"/>
                <w:szCs w:val="24"/>
              </w:rPr>
            </w:pPr>
            <w:r w:rsidRPr="000852E1">
              <w:rPr>
                <w:sz w:val="24"/>
                <w:szCs w:val="24"/>
              </w:rPr>
              <w:t xml:space="preserve">            </w:t>
            </w:r>
            <w:r w:rsidR="00483745" w:rsidRPr="000852E1">
              <w:rPr>
                <w:b w:val="0"/>
                <w:sz w:val="24"/>
                <w:szCs w:val="24"/>
              </w:rPr>
              <w:t>Saskaņā ar Jūrmalas pilsētas domes 2014.gada 15.maija lēmumu Nr.231 „Par zemes vienības sadales apstiprināšanu Piestātnes ielā 6/14, Jūrmalā un adreses piešķiršanu” un 2014.gada 21.novembra Zemesgrāmatu apliecība (žurnāla Nr.300003751761), projekts paredz precizēt nekustamā īpašuma adresi</w:t>
            </w:r>
            <w:r w:rsidR="00483745" w:rsidRPr="000852E1">
              <w:rPr>
                <w:sz w:val="24"/>
                <w:szCs w:val="24"/>
              </w:rPr>
              <w:t xml:space="preserve"> </w:t>
            </w:r>
            <w:r w:rsidR="00483745" w:rsidRPr="000852E1">
              <w:rPr>
                <w:b w:val="0"/>
                <w:sz w:val="24"/>
                <w:szCs w:val="24"/>
              </w:rPr>
              <w:t xml:space="preserve">Piestātnes ielā </w:t>
            </w:r>
            <w:r w:rsidR="001F3E10" w:rsidRPr="000852E1">
              <w:rPr>
                <w:b w:val="0"/>
                <w:sz w:val="24"/>
                <w:szCs w:val="24"/>
              </w:rPr>
              <w:t>6/</w:t>
            </w:r>
            <w:r w:rsidR="00483745" w:rsidRPr="000852E1">
              <w:rPr>
                <w:b w:val="0"/>
                <w:sz w:val="24"/>
                <w:szCs w:val="24"/>
              </w:rPr>
              <w:t>14, Jūrmalā</w:t>
            </w:r>
            <w:r w:rsidR="001F3E10" w:rsidRPr="000852E1">
              <w:rPr>
                <w:b w:val="0"/>
                <w:sz w:val="24"/>
                <w:szCs w:val="24"/>
              </w:rPr>
              <w:t xml:space="preserve"> uz adresi Piestātnes ielā 14, Jūrmalā</w:t>
            </w:r>
            <w:r w:rsidR="00483745" w:rsidRPr="000852E1">
              <w:rPr>
                <w:b w:val="0"/>
                <w:sz w:val="24"/>
                <w:szCs w:val="24"/>
              </w:rPr>
              <w:t>.</w:t>
            </w:r>
          </w:p>
          <w:p w:rsidR="00082DC3" w:rsidRPr="000852E1" w:rsidRDefault="00D112E4" w:rsidP="00B76C02">
            <w:pPr>
              <w:tabs>
                <w:tab w:val="left" w:pos="246"/>
              </w:tabs>
              <w:spacing w:after="0" w:line="240" w:lineRule="auto"/>
              <w:ind w:left="-6"/>
              <w:jc w:val="both"/>
              <w:rPr>
                <w:rFonts w:ascii="Times New Roman" w:hAnsi="Times New Roman" w:cs="Times New Roman"/>
                <w:sz w:val="24"/>
                <w:szCs w:val="24"/>
              </w:rPr>
            </w:pPr>
            <w:r w:rsidRPr="000852E1">
              <w:rPr>
                <w:rFonts w:ascii="Times New Roman" w:hAnsi="Times New Roman" w:cs="Times New Roman"/>
                <w:sz w:val="24"/>
                <w:szCs w:val="24"/>
              </w:rPr>
              <w:t xml:space="preserve"> </w:t>
            </w:r>
            <w:r w:rsidR="00483745" w:rsidRPr="000852E1">
              <w:rPr>
                <w:rFonts w:ascii="Times New Roman" w:hAnsi="Times New Roman" w:cs="Times New Roman"/>
                <w:sz w:val="24"/>
                <w:szCs w:val="24"/>
              </w:rPr>
              <w:t xml:space="preserve"> </w:t>
            </w:r>
            <w:r w:rsidR="00461622" w:rsidRPr="000852E1">
              <w:rPr>
                <w:rFonts w:ascii="Times New Roman" w:hAnsi="Times New Roman" w:cs="Times New Roman"/>
                <w:sz w:val="24"/>
                <w:szCs w:val="24"/>
              </w:rPr>
              <w:t xml:space="preserve"> </w:t>
            </w:r>
            <w:r w:rsidR="00EA13AF" w:rsidRPr="000852E1">
              <w:rPr>
                <w:rFonts w:ascii="Times New Roman" w:hAnsi="Times New Roman" w:cs="Times New Roman"/>
                <w:sz w:val="24"/>
                <w:szCs w:val="24"/>
              </w:rPr>
              <w:t xml:space="preserve">            Ņemot vērā to, ka dienesta viesnīc</w:t>
            </w:r>
            <w:r w:rsidR="00B76C02" w:rsidRPr="000852E1">
              <w:rPr>
                <w:rFonts w:ascii="Times New Roman" w:hAnsi="Times New Roman" w:cs="Times New Roman"/>
                <w:sz w:val="24"/>
                <w:szCs w:val="24"/>
              </w:rPr>
              <w:t>ai</w:t>
            </w:r>
            <w:r w:rsidR="00EA13AF" w:rsidRPr="000852E1">
              <w:rPr>
                <w:rFonts w:ascii="Times New Roman" w:hAnsi="Times New Roman" w:cs="Times New Roman"/>
                <w:sz w:val="24"/>
                <w:szCs w:val="24"/>
              </w:rPr>
              <w:t xml:space="preserve"> Ezermalas ielā 4 un Ezermalas ielā 8a, Rīgā </w:t>
            </w:r>
            <w:r w:rsidR="002B2C0D" w:rsidRPr="000852E1">
              <w:rPr>
                <w:rFonts w:ascii="Times New Roman" w:hAnsi="Times New Roman" w:cs="Times New Roman"/>
                <w:sz w:val="24"/>
                <w:szCs w:val="24"/>
              </w:rPr>
              <w:t>un patvēruma meklētāju izmitināšanas centr</w:t>
            </w:r>
            <w:r w:rsidR="00B76C02" w:rsidRPr="000852E1">
              <w:rPr>
                <w:rFonts w:ascii="Times New Roman" w:hAnsi="Times New Roman" w:cs="Times New Roman"/>
                <w:sz w:val="24"/>
                <w:szCs w:val="24"/>
              </w:rPr>
              <w:t>am</w:t>
            </w:r>
            <w:r w:rsidR="002B2C0D" w:rsidRPr="000852E1">
              <w:rPr>
                <w:rFonts w:ascii="Times New Roman" w:hAnsi="Times New Roman" w:cs="Times New Roman"/>
                <w:sz w:val="24"/>
                <w:szCs w:val="24"/>
              </w:rPr>
              <w:t xml:space="preserve"> „Mucenieki”, Ropažu novadā, „Jaunceltne - 2” </w:t>
            </w:r>
            <w:r w:rsidR="001F3E10" w:rsidRPr="000852E1">
              <w:rPr>
                <w:rFonts w:ascii="Times New Roman" w:hAnsi="Times New Roman" w:cs="Times New Roman"/>
                <w:sz w:val="24"/>
                <w:szCs w:val="24"/>
              </w:rPr>
              <w:t xml:space="preserve">Nodrošinājuma valsts aģentūras maksas pakalpojumu </w:t>
            </w:r>
            <w:r w:rsidR="00EA13AF" w:rsidRPr="000852E1">
              <w:rPr>
                <w:rFonts w:ascii="Times New Roman" w:hAnsi="Times New Roman" w:cs="Times New Roman"/>
                <w:sz w:val="24"/>
                <w:szCs w:val="24"/>
              </w:rPr>
              <w:t>cenrādī istabām ir norādīts veids un vietu skaits</w:t>
            </w:r>
            <w:r w:rsidR="003B61C9" w:rsidRPr="000852E1">
              <w:rPr>
                <w:rFonts w:ascii="Times New Roman" w:hAnsi="Times New Roman" w:cs="Times New Roman"/>
                <w:sz w:val="24"/>
                <w:szCs w:val="24"/>
              </w:rPr>
              <w:t xml:space="preserve"> istabā</w:t>
            </w:r>
            <w:r w:rsidR="00EA13AF" w:rsidRPr="000852E1">
              <w:rPr>
                <w:rFonts w:ascii="Times New Roman" w:hAnsi="Times New Roman" w:cs="Times New Roman"/>
                <w:sz w:val="24"/>
                <w:szCs w:val="24"/>
              </w:rPr>
              <w:t>, projekts paredz svītrot istabu numerāciju, kas ir norādīta iekavās.</w:t>
            </w:r>
          </w:p>
        </w:tc>
      </w:tr>
      <w:tr w:rsidR="000F5EDB" w:rsidRPr="000852E1" w:rsidTr="00E919D3">
        <w:trPr>
          <w:trHeight w:val="476"/>
        </w:trPr>
        <w:tc>
          <w:tcPr>
            <w:tcW w:w="227" w:type="pct"/>
          </w:tcPr>
          <w:p w:rsidR="007F6B1C" w:rsidRPr="000852E1" w:rsidRDefault="007F6B1C" w:rsidP="00516115">
            <w:pPr>
              <w:pStyle w:val="naiskr"/>
              <w:spacing w:before="0" w:beforeAutospacing="0" w:after="0" w:afterAutospacing="0"/>
              <w:ind w:left="57" w:right="57"/>
              <w:jc w:val="center"/>
            </w:pPr>
            <w:r w:rsidRPr="000852E1">
              <w:lastRenderedPageBreak/>
              <w:t>3.</w:t>
            </w:r>
          </w:p>
        </w:tc>
        <w:tc>
          <w:tcPr>
            <w:tcW w:w="1565" w:type="pct"/>
          </w:tcPr>
          <w:p w:rsidR="007F6B1C" w:rsidRPr="000852E1" w:rsidRDefault="007F6B1C" w:rsidP="00516115">
            <w:pPr>
              <w:pStyle w:val="naiskr"/>
              <w:spacing w:before="0" w:beforeAutospacing="0" w:after="0" w:afterAutospacing="0"/>
              <w:ind w:left="57" w:right="57"/>
            </w:pPr>
            <w:r w:rsidRPr="000852E1">
              <w:t>Projekta izstrādē iesaistītās institūcijas</w:t>
            </w:r>
          </w:p>
        </w:tc>
        <w:tc>
          <w:tcPr>
            <w:tcW w:w="3208" w:type="pct"/>
          </w:tcPr>
          <w:p w:rsidR="007F6B1C" w:rsidRPr="000852E1" w:rsidRDefault="003C2F8A" w:rsidP="008C239A">
            <w:pPr>
              <w:spacing w:after="0" w:line="240" w:lineRule="auto"/>
              <w:ind w:right="57"/>
              <w:rPr>
                <w:rFonts w:ascii="Times New Roman" w:hAnsi="Times New Roman" w:cs="Times New Roman"/>
                <w:b/>
                <w:sz w:val="24"/>
                <w:szCs w:val="24"/>
              </w:rPr>
            </w:pPr>
            <w:r w:rsidRPr="000852E1">
              <w:rPr>
                <w:rFonts w:ascii="Times New Roman" w:hAnsi="Times New Roman" w:cs="Times New Roman"/>
                <w:sz w:val="24"/>
                <w:szCs w:val="24"/>
              </w:rPr>
              <w:t>Nodrošinājuma valsts aģentūra.</w:t>
            </w:r>
          </w:p>
        </w:tc>
      </w:tr>
      <w:tr w:rsidR="000F5EDB" w:rsidRPr="000852E1" w:rsidTr="00E919D3">
        <w:tc>
          <w:tcPr>
            <w:tcW w:w="227" w:type="pct"/>
          </w:tcPr>
          <w:p w:rsidR="007F6B1C" w:rsidRPr="000852E1" w:rsidRDefault="007F6B1C" w:rsidP="00516115">
            <w:pPr>
              <w:pStyle w:val="naiskr"/>
              <w:spacing w:before="0" w:beforeAutospacing="0" w:after="0" w:afterAutospacing="0"/>
              <w:ind w:left="57" w:right="57"/>
              <w:jc w:val="center"/>
            </w:pPr>
            <w:r w:rsidRPr="000852E1">
              <w:t>4.</w:t>
            </w:r>
          </w:p>
        </w:tc>
        <w:tc>
          <w:tcPr>
            <w:tcW w:w="1565" w:type="pct"/>
          </w:tcPr>
          <w:p w:rsidR="007F6B1C" w:rsidRPr="000852E1" w:rsidRDefault="007F6B1C" w:rsidP="00516115">
            <w:pPr>
              <w:pStyle w:val="naiskr"/>
              <w:spacing w:before="0" w:beforeAutospacing="0" w:after="0" w:afterAutospacing="0"/>
              <w:ind w:left="57" w:right="57"/>
            </w:pPr>
            <w:r w:rsidRPr="000852E1">
              <w:t>Cita informācija</w:t>
            </w:r>
          </w:p>
        </w:tc>
        <w:tc>
          <w:tcPr>
            <w:tcW w:w="3208" w:type="pct"/>
          </w:tcPr>
          <w:p w:rsidR="007F6B1C" w:rsidRPr="000852E1" w:rsidRDefault="00096ACC" w:rsidP="00516115">
            <w:pPr>
              <w:pStyle w:val="naiskr"/>
              <w:spacing w:before="0" w:beforeAutospacing="0" w:after="0" w:afterAutospacing="0"/>
              <w:ind w:left="57" w:right="57"/>
            </w:pPr>
            <w:r w:rsidRPr="000852E1">
              <w:t>Nav</w:t>
            </w:r>
            <w:r w:rsidR="003C2F8A" w:rsidRPr="000852E1">
              <w:t>.</w:t>
            </w:r>
          </w:p>
        </w:tc>
      </w:tr>
    </w:tbl>
    <w:p w:rsidR="007F6B1C" w:rsidRPr="000852E1" w:rsidRDefault="007F6B1C" w:rsidP="007F6B1C">
      <w:pPr>
        <w:spacing w:after="0" w:line="240" w:lineRule="auto"/>
        <w:rPr>
          <w:rFonts w:ascii="Times New Roman" w:hAnsi="Times New Roman" w:cs="Times New Roman"/>
          <w:sz w:val="24"/>
          <w:szCs w:val="24"/>
        </w:rPr>
      </w:pPr>
    </w:p>
    <w:p w:rsidR="00BE2B47" w:rsidRPr="000852E1" w:rsidRDefault="00BE2B47" w:rsidP="007F6B1C">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1"/>
        <w:gridCol w:w="1701"/>
        <w:gridCol w:w="1120"/>
        <w:gridCol w:w="223"/>
        <w:gridCol w:w="1454"/>
        <w:gridCol w:w="1512"/>
        <w:gridCol w:w="1512"/>
        <w:gridCol w:w="1160"/>
      </w:tblGrid>
      <w:tr w:rsidR="009D3419" w:rsidRPr="000852E1" w:rsidTr="008322A4">
        <w:trPr>
          <w:trHeight w:val="555"/>
        </w:trPr>
        <w:tc>
          <w:tcPr>
            <w:tcW w:w="5000" w:type="pct"/>
            <w:gridSpan w:val="8"/>
            <w:vAlign w:val="center"/>
            <w:hideMark/>
          </w:tcPr>
          <w:p w:rsidR="009D3419" w:rsidRPr="000852E1" w:rsidRDefault="009D3419" w:rsidP="009D3419">
            <w:pPr>
              <w:spacing w:after="0" w:line="240" w:lineRule="auto"/>
              <w:ind w:firstLine="300"/>
              <w:jc w:val="center"/>
              <w:rPr>
                <w:rFonts w:ascii="Times New Roman" w:eastAsia="Times New Roman" w:hAnsi="Times New Roman" w:cs="Times New Roman"/>
                <w:b/>
                <w:bCs/>
                <w:sz w:val="24"/>
                <w:szCs w:val="24"/>
                <w:lang w:eastAsia="lv-LV"/>
              </w:rPr>
            </w:pPr>
            <w:r w:rsidRPr="000852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3419" w:rsidRPr="000852E1" w:rsidTr="008322A4">
        <w:trPr>
          <w:trHeight w:val="465"/>
        </w:trPr>
        <w:tc>
          <w:tcPr>
            <w:tcW w:w="247" w:type="pct"/>
            <w:hideMark/>
          </w:tcPr>
          <w:p w:rsidR="009D3419" w:rsidRPr="000852E1" w:rsidRDefault="009D3419"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1.</w:t>
            </w:r>
          </w:p>
        </w:tc>
        <w:tc>
          <w:tcPr>
            <w:tcW w:w="1544" w:type="pct"/>
            <w:gridSpan w:val="2"/>
            <w:hideMark/>
          </w:tcPr>
          <w:p w:rsidR="009D3419" w:rsidRPr="000852E1" w:rsidRDefault="009D3419"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Sabiedrības mērķgrupas, kuras tiesiskais regulējums ietekmē vai varētu ietekmēt</w:t>
            </w:r>
          </w:p>
        </w:tc>
        <w:tc>
          <w:tcPr>
            <w:tcW w:w="3209" w:type="pct"/>
            <w:gridSpan w:val="5"/>
          </w:tcPr>
          <w:p w:rsidR="009D3419" w:rsidRPr="000852E1" w:rsidRDefault="00FB1DB6">
            <w:pPr>
              <w:spacing w:after="0" w:line="240" w:lineRule="auto"/>
              <w:jc w:val="both"/>
              <w:rPr>
                <w:rFonts w:ascii="Times New Roman" w:eastAsia="Calibri" w:hAnsi="Times New Roman" w:cs="Times New Roman"/>
                <w:iCs/>
                <w:sz w:val="24"/>
                <w:szCs w:val="24"/>
              </w:rPr>
            </w:pPr>
            <w:r w:rsidRPr="000852E1">
              <w:rPr>
                <w:rFonts w:ascii="Times New Roman" w:hAnsi="Times New Roman" w:cs="Times New Roman"/>
                <w:sz w:val="24"/>
                <w:szCs w:val="24"/>
              </w:rPr>
              <w:t>Privātpersonas, kuras izmantos Aģentūras sniegtos maksas pakalpojumus.</w:t>
            </w:r>
          </w:p>
        </w:tc>
      </w:tr>
      <w:tr w:rsidR="009D3419" w:rsidRPr="000852E1" w:rsidTr="008322A4">
        <w:trPr>
          <w:trHeight w:val="510"/>
        </w:trPr>
        <w:tc>
          <w:tcPr>
            <w:tcW w:w="247" w:type="pct"/>
            <w:hideMark/>
          </w:tcPr>
          <w:p w:rsidR="009D3419" w:rsidRPr="000852E1" w:rsidRDefault="009D3419"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2.</w:t>
            </w:r>
          </w:p>
        </w:tc>
        <w:tc>
          <w:tcPr>
            <w:tcW w:w="1544" w:type="pct"/>
            <w:gridSpan w:val="2"/>
            <w:hideMark/>
          </w:tcPr>
          <w:p w:rsidR="009D3419" w:rsidRPr="000852E1" w:rsidRDefault="009D3419"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Tiesiskā regulējuma ietekme uz tautsaimniecību un administratīvo slogu</w:t>
            </w:r>
          </w:p>
        </w:tc>
        <w:tc>
          <w:tcPr>
            <w:tcW w:w="3209" w:type="pct"/>
            <w:gridSpan w:val="5"/>
          </w:tcPr>
          <w:p w:rsidR="009D3419" w:rsidRPr="000852E1" w:rsidRDefault="00B22A37" w:rsidP="009D3419">
            <w:pPr>
              <w:spacing w:after="0" w:line="240" w:lineRule="auto"/>
              <w:jc w:val="both"/>
              <w:rPr>
                <w:rFonts w:ascii="Times New Roman" w:eastAsia="Calibri" w:hAnsi="Times New Roman" w:cs="Times New Roman"/>
                <w:iCs/>
                <w:color w:val="FF0000"/>
                <w:sz w:val="24"/>
                <w:szCs w:val="24"/>
              </w:rPr>
            </w:pPr>
            <w:r w:rsidRPr="000852E1">
              <w:rPr>
                <w:rFonts w:ascii="Times New Roman" w:eastAsia="Calibri" w:hAnsi="Times New Roman" w:cs="Times New Roman"/>
                <w:iCs/>
                <w:sz w:val="24"/>
                <w:szCs w:val="24"/>
              </w:rPr>
              <w:t>Projekts šo jomu neskar.</w:t>
            </w:r>
          </w:p>
        </w:tc>
      </w:tr>
      <w:tr w:rsidR="009D3419" w:rsidRPr="000852E1" w:rsidTr="000852E1">
        <w:trPr>
          <w:trHeight w:val="510"/>
        </w:trPr>
        <w:tc>
          <w:tcPr>
            <w:tcW w:w="247" w:type="pct"/>
            <w:tcBorders>
              <w:bottom w:val="single" w:sz="4" w:space="0" w:color="auto"/>
            </w:tcBorders>
            <w:hideMark/>
          </w:tcPr>
          <w:p w:rsidR="009D3419" w:rsidRPr="000852E1" w:rsidRDefault="009D3419" w:rsidP="009D3419">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3.</w:t>
            </w:r>
          </w:p>
        </w:tc>
        <w:tc>
          <w:tcPr>
            <w:tcW w:w="1544" w:type="pct"/>
            <w:gridSpan w:val="2"/>
            <w:tcBorders>
              <w:bottom w:val="single" w:sz="4" w:space="0" w:color="auto"/>
            </w:tcBorders>
            <w:hideMark/>
          </w:tcPr>
          <w:p w:rsidR="009D3419" w:rsidRPr="000852E1" w:rsidRDefault="009D3419"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Administratīvo izmaksu monetārs novērtējums</w:t>
            </w:r>
          </w:p>
        </w:tc>
        <w:tc>
          <w:tcPr>
            <w:tcW w:w="3209" w:type="pct"/>
            <w:gridSpan w:val="5"/>
            <w:tcBorders>
              <w:bottom w:val="single" w:sz="4" w:space="0" w:color="auto"/>
            </w:tcBorders>
          </w:tcPr>
          <w:p w:rsidR="009D3419" w:rsidRPr="000852E1" w:rsidRDefault="00FB1DB6"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Projekts šo jomu neskar.</w:t>
            </w:r>
          </w:p>
        </w:tc>
      </w:tr>
      <w:tr w:rsidR="009D3419" w:rsidRPr="000852E1" w:rsidTr="000852E1">
        <w:trPr>
          <w:trHeight w:val="345"/>
        </w:trPr>
        <w:tc>
          <w:tcPr>
            <w:tcW w:w="247" w:type="pct"/>
            <w:tcBorders>
              <w:bottom w:val="single" w:sz="4" w:space="0" w:color="auto"/>
            </w:tcBorders>
            <w:hideMark/>
          </w:tcPr>
          <w:p w:rsidR="009D3419" w:rsidRPr="000852E1" w:rsidRDefault="009D3419" w:rsidP="009D3419">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4.</w:t>
            </w:r>
          </w:p>
        </w:tc>
        <w:tc>
          <w:tcPr>
            <w:tcW w:w="1544" w:type="pct"/>
            <w:gridSpan w:val="2"/>
            <w:tcBorders>
              <w:bottom w:val="single" w:sz="4" w:space="0" w:color="auto"/>
            </w:tcBorders>
            <w:hideMark/>
          </w:tcPr>
          <w:p w:rsidR="009D3419" w:rsidRPr="000852E1" w:rsidRDefault="009D3419" w:rsidP="009D3419">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Cita informācija</w:t>
            </w:r>
          </w:p>
        </w:tc>
        <w:tc>
          <w:tcPr>
            <w:tcW w:w="3209" w:type="pct"/>
            <w:gridSpan w:val="5"/>
            <w:tcBorders>
              <w:bottom w:val="single" w:sz="4" w:space="0" w:color="auto"/>
            </w:tcBorders>
            <w:hideMark/>
          </w:tcPr>
          <w:p w:rsidR="009D3419" w:rsidRPr="000852E1" w:rsidRDefault="009D3419" w:rsidP="009D3419">
            <w:pPr>
              <w:spacing w:after="0" w:line="240" w:lineRule="auto"/>
              <w:ind w:firstLine="300"/>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Nav</w:t>
            </w:r>
            <w:r w:rsidR="007C4779" w:rsidRPr="000852E1">
              <w:rPr>
                <w:rFonts w:ascii="Times New Roman" w:eastAsia="Calibri" w:hAnsi="Times New Roman" w:cs="Times New Roman"/>
                <w:iCs/>
                <w:sz w:val="24"/>
                <w:szCs w:val="24"/>
              </w:rPr>
              <w:t>.</w:t>
            </w:r>
          </w:p>
        </w:tc>
      </w:tr>
      <w:tr w:rsidR="000852E1" w:rsidRPr="000852E1" w:rsidTr="000852E1">
        <w:trPr>
          <w:trHeight w:val="345"/>
        </w:trPr>
        <w:tc>
          <w:tcPr>
            <w:tcW w:w="247" w:type="pct"/>
            <w:tcBorders>
              <w:top w:val="single" w:sz="4" w:space="0" w:color="auto"/>
              <w:left w:val="nil"/>
              <w:bottom w:val="nil"/>
              <w:right w:val="nil"/>
            </w:tcBorders>
          </w:tcPr>
          <w:p w:rsidR="000852E1" w:rsidRPr="000852E1" w:rsidRDefault="000852E1" w:rsidP="009D3419">
            <w:pPr>
              <w:spacing w:after="0" w:line="240" w:lineRule="auto"/>
              <w:rPr>
                <w:rFonts w:ascii="Times New Roman" w:eastAsia="Times New Roman" w:hAnsi="Times New Roman" w:cs="Times New Roman"/>
                <w:sz w:val="24"/>
                <w:szCs w:val="24"/>
                <w:lang w:eastAsia="lv-LV"/>
              </w:rPr>
            </w:pPr>
          </w:p>
        </w:tc>
        <w:tc>
          <w:tcPr>
            <w:tcW w:w="1544" w:type="pct"/>
            <w:gridSpan w:val="2"/>
            <w:tcBorders>
              <w:top w:val="single" w:sz="4" w:space="0" w:color="auto"/>
              <w:left w:val="nil"/>
              <w:bottom w:val="nil"/>
              <w:right w:val="nil"/>
            </w:tcBorders>
          </w:tcPr>
          <w:p w:rsidR="000852E1" w:rsidRPr="000852E1" w:rsidRDefault="000852E1" w:rsidP="009D3419">
            <w:pPr>
              <w:spacing w:after="0" w:line="240" w:lineRule="auto"/>
              <w:rPr>
                <w:rFonts w:ascii="Times New Roman" w:eastAsia="Calibri" w:hAnsi="Times New Roman" w:cs="Times New Roman"/>
                <w:iCs/>
                <w:sz w:val="24"/>
                <w:szCs w:val="24"/>
              </w:rPr>
            </w:pPr>
          </w:p>
        </w:tc>
        <w:tc>
          <w:tcPr>
            <w:tcW w:w="3209" w:type="pct"/>
            <w:gridSpan w:val="5"/>
            <w:tcBorders>
              <w:top w:val="single" w:sz="4" w:space="0" w:color="auto"/>
              <w:left w:val="nil"/>
              <w:bottom w:val="nil"/>
              <w:right w:val="nil"/>
            </w:tcBorders>
          </w:tcPr>
          <w:p w:rsidR="000852E1" w:rsidRPr="000852E1" w:rsidRDefault="000852E1" w:rsidP="009D3419">
            <w:pPr>
              <w:spacing w:after="0" w:line="240" w:lineRule="auto"/>
              <w:ind w:firstLine="300"/>
              <w:rPr>
                <w:rFonts w:ascii="Times New Roman" w:eastAsia="Calibri" w:hAnsi="Times New Roman" w:cs="Times New Roman"/>
                <w:iCs/>
                <w:sz w:val="24"/>
                <w:szCs w:val="24"/>
              </w:rPr>
            </w:pPr>
          </w:p>
        </w:tc>
      </w:tr>
      <w:tr w:rsidR="000852E1" w:rsidRPr="000852E1" w:rsidTr="000852E1">
        <w:trPr>
          <w:trHeight w:val="345"/>
        </w:trPr>
        <w:tc>
          <w:tcPr>
            <w:tcW w:w="247" w:type="pct"/>
            <w:tcBorders>
              <w:top w:val="nil"/>
              <w:left w:val="nil"/>
              <w:bottom w:val="single" w:sz="4" w:space="0" w:color="auto"/>
              <w:right w:val="nil"/>
            </w:tcBorders>
          </w:tcPr>
          <w:p w:rsidR="000852E1" w:rsidRPr="000852E1" w:rsidRDefault="000852E1" w:rsidP="009D3419">
            <w:pPr>
              <w:spacing w:after="0" w:line="240" w:lineRule="auto"/>
              <w:rPr>
                <w:rFonts w:ascii="Times New Roman" w:eastAsia="Times New Roman" w:hAnsi="Times New Roman" w:cs="Times New Roman"/>
                <w:sz w:val="24"/>
                <w:szCs w:val="24"/>
                <w:lang w:eastAsia="lv-LV"/>
              </w:rPr>
            </w:pPr>
          </w:p>
        </w:tc>
        <w:tc>
          <w:tcPr>
            <w:tcW w:w="1544" w:type="pct"/>
            <w:gridSpan w:val="2"/>
            <w:tcBorders>
              <w:top w:val="nil"/>
              <w:left w:val="nil"/>
              <w:bottom w:val="single" w:sz="4" w:space="0" w:color="auto"/>
              <w:right w:val="nil"/>
            </w:tcBorders>
          </w:tcPr>
          <w:p w:rsidR="000852E1" w:rsidRPr="000852E1" w:rsidRDefault="000852E1" w:rsidP="009D3419">
            <w:pPr>
              <w:spacing w:after="0" w:line="240" w:lineRule="auto"/>
              <w:rPr>
                <w:rFonts w:ascii="Times New Roman" w:eastAsia="Calibri" w:hAnsi="Times New Roman" w:cs="Times New Roman"/>
                <w:iCs/>
                <w:sz w:val="24"/>
                <w:szCs w:val="24"/>
              </w:rPr>
            </w:pPr>
          </w:p>
        </w:tc>
        <w:tc>
          <w:tcPr>
            <w:tcW w:w="3209" w:type="pct"/>
            <w:gridSpan w:val="5"/>
            <w:tcBorders>
              <w:top w:val="nil"/>
              <w:left w:val="nil"/>
              <w:bottom w:val="single" w:sz="4" w:space="0" w:color="auto"/>
              <w:right w:val="nil"/>
            </w:tcBorders>
          </w:tcPr>
          <w:p w:rsidR="000852E1" w:rsidRPr="000852E1" w:rsidRDefault="000852E1" w:rsidP="000852E1">
            <w:pPr>
              <w:spacing w:after="0" w:line="240" w:lineRule="auto"/>
              <w:rPr>
                <w:rFonts w:ascii="Times New Roman" w:eastAsia="Calibri" w:hAnsi="Times New Roman" w:cs="Times New Roman"/>
                <w:iCs/>
                <w:sz w:val="24"/>
                <w:szCs w:val="24"/>
              </w:rPr>
            </w:pPr>
          </w:p>
        </w:tc>
      </w:tr>
      <w:tr w:rsidR="00B8520B" w:rsidRPr="000852E1" w:rsidTr="000852E1">
        <w:tblPrEx>
          <w:jc w:val="center"/>
          <w:tblCellMar>
            <w:top w:w="0" w:type="dxa"/>
            <w:left w:w="108" w:type="dxa"/>
            <w:bottom w:w="0" w:type="dxa"/>
            <w:right w:w="108" w:type="dxa"/>
          </w:tblCellMar>
          <w:tblLook w:val="01E0" w:firstRow="1" w:lastRow="1" w:firstColumn="1" w:lastColumn="1" w:noHBand="0" w:noVBand="0"/>
        </w:tblPrEx>
        <w:trPr>
          <w:trHeight w:val="361"/>
          <w:jc w:val="center"/>
        </w:trPr>
        <w:tc>
          <w:tcPr>
            <w:tcW w:w="5000" w:type="pct"/>
            <w:gridSpan w:val="8"/>
            <w:tcBorders>
              <w:top w:val="single" w:sz="4" w:space="0" w:color="auto"/>
            </w:tcBorders>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br w:type="page"/>
            </w:r>
            <w:r w:rsidRPr="000852E1">
              <w:rPr>
                <w:rFonts w:ascii="Times New Roman" w:hAnsi="Times New Roman" w:cs="Times New Roman"/>
                <w:b/>
                <w:sz w:val="24"/>
                <w:szCs w:val="24"/>
              </w:rPr>
              <w:t>III. Tiesību akta projekta ietekme uz valsts budžetu un pašvaldību budžetiem</w:t>
            </w:r>
          </w:p>
        </w:tc>
      </w:tr>
      <w:tr w:rsidR="00B8520B"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restart"/>
            <w:tcBorders>
              <w:bottom w:val="nil"/>
            </w:tcBorders>
            <w:vAlign w:val="center"/>
          </w:tcPr>
          <w:p w:rsidR="00B8520B" w:rsidRPr="000852E1" w:rsidRDefault="00B8520B" w:rsidP="00B8520B">
            <w:pPr>
              <w:spacing w:after="0" w:line="240" w:lineRule="auto"/>
              <w:rPr>
                <w:rFonts w:ascii="Times New Roman" w:hAnsi="Times New Roman" w:cs="Times New Roman"/>
                <w:b/>
                <w:sz w:val="24"/>
                <w:szCs w:val="24"/>
              </w:rPr>
            </w:pPr>
            <w:r w:rsidRPr="000852E1">
              <w:rPr>
                <w:rFonts w:ascii="Times New Roman" w:hAnsi="Times New Roman" w:cs="Times New Roman"/>
                <w:b/>
                <w:sz w:val="24"/>
                <w:szCs w:val="24"/>
              </w:rPr>
              <w:t>Rādītāji</w:t>
            </w:r>
          </w:p>
        </w:tc>
        <w:tc>
          <w:tcPr>
            <w:tcW w:w="1531" w:type="pct"/>
            <w:gridSpan w:val="3"/>
            <w:vMerge w:val="restart"/>
            <w:tcBorders>
              <w:bottom w:val="nil"/>
            </w:tcBorders>
            <w:vAlign w:val="center"/>
          </w:tcPr>
          <w:p w:rsidR="00B8520B" w:rsidRPr="000852E1" w:rsidRDefault="00B8520B" w:rsidP="00991028">
            <w:pPr>
              <w:spacing w:after="0" w:line="240" w:lineRule="auto"/>
              <w:rPr>
                <w:rFonts w:ascii="Times New Roman" w:hAnsi="Times New Roman" w:cs="Times New Roman"/>
                <w:b/>
                <w:sz w:val="24"/>
                <w:szCs w:val="24"/>
              </w:rPr>
            </w:pPr>
            <w:r w:rsidRPr="000852E1">
              <w:rPr>
                <w:rFonts w:ascii="Times New Roman" w:hAnsi="Times New Roman" w:cs="Times New Roman"/>
                <w:b/>
                <w:sz w:val="24"/>
                <w:szCs w:val="24"/>
              </w:rPr>
              <w:t>201</w:t>
            </w:r>
            <w:r w:rsidR="00991028" w:rsidRPr="000852E1">
              <w:rPr>
                <w:rFonts w:ascii="Times New Roman" w:hAnsi="Times New Roman" w:cs="Times New Roman"/>
                <w:b/>
                <w:sz w:val="24"/>
                <w:szCs w:val="24"/>
              </w:rPr>
              <w:t>5</w:t>
            </w:r>
          </w:p>
        </w:tc>
        <w:tc>
          <w:tcPr>
            <w:tcW w:w="2291" w:type="pct"/>
            <w:gridSpan w:val="3"/>
            <w:tcBorders>
              <w:bottom w:val="nil"/>
            </w:tcBorders>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Turpmākie trīs gadi (</w:t>
            </w:r>
            <w:r w:rsidRPr="000852E1">
              <w:rPr>
                <w:rFonts w:ascii="Times New Roman" w:hAnsi="Times New Roman" w:cs="Times New Roman"/>
                <w:i/>
                <w:sz w:val="24"/>
                <w:szCs w:val="24"/>
              </w:rPr>
              <w:t>euro</w:t>
            </w:r>
            <w:r w:rsidRPr="000852E1">
              <w:rPr>
                <w:rFonts w:ascii="Times New Roman" w:hAnsi="Times New Roman" w:cs="Times New Roman"/>
                <w:sz w:val="24"/>
                <w:szCs w:val="24"/>
              </w:rPr>
              <w:t>)</w:t>
            </w:r>
          </w:p>
        </w:tc>
      </w:tr>
      <w:tr w:rsidR="00B8520B"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Borders>
              <w:top w:val="nil"/>
            </w:tcBorders>
            <w:vAlign w:val="center"/>
          </w:tcPr>
          <w:p w:rsidR="00B8520B" w:rsidRPr="000852E1" w:rsidRDefault="00B8520B" w:rsidP="00B8520B">
            <w:pPr>
              <w:spacing w:after="0" w:line="240" w:lineRule="auto"/>
              <w:rPr>
                <w:rFonts w:ascii="Times New Roman" w:hAnsi="Times New Roman" w:cs="Times New Roman"/>
                <w:b/>
                <w:i/>
                <w:sz w:val="24"/>
                <w:szCs w:val="24"/>
              </w:rPr>
            </w:pPr>
          </w:p>
        </w:tc>
        <w:tc>
          <w:tcPr>
            <w:tcW w:w="1531" w:type="pct"/>
            <w:gridSpan w:val="3"/>
            <w:vMerge/>
            <w:tcBorders>
              <w:top w:val="nil"/>
            </w:tcBorders>
            <w:vAlign w:val="center"/>
          </w:tcPr>
          <w:p w:rsidR="00B8520B" w:rsidRPr="000852E1" w:rsidRDefault="00B8520B" w:rsidP="00B8520B">
            <w:pPr>
              <w:spacing w:after="0" w:line="240" w:lineRule="auto"/>
              <w:rPr>
                <w:rFonts w:ascii="Times New Roman" w:hAnsi="Times New Roman" w:cs="Times New Roman"/>
                <w:b/>
                <w:i/>
                <w:sz w:val="24"/>
                <w:szCs w:val="24"/>
              </w:rPr>
            </w:pPr>
          </w:p>
        </w:tc>
        <w:tc>
          <w:tcPr>
            <w:tcW w:w="828" w:type="pct"/>
            <w:tcBorders>
              <w:top w:val="nil"/>
            </w:tcBorders>
            <w:vAlign w:val="center"/>
          </w:tcPr>
          <w:p w:rsidR="00B8520B" w:rsidRPr="000852E1" w:rsidRDefault="00B8520B" w:rsidP="00991028">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sidR="00991028" w:rsidRPr="000852E1">
              <w:rPr>
                <w:rFonts w:ascii="Times New Roman" w:hAnsi="Times New Roman" w:cs="Times New Roman"/>
                <w:b/>
                <w:bCs/>
                <w:sz w:val="24"/>
                <w:szCs w:val="24"/>
              </w:rPr>
              <w:t>6</w:t>
            </w:r>
          </w:p>
        </w:tc>
        <w:tc>
          <w:tcPr>
            <w:tcW w:w="828" w:type="pct"/>
            <w:tcBorders>
              <w:top w:val="nil"/>
            </w:tcBorders>
            <w:vAlign w:val="center"/>
          </w:tcPr>
          <w:p w:rsidR="00B8520B" w:rsidRPr="000852E1" w:rsidRDefault="00B8520B" w:rsidP="00991028">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sidR="00991028" w:rsidRPr="000852E1">
              <w:rPr>
                <w:rFonts w:ascii="Times New Roman" w:hAnsi="Times New Roman" w:cs="Times New Roman"/>
                <w:b/>
                <w:bCs/>
                <w:sz w:val="24"/>
                <w:szCs w:val="24"/>
              </w:rPr>
              <w:t>7</w:t>
            </w:r>
          </w:p>
        </w:tc>
        <w:tc>
          <w:tcPr>
            <w:tcW w:w="635" w:type="pct"/>
            <w:tcBorders>
              <w:top w:val="nil"/>
            </w:tcBorders>
            <w:vAlign w:val="center"/>
          </w:tcPr>
          <w:p w:rsidR="00B8520B" w:rsidRPr="000852E1" w:rsidRDefault="00B8520B" w:rsidP="00991028">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sidR="00991028" w:rsidRPr="000852E1">
              <w:rPr>
                <w:rFonts w:ascii="Times New Roman" w:hAnsi="Times New Roman" w:cs="Times New Roman"/>
                <w:b/>
                <w:bCs/>
                <w:sz w:val="24"/>
                <w:szCs w:val="24"/>
              </w:rPr>
              <w:t>8</w:t>
            </w:r>
          </w:p>
        </w:tc>
      </w:tr>
      <w:tr w:rsidR="00B8520B"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ign w:val="center"/>
          </w:tcPr>
          <w:p w:rsidR="00B8520B" w:rsidRPr="000852E1" w:rsidRDefault="00B8520B" w:rsidP="00B8520B">
            <w:pPr>
              <w:spacing w:after="0" w:line="240" w:lineRule="auto"/>
              <w:rPr>
                <w:rFonts w:ascii="Times New Roman" w:hAnsi="Times New Roman" w:cs="Times New Roman"/>
                <w:b/>
                <w:i/>
                <w:sz w:val="24"/>
                <w:szCs w:val="24"/>
              </w:rPr>
            </w:pPr>
          </w:p>
        </w:tc>
        <w:tc>
          <w:tcPr>
            <w:tcW w:w="735" w:type="pct"/>
            <w:gridSpan w:val="2"/>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saskaņā ar valsts budžetu kārtējam gadam</w:t>
            </w:r>
          </w:p>
        </w:tc>
        <w:tc>
          <w:tcPr>
            <w:tcW w:w="796" w:type="pct"/>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kārtējā gadā, salīdzinot ar budžetu kārtējam gadam</w:t>
            </w:r>
          </w:p>
        </w:tc>
        <w:tc>
          <w:tcPr>
            <w:tcW w:w="828" w:type="pct"/>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c>
          <w:tcPr>
            <w:tcW w:w="828" w:type="pct"/>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c>
          <w:tcPr>
            <w:tcW w:w="635" w:type="pct"/>
            <w:vAlign w:val="center"/>
          </w:tcPr>
          <w:p w:rsidR="00B8520B" w:rsidRPr="000852E1" w:rsidRDefault="00B8520B" w:rsidP="00B8520B">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r>
      <w:tr w:rsidR="00B8520B"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Align w:val="center"/>
          </w:tcPr>
          <w:p w:rsidR="00B8520B" w:rsidRPr="000852E1" w:rsidRDefault="00B8520B" w:rsidP="00B8520B">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1</w:t>
            </w:r>
          </w:p>
        </w:tc>
        <w:tc>
          <w:tcPr>
            <w:tcW w:w="735" w:type="pct"/>
            <w:gridSpan w:val="2"/>
            <w:vAlign w:val="center"/>
          </w:tcPr>
          <w:p w:rsidR="00B8520B" w:rsidRPr="000852E1" w:rsidRDefault="00B8520B" w:rsidP="00B8520B">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2</w:t>
            </w:r>
          </w:p>
        </w:tc>
        <w:tc>
          <w:tcPr>
            <w:tcW w:w="796" w:type="pct"/>
            <w:vAlign w:val="center"/>
          </w:tcPr>
          <w:p w:rsidR="00B8520B" w:rsidRPr="000852E1" w:rsidRDefault="00B8520B" w:rsidP="00B8520B">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3</w:t>
            </w:r>
          </w:p>
        </w:tc>
        <w:tc>
          <w:tcPr>
            <w:tcW w:w="828" w:type="pct"/>
            <w:vAlign w:val="center"/>
          </w:tcPr>
          <w:p w:rsidR="00B8520B" w:rsidRPr="000852E1" w:rsidRDefault="00B8520B" w:rsidP="00B8520B">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4</w:t>
            </w:r>
          </w:p>
        </w:tc>
        <w:tc>
          <w:tcPr>
            <w:tcW w:w="828" w:type="pct"/>
            <w:vAlign w:val="center"/>
          </w:tcPr>
          <w:p w:rsidR="00B8520B" w:rsidRPr="000852E1" w:rsidRDefault="00B8520B" w:rsidP="00B8520B">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5</w:t>
            </w:r>
          </w:p>
        </w:tc>
        <w:tc>
          <w:tcPr>
            <w:tcW w:w="635" w:type="pct"/>
            <w:vAlign w:val="center"/>
          </w:tcPr>
          <w:p w:rsidR="00B8520B" w:rsidRPr="000852E1" w:rsidRDefault="00B8520B" w:rsidP="00B8520B">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6</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 Budžeta ieņēmumi:</w:t>
            </w:r>
          </w:p>
        </w:tc>
        <w:tc>
          <w:tcPr>
            <w:tcW w:w="735" w:type="pct"/>
            <w:gridSpan w:val="2"/>
          </w:tcPr>
          <w:p w:rsidR="00BE6FCD" w:rsidRPr="000852E1" w:rsidRDefault="00991028"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305 744</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635"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1.1. valsts pamatbudžets, tai skaitā ieņēmumi no maksas pakalpojumiem un citi pašu ieņēmumi</w:t>
            </w:r>
          </w:p>
        </w:tc>
        <w:tc>
          <w:tcPr>
            <w:tcW w:w="735" w:type="pct"/>
            <w:gridSpan w:val="2"/>
          </w:tcPr>
          <w:p w:rsidR="00BE6FCD" w:rsidRPr="000852E1" w:rsidRDefault="00991028"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305 744</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635"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1.2. valsts speciālais budžets</w:t>
            </w:r>
          </w:p>
        </w:tc>
        <w:tc>
          <w:tcPr>
            <w:tcW w:w="735"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1.3. pašvaldību budžets</w:t>
            </w:r>
          </w:p>
        </w:tc>
        <w:tc>
          <w:tcPr>
            <w:tcW w:w="735"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 Budžeta izdevumi:</w:t>
            </w:r>
          </w:p>
        </w:tc>
        <w:tc>
          <w:tcPr>
            <w:tcW w:w="735" w:type="pct"/>
            <w:gridSpan w:val="2"/>
          </w:tcPr>
          <w:p w:rsidR="00BE6FCD" w:rsidRPr="000852E1" w:rsidRDefault="00991028"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305 744</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635"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2.1. valsts pamatbudžets</w:t>
            </w:r>
          </w:p>
        </w:tc>
        <w:tc>
          <w:tcPr>
            <w:tcW w:w="735" w:type="pct"/>
            <w:gridSpan w:val="2"/>
          </w:tcPr>
          <w:p w:rsidR="00BE6FCD" w:rsidRPr="000852E1" w:rsidRDefault="00991028"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305 744</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828"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c>
          <w:tcPr>
            <w:tcW w:w="635" w:type="pct"/>
          </w:tcPr>
          <w:p w:rsidR="007656C4" w:rsidRPr="000852E1" w:rsidRDefault="007656C4" w:rsidP="00C804A3">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+65 864</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2.2. valsts speciālais budžets</w:t>
            </w:r>
          </w:p>
        </w:tc>
        <w:tc>
          <w:tcPr>
            <w:tcW w:w="735"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2.3. pašvaldību budžets </w:t>
            </w:r>
          </w:p>
        </w:tc>
        <w:tc>
          <w:tcPr>
            <w:tcW w:w="735"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 Finansiālā ietekme:</w:t>
            </w:r>
          </w:p>
        </w:tc>
        <w:tc>
          <w:tcPr>
            <w:tcW w:w="735" w:type="pct"/>
            <w:gridSpan w:val="2"/>
            <w:shd w:val="clear" w:color="auto" w:fill="auto"/>
            <w:vAlign w:val="center"/>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3.1. valsts pamatbudžets</w:t>
            </w:r>
          </w:p>
        </w:tc>
        <w:tc>
          <w:tcPr>
            <w:tcW w:w="735" w:type="pct"/>
            <w:gridSpan w:val="2"/>
            <w:shd w:val="clear" w:color="auto" w:fill="auto"/>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3.2. speciālais budžets</w:t>
            </w:r>
          </w:p>
        </w:tc>
        <w:tc>
          <w:tcPr>
            <w:tcW w:w="735" w:type="pct"/>
            <w:gridSpan w:val="2"/>
            <w:shd w:val="clear" w:color="auto" w:fill="auto"/>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3.3. pašvaldību budžets </w:t>
            </w:r>
          </w:p>
        </w:tc>
        <w:tc>
          <w:tcPr>
            <w:tcW w:w="735" w:type="pct"/>
            <w:gridSpan w:val="2"/>
            <w:shd w:val="clear" w:color="auto" w:fill="auto"/>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restar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4. Finanšu līdzekļi papildu izdevumu finansēšanai (kompensējošu izdevumu samazinājumu norāda ar "+" zīmi)</w:t>
            </w:r>
          </w:p>
        </w:tc>
        <w:tc>
          <w:tcPr>
            <w:tcW w:w="735" w:type="pct"/>
            <w:gridSpan w:val="2"/>
            <w:vMerge w:val="restart"/>
          </w:tcPr>
          <w:p w:rsidR="00BE6FCD" w:rsidRPr="000852E1" w:rsidRDefault="00BE6FCD" w:rsidP="00BE6FCD">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X</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Pr>
          <w:p w:rsidR="00BE6FCD" w:rsidRPr="000852E1" w:rsidRDefault="00BE6FCD" w:rsidP="00BE6FCD">
            <w:pPr>
              <w:spacing w:after="0" w:line="240" w:lineRule="auto"/>
              <w:rPr>
                <w:rFonts w:ascii="Times New Roman" w:hAnsi="Times New Roman" w:cs="Times New Roman"/>
                <w:sz w:val="24"/>
                <w:szCs w:val="24"/>
              </w:rPr>
            </w:pPr>
          </w:p>
        </w:tc>
        <w:tc>
          <w:tcPr>
            <w:tcW w:w="735" w:type="pct"/>
            <w:gridSpan w:val="2"/>
            <w:vMerge/>
          </w:tcPr>
          <w:p w:rsidR="00BE6FCD" w:rsidRPr="000852E1" w:rsidRDefault="00BE6FCD" w:rsidP="00BE6FCD">
            <w:pPr>
              <w:spacing w:after="0" w:line="240" w:lineRule="auto"/>
              <w:rPr>
                <w:rFonts w:ascii="Times New Roman" w:hAnsi="Times New Roman" w:cs="Times New Roman"/>
                <w:i/>
                <w:sz w:val="24"/>
                <w:szCs w:val="24"/>
              </w:rPr>
            </w:pP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Pr>
          <w:p w:rsidR="00BE6FCD" w:rsidRPr="000852E1" w:rsidRDefault="00BE6FCD" w:rsidP="00BE6FCD">
            <w:pPr>
              <w:spacing w:after="0" w:line="240" w:lineRule="auto"/>
              <w:rPr>
                <w:rFonts w:ascii="Times New Roman" w:hAnsi="Times New Roman" w:cs="Times New Roman"/>
                <w:sz w:val="24"/>
                <w:szCs w:val="24"/>
              </w:rPr>
            </w:pPr>
          </w:p>
        </w:tc>
        <w:tc>
          <w:tcPr>
            <w:tcW w:w="735" w:type="pct"/>
            <w:gridSpan w:val="2"/>
            <w:vMerge/>
          </w:tcPr>
          <w:p w:rsidR="00BE6FCD" w:rsidRPr="000852E1" w:rsidRDefault="00BE6FCD" w:rsidP="00BE6FCD">
            <w:pPr>
              <w:spacing w:after="0" w:line="240" w:lineRule="auto"/>
              <w:rPr>
                <w:rFonts w:ascii="Times New Roman" w:hAnsi="Times New Roman" w:cs="Times New Roman"/>
                <w:i/>
                <w:sz w:val="24"/>
                <w:szCs w:val="24"/>
              </w:rPr>
            </w:pP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 Precizēta finansiālā ietekme:</w:t>
            </w:r>
          </w:p>
        </w:tc>
        <w:tc>
          <w:tcPr>
            <w:tcW w:w="735" w:type="pct"/>
            <w:gridSpan w:val="2"/>
            <w:vMerge w:val="restart"/>
          </w:tcPr>
          <w:p w:rsidR="00BE6FCD" w:rsidRPr="000852E1" w:rsidRDefault="00BE6FCD" w:rsidP="00BE6FCD">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X</w:t>
            </w: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5.1. valsts </w:t>
            </w:r>
            <w:r w:rsidRPr="000852E1">
              <w:rPr>
                <w:rFonts w:ascii="Times New Roman" w:hAnsi="Times New Roman" w:cs="Times New Roman"/>
                <w:sz w:val="24"/>
                <w:szCs w:val="24"/>
              </w:rPr>
              <w:lastRenderedPageBreak/>
              <w:t>pamatbudžets</w:t>
            </w:r>
          </w:p>
        </w:tc>
        <w:tc>
          <w:tcPr>
            <w:tcW w:w="735" w:type="pct"/>
            <w:gridSpan w:val="2"/>
            <w:vMerge/>
            <w:vAlign w:val="center"/>
          </w:tcPr>
          <w:p w:rsidR="00BE6FCD" w:rsidRPr="000852E1" w:rsidRDefault="00BE6FCD" w:rsidP="00BE6FCD">
            <w:pPr>
              <w:spacing w:after="0" w:line="240" w:lineRule="auto"/>
              <w:rPr>
                <w:rFonts w:ascii="Times New Roman" w:hAnsi="Times New Roman" w:cs="Times New Roman"/>
                <w:i/>
                <w:sz w:val="24"/>
                <w:szCs w:val="24"/>
                <w:highlight w:val="yellow"/>
              </w:rPr>
            </w:pP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lastRenderedPageBreak/>
              <w:t>5.2. speciālais budžets</w:t>
            </w:r>
          </w:p>
        </w:tc>
        <w:tc>
          <w:tcPr>
            <w:tcW w:w="735" w:type="pct"/>
            <w:gridSpan w:val="2"/>
            <w:vMerge/>
            <w:vAlign w:val="center"/>
          </w:tcPr>
          <w:p w:rsidR="00BE6FCD" w:rsidRPr="000852E1" w:rsidRDefault="00BE6FCD" w:rsidP="00BE6FCD">
            <w:pPr>
              <w:spacing w:after="0" w:line="240" w:lineRule="auto"/>
              <w:rPr>
                <w:rFonts w:ascii="Times New Roman" w:hAnsi="Times New Roman" w:cs="Times New Roman"/>
                <w:i/>
                <w:sz w:val="24"/>
                <w:szCs w:val="24"/>
                <w:highlight w:val="yellow"/>
              </w:rPr>
            </w:pP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0852E1">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5.3. pašvaldību budžets </w:t>
            </w:r>
          </w:p>
        </w:tc>
        <w:tc>
          <w:tcPr>
            <w:tcW w:w="735" w:type="pct"/>
            <w:gridSpan w:val="2"/>
            <w:vMerge/>
            <w:vAlign w:val="center"/>
          </w:tcPr>
          <w:p w:rsidR="00BE6FCD" w:rsidRPr="000852E1" w:rsidRDefault="00BE6FCD" w:rsidP="00BE6FCD">
            <w:pPr>
              <w:spacing w:after="0" w:line="240" w:lineRule="auto"/>
              <w:rPr>
                <w:rFonts w:ascii="Times New Roman" w:hAnsi="Times New Roman" w:cs="Times New Roman"/>
                <w:i/>
                <w:sz w:val="24"/>
                <w:szCs w:val="24"/>
                <w:highlight w:val="yellow"/>
              </w:rPr>
            </w:pPr>
          </w:p>
        </w:tc>
        <w:tc>
          <w:tcPr>
            <w:tcW w:w="796"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8"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5"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 Detalizēts ieņēmumu un izdevumu aprēķins (ja nepie</w:t>
            </w:r>
            <w:r w:rsidRPr="000852E1">
              <w:rPr>
                <w:rFonts w:ascii="Times New Roman" w:hAnsi="Times New Roman" w:cs="Times New Roman"/>
                <w:sz w:val="24"/>
                <w:szCs w:val="24"/>
              </w:rPr>
              <w:softHyphen/>
              <w:t>ciešams, detalizētu ieņēmumu un izdevumu aprēķinu var pie</w:t>
            </w:r>
            <w:r w:rsidRPr="000852E1">
              <w:rPr>
                <w:rFonts w:ascii="Times New Roman" w:hAnsi="Times New Roman" w:cs="Times New Roman"/>
                <w:sz w:val="24"/>
                <w:szCs w:val="24"/>
              </w:rPr>
              <w:softHyphen/>
              <w:t>vienot anotācijas pielikumā):</w:t>
            </w:r>
          </w:p>
        </w:tc>
        <w:tc>
          <w:tcPr>
            <w:tcW w:w="3822" w:type="pct"/>
            <w:gridSpan w:val="6"/>
            <w:vMerge w:val="restart"/>
            <w:vAlign w:val="center"/>
          </w:tcPr>
          <w:p w:rsidR="00BE6FCD" w:rsidRPr="000852E1" w:rsidRDefault="00BE6FCD" w:rsidP="00BE6FCD">
            <w:pPr>
              <w:spacing w:after="0" w:line="240" w:lineRule="auto"/>
              <w:ind w:right="112"/>
              <w:jc w:val="both"/>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 xml:space="preserve">Aktualizējot maksas pakalpojumu izcenojumus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izdevumi. Aprēķinā iekļautas arī uz katra </w:t>
            </w:r>
            <w:r w:rsidR="00D36FB8" w:rsidRPr="000852E1">
              <w:rPr>
                <w:rFonts w:ascii="Times New Roman" w:eastAsia="Times New Roman" w:hAnsi="Times New Roman" w:cs="Times New Roman"/>
                <w:sz w:val="24"/>
                <w:szCs w:val="24"/>
                <w:lang w:eastAsia="lv-LV"/>
              </w:rPr>
              <w:t xml:space="preserve">maksas </w:t>
            </w:r>
            <w:r w:rsidRPr="000852E1">
              <w:rPr>
                <w:rFonts w:ascii="Times New Roman" w:eastAsia="Times New Roman" w:hAnsi="Times New Roman" w:cs="Times New Roman"/>
                <w:sz w:val="24"/>
                <w:szCs w:val="24"/>
                <w:lang w:eastAsia="lv-LV"/>
              </w:rPr>
              <w:t>pakalpojuma sniegšanu attiecināmās netiešās izmaksas.</w:t>
            </w:r>
          </w:p>
          <w:p w:rsidR="00BE6FCD" w:rsidRPr="000852E1" w:rsidRDefault="00BE6FCD" w:rsidP="00BE6FCD">
            <w:pPr>
              <w:spacing w:after="0" w:line="240" w:lineRule="auto"/>
              <w:jc w:val="both"/>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Detalizēts aprēķins sniegts projekta sākotnējās ietekmes novērtējuma ziņojuma (anotācijas) 1.</w:t>
            </w:r>
            <w:r w:rsidR="008322A4" w:rsidRPr="000852E1">
              <w:rPr>
                <w:rFonts w:ascii="Times New Roman" w:eastAsia="Times New Roman" w:hAnsi="Times New Roman" w:cs="Times New Roman"/>
                <w:sz w:val="24"/>
                <w:szCs w:val="24"/>
                <w:lang w:eastAsia="lv-LV"/>
              </w:rPr>
              <w:t xml:space="preserve"> un 2.</w:t>
            </w:r>
            <w:r w:rsidRPr="000852E1">
              <w:rPr>
                <w:rFonts w:ascii="Times New Roman" w:eastAsia="Times New Roman" w:hAnsi="Times New Roman" w:cs="Times New Roman"/>
                <w:sz w:val="24"/>
                <w:szCs w:val="24"/>
                <w:lang w:eastAsia="lv-LV"/>
              </w:rPr>
              <w:t>pielikumā.</w:t>
            </w:r>
          </w:p>
          <w:p w:rsidR="00BE6FCD" w:rsidRPr="000852E1" w:rsidRDefault="00BE6FCD" w:rsidP="00BE6FCD">
            <w:pPr>
              <w:spacing w:after="0" w:line="240" w:lineRule="auto"/>
              <w:rPr>
                <w:rFonts w:ascii="Times New Roman" w:hAnsi="Times New Roman" w:cs="Times New Roman"/>
                <w:sz w:val="24"/>
                <w:szCs w:val="24"/>
                <w:highlight w:val="yellow"/>
              </w:rPr>
            </w:pPr>
          </w:p>
        </w:tc>
      </w:tr>
      <w:tr w:rsidR="00BE6FCD" w:rsidRPr="000852E1"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6.1. detalizēts ieņēmumu aprēķins</w:t>
            </w:r>
          </w:p>
        </w:tc>
        <w:tc>
          <w:tcPr>
            <w:tcW w:w="3822" w:type="pct"/>
            <w:gridSpan w:val="6"/>
            <w:vMerge/>
          </w:tcPr>
          <w:p w:rsidR="00BE6FCD" w:rsidRPr="000852E1" w:rsidRDefault="00BE6FCD" w:rsidP="00BE6FCD">
            <w:pPr>
              <w:spacing w:after="0" w:line="240" w:lineRule="auto"/>
              <w:rPr>
                <w:rFonts w:ascii="Times New Roman" w:hAnsi="Times New Roman" w:cs="Times New Roman"/>
                <w:b/>
                <w:i/>
                <w:sz w:val="24"/>
                <w:szCs w:val="24"/>
                <w:highlight w:val="yellow"/>
              </w:rPr>
            </w:pPr>
          </w:p>
        </w:tc>
      </w:tr>
      <w:tr w:rsidR="00BE6FCD" w:rsidRPr="000852E1" w:rsidTr="00B307E3">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Borders>
              <w:bottom w:val="single" w:sz="4" w:space="0" w:color="auto"/>
            </w:tcBorders>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6.2. detalizēts izdevumu aprēķins</w:t>
            </w:r>
          </w:p>
        </w:tc>
        <w:tc>
          <w:tcPr>
            <w:tcW w:w="3822" w:type="pct"/>
            <w:gridSpan w:val="6"/>
            <w:vMerge/>
            <w:tcBorders>
              <w:bottom w:val="single" w:sz="4" w:space="0" w:color="auto"/>
            </w:tcBorders>
          </w:tcPr>
          <w:p w:rsidR="00BE6FCD" w:rsidRPr="000852E1" w:rsidRDefault="00BE6FCD" w:rsidP="00BE6FCD">
            <w:pPr>
              <w:spacing w:after="0" w:line="240" w:lineRule="auto"/>
              <w:rPr>
                <w:rFonts w:ascii="Times New Roman" w:hAnsi="Times New Roman" w:cs="Times New Roman"/>
                <w:b/>
                <w:i/>
                <w:sz w:val="24"/>
                <w:szCs w:val="24"/>
                <w:highlight w:val="yellow"/>
              </w:rPr>
            </w:pPr>
          </w:p>
        </w:tc>
      </w:tr>
      <w:tr w:rsidR="00BE6FCD" w:rsidRPr="000852E1" w:rsidTr="00B307E3">
        <w:tblPrEx>
          <w:jc w:val="center"/>
          <w:tblCellMar>
            <w:top w:w="0" w:type="dxa"/>
            <w:left w:w="108" w:type="dxa"/>
            <w:bottom w:w="0" w:type="dxa"/>
            <w:right w:w="108" w:type="dxa"/>
          </w:tblCellMar>
          <w:tblLook w:val="01E0" w:firstRow="1" w:lastRow="1" w:firstColumn="1" w:lastColumn="1" w:noHBand="0" w:noVBand="0"/>
        </w:tblPrEx>
        <w:trPr>
          <w:trHeight w:val="144"/>
          <w:jc w:val="center"/>
        </w:trPr>
        <w:tc>
          <w:tcPr>
            <w:tcW w:w="1178" w:type="pct"/>
            <w:gridSpan w:val="2"/>
            <w:tcBorders>
              <w:bottom w:val="single" w:sz="4" w:space="0" w:color="auto"/>
            </w:tcBorders>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7. Cita informācija</w:t>
            </w:r>
          </w:p>
        </w:tc>
        <w:tc>
          <w:tcPr>
            <w:tcW w:w="3822" w:type="pct"/>
            <w:gridSpan w:val="6"/>
            <w:tcBorders>
              <w:bottom w:val="single" w:sz="4" w:space="0" w:color="auto"/>
            </w:tcBorders>
          </w:tcPr>
          <w:p w:rsidR="00BE6FCD" w:rsidRPr="000852E1" w:rsidRDefault="00BE6FCD">
            <w:pPr>
              <w:spacing w:after="0" w:line="240" w:lineRule="auto"/>
              <w:jc w:val="both"/>
              <w:rPr>
                <w:rFonts w:ascii="Times New Roman" w:hAnsi="Times New Roman" w:cs="Times New Roman"/>
                <w:sz w:val="24"/>
                <w:szCs w:val="24"/>
                <w:highlight w:val="yellow"/>
              </w:rPr>
            </w:pPr>
            <w:r w:rsidRPr="000852E1">
              <w:rPr>
                <w:rFonts w:ascii="Times New Roman" w:eastAsia="Times New Roman" w:hAnsi="Times New Roman" w:cs="Times New Roman"/>
                <w:sz w:val="24"/>
                <w:szCs w:val="24"/>
              </w:rPr>
              <w:t xml:space="preserve">Ieņēmumi no Aģentūras </w:t>
            </w:r>
            <w:r w:rsidR="00D36FB8" w:rsidRPr="000852E1">
              <w:rPr>
                <w:rFonts w:ascii="Times New Roman" w:eastAsia="Times New Roman" w:hAnsi="Times New Roman" w:cs="Times New Roman"/>
                <w:sz w:val="24"/>
                <w:szCs w:val="24"/>
              </w:rPr>
              <w:t xml:space="preserve">sniegtajiem </w:t>
            </w:r>
            <w:r w:rsidRPr="000852E1">
              <w:rPr>
                <w:rFonts w:ascii="Times New Roman" w:eastAsia="Times New Roman" w:hAnsi="Times New Roman" w:cs="Times New Roman"/>
                <w:sz w:val="24"/>
                <w:szCs w:val="24"/>
              </w:rPr>
              <w:t xml:space="preserve">maksas pakalpojumiem tiks ieskaitīti </w:t>
            </w:r>
            <w:r w:rsidR="00D36FB8" w:rsidRPr="000852E1">
              <w:rPr>
                <w:rFonts w:ascii="Times New Roman" w:eastAsia="Times New Roman" w:hAnsi="Times New Roman" w:cs="Times New Roman"/>
                <w:sz w:val="24"/>
                <w:szCs w:val="24"/>
              </w:rPr>
              <w:t xml:space="preserve">Iekšlietu ministrijas </w:t>
            </w:r>
            <w:r w:rsidRPr="000852E1">
              <w:rPr>
                <w:rFonts w:ascii="Times New Roman" w:eastAsia="Times New Roman" w:hAnsi="Times New Roman" w:cs="Times New Roman"/>
                <w:sz w:val="24"/>
                <w:szCs w:val="24"/>
              </w:rPr>
              <w:t xml:space="preserve">budžeta </w:t>
            </w:r>
            <w:r w:rsidR="00D36FB8" w:rsidRPr="000852E1">
              <w:rPr>
                <w:rFonts w:ascii="Times New Roman" w:eastAsia="Times New Roman" w:hAnsi="Times New Roman" w:cs="Times New Roman"/>
                <w:sz w:val="24"/>
                <w:szCs w:val="24"/>
              </w:rPr>
              <w:t>apakš</w:t>
            </w:r>
            <w:r w:rsidRPr="000852E1">
              <w:rPr>
                <w:rFonts w:ascii="Times New Roman" w:eastAsia="Times New Roman" w:hAnsi="Times New Roman" w:cs="Times New Roman"/>
                <w:sz w:val="24"/>
                <w:szCs w:val="24"/>
              </w:rPr>
              <w:t>programm</w:t>
            </w:r>
            <w:r w:rsidR="00D36FB8" w:rsidRPr="000852E1">
              <w:rPr>
                <w:rFonts w:ascii="Times New Roman" w:eastAsia="Times New Roman" w:hAnsi="Times New Roman" w:cs="Times New Roman"/>
                <w:sz w:val="24"/>
                <w:szCs w:val="24"/>
              </w:rPr>
              <w:t xml:space="preserve">ai </w:t>
            </w:r>
            <w:r w:rsidRPr="000852E1">
              <w:rPr>
                <w:rFonts w:ascii="Times New Roman" w:eastAsia="Times New Roman" w:hAnsi="Times New Roman" w:cs="Times New Roman"/>
                <w:sz w:val="24"/>
                <w:szCs w:val="24"/>
              </w:rPr>
              <w:t>40.02.00 „Nekustamais īpašums un centralizētais iepirkums”</w:t>
            </w:r>
            <w:r w:rsidR="003962EB" w:rsidRPr="000852E1">
              <w:rPr>
                <w:rFonts w:ascii="Times New Roman" w:eastAsia="Times New Roman" w:hAnsi="Times New Roman" w:cs="Times New Roman"/>
                <w:sz w:val="24"/>
                <w:szCs w:val="24"/>
              </w:rPr>
              <w:t xml:space="preserve"> </w:t>
            </w:r>
            <w:r w:rsidR="00D36FB8" w:rsidRPr="000852E1">
              <w:rPr>
                <w:rFonts w:ascii="Times New Roman" w:eastAsia="Times New Roman" w:hAnsi="Times New Roman" w:cs="Times New Roman"/>
                <w:sz w:val="24"/>
                <w:szCs w:val="24"/>
              </w:rPr>
              <w:t>atvērtajā valsts pamatbudžeta kontā</w:t>
            </w:r>
            <w:r w:rsidRPr="000852E1">
              <w:rPr>
                <w:rFonts w:ascii="Times New Roman" w:eastAsia="Times New Roman" w:hAnsi="Times New Roman" w:cs="Times New Roman"/>
                <w:sz w:val="24"/>
                <w:szCs w:val="24"/>
              </w:rPr>
              <w:t xml:space="preserve"> un tiks izlietoti izdevumu, kas saistīti ar Aģentūras maksas pakalpojumu sniegšanu, segšanai.</w:t>
            </w:r>
          </w:p>
        </w:tc>
      </w:tr>
      <w:tr w:rsidR="00B307E3" w:rsidRPr="000852E1" w:rsidTr="00B307E3">
        <w:tblPrEx>
          <w:jc w:val="center"/>
          <w:tblCellMar>
            <w:top w:w="0" w:type="dxa"/>
            <w:left w:w="108" w:type="dxa"/>
            <w:bottom w:w="0" w:type="dxa"/>
            <w:right w:w="108" w:type="dxa"/>
          </w:tblCellMar>
          <w:tblLook w:val="01E0" w:firstRow="1" w:lastRow="1" w:firstColumn="1" w:lastColumn="1" w:noHBand="0" w:noVBand="0"/>
        </w:tblPrEx>
        <w:trPr>
          <w:trHeight w:val="144"/>
          <w:jc w:val="center"/>
        </w:trPr>
        <w:tc>
          <w:tcPr>
            <w:tcW w:w="1178" w:type="pct"/>
            <w:gridSpan w:val="2"/>
            <w:tcBorders>
              <w:top w:val="single" w:sz="4" w:space="0" w:color="auto"/>
              <w:left w:val="nil"/>
              <w:bottom w:val="nil"/>
              <w:right w:val="nil"/>
            </w:tcBorders>
          </w:tcPr>
          <w:p w:rsidR="00B307E3" w:rsidRPr="000852E1" w:rsidRDefault="00B307E3" w:rsidP="00BE6FCD">
            <w:pPr>
              <w:spacing w:after="0" w:line="240" w:lineRule="auto"/>
              <w:rPr>
                <w:rFonts w:ascii="Times New Roman" w:hAnsi="Times New Roman" w:cs="Times New Roman"/>
                <w:sz w:val="24"/>
                <w:szCs w:val="24"/>
              </w:rPr>
            </w:pPr>
          </w:p>
        </w:tc>
        <w:tc>
          <w:tcPr>
            <w:tcW w:w="3822" w:type="pct"/>
            <w:gridSpan w:val="6"/>
            <w:tcBorders>
              <w:top w:val="single" w:sz="4" w:space="0" w:color="auto"/>
              <w:left w:val="nil"/>
              <w:bottom w:val="nil"/>
              <w:right w:val="nil"/>
            </w:tcBorders>
          </w:tcPr>
          <w:p w:rsidR="00B307E3" w:rsidRPr="000852E1" w:rsidRDefault="00B307E3">
            <w:pPr>
              <w:spacing w:after="0" w:line="240" w:lineRule="auto"/>
              <w:jc w:val="both"/>
              <w:rPr>
                <w:rFonts w:ascii="Times New Roman" w:eastAsia="Times New Roman" w:hAnsi="Times New Roman" w:cs="Times New Roman"/>
                <w:sz w:val="24"/>
                <w:szCs w:val="24"/>
              </w:rPr>
            </w:pPr>
          </w:p>
        </w:tc>
      </w:tr>
      <w:tr w:rsidR="00B307E3" w:rsidRPr="000852E1" w:rsidTr="00B307E3">
        <w:tblPrEx>
          <w:jc w:val="center"/>
          <w:tblCellMar>
            <w:top w:w="0" w:type="dxa"/>
            <w:left w:w="108" w:type="dxa"/>
            <w:bottom w:w="0" w:type="dxa"/>
            <w:right w:w="108" w:type="dxa"/>
          </w:tblCellMar>
          <w:tblLook w:val="01E0" w:firstRow="1" w:lastRow="1" w:firstColumn="1" w:lastColumn="1" w:noHBand="0" w:noVBand="0"/>
        </w:tblPrEx>
        <w:trPr>
          <w:trHeight w:val="144"/>
          <w:jc w:val="center"/>
        </w:trPr>
        <w:tc>
          <w:tcPr>
            <w:tcW w:w="1178" w:type="pct"/>
            <w:gridSpan w:val="2"/>
            <w:tcBorders>
              <w:top w:val="nil"/>
              <w:left w:val="nil"/>
              <w:bottom w:val="single" w:sz="4" w:space="0" w:color="auto"/>
              <w:right w:val="nil"/>
            </w:tcBorders>
          </w:tcPr>
          <w:p w:rsidR="00B307E3" w:rsidRPr="000852E1" w:rsidRDefault="00B307E3" w:rsidP="00BE6FCD">
            <w:pPr>
              <w:spacing w:after="0" w:line="240" w:lineRule="auto"/>
              <w:rPr>
                <w:rFonts w:ascii="Times New Roman" w:hAnsi="Times New Roman" w:cs="Times New Roman"/>
                <w:sz w:val="24"/>
                <w:szCs w:val="24"/>
              </w:rPr>
            </w:pPr>
          </w:p>
        </w:tc>
        <w:tc>
          <w:tcPr>
            <w:tcW w:w="3822" w:type="pct"/>
            <w:gridSpan w:val="6"/>
            <w:tcBorders>
              <w:top w:val="nil"/>
              <w:left w:val="nil"/>
              <w:bottom w:val="single" w:sz="4" w:space="0" w:color="auto"/>
              <w:right w:val="nil"/>
            </w:tcBorders>
          </w:tcPr>
          <w:p w:rsidR="00B307E3" w:rsidRPr="000852E1" w:rsidRDefault="00B307E3">
            <w:pPr>
              <w:spacing w:after="0" w:line="240" w:lineRule="auto"/>
              <w:jc w:val="both"/>
              <w:rPr>
                <w:rFonts w:ascii="Times New Roman" w:eastAsia="Times New Roman" w:hAnsi="Times New Roman" w:cs="Times New Roman"/>
                <w:sz w:val="24"/>
                <w:szCs w:val="24"/>
              </w:rPr>
            </w:pPr>
          </w:p>
        </w:tc>
      </w:tr>
      <w:tr w:rsidR="00BE6FCD" w:rsidRPr="000852E1" w:rsidTr="00B307E3">
        <w:tblPrEx>
          <w:tblCellMar>
            <w:top w:w="0" w:type="dxa"/>
            <w:left w:w="108" w:type="dxa"/>
            <w:bottom w:w="0" w:type="dxa"/>
            <w:right w:w="108" w:type="dxa"/>
          </w:tblCellMar>
        </w:tblPrEx>
        <w:trPr>
          <w:trHeight w:val="404"/>
        </w:trPr>
        <w:tc>
          <w:tcPr>
            <w:tcW w:w="5000" w:type="pct"/>
            <w:gridSpan w:val="8"/>
            <w:tcBorders>
              <w:top w:val="single" w:sz="4" w:space="0" w:color="auto"/>
            </w:tcBorders>
          </w:tcPr>
          <w:p w:rsidR="00BE6FCD" w:rsidRPr="000852E1" w:rsidRDefault="00BE6FCD" w:rsidP="00BE6FCD">
            <w:pPr>
              <w:spacing w:after="0" w:line="240" w:lineRule="auto"/>
              <w:rPr>
                <w:rFonts w:ascii="Times New Roman" w:hAnsi="Times New Roman" w:cs="Times New Roman"/>
                <w:sz w:val="24"/>
                <w:szCs w:val="24"/>
              </w:rPr>
            </w:pPr>
          </w:p>
          <w:p w:rsidR="005C0C4A" w:rsidRPr="000852E1" w:rsidRDefault="00BE6FCD" w:rsidP="00BE6FCD">
            <w:pPr>
              <w:spacing w:after="0" w:line="240" w:lineRule="auto"/>
              <w:rPr>
                <w:rFonts w:ascii="Times New Roman" w:hAnsi="Times New Roman" w:cs="Times New Roman"/>
                <w:b/>
                <w:sz w:val="24"/>
                <w:szCs w:val="24"/>
              </w:rPr>
            </w:pPr>
            <w:r w:rsidRPr="000852E1">
              <w:rPr>
                <w:rFonts w:ascii="Times New Roman" w:hAnsi="Times New Roman" w:cs="Times New Roman"/>
                <w:b/>
                <w:sz w:val="24"/>
                <w:szCs w:val="24"/>
              </w:rPr>
              <w:t>IV. Tiesību akta projekta ietekme uz spēkā esošo tiesību normu sistēmu</w:t>
            </w:r>
          </w:p>
        </w:tc>
      </w:tr>
      <w:tr w:rsidR="00BE6FCD" w:rsidRPr="000852E1" w:rsidTr="000852E1">
        <w:tblPrEx>
          <w:tblCellMar>
            <w:top w:w="0" w:type="dxa"/>
            <w:left w:w="108" w:type="dxa"/>
            <w:bottom w:w="0" w:type="dxa"/>
            <w:right w:w="108" w:type="dxa"/>
          </w:tblCellMar>
        </w:tblPrEx>
        <w:trPr>
          <w:trHeight w:val="404"/>
        </w:trPr>
        <w:tc>
          <w:tcPr>
            <w:tcW w:w="247"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1.</w:t>
            </w:r>
          </w:p>
        </w:tc>
        <w:tc>
          <w:tcPr>
            <w:tcW w:w="931" w:type="pct"/>
          </w:tcPr>
          <w:p w:rsidR="00BE6FCD" w:rsidRPr="000852E1" w:rsidRDefault="00BE6FCD" w:rsidP="00BE6FCD">
            <w:pPr>
              <w:spacing w:after="0" w:line="240" w:lineRule="auto"/>
              <w:rPr>
                <w:rFonts w:ascii="Times New Roman" w:hAnsi="Times New Roman" w:cs="Times New Roman"/>
                <w:b/>
                <w:sz w:val="24"/>
                <w:szCs w:val="24"/>
              </w:rPr>
            </w:pPr>
            <w:r w:rsidRPr="000852E1">
              <w:rPr>
                <w:rFonts w:ascii="Times New Roman" w:hAnsi="Times New Roman" w:cs="Times New Roman"/>
                <w:sz w:val="24"/>
                <w:szCs w:val="24"/>
              </w:rPr>
              <w:t>Nepieciešamie saistītie tiesību aktu projekti</w:t>
            </w:r>
          </w:p>
        </w:tc>
        <w:tc>
          <w:tcPr>
            <w:tcW w:w="3822" w:type="pct"/>
            <w:gridSpan w:val="6"/>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Projekts šo jomu neskar</w:t>
            </w:r>
            <w:r w:rsidR="005C0C4A" w:rsidRPr="000852E1">
              <w:rPr>
                <w:rFonts w:ascii="Times New Roman" w:hAnsi="Times New Roman" w:cs="Times New Roman"/>
                <w:sz w:val="24"/>
                <w:szCs w:val="24"/>
              </w:rPr>
              <w:t>.</w:t>
            </w:r>
          </w:p>
          <w:p w:rsidR="00BE6FCD" w:rsidRPr="000852E1" w:rsidRDefault="00BE6FCD" w:rsidP="00BE6FCD">
            <w:pPr>
              <w:spacing w:after="0" w:line="240" w:lineRule="auto"/>
              <w:rPr>
                <w:rFonts w:ascii="Times New Roman" w:hAnsi="Times New Roman" w:cs="Times New Roman"/>
                <w:b/>
                <w:sz w:val="24"/>
                <w:szCs w:val="24"/>
              </w:rPr>
            </w:pPr>
          </w:p>
        </w:tc>
      </w:tr>
      <w:tr w:rsidR="00BE6FCD" w:rsidRPr="000852E1" w:rsidTr="000852E1">
        <w:tblPrEx>
          <w:tblCellMar>
            <w:top w:w="0" w:type="dxa"/>
            <w:left w:w="108" w:type="dxa"/>
            <w:bottom w:w="0" w:type="dxa"/>
            <w:right w:w="108" w:type="dxa"/>
          </w:tblCellMar>
        </w:tblPrEx>
        <w:trPr>
          <w:trHeight w:val="404"/>
        </w:trPr>
        <w:tc>
          <w:tcPr>
            <w:tcW w:w="247"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w:t>
            </w:r>
          </w:p>
        </w:tc>
        <w:tc>
          <w:tcPr>
            <w:tcW w:w="931" w:type="pct"/>
          </w:tcPr>
          <w:p w:rsidR="00BE6FCD" w:rsidRPr="000852E1" w:rsidRDefault="00BE6FCD" w:rsidP="00BE6FCD">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Cita informācija</w:t>
            </w:r>
          </w:p>
        </w:tc>
        <w:tc>
          <w:tcPr>
            <w:tcW w:w="3822" w:type="pct"/>
            <w:gridSpan w:val="6"/>
          </w:tcPr>
          <w:p w:rsidR="00BE6FCD" w:rsidRPr="000852E1" w:rsidRDefault="00461622" w:rsidP="00B56F0D">
            <w:pPr>
              <w:spacing w:after="0" w:line="240" w:lineRule="auto"/>
              <w:jc w:val="both"/>
              <w:rPr>
                <w:rFonts w:ascii="Times New Roman" w:hAnsi="Times New Roman" w:cs="Times New Roman"/>
                <w:sz w:val="24"/>
                <w:szCs w:val="24"/>
              </w:rPr>
            </w:pPr>
            <w:r w:rsidRPr="000852E1">
              <w:rPr>
                <w:rFonts w:ascii="Times New Roman" w:hAnsi="Times New Roman" w:cs="Times New Roman"/>
                <w:sz w:val="24"/>
                <w:szCs w:val="24"/>
              </w:rPr>
              <w:t xml:space="preserve"> </w:t>
            </w:r>
          </w:p>
        </w:tc>
      </w:tr>
    </w:tbl>
    <w:p w:rsidR="007F6B1C" w:rsidRPr="000852E1" w:rsidRDefault="007F6B1C" w:rsidP="007F6B1C">
      <w:pPr>
        <w:spacing w:after="0" w:line="240" w:lineRule="auto"/>
        <w:rPr>
          <w:rFonts w:ascii="Times New Roman" w:hAnsi="Times New Roman" w:cs="Times New Roman"/>
          <w:sz w:val="24"/>
          <w:szCs w:val="24"/>
        </w:rPr>
      </w:pPr>
    </w:p>
    <w:p w:rsidR="00B8520B" w:rsidRPr="000852E1" w:rsidRDefault="00B8520B" w:rsidP="007F6B1C">
      <w:pPr>
        <w:spacing w:after="0" w:line="240" w:lineRule="auto"/>
        <w:rPr>
          <w:rFonts w:ascii="Times New Roman" w:hAnsi="Times New Roman" w:cs="Times New Roman"/>
          <w:sz w:val="24"/>
          <w:szCs w:val="24"/>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2"/>
        <w:gridCol w:w="2693"/>
        <w:gridCol w:w="6008"/>
      </w:tblGrid>
      <w:tr w:rsidR="000F5EDB" w:rsidRPr="000852E1" w:rsidTr="00E919D3">
        <w:trPr>
          <w:trHeight w:val="381"/>
          <w:jc w:val="center"/>
        </w:trPr>
        <w:tc>
          <w:tcPr>
            <w:tcW w:w="9183" w:type="dxa"/>
            <w:gridSpan w:val="3"/>
            <w:vAlign w:val="center"/>
          </w:tcPr>
          <w:p w:rsidR="007F6B1C" w:rsidRPr="000852E1" w:rsidRDefault="007F6B1C" w:rsidP="00E919D3">
            <w:pPr>
              <w:pStyle w:val="naisnod"/>
              <w:spacing w:before="0" w:beforeAutospacing="0" w:after="0" w:afterAutospacing="0"/>
              <w:ind w:left="85" w:right="57" w:hanging="28"/>
              <w:jc w:val="center"/>
            </w:pPr>
            <w:r w:rsidRPr="000852E1">
              <w:rPr>
                <w:b/>
              </w:rPr>
              <w:t>VII. Tiesību akta projekta izpildes nodrošināšana un tās ietekme uz institūcijām</w:t>
            </w:r>
          </w:p>
        </w:tc>
      </w:tr>
      <w:tr w:rsidR="000F5EDB" w:rsidRPr="000852E1" w:rsidTr="00E919D3">
        <w:trPr>
          <w:trHeight w:val="427"/>
          <w:jc w:val="center"/>
        </w:trPr>
        <w:tc>
          <w:tcPr>
            <w:tcW w:w="482" w:type="dxa"/>
          </w:tcPr>
          <w:p w:rsidR="007F6B1C" w:rsidRPr="000852E1" w:rsidRDefault="007F6B1C" w:rsidP="00516115">
            <w:pPr>
              <w:pStyle w:val="naisnod"/>
              <w:spacing w:before="0" w:beforeAutospacing="0" w:after="0" w:afterAutospacing="0"/>
              <w:ind w:left="57" w:right="57"/>
              <w:jc w:val="both"/>
            </w:pPr>
            <w:r w:rsidRPr="000852E1">
              <w:t>1.</w:t>
            </w:r>
          </w:p>
        </w:tc>
        <w:tc>
          <w:tcPr>
            <w:tcW w:w="2693" w:type="dxa"/>
          </w:tcPr>
          <w:p w:rsidR="007F6B1C" w:rsidRPr="000852E1" w:rsidRDefault="007F6B1C" w:rsidP="00516115">
            <w:pPr>
              <w:pStyle w:val="naisf"/>
              <w:spacing w:before="0" w:beforeAutospacing="0" w:after="0" w:afterAutospacing="0"/>
              <w:ind w:left="57" w:right="57"/>
            </w:pPr>
            <w:r w:rsidRPr="000852E1">
              <w:t>Projekta izpildē iesaistītās institūcijas</w:t>
            </w:r>
          </w:p>
        </w:tc>
        <w:tc>
          <w:tcPr>
            <w:tcW w:w="6008" w:type="dxa"/>
          </w:tcPr>
          <w:p w:rsidR="007F6B1C" w:rsidRPr="000852E1" w:rsidRDefault="00E53494" w:rsidP="00516115">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sidRPr="000852E1">
              <w:rPr>
                <w:rFonts w:ascii="Times New Roman" w:hAnsi="Times New Roman" w:cs="Times New Roman"/>
                <w:sz w:val="24"/>
                <w:szCs w:val="24"/>
              </w:rPr>
              <w:t>Nodrošinājuma valsts aģentūra.</w:t>
            </w:r>
          </w:p>
        </w:tc>
      </w:tr>
      <w:tr w:rsidR="000F5EDB" w:rsidRPr="000852E1" w:rsidTr="00E919D3">
        <w:trPr>
          <w:trHeight w:val="463"/>
          <w:jc w:val="center"/>
        </w:trPr>
        <w:tc>
          <w:tcPr>
            <w:tcW w:w="482" w:type="dxa"/>
          </w:tcPr>
          <w:p w:rsidR="007F6B1C" w:rsidRPr="000852E1" w:rsidRDefault="007F6B1C" w:rsidP="00516115">
            <w:pPr>
              <w:pStyle w:val="naisnod"/>
              <w:spacing w:before="0" w:beforeAutospacing="0" w:after="0" w:afterAutospacing="0"/>
              <w:ind w:left="57" w:right="57"/>
              <w:jc w:val="both"/>
            </w:pPr>
            <w:r w:rsidRPr="000852E1">
              <w:t>2.</w:t>
            </w:r>
          </w:p>
        </w:tc>
        <w:tc>
          <w:tcPr>
            <w:tcW w:w="2693" w:type="dxa"/>
          </w:tcPr>
          <w:p w:rsidR="007F6B1C" w:rsidRPr="000852E1" w:rsidRDefault="007F6B1C" w:rsidP="00516115">
            <w:pPr>
              <w:pStyle w:val="naisf"/>
              <w:spacing w:before="0" w:beforeAutospacing="0" w:after="0" w:afterAutospacing="0"/>
              <w:ind w:left="57" w:right="57"/>
            </w:pPr>
            <w:r w:rsidRPr="000852E1">
              <w:t>Projekta izpildes ietekme uz pār</w:t>
            </w:r>
            <w:r w:rsidRPr="000852E1">
              <w:softHyphen/>
              <w:t>valdes funkcijām un institucionālo struktūru.</w:t>
            </w:r>
          </w:p>
          <w:p w:rsidR="007F6B1C" w:rsidRPr="000852E1" w:rsidRDefault="007F6B1C" w:rsidP="00516115">
            <w:pPr>
              <w:pStyle w:val="naisf"/>
              <w:spacing w:before="0" w:beforeAutospacing="0" w:after="0" w:afterAutospacing="0"/>
              <w:ind w:left="57" w:right="57"/>
            </w:pPr>
            <w:r w:rsidRPr="000852E1">
              <w:t>Jaunu institūciju izveide, esošu institūciju likvidācija vai reorga</w:t>
            </w:r>
            <w:r w:rsidRPr="000852E1">
              <w:softHyphen/>
              <w:t>nizācija, to ietekme uz institūcijas cilvēkresursiem.</w:t>
            </w:r>
          </w:p>
        </w:tc>
        <w:tc>
          <w:tcPr>
            <w:tcW w:w="6008" w:type="dxa"/>
          </w:tcPr>
          <w:p w:rsidR="007F6B1C" w:rsidRPr="000852E1" w:rsidRDefault="0037409D" w:rsidP="0037409D">
            <w:pPr>
              <w:shd w:val="clear" w:color="auto" w:fill="FFFFFF"/>
              <w:spacing w:after="0" w:line="240" w:lineRule="auto"/>
              <w:jc w:val="both"/>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Projekta izpilde neietekmēs pārvaldes funkcijas vai institucionālo struktūru.</w:t>
            </w:r>
            <w:r w:rsidR="00FB1DB6" w:rsidRPr="000852E1">
              <w:rPr>
                <w:rFonts w:ascii="Times New Roman" w:eastAsia="Calibri" w:hAnsi="Times New Roman" w:cs="Times New Roman"/>
                <w:iCs/>
                <w:sz w:val="24"/>
                <w:szCs w:val="24"/>
              </w:rPr>
              <w:t xml:space="preserve"> </w:t>
            </w:r>
          </w:p>
          <w:p w:rsidR="00FB1DB6" w:rsidRPr="000852E1" w:rsidRDefault="00FB1DB6" w:rsidP="0037409D">
            <w:pPr>
              <w:shd w:val="clear" w:color="auto" w:fill="FFFFFF"/>
              <w:spacing w:after="0" w:line="240" w:lineRule="auto"/>
              <w:jc w:val="both"/>
              <w:rPr>
                <w:rFonts w:ascii="Times New Roman" w:eastAsia="Calibri" w:hAnsi="Times New Roman" w:cs="Times New Roman"/>
                <w:iCs/>
                <w:sz w:val="24"/>
                <w:szCs w:val="24"/>
              </w:rPr>
            </w:pPr>
          </w:p>
          <w:p w:rsidR="00E919D3" w:rsidRPr="000852E1" w:rsidRDefault="00E919D3" w:rsidP="00E919D3">
            <w:pPr>
              <w:shd w:val="clear" w:color="auto" w:fill="FFFFFF"/>
              <w:spacing w:after="0" w:line="240" w:lineRule="auto"/>
              <w:jc w:val="both"/>
              <w:rPr>
                <w:rFonts w:ascii="Times New Roman" w:eastAsia="Calibri" w:hAnsi="Times New Roman" w:cs="Times New Roman"/>
                <w:iCs/>
                <w:sz w:val="24"/>
                <w:szCs w:val="24"/>
              </w:rPr>
            </w:pPr>
          </w:p>
          <w:p w:rsidR="00FB1DB6" w:rsidRPr="000852E1" w:rsidRDefault="00FB1DB6" w:rsidP="00E919D3">
            <w:pPr>
              <w:shd w:val="clear" w:color="auto" w:fill="FFFFFF"/>
              <w:spacing w:after="0" w:line="240" w:lineRule="auto"/>
              <w:jc w:val="both"/>
              <w:rPr>
                <w:rFonts w:ascii="Times New Roman" w:hAnsi="Times New Roman" w:cs="Times New Roman"/>
                <w:sz w:val="24"/>
                <w:szCs w:val="24"/>
                <w:lang w:eastAsia="lv-LV"/>
              </w:rPr>
            </w:pPr>
            <w:r w:rsidRPr="000852E1">
              <w:rPr>
                <w:rFonts w:ascii="Times New Roman" w:eastAsia="Calibri" w:hAnsi="Times New Roman" w:cs="Times New Roman"/>
                <w:iCs/>
                <w:sz w:val="24"/>
                <w:szCs w:val="24"/>
              </w:rPr>
              <w:t>Netiks izveidotas jaunas institūcijas un netiks likvidētas vai reorganizētas esošās institūcijas.</w:t>
            </w:r>
          </w:p>
        </w:tc>
      </w:tr>
      <w:tr w:rsidR="000F5EDB" w:rsidRPr="000852E1" w:rsidTr="00E919D3">
        <w:trPr>
          <w:trHeight w:val="402"/>
          <w:jc w:val="center"/>
        </w:trPr>
        <w:tc>
          <w:tcPr>
            <w:tcW w:w="482" w:type="dxa"/>
            <w:tcBorders>
              <w:top w:val="single" w:sz="4" w:space="0" w:color="auto"/>
              <w:left w:val="single" w:sz="4" w:space="0" w:color="auto"/>
              <w:bottom w:val="single" w:sz="4" w:space="0" w:color="auto"/>
              <w:right w:val="single" w:sz="4" w:space="0" w:color="auto"/>
            </w:tcBorders>
          </w:tcPr>
          <w:p w:rsidR="007F6B1C" w:rsidRPr="000852E1" w:rsidRDefault="00E919D3" w:rsidP="00516115">
            <w:pPr>
              <w:pStyle w:val="naisnod"/>
              <w:spacing w:before="0" w:beforeAutospacing="0" w:after="0" w:afterAutospacing="0"/>
              <w:ind w:left="57" w:right="57"/>
              <w:jc w:val="both"/>
            </w:pPr>
            <w:r w:rsidRPr="000852E1">
              <w:t>3.</w:t>
            </w:r>
          </w:p>
        </w:tc>
        <w:tc>
          <w:tcPr>
            <w:tcW w:w="2693" w:type="dxa"/>
            <w:tcBorders>
              <w:top w:val="single" w:sz="4" w:space="0" w:color="auto"/>
              <w:left w:val="single" w:sz="4" w:space="0" w:color="auto"/>
              <w:bottom w:val="single" w:sz="4" w:space="0" w:color="auto"/>
              <w:right w:val="single" w:sz="4" w:space="0" w:color="auto"/>
            </w:tcBorders>
          </w:tcPr>
          <w:p w:rsidR="007F6B1C" w:rsidRPr="000852E1" w:rsidRDefault="007F6B1C" w:rsidP="00516115">
            <w:pPr>
              <w:pStyle w:val="naisf"/>
              <w:spacing w:before="0" w:beforeAutospacing="0" w:after="0" w:afterAutospacing="0"/>
              <w:ind w:left="57" w:right="57"/>
            </w:pPr>
            <w:r w:rsidRPr="000852E1">
              <w:t>Cita informācija</w:t>
            </w:r>
          </w:p>
        </w:tc>
        <w:tc>
          <w:tcPr>
            <w:tcW w:w="6008" w:type="dxa"/>
            <w:tcBorders>
              <w:top w:val="single" w:sz="4" w:space="0" w:color="auto"/>
              <w:left w:val="single" w:sz="4" w:space="0" w:color="auto"/>
              <w:bottom w:val="single" w:sz="4" w:space="0" w:color="auto"/>
              <w:right w:val="single" w:sz="4" w:space="0" w:color="auto"/>
            </w:tcBorders>
          </w:tcPr>
          <w:p w:rsidR="007F6B1C" w:rsidRPr="000852E1" w:rsidRDefault="00E53494" w:rsidP="00516115">
            <w:pPr>
              <w:spacing w:after="0" w:line="240" w:lineRule="auto"/>
              <w:ind w:left="57" w:right="57"/>
              <w:jc w:val="both"/>
              <w:rPr>
                <w:rFonts w:ascii="Times New Roman" w:hAnsi="Times New Roman" w:cs="Times New Roman"/>
                <w:sz w:val="24"/>
                <w:szCs w:val="24"/>
                <w:lang w:eastAsia="lv-LV"/>
              </w:rPr>
            </w:pPr>
            <w:r w:rsidRPr="000852E1">
              <w:rPr>
                <w:rFonts w:ascii="Times New Roman" w:hAnsi="Times New Roman" w:cs="Times New Roman"/>
                <w:sz w:val="24"/>
                <w:szCs w:val="24"/>
              </w:rPr>
              <w:t>Nav.</w:t>
            </w:r>
          </w:p>
        </w:tc>
      </w:tr>
    </w:tbl>
    <w:p w:rsidR="00D710FF" w:rsidRPr="000852E1" w:rsidRDefault="00D710FF" w:rsidP="005128C9">
      <w:pPr>
        <w:pStyle w:val="naisf"/>
        <w:spacing w:before="0" w:beforeAutospacing="0" w:after="0" w:afterAutospacing="0"/>
      </w:pPr>
    </w:p>
    <w:p w:rsidR="005128C9" w:rsidRPr="000852E1" w:rsidRDefault="005128C9" w:rsidP="005128C9">
      <w:pPr>
        <w:pStyle w:val="naisf"/>
        <w:spacing w:before="0" w:beforeAutospacing="0" w:after="0" w:afterAutospacing="0"/>
      </w:pPr>
      <w:r w:rsidRPr="000852E1">
        <w:t>Anotācijas V</w:t>
      </w:r>
      <w:r w:rsidR="00B22A37" w:rsidRPr="000852E1">
        <w:t>, VI</w:t>
      </w:r>
      <w:r w:rsidRPr="000852E1">
        <w:rPr>
          <w:bCs/>
        </w:rPr>
        <w:t xml:space="preserve"> </w:t>
      </w:r>
      <w:r w:rsidRPr="000852E1">
        <w:t>sadaļa – projekts šīs jomas neskar.</w:t>
      </w:r>
    </w:p>
    <w:p w:rsidR="005128C9" w:rsidRPr="000852E1" w:rsidRDefault="005128C9" w:rsidP="005128C9">
      <w:pPr>
        <w:spacing w:after="0" w:line="240" w:lineRule="auto"/>
        <w:ind w:left="283" w:firstLine="437"/>
        <w:rPr>
          <w:rFonts w:ascii="Times New Roman" w:hAnsi="Times New Roman" w:cs="Times New Roman"/>
          <w:sz w:val="24"/>
          <w:szCs w:val="24"/>
        </w:rPr>
      </w:pPr>
    </w:p>
    <w:p w:rsidR="005128C9" w:rsidRPr="000852E1" w:rsidRDefault="005128C9" w:rsidP="005128C9">
      <w:pPr>
        <w:spacing w:after="0" w:line="240" w:lineRule="auto"/>
        <w:ind w:left="283" w:firstLine="437"/>
        <w:rPr>
          <w:rFonts w:ascii="Times New Roman" w:hAnsi="Times New Roman" w:cs="Times New Roman"/>
          <w:sz w:val="24"/>
          <w:szCs w:val="24"/>
        </w:rPr>
      </w:pPr>
    </w:p>
    <w:p w:rsidR="005128C9" w:rsidRPr="000852E1" w:rsidRDefault="00577B1B" w:rsidP="005C463B">
      <w:pPr>
        <w:tabs>
          <w:tab w:val="left" w:pos="6237"/>
        </w:tabs>
        <w:spacing w:after="0" w:line="240" w:lineRule="auto"/>
        <w:rPr>
          <w:rFonts w:ascii="Times New Roman" w:hAnsi="Times New Roman" w:cs="Times New Roman"/>
          <w:sz w:val="24"/>
          <w:szCs w:val="24"/>
        </w:rPr>
      </w:pPr>
      <w:r w:rsidRPr="000852E1">
        <w:rPr>
          <w:rFonts w:ascii="Times New Roman" w:hAnsi="Times New Roman" w:cs="Times New Roman"/>
          <w:sz w:val="24"/>
          <w:szCs w:val="24"/>
        </w:rPr>
        <w:t>Iekšlietu ministrs</w:t>
      </w:r>
      <w:r w:rsidRPr="000852E1">
        <w:rPr>
          <w:rFonts w:ascii="Times New Roman" w:hAnsi="Times New Roman" w:cs="Times New Roman"/>
          <w:sz w:val="24"/>
          <w:szCs w:val="24"/>
        </w:rPr>
        <w:tab/>
      </w:r>
      <w:r w:rsidR="005128C9" w:rsidRPr="000852E1">
        <w:rPr>
          <w:rFonts w:ascii="Times New Roman" w:hAnsi="Times New Roman" w:cs="Times New Roman"/>
          <w:sz w:val="24"/>
          <w:szCs w:val="24"/>
        </w:rPr>
        <w:t>R.Kozlovskis</w:t>
      </w:r>
    </w:p>
    <w:p w:rsidR="005C463B" w:rsidRPr="000852E1" w:rsidRDefault="005128C9" w:rsidP="005128C9">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ab/>
      </w:r>
    </w:p>
    <w:p w:rsidR="005128C9" w:rsidRPr="000852E1" w:rsidRDefault="005128C9" w:rsidP="005128C9">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ab/>
      </w:r>
      <w:r w:rsidRPr="000852E1">
        <w:rPr>
          <w:rFonts w:ascii="Times New Roman" w:hAnsi="Times New Roman" w:cs="Times New Roman"/>
          <w:sz w:val="24"/>
          <w:szCs w:val="24"/>
        </w:rPr>
        <w:tab/>
      </w:r>
      <w:r w:rsidRPr="000852E1">
        <w:rPr>
          <w:rFonts w:ascii="Times New Roman" w:hAnsi="Times New Roman" w:cs="Times New Roman"/>
          <w:sz w:val="24"/>
          <w:szCs w:val="24"/>
        </w:rPr>
        <w:tab/>
      </w:r>
      <w:r w:rsidRPr="000852E1">
        <w:rPr>
          <w:rFonts w:ascii="Times New Roman" w:hAnsi="Times New Roman" w:cs="Times New Roman"/>
          <w:sz w:val="24"/>
          <w:szCs w:val="24"/>
        </w:rPr>
        <w:tab/>
      </w:r>
      <w:r w:rsidRPr="000852E1">
        <w:rPr>
          <w:rFonts w:ascii="Times New Roman" w:hAnsi="Times New Roman" w:cs="Times New Roman"/>
          <w:sz w:val="24"/>
          <w:szCs w:val="24"/>
        </w:rPr>
        <w:tab/>
      </w:r>
      <w:r w:rsidRPr="000852E1">
        <w:rPr>
          <w:rFonts w:ascii="Times New Roman" w:hAnsi="Times New Roman" w:cs="Times New Roman"/>
          <w:sz w:val="24"/>
          <w:szCs w:val="24"/>
        </w:rPr>
        <w:tab/>
      </w:r>
    </w:p>
    <w:p w:rsidR="008322A4" w:rsidRPr="000852E1" w:rsidRDefault="005128C9" w:rsidP="00D710FF">
      <w:pPr>
        <w:pStyle w:val="naisf"/>
        <w:tabs>
          <w:tab w:val="left" w:pos="6237"/>
        </w:tabs>
        <w:spacing w:before="0" w:beforeAutospacing="0" w:after="0" w:afterAutospacing="0"/>
      </w:pPr>
      <w:r w:rsidRPr="000852E1">
        <w:t>Vīza: valsts sekretāre</w:t>
      </w:r>
      <w:r w:rsidR="00516115" w:rsidRPr="000852E1">
        <w:t>s p.i.</w:t>
      </w:r>
      <w:r w:rsidR="00577B1B" w:rsidRPr="000852E1">
        <w:tab/>
      </w:r>
      <w:r w:rsidRPr="000852E1">
        <w:t>I.</w:t>
      </w:r>
      <w:r w:rsidR="00516115" w:rsidRPr="000852E1">
        <w:t>Aire</w:t>
      </w:r>
    </w:p>
    <w:p w:rsidR="004B54BB" w:rsidRPr="000852E1"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4B54BB" w:rsidRDefault="004B54BB" w:rsidP="005128C9">
      <w:pPr>
        <w:pStyle w:val="naisf"/>
        <w:spacing w:before="0" w:beforeAutospacing="0" w:after="0" w:afterAutospacing="0"/>
      </w:pPr>
    </w:p>
    <w:p w:rsidR="008322A4" w:rsidRDefault="008322A4" w:rsidP="005128C9">
      <w:pPr>
        <w:pStyle w:val="naisf"/>
        <w:spacing w:before="0" w:beforeAutospacing="0" w:after="0" w:afterAutospacing="0"/>
      </w:pPr>
    </w:p>
    <w:p w:rsidR="007F6B1C" w:rsidRPr="006C73B6" w:rsidRDefault="007F6B1C" w:rsidP="005128C9">
      <w:pPr>
        <w:spacing w:after="0" w:line="240" w:lineRule="auto"/>
        <w:rPr>
          <w:rFonts w:ascii="Times New Roman" w:hAnsi="Times New Roman" w:cs="Times New Roman"/>
          <w:sz w:val="24"/>
          <w:szCs w:val="24"/>
        </w:rPr>
      </w:pPr>
    </w:p>
    <w:p w:rsidR="00D11F84" w:rsidRDefault="00D11F84"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H:mm"  \* MERGEFORMAT </w:instrText>
      </w:r>
      <w:r>
        <w:rPr>
          <w:rFonts w:ascii="Times New Roman" w:hAnsi="Times New Roman" w:cs="Times New Roman"/>
          <w:sz w:val="20"/>
          <w:szCs w:val="20"/>
        </w:rPr>
        <w:fldChar w:fldCharType="separate"/>
      </w:r>
      <w:r w:rsidR="00BF1955">
        <w:rPr>
          <w:rFonts w:ascii="Times New Roman" w:hAnsi="Times New Roman" w:cs="Times New Roman"/>
          <w:noProof/>
          <w:sz w:val="20"/>
          <w:szCs w:val="20"/>
        </w:rPr>
        <w:t>17.12.2015 11:19</w:t>
      </w:r>
      <w:r>
        <w:rPr>
          <w:rFonts w:ascii="Times New Roman" w:hAnsi="Times New Roman" w:cs="Times New Roman"/>
          <w:sz w:val="20"/>
          <w:szCs w:val="20"/>
        </w:rPr>
        <w:fldChar w:fldCharType="end"/>
      </w:r>
    </w:p>
    <w:p w:rsidR="000907CF" w:rsidRPr="00140B45" w:rsidRDefault="00C173B1"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BF1955">
        <w:rPr>
          <w:rFonts w:ascii="Times New Roman" w:hAnsi="Times New Roman" w:cs="Times New Roman"/>
          <w:noProof/>
          <w:sz w:val="20"/>
          <w:szCs w:val="20"/>
        </w:rPr>
        <w:t>1025</w:t>
      </w:r>
      <w:r>
        <w:rPr>
          <w:rFonts w:ascii="Times New Roman" w:hAnsi="Times New Roman" w:cs="Times New Roman"/>
          <w:sz w:val="20"/>
          <w:szCs w:val="20"/>
        </w:rPr>
        <w:fldChar w:fldCharType="end"/>
      </w:r>
      <w:r w:rsidR="000907CF" w:rsidRPr="00140B45">
        <w:rPr>
          <w:rFonts w:ascii="Times New Roman" w:hAnsi="Times New Roman" w:cs="Times New Roman"/>
          <w:sz w:val="20"/>
          <w:szCs w:val="20"/>
        </w:rPr>
        <w:tab/>
      </w:r>
    </w:p>
    <w:p w:rsidR="000907CF" w:rsidRPr="00140B45" w:rsidRDefault="009C6826"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t>L.E.Laiviņa</w:t>
      </w:r>
      <w:r w:rsidR="000907CF" w:rsidRPr="00140B45">
        <w:rPr>
          <w:rFonts w:ascii="Times New Roman" w:hAnsi="Times New Roman" w:cs="Times New Roman"/>
          <w:sz w:val="20"/>
          <w:szCs w:val="20"/>
        </w:rPr>
        <w:t>, 67829</w:t>
      </w:r>
      <w:r>
        <w:rPr>
          <w:rFonts w:ascii="Times New Roman" w:hAnsi="Times New Roman" w:cs="Times New Roman"/>
          <w:sz w:val="20"/>
          <w:szCs w:val="20"/>
        </w:rPr>
        <w:t>677</w:t>
      </w:r>
    </w:p>
    <w:p w:rsidR="007F6B1C" w:rsidRPr="00140B45" w:rsidRDefault="009C6826"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t>linda.estere.laivina</w:t>
      </w:r>
      <w:r w:rsidR="00140B45" w:rsidRPr="00140B45">
        <w:rPr>
          <w:rFonts w:ascii="Times New Roman" w:hAnsi="Times New Roman" w:cs="Times New Roman"/>
          <w:sz w:val="20"/>
          <w:szCs w:val="20"/>
        </w:rPr>
        <w:t>@agentura.iem.gov.lv</w:t>
      </w:r>
    </w:p>
    <w:p w:rsidR="00140B45" w:rsidRPr="00BE5F3C" w:rsidRDefault="00140B45" w:rsidP="00BE5F3C">
      <w:pPr>
        <w:tabs>
          <w:tab w:val="left" w:pos="6804"/>
        </w:tabs>
        <w:jc w:val="both"/>
        <w:rPr>
          <w:szCs w:val="28"/>
        </w:rPr>
      </w:pPr>
    </w:p>
    <w:sectPr w:rsidR="00140B45" w:rsidRPr="00BE5F3C" w:rsidSect="00516115">
      <w:headerReference w:type="default" r:id="rId9"/>
      <w:footerReference w:type="default" r:id="rId10"/>
      <w:footerReference w:type="first" r:id="rId11"/>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15" w:rsidRDefault="00516115" w:rsidP="00A61504">
      <w:pPr>
        <w:spacing w:after="0" w:line="240" w:lineRule="auto"/>
      </w:pPr>
      <w:r>
        <w:separator/>
      </w:r>
    </w:p>
  </w:endnote>
  <w:endnote w:type="continuationSeparator" w:id="0">
    <w:p w:rsidR="00516115" w:rsidRDefault="00516115"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5" w:rsidRPr="000852E1" w:rsidRDefault="00F70E6D" w:rsidP="000852E1">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FILENAME   \* MERGEFORMAT </w:instrText>
    </w:r>
    <w:r>
      <w:rPr>
        <w:rFonts w:ascii="Times New Roman" w:eastAsia="Times New Roman" w:hAnsi="Times New Roman" w:cs="Times New Roman"/>
        <w:sz w:val="20"/>
        <w:szCs w:val="20"/>
        <w:lang w:eastAsia="ar-SA"/>
      </w:rPr>
      <w:fldChar w:fldCharType="separate"/>
    </w:r>
    <w:r>
      <w:rPr>
        <w:rFonts w:ascii="Times New Roman" w:eastAsia="Times New Roman" w:hAnsi="Times New Roman" w:cs="Times New Roman"/>
        <w:noProof/>
        <w:sz w:val="20"/>
        <w:szCs w:val="20"/>
        <w:lang w:eastAsia="ar-SA"/>
      </w:rPr>
      <w:t>IEMAnot_161215_cenr.docx</w:t>
    </w:r>
    <w:r>
      <w:rPr>
        <w:rFonts w:ascii="Times New Roman" w:eastAsia="Times New Roman" w:hAnsi="Times New Roman" w:cs="Times New Roman"/>
        <w:sz w:val="20"/>
        <w:szCs w:val="20"/>
        <w:lang w:eastAsia="ar-SA"/>
      </w:rPr>
      <w:fldChar w:fldCharType="end"/>
    </w:r>
    <w:r>
      <w:rPr>
        <w:rFonts w:ascii="Times New Roman" w:eastAsia="Times New Roman" w:hAnsi="Times New Roman" w:cs="Times New Roman"/>
        <w:sz w:val="20"/>
        <w:szCs w:val="20"/>
        <w:lang w:eastAsia="ar-SA"/>
      </w:rPr>
      <w:t xml:space="preserve">; </w:t>
    </w:r>
    <w:r w:rsidR="00516115" w:rsidRPr="0098129F">
      <w:rPr>
        <w:rFonts w:ascii="Times New Roman" w:eastAsia="Times New Roman" w:hAnsi="Times New Roman" w:cs="Times New Roman"/>
        <w:sz w:val="20"/>
        <w:szCs w:val="20"/>
        <w:lang w:eastAsia="ar-SA"/>
      </w:rPr>
      <w:t xml:space="preserve">Ministru kabineta noteikumu projekta </w:t>
    </w:r>
    <w:r w:rsidR="00516115">
      <w:rPr>
        <w:rFonts w:ascii="Times New Roman" w:eastAsia="Times New Roman" w:hAnsi="Times New Roman" w:cs="Times New Roman"/>
        <w:sz w:val="20"/>
        <w:szCs w:val="20"/>
        <w:lang w:eastAsia="ar-SA"/>
      </w:rPr>
      <w:t xml:space="preserve">„Grozījums Ministru kabineta 2014.gada 22.jūlija noteikumos Nr.423 </w:t>
    </w:r>
    <w:r w:rsidR="000852E1">
      <w:rPr>
        <w:rFonts w:ascii="Times New Roman" w:eastAsia="Times New Roman" w:hAnsi="Times New Roman" w:cs="Times New Roman"/>
        <w:sz w:val="20"/>
        <w:szCs w:val="20"/>
        <w:lang w:eastAsia="ar-SA"/>
      </w:rPr>
      <w:t>„</w:t>
    </w:r>
    <w:r w:rsidR="00516115" w:rsidRPr="0098129F">
      <w:rPr>
        <w:rFonts w:ascii="Times New Roman" w:eastAsia="Times New Roman" w:hAnsi="Times New Roman" w:cs="Times New Roman"/>
        <w:sz w:val="20"/>
        <w:szCs w:val="20"/>
        <w:lang w:eastAsia="ar-SA"/>
      </w:rPr>
      <w:t>Nodrošinājuma valsts aģentūras maksas pakalpojumu cenrādis”</w:t>
    </w:r>
    <w:r w:rsidR="00516115">
      <w:rPr>
        <w:rFonts w:ascii="Times New Roman" w:eastAsia="Times New Roman" w:hAnsi="Times New Roman" w:cs="Times New Roman"/>
        <w:sz w:val="20"/>
        <w:szCs w:val="20"/>
        <w:lang w:eastAsia="ar-SA"/>
      </w:rPr>
      <w:t>”</w:t>
    </w:r>
    <w:r w:rsidR="00516115" w:rsidRPr="0098129F">
      <w:rPr>
        <w:rFonts w:ascii="Times New Roman" w:eastAsia="Times New Roman" w:hAnsi="Times New Roman" w:cs="Times New Roman"/>
        <w:sz w:val="20"/>
        <w:szCs w:val="20"/>
        <w:lang w:eastAsia="ar-SA"/>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5" w:rsidRPr="00461256" w:rsidRDefault="00F70E6D" w:rsidP="00461256">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FILENAME   \* MERGEFORMAT </w:instrText>
    </w:r>
    <w:r>
      <w:rPr>
        <w:rFonts w:ascii="Times New Roman" w:eastAsia="Times New Roman" w:hAnsi="Times New Roman" w:cs="Times New Roman"/>
        <w:sz w:val="20"/>
        <w:szCs w:val="20"/>
        <w:lang w:eastAsia="ar-SA"/>
      </w:rPr>
      <w:fldChar w:fldCharType="separate"/>
    </w:r>
    <w:r>
      <w:rPr>
        <w:rFonts w:ascii="Times New Roman" w:eastAsia="Times New Roman" w:hAnsi="Times New Roman" w:cs="Times New Roman"/>
        <w:noProof/>
        <w:sz w:val="20"/>
        <w:szCs w:val="20"/>
        <w:lang w:eastAsia="ar-SA"/>
      </w:rPr>
      <w:t>IEMAnot_161215_cenr.docx</w:t>
    </w:r>
    <w:r>
      <w:rPr>
        <w:rFonts w:ascii="Times New Roman" w:eastAsia="Times New Roman" w:hAnsi="Times New Roman" w:cs="Times New Roman"/>
        <w:sz w:val="20"/>
        <w:szCs w:val="20"/>
        <w:lang w:eastAsia="ar-SA"/>
      </w:rPr>
      <w:fldChar w:fldCharType="end"/>
    </w:r>
    <w:r w:rsidR="00516115" w:rsidRPr="0098129F">
      <w:rPr>
        <w:rFonts w:ascii="Times New Roman" w:eastAsia="Times New Roman" w:hAnsi="Times New Roman" w:cs="Times New Roman"/>
        <w:sz w:val="20"/>
        <w:szCs w:val="20"/>
        <w:lang w:eastAsia="ar-SA"/>
      </w:rPr>
      <w:t xml:space="preserve">; Ministru kabineta noteikumu projekta </w:t>
    </w:r>
    <w:r w:rsidR="00516115">
      <w:rPr>
        <w:rFonts w:ascii="Times New Roman" w:eastAsia="Times New Roman" w:hAnsi="Times New Roman" w:cs="Times New Roman"/>
        <w:sz w:val="20"/>
        <w:szCs w:val="20"/>
        <w:lang w:eastAsia="ar-SA"/>
      </w:rPr>
      <w:t xml:space="preserve">„Grozījums Ministru kabineta 2014.gada 22.jūlija noteikumos Nr.423 </w:t>
    </w:r>
    <w:r w:rsidR="000852E1">
      <w:rPr>
        <w:rFonts w:ascii="Times New Roman" w:eastAsia="Times New Roman" w:hAnsi="Times New Roman" w:cs="Times New Roman"/>
        <w:sz w:val="20"/>
        <w:szCs w:val="20"/>
        <w:lang w:eastAsia="ar-SA"/>
      </w:rPr>
      <w:t>„</w:t>
    </w:r>
    <w:r w:rsidR="00516115" w:rsidRPr="0098129F">
      <w:rPr>
        <w:rFonts w:ascii="Times New Roman" w:eastAsia="Times New Roman" w:hAnsi="Times New Roman" w:cs="Times New Roman"/>
        <w:sz w:val="20"/>
        <w:szCs w:val="20"/>
        <w:lang w:eastAsia="ar-SA"/>
      </w:rPr>
      <w:t>Nodrošinājuma valsts aģentūras maksas pakalpojumu cenrādis”</w:t>
    </w:r>
    <w:r w:rsidR="00516115">
      <w:rPr>
        <w:rFonts w:ascii="Times New Roman" w:eastAsia="Times New Roman" w:hAnsi="Times New Roman" w:cs="Times New Roman"/>
        <w:sz w:val="20"/>
        <w:szCs w:val="20"/>
        <w:lang w:eastAsia="ar-SA"/>
      </w:rPr>
      <w:t>”</w:t>
    </w:r>
    <w:r w:rsidR="00516115" w:rsidRPr="0098129F">
      <w:rPr>
        <w:rFonts w:ascii="Times New Roman" w:eastAsia="Times New Roman" w:hAnsi="Times New Roman" w:cs="Times New Roman"/>
        <w:sz w:val="20"/>
        <w:szCs w:val="20"/>
        <w:lang w:eastAsia="ar-SA"/>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15" w:rsidRDefault="00516115" w:rsidP="00A61504">
      <w:pPr>
        <w:spacing w:after="0" w:line="240" w:lineRule="auto"/>
      </w:pPr>
      <w:r>
        <w:separator/>
      </w:r>
    </w:p>
  </w:footnote>
  <w:footnote w:type="continuationSeparator" w:id="0">
    <w:p w:rsidR="00516115" w:rsidRDefault="00516115"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4"/>
        <w:szCs w:val="24"/>
      </w:rPr>
    </w:sdtEndPr>
    <w:sdtContent>
      <w:p w:rsidR="00516115" w:rsidRPr="00456B21" w:rsidRDefault="00516115">
        <w:pPr>
          <w:pStyle w:val="Header"/>
          <w:jc w:val="center"/>
          <w:rPr>
            <w:rFonts w:ascii="Times New Roman" w:hAnsi="Times New Roman" w:cs="Times New Roman"/>
            <w:sz w:val="24"/>
            <w:szCs w:val="24"/>
          </w:rPr>
        </w:pPr>
        <w:r w:rsidRPr="00456B21">
          <w:rPr>
            <w:rFonts w:ascii="Times New Roman" w:hAnsi="Times New Roman" w:cs="Times New Roman"/>
            <w:sz w:val="24"/>
            <w:szCs w:val="24"/>
          </w:rPr>
          <w:fldChar w:fldCharType="begin"/>
        </w:r>
        <w:r w:rsidRPr="00456B21">
          <w:rPr>
            <w:rFonts w:ascii="Times New Roman" w:hAnsi="Times New Roman" w:cs="Times New Roman"/>
            <w:sz w:val="24"/>
            <w:szCs w:val="24"/>
          </w:rPr>
          <w:instrText xml:space="preserve"> PAGE   \* MERGEFORMAT </w:instrText>
        </w:r>
        <w:r w:rsidRPr="00456B21">
          <w:rPr>
            <w:rFonts w:ascii="Times New Roman" w:hAnsi="Times New Roman" w:cs="Times New Roman"/>
            <w:sz w:val="24"/>
            <w:szCs w:val="24"/>
          </w:rPr>
          <w:fldChar w:fldCharType="separate"/>
        </w:r>
        <w:r w:rsidR="00BF1955">
          <w:rPr>
            <w:rFonts w:ascii="Times New Roman" w:hAnsi="Times New Roman" w:cs="Times New Roman"/>
            <w:noProof/>
            <w:sz w:val="24"/>
            <w:szCs w:val="24"/>
          </w:rPr>
          <w:t>2</w:t>
        </w:r>
        <w:r w:rsidRPr="00456B21">
          <w:rPr>
            <w:rFonts w:ascii="Times New Roman" w:hAnsi="Times New Roman" w:cs="Times New Roman"/>
            <w:noProof/>
            <w:sz w:val="24"/>
            <w:szCs w:val="24"/>
          </w:rPr>
          <w:fldChar w:fldCharType="end"/>
        </w:r>
      </w:p>
    </w:sdtContent>
  </w:sdt>
  <w:p w:rsidR="00516115" w:rsidRDefault="00516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2">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6AB4"/>
    <w:rsid w:val="00040EB9"/>
    <w:rsid w:val="00041784"/>
    <w:rsid w:val="0005385E"/>
    <w:rsid w:val="00070476"/>
    <w:rsid w:val="00082DC3"/>
    <w:rsid w:val="000852C4"/>
    <w:rsid w:val="000852E1"/>
    <w:rsid w:val="000907CF"/>
    <w:rsid w:val="00096ACC"/>
    <w:rsid w:val="000A0997"/>
    <w:rsid w:val="000B018F"/>
    <w:rsid w:val="000D2F97"/>
    <w:rsid w:val="000E63B9"/>
    <w:rsid w:val="000F5EDB"/>
    <w:rsid w:val="0012664A"/>
    <w:rsid w:val="00131DE9"/>
    <w:rsid w:val="00140B45"/>
    <w:rsid w:val="00145F3C"/>
    <w:rsid w:val="00162F54"/>
    <w:rsid w:val="0016441D"/>
    <w:rsid w:val="00183052"/>
    <w:rsid w:val="001902BF"/>
    <w:rsid w:val="00191890"/>
    <w:rsid w:val="001A0E71"/>
    <w:rsid w:val="001A4520"/>
    <w:rsid w:val="001B04E2"/>
    <w:rsid w:val="001B3F48"/>
    <w:rsid w:val="001F3CC6"/>
    <w:rsid w:val="001F3E10"/>
    <w:rsid w:val="00206EB2"/>
    <w:rsid w:val="00224BF5"/>
    <w:rsid w:val="00227D31"/>
    <w:rsid w:val="002402A6"/>
    <w:rsid w:val="002408AC"/>
    <w:rsid w:val="002424E4"/>
    <w:rsid w:val="0027057E"/>
    <w:rsid w:val="00270810"/>
    <w:rsid w:val="00276964"/>
    <w:rsid w:val="00277BE8"/>
    <w:rsid w:val="00285EFA"/>
    <w:rsid w:val="002914F1"/>
    <w:rsid w:val="002A42F6"/>
    <w:rsid w:val="002B2C0D"/>
    <w:rsid w:val="002E4110"/>
    <w:rsid w:val="002F14DA"/>
    <w:rsid w:val="002F5DBA"/>
    <w:rsid w:val="00321EB0"/>
    <w:rsid w:val="00335F0F"/>
    <w:rsid w:val="00343A8C"/>
    <w:rsid w:val="0037409D"/>
    <w:rsid w:val="003962EB"/>
    <w:rsid w:val="003B61C9"/>
    <w:rsid w:val="003B7958"/>
    <w:rsid w:val="003C2F8A"/>
    <w:rsid w:val="003D0697"/>
    <w:rsid w:val="003D5CF8"/>
    <w:rsid w:val="003E708D"/>
    <w:rsid w:val="004123FA"/>
    <w:rsid w:val="00433FF8"/>
    <w:rsid w:val="0043704C"/>
    <w:rsid w:val="00440F49"/>
    <w:rsid w:val="00443B51"/>
    <w:rsid w:val="00453293"/>
    <w:rsid w:val="00456365"/>
    <w:rsid w:val="00456B21"/>
    <w:rsid w:val="00461256"/>
    <w:rsid w:val="00461622"/>
    <w:rsid w:val="00463872"/>
    <w:rsid w:val="00472DD3"/>
    <w:rsid w:val="00483745"/>
    <w:rsid w:val="004B54BB"/>
    <w:rsid w:val="005128C9"/>
    <w:rsid w:val="00516115"/>
    <w:rsid w:val="00532841"/>
    <w:rsid w:val="00542E46"/>
    <w:rsid w:val="005565C5"/>
    <w:rsid w:val="00565C8D"/>
    <w:rsid w:val="00566021"/>
    <w:rsid w:val="00574734"/>
    <w:rsid w:val="00577B1B"/>
    <w:rsid w:val="00585ADC"/>
    <w:rsid w:val="00590171"/>
    <w:rsid w:val="005A23F1"/>
    <w:rsid w:val="005C0C4A"/>
    <w:rsid w:val="005C463B"/>
    <w:rsid w:val="005E0067"/>
    <w:rsid w:val="00605782"/>
    <w:rsid w:val="00626CD9"/>
    <w:rsid w:val="0062724A"/>
    <w:rsid w:val="0066329A"/>
    <w:rsid w:val="00666D05"/>
    <w:rsid w:val="00682C86"/>
    <w:rsid w:val="00683A00"/>
    <w:rsid w:val="00684341"/>
    <w:rsid w:val="00684792"/>
    <w:rsid w:val="006879ED"/>
    <w:rsid w:val="006A21AC"/>
    <w:rsid w:val="006B4385"/>
    <w:rsid w:val="006C62ED"/>
    <w:rsid w:val="006C73B6"/>
    <w:rsid w:val="006C77CA"/>
    <w:rsid w:val="006F293E"/>
    <w:rsid w:val="00737EE0"/>
    <w:rsid w:val="007427CD"/>
    <w:rsid w:val="00760705"/>
    <w:rsid w:val="007638C2"/>
    <w:rsid w:val="007656C4"/>
    <w:rsid w:val="0078619B"/>
    <w:rsid w:val="00795379"/>
    <w:rsid w:val="007B1596"/>
    <w:rsid w:val="007C4779"/>
    <w:rsid w:val="007D00D7"/>
    <w:rsid w:val="007E6316"/>
    <w:rsid w:val="007F6B1C"/>
    <w:rsid w:val="00823418"/>
    <w:rsid w:val="008322A4"/>
    <w:rsid w:val="008371A8"/>
    <w:rsid w:val="00854FF3"/>
    <w:rsid w:val="00855CB7"/>
    <w:rsid w:val="00855DBD"/>
    <w:rsid w:val="008761BB"/>
    <w:rsid w:val="008774FE"/>
    <w:rsid w:val="008925F9"/>
    <w:rsid w:val="00892E48"/>
    <w:rsid w:val="008A5431"/>
    <w:rsid w:val="008B1432"/>
    <w:rsid w:val="008B3A62"/>
    <w:rsid w:val="008C239A"/>
    <w:rsid w:val="008C285E"/>
    <w:rsid w:val="008D69F2"/>
    <w:rsid w:val="0092749F"/>
    <w:rsid w:val="0093413E"/>
    <w:rsid w:val="0095358D"/>
    <w:rsid w:val="0096237B"/>
    <w:rsid w:val="00971C7C"/>
    <w:rsid w:val="00974374"/>
    <w:rsid w:val="00977692"/>
    <w:rsid w:val="0098129F"/>
    <w:rsid w:val="0098448D"/>
    <w:rsid w:val="00987A19"/>
    <w:rsid w:val="00991028"/>
    <w:rsid w:val="009B4769"/>
    <w:rsid w:val="009C43C7"/>
    <w:rsid w:val="009C5F76"/>
    <w:rsid w:val="009C6826"/>
    <w:rsid w:val="009D3419"/>
    <w:rsid w:val="009E0EA3"/>
    <w:rsid w:val="00A15B48"/>
    <w:rsid w:val="00A206CD"/>
    <w:rsid w:val="00A24A52"/>
    <w:rsid w:val="00A3364E"/>
    <w:rsid w:val="00A42224"/>
    <w:rsid w:val="00A46F1C"/>
    <w:rsid w:val="00A50BB5"/>
    <w:rsid w:val="00A5227C"/>
    <w:rsid w:val="00A61504"/>
    <w:rsid w:val="00A62D4E"/>
    <w:rsid w:val="00A65216"/>
    <w:rsid w:val="00A67B27"/>
    <w:rsid w:val="00A718F7"/>
    <w:rsid w:val="00A7403A"/>
    <w:rsid w:val="00A85A6B"/>
    <w:rsid w:val="00AD1027"/>
    <w:rsid w:val="00AF792F"/>
    <w:rsid w:val="00B22A37"/>
    <w:rsid w:val="00B26B50"/>
    <w:rsid w:val="00B307E3"/>
    <w:rsid w:val="00B56F0D"/>
    <w:rsid w:val="00B65E74"/>
    <w:rsid w:val="00B76C02"/>
    <w:rsid w:val="00B8520B"/>
    <w:rsid w:val="00BA6CFF"/>
    <w:rsid w:val="00BC1213"/>
    <w:rsid w:val="00BC4D16"/>
    <w:rsid w:val="00BC6DE2"/>
    <w:rsid w:val="00BD7652"/>
    <w:rsid w:val="00BE2B47"/>
    <w:rsid w:val="00BE5F3C"/>
    <w:rsid w:val="00BE6FCD"/>
    <w:rsid w:val="00BE7ED9"/>
    <w:rsid w:val="00BF1955"/>
    <w:rsid w:val="00BF78FF"/>
    <w:rsid w:val="00C00E99"/>
    <w:rsid w:val="00C12B7A"/>
    <w:rsid w:val="00C146FD"/>
    <w:rsid w:val="00C173B1"/>
    <w:rsid w:val="00C40A99"/>
    <w:rsid w:val="00C60EC5"/>
    <w:rsid w:val="00C804A3"/>
    <w:rsid w:val="00CB68FD"/>
    <w:rsid w:val="00CD5ED1"/>
    <w:rsid w:val="00CD6B8D"/>
    <w:rsid w:val="00D02FF3"/>
    <w:rsid w:val="00D112E4"/>
    <w:rsid w:val="00D11F84"/>
    <w:rsid w:val="00D22461"/>
    <w:rsid w:val="00D36FB8"/>
    <w:rsid w:val="00D50496"/>
    <w:rsid w:val="00D604AC"/>
    <w:rsid w:val="00D60648"/>
    <w:rsid w:val="00D710FF"/>
    <w:rsid w:val="00D71635"/>
    <w:rsid w:val="00D7749B"/>
    <w:rsid w:val="00D85AB2"/>
    <w:rsid w:val="00D92E35"/>
    <w:rsid w:val="00DA2314"/>
    <w:rsid w:val="00DA5CF2"/>
    <w:rsid w:val="00DC387C"/>
    <w:rsid w:val="00DE1A2B"/>
    <w:rsid w:val="00E01E5C"/>
    <w:rsid w:val="00E21710"/>
    <w:rsid w:val="00E35508"/>
    <w:rsid w:val="00E53494"/>
    <w:rsid w:val="00E70AD1"/>
    <w:rsid w:val="00E73929"/>
    <w:rsid w:val="00E7737A"/>
    <w:rsid w:val="00E81B52"/>
    <w:rsid w:val="00E919D3"/>
    <w:rsid w:val="00EA13AF"/>
    <w:rsid w:val="00EB185B"/>
    <w:rsid w:val="00EC629A"/>
    <w:rsid w:val="00EC75ED"/>
    <w:rsid w:val="00EE74BD"/>
    <w:rsid w:val="00F14B28"/>
    <w:rsid w:val="00F47DF8"/>
    <w:rsid w:val="00F70E6D"/>
    <w:rsid w:val="00F766DD"/>
    <w:rsid w:val="00F93734"/>
    <w:rsid w:val="00FB1DB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8F8B-B85B-4726-8A31-1D495925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1067</Words>
  <Characters>7064</Characters>
  <Application>Microsoft Office Word</Application>
  <DocSecurity>0</DocSecurity>
  <Lines>441</Lines>
  <Paragraphs>232</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sniegto maksas pakalpojumu cenrādis"</vt:lpstr>
    </vt:vector>
  </TitlesOfParts>
  <Manager>Iekšlietu ministrija</Manager>
  <Company>Nodrošinājuma valsts aģentūra</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sniegto maksas pakalpojumu cenrādis"</dc:title>
  <dc:subject>sākotnējās ietekmes novērtējuma ziņojums (anotācija)</dc:subject>
  <dc:creator>V.Skole</dc:creator>
  <dc:description>Nodrošinājuma valsts aģentūras Nekustamo īpašumu  nodaļas Uzskaites un attīstības daļas vecākā referente Vanda Skole, tālrunis 67829047, e-pasts vanda.skole@agentura.iem.gov.lv</dc:description>
  <cp:lastModifiedBy>Linda</cp:lastModifiedBy>
  <cp:revision>23</cp:revision>
  <cp:lastPrinted>2015-12-16T10:57:00Z</cp:lastPrinted>
  <dcterms:created xsi:type="dcterms:W3CDTF">2015-08-28T07:27:00Z</dcterms:created>
  <dcterms:modified xsi:type="dcterms:W3CDTF">2015-12-17T09:19:00Z</dcterms:modified>
</cp:coreProperties>
</file>