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83" w:rsidRPr="00690602" w:rsidRDefault="009C479E" w:rsidP="00690602">
      <w:pPr>
        <w:jc w:val="center"/>
        <w:rPr>
          <w:b/>
        </w:rPr>
      </w:pPr>
      <w:r w:rsidRPr="003548CE">
        <w:rPr>
          <w:b/>
          <w:bCs/>
        </w:rPr>
        <w:t>Ministru kabineta noteikumu</w:t>
      </w:r>
      <w:r w:rsidR="008F4F83" w:rsidRPr="003548CE">
        <w:rPr>
          <w:b/>
          <w:bCs/>
        </w:rPr>
        <w:t xml:space="preserve"> projekta</w:t>
      </w:r>
      <w:r w:rsidRPr="003548CE">
        <w:rPr>
          <w:b/>
          <w:bCs/>
        </w:rPr>
        <w:t xml:space="preserve"> „</w:t>
      </w:r>
      <w:r w:rsidR="00690602" w:rsidRPr="001D2383">
        <w:rPr>
          <w:b/>
        </w:rPr>
        <w:t>Grozījum</w:t>
      </w:r>
      <w:r w:rsidR="00690602">
        <w:rPr>
          <w:b/>
        </w:rPr>
        <w:t>i</w:t>
      </w:r>
      <w:r w:rsidR="009570F8">
        <w:rPr>
          <w:b/>
        </w:rPr>
        <w:t xml:space="preserve"> Ministru kabineta </w:t>
      </w:r>
      <w:proofErr w:type="gramStart"/>
      <w:r w:rsidR="009570F8">
        <w:rPr>
          <w:b/>
        </w:rPr>
        <w:t>2014</w:t>
      </w:r>
      <w:r w:rsidR="00690602" w:rsidRPr="001D2383">
        <w:rPr>
          <w:b/>
        </w:rPr>
        <w:t>.gada</w:t>
      </w:r>
      <w:proofErr w:type="gramEnd"/>
      <w:r w:rsidR="00690602" w:rsidRPr="001D2383">
        <w:rPr>
          <w:b/>
        </w:rPr>
        <w:t xml:space="preserve"> 22.aprīļa noteikumos Nr.</w:t>
      </w:r>
      <w:r w:rsidR="009570F8">
        <w:rPr>
          <w:b/>
        </w:rPr>
        <w:t>210</w:t>
      </w:r>
      <w:r w:rsidR="00690602" w:rsidRPr="001D2383">
        <w:rPr>
          <w:b/>
          <w:bCs/>
        </w:rPr>
        <w:t xml:space="preserve"> „</w:t>
      </w:r>
      <w:r w:rsidR="00690602" w:rsidRPr="001D2383">
        <w:rPr>
          <w:b/>
        </w:rPr>
        <w:t>Noteikumi par pabalstu bēglim un personai, kurai piešķirts alternatīvais statuss”</w:t>
      </w:r>
      <w:r w:rsidR="00690602">
        <w:rPr>
          <w:b/>
        </w:rPr>
        <w:t xml:space="preserve"> </w:t>
      </w:r>
      <w:r w:rsidR="008F4F83" w:rsidRPr="003548CE">
        <w:rPr>
          <w:b/>
          <w:bCs/>
        </w:rPr>
        <w:t>sākotnējās ietekmes novērtējuma ziņojums (anotācija)</w:t>
      </w:r>
    </w:p>
    <w:p w:rsidR="008F4F83" w:rsidRPr="003548CE" w:rsidRDefault="008F4F83" w:rsidP="008F4F83">
      <w:pPr>
        <w:jc w:val="center"/>
        <w:rPr>
          <w:b/>
          <w:b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2489"/>
        <w:gridCol w:w="5504"/>
      </w:tblGrid>
      <w:tr w:rsidR="008F4F83" w:rsidRPr="008F4F83" w:rsidTr="008F4F83">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F4F83" w:rsidRPr="008F4F83" w:rsidRDefault="008F4F83">
            <w:pPr>
              <w:spacing w:before="100" w:beforeAutospacing="1" w:after="100" w:afterAutospacing="1" w:line="360" w:lineRule="auto"/>
              <w:ind w:firstLine="300"/>
              <w:jc w:val="center"/>
              <w:rPr>
                <w:b/>
                <w:bCs/>
              </w:rPr>
            </w:pPr>
            <w:r w:rsidRPr="008F4F83">
              <w:rPr>
                <w:b/>
                <w:bCs/>
              </w:rPr>
              <w:t>I. Tiesību akta projekta izstrādes nepieciešamība</w:t>
            </w:r>
          </w:p>
        </w:tc>
      </w:tr>
      <w:tr w:rsidR="008F4F83" w:rsidRPr="009C479E" w:rsidTr="008F4F83">
        <w:trPr>
          <w:trHeight w:val="405"/>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8F4F83" w:rsidRPr="00D4293D" w:rsidRDefault="008F4F83" w:rsidP="008F4F83">
            <w:pPr>
              <w:spacing w:before="100" w:beforeAutospacing="1" w:after="100" w:afterAutospacing="1" w:line="360" w:lineRule="auto"/>
              <w:ind w:firstLine="300"/>
              <w:jc w:val="both"/>
            </w:pPr>
            <w:r w:rsidRPr="00D4293D">
              <w:t>1.</w:t>
            </w:r>
          </w:p>
        </w:tc>
        <w:tc>
          <w:tcPr>
            <w:tcW w:w="1421" w:type="pct"/>
            <w:tcBorders>
              <w:top w:val="outset" w:sz="6" w:space="0" w:color="auto"/>
              <w:left w:val="outset" w:sz="6" w:space="0" w:color="auto"/>
              <w:bottom w:val="outset" w:sz="6" w:space="0" w:color="auto"/>
              <w:right w:val="outset" w:sz="6" w:space="0" w:color="auto"/>
            </w:tcBorders>
            <w:hideMark/>
          </w:tcPr>
          <w:p w:rsidR="008F4F83" w:rsidRPr="00D4293D" w:rsidRDefault="008F4F83">
            <w:r w:rsidRPr="00D4293D">
              <w:t>Pamatojums</w:t>
            </w:r>
          </w:p>
        </w:tc>
        <w:tc>
          <w:tcPr>
            <w:tcW w:w="3155" w:type="pct"/>
            <w:tcBorders>
              <w:top w:val="outset" w:sz="6" w:space="0" w:color="auto"/>
              <w:left w:val="outset" w:sz="6" w:space="0" w:color="auto"/>
              <w:bottom w:val="outset" w:sz="6" w:space="0" w:color="auto"/>
              <w:right w:val="outset" w:sz="6" w:space="0" w:color="auto"/>
            </w:tcBorders>
            <w:hideMark/>
          </w:tcPr>
          <w:p w:rsidR="008F4F83" w:rsidRPr="009C479E" w:rsidRDefault="00D4293D" w:rsidP="0034020D">
            <w:pPr>
              <w:jc w:val="both"/>
              <w:rPr>
                <w:color w:val="FF0000"/>
              </w:rPr>
            </w:pPr>
            <w:r w:rsidRPr="009846DA">
              <w:t>Rīcības plāna personu, kurām nepieciešama starptautiskā aizsardzība, pārvietošanai un uzņemšanai Latvijā</w:t>
            </w:r>
            <w:r w:rsidRPr="009570F8">
              <w:t>, kas apstiprināts ar Ministru kabineta</w:t>
            </w:r>
            <w:r w:rsidR="009846DA" w:rsidRPr="009570F8">
              <w:t xml:space="preserve"> </w:t>
            </w:r>
            <w:proofErr w:type="gramStart"/>
            <w:r w:rsidR="009846DA" w:rsidRPr="009570F8">
              <w:t>2015.gada</w:t>
            </w:r>
            <w:proofErr w:type="gramEnd"/>
            <w:r w:rsidR="009846DA" w:rsidRPr="009570F8">
              <w:t xml:space="preserve"> </w:t>
            </w:r>
            <w:r w:rsidR="009570F8" w:rsidRPr="009570F8">
              <w:t>2.decembra r</w:t>
            </w:r>
            <w:r w:rsidR="009846DA" w:rsidRPr="009570F8">
              <w:t>īkojumu Nr</w:t>
            </w:r>
            <w:r w:rsidR="009570F8" w:rsidRPr="009570F8">
              <w:t>.759</w:t>
            </w:r>
            <w:r w:rsidR="009846DA" w:rsidRPr="009570F8">
              <w:t xml:space="preserve"> (turpmāk – Rīcības plāns)</w:t>
            </w:r>
            <w:r w:rsidR="0034020D">
              <w:t>,</w:t>
            </w:r>
            <w:r w:rsidR="009846DA" w:rsidRPr="009570F8">
              <w:t xml:space="preserve"> </w:t>
            </w:r>
            <w:r w:rsidRPr="009846DA">
              <w:t>3.4.apakšpunkts.</w:t>
            </w:r>
            <w:r>
              <w:rPr>
                <w:color w:val="FF0000"/>
              </w:rPr>
              <w:t xml:space="preserve"> </w:t>
            </w:r>
          </w:p>
        </w:tc>
      </w:tr>
      <w:tr w:rsidR="00690602" w:rsidRPr="00690602" w:rsidTr="008F4F83">
        <w:trPr>
          <w:trHeight w:val="465"/>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8F4F83" w:rsidRPr="007C3689" w:rsidRDefault="008F4F83" w:rsidP="008F4F83">
            <w:pPr>
              <w:spacing w:before="100" w:beforeAutospacing="1" w:after="100" w:afterAutospacing="1" w:line="360" w:lineRule="auto"/>
              <w:ind w:firstLine="300"/>
              <w:jc w:val="both"/>
            </w:pPr>
            <w:r w:rsidRPr="007C3689">
              <w:t>2.</w:t>
            </w:r>
          </w:p>
        </w:tc>
        <w:tc>
          <w:tcPr>
            <w:tcW w:w="1421" w:type="pct"/>
            <w:tcBorders>
              <w:top w:val="outset" w:sz="6" w:space="0" w:color="auto"/>
              <w:left w:val="outset" w:sz="6" w:space="0" w:color="auto"/>
              <w:bottom w:val="outset" w:sz="6" w:space="0" w:color="auto"/>
              <w:right w:val="outset" w:sz="6" w:space="0" w:color="auto"/>
            </w:tcBorders>
            <w:hideMark/>
          </w:tcPr>
          <w:p w:rsidR="009570F8" w:rsidRDefault="008F4F83">
            <w:r w:rsidRPr="007C3689">
              <w:t>Pašreizējā situācija un problēmas, kuru risināšanai tiesību akta projekts izstrādāts, tiesiskā regulējuma mērķis un būtība</w:t>
            </w:r>
          </w:p>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Pr="009570F8" w:rsidRDefault="009570F8" w:rsidP="009570F8"/>
          <w:p w:rsidR="009570F8" w:rsidRDefault="009570F8" w:rsidP="009570F8"/>
          <w:p w:rsidR="009570F8" w:rsidRDefault="009570F8" w:rsidP="009570F8"/>
          <w:p w:rsidR="008F4F83" w:rsidRPr="009570F8" w:rsidRDefault="008F4F83" w:rsidP="009570F8"/>
        </w:tc>
        <w:tc>
          <w:tcPr>
            <w:tcW w:w="3155" w:type="pct"/>
            <w:tcBorders>
              <w:top w:val="outset" w:sz="6" w:space="0" w:color="auto"/>
              <w:left w:val="outset" w:sz="6" w:space="0" w:color="auto"/>
              <w:bottom w:val="outset" w:sz="6" w:space="0" w:color="auto"/>
              <w:right w:val="outset" w:sz="6" w:space="0" w:color="auto"/>
            </w:tcBorders>
            <w:hideMark/>
          </w:tcPr>
          <w:p w:rsidR="00D4293D" w:rsidRDefault="00905792" w:rsidP="00905792">
            <w:pPr>
              <w:jc w:val="both"/>
            </w:pPr>
            <w:r w:rsidRPr="00690602">
              <w:t xml:space="preserve">Ministru kabineta </w:t>
            </w:r>
            <w:proofErr w:type="gramStart"/>
            <w:r w:rsidRPr="00690602">
              <w:t>2014.gada</w:t>
            </w:r>
            <w:proofErr w:type="gramEnd"/>
            <w:r w:rsidRPr="00690602">
              <w:t xml:space="preserve"> 22.aprīļa noteikumi Nr.210 „Noteikumi par pabalstu bēglim un personai, kurai piešķirts alternatīvais statuss” (turpmāk</w:t>
            </w:r>
            <w:r w:rsidR="0034020D">
              <w:t xml:space="preserve"> –</w:t>
            </w:r>
            <w:r w:rsidRPr="00690602">
              <w:t xml:space="preserve"> Noteikumi</w:t>
            </w:r>
            <w:r w:rsidR="0034020D">
              <w:t xml:space="preserve"> Nr.210</w:t>
            </w:r>
            <w:r w:rsidRPr="00690602">
              <w:t>) nosaka kārtību, kādā personai, kurai piešķirts alternatīvais statuss, un bēglim</w:t>
            </w:r>
            <w:r w:rsidR="00540F03">
              <w:t xml:space="preserve"> (turpmāk – arī persona)</w:t>
            </w:r>
            <w:r w:rsidRPr="00690602">
              <w:t xml:space="preserve"> piešķir un izmaksā pabalstu, kas sedz uzturēšanās izmaksas un valsts valodas apguvei nepieciešamās izmaksas, kā arī minēto pabalstu apmēru</w:t>
            </w:r>
            <w:r w:rsidR="005E3B27">
              <w:t xml:space="preserve">, nosakot uzturēšanās pabalsta apmēru pieaugušai personai 256,12 </w:t>
            </w:r>
            <w:proofErr w:type="spellStart"/>
            <w:r w:rsidR="005E3B27" w:rsidRPr="005E3B27">
              <w:rPr>
                <w:i/>
              </w:rPr>
              <w:t>euro</w:t>
            </w:r>
            <w:proofErr w:type="spellEnd"/>
            <w:r w:rsidR="005E3B27">
              <w:t xml:space="preserve"> mēnesī, bet nepilngadīgai personai 30 % apmērā (t.i.,76,84 </w:t>
            </w:r>
            <w:proofErr w:type="spellStart"/>
            <w:r w:rsidR="005E3B27" w:rsidRPr="005E3B27">
              <w:rPr>
                <w:i/>
              </w:rPr>
              <w:t>euro</w:t>
            </w:r>
            <w:proofErr w:type="spellEnd"/>
            <w:r w:rsidR="005E3B27">
              <w:t xml:space="preserve">) no minētās summas mēnesī. </w:t>
            </w:r>
          </w:p>
          <w:p w:rsidR="00F05AF5" w:rsidRDefault="00D4293D" w:rsidP="00905792">
            <w:pPr>
              <w:jc w:val="both"/>
            </w:pPr>
            <w:r>
              <w:t>Saskaņā ar Rīcības plāna 3.4.apakšpunktu nepieciešams sagatavot g</w:t>
            </w:r>
            <w:r w:rsidR="009570F8">
              <w:t xml:space="preserve">rozījumus </w:t>
            </w:r>
            <w:r w:rsidR="0034020D">
              <w:t>N</w:t>
            </w:r>
            <w:r>
              <w:t>oteikumos Nr.210, nosakot pabalstu personai, kurai piešķirts alternatīvais statuss, un bēglim 139</w:t>
            </w:r>
            <w:r w:rsidR="00091816">
              <w:t xml:space="preserve"> </w:t>
            </w:r>
            <w:proofErr w:type="spellStart"/>
            <w:r w:rsidR="00091816" w:rsidRPr="005E3B27">
              <w:rPr>
                <w:i/>
              </w:rPr>
              <w:t>euro</w:t>
            </w:r>
            <w:proofErr w:type="spellEnd"/>
            <w:r>
              <w:t xml:space="preserve"> apmērā un 97</w:t>
            </w:r>
            <w:r w:rsidR="00091816">
              <w:t xml:space="preserve"> </w:t>
            </w:r>
            <w:proofErr w:type="spellStart"/>
            <w:r w:rsidR="00091816" w:rsidRPr="005E3B27">
              <w:rPr>
                <w:i/>
              </w:rPr>
              <w:t>euro</w:t>
            </w:r>
            <w:proofErr w:type="spellEnd"/>
            <w:r>
              <w:t xml:space="preserve"> apmērā kat</w:t>
            </w:r>
            <w:r w:rsidR="0065321B">
              <w:t>ram nākamaj</w:t>
            </w:r>
            <w:r w:rsidR="00F05AF5">
              <w:t>am</w:t>
            </w:r>
            <w:r w:rsidR="009A70F2">
              <w:t xml:space="preserve"> ģimenes loceklim. Rīcības plānā</w:t>
            </w:r>
            <w:r w:rsidR="00F05AF5">
              <w:t xml:space="preserve"> minēts, ka, </w:t>
            </w:r>
            <w:proofErr w:type="gramStart"/>
            <w:r w:rsidR="00F05AF5">
              <w:t>i</w:t>
            </w:r>
            <w:r w:rsidR="0019360C">
              <w:t>zvērtējot valsts budžeta fiskālās iespējas</w:t>
            </w:r>
            <w:proofErr w:type="gramEnd"/>
            <w:r w:rsidR="0019360C">
              <w:t xml:space="preserve"> un prognozējamo patvēruma meklētāju skaita pieaugumu ilgākā laika posmā, secināms, ka būtu nepieciešams samērot pabalsta nodrošinājumu ilgstošam laika periodam at</w:t>
            </w:r>
            <w:r w:rsidR="009A70F2">
              <w:t>tiecībā uz visām personām, kurām</w:t>
            </w:r>
            <w:r w:rsidR="0019360C">
              <w:t xml:space="preserve"> pienākas šis pabalsts. Tādējādi Saeimas koalīcijas Sadarbības padomes </w:t>
            </w:r>
            <w:proofErr w:type="gramStart"/>
            <w:r w:rsidR="0019360C">
              <w:t>20</w:t>
            </w:r>
            <w:r w:rsidR="003D6856">
              <w:t>15.gada</w:t>
            </w:r>
            <w:proofErr w:type="gramEnd"/>
            <w:r w:rsidR="003D6856">
              <w:t xml:space="preserve"> 2.novembra sēdē nolemts no 2016.gada 1.janvāra</w:t>
            </w:r>
            <w:r w:rsidR="0019360C">
              <w:t xml:space="preserve"> pabalsta apmēru pielīdzināt pašreizējam iztikas minimuma apmēram</w:t>
            </w:r>
            <w:r w:rsidR="008D3058">
              <w:t xml:space="preserve"> </w:t>
            </w:r>
            <w:r w:rsidR="00F05AF5">
              <w:t xml:space="preserve">un ietaupot </w:t>
            </w:r>
            <w:r w:rsidR="00322527">
              <w:t xml:space="preserve">aptuveni 380 000 </w:t>
            </w:r>
            <w:proofErr w:type="spellStart"/>
            <w:r w:rsidR="00091816" w:rsidRPr="005E3B27">
              <w:rPr>
                <w:i/>
              </w:rPr>
              <w:t>euro</w:t>
            </w:r>
            <w:proofErr w:type="spellEnd"/>
            <w:r w:rsidR="00091816">
              <w:t xml:space="preserve"> </w:t>
            </w:r>
            <w:r w:rsidR="00F05AF5">
              <w:t xml:space="preserve">(salīdzinājumā ar summu, kāda būtu jāparedz valsts budžetā pārvietojamo personu pabalstam līdzšinējā </w:t>
            </w:r>
            <w:r w:rsidR="00091816">
              <w:t>apmērā</w:t>
            </w:r>
            <w:r w:rsidR="0034020D">
              <w:t>, kas noteikts Noteikumos Nr.210</w:t>
            </w:r>
            <w:r w:rsidR="00091816">
              <w:t>)</w:t>
            </w:r>
            <w:r w:rsidR="00F05AF5">
              <w:t xml:space="preserve">. Minētais ietaupījums dos iespēju sniegt šo pabalstu visām personām, kurām tas nepieciešams ilgākā laika periodā. </w:t>
            </w:r>
          </w:p>
          <w:p w:rsidR="00FC3C51" w:rsidRDefault="009C7806" w:rsidP="000E0A75">
            <w:pPr>
              <w:jc w:val="both"/>
            </w:pPr>
            <w:r>
              <w:t>Ievērojot Rīcības plāna 3.4. apakšpunktā min</w:t>
            </w:r>
            <w:r w:rsidR="00C9599A">
              <w:t>ēto un pamatojoties uz</w:t>
            </w:r>
            <w:r w:rsidR="004000DF">
              <w:t xml:space="preserve"> </w:t>
            </w:r>
            <w:r>
              <w:t xml:space="preserve">Ministru kabineta </w:t>
            </w:r>
            <w:proofErr w:type="gramStart"/>
            <w:r>
              <w:t>2014.gada</w:t>
            </w:r>
            <w:proofErr w:type="gramEnd"/>
            <w:r>
              <w:t xml:space="preserve"> 30.oktobra rīkojuma Nr.619 “Par koncepciju “Par minimālā ienākuma līmeņa noteikšanu”” </w:t>
            </w:r>
            <w:r w:rsidR="004000DF">
              <w:t xml:space="preserve">1.punktu, ar kuru </w:t>
            </w:r>
            <w:r w:rsidR="004000DF">
              <w:lastRenderedPageBreak/>
              <w:t>atbalstīts minimālā ienākuma līmeni noteikt 40% apmērā no rīcībā esošo ienākumu mediānas, pārrēķinātas uz ekvivalento patērētāju, piemērojot ekvivalences skalu (1; 0.7; 0.7), proti, nosakot, ka pirmajam pieaugušajam tiek piešķirta vērtība 1, bet pārējiem mājsaimniecību locekļiem, tai skaitā bērnam, - 0.7, kā arī Patvēruma likuma 1.panta 3.punktā noteikto, ka ģimenes loceklis ir patvēruma meklētāja, bēgļa vai tādas personas laulātais, kurai piešķirts alternatīvais statuss vai pagaidu aizsardzība, kā arī patvēruma meklētāja, bēgļa vai tādas personas, kurai piešķirts alternatīvais statuss vai pagaidu aizsardzība, un šīs personas laulātā nepilngadīgie bērni, kas ir neprecējušies un atrodas abu vai viena laulātā apgādībā vai arī ir adoptēti, un tēvs, māte vai cits pieaugušais, kas saskaņā ar Latvijas Republikas normatīvajiem aktiem bērnu tiesību aizsardzības jomā</w:t>
            </w:r>
            <w:r w:rsidR="00540F03">
              <w:t xml:space="preserve"> atbildīgs par starptautiskās aizsardzības saņēmēju, ja minētais starptautiskās aizsardzības saņēmējs ir nepilngadīgs un neprecējies, ar nosacījumu, ka šāda ģimene pastāvējusi jau izcelsmes valstī, nosakāma norma par uzturēšanās pabalsta apmēru atsevišķi pilngadīgai</w:t>
            </w:r>
            <w:r w:rsidR="00023AFA">
              <w:t xml:space="preserve"> bēgļa vai alternatīvo statusu saņēmušai</w:t>
            </w:r>
            <w:r w:rsidR="00540F03">
              <w:t xml:space="preserve"> personai</w:t>
            </w:r>
            <w:r w:rsidR="00F158F1">
              <w:t xml:space="preserve"> 139 </w:t>
            </w:r>
            <w:proofErr w:type="spellStart"/>
            <w:r w:rsidR="00F158F1" w:rsidRPr="00C5035A">
              <w:rPr>
                <w:i/>
              </w:rPr>
              <w:t>euro</w:t>
            </w:r>
            <w:proofErr w:type="spellEnd"/>
            <w:r w:rsidR="00023AFA">
              <w:t xml:space="preserve"> </w:t>
            </w:r>
            <w:r w:rsidR="00F158F1">
              <w:t>mēnesī, bet gadījumā, ja bēgļa vai alterna</w:t>
            </w:r>
            <w:r w:rsidR="00C9599A">
              <w:t xml:space="preserve">tīvais statuss piešķirts </w:t>
            </w:r>
            <w:r w:rsidR="00F158F1">
              <w:t>ģimenes</w:t>
            </w:r>
            <w:r w:rsidR="00C5035A">
              <w:t xml:space="preserve"> locekļiem</w:t>
            </w:r>
            <w:r w:rsidR="00F158F1">
              <w:t xml:space="preserve"> Patvēruma likuma izpratnē</w:t>
            </w:r>
            <w:r w:rsidR="00C5035A">
              <w:t>, tad nosakāms, ka pabalsta apmērs vienam no pieaugušajiem ģimenes</w:t>
            </w:r>
            <w:r w:rsidR="00F158F1">
              <w:t xml:space="preserve"> </w:t>
            </w:r>
            <w:r w:rsidR="00C5035A">
              <w:t>locekļiem 139</w:t>
            </w:r>
            <w:r w:rsidR="00F158F1">
              <w:t xml:space="preserve"> </w:t>
            </w:r>
            <w:proofErr w:type="spellStart"/>
            <w:r w:rsidR="00F158F1" w:rsidRPr="00C5035A">
              <w:rPr>
                <w:i/>
              </w:rPr>
              <w:t>euro</w:t>
            </w:r>
            <w:proofErr w:type="spellEnd"/>
            <w:r w:rsidR="00C5035A">
              <w:t xml:space="preserve"> apmērā un katram nākamajam ģimenes loceklim 97 </w:t>
            </w:r>
            <w:proofErr w:type="spellStart"/>
            <w:r w:rsidR="00C5035A" w:rsidRPr="00C5035A">
              <w:rPr>
                <w:i/>
              </w:rPr>
              <w:t>euro</w:t>
            </w:r>
            <w:proofErr w:type="spellEnd"/>
            <w:r w:rsidR="00C5035A">
              <w:t xml:space="preserve"> apmērā mēnesī.</w:t>
            </w:r>
            <w:r w:rsidR="00023AFA">
              <w:t xml:space="preserve"> Saskaņā ar Patvēruma likuma </w:t>
            </w:r>
            <w:proofErr w:type="gramStart"/>
            <w:r w:rsidR="00023AFA">
              <w:t>1.panta</w:t>
            </w:r>
            <w:proofErr w:type="gramEnd"/>
            <w:r w:rsidR="00023AFA">
              <w:t xml:space="preserve"> 3.punktā minēto, izriet, ka katrs nākamais bēgļa vai alternatīvo statusu saņēmušais ģimenes loceklis ir laulātais vai attiecīgi nepilngadīgās personas- bērni.</w:t>
            </w:r>
            <w:r w:rsidR="00C5035A">
              <w:t xml:space="preserve"> </w:t>
            </w:r>
          </w:p>
          <w:p w:rsidR="00905792" w:rsidRPr="00023AFA" w:rsidRDefault="00540F03" w:rsidP="000E0A75">
            <w:pPr>
              <w:jc w:val="both"/>
            </w:pPr>
            <w:r>
              <w:t>Savukārt, lai saglabātu vienlīdzības principu starp nepilngadīgām pe</w:t>
            </w:r>
            <w:r w:rsidR="00C5035A">
              <w:t>rsonām, kurām ir ģimenes locekļi</w:t>
            </w:r>
            <w:r>
              <w:t>, un nepilngadīgām personām bez pavadības, abām minētajām personu kategorijām nosakāms vienāds uzturēšanās pabalsta apmērs</w:t>
            </w:r>
            <w:r w:rsidR="004F0250">
              <w:t xml:space="preserve"> mēnesī</w:t>
            </w:r>
            <w:r w:rsidR="00C5035A">
              <w:t xml:space="preserve">, proti, 97 </w:t>
            </w:r>
            <w:proofErr w:type="spellStart"/>
            <w:r w:rsidR="00C5035A" w:rsidRPr="00C5035A">
              <w:rPr>
                <w:i/>
              </w:rPr>
              <w:t>euro</w:t>
            </w:r>
            <w:proofErr w:type="spellEnd"/>
            <w:r>
              <w:t xml:space="preserve">.  </w:t>
            </w:r>
            <w:r w:rsidR="00426386" w:rsidRPr="00540F03">
              <w:rPr>
                <w:color w:val="FF0000"/>
              </w:rPr>
              <w:t xml:space="preserve"> </w:t>
            </w:r>
          </w:p>
          <w:p w:rsidR="00C5035A" w:rsidRDefault="00C5035A" w:rsidP="000E0A75">
            <w:pPr>
              <w:jc w:val="both"/>
            </w:pPr>
            <w:r w:rsidRPr="00C5035A">
              <w:t>Tāpat</w:t>
            </w:r>
            <w:r>
              <w:t>,</w:t>
            </w:r>
            <w:r w:rsidRPr="00C5035A">
              <w:t xml:space="preserve"> ievie</w:t>
            </w:r>
            <w:r>
              <w:t xml:space="preserve">šot </w:t>
            </w:r>
            <w:r w:rsidRPr="00C5035A">
              <w:t>minētās normas</w:t>
            </w:r>
            <w:r>
              <w:t xml:space="preserve"> un ievērojot to, ka uzturēšanās pabalsts tiek maksāts katrai pieaugušai personai atsevišķi uz tās norādīto kredītiestādes kontu</w:t>
            </w:r>
            <w:r w:rsidRPr="00C5035A">
              <w:t xml:space="preserve">, jāparedz, ka </w:t>
            </w:r>
            <w:r>
              <w:t xml:space="preserve">laulātajiem savā starpā jāvienojas, kurš no viņiem pieprasa uzturēšanās pabalstu 139 </w:t>
            </w:r>
            <w:proofErr w:type="spellStart"/>
            <w:r w:rsidRPr="004F0250">
              <w:rPr>
                <w:i/>
              </w:rPr>
              <w:t>euro</w:t>
            </w:r>
            <w:proofErr w:type="spellEnd"/>
            <w:r>
              <w:t xml:space="preserve"> apmērā</w:t>
            </w:r>
            <w:r w:rsidR="00023AFA">
              <w:t xml:space="preserve"> mēnesī</w:t>
            </w:r>
            <w:r>
              <w:t xml:space="preserve">, bet kurš 97 </w:t>
            </w:r>
            <w:proofErr w:type="spellStart"/>
            <w:r w:rsidRPr="004F0250">
              <w:rPr>
                <w:i/>
              </w:rPr>
              <w:t>euro</w:t>
            </w:r>
            <w:proofErr w:type="spellEnd"/>
            <w:r>
              <w:t xml:space="preserve"> apmērā</w:t>
            </w:r>
            <w:r w:rsidR="00023AFA">
              <w:t xml:space="preserve"> mēnesī</w:t>
            </w:r>
            <w:r>
              <w:t xml:space="preserve">. </w:t>
            </w:r>
          </w:p>
          <w:p w:rsidR="00FC3C51" w:rsidRPr="00C5035A" w:rsidRDefault="00F2616C" w:rsidP="00470E26">
            <w:pPr>
              <w:jc w:val="both"/>
            </w:pPr>
            <w:r>
              <w:t xml:space="preserve">Pabalsta apmēra samērīgums un atbilstība mērķa sasniegšanai ir izvērtēta, izstrādājot un pieņemot </w:t>
            </w:r>
            <w:r w:rsidR="00FC3C51">
              <w:t xml:space="preserve">Rīcības plānu.  </w:t>
            </w:r>
            <w:r w:rsidR="00895902">
              <w:t xml:space="preserve">Piedāvātais regulējums ir piemērots leģitīma mērķa sasniegšanai, proti </w:t>
            </w:r>
            <w:r w:rsidR="000659FD">
              <w:t xml:space="preserve">– pie būtiska patvēruma meklētāju skaita pieauguma un </w:t>
            </w:r>
            <w:r w:rsidR="00F51393">
              <w:t xml:space="preserve">ar </w:t>
            </w:r>
            <w:r w:rsidR="000659FD">
              <w:t>ierobežotu valsts budžeta līdzek</w:t>
            </w:r>
            <w:r w:rsidR="00F51393">
              <w:t xml:space="preserve">ļu apjomu, nepieciešams nodrošināt </w:t>
            </w:r>
            <w:r w:rsidR="00F51393">
              <w:lastRenderedPageBreak/>
              <w:t>visām minētajām personām vismaz minimālu uzturēšanās pabalsta izmaksu.</w:t>
            </w:r>
            <w:r w:rsidR="00895902">
              <w:t xml:space="preserve"> Tāpat </w:t>
            </w:r>
            <w:r w:rsidR="000659FD">
              <w:t>saskaņā ar Rīcības plānā noteikto minētajām personām tiks nodrošināti arī citi sociālekonomiskās iekļaušanās pasākumi, piemēram, palīdzība dzīvesvietas nodrošināšanā, izglītības nodrošināšanā, informēšanā par nodarbinātības iespējām u.c., tādējādi uzturēšanās pabalsta apmēra samazinājums neradīs būtisku negatīvu ietekmi uz šo personu iekļaušanos sociālekonomiskajā vidē.</w:t>
            </w:r>
          </w:p>
        </w:tc>
      </w:tr>
      <w:tr w:rsidR="008F4F83" w:rsidRPr="009C479E" w:rsidTr="008F4F83">
        <w:trPr>
          <w:trHeight w:val="465"/>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8F4F83" w:rsidRPr="009C479E" w:rsidRDefault="008F4F83" w:rsidP="008F4F83">
            <w:pPr>
              <w:spacing w:before="100" w:beforeAutospacing="1" w:after="100" w:afterAutospacing="1" w:line="360" w:lineRule="auto"/>
              <w:ind w:firstLine="300"/>
              <w:jc w:val="both"/>
            </w:pPr>
            <w:r w:rsidRPr="009C479E">
              <w:lastRenderedPageBreak/>
              <w:t>3.</w:t>
            </w:r>
          </w:p>
        </w:tc>
        <w:tc>
          <w:tcPr>
            <w:tcW w:w="1421" w:type="pct"/>
            <w:tcBorders>
              <w:top w:val="outset" w:sz="6" w:space="0" w:color="auto"/>
              <w:left w:val="outset" w:sz="6" w:space="0" w:color="auto"/>
              <w:bottom w:val="outset" w:sz="6" w:space="0" w:color="auto"/>
              <w:right w:val="outset" w:sz="6" w:space="0" w:color="auto"/>
            </w:tcBorders>
            <w:hideMark/>
          </w:tcPr>
          <w:p w:rsidR="008F4F83" w:rsidRPr="009C479E" w:rsidRDefault="008F4F83">
            <w:r w:rsidRPr="009C479E">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8F4F83" w:rsidRPr="009C479E" w:rsidRDefault="009C479E" w:rsidP="003D6856">
            <w:pPr>
              <w:jc w:val="both"/>
            </w:pPr>
            <w:r w:rsidRPr="009C479E">
              <w:t>Pilsonības un migrācijas lietu pārvalde</w:t>
            </w:r>
            <w:r w:rsidR="002F3A99">
              <w:t xml:space="preserve"> </w:t>
            </w:r>
          </w:p>
        </w:tc>
      </w:tr>
      <w:tr w:rsidR="008F4F83" w:rsidRPr="002F3A99" w:rsidTr="008F4F83">
        <w:trPr>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8F4F83" w:rsidRPr="002F3A99" w:rsidRDefault="008F4F83" w:rsidP="008F4F83">
            <w:pPr>
              <w:spacing w:before="100" w:beforeAutospacing="1" w:after="100" w:afterAutospacing="1" w:line="360" w:lineRule="auto"/>
              <w:ind w:firstLine="300"/>
              <w:jc w:val="both"/>
              <w:rPr>
                <w:color w:val="000000"/>
              </w:rPr>
            </w:pPr>
            <w:r w:rsidRPr="002F3A99">
              <w:rPr>
                <w:color w:val="000000"/>
              </w:rPr>
              <w:t>4.</w:t>
            </w:r>
          </w:p>
        </w:tc>
        <w:tc>
          <w:tcPr>
            <w:tcW w:w="1421" w:type="pct"/>
            <w:tcBorders>
              <w:top w:val="outset" w:sz="6" w:space="0" w:color="auto"/>
              <w:left w:val="outset" w:sz="6" w:space="0" w:color="auto"/>
              <w:bottom w:val="outset" w:sz="6" w:space="0" w:color="auto"/>
              <w:right w:val="outset" w:sz="6" w:space="0" w:color="auto"/>
            </w:tcBorders>
            <w:hideMark/>
          </w:tcPr>
          <w:p w:rsidR="008F4F83" w:rsidRPr="002F3A99" w:rsidRDefault="008F4F83">
            <w:pPr>
              <w:rPr>
                <w:color w:val="000000"/>
              </w:rPr>
            </w:pPr>
            <w:r w:rsidRPr="002F3A99">
              <w:rPr>
                <w:color w:val="000000"/>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8F4F83" w:rsidRPr="002F3A99" w:rsidRDefault="002F3A99" w:rsidP="00905792">
            <w:pPr>
              <w:spacing w:before="100" w:beforeAutospacing="1" w:after="100" w:afterAutospacing="1" w:line="360" w:lineRule="auto"/>
              <w:jc w:val="both"/>
              <w:rPr>
                <w:color w:val="000000"/>
              </w:rPr>
            </w:pPr>
            <w:r w:rsidRPr="002F3A99">
              <w:rPr>
                <w:color w:val="000000"/>
              </w:rPr>
              <w:t>Nav</w:t>
            </w:r>
          </w:p>
        </w:tc>
      </w:tr>
    </w:tbl>
    <w:p w:rsidR="008F4F83" w:rsidRPr="009C479E" w:rsidRDefault="008F4F83" w:rsidP="00905792">
      <w:pPr>
        <w:spacing w:before="100" w:beforeAutospacing="1" w:after="100" w:afterAutospacing="1" w:line="360" w:lineRule="auto"/>
        <w:rPr>
          <w:color w:val="FF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2674"/>
        <w:gridCol w:w="5504"/>
      </w:tblGrid>
      <w:tr w:rsidR="008F4F83" w:rsidRPr="009C479E" w:rsidTr="008F4F8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F4F83" w:rsidRPr="009C479E" w:rsidRDefault="008F4F83">
            <w:pPr>
              <w:spacing w:before="100" w:beforeAutospacing="1" w:after="100" w:afterAutospacing="1" w:line="360" w:lineRule="auto"/>
              <w:ind w:firstLine="300"/>
              <w:jc w:val="center"/>
              <w:rPr>
                <w:b/>
                <w:bCs/>
              </w:rPr>
            </w:pPr>
            <w:r w:rsidRPr="009C479E">
              <w:rPr>
                <w:b/>
                <w:bCs/>
              </w:rPr>
              <w:t>II. Tiesību akta projekta ietekme uz sabiedrību, tautsaimniecības attīstību un administratīvo slogu</w:t>
            </w:r>
          </w:p>
        </w:tc>
      </w:tr>
      <w:tr w:rsidR="008F4F83" w:rsidRPr="00905792" w:rsidTr="008F4F8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F4F83" w:rsidRPr="00905792" w:rsidRDefault="008F4F83">
            <w:r w:rsidRPr="00905792">
              <w:t>1.</w:t>
            </w:r>
          </w:p>
        </w:tc>
        <w:tc>
          <w:tcPr>
            <w:tcW w:w="1550" w:type="pct"/>
            <w:tcBorders>
              <w:top w:val="outset" w:sz="6" w:space="0" w:color="auto"/>
              <w:left w:val="outset" w:sz="6" w:space="0" w:color="auto"/>
              <w:bottom w:val="outset" w:sz="6" w:space="0" w:color="auto"/>
              <w:right w:val="outset" w:sz="6" w:space="0" w:color="auto"/>
            </w:tcBorders>
            <w:hideMark/>
          </w:tcPr>
          <w:p w:rsidR="008F4F83" w:rsidRPr="00905792" w:rsidRDefault="008F4F83">
            <w:r w:rsidRPr="00905792">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9A03AB" w:rsidRDefault="00905792" w:rsidP="00F67129">
            <w:pPr>
              <w:jc w:val="both"/>
            </w:pPr>
            <w:r w:rsidRPr="00905792">
              <w:t>Bēgļi un personas, kurām piešķirts alternatīvais statuss.</w:t>
            </w:r>
            <w:r w:rsidR="009A03AB">
              <w:t xml:space="preserve"> </w:t>
            </w:r>
          </w:p>
          <w:p w:rsidR="00E71207" w:rsidRDefault="0022125E" w:rsidP="00E71207">
            <w:pPr>
              <w:jc w:val="both"/>
            </w:pPr>
            <w:proofErr w:type="gramStart"/>
            <w:r w:rsidRPr="009A03AB">
              <w:t>2013.gadā</w:t>
            </w:r>
            <w:proofErr w:type="gramEnd"/>
            <w:r w:rsidRPr="009A03AB">
              <w:t xml:space="preserve"> bēgļa statuss piešķirts 14 personām, </w:t>
            </w:r>
            <w:r w:rsidR="00D732E9">
              <w:t>trīs</w:t>
            </w:r>
            <w:r w:rsidRPr="009A03AB">
              <w:t xml:space="preserve"> no kurām nepilngadīgas personas, bet alternatīvais statuss piešķirts 21 personai, </w:t>
            </w:r>
            <w:r w:rsidR="00D732E9">
              <w:t>divas</w:t>
            </w:r>
            <w:r w:rsidRPr="009A03AB">
              <w:t xml:space="preserve"> no kurām nepilngadīgas</w:t>
            </w:r>
            <w:r w:rsidR="00723DE6">
              <w:t xml:space="preserve"> personas</w:t>
            </w:r>
            <w:r w:rsidRPr="009A03AB">
              <w:t>. 2014.gadā bēgļa statuss pie</w:t>
            </w:r>
            <w:r w:rsidR="00FE2829">
              <w:t xml:space="preserve">šķirts </w:t>
            </w:r>
            <w:r w:rsidR="00D732E9">
              <w:t>trīs</w:t>
            </w:r>
            <w:r w:rsidR="00FE2829">
              <w:t xml:space="preserve"> personām, </w:t>
            </w:r>
            <w:r w:rsidR="00D732E9">
              <w:t>viena</w:t>
            </w:r>
            <w:r w:rsidRPr="009A03AB">
              <w:t xml:space="preserve"> no kurām nepilngadīga persona, bet alternatīvais statuss 21 personai, </w:t>
            </w:r>
            <w:r w:rsidR="00D732E9">
              <w:t>trīs</w:t>
            </w:r>
            <w:r w:rsidRPr="009A03AB">
              <w:t xml:space="preserve"> no kurām nepilngadīgas personas. 2015.gadā līdz 30.novembrim bēgļa statuss piešķirts </w:t>
            </w:r>
            <w:r w:rsidR="00D732E9">
              <w:t>četrām</w:t>
            </w:r>
            <w:r w:rsidR="009A03AB" w:rsidRPr="009A03AB">
              <w:t xml:space="preserve"> personām, </w:t>
            </w:r>
            <w:r w:rsidR="00D732E9">
              <w:t>divas</w:t>
            </w:r>
            <w:r w:rsidR="009A03AB" w:rsidRPr="009A03AB">
              <w:t xml:space="preserve"> no kurām nepilngadīgas</w:t>
            </w:r>
            <w:r w:rsidR="00723DE6">
              <w:t xml:space="preserve"> personas</w:t>
            </w:r>
            <w:r w:rsidR="009A03AB" w:rsidRPr="009A03AB">
              <w:t xml:space="preserve">, un alternatīvais statuss piešķirts 21 personai, </w:t>
            </w:r>
            <w:r w:rsidR="00D732E9">
              <w:t>četras</w:t>
            </w:r>
            <w:r w:rsidR="009A03AB" w:rsidRPr="009A03AB">
              <w:t xml:space="preserve"> no kurām nepilngadīgas</w:t>
            </w:r>
            <w:r w:rsidR="00723DE6">
              <w:t xml:space="preserve"> personas</w:t>
            </w:r>
            <w:r w:rsidR="009A03AB" w:rsidRPr="009A03AB">
              <w:t>.</w:t>
            </w:r>
            <w:r w:rsidR="00C53F21">
              <w:t xml:space="preserve"> </w:t>
            </w:r>
          </w:p>
          <w:p w:rsidR="00D732E9" w:rsidRPr="00D732E9" w:rsidRDefault="00D732E9" w:rsidP="00E71207">
            <w:pPr>
              <w:jc w:val="both"/>
              <w:rPr>
                <w:spacing w:val="2"/>
              </w:rPr>
            </w:pPr>
            <w:r>
              <w:rPr>
                <w:spacing w:val="2"/>
              </w:rPr>
              <w:t xml:space="preserve">Saskaņā ar Tieslietu un iekšlietu padomē </w:t>
            </w:r>
            <w:proofErr w:type="gramStart"/>
            <w:r>
              <w:rPr>
                <w:spacing w:val="2"/>
              </w:rPr>
              <w:t>2015.gada</w:t>
            </w:r>
            <w:proofErr w:type="gramEnd"/>
            <w:r>
              <w:rPr>
                <w:spacing w:val="2"/>
              </w:rPr>
              <w:t xml:space="preserve"> 20.jūlijā pieņemto rezolūciju par pārvietošanu no trešajām valstīm, Padomes Lēmumu (ES) 2015/1523 (2015.gada 14.septembris), ar ko nosaka pagaidu pasākumus starptautiskās aizsardzības jomā Itālijas un Grieķijas labā, un Padomes Lēmumu (ES) 2015/1601 (2015.gada 22.septembris), ar ko nosaka pagaidu pasākumus starptautiskās aizsardzības jomā Itālijas un Grieķijas labā, </w:t>
            </w:r>
            <w:r w:rsidR="00FE2829">
              <w:rPr>
                <w:spacing w:val="2"/>
              </w:rPr>
              <w:t>Latvijai līdz 2017.gada</w:t>
            </w:r>
            <w:r>
              <w:rPr>
                <w:spacing w:val="2"/>
              </w:rPr>
              <w:t xml:space="preserve"> 17.septembrim</w:t>
            </w:r>
            <w:r w:rsidR="00FE2829">
              <w:rPr>
                <w:spacing w:val="2"/>
              </w:rPr>
              <w:t xml:space="preserve"> papildus</w:t>
            </w:r>
            <w:r w:rsidR="00723DE6">
              <w:rPr>
                <w:spacing w:val="2"/>
              </w:rPr>
              <w:t xml:space="preserve"> patvēruma meklētājiem, kuri individuāli ierodas Latvijā un iesniedz iesniegumu par bēgļa vai alternatīvā statusa piešķiršanu, jāuzņem 531 patvēruma meklētājs</w:t>
            </w:r>
            <w:r w:rsidR="00FE2829">
              <w:rPr>
                <w:spacing w:val="2"/>
              </w:rPr>
              <w:t xml:space="preserve">. </w:t>
            </w:r>
            <w:r>
              <w:rPr>
                <w:spacing w:val="2"/>
              </w:rPr>
              <w:t xml:space="preserve"> </w:t>
            </w:r>
          </w:p>
        </w:tc>
      </w:tr>
      <w:tr w:rsidR="008F4F83" w:rsidRPr="00F67129" w:rsidTr="008F4F8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F4F83" w:rsidRPr="00F67129" w:rsidRDefault="008F4F83">
            <w:r w:rsidRPr="00F67129">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8F4F83" w:rsidRPr="00F67129" w:rsidRDefault="008F4F83">
            <w:r w:rsidRPr="00F67129">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8F4F83" w:rsidRPr="00F67129" w:rsidRDefault="00F67129" w:rsidP="00F67129">
            <w:pPr>
              <w:jc w:val="both"/>
            </w:pPr>
            <w:r w:rsidRPr="00F67129">
              <w:t>Sabiedrības mērķgrupām un institūcijām projekta tiesiskais regulējums nemaina tiesības un pienākumus, kā arī veicamās darbības</w:t>
            </w:r>
            <w:r>
              <w:t>.</w:t>
            </w:r>
          </w:p>
        </w:tc>
      </w:tr>
      <w:tr w:rsidR="008F4F83" w:rsidRPr="00403802" w:rsidTr="008F4F8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F4F83" w:rsidRPr="00403802" w:rsidRDefault="008F4F83">
            <w:r w:rsidRPr="00403802">
              <w:t>3.</w:t>
            </w:r>
          </w:p>
        </w:tc>
        <w:tc>
          <w:tcPr>
            <w:tcW w:w="1550" w:type="pct"/>
            <w:tcBorders>
              <w:top w:val="outset" w:sz="6" w:space="0" w:color="auto"/>
              <w:left w:val="outset" w:sz="6" w:space="0" w:color="auto"/>
              <w:bottom w:val="outset" w:sz="6" w:space="0" w:color="auto"/>
              <w:right w:val="outset" w:sz="6" w:space="0" w:color="auto"/>
            </w:tcBorders>
            <w:hideMark/>
          </w:tcPr>
          <w:p w:rsidR="008F4F83" w:rsidRPr="00403802" w:rsidRDefault="008F4F83">
            <w:r w:rsidRPr="00403802">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8F4F83" w:rsidRPr="00403802" w:rsidRDefault="00403802">
            <w:r w:rsidRPr="00403802">
              <w:t>Projektā ietvertajam tiesiskajam regulējumam nav ietekmes uz administratīvajām izmaksām.</w:t>
            </w:r>
          </w:p>
        </w:tc>
      </w:tr>
      <w:tr w:rsidR="008F4F83" w:rsidRPr="002F3A99" w:rsidTr="008F4F83">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F4F83" w:rsidRPr="002F3A99" w:rsidRDefault="008F4F83">
            <w:pPr>
              <w:rPr>
                <w:color w:val="000000"/>
              </w:rPr>
            </w:pPr>
            <w:r w:rsidRPr="002F3A99">
              <w:rPr>
                <w:color w:val="000000"/>
              </w:rPr>
              <w:t>4.</w:t>
            </w:r>
          </w:p>
        </w:tc>
        <w:tc>
          <w:tcPr>
            <w:tcW w:w="1550" w:type="pct"/>
            <w:tcBorders>
              <w:top w:val="outset" w:sz="6" w:space="0" w:color="auto"/>
              <w:left w:val="outset" w:sz="6" w:space="0" w:color="auto"/>
              <w:bottom w:val="outset" w:sz="6" w:space="0" w:color="auto"/>
              <w:right w:val="outset" w:sz="6" w:space="0" w:color="auto"/>
            </w:tcBorders>
            <w:hideMark/>
          </w:tcPr>
          <w:p w:rsidR="008F4F83" w:rsidRPr="002F3A99" w:rsidRDefault="008F4F83">
            <w:pPr>
              <w:rPr>
                <w:color w:val="000000"/>
              </w:rPr>
            </w:pPr>
            <w:r w:rsidRPr="002F3A99">
              <w:rPr>
                <w:color w:val="000000"/>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8F4F83" w:rsidRPr="002F3A99" w:rsidRDefault="002F3A99" w:rsidP="002F3A99">
            <w:pPr>
              <w:spacing w:before="100" w:beforeAutospacing="1" w:after="100" w:afterAutospacing="1" w:line="360" w:lineRule="auto"/>
              <w:rPr>
                <w:color w:val="000000"/>
              </w:rPr>
            </w:pPr>
            <w:r w:rsidRPr="002F3A99">
              <w:rPr>
                <w:color w:val="000000"/>
              </w:rPr>
              <w:t>Nav</w:t>
            </w:r>
          </w:p>
        </w:tc>
      </w:tr>
    </w:tbl>
    <w:p w:rsidR="008F4F83" w:rsidRPr="009C479E" w:rsidRDefault="008F4F83" w:rsidP="008F4F83">
      <w:pPr>
        <w:spacing w:before="100" w:beforeAutospacing="1" w:after="100" w:afterAutospacing="1" w:line="360" w:lineRule="auto"/>
        <w:ind w:firstLine="300"/>
        <w:rPr>
          <w:color w:val="FF0000"/>
        </w:rPr>
      </w:pPr>
      <w:r w:rsidRPr="009C479E">
        <w:rPr>
          <w:color w:val="FF0000"/>
        </w:rPr>
        <w:t> </w:t>
      </w:r>
    </w:p>
    <w:tbl>
      <w:tblPr>
        <w:tblW w:w="5558"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2021"/>
        <w:gridCol w:w="1855"/>
        <w:gridCol w:w="1543"/>
        <w:gridCol w:w="1543"/>
        <w:gridCol w:w="1774"/>
      </w:tblGrid>
      <w:tr w:rsidR="00547BAD" w:rsidRPr="00547BAD" w:rsidTr="005E3B27">
        <w:trPr>
          <w:trHeight w:val="360"/>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pPr>
              <w:spacing w:before="100" w:beforeAutospacing="1" w:after="100" w:afterAutospacing="1" w:line="360" w:lineRule="auto"/>
              <w:ind w:firstLine="300"/>
              <w:jc w:val="center"/>
              <w:rPr>
                <w:b/>
                <w:bCs/>
              </w:rPr>
            </w:pPr>
            <w:r w:rsidRPr="00547BAD">
              <w:rPr>
                <w:b/>
                <w:bCs/>
              </w:rPr>
              <w:t>III. Tiesību akta projekta ietekme uz valsts budžetu un pašvaldību budžetiem</w:t>
            </w:r>
          </w:p>
        </w:tc>
      </w:tr>
      <w:tr w:rsidR="00D65967" w:rsidRPr="00547BAD" w:rsidTr="00002A95">
        <w:trPr>
          <w:tblCellSpacing w:w="15" w:type="dxa"/>
          <w:jc w:val="center"/>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pPr>
              <w:spacing w:before="100" w:beforeAutospacing="1" w:after="100" w:afterAutospacing="1" w:line="360" w:lineRule="auto"/>
              <w:ind w:firstLine="300"/>
              <w:jc w:val="center"/>
              <w:rPr>
                <w:b/>
                <w:bCs/>
              </w:rPr>
            </w:pPr>
            <w:r w:rsidRPr="00547BAD">
              <w:rPr>
                <w:b/>
                <w:bCs/>
              </w:rPr>
              <w:t>Rādītāji</w:t>
            </w:r>
          </w:p>
        </w:tc>
        <w:tc>
          <w:tcPr>
            <w:tcW w:w="183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F4F83" w:rsidRPr="00547BAD" w:rsidRDefault="003A2249">
            <w:pPr>
              <w:spacing w:before="100" w:beforeAutospacing="1" w:after="100" w:afterAutospacing="1" w:line="360" w:lineRule="auto"/>
              <w:ind w:firstLine="300"/>
              <w:jc w:val="center"/>
              <w:rPr>
                <w:b/>
                <w:bCs/>
              </w:rPr>
            </w:pPr>
            <w:proofErr w:type="gramStart"/>
            <w:r>
              <w:rPr>
                <w:b/>
                <w:bCs/>
              </w:rPr>
              <w:t>2015.</w:t>
            </w:r>
            <w:r w:rsidR="008F4F83" w:rsidRPr="00547BAD">
              <w:rPr>
                <w:b/>
                <w:bCs/>
              </w:rPr>
              <w:t>gads</w:t>
            </w:r>
            <w:proofErr w:type="gramEnd"/>
          </w:p>
        </w:tc>
        <w:tc>
          <w:tcPr>
            <w:tcW w:w="2254" w:type="pct"/>
            <w:gridSpan w:val="3"/>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pPr>
              <w:spacing w:before="100" w:beforeAutospacing="1" w:after="100" w:afterAutospacing="1" w:line="360" w:lineRule="auto"/>
              <w:ind w:firstLine="300"/>
              <w:jc w:val="center"/>
            </w:pPr>
            <w:r w:rsidRPr="00547BAD">
              <w:t>Turpmākie trīs gadi (</w:t>
            </w:r>
            <w:proofErr w:type="spellStart"/>
            <w:r w:rsidRPr="00547BAD">
              <w:rPr>
                <w:i/>
                <w:iCs/>
              </w:rPr>
              <w:t>euro</w:t>
            </w:r>
            <w:proofErr w:type="spellEnd"/>
            <w:r w:rsidRPr="00547BAD">
              <w:t>)</w:t>
            </w:r>
          </w:p>
        </w:tc>
      </w:tr>
      <w:tr w:rsidR="00D65967" w:rsidRPr="00547BAD" w:rsidTr="00002A95">
        <w:trPr>
          <w:tblCellSpacing w:w="15" w:type="dxa"/>
          <w:jc w:val="center"/>
        </w:trPr>
        <w:tc>
          <w:tcPr>
            <w:tcW w:w="850" w:type="pct"/>
            <w:vMerge/>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pPr>
              <w:rPr>
                <w:b/>
                <w:bCs/>
              </w:rPr>
            </w:pPr>
          </w:p>
        </w:tc>
        <w:tc>
          <w:tcPr>
            <w:tcW w:w="1834" w:type="pct"/>
            <w:gridSpan w:val="2"/>
            <w:vMerge/>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pPr>
              <w:rPr>
                <w:b/>
                <w:bCs/>
              </w:rPr>
            </w:pPr>
          </w:p>
        </w:tc>
        <w:tc>
          <w:tcPr>
            <w:tcW w:w="727"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3A2249">
            <w:pPr>
              <w:spacing w:before="100" w:beforeAutospacing="1" w:after="100" w:afterAutospacing="1" w:line="360" w:lineRule="auto"/>
              <w:ind w:firstLine="300"/>
              <w:jc w:val="center"/>
              <w:rPr>
                <w:b/>
                <w:bCs/>
              </w:rPr>
            </w:pPr>
            <w:proofErr w:type="gramStart"/>
            <w:r>
              <w:rPr>
                <w:b/>
                <w:bCs/>
              </w:rPr>
              <w:t>2016.gads</w:t>
            </w:r>
            <w:proofErr w:type="gramEnd"/>
          </w:p>
        </w:tc>
        <w:tc>
          <w:tcPr>
            <w:tcW w:w="727"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3A2249">
            <w:pPr>
              <w:spacing w:before="100" w:beforeAutospacing="1" w:after="100" w:afterAutospacing="1" w:line="360" w:lineRule="auto"/>
              <w:ind w:firstLine="300"/>
              <w:jc w:val="center"/>
              <w:rPr>
                <w:b/>
                <w:bCs/>
              </w:rPr>
            </w:pPr>
            <w:proofErr w:type="gramStart"/>
            <w:r>
              <w:rPr>
                <w:b/>
                <w:bCs/>
              </w:rPr>
              <w:t>2017.gads</w:t>
            </w:r>
            <w:proofErr w:type="gramEnd"/>
          </w:p>
        </w:tc>
        <w:tc>
          <w:tcPr>
            <w:tcW w:w="769"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3A2249" w:rsidP="003A2249">
            <w:pPr>
              <w:spacing w:before="100" w:beforeAutospacing="1" w:after="100" w:afterAutospacing="1" w:line="360" w:lineRule="auto"/>
              <w:ind w:firstLine="300"/>
              <w:jc w:val="center"/>
              <w:rPr>
                <w:b/>
                <w:bCs/>
              </w:rPr>
            </w:pPr>
            <w:proofErr w:type="gramStart"/>
            <w:r>
              <w:rPr>
                <w:b/>
                <w:bCs/>
              </w:rPr>
              <w:t>2018.gads</w:t>
            </w:r>
            <w:proofErr w:type="gramEnd"/>
          </w:p>
        </w:tc>
      </w:tr>
      <w:tr w:rsidR="00AF52A7" w:rsidRPr="00547BAD" w:rsidTr="00002A95">
        <w:trPr>
          <w:tblCellSpacing w:w="15" w:type="dxa"/>
          <w:jc w:val="center"/>
        </w:trPr>
        <w:tc>
          <w:tcPr>
            <w:tcW w:w="850" w:type="pct"/>
            <w:vMerge/>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pPr>
              <w:rPr>
                <w:b/>
                <w:bCs/>
              </w:rPr>
            </w:pPr>
          </w:p>
        </w:tc>
        <w:tc>
          <w:tcPr>
            <w:tcW w:w="957"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rsidP="005E3B27">
            <w:pPr>
              <w:ind w:firstLine="301"/>
              <w:jc w:val="center"/>
            </w:pPr>
            <w:r w:rsidRPr="00547BAD">
              <w:t>saskaņā ar valsts budžetu kārtējam gadam</w:t>
            </w:r>
          </w:p>
        </w:tc>
        <w:tc>
          <w:tcPr>
            <w:tcW w:w="862"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rsidP="005E3B27">
            <w:pPr>
              <w:ind w:firstLine="301"/>
              <w:jc w:val="center"/>
            </w:pPr>
            <w:r w:rsidRPr="00547BAD">
              <w:t>izmaiņas kārtējā gadā, salīdzinot ar valsts budžetu kārtējam gadam</w:t>
            </w:r>
          </w:p>
        </w:tc>
        <w:tc>
          <w:tcPr>
            <w:tcW w:w="727"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rsidP="005E3B27">
            <w:pPr>
              <w:ind w:firstLine="301"/>
              <w:jc w:val="center"/>
            </w:pPr>
            <w:r w:rsidRPr="00547BAD">
              <w:t xml:space="preserve">izmaiņas, </w:t>
            </w:r>
            <w:r w:rsidR="006E745F">
              <w:t>salīdzinot ar kārtējo (2015</w:t>
            </w:r>
            <w:r w:rsidRPr="00547BAD">
              <w:t>) gadu</w:t>
            </w:r>
          </w:p>
        </w:tc>
        <w:tc>
          <w:tcPr>
            <w:tcW w:w="727"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rsidP="005E3B27">
            <w:pPr>
              <w:ind w:firstLine="301"/>
              <w:jc w:val="center"/>
            </w:pPr>
            <w:r w:rsidRPr="00547BAD">
              <w:t>iz</w:t>
            </w:r>
            <w:r w:rsidR="006E745F">
              <w:t>maiņas, salīdzinot ar kārtējo (2015</w:t>
            </w:r>
            <w:r w:rsidRPr="00547BAD">
              <w:t>) gadu</w:t>
            </w:r>
          </w:p>
        </w:tc>
        <w:tc>
          <w:tcPr>
            <w:tcW w:w="769"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rsidP="005E3B27">
            <w:pPr>
              <w:ind w:firstLine="301"/>
              <w:jc w:val="center"/>
            </w:pPr>
            <w:r w:rsidRPr="00547BAD">
              <w:t>izmaiņas, salīdzinot ar kārtējo (</w:t>
            </w:r>
            <w:r w:rsidR="006E745F">
              <w:t>2015</w:t>
            </w:r>
            <w:r w:rsidRPr="00547BAD">
              <w:t>) gadu</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pPr>
              <w:spacing w:before="100" w:beforeAutospacing="1" w:after="100" w:afterAutospacing="1" w:line="360" w:lineRule="auto"/>
              <w:ind w:firstLine="300"/>
              <w:jc w:val="center"/>
            </w:pPr>
            <w:r w:rsidRPr="00547BAD">
              <w:t>1</w:t>
            </w:r>
          </w:p>
        </w:tc>
        <w:tc>
          <w:tcPr>
            <w:tcW w:w="957"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pPr>
              <w:spacing w:before="100" w:beforeAutospacing="1" w:after="100" w:afterAutospacing="1" w:line="360" w:lineRule="auto"/>
              <w:ind w:firstLine="300"/>
              <w:jc w:val="center"/>
            </w:pPr>
            <w:r w:rsidRPr="00547BAD">
              <w:t>2</w:t>
            </w:r>
          </w:p>
        </w:tc>
        <w:tc>
          <w:tcPr>
            <w:tcW w:w="862"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pPr>
              <w:spacing w:before="100" w:beforeAutospacing="1" w:after="100" w:afterAutospacing="1" w:line="360" w:lineRule="auto"/>
              <w:ind w:firstLine="300"/>
              <w:jc w:val="center"/>
            </w:pPr>
            <w:r w:rsidRPr="00547BAD">
              <w:t>3</w:t>
            </w:r>
          </w:p>
        </w:tc>
        <w:tc>
          <w:tcPr>
            <w:tcW w:w="727"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pPr>
              <w:spacing w:before="100" w:beforeAutospacing="1" w:after="100" w:afterAutospacing="1" w:line="360" w:lineRule="auto"/>
              <w:ind w:firstLine="300"/>
              <w:jc w:val="center"/>
            </w:pPr>
            <w:r w:rsidRPr="00547BAD">
              <w:t>4</w:t>
            </w:r>
          </w:p>
        </w:tc>
        <w:tc>
          <w:tcPr>
            <w:tcW w:w="727"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pPr>
              <w:spacing w:before="100" w:beforeAutospacing="1" w:after="100" w:afterAutospacing="1" w:line="360" w:lineRule="auto"/>
              <w:ind w:firstLine="300"/>
              <w:jc w:val="center"/>
            </w:pPr>
            <w:r w:rsidRPr="00547BAD">
              <w:t>5</w:t>
            </w:r>
          </w:p>
        </w:tc>
        <w:tc>
          <w:tcPr>
            <w:tcW w:w="769" w:type="pct"/>
            <w:tcBorders>
              <w:top w:val="outset" w:sz="6" w:space="0" w:color="auto"/>
              <w:left w:val="outset" w:sz="6" w:space="0" w:color="auto"/>
              <w:bottom w:val="outset" w:sz="6" w:space="0" w:color="auto"/>
              <w:right w:val="outset" w:sz="6" w:space="0" w:color="auto"/>
            </w:tcBorders>
            <w:vAlign w:val="center"/>
            <w:hideMark/>
          </w:tcPr>
          <w:p w:rsidR="008F4F83" w:rsidRPr="00547BAD" w:rsidRDefault="008F4F83">
            <w:pPr>
              <w:spacing w:before="100" w:beforeAutospacing="1" w:after="100" w:afterAutospacing="1" w:line="360" w:lineRule="auto"/>
              <w:ind w:firstLine="300"/>
              <w:jc w:val="center"/>
            </w:pPr>
            <w:r w:rsidRPr="00547BAD">
              <w:t>6</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1. Budžeta ieņēmumi:</w:t>
            </w:r>
          </w:p>
        </w:tc>
        <w:tc>
          <w:tcPr>
            <w:tcW w:w="95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r>
              <w:t>100 955</w:t>
            </w:r>
          </w:p>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r>
              <w:t>98 078</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r>
              <w:t>447 163</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1.1. valsts pamatbudžets, tai skaitā ieņēmumi no maksas pakalpojumiem un citi pašu ieņēmumi</w:t>
            </w:r>
          </w:p>
        </w:tc>
        <w:tc>
          <w:tcPr>
            <w:tcW w:w="957" w:type="pct"/>
            <w:tcBorders>
              <w:top w:val="outset" w:sz="6" w:space="0" w:color="auto"/>
              <w:left w:val="outset" w:sz="6" w:space="0" w:color="auto"/>
              <w:bottom w:val="outset" w:sz="6" w:space="0" w:color="auto"/>
              <w:right w:val="outset" w:sz="6" w:space="0" w:color="auto"/>
            </w:tcBorders>
          </w:tcPr>
          <w:p w:rsidR="00E12AB4" w:rsidRPr="00547BAD" w:rsidRDefault="00E12AB4" w:rsidP="00E12AB4">
            <w:r w:rsidRPr="00547BAD">
              <w:t> </w:t>
            </w:r>
            <w:r>
              <w:t>100 955</w:t>
            </w:r>
          </w:p>
        </w:tc>
        <w:tc>
          <w:tcPr>
            <w:tcW w:w="862" w:type="pct"/>
            <w:tcBorders>
              <w:top w:val="outset" w:sz="6" w:space="0" w:color="auto"/>
              <w:left w:val="outset" w:sz="6" w:space="0" w:color="auto"/>
              <w:bottom w:val="outset" w:sz="6" w:space="0" w:color="auto"/>
              <w:right w:val="outset" w:sz="6" w:space="0" w:color="auto"/>
            </w:tcBorders>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r>
              <w:t>98 078</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r>
              <w:t>447 163</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1.2. valsts speciālais budžets</w:t>
            </w:r>
          </w:p>
        </w:tc>
        <w:tc>
          <w:tcPr>
            <w:tcW w:w="95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1.3. pašvaldību budžets</w:t>
            </w:r>
          </w:p>
        </w:tc>
        <w:tc>
          <w:tcPr>
            <w:tcW w:w="95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2. Budžeta izdevumi:</w:t>
            </w:r>
          </w:p>
        </w:tc>
        <w:tc>
          <w:tcPr>
            <w:tcW w:w="957" w:type="pct"/>
            <w:tcBorders>
              <w:top w:val="outset" w:sz="6" w:space="0" w:color="auto"/>
              <w:left w:val="outset" w:sz="6" w:space="0" w:color="auto"/>
              <w:bottom w:val="outset" w:sz="6" w:space="0" w:color="auto"/>
              <w:right w:val="outset" w:sz="6" w:space="0" w:color="auto"/>
            </w:tcBorders>
          </w:tcPr>
          <w:p w:rsidR="00E12AB4" w:rsidRPr="00547BAD" w:rsidRDefault="00E12AB4" w:rsidP="00E12AB4">
            <w:r w:rsidRPr="00547BAD">
              <w:t> </w:t>
            </w:r>
            <w:r>
              <w:t>100 955</w:t>
            </w:r>
          </w:p>
        </w:tc>
        <w:tc>
          <w:tcPr>
            <w:tcW w:w="862" w:type="pct"/>
            <w:tcBorders>
              <w:top w:val="outset" w:sz="6" w:space="0" w:color="auto"/>
              <w:left w:val="outset" w:sz="6" w:space="0" w:color="auto"/>
              <w:bottom w:val="outset" w:sz="6" w:space="0" w:color="auto"/>
              <w:right w:val="outset" w:sz="6" w:space="0" w:color="auto"/>
            </w:tcBorders>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r>
              <w:t>98 078</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r>
              <w:t>447 163</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2.1. valsts pamatbudžets</w:t>
            </w:r>
          </w:p>
        </w:tc>
        <w:tc>
          <w:tcPr>
            <w:tcW w:w="957" w:type="pct"/>
            <w:tcBorders>
              <w:top w:val="outset" w:sz="6" w:space="0" w:color="auto"/>
              <w:left w:val="outset" w:sz="6" w:space="0" w:color="auto"/>
              <w:bottom w:val="outset" w:sz="6" w:space="0" w:color="auto"/>
              <w:right w:val="outset" w:sz="6" w:space="0" w:color="auto"/>
            </w:tcBorders>
          </w:tcPr>
          <w:p w:rsidR="00E12AB4" w:rsidRPr="00547BAD" w:rsidRDefault="00E12AB4" w:rsidP="00E12AB4">
            <w:r w:rsidRPr="00547BAD">
              <w:t> </w:t>
            </w:r>
            <w:r>
              <w:t>100 955</w:t>
            </w:r>
          </w:p>
        </w:tc>
        <w:tc>
          <w:tcPr>
            <w:tcW w:w="862" w:type="pct"/>
            <w:tcBorders>
              <w:top w:val="outset" w:sz="6" w:space="0" w:color="auto"/>
              <w:left w:val="outset" w:sz="6" w:space="0" w:color="auto"/>
              <w:bottom w:val="outset" w:sz="6" w:space="0" w:color="auto"/>
              <w:right w:val="outset" w:sz="6" w:space="0" w:color="auto"/>
            </w:tcBorders>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r>
              <w:t>98 078</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r>
              <w:t>447 163</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lastRenderedPageBreak/>
              <w:t>2.2. valsts speciālais budžets</w:t>
            </w:r>
          </w:p>
        </w:tc>
        <w:tc>
          <w:tcPr>
            <w:tcW w:w="95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2.3. pašvaldību budžets</w:t>
            </w:r>
          </w:p>
        </w:tc>
        <w:tc>
          <w:tcPr>
            <w:tcW w:w="95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3. Finansiālā ietekme:</w:t>
            </w:r>
          </w:p>
        </w:tc>
        <w:tc>
          <w:tcPr>
            <w:tcW w:w="957" w:type="pct"/>
            <w:tcBorders>
              <w:top w:val="outset" w:sz="6" w:space="0" w:color="auto"/>
              <w:left w:val="outset" w:sz="6" w:space="0" w:color="auto"/>
              <w:bottom w:val="outset" w:sz="6" w:space="0" w:color="auto"/>
              <w:right w:val="outset" w:sz="6" w:space="0" w:color="auto"/>
            </w:tcBorders>
            <w:vAlign w:val="center"/>
            <w:hideMark/>
          </w:tcPr>
          <w:p w:rsidR="00E12AB4" w:rsidRPr="00547BAD" w:rsidRDefault="00E12AB4" w:rsidP="00E12AB4">
            <w:r w:rsidRPr="00547BAD">
              <w:t> </w:t>
            </w:r>
          </w:p>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3.1. valsts pamatbudžets</w:t>
            </w:r>
          </w:p>
        </w:tc>
        <w:tc>
          <w:tcPr>
            <w:tcW w:w="95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3.2. speciālais budžets</w:t>
            </w:r>
          </w:p>
        </w:tc>
        <w:tc>
          <w:tcPr>
            <w:tcW w:w="95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3.3. pašvaldību budžets</w:t>
            </w:r>
          </w:p>
        </w:tc>
        <w:tc>
          <w:tcPr>
            <w:tcW w:w="95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vMerge w:val="restar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4. Finanšu līdzekļi papildu izdevumu finansēšanai (kompensējošu izdevumu samazinājumu norāda ar "+" zīmi)</w:t>
            </w:r>
          </w:p>
        </w:tc>
        <w:tc>
          <w:tcPr>
            <w:tcW w:w="957" w:type="pct"/>
            <w:vMerge w:val="restart"/>
            <w:tcBorders>
              <w:top w:val="outset" w:sz="6" w:space="0" w:color="auto"/>
              <w:left w:val="outset" w:sz="6" w:space="0" w:color="auto"/>
              <w:bottom w:val="outset" w:sz="6" w:space="0" w:color="auto"/>
              <w:right w:val="outset" w:sz="6" w:space="0" w:color="auto"/>
            </w:tcBorders>
            <w:hideMark/>
          </w:tcPr>
          <w:p w:rsidR="00E12AB4" w:rsidRPr="00547BAD" w:rsidRDefault="00E12AB4" w:rsidP="00E12AB4">
            <w:pPr>
              <w:spacing w:before="100" w:beforeAutospacing="1" w:after="100" w:afterAutospacing="1" w:line="360" w:lineRule="auto"/>
              <w:ind w:firstLine="300"/>
              <w:jc w:val="center"/>
            </w:pPr>
            <w:r w:rsidRPr="00547BAD">
              <w:t>X</w:t>
            </w:r>
          </w:p>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vMerge/>
            <w:tcBorders>
              <w:top w:val="outset" w:sz="6" w:space="0" w:color="auto"/>
              <w:left w:val="outset" w:sz="6" w:space="0" w:color="auto"/>
              <w:bottom w:val="outset" w:sz="6" w:space="0" w:color="auto"/>
              <w:right w:val="outset" w:sz="6" w:space="0" w:color="auto"/>
            </w:tcBorders>
            <w:vAlign w:val="center"/>
            <w:hideMark/>
          </w:tcPr>
          <w:p w:rsidR="00E12AB4" w:rsidRPr="00547BAD" w:rsidRDefault="00E12AB4" w:rsidP="00E12AB4"/>
        </w:tc>
        <w:tc>
          <w:tcPr>
            <w:tcW w:w="957" w:type="pct"/>
            <w:vMerge/>
            <w:tcBorders>
              <w:top w:val="outset" w:sz="6" w:space="0" w:color="auto"/>
              <w:left w:val="outset" w:sz="6" w:space="0" w:color="auto"/>
              <w:bottom w:val="outset" w:sz="6" w:space="0" w:color="auto"/>
              <w:right w:val="outset" w:sz="6" w:space="0" w:color="auto"/>
            </w:tcBorders>
            <w:vAlign w:val="center"/>
            <w:hideMark/>
          </w:tcPr>
          <w:p w:rsidR="00E12AB4" w:rsidRPr="00547BAD" w:rsidRDefault="00E12AB4" w:rsidP="00E12AB4"/>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vMerge/>
            <w:tcBorders>
              <w:top w:val="outset" w:sz="6" w:space="0" w:color="auto"/>
              <w:left w:val="outset" w:sz="6" w:space="0" w:color="auto"/>
              <w:bottom w:val="outset" w:sz="6" w:space="0" w:color="auto"/>
              <w:right w:val="outset" w:sz="6" w:space="0" w:color="auto"/>
            </w:tcBorders>
            <w:vAlign w:val="center"/>
            <w:hideMark/>
          </w:tcPr>
          <w:p w:rsidR="00E12AB4" w:rsidRPr="00547BAD" w:rsidRDefault="00E12AB4" w:rsidP="00E12AB4"/>
        </w:tc>
        <w:tc>
          <w:tcPr>
            <w:tcW w:w="957" w:type="pct"/>
            <w:vMerge/>
            <w:tcBorders>
              <w:top w:val="outset" w:sz="6" w:space="0" w:color="auto"/>
              <w:left w:val="outset" w:sz="6" w:space="0" w:color="auto"/>
              <w:bottom w:val="outset" w:sz="6" w:space="0" w:color="auto"/>
              <w:right w:val="outset" w:sz="6" w:space="0" w:color="auto"/>
            </w:tcBorders>
            <w:vAlign w:val="center"/>
            <w:hideMark/>
          </w:tcPr>
          <w:p w:rsidR="00E12AB4" w:rsidRPr="00547BAD" w:rsidRDefault="00E12AB4" w:rsidP="00E12AB4"/>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5. Precizēta finansiālā ietekme:</w:t>
            </w:r>
          </w:p>
        </w:tc>
        <w:tc>
          <w:tcPr>
            <w:tcW w:w="957" w:type="pct"/>
            <w:vMerge w:val="restart"/>
            <w:tcBorders>
              <w:top w:val="outset" w:sz="6" w:space="0" w:color="auto"/>
              <w:left w:val="outset" w:sz="6" w:space="0" w:color="auto"/>
              <w:bottom w:val="outset" w:sz="6" w:space="0" w:color="auto"/>
              <w:right w:val="outset" w:sz="6" w:space="0" w:color="auto"/>
            </w:tcBorders>
            <w:hideMark/>
          </w:tcPr>
          <w:p w:rsidR="00E12AB4" w:rsidRPr="00547BAD" w:rsidRDefault="00E12AB4" w:rsidP="00E12AB4">
            <w:pPr>
              <w:spacing w:before="100" w:beforeAutospacing="1" w:after="100" w:afterAutospacing="1" w:line="360" w:lineRule="auto"/>
              <w:ind w:firstLine="300"/>
              <w:jc w:val="center"/>
            </w:pPr>
            <w:r w:rsidRPr="00547BAD">
              <w:t>X</w:t>
            </w:r>
          </w:p>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5.1. valsts pamatbudžets</w:t>
            </w:r>
          </w:p>
        </w:tc>
        <w:tc>
          <w:tcPr>
            <w:tcW w:w="957" w:type="pct"/>
            <w:vMerge/>
            <w:tcBorders>
              <w:top w:val="outset" w:sz="6" w:space="0" w:color="auto"/>
              <w:left w:val="outset" w:sz="6" w:space="0" w:color="auto"/>
              <w:bottom w:val="outset" w:sz="6" w:space="0" w:color="auto"/>
              <w:right w:val="outset" w:sz="6" w:space="0" w:color="auto"/>
            </w:tcBorders>
            <w:vAlign w:val="center"/>
            <w:hideMark/>
          </w:tcPr>
          <w:p w:rsidR="00E12AB4" w:rsidRPr="00547BAD" w:rsidRDefault="00E12AB4" w:rsidP="00E12AB4"/>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5.2. speciālais budžets</w:t>
            </w:r>
          </w:p>
        </w:tc>
        <w:tc>
          <w:tcPr>
            <w:tcW w:w="957" w:type="pct"/>
            <w:vMerge/>
            <w:tcBorders>
              <w:top w:val="outset" w:sz="6" w:space="0" w:color="auto"/>
              <w:left w:val="outset" w:sz="6" w:space="0" w:color="auto"/>
              <w:bottom w:val="outset" w:sz="6" w:space="0" w:color="auto"/>
              <w:right w:val="outset" w:sz="6" w:space="0" w:color="auto"/>
            </w:tcBorders>
            <w:vAlign w:val="center"/>
            <w:hideMark/>
          </w:tcPr>
          <w:p w:rsidR="00E12AB4" w:rsidRPr="00547BAD" w:rsidRDefault="00E12AB4" w:rsidP="00E12AB4"/>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AF52A7" w:rsidRPr="00547BAD" w:rsidTr="00002A95">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5.3. pašvaldību budžets</w:t>
            </w:r>
          </w:p>
        </w:tc>
        <w:tc>
          <w:tcPr>
            <w:tcW w:w="957" w:type="pct"/>
            <w:vMerge/>
            <w:tcBorders>
              <w:top w:val="outset" w:sz="6" w:space="0" w:color="auto"/>
              <w:left w:val="outset" w:sz="6" w:space="0" w:color="auto"/>
              <w:bottom w:val="outset" w:sz="6" w:space="0" w:color="auto"/>
              <w:right w:val="outset" w:sz="6" w:space="0" w:color="auto"/>
            </w:tcBorders>
            <w:vAlign w:val="center"/>
            <w:hideMark/>
          </w:tcPr>
          <w:p w:rsidR="00E12AB4" w:rsidRPr="00547BAD" w:rsidRDefault="00E12AB4" w:rsidP="00E12AB4"/>
        </w:tc>
        <w:tc>
          <w:tcPr>
            <w:tcW w:w="862"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27"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c>
          <w:tcPr>
            <w:tcW w:w="769"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 </w:t>
            </w:r>
          </w:p>
        </w:tc>
      </w:tr>
      <w:tr w:rsidR="00E12AB4" w:rsidRPr="00F34FB7" w:rsidTr="005E3B27">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t>6. Detalizēts ieņēmumu un izdevumu aprēķins (ja nepieciešams, detalizētu ieņēmumu un izdevumu aprēķinu var pievienot anotācijas pielikumā):</w:t>
            </w:r>
          </w:p>
        </w:tc>
        <w:tc>
          <w:tcPr>
            <w:tcW w:w="4104"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E12AB4" w:rsidRPr="00053078" w:rsidRDefault="00E12AB4" w:rsidP="00E12AB4">
            <w:pPr>
              <w:jc w:val="both"/>
            </w:pPr>
            <w:r w:rsidRPr="00053078">
              <w:t xml:space="preserve">Saskaņā ar Rīcības plānu 2016.- </w:t>
            </w:r>
            <w:proofErr w:type="gramStart"/>
            <w:r w:rsidRPr="00053078">
              <w:t>2017.gadā</w:t>
            </w:r>
            <w:proofErr w:type="gramEnd"/>
            <w:r w:rsidRPr="00053078">
              <w:t xml:space="preserve"> paredzēts papildus tiem patvēruma meklētājiem, kuri individuāli ierodas Latvijā un iesniedz iesniegumu par bēgļa vai alternatīvā statusa piešķiršanu,   uzņemt 531 personu. Prognozējams, ka starptautiskās aizsardzības statuss, ņemot vērā izcelsmes valsti un patvēruma meklēšanas motīvus, varētu tikt piešķirts 80 % no kopējā skaita jeb 425 personām (tajā skaitā 2016. gadā 350 x 0,8=280 personām, 2017. gadā 181 x 0,8=145 personām). </w:t>
            </w:r>
          </w:p>
          <w:p w:rsidR="00E12AB4" w:rsidRPr="00053078" w:rsidRDefault="00E12AB4" w:rsidP="00E12AB4">
            <w:pPr>
              <w:jc w:val="both"/>
            </w:pPr>
            <w:r w:rsidRPr="00053078">
              <w:t>Pabalsta apmērs</w:t>
            </w:r>
            <w:r w:rsidR="00023AFA" w:rsidRPr="00053078">
              <w:t xml:space="preserve"> mēnesī ir</w:t>
            </w:r>
            <w:r w:rsidRPr="00053078">
              <w:t xml:space="preserve"> 139 </w:t>
            </w:r>
            <w:proofErr w:type="spellStart"/>
            <w:r w:rsidRPr="00053078">
              <w:rPr>
                <w:i/>
              </w:rPr>
              <w:t>euro</w:t>
            </w:r>
            <w:proofErr w:type="spellEnd"/>
            <w:r w:rsidRPr="00053078">
              <w:t xml:space="preserve"> pilngadīgai personai</w:t>
            </w:r>
            <w:r w:rsidR="00023AFA" w:rsidRPr="00053078">
              <w:t xml:space="preserve">, ja personas ir ģimenes locekļi Patvēruma likuma izpratnē, tad vienai personai 139 </w:t>
            </w:r>
            <w:proofErr w:type="spellStart"/>
            <w:r w:rsidR="00023AFA" w:rsidRPr="00053078">
              <w:rPr>
                <w:i/>
              </w:rPr>
              <w:t>euro</w:t>
            </w:r>
            <w:proofErr w:type="spellEnd"/>
            <w:r w:rsidR="00023AFA" w:rsidRPr="00053078">
              <w:t xml:space="preserve">, bet katram nākamajam ģimenes loceklim 97 </w:t>
            </w:r>
            <w:proofErr w:type="spellStart"/>
            <w:r w:rsidR="00023AFA" w:rsidRPr="00053078">
              <w:rPr>
                <w:i/>
              </w:rPr>
              <w:t>euro</w:t>
            </w:r>
            <w:proofErr w:type="spellEnd"/>
            <w:r w:rsidR="00023AFA" w:rsidRPr="00053078">
              <w:rPr>
                <w:i/>
              </w:rPr>
              <w:t>,</w:t>
            </w:r>
            <w:r w:rsidRPr="00053078">
              <w:t xml:space="preserve"> un 97 </w:t>
            </w:r>
            <w:proofErr w:type="spellStart"/>
            <w:r w:rsidRPr="00053078">
              <w:rPr>
                <w:i/>
              </w:rPr>
              <w:t>euro</w:t>
            </w:r>
            <w:proofErr w:type="spellEnd"/>
            <w:r w:rsidRPr="00053078">
              <w:t xml:space="preserve"> nepilngadīgai personai</w:t>
            </w:r>
            <w:r w:rsidR="00023AFA" w:rsidRPr="00053078">
              <w:t xml:space="preserve"> bez pavadības</w:t>
            </w:r>
            <w:r w:rsidRPr="00053078">
              <w:t xml:space="preserve">. </w:t>
            </w:r>
          </w:p>
          <w:p w:rsidR="00E12AB4" w:rsidRDefault="00E12AB4" w:rsidP="00E12AB4">
            <w:pPr>
              <w:jc w:val="both"/>
            </w:pPr>
            <w:r w:rsidRPr="00053078">
              <w:t xml:space="preserve">2016. gadā ir ieplānoti 70% no pabalstu izmaksai nepieciešamā finansējuma kopsummas, ņemot vērā to, ka, iespējams, starptautiskās aizsardzības statuss nebūs piešķirts trīs </w:t>
            </w:r>
            <w:r w:rsidRPr="00547BAD">
              <w:t xml:space="preserve">mēnešu laikā no pārvietošanas dienas.   </w:t>
            </w:r>
          </w:p>
          <w:p w:rsidR="00E12AB4" w:rsidRPr="00547BAD" w:rsidRDefault="00E12AB4" w:rsidP="00E12AB4">
            <w:pPr>
              <w:jc w:val="both"/>
            </w:pPr>
          </w:p>
          <w:p w:rsidR="00C16EC8" w:rsidRPr="00023AFA" w:rsidRDefault="00E23148" w:rsidP="00E23148">
            <w:pPr>
              <w:ind w:firstLine="431"/>
              <w:jc w:val="both"/>
            </w:pPr>
            <w:r w:rsidRPr="00023AFA">
              <w:rPr>
                <w:b/>
              </w:rPr>
              <w:t>I.</w:t>
            </w:r>
            <w:r w:rsidRPr="00023AFA">
              <w:t xml:space="preserve"> </w:t>
            </w:r>
            <w:r w:rsidR="00E12AB4" w:rsidRPr="00023AFA">
              <w:t xml:space="preserve">Saskaņā ar Ministru kabineta </w:t>
            </w:r>
            <w:proofErr w:type="gramStart"/>
            <w:r w:rsidR="00E12AB4" w:rsidRPr="00023AFA">
              <w:t>2015.gada</w:t>
            </w:r>
            <w:proofErr w:type="gramEnd"/>
            <w:r w:rsidR="00E12AB4" w:rsidRPr="00023AFA">
              <w:t xml:space="preserve"> 3.novembra </w:t>
            </w:r>
            <w:r w:rsidR="00616547" w:rsidRPr="00023AFA">
              <w:t>sēdē nolemto (prot.Nr.57 58.§ “Rīkojuma projekts “Rīcības plāns personu, kurām nepieciešama starptautiskā aizsardzība, pārvietošanai un uzņemšanai Latvijā”</w:t>
            </w:r>
            <w:r w:rsidR="001C129F" w:rsidRPr="00023AFA">
              <w:t xml:space="preserve"> </w:t>
            </w:r>
            <w:r w:rsidR="00C16EC8" w:rsidRPr="00023AFA">
              <w:t>7.punkts</w:t>
            </w:r>
            <w:r w:rsidR="00616547" w:rsidRPr="00023AFA">
              <w:t>)</w:t>
            </w:r>
            <w:r w:rsidR="00C16EC8" w:rsidRPr="00023AFA">
              <w:t xml:space="preserve">, lai nodrošinātu Rīcības plāna </w:t>
            </w:r>
            <w:r w:rsidR="00C1434A" w:rsidRPr="00023AFA">
              <w:t>izpildi, iesaistītajām ministrijām tika uzdots sagatavot un iesniegt Finanšu ministri</w:t>
            </w:r>
            <w:r w:rsidR="001C129F" w:rsidRPr="00023AFA">
              <w:t>jā priekšlikumus likumprojekta “Par valsts budžetu 2016.gadam” un likumprojekta “</w:t>
            </w:r>
            <w:r w:rsidR="00C1434A" w:rsidRPr="00023AFA">
              <w:t>Par vidēja termiņa budžeta iet</w:t>
            </w:r>
            <w:r w:rsidR="001C129F" w:rsidRPr="00023AFA">
              <w:t>varu 2016., 2017. un 2018.gadam”</w:t>
            </w:r>
            <w:r w:rsidR="00C1434A" w:rsidRPr="00023AFA">
              <w:t xml:space="preserve"> izskatīšanai Saeimā otrajā lasījumā (saskaņā ar Rīcības plāna pielikumā norādīto valsts budžeta finansējumu ministrijas budžetā), paredzot nepieciešamo finansējumu 2016. u</w:t>
            </w:r>
            <w:r w:rsidR="001C129F" w:rsidRPr="00023AFA">
              <w:t>n 2017.gadam no budžeta resora “</w:t>
            </w:r>
            <w:r w:rsidR="00C1434A" w:rsidRPr="00023AFA">
              <w:t xml:space="preserve">74.Gadskārtējā valsts budžeta izpildes procesā pārdalāmais </w:t>
            </w:r>
            <w:r w:rsidR="001C129F" w:rsidRPr="00023AFA">
              <w:t>finansējums”</w:t>
            </w:r>
            <w:r w:rsidR="00C1434A" w:rsidRPr="00023AFA">
              <w:t xml:space="preserve"> vals</w:t>
            </w:r>
            <w:r w:rsidR="001C129F" w:rsidRPr="00023AFA">
              <w:t>ts budžeta programmas 02.00.00 “</w:t>
            </w:r>
            <w:r w:rsidR="00C1434A" w:rsidRPr="00023AFA">
              <w:t>Lī</w:t>
            </w:r>
            <w:r w:rsidR="001C129F" w:rsidRPr="00023AFA">
              <w:t>dzekļi neparedzētiem gadījumiem”</w:t>
            </w:r>
            <w:r w:rsidR="00C1434A" w:rsidRPr="00023AFA">
              <w:t xml:space="preserve"> finansējuma.</w:t>
            </w:r>
          </w:p>
          <w:p w:rsidR="00C1434A" w:rsidRPr="00023AFA" w:rsidRDefault="00C1434A" w:rsidP="00E12AB4">
            <w:pPr>
              <w:jc w:val="both"/>
            </w:pPr>
            <w:r w:rsidRPr="00023AFA">
              <w:t xml:space="preserve">Saskaņā ar likumu “Par valsts budžetu </w:t>
            </w:r>
            <w:proofErr w:type="gramStart"/>
            <w:r w:rsidRPr="00023AFA">
              <w:t>2016.gadam</w:t>
            </w:r>
            <w:proofErr w:type="gramEnd"/>
            <w:r w:rsidRPr="00023AFA">
              <w:t xml:space="preserve">” un likumu “Par vidēja termiņa budžeta ietvaru 2016., 2017. un 2018.gadam” budžeta apakšprogrammā  </w:t>
            </w:r>
            <w:r w:rsidR="00F93F02" w:rsidRPr="00023AFA">
              <w:t>11.01.00 “Pilsonības un migrācijas lietu pārvalde” Rīcības plāna pielikuma 2.10.3.apakšpunkta pasākumam “Pabalstu nodrošināšana”</w:t>
            </w:r>
            <w:r w:rsidR="002572D6" w:rsidRPr="00023AFA">
              <w:t xml:space="preserve"> </w:t>
            </w:r>
            <w:r w:rsidR="00F93F02" w:rsidRPr="00023AFA">
              <w:t xml:space="preserve">paredzēts finansējums 2016.gadā </w:t>
            </w:r>
            <w:r w:rsidR="00F93F02" w:rsidRPr="00023AFA">
              <w:softHyphen/>
              <w:t xml:space="preserve"> 98 078 </w:t>
            </w:r>
            <w:proofErr w:type="spellStart"/>
            <w:r w:rsidR="00F93F02" w:rsidRPr="00023AFA">
              <w:rPr>
                <w:i/>
              </w:rPr>
              <w:t>euro</w:t>
            </w:r>
            <w:proofErr w:type="spellEnd"/>
            <w:r w:rsidR="00F93F02" w:rsidRPr="00023AFA">
              <w:t xml:space="preserve"> apmērā un 2017.gadam – 447 163 </w:t>
            </w:r>
            <w:proofErr w:type="spellStart"/>
            <w:r w:rsidR="00F93F02" w:rsidRPr="00023AFA">
              <w:rPr>
                <w:i/>
              </w:rPr>
              <w:t>euro</w:t>
            </w:r>
            <w:proofErr w:type="spellEnd"/>
            <w:r w:rsidR="00F93F02" w:rsidRPr="00023AFA">
              <w:t xml:space="preserve"> apmērā. </w:t>
            </w:r>
          </w:p>
          <w:p w:rsidR="00E12AB4" w:rsidRDefault="00E12AB4" w:rsidP="00E12AB4">
            <w:pPr>
              <w:jc w:val="both"/>
            </w:pPr>
            <w:r>
              <w:t xml:space="preserve">Minētais finansējums paredzēts to personu, kuras tiks papildus uzņemtas Latvijā līdz </w:t>
            </w:r>
            <w:proofErr w:type="gramStart"/>
            <w:r>
              <w:t>2017.gada</w:t>
            </w:r>
            <w:proofErr w:type="gramEnd"/>
            <w:r>
              <w:t xml:space="preserve"> 17.septembrim un kurām tiks piešķirts bēgļa vai alternatīvais statuss, uzturēšanās pabalstu izmaksai. </w:t>
            </w:r>
          </w:p>
          <w:p w:rsidR="002572D6" w:rsidRPr="002C6834" w:rsidRDefault="002572D6" w:rsidP="00E12AB4">
            <w:pPr>
              <w:jc w:val="both"/>
            </w:pPr>
            <w:r>
              <w:t xml:space="preserve">Aprēķins veikts pamatojoties uz pieņēmumu, ka </w:t>
            </w:r>
            <w:r w:rsidR="00322527">
              <w:t xml:space="preserve">personai pabalstu nosaka 139 </w:t>
            </w:r>
            <w:proofErr w:type="spellStart"/>
            <w:r w:rsidR="00322527" w:rsidRPr="005E3B27">
              <w:rPr>
                <w:i/>
              </w:rPr>
              <w:t>euro</w:t>
            </w:r>
            <w:proofErr w:type="spellEnd"/>
            <w:r w:rsidR="00322527" w:rsidRPr="005E3B27">
              <w:rPr>
                <w:i/>
              </w:rPr>
              <w:t xml:space="preserve"> </w:t>
            </w:r>
            <w:r w:rsidR="00322527">
              <w:t>apmērā</w:t>
            </w:r>
            <w:r w:rsidR="00CB0F5B">
              <w:t xml:space="preserve"> (neizdalot</w:t>
            </w:r>
            <w:r w:rsidR="00023AFA">
              <w:t xml:space="preserve"> ģimenes locekļu un</w:t>
            </w:r>
            <w:r w:rsidR="00CB0F5B">
              <w:t xml:space="preserve"> nepilngadīgo personu </w:t>
            </w:r>
            <w:r w:rsidR="00023AFA">
              <w:t xml:space="preserve">bez pavadības </w:t>
            </w:r>
            <w:r w:rsidR="00CB0F5B">
              <w:t>skaitu).</w:t>
            </w:r>
          </w:p>
          <w:tbl>
            <w:tblPr>
              <w:tblW w:w="8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16"/>
              <w:gridCol w:w="516"/>
              <w:gridCol w:w="516"/>
              <w:gridCol w:w="559"/>
              <w:gridCol w:w="563"/>
              <w:gridCol w:w="569"/>
              <w:gridCol w:w="569"/>
              <w:gridCol w:w="608"/>
              <w:gridCol w:w="564"/>
              <w:gridCol w:w="578"/>
              <w:gridCol w:w="660"/>
              <w:gridCol w:w="592"/>
              <w:gridCol w:w="590"/>
            </w:tblGrid>
            <w:tr w:rsidR="00AF52A7" w:rsidRPr="00F502FF" w:rsidTr="00AF52A7">
              <w:trPr>
                <w:trHeight w:val="465"/>
              </w:trPr>
              <w:tc>
                <w:tcPr>
                  <w:tcW w:w="993" w:type="dxa"/>
                  <w:shd w:val="clear" w:color="auto" w:fill="auto"/>
                  <w:noWrap/>
                  <w:vAlign w:val="center"/>
                  <w:hideMark/>
                </w:tcPr>
                <w:p w:rsidR="001C129F" w:rsidRPr="00F502FF" w:rsidRDefault="001C129F" w:rsidP="001C129F">
                  <w:pPr>
                    <w:jc w:val="center"/>
                    <w:rPr>
                      <w:color w:val="000000"/>
                      <w:sz w:val="14"/>
                      <w:szCs w:val="14"/>
                    </w:rPr>
                  </w:pPr>
                </w:p>
              </w:tc>
              <w:tc>
                <w:tcPr>
                  <w:tcW w:w="396" w:type="dxa"/>
                  <w:vAlign w:val="center"/>
                </w:tcPr>
                <w:p w:rsidR="001C129F" w:rsidRDefault="001C129F" w:rsidP="001C129F">
                  <w:pPr>
                    <w:jc w:val="center"/>
                    <w:rPr>
                      <w:color w:val="000000"/>
                      <w:sz w:val="14"/>
                      <w:szCs w:val="14"/>
                    </w:rPr>
                  </w:pPr>
                  <w:r>
                    <w:rPr>
                      <w:color w:val="000000"/>
                      <w:sz w:val="14"/>
                      <w:szCs w:val="14"/>
                    </w:rPr>
                    <w:t>I</w:t>
                  </w:r>
                </w:p>
              </w:tc>
              <w:tc>
                <w:tcPr>
                  <w:tcW w:w="396" w:type="dxa"/>
                  <w:vAlign w:val="center"/>
                </w:tcPr>
                <w:p w:rsidR="001C129F" w:rsidRDefault="001C129F" w:rsidP="001C129F">
                  <w:pPr>
                    <w:jc w:val="center"/>
                    <w:rPr>
                      <w:color w:val="000000"/>
                      <w:sz w:val="14"/>
                      <w:szCs w:val="14"/>
                    </w:rPr>
                  </w:pPr>
                  <w:r>
                    <w:rPr>
                      <w:color w:val="000000"/>
                      <w:sz w:val="14"/>
                      <w:szCs w:val="14"/>
                    </w:rPr>
                    <w:t>II</w:t>
                  </w:r>
                </w:p>
              </w:tc>
              <w:tc>
                <w:tcPr>
                  <w:tcW w:w="396" w:type="dxa"/>
                  <w:vAlign w:val="center"/>
                </w:tcPr>
                <w:p w:rsidR="001C129F" w:rsidRDefault="001C129F" w:rsidP="001C129F">
                  <w:pPr>
                    <w:jc w:val="center"/>
                    <w:rPr>
                      <w:color w:val="000000"/>
                      <w:sz w:val="14"/>
                      <w:szCs w:val="14"/>
                    </w:rPr>
                  </w:pPr>
                  <w:r>
                    <w:rPr>
                      <w:color w:val="000000"/>
                      <w:sz w:val="14"/>
                      <w:szCs w:val="14"/>
                    </w:rPr>
                    <w:t>III</w:t>
                  </w:r>
                </w:p>
              </w:tc>
              <w:tc>
                <w:tcPr>
                  <w:tcW w:w="559" w:type="dxa"/>
                  <w:shd w:val="clear" w:color="000000" w:fill="E7E6E6"/>
                  <w:vAlign w:val="center"/>
                  <w:hideMark/>
                </w:tcPr>
                <w:p w:rsidR="001C129F" w:rsidRPr="00F502FF" w:rsidRDefault="001C129F" w:rsidP="00D65967">
                  <w:pPr>
                    <w:jc w:val="center"/>
                    <w:rPr>
                      <w:color w:val="000000"/>
                      <w:sz w:val="14"/>
                      <w:szCs w:val="14"/>
                    </w:rPr>
                  </w:pPr>
                  <w:r>
                    <w:rPr>
                      <w:color w:val="000000"/>
                      <w:sz w:val="14"/>
                      <w:szCs w:val="14"/>
                    </w:rPr>
                    <w:t>IV</w:t>
                  </w:r>
                </w:p>
              </w:tc>
              <w:tc>
                <w:tcPr>
                  <w:tcW w:w="563" w:type="dxa"/>
                  <w:shd w:val="clear" w:color="000000" w:fill="E7E6E6"/>
                  <w:vAlign w:val="center"/>
                  <w:hideMark/>
                </w:tcPr>
                <w:p w:rsidR="001C129F" w:rsidRPr="00F502FF" w:rsidRDefault="001C129F" w:rsidP="00D65967">
                  <w:pPr>
                    <w:jc w:val="center"/>
                    <w:rPr>
                      <w:color w:val="000000"/>
                      <w:sz w:val="14"/>
                      <w:szCs w:val="14"/>
                    </w:rPr>
                  </w:pPr>
                  <w:r>
                    <w:rPr>
                      <w:color w:val="000000"/>
                      <w:sz w:val="14"/>
                      <w:szCs w:val="14"/>
                    </w:rPr>
                    <w:t>V</w:t>
                  </w:r>
                </w:p>
              </w:tc>
              <w:tc>
                <w:tcPr>
                  <w:tcW w:w="569" w:type="dxa"/>
                  <w:shd w:val="clear" w:color="000000" w:fill="E7E6E6"/>
                  <w:vAlign w:val="center"/>
                  <w:hideMark/>
                </w:tcPr>
                <w:p w:rsidR="001C129F" w:rsidRPr="00F502FF" w:rsidRDefault="001C129F" w:rsidP="00D65967">
                  <w:pPr>
                    <w:jc w:val="center"/>
                    <w:rPr>
                      <w:color w:val="000000"/>
                      <w:sz w:val="14"/>
                      <w:szCs w:val="14"/>
                    </w:rPr>
                  </w:pPr>
                  <w:r>
                    <w:rPr>
                      <w:color w:val="000000"/>
                      <w:sz w:val="14"/>
                      <w:szCs w:val="14"/>
                    </w:rPr>
                    <w:t>VI</w:t>
                  </w:r>
                </w:p>
              </w:tc>
              <w:tc>
                <w:tcPr>
                  <w:tcW w:w="569" w:type="dxa"/>
                  <w:shd w:val="clear" w:color="000000" w:fill="E7E6E6"/>
                  <w:vAlign w:val="center"/>
                  <w:hideMark/>
                </w:tcPr>
                <w:p w:rsidR="001C129F" w:rsidRPr="00F502FF" w:rsidRDefault="001C129F" w:rsidP="00D65967">
                  <w:pPr>
                    <w:jc w:val="center"/>
                    <w:rPr>
                      <w:color w:val="000000"/>
                      <w:sz w:val="14"/>
                      <w:szCs w:val="14"/>
                    </w:rPr>
                  </w:pPr>
                  <w:r>
                    <w:rPr>
                      <w:color w:val="000000"/>
                      <w:sz w:val="14"/>
                      <w:szCs w:val="14"/>
                    </w:rPr>
                    <w:t>VII</w:t>
                  </w:r>
                </w:p>
              </w:tc>
              <w:tc>
                <w:tcPr>
                  <w:tcW w:w="608" w:type="dxa"/>
                  <w:shd w:val="clear" w:color="000000" w:fill="E7E6E6"/>
                  <w:vAlign w:val="center"/>
                  <w:hideMark/>
                </w:tcPr>
                <w:p w:rsidR="001C129F" w:rsidRPr="00F502FF" w:rsidRDefault="001C129F" w:rsidP="00D65967">
                  <w:pPr>
                    <w:jc w:val="center"/>
                    <w:rPr>
                      <w:color w:val="000000"/>
                      <w:sz w:val="14"/>
                      <w:szCs w:val="14"/>
                    </w:rPr>
                  </w:pPr>
                  <w:r>
                    <w:rPr>
                      <w:color w:val="000000"/>
                      <w:sz w:val="14"/>
                      <w:szCs w:val="14"/>
                    </w:rPr>
                    <w:t>VIII</w:t>
                  </w:r>
                </w:p>
              </w:tc>
              <w:tc>
                <w:tcPr>
                  <w:tcW w:w="564" w:type="dxa"/>
                  <w:shd w:val="clear" w:color="000000" w:fill="E7E6E6"/>
                  <w:vAlign w:val="center"/>
                  <w:hideMark/>
                </w:tcPr>
                <w:p w:rsidR="001C129F" w:rsidRPr="00F502FF" w:rsidRDefault="001C129F" w:rsidP="00D65967">
                  <w:pPr>
                    <w:jc w:val="center"/>
                    <w:rPr>
                      <w:color w:val="000000"/>
                      <w:sz w:val="14"/>
                      <w:szCs w:val="14"/>
                    </w:rPr>
                  </w:pPr>
                  <w:r>
                    <w:rPr>
                      <w:color w:val="000000"/>
                      <w:sz w:val="14"/>
                      <w:szCs w:val="14"/>
                    </w:rPr>
                    <w:t>IX</w:t>
                  </w:r>
                </w:p>
              </w:tc>
              <w:tc>
                <w:tcPr>
                  <w:tcW w:w="578" w:type="dxa"/>
                  <w:shd w:val="clear" w:color="000000" w:fill="E7E6E6"/>
                  <w:vAlign w:val="center"/>
                  <w:hideMark/>
                </w:tcPr>
                <w:p w:rsidR="001C129F" w:rsidRPr="00F502FF" w:rsidRDefault="001C129F" w:rsidP="00D65967">
                  <w:pPr>
                    <w:jc w:val="center"/>
                    <w:rPr>
                      <w:color w:val="000000"/>
                      <w:sz w:val="14"/>
                      <w:szCs w:val="14"/>
                    </w:rPr>
                  </w:pPr>
                  <w:r>
                    <w:rPr>
                      <w:color w:val="000000"/>
                      <w:sz w:val="14"/>
                      <w:szCs w:val="14"/>
                    </w:rPr>
                    <w:t>X</w:t>
                  </w:r>
                </w:p>
              </w:tc>
              <w:tc>
                <w:tcPr>
                  <w:tcW w:w="660" w:type="dxa"/>
                  <w:shd w:val="clear" w:color="000000" w:fill="E7E6E6"/>
                  <w:vAlign w:val="center"/>
                  <w:hideMark/>
                </w:tcPr>
                <w:p w:rsidR="001C129F" w:rsidRPr="00F502FF" w:rsidRDefault="001C129F" w:rsidP="00D65967">
                  <w:pPr>
                    <w:jc w:val="center"/>
                    <w:rPr>
                      <w:color w:val="000000"/>
                      <w:sz w:val="14"/>
                      <w:szCs w:val="14"/>
                    </w:rPr>
                  </w:pPr>
                  <w:r>
                    <w:rPr>
                      <w:color w:val="000000"/>
                      <w:sz w:val="14"/>
                      <w:szCs w:val="14"/>
                    </w:rPr>
                    <w:t>XI</w:t>
                  </w:r>
                </w:p>
              </w:tc>
              <w:tc>
                <w:tcPr>
                  <w:tcW w:w="592" w:type="dxa"/>
                  <w:shd w:val="clear" w:color="000000" w:fill="E7E6E6"/>
                  <w:vAlign w:val="center"/>
                  <w:hideMark/>
                </w:tcPr>
                <w:p w:rsidR="001C129F" w:rsidRPr="00F502FF" w:rsidRDefault="001C129F" w:rsidP="00D65967">
                  <w:pPr>
                    <w:jc w:val="center"/>
                    <w:rPr>
                      <w:color w:val="000000"/>
                      <w:sz w:val="14"/>
                      <w:szCs w:val="14"/>
                    </w:rPr>
                  </w:pPr>
                  <w:r>
                    <w:rPr>
                      <w:color w:val="000000"/>
                      <w:sz w:val="14"/>
                      <w:szCs w:val="14"/>
                    </w:rPr>
                    <w:t>XII</w:t>
                  </w:r>
                </w:p>
              </w:tc>
              <w:tc>
                <w:tcPr>
                  <w:tcW w:w="590" w:type="dxa"/>
                  <w:shd w:val="clear" w:color="000000" w:fill="E7E6E6"/>
                  <w:vAlign w:val="center"/>
                  <w:hideMark/>
                </w:tcPr>
                <w:p w:rsidR="001C129F" w:rsidRPr="00F502FF" w:rsidRDefault="00D65967" w:rsidP="00D65967">
                  <w:pPr>
                    <w:jc w:val="center"/>
                    <w:rPr>
                      <w:color w:val="000000"/>
                      <w:sz w:val="14"/>
                      <w:szCs w:val="14"/>
                    </w:rPr>
                  </w:pPr>
                  <w:r w:rsidRPr="00F502FF">
                    <w:rPr>
                      <w:color w:val="000000"/>
                      <w:sz w:val="14"/>
                      <w:szCs w:val="14"/>
                    </w:rPr>
                    <w:t>K</w:t>
                  </w:r>
                  <w:r w:rsidR="001C129F" w:rsidRPr="00F502FF">
                    <w:rPr>
                      <w:color w:val="000000"/>
                      <w:sz w:val="14"/>
                      <w:szCs w:val="14"/>
                    </w:rPr>
                    <w:t>opā</w:t>
                  </w:r>
                  <w:r>
                    <w:rPr>
                      <w:color w:val="000000"/>
                      <w:sz w:val="14"/>
                      <w:szCs w:val="14"/>
                    </w:rPr>
                    <w:t xml:space="preserve">, </w:t>
                  </w:r>
                  <w:proofErr w:type="spellStart"/>
                  <w:r w:rsidRPr="005E3B27">
                    <w:rPr>
                      <w:i/>
                      <w:color w:val="000000"/>
                      <w:sz w:val="14"/>
                      <w:szCs w:val="14"/>
                    </w:rPr>
                    <w:t>euro</w:t>
                  </w:r>
                  <w:proofErr w:type="spellEnd"/>
                </w:p>
              </w:tc>
            </w:tr>
            <w:tr w:rsidR="00AF52A7" w:rsidRPr="00F502FF" w:rsidTr="00AF52A7">
              <w:trPr>
                <w:trHeight w:val="258"/>
              </w:trPr>
              <w:tc>
                <w:tcPr>
                  <w:tcW w:w="993" w:type="dxa"/>
                  <w:shd w:val="clear" w:color="auto" w:fill="auto"/>
                  <w:noWrap/>
                  <w:vAlign w:val="center"/>
                </w:tcPr>
                <w:p w:rsidR="001C129F" w:rsidRPr="005E3B27" w:rsidRDefault="001C129F" w:rsidP="00D65967">
                  <w:pPr>
                    <w:jc w:val="center"/>
                    <w:rPr>
                      <w:b/>
                      <w:color w:val="000000"/>
                      <w:sz w:val="14"/>
                      <w:szCs w:val="14"/>
                    </w:rPr>
                  </w:pPr>
                  <w:proofErr w:type="gramStart"/>
                  <w:r w:rsidRPr="005E3B27">
                    <w:rPr>
                      <w:b/>
                      <w:color w:val="000000"/>
                      <w:sz w:val="14"/>
                      <w:szCs w:val="14"/>
                    </w:rPr>
                    <w:t>2016.gads</w:t>
                  </w:r>
                  <w:proofErr w:type="gramEnd"/>
                </w:p>
              </w:tc>
              <w:tc>
                <w:tcPr>
                  <w:tcW w:w="396" w:type="dxa"/>
                  <w:vAlign w:val="center"/>
                </w:tcPr>
                <w:p w:rsidR="001C129F" w:rsidRDefault="001C129F" w:rsidP="00D65967">
                  <w:pPr>
                    <w:jc w:val="center"/>
                    <w:rPr>
                      <w:color w:val="000000"/>
                      <w:sz w:val="14"/>
                      <w:szCs w:val="14"/>
                    </w:rPr>
                  </w:pPr>
                </w:p>
              </w:tc>
              <w:tc>
                <w:tcPr>
                  <w:tcW w:w="396" w:type="dxa"/>
                  <w:vAlign w:val="center"/>
                </w:tcPr>
                <w:p w:rsidR="001C129F" w:rsidRDefault="001C129F" w:rsidP="00D65967">
                  <w:pPr>
                    <w:jc w:val="center"/>
                    <w:rPr>
                      <w:color w:val="000000"/>
                      <w:sz w:val="14"/>
                      <w:szCs w:val="14"/>
                    </w:rPr>
                  </w:pPr>
                </w:p>
              </w:tc>
              <w:tc>
                <w:tcPr>
                  <w:tcW w:w="396" w:type="dxa"/>
                  <w:vAlign w:val="center"/>
                </w:tcPr>
                <w:p w:rsidR="001C129F" w:rsidRDefault="001C129F" w:rsidP="00D65967">
                  <w:pPr>
                    <w:jc w:val="center"/>
                    <w:rPr>
                      <w:color w:val="000000"/>
                      <w:sz w:val="14"/>
                      <w:szCs w:val="14"/>
                    </w:rPr>
                  </w:pPr>
                </w:p>
              </w:tc>
              <w:tc>
                <w:tcPr>
                  <w:tcW w:w="559" w:type="dxa"/>
                  <w:shd w:val="clear" w:color="000000" w:fill="E7E6E6"/>
                  <w:vAlign w:val="center"/>
                </w:tcPr>
                <w:p w:rsidR="001C129F" w:rsidRDefault="001C129F" w:rsidP="00D65967">
                  <w:pPr>
                    <w:jc w:val="center"/>
                    <w:rPr>
                      <w:color w:val="000000"/>
                      <w:sz w:val="14"/>
                      <w:szCs w:val="14"/>
                    </w:rPr>
                  </w:pPr>
                </w:p>
              </w:tc>
              <w:tc>
                <w:tcPr>
                  <w:tcW w:w="563" w:type="dxa"/>
                  <w:shd w:val="clear" w:color="000000" w:fill="E7E6E6"/>
                  <w:vAlign w:val="center"/>
                </w:tcPr>
                <w:p w:rsidR="001C129F" w:rsidRDefault="001C129F" w:rsidP="00D65967">
                  <w:pPr>
                    <w:jc w:val="center"/>
                    <w:rPr>
                      <w:color w:val="000000"/>
                      <w:sz w:val="14"/>
                      <w:szCs w:val="14"/>
                    </w:rPr>
                  </w:pPr>
                </w:p>
              </w:tc>
              <w:tc>
                <w:tcPr>
                  <w:tcW w:w="569" w:type="dxa"/>
                  <w:shd w:val="clear" w:color="000000" w:fill="E7E6E6"/>
                  <w:vAlign w:val="center"/>
                </w:tcPr>
                <w:p w:rsidR="001C129F" w:rsidRDefault="001C129F" w:rsidP="00D65967">
                  <w:pPr>
                    <w:jc w:val="center"/>
                    <w:rPr>
                      <w:color w:val="000000"/>
                      <w:sz w:val="14"/>
                      <w:szCs w:val="14"/>
                    </w:rPr>
                  </w:pPr>
                </w:p>
              </w:tc>
              <w:tc>
                <w:tcPr>
                  <w:tcW w:w="569" w:type="dxa"/>
                  <w:shd w:val="clear" w:color="000000" w:fill="E7E6E6"/>
                  <w:vAlign w:val="center"/>
                </w:tcPr>
                <w:p w:rsidR="001C129F" w:rsidRDefault="001C129F" w:rsidP="00D65967">
                  <w:pPr>
                    <w:jc w:val="center"/>
                    <w:rPr>
                      <w:color w:val="000000"/>
                      <w:sz w:val="14"/>
                      <w:szCs w:val="14"/>
                    </w:rPr>
                  </w:pPr>
                </w:p>
              </w:tc>
              <w:tc>
                <w:tcPr>
                  <w:tcW w:w="608" w:type="dxa"/>
                  <w:shd w:val="clear" w:color="000000" w:fill="E7E6E6"/>
                  <w:vAlign w:val="center"/>
                </w:tcPr>
                <w:p w:rsidR="001C129F" w:rsidRDefault="001C129F" w:rsidP="00D65967">
                  <w:pPr>
                    <w:jc w:val="center"/>
                    <w:rPr>
                      <w:color w:val="000000"/>
                      <w:sz w:val="14"/>
                      <w:szCs w:val="14"/>
                    </w:rPr>
                  </w:pPr>
                </w:p>
              </w:tc>
              <w:tc>
                <w:tcPr>
                  <w:tcW w:w="564" w:type="dxa"/>
                  <w:shd w:val="clear" w:color="000000" w:fill="E7E6E6"/>
                  <w:vAlign w:val="center"/>
                </w:tcPr>
                <w:p w:rsidR="001C129F" w:rsidRDefault="001C129F" w:rsidP="00D65967">
                  <w:pPr>
                    <w:jc w:val="center"/>
                    <w:rPr>
                      <w:color w:val="000000"/>
                      <w:sz w:val="14"/>
                      <w:szCs w:val="14"/>
                    </w:rPr>
                  </w:pPr>
                </w:p>
              </w:tc>
              <w:tc>
                <w:tcPr>
                  <w:tcW w:w="578" w:type="dxa"/>
                  <w:shd w:val="clear" w:color="000000" w:fill="E7E6E6"/>
                  <w:vAlign w:val="center"/>
                </w:tcPr>
                <w:p w:rsidR="001C129F" w:rsidRDefault="001C129F" w:rsidP="00D65967">
                  <w:pPr>
                    <w:jc w:val="center"/>
                    <w:rPr>
                      <w:color w:val="000000"/>
                      <w:sz w:val="14"/>
                      <w:szCs w:val="14"/>
                    </w:rPr>
                  </w:pPr>
                </w:p>
              </w:tc>
              <w:tc>
                <w:tcPr>
                  <w:tcW w:w="660" w:type="dxa"/>
                  <w:shd w:val="clear" w:color="000000" w:fill="E7E6E6"/>
                  <w:vAlign w:val="center"/>
                </w:tcPr>
                <w:p w:rsidR="001C129F" w:rsidRDefault="001C129F" w:rsidP="00D65967">
                  <w:pPr>
                    <w:jc w:val="center"/>
                    <w:rPr>
                      <w:color w:val="000000"/>
                      <w:sz w:val="14"/>
                      <w:szCs w:val="14"/>
                    </w:rPr>
                  </w:pPr>
                </w:p>
              </w:tc>
              <w:tc>
                <w:tcPr>
                  <w:tcW w:w="592" w:type="dxa"/>
                  <w:shd w:val="clear" w:color="000000" w:fill="E7E6E6"/>
                  <w:vAlign w:val="center"/>
                </w:tcPr>
                <w:p w:rsidR="001C129F" w:rsidRDefault="001C129F" w:rsidP="00D65967">
                  <w:pPr>
                    <w:jc w:val="center"/>
                    <w:rPr>
                      <w:color w:val="000000"/>
                      <w:sz w:val="14"/>
                      <w:szCs w:val="14"/>
                    </w:rPr>
                  </w:pPr>
                </w:p>
              </w:tc>
              <w:tc>
                <w:tcPr>
                  <w:tcW w:w="590" w:type="dxa"/>
                  <w:shd w:val="clear" w:color="000000" w:fill="E7E6E6"/>
                  <w:vAlign w:val="center"/>
                </w:tcPr>
                <w:p w:rsidR="001C129F" w:rsidRPr="00F502FF" w:rsidRDefault="001C129F" w:rsidP="00AF52A7">
                  <w:pPr>
                    <w:jc w:val="center"/>
                    <w:rPr>
                      <w:color w:val="000000"/>
                      <w:sz w:val="14"/>
                      <w:szCs w:val="14"/>
                    </w:rPr>
                  </w:pPr>
                </w:p>
              </w:tc>
            </w:tr>
            <w:tr w:rsidR="00AF52A7" w:rsidRPr="00F502FF" w:rsidTr="00AF52A7">
              <w:trPr>
                <w:trHeight w:val="465"/>
              </w:trPr>
              <w:tc>
                <w:tcPr>
                  <w:tcW w:w="993" w:type="dxa"/>
                  <w:shd w:val="clear" w:color="auto" w:fill="auto"/>
                  <w:vAlign w:val="center"/>
                  <w:hideMark/>
                </w:tcPr>
                <w:p w:rsidR="001C129F" w:rsidRPr="00F502FF" w:rsidRDefault="00D65967" w:rsidP="005E3B27">
                  <w:pPr>
                    <w:jc w:val="center"/>
                    <w:rPr>
                      <w:color w:val="000000"/>
                      <w:sz w:val="14"/>
                      <w:szCs w:val="14"/>
                    </w:rPr>
                  </w:pPr>
                  <w:r>
                    <w:rPr>
                      <w:color w:val="000000"/>
                      <w:sz w:val="14"/>
                      <w:szCs w:val="14"/>
                    </w:rPr>
                    <w:t xml:space="preserve"> Personu</w:t>
                  </w:r>
                  <w:r w:rsidR="001C129F" w:rsidRPr="00F502FF">
                    <w:rPr>
                      <w:color w:val="000000"/>
                      <w:sz w:val="14"/>
                      <w:szCs w:val="14"/>
                    </w:rPr>
                    <w:t xml:space="preserve"> skaits</w:t>
                  </w:r>
                </w:p>
              </w:tc>
              <w:tc>
                <w:tcPr>
                  <w:tcW w:w="396" w:type="dxa"/>
                  <w:vAlign w:val="center"/>
                </w:tcPr>
                <w:p w:rsidR="001C129F" w:rsidRPr="00F502FF" w:rsidRDefault="001C129F" w:rsidP="005E3B27">
                  <w:pPr>
                    <w:jc w:val="center"/>
                    <w:rPr>
                      <w:color w:val="000000"/>
                      <w:sz w:val="12"/>
                      <w:szCs w:val="12"/>
                    </w:rPr>
                  </w:pPr>
                </w:p>
              </w:tc>
              <w:tc>
                <w:tcPr>
                  <w:tcW w:w="396" w:type="dxa"/>
                  <w:vAlign w:val="center"/>
                </w:tcPr>
                <w:p w:rsidR="001C129F" w:rsidRPr="00F502FF" w:rsidRDefault="001C129F" w:rsidP="005E3B27">
                  <w:pPr>
                    <w:jc w:val="center"/>
                    <w:rPr>
                      <w:color w:val="000000"/>
                      <w:sz w:val="12"/>
                      <w:szCs w:val="12"/>
                    </w:rPr>
                  </w:pPr>
                </w:p>
              </w:tc>
              <w:tc>
                <w:tcPr>
                  <w:tcW w:w="396" w:type="dxa"/>
                  <w:vAlign w:val="center"/>
                </w:tcPr>
                <w:p w:rsidR="001C129F" w:rsidRPr="00F502FF" w:rsidRDefault="001C129F" w:rsidP="005E3B27">
                  <w:pPr>
                    <w:jc w:val="center"/>
                    <w:rPr>
                      <w:color w:val="000000"/>
                      <w:sz w:val="12"/>
                      <w:szCs w:val="12"/>
                    </w:rPr>
                  </w:pPr>
                </w:p>
              </w:tc>
              <w:tc>
                <w:tcPr>
                  <w:tcW w:w="559"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16</w:t>
                  </w:r>
                </w:p>
              </w:tc>
              <w:tc>
                <w:tcPr>
                  <w:tcW w:w="563"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40</w:t>
                  </w:r>
                </w:p>
              </w:tc>
              <w:tc>
                <w:tcPr>
                  <w:tcW w:w="569"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64</w:t>
                  </w:r>
                </w:p>
              </w:tc>
              <w:tc>
                <w:tcPr>
                  <w:tcW w:w="569"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88</w:t>
                  </w:r>
                </w:p>
              </w:tc>
              <w:tc>
                <w:tcPr>
                  <w:tcW w:w="608"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112</w:t>
                  </w:r>
                </w:p>
              </w:tc>
              <w:tc>
                <w:tcPr>
                  <w:tcW w:w="564"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136</w:t>
                  </w:r>
                </w:p>
              </w:tc>
              <w:tc>
                <w:tcPr>
                  <w:tcW w:w="578"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160</w:t>
                  </w:r>
                </w:p>
              </w:tc>
              <w:tc>
                <w:tcPr>
                  <w:tcW w:w="660"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184</w:t>
                  </w:r>
                </w:p>
              </w:tc>
              <w:tc>
                <w:tcPr>
                  <w:tcW w:w="592"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208</w:t>
                  </w:r>
                </w:p>
              </w:tc>
              <w:tc>
                <w:tcPr>
                  <w:tcW w:w="590" w:type="dxa"/>
                  <w:shd w:val="clear" w:color="auto" w:fill="auto"/>
                  <w:noWrap/>
                  <w:vAlign w:val="center"/>
                  <w:hideMark/>
                </w:tcPr>
                <w:p w:rsidR="001C129F" w:rsidRPr="00F502FF" w:rsidRDefault="00D65967" w:rsidP="005E3B27">
                  <w:pPr>
                    <w:jc w:val="center"/>
                    <w:rPr>
                      <w:color w:val="000000"/>
                      <w:sz w:val="12"/>
                      <w:szCs w:val="12"/>
                    </w:rPr>
                  </w:pPr>
                  <w:r>
                    <w:rPr>
                      <w:color w:val="000000"/>
                      <w:sz w:val="12"/>
                      <w:szCs w:val="12"/>
                    </w:rPr>
                    <w:t>x</w:t>
                  </w:r>
                </w:p>
              </w:tc>
            </w:tr>
            <w:tr w:rsidR="00AF52A7" w:rsidRPr="00F502FF" w:rsidTr="00AF52A7">
              <w:trPr>
                <w:trHeight w:val="690"/>
              </w:trPr>
              <w:tc>
                <w:tcPr>
                  <w:tcW w:w="993" w:type="dxa"/>
                  <w:shd w:val="clear" w:color="auto" w:fill="auto"/>
                  <w:vAlign w:val="center"/>
                  <w:hideMark/>
                </w:tcPr>
                <w:p w:rsidR="001C129F" w:rsidRPr="00F502FF" w:rsidRDefault="00D65967" w:rsidP="005E3B27">
                  <w:pPr>
                    <w:jc w:val="center"/>
                    <w:rPr>
                      <w:color w:val="000000"/>
                      <w:sz w:val="14"/>
                      <w:szCs w:val="14"/>
                    </w:rPr>
                  </w:pPr>
                  <w:r>
                    <w:rPr>
                      <w:color w:val="000000"/>
                      <w:sz w:val="14"/>
                      <w:szCs w:val="14"/>
                    </w:rPr>
                    <w:t>Izdevumu apmērs (</w:t>
                  </w:r>
                  <w:r w:rsidR="001C129F" w:rsidRPr="00F502FF">
                    <w:rPr>
                      <w:color w:val="000000"/>
                      <w:sz w:val="14"/>
                      <w:szCs w:val="14"/>
                    </w:rPr>
                    <w:t>pabalst</w:t>
                  </w:r>
                  <w:r>
                    <w:rPr>
                      <w:color w:val="000000"/>
                      <w:sz w:val="14"/>
                      <w:szCs w:val="14"/>
                    </w:rPr>
                    <w:t>a</w:t>
                  </w:r>
                  <w:r w:rsidR="001C129F" w:rsidRPr="00F502FF">
                    <w:rPr>
                      <w:color w:val="000000"/>
                      <w:sz w:val="14"/>
                      <w:szCs w:val="14"/>
                    </w:rPr>
                    <w:t xml:space="preserve"> apmērs 100%</w:t>
                  </w:r>
                  <w:r>
                    <w:rPr>
                      <w:color w:val="000000"/>
                      <w:sz w:val="14"/>
                      <w:szCs w:val="14"/>
                    </w:rPr>
                    <w:t>)</w:t>
                  </w:r>
                  <w:r w:rsidR="001C129F" w:rsidRPr="00F502FF">
                    <w:rPr>
                      <w:color w:val="000000"/>
                      <w:sz w:val="14"/>
                      <w:szCs w:val="14"/>
                    </w:rPr>
                    <w:t xml:space="preserve"> (</w:t>
                  </w:r>
                  <w:proofErr w:type="spellStart"/>
                  <w:r w:rsidR="001C129F" w:rsidRPr="005E3B27">
                    <w:rPr>
                      <w:i/>
                      <w:color w:val="000000"/>
                      <w:sz w:val="14"/>
                      <w:szCs w:val="14"/>
                    </w:rPr>
                    <w:t>euro</w:t>
                  </w:r>
                  <w:proofErr w:type="spellEnd"/>
                  <w:r w:rsidR="001C129F" w:rsidRPr="00F502FF">
                    <w:rPr>
                      <w:color w:val="000000"/>
                      <w:sz w:val="14"/>
                      <w:szCs w:val="14"/>
                    </w:rPr>
                    <w:t>)</w:t>
                  </w:r>
                </w:p>
              </w:tc>
              <w:tc>
                <w:tcPr>
                  <w:tcW w:w="396" w:type="dxa"/>
                  <w:vAlign w:val="center"/>
                </w:tcPr>
                <w:p w:rsidR="001C129F" w:rsidRPr="00F502FF" w:rsidRDefault="001C129F" w:rsidP="005E3B27">
                  <w:pPr>
                    <w:jc w:val="center"/>
                    <w:rPr>
                      <w:color w:val="000000"/>
                      <w:sz w:val="12"/>
                      <w:szCs w:val="12"/>
                    </w:rPr>
                  </w:pPr>
                </w:p>
              </w:tc>
              <w:tc>
                <w:tcPr>
                  <w:tcW w:w="396" w:type="dxa"/>
                  <w:vAlign w:val="center"/>
                </w:tcPr>
                <w:p w:rsidR="001C129F" w:rsidRPr="00F502FF" w:rsidRDefault="001C129F" w:rsidP="005E3B27">
                  <w:pPr>
                    <w:jc w:val="center"/>
                    <w:rPr>
                      <w:color w:val="000000"/>
                      <w:sz w:val="12"/>
                      <w:szCs w:val="12"/>
                    </w:rPr>
                  </w:pPr>
                </w:p>
              </w:tc>
              <w:tc>
                <w:tcPr>
                  <w:tcW w:w="396" w:type="dxa"/>
                  <w:vAlign w:val="center"/>
                </w:tcPr>
                <w:p w:rsidR="001C129F" w:rsidRPr="00F502FF" w:rsidRDefault="001C129F" w:rsidP="005E3B27">
                  <w:pPr>
                    <w:jc w:val="center"/>
                    <w:rPr>
                      <w:color w:val="000000"/>
                      <w:sz w:val="12"/>
                      <w:szCs w:val="12"/>
                    </w:rPr>
                  </w:pPr>
                </w:p>
              </w:tc>
              <w:tc>
                <w:tcPr>
                  <w:tcW w:w="559"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2 224</w:t>
                  </w:r>
                </w:p>
              </w:tc>
              <w:tc>
                <w:tcPr>
                  <w:tcW w:w="563"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5 560</w:t>
                  </w:r>
                </w:p>
              </w:tc>
              <w:tc>
                <w:tcPr>
                  <w:tcW w:w="569"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8 896</w:t>
                  </w:r>
                </w:p>
              </w:tc>
              <w:tc>
                <w:tcPr>
                  <w:tcW w:w="569"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12 232</w:t>
                  </w:r>
                </w:p>
              </w:tc>
              <w:tc>
                <w:tcPr>
                  <w:tcW w:w="608"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15 568</w:t>
                  </w:r>
                </w:p>
              </w:tc>
              <w:tc>
                <w:tcPr>
                  <w:tcW w:w="564"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18 904</w:t>
                  </w:r>
                </w:p>
              </w:tc>
              <w:tc>
                <w:tcPr>
                  <w:tcW w:w="578"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22 240</w:t>
                  </w:r>
                </w:p>
              </w:tc>
              <w:tc>
                <w:tcPr>
                  <w:tcW w:w="660"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25 576</w:t>
                  </w:r>
                </w:p>
              </w:tc>
              <w:tc>
                <w:tcPr>
                  <w:tcW w:w="592"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28 912</w:t>
                  </w:r>
                </w:p>
              </w:tc>
              <w:tc>
                <w:tcPr>
                  <w:tcW w:w="590"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140112</w:t>
                  </w:r>
                </w:p>
              </w:tc>
            </w:tr>
            <w:tr w:rsidR="00AF52A7" w:rsidRPr="00F502FF" w:rsidTr="00AF52A7">
              <w:trPr>
                <w:trHeight w:val="915"/>
              </w:trPr>
              <w:tc>
                <w:tcPr>
                  <w:tcW w:w="993" w:type="dxa"/>
                  <w:shd w:val="clear" w:color="auto" w:fill="auto"/>
                  <w:vAlign w:val="center"/>
                  <w:hideMark/>
                </w:tcPr>
                <w:p w:rsidR="001C129F" w:rsidRPr="00F502FF" w:rsidRDefault="001C129F" w:rsidP="005E3B27">
                  <w:pPr>
                    <w:jc w:val="center"/>
                    <w:rPr>
                      <w:color w:val="000000"/>
                      <w:sz w:val="14"/>
                      <w:szCs w:val="14"/>
                    </w:rPr>
                  </w:pPr>
                  <w:r w:rsidRPr="00F502FF">
                    <w:rPr>
                      <w:color w:val="000000"/>
                      <w:sz w:val="14"/>
                      <w:szCs w:val="14"/>
                    </w:rPr>
                    <w:t xml:space="preserve">70% no pabalstu izmaksai nepieciešamā </w:t>
                  </w:r>
                  <w:proofErr w:type="spellStart"/>
                  <w:r w:rsidRPr="00F502FF">
                    <w:rPr>
                      <w:color w:val="000000"/>
                      <w:sz w:val="14"/>
                      <w:szCs w:val="14"/>
                    </w:rPr>
                    <w:t>finansējum(</w:t>
                  </w:r>
                  <w:r w:rsidRPr="005E3B27">
                    <w:rPr>
                      <w:i/>
                      <w:color w:val="000000"/>
                      <w:sz w:val="14"/>
                      <w:szCs w:val="14"/>
                    </w:rPr>
                    <w:t>euro</w:t>
                  </w:r>
                  <w:proofErr w:type="spellEnd"/>
                  <w:r>
                    <w:rPr>
                      <w:color w:val="000000"/>
                      <w:sz w:val="14"/>
                      <w:szCs w:val="14"/>
                    </w:rPr>
                    <w:t>)</w:t>
                  </w:r>
                </w:p>
              </w:tc>
              <w:tc>
                <w:tcPr>
                  <w:tcW w:w="396" w:type="dxa"/>
                  <w:vAlign w:val="center"/>
                </w:tcPr>
                <w:p w:rsidR="001C129F" w:rsidRPr="00F502FF" w:rsidRDefault="001C129F" w:rsidP="005E3B27">
                  <w:pPr>
                    <w:jc w:val="center"/>
                    <w:rPr>
                      <w:color w:val="000000"/>
                      <w:sz w:val="12"/>
                      <w:szCs w:val="12"/>
                    </w:rPr>
                  </w:pPr>
                </w:p>
              </w:tc>
              <w:tc>
                <w:tcPr>
                  <w:tcW w:w="396" w:type="dxa"/>
                  <w:vAlign w:val="center"/>
                </w:tcPr>
                <w:p w:rsidR="001C129F" w:rsidRPr="00F502FF" w:rsidRDefault="001C129F" w:rsidP="005E3B27">
                  <w:pPr>
                    <w:jc w:val="center"/>
                    <w:rPr>
                      <w:color w:val="000000"/>
                      <w:sz w:val="12"/>
                      <w:szCs w:val="12"/>
                    </w:rPr>
                  </w:pPr>
                </w:p>
              </w:tc>
              <w:tc>
                <w:tcPr>
                  <w:tcW w:w="396" w:type="dxa"/>
                  <w:vAlign w:val="center"/>
                </w:tcPr>
                <w:p w:rsidR="001C129F" w:rsidRPr="00F502FF" w:rsidRDefault="001C129F" w:rsidP="005E3B27">
                  <w:pPr>
                    <w:jc w:val="center"/>
                    <w:rPr>
                      <w:color w:val="000000"/>
                      <w:sz w:val="12"/>
                      <w:szCs w:val="12"/>
                    </w:rPr>
                  </w:pPr>
                </w:p>
              </w:tc>
              <w:tc>
                <w:tcPr>
                  <w:tcW w:w="559"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1 557</w:t>
                  </w:r>
                </w:p>
              </w:tc>
              <w:tc>
                <w:tcPr>
                  <w:tcW w:w="563"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3 892</w:t>
                  </w:r>
                </w:p>
              </w:tc>
              <w:tc>
                <w:tcPr>
                  <w:tcW w:w="569"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6 227</w:t>
                  </w:r>
                </w:p>
              </w:tc>
              <w:tc>
                <w:tcPr>
                  <w:tcW w:w="569"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8 562</w:t>
                  </w:r>
                </w:p>
              </w:tc>
              <w:tc>
                <w:tcPr>
                  <w:tcW w:w="608"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10 898</w:t>
                  </w:r>
                </w:p>
              </w:tc>
              <w:tc>
                <w:tcPr>
                  <w:tcW w:w="564"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13 233</w:t>
                  </w:r>
                </w:p>
              </w:tc>
              <w:tc>
                <w:tcPr>
                  <w:tcW w:w="578"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15 568</w:t>
                  </w:r>
                </w:p>
              </w:tc>
              <w:tc>
                <w:tcPr>
                  <w:tcW w:w="660"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17 903</w:t>
                  </w:r>
                </w:p>
              </w:tc>
              <w:tc>
                <w:tcPr>
                  <w:tcW w:w="592"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20 238</w:t>
                  </w:r>
                </w:p>
              </w:tc>
              <w:tc>
                <w:tcPr>
                  <w:tcW w:w="590" w:type="dxa"/>
                  <w:shd w:val="clear" w:color="auto" w:fill="auto"/>
                  <w:noWrap/>
                  <w:vAlign w:val="center"/>
                  <w:hideMark/>
                </w:tcPr>
                <w:p w:rsidR="001C129F" w:rsidRPr="00F502FF" w:rsidRDefault="001C129F" w:rsidP="005E3B27">
                  <w:pPr>
                    <w:jc w:val="center"/>
                    <w:rPr>
                      <w:color w:val="000000"/>
                      <w:sz w:val="12"/>
                      <w:szCs w:val="12"/>
                    </w:rPr>
                  </w:pPr>
                  <w:r w:rsidRPr="00F502FF">
                    <w:rPr>
                      <w:color w:val="000000"/>
                      <w:sz w:val="12"/>
                      <w:szCs w:val="12"/>
                    </w:rPr>
                    <w:t>98 078</w:t>
                  </w:r>
                </w:p>
              </w:tc>
            </w:tr>
            <w:tr w:rsidR="00AF52A7" w:rsidRPr="00F502FF" w:rsidTr="00AF52A7">
              <w:trPr>
                <w:trHeight w:val="283"/>
              </w:trPr>
              <w:tc>
                <w:tcPr>
                  <w:tcW w:w="993" w:type="dxa"/>
                  <w:shd w:val="clear" w:color="auto" w:fill="auto"/>
                  <w:vAlign w:val="center"/>
                </w:tcPr>
                <w:p w:rsidR="001C129F" w:rsidRPr="005E3B27" w:rsidRDefault="001C129F" w:rsidP="005E3B27">
                  <w:pPr>
                    <w:jc w:val="center"/>
                    <w:rPr>
                      <w:b/>
                      <w:color w:val="000000"/>
                      <w:sz w:val="14"/>
                      <w:szCs w:val="14"/>
                    </w:rPr>
                  </w:pPr>
                  <w:proofErr w:type="gramStart"/>
                  <w:r w:rsidRPr="005E3B27">
                    <w:rPr>
                      <w:b/>
                      <w:color w:val="000000"/>
                      <w:sz w:val="14"/>
                      <w:szCs w:val="14"/>
                    </w:rPr>
                    <w:t>2017.gads</w:t>
                  </w:r>
                  <w:proofErr w:type="gramEnd"/>
                </w:p>
              </w:tc>
              <w:tc>
                <w:tcPr>
                  <w:tcW w:w="396" w:type="dxa"/>
                  <w:vAlign w:val="center"/>
                </w:tcPr>
                <w:p w:rsidR="001C129F" w:rsidRPr="00F502FF" w:rsidRDefault="001C129F" w:rsidP="005E3B27">
                  <w:pPr>
                    <w:jc w:val="center"/>
                    <w:rPr>
                      <w:color w:val="000000"/>
                      <w:sz w:val="12"/>
                      <w:szCs w:val="12"/>
                    </w:rPr>
                  </w:pPr>
                </w:p>
              </w:tc>
              <w:tc>
                <w:tcPr>
                  <w:tcW w:w="396" w:type="dxa"/>
                  <w:vAlign w:val="center"/>
                </w:tcPr>
                <w:p w:rsidR="001C129F" w:rsidRPr="00F502FF" w:rsidRDefault="001C129F" w:rsidP="005E3B27">
                  <w:pPr>
                    <w:jc w:val="center"/>
                    <w:rPr>
                      <w:color w:val="000000"/>
                      <w:sz w:val="12"/>
                      <w:szCs w:val="12"/>
                    </w:rPr>
                  </w:pPr>
                </w:p>
              </w:tc>
              <w:tc>
                <w:tcPr>
                  <w:tcW w:w="396" w:type="dxa"/>
                  <w:vAlign w:val="center"/>
                </w:tcPr>
                <w:p w:rsidR="001C129F" w:rsidRPr="00F502FF" w:rsidRDefault="001C129F" w:rsidP="005E3B27">
                  <w:pPr>
                    <w:jc w:val="center"/>
                    <w:rPr>
                      <w:color w:val="000000"/>
                      <w:sz w:val="12"/>
                      <w:szCs w:val="12"/>
                    </w:rPr>
                  </w:pPr>
                </w:p>
              </w:tc>
              <w:tc>
                <w:tcPr>
                  <w:tcW w:w="559" w:type="dxa"/>
                  <w:shd w:val="clear" w:color="auto" w:fill="auto"/>
                  <w:noWrap/>
                  <w:vAlign w:val="center"/>
                </w:tcPr>
                <w:p w:rsidR="001C129F" w:rsidRPr="00F502FF" w:rsidRDefault="001C129F" w:rsidP="005E3B27">
                  <w:pPr>
                    <w:jc w:val="center"/>
                    <w:rPr>
                      <w:color w:val="000000"/>
                      <w:sz w:val="12"/>
                      <w:szCs w:val="12"/>
                    </w:rPr>
                  </w:pPr>
                </w:p>
              </w:tc>
              <w:tc>
                <w:tcPr>
                  <w:tcW w:w="563" w:type="dxa"/>
                  <w:shd w:val="clear" w:color="auto" w:fill="auto"/>
                  <w:noWrap/>
                  <w:vAlign w:val="center"/>
                </w:tcPr>
                <w:p w:rsidR="001C129F" w:rsidRPr="00F502FF" w:rsidRDefault="001C129F" w:rsidP="005E3B27">
                  <w:pPr>
                    <w:jc w:val="center"/>
                    <w:rPr>
                      <w:color w:val="000000"/>
                      <w:sz w:val="12"/>
                      <w:szCs w:val="12"/>
                    </w:rPr>
                  </w:pPr>
                </w:p>
              </w:tc>
              <w:tc>
                <w:tcPr>
                  <w:tcW w:w="569" w:type="dxa"/>
                  <w:shd w:val="clear" w:color="auto" w:fill="auto"/>
                  <w:noWrap/>
                  <w:vAlign w:val="center"/>
                </w:tcPr>
                <w:p w:rsidR="001C129F" w:rsidRPr="00F502FF" w:rsidRDefault="001C129F" w:rsidP="005E3B27">
                  <w:pPr>
                    <w:jc w:val="center"/>
                    <w:rPr>
                      <w:color w:val="000000"/>
                      <w:sz w:val="12"/>
                      <w:szCs w:val="12"/>
                    </w:rPr>
                  </w:pPr>
                </w:p>
              </w:tc>
              <w:tc>
                <w:tcPr>
                  <w:tcW w:w="569" w:type="dxa"/>
                  <w:shd w:val="clear" w:color="auto" w:fill="auto"/>
                  <w:noWrap/>
                  <w:vAlign w:val="center"/>
                </w:tcPr>
                <w:p w:rsidR="001C129F" w:rsidRPr="00F502FF" w:rsidRDefault="001C129F" w:rsidP="005E3B27">
                  <w:pPr>
                    <w:jc w:val="center"/>
                    <w:rPr>
                      <w:color w:val="000000"/>
                      <w:sz w:val="12"/>
                      <w:szCs w:val="12"/>
                    </w:rPr>
                  </w:pPr>
                </w:p>
              </w:tc>
              <w:tc>
                <w:tcPr>
                  <w:tcW w:w="608" w:type="dxa"/>
                  <w:shd w:val="clear" w:color="auto" w:fill="auto"/>
                  <w:noWrap/>
                  <w:vAlign w:val="center"/>
                </w:tcPr>
                <w:p w:rsidR="001C129F" w:rsidRPr="00F502FF" w:rsidRDefault="001C129F" w:rsidP="005E3B27">
                  <w:pPr>
                    <w:jc w:val="center"/>
                    <w:rPr>
                      <w:color w:val="000000"/>
                      <w:sz w:val="12"/>
                      <w:szCs w:val="12"/>
                    </w:rPr>
                  </w:pPr>
                </w:p>
              </w:tc>
              <w:tc>
                <w:tcPr>
                  <w:tcW w:w="564" w:type="dxa"/>
                  <w:shd w:val="clear" w:color="auto" w:fill="auto"/>
                  <w:noWrap/>
                  <w:vAlign w:val="center"/>
                </w:tcPr>
                <w:p w:rsidR="001C129F" w:rsidRPr="00F502FF" w:rsidRDefault="001C129F" w:rsidP="005E3B27">
                  <w:pPr>
                    <w:jc w:val="center"/>
                    <w:rPr>
                      <w:color w:val="000000"/>
                      <w:sz w:val="12"/>
                      <w:szCs w:val="12"/>
                    </w:rPr>
                  </w:pPr>
                </w:p>
              </w:tc>
              <w:tc>
                <w:tcPr>
                  <w:tcW w:w="578" w:type="dxa"/>
                  <w:shd w:val="clear" w:color="auto" w:fill="auto"/>
                  <w:noWrap/>
                  <w:vAlign w:val="center"/>
                </w:tcPr>
                <w:p w:rsidR="001C129F" w:rsidRPr="00F502FF" w:rsidRDefault="001C129F" w:rsidP="005E3B27">
                  <w:pPr>
                    <w:jc w:val="center"/>
                    <w:rPr>
                      <w:color w:val="000000"/>
                      <w:sz w:val="12"/>
                      <w:szCs w:val="12"/>
                    </w:rPr>
                  </w:pPr>
                </w:p>
              </w:tc>
              <w:tc>
                <w:tcPr>
                  <w:tcW w:w="660" w:type="dxa"/>
                  <w:shd w:val="clear" w:color="auto" w:fill="auto"/>
                  <w:noWrap/>
                  <w:vAlign w:val="center"/>
                </w:tcPr>
                <w:p w:rsidR="001C129F" w:rsidRPr="00F502FF" w:rsidRDefault="001C129F" w:rsidP="005E3B27">
                  <w:pPr>
                    <w:jc w:val="center"/>
                    <w:rPr>
                      <w:color w:val="000000"/>
                      <w:sz w:val="12"/>
                      <w:szCs w:val="12"/>
                    </w:rPr>
                  </w:pPr>
                </w:p>
              </w:tc>
              <w:tc>
                <w:tcPr>
                  <w:tcW w:w="592" w:type="dxa"/>
                  <w:shd w:val="clear" w:color="auto" w:fill="auto"/>
                  <w:noWrap/>
                  <w:vAlign w:val="center"/>
                </w:tcPr>
                <w:p w:rsidR="001C129F" w:rsidRPr="00F502FF" w:rsidRDefault="001C129F" w:rsidP="005E3B27">
                  <w:pPr>
                    <w:jc w:val="center"/>
                    <w:rPr>
                      <w:color w:val="000000"/>
                      <w:sz w:val="12"/>
                      <w:szCs w:val="12"/>
                    </w:rPr>
                  </w:pPr>
                </w:p>
              </w:tc>
              <w:tc>
                <w:tcPr>
                  <w:tcW w:w="590" w:type="dxa"/>
                  <w:shd w:val="clear" w:color="auto" w:fill="auto"/>
                  <w:noWrap/>
                  <w:vAlign w:val="center"/>
                </w:tcPr>
                <w:p w:rsidR="001C129F" w:rsidRPr="00F502FF" w:rsidRDefault="001C129F" w:rsidP="005E3B27">
                  <w:pPr>
                    <w:jc w:val="center"/>
                    <w:rPr>
                      <w:color w:val="000000"/>
                      <w:sz w:val="12"/>
                      <w:szCs w:val="12"/>
                    </w:rPr>
                  </w:pPr>
                </w:p>
              </w:tc>
            </w:tr>
            <w:tr w:rsidR="00AF52A7" w:rsidRPr="00F502FF" w:rsidTr="00AF52A7">
              <w:trPr>
                <w:trHeight w:val="346"/>
              </w:trPr>
              <w:tc>
                <w:tcPr>
                  <w:tcW w:w="993" w:type="dxa"/>
                  <w:shd w:val="clear" w:color="auto" w:fill="auto"/>
                  <w:vAlign w:val="center"/>
                </w:tcPr>
                <w:p w:rsidR="00AF52A7" w:rsidRPr="00F502FF" w:rsidRDefault="00AF52A7" w:rsidP="005E3B27">
                  <w:pPr>
                    <w:jc w:val="center"/>
                    <w:rPr>
                      <w:color w:val="000000"/>
                      <w:sz w:val="14"/>
                      <w:szCs w:val="14"/>
                    </w:rPr>
                  </w:pPr>
                  <w:r>
                    <w:rPr>
                      <w:color w:val="000000"/>
                      <w:sz w:val="14"/>
                      <w:szCs w:val="14"/>
                    </w:rPr>
                    <w:t>Personu skaits</w:t>
                  </w:r>
                </w:p>
              </w:tc>
              <w:tc>
                <w:tcPr>
                  <w:tcW w:w="396" w:type="dxa"/>
                  <w:vAlign w:val="center"/>
                </w:tcPr>
                <w:p w:rsidR="00AF52A7" w:rsidRPr="00F502FF" w:rsidRDefault="00AF52A7" w:rsidP="005E3B27">
                  <w:pPr>
                    <w:jc w:val="center"/>
                    <w:rPr>
                      <w:color w:val="000000"/>
                      <w:sz w:val="12"/>
                      <w:szCs w:val="12"/>
                    </w:rPr>
                  </w:pPr>
                  <w:r>
                    <w:rPr>
                      <w:color w:val="000000"/>
                      <w:sz w:val="12"/>
                      <w:szCs w:val="12"/>
                    </w:rPr>
                    <w:t>232</w:t>
                  </w:r>
                </w:p>
              </w:tc>
              <w:tc>
                <w:tcPr>
                  <w:tcW w:w="396" w:type="dxa"/>
                  <w:vAlign w:val="center"/>
                </w:tcPr>
                <w:p w:rsidR="00AF52A7" w:rsidRPr="00F502FF" w:rsidRDefault="00AF52A7" w:rsidP="005E3B27">
                  <w:pPr>
                    <w:jc w:val="center"/>
                    <w:rPr>
                      <w:color w:val="000000"/>
                      <w:sz w:val="12"/>
                      <w:szCs w:val="12"/>
                    </w:rPr>
                  </w:pPr>
                  <w:r>
                    <w:rPr>
                      <w:color w:val="000000"/>
                      <w:sz w:val="12"/>
                      <w:szCs w:val="12"/>
                    </w:rPr>
                    <w:t>256</w:t>
                  </w:r>
                </w:p>
              </w:tc>
              <w:tc>
                <w:tcPr>
                  <w:tcW w:w="396" w:type="dxa"/>
                  <w:vAlign w:val="center"/>
                </w:tcPr>
                <w:p w:rsidR="00AF52A7" w:rsidRPr="00F502FF" w:rsidRDefault="00AF52A7" w:rsidP="005E3B27">
                  <w:pPr>
                    <w:jc w:val="center"/>
                    <w:rPr>
                      <w:color w:val="000000"/>
                      <w:sz w:val="12"/>
                      <w:szCs w:val="12"/>
                    </w:rPr>
                  </w:pPr>
                  <w:r>
                    <w:rPr>
                      <w:color w:val="000000"/>
                      <w:sz w:val="12"/>
                      <w:szCs w:val="12"/>
                    </w:rPr>
                    <w:t>280</w:t>
                  </w:r>
                </w:p>
              </w:tc>
              <w:tc>
                <w:tcPr>
                  <w:tcW w:w="559"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288</w:t>
                  </w:r>
                </w:p>
              </w:tc>
              <w:tc>
                <w:tcPr>
                  <w:tcW w:w="563"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288</w:t>
                  </w:r>
                </w:p>
              </w:tc>
              <w:tc>
                <w:tcPr>
                  <w:tcW w:w="569"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288</w:t>
                  </w:r>
                </w:p>
              </w:tc>
              <w:tc>
                <w:tcPr>
                  <w:tcW w:w="569"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288</w:t>
                  </w:r>
                </w:p>
              </w:tc>
              <w:tc>
                <w:tcPr>
                  <w:tcW w:w="608"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288</w:t>
                  </w:r>
                </w:p>
              </w:tc>
              <w:tc>
                <w:tcPr>
                  <w:tcW w:w="564"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289</w:t>
                  </w:r>
                </w:p>
              </w:tc>
              <w:tc>
                <w:tcPr>
                  <w:tcW w:w="578"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240</w:t>
                  </w:r>
                </w:p>
              </w:tc>
              <w:tc>
                <w:tcPr>
                  <w:tcW w:w="660"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240</w:t>
                  </w:r>
                </w:p>
              </w:tc>
              <w:tc>
                <w:tcPr>
                  <w:tcW w:w="592"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240</w:t>
                  </w:r>
                </w:p>
              </w:tc>
              <w:tc>
                <w:tcPr>
                  <w:tcW w:w="590"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x</w:t>
                  </w:r>
                </w:p>
              </w:tc>
            </w:tr>
            <w:tr w:rsidR="00AF52A7" w:rsidRPr="00F502FF" w:rsidTr="00AF52A7">
              <w:trPr>
                <w:trHeight w:val="915"/>
              </w:trPr>
              <w:tc>
                <w:tcPr>
                  <w:tcW w:w="993" w:type="dxa"/>
                  <w:shd w:val="clear" w:color="auto" w:fill="auto"/>
                  <w:vAlign w:val="center"/>
                </w:tcPr>
                <w:p w:rsidR="00AF52A7" w:rsidRPr="00F502FF" w:rsidRDefault="00AF52A7" w:rsidP="005E3B27">
                  <w:pPr>
                    <w:jc w:val="center"/>
                    <w:rPr>
                      <w:color w:val="000000"/>
                      <w:sz w:val="14"/>
                      <w:szCs w:val="14"/>
                    </w:rPr>
                  </w:pPr>
                  <w:r>
                    <w:rPr>
                      <w:color w:val="000000"/>
                      <w:sz w:val="14"/>
                      <w:szCs w:val="14"/>
                    </w:rPr>
                    <w:t>Izdevumu apmērs (</w:t>
                  </w:r>
                  <w:r w:rsidRPr="00F502FF">
                    <w:rPr>
                      <w:color w:val="000000"/>
                      <w:sz w:val="14"/>
                      <w:szCs w:val="14"/>
                    </w:rPr>
                    <w:t>pabalst</w:t>
                  </w:r>
                  <w:r>
                    <w:rPr>
                      <w:color w:val="000000"/>
                      <w:sz w:val="14"/>
                      <w:szCs w:val="14"/>
                    </w:rPr>
                    <w:t>a</w:t>
                  </w:r>
                  <w:r w:rsidRPr="00F502FF">
                    <w:rPr>
                      <w:color w:val="000000"/>
                      <w:sz w:val="14"/>
                      <w:szCs w:val="14"/>
                    </w:rPr>
                    <w:t xml:space="preserve"> apmērs 100%</w:t>
                  </w:r>
                  <w:r>
                    <w:rPr>
                      <w:color w:val="000000"/>
                      <w:sz w:val="14"/>
                      <w:szCs w:val="14"/>
                    </w:rPr>
                    <w:t>)</w:t>
                  </w:r>
                  <w:r w:rsidRPr="00F502FF">
                    <w:rPr>
                      <w:color w:val="000000"/>
                      <w:sz w:val="14"/>
                      <w:szCs w:val="14"/>
                    </w:rPr>
                    <w:t xml:space="preserve"> (</w:t>
                  </w:r>
                  <w:proofErr w:type="spellStart"/>
                  <w:r w:rsidRPr="00627E93">
                    <w:rPr>
                      <w:i/>
                      <w:color w:val="000000"/>
                      <w:sz w:val="14"/>
                      <w:szCs w:val="14"/>
                    </w:rPr>
                    <w:t>euro</w:t>
                  </w:r>
                  <w:proofErr w:type="spellEnd"/>
                  <w:r>
                    <w:rPr>
                      <w:i/>
                      <w:color w:val="000000"/>
                      <w:sz w:val="14"/>
                      <w:szCs w:val="14"/>
                    </w:rPr>
                    <w:t>)</w:t>
                  </w:r>
                </w:p>
              </w:tc>
              <w:tc>
                <w:tcPr>
                  <w:tcW w:w="396" w:type="dxa"/>
                  <w:vAlign w:val="center"/>
                </w:tcPr>
                <w:p w:rsidR="00AF52A7" w:rsidRPr="00F502FF" w:rsidRDefault="00AF52A7" w:rsidP="005E3B27">
                  <w:pPr>
                    <w:jc w:val="center"/>
                    <w:rPr>
                      <w:color w:val="000000"/>
                      <w:sz w:val="12"/>
                      <w:szCs w:val="12"/>
                    </w:rPr>
                  </w:pPr>
                  <w:r>
                    <w:rPr>
                      <w:color w:val="000000"/>
                      <w:sz w:val="12"/>
                      <w:szCs w:val="12"/>
                    </w:rPr>
                    <w:t>32248</w:t>
                  </w:r>
                </w:p>
              </w:tc>
              <w:tc>
                <w:tcPr>
                  <w:tcW w:w="396" w:type="dxa"/>
                  <w:vAlign w:val="center"/>
                </w:tcPr>
                <w:p w:rsidR="00AF52A7" w:rsidRPr="00F502FF" w:rsidRDefault="00AF52A7" w:rsidP="005E3B27">
                  <w:pPr>
                    <w:jc w:val="center"/>
                    <w:rPr>
                      <w:color w:val="000000"/>
                      <w:sz w:val="12"/>
                      <w:szCs w:val="12"/>
                    </w:rPr>
                  </w:pPr>
                  <w:r>
                    <w:rPr>
                      <w:color w:val="000000"/>
                      <w:sz w:val="12"/>
                      <w:szCs w:val="12"/>
                    </w:rPr>
                    <w:t>35584</w:t>
                  </w:r>
                </w:p>
              </w:tc>
              <w:tc>
                <w:tcPr>
                  <w:tcW w:w="396" w:type="dxa"/>
                  <w:vAlign w:val="center"/>
                </w:tcPr>
                <w:p w:rsidR="00AF52A7" w:rsidRPr="00F502FF" w:rsidRDefault="00AF52A7" w:rsidP="005E3B27">
                  <w:pPr>
                    <w:jc w:val="center"/>
                    <w:rPr>
                      <w:color w:val="000000"/>
                      <w:sz w:val="12"/>
                      <w:szCs w:val="12"/>
                    </w:rPr>
                  </w:pPr>
                  <w:r>
                    <w:rPr>
                      <w:color w:val="000000"/>
                      <w:sz w:val="12"/>
                      <w:szCs w:val="12"/>
                    </w:rPr>
                    <w:t>38920</w:t>
                  </w:r>
                </w:p>
              </w:tc>
              <w:tc>
                <w:tcPr>
                  <w:tcW w:w="559"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40032</w:t>
                  </w:r>
                </w:p>
              </w:tc>
              <w:tc>
                <w:tcPr>
                  <w:tcW w:w="563"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40032</w:t>
                  </w:r>
                </w:p>
              </w:tc>
              <w:tc>
                <w:tcPr>
                  <w:tcW w:w="569"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40032</w:t>
                  </w:r>
                </w:p>
              </w:tc>
              <w:tc>
                <w:tcPr>
                  <w:tcW w:w="569"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40032</w:t>
                  </w:r>
                </w:p>
              </w:tc>
              <w:tc>
                <w:tcPr>
                  <w:tcW w:w="608"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40032</w:t>
                  </w:r>
                </w:p>
              </w:tc>
              <w:tc>
                <w:tcPr>
                  <w:tcW w:w="564"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40171</w:t>
                  </w:r>
                </w:p>
              </w:tc>
              <w:tc>
                <w:tcPr>
                  <w:tcW w:w="578"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33360</w:t>
                  </w:r>
                </w:p>
              </w:tc>
              <w:tc>
                <w:tcPr>
                  <w:tcW w:w="660"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33360</w:t>
                  </w:r>
                </w:p>
              </w:tc>
              <w:tc>
                <w:tcPr>
                  <w:tcW w:w="592"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33360</w:t>
                  </w:r>
                </w:p>
              </w:tc>
              <w:tc>
                <w:tcPr>
                  <w:tcW w:w="590" w:type="dxa"/>
                  <w:shd w:val="clear" w:color="auto" w:fill="auto"/>
                  <w:noWrap/>
                  <w:vAlign w:val="center"/>
                </w:tcPr>
                <w:p w:rsidR="00AF52A7" w:rsidRPr="00F502FF" w:rsidRDefault="00AF52A7" w:rsidP="005E3B27">
                  <w:pPr>
                    <w:jc w:val="center"/>
                    <w:rPr>
                      <w:color w:val="000000"/>
                      <w:sz w:val="12"/>
                      <w:szCs w:val="12"/>
                    </w:rPr>
                  </w:pPr>
                  <w:r>
                    <w:rPr>
                      <w:color w:val="000000"/>
                      <w:sz w:val="12"/>
                      <w:szCs w:val="12"/>
                    </w:rPr>
                    <w:t>447163</w:t>
                  </w:r>
                </w:p>
              </w:tc>
            </w:tr>
          </w:tbl>
          <w:p w:rsidR="00EA5D76" w:rsidRDefault="00EA5D76" w:rsidP="00E12AB4">
            <w:pPr>
              <w:jc w:val="both"/>
            </w:pPr>
          </w:p>
          <w:p w:rsidR="00E12AB4" w:rsidRPr="0097464B" w:rsidRDefault="00EA5D76" w:rsidP="00E12AB4">
            <w:pPr>
              <w:jc w:val="both"/>
            </w:pPr>
            <w:r>
              <w:rPr>
                <w:b/>
              </w:rPr>
              <w:t xml:space="preserve">        </w:t>
            </w:r>
            <w:proofErr w:type="spellStart"/>
            <w:r w:rsidR="00EB65EF" w:rsidRPr="005E3B27">
              <w:rPr>
                <w:b/>
              </w:rPr>
              <w:t>II.</w:t>
            </w:r>
            <w:r w:rsidR="00EB65EF">
              <w:t>L</w:t>
            </w:r>
            <w:r w:rsidR="00E12AB4" w:rsidRPr="00547BAD">
              <w:t>ai</w:t>
            </w:r>
            <w:proofErr w:type="spellEnd"/>
            <w:r w:rsidR="00E12AB4" w:rsidRPr="00547BAD">
              <w:t xml:space="preserve"> nodrošinātu uzturēšanās pabalstu izmaksu </w:t>
            </w:r>
            <w:r w:rsidR="00E12AB4">
              <w:t xml:space="preserve">tām </w:t>
            </w:r>
            <w:r w:rsidR="00E12AB4" w:rsidRPr="00547BAD">
              <w:t>personām,</w:t>
            </w:r>
            <w:r w:rsidR="00E12AB4">
              <w:t xml:space="preserve"> kuras Latvijā ierodas individuāli un</w:t>
            </w:r>
            <w:r w:rsidR="00E12AB4" w:rsidRPr="00547BAD">
              <w:t xml:space="preserve"> kurām noteikts bēgļa vai alternatīvais statuss,</w:t>
            </w:r>
            <w:r w:rsidR="00E12AB4">
              <w:t xml:space="preserve"> ņemot vērā patvēruma meklētāju dinamiku, proti, pieaugošo tendenci visā Eiropas Savienībā kopumā,</w:t>
            </w:r>
            <w:r w:rsidR="00E12AB4" w:rsidRPr="00547BAD">
              <w:t xml:space="preserve"> </w:t>
            </w:r>
            <w:r w:rsidR="00E12AB4" w:rsidRPr="005E3B27">
              <w:t xml:space="preserve">no </w:t>
            </w:r>
            <w:proofErr w:type="gramStart"/>
            <w:r w:rsidR="00E12AB4" w:rsidRPr="005E3B27">
              <w:t>2016.gada</w:t>
            </w:r>
            <w:proofErr w:type="gramEnd"/>
            <w:r w:rsidR="00E12AB4" w:rsidRPr="005E3B27">
              <w:t xml:space="preserve"> un turpmāk </w:t>
            </w:r>
            <w:r w:rsidR="0097464B">
              <w:t>paredzēti izdevumi</w:t>
            </w:r>
            <w:r w:rsidR="00E12AB4" w:rsidRPr="005E3B27">
              <w:t xml:space="preserve"> 100 955 </w:t>
            </w:r>
            <w:proofErr w:type="spellStart"/>
            <w:r w:rsidR="0097464B" w:rsidRPr="005E3B27">
              <w:rPr>
                <w:i/>
              </w:rPr>
              <w:t>euro</w:t>
            </w:r>
            <w:proofErr w:type="spellEnd"/>
            <w:r w:rsidR="0097464B" w:rsidRPr="005E3B27">
              <w:t xml:space="preserve"> </w:t>
            </w:r>
            <w:r w:rsidR="0097464B">
              <w:t xml:space="preserve">apmērā, </w:t>
            </w:r>
            <w:r w:rsidR="00E12AB4" w:rsidRPr="005E3B27">
              <w:t>valsts budžeta apakšprogrammai 11.01.00 “Pilsonības un migrācijas lietu pārvalde” piešķirto finanšu resursu ietvaros</w:t>
            </w:r>
            <w:r w:rsidR="00E12AB4" w:rsidRPr="0097464B">
              <w:t>:</w:t>
            </w:r>
          </w:p>
          <w:p w:rsidR="00E12AB4" w:rsidRPr="002C6834" w:rsidRDefault="00E12AB4" w:rsidP="00E12AB4">
            <w:pPr>
              <w:jc w:val="both"/>
            </w:pPr>
            <w:proofErr w:type="gramStart"/>
            <w:r w:rsidRPr="002C6834">
              <w:rPr>
                <w:b/>
              </w:rPr>
              <w:t>2016.gadā</w:t>
            </w:r>
            <w:proofErr w:type="gramEnd"/>
            <w:r w:rsidRPr="002C6834">
              <w:rPr>
                <w:b/>
              </w:rPr>
              <w:t xml:space="preserve"> </w:t>
            </w:r>
            <w:r w:rsidR="000A0860">
              <w:rPr>
                <w:b/>
              </w:rPr>
              <w:t xml:space="preserve">– </w:t>
            </w:r>
            <w:r w:rsidRPr="002C6834">
              <w:rPr>
                <w:b/>
              </w:rPr>
              <w:t>100</w:t>
            </w:r>
            <w:r w:rsidR="0097464B">
              <w:rPr>
                <w:b/>
              </w:rPr>
              <w:t> </w:t>
            </w:r>
            <w:r w:rsidRPr="002C6834">
              <w:rPr>
                <w:b/>
              </w:rPr>
              <w:t>955</w:t>
            </w:r>
            <w:r w:rsidR="0097464B">
              <w:rPr>
                <w:b/>
              </w:rPr>
              <w:t xml:space="preserve"> </w:t>
            </w:r>
            <w:proofErr w:type="spellStart"/>
            <w:r w:rsidR="0097464B" w:rsidRPr="005E3B27">
              <w:rPr>
                <w:b/>
                <w:i/>
              </w:rPr>
              <w:t>euro</w:t>
            </w:r>
            <w:proofErr w:type="spellEnd"/>
            <w:r w:rsidRPr="002C6834">
              <w:t>:</w:t>
            </w:r>
          </w:p>
          <w:p w:rsidR="00E12AB4" w:rsidRPr="00540F03" w:rsidRDefault="00E12AB4" w:rsidP="00E12AB4">
            <w:pPr>
              <w:jc w:val="both"/>
            </w:pPr>
            <w:r>
              <w:t>1</w:t>
            </w:r>
            <w:r w:rsidRPr="00540F03">
              <w:t xml:space="preserve">) Personām, kurām piešķirts bēgļa statuss </w:t>
            </w:r>
            <w:r w:rsidR="00D40C7A">
              <w:t>61 608</w:t>
            </w:r>
            <w:r w:rsidRPr="00540F03">
              <w:t xml:space="preserve"> </w:t>
            </w:r>
            <w:proofErr w:type="spellStart"/>
            <w:r w:rsidR="00FE15AA" w:rsidRPr="00540F03">
              <w:rPr>
                <w:i/>
              </w:rPr>
              <w:t>euro</w:t>
            </w:r>
            <w:proofErr w:type="spellEnd"/>
            <w:r w:rsidRPr="00540F03">
              <w:t>:</w:t>
            </w:r>
          </w:p>
          <w:p w:rsidR="00E12AB4" w:rsidRPr="00547BAD" w:rsidRDefault="00E12AB4" w:rsidP="00E12AB4">
            <w:pPr>
              <w:jc w:val="both"/>
            </w:pPr>
            <w:r w:rsidRPr="00547BAD">
              <w:t xml:space="preserve">Pabalsta apmērs 139 </w:t>
            </w:r>
            <w:proofErr w:type="spellStart"/>
            <w:r w:rsidR="0097464B" w:rsidRPr="005E3B27">
              <w:rPr>
                <w:i/>
              </w:rPr>
              <w:t>euro</w:t>
            </w:r>
            <w:proofErr w:type="spellEnd"/>
            <w:r w:rsidR="0097464B" w:rsidRPr="00547BAD">
              <w:t xml:space="preserve"> </w:t>
            </w:r>
            <w:r w:rsidRPr="00547BAD">
              <w:t xml:space="preserve">x </w:t>
            </w:r>
            <w:r w:rsidR="00136412">
              <w:t>16</w:t>
            </w:r>
            <w:r w:rsidRPr="00547BAD">
              <w:t xml:space="preserve"> personas x 12 mēneši = </w:t>
            </w:r>
            <w:r w:rsidR="00136412">
              <w:t>26 688</w:t>
            </w:r>
            <w:r w:rsidRPr="00547BAD">
              <w:t xml:space="preserve"> </w:t>
            </w:r>
            <w:proofErr w:type="spellStart"/>
            <w:r w:rsidR="0097464B" w:rsidRPr="00627E93">
              <w:rPr>
                <w:i/>
              </w:rPr>
              <w:t>euro</w:t>
            </w:r>
            <w:proofErr w:type="spellEnd"/>
            <w:r w:rsidRPr="00547BAD">
              <w:t>;</w:t>
            </w:r>
          </w:p>
          <w:p w:rsidR="00E12AB4" w:rsidRPr="00547BAD" w:rsidRDefault="00E12AB4" w:rsidP="00E12AB4">
            <w:pPr>
              <w:jc w:val="both"/>
            </w:pPr>
            <w:r w:rsidRPr="00547BAD">
              <w:t>*</w:t>
            </w:r>
            <w:r w:rsidR="00136412">
              <w:t>nepilngadīga persona, nepilngadīga persona bez pavadības un viens no laulātajiem</w:t>
            </w:r>
          </w:p>
          <w:p w:rsidR="00E12AB4" w:rsidRPr="00547BAD" w:rsidRDefault="00E12AB4" w:rsidP="00E12AB4">
            <w:pPr>
              <w:jc w:val="both"/>
            </w:pPr>
            <w:r w:rsidRPr="00547BAD">
              <w:t xml:space="preserve">Pabalsta apmērs 97 </w:t>
            </w:r>
            <w:proofErr w:type="spellStart"/>
            <w:r w:rsidR="0097464B" w:rsidRPr="00627E93">
              <w:rPr>
                <w:i/>
              </w:rPr>
              <w:t>euro</w:t>
            </w:r>
            <w:proofErr w:type="spellEnd"/>
            <w:r w:rsidRPr="00547BAD">
              <w:t xml:space="preserve"> x </w:t>
            </w:r>
            <w:r w:rsidR="00136412">
              <w:t>30</w:t>
            </w:r>
            <w:r w:rsidRPr="00547BAD">
              <w:t xml:space="preserve"> personas x 12 mēneši = </w:t>
            </w:r>
            <w:r w:rsidR="00136412">
              <w:t>34 920</w:t>
            </w:r>
            <w:r w:rsidRPr="00547BAD">
              <w:t xml:space="preserve"> </w:t>
            </w:r>
            <w:proofErr w:type="spellStart"/>
            <w:r w:rsidR="0097464B" w:rsidRPr="00627E93">
              <w:rPr>
                <w:i/>
              </w:rPr>
              <w:t>euro</w:t>
            </w:r>
            <w:proofErr w:type="spellEnd"/>
            <w:r w:rsidRPr="00547BAD">
              <w:t>;</w:t>
            </w:r>
          </w:p>
          <w:p w:rsidR="00E12AB4" w:rsidRPr="00FE15AA" w:rsidRDefault="00E12AB4" w:rsidP="00E12AB4">
            <w:pPr>
              <w:jc w:val="both"/>
            </w:pPr>
            <w:r w:rsidRPr="006F69E5">
              <w:lastRenderedPageBreak/>
              <w:t xml:space="preserve">2) </w:t>
            </w:r>
            <w:r w:rsidRPr="005E3B27">
              <w:t xml:space="preserve">Personām, kurām piešķirts alternatīvais statuss </w:t>
            </w:r>
            <w:r w:rsidR="00D40C7A">
              <w:t>23 742</w:t>
            </w:r>
            <w:r w:rsidRPr="005E3B27">
              <w:t xml:space="preserve"> </w:t>
            </w:r>
            <w:proofErr w:type="spellStart"/>
            <w:r w:rsidR="0097464B" w:rsidRPr="00FE15AA">
              <w:rPr>
                <w:i/>
              </w:rPr>
              <w:t>euro</w:t>
            </w:r>
            <w:proofErr w:type="spellEnd"/>
            <w:r w:rsidRPr="00FE15AA">
              <w:t>:</w:t>
            </w:r>
          </w:p>
          <w:p w:rsidR="00E12AB4" w:rsidRPr="00547BAD" w:rsidRDefault="00E12AB4" w:rsidP="00E12AB4">
            <w:pPr>
              <w:jc w:val="both"/>
            </w:pPr>
            <w:r w:rsidRPr="00547BAD">
              <w:t xml:space="preserve">Pabalsta apmērs 139 </w:t>
            </w:r>
            <w:proofErr w:type="spellStart"/>
            <w:r w:rsidR="0097464B" w:rsidRPr="00627E93">
              <w:rPr>
                <w:i/>
              </w:rPr>
              <w:t>euro</w:t>
            </w:r>
            <w:proofErr w:type="spellEnd"/>
            <w:r w:rsidRPr="00547BAD">
              <w:t xml:space="preserve"> x </w:t>
            </w:r>
            <w:r w:rsidR="00136412">
              <w:t>12</w:t>
            </w:r>
            <w:r w:rsidRPr="00547BAD">
              <w:t xml:space="preserve"> personas x 9 mēneši = </w:t>
            </w:r>
            <w:r w:rsidR="00136412">
              <w:t>15 012</w:t>
            </w:r>
            <w:r w:rsidRPr="00547BAD">
              <w:t xml:space="preserve"> </w:t>
            </w:r>
            <w:proofErr w:type="spellStart"/>
            <w:r w:rsidR="0097464B" w:rsidRPr="00627E93">
              <w:rPr>
                <w:i/>
              </w:rPr>
              <w:t>euro</w:t>
            </w:r>
            <w:proofErr w:type="spellEnd"/>
            <w:r w:rsidRPr="00547BAD">
              <w:t>;</w:t>
            </w:r>
          </w:p>
          <w:p w:rsidR="00136412" w:rsidRPr="00547BAD" w:rsidRDefault="00136412" w:rsidP="00136412">
            <w:pPr>
              <w:jc w:val="both"/>
            </w:pPr>
            <w:r w:rsidRPr="00547BAD">
              <w:t>*</w:t>
            </w:r>
            <w:r>
              <w:t>nepilngadīga persona, nepilngadīga persona bez pavadības un viens no laulātajiem</w:t>
            </w:r>
          </w:p>
          <w:p w:rsidR="00E12AB4" w:rsidRPr="00547BAD" w:rsidRDefault="00E12AB4" w:rsidP="00E12AB4">
            <w:pPr>
              <w:jc w:val="both"/>
            </w:pPr>
            <w:r w:rsidRPr="00547BAD">
              <w:t xml:space="preserve">Pabalsta apmērs 97 </w:t>
            </w:r>
            <w:proofErr w:type="spellStart"/>
            <w:r w:rsidR="0097464B" w:rsidRPr="00627E93">
              <w:rPr>
                <w:i/>
              </w:rPr>
              <w:t>euro</w:t>
            </w:r>
            <w:proofErr w:type="spellEnd"/>
            <w:r w:rsidR="0097464B" w:rsidRPr="00547BAD">
              <w:t xml:space="preserve"> </w:t>
            </w:r>
            <w:r w:rsidRPr="00547BAD">
              <w:t xml:space="preserve">x </w:t>
            </w:r>
            <w:r w:rsidR="00136412">
              <w:t>10</w:t>
            </w:r>
            <w:r w:rsidRPr="00547BAD">
              <w:t xml:space="preserve"> personas x 9 mēneši = </w:t>
            </w:r>
            <w:r w:rsidR="00136412">
              <w:t>8 730</w:t>
            </w:r>
            <w:r w:rsidRPr="00547BAD">
              <w:t xml:space="preserve"> </w:t>
            </w:r>
            <w:proofErr w:type="spellStart"/>
            <w:r w:rsidR="0097464B" w:rsidRPr="00627E93">
              <w:rPr>
                <w:i/>
              </w:rPr>
              <w:t>euro</w:t>
            </w:r>
            <w:proofErr w:type="spellEnd"/>
            <w:r w:rsidR="00EA5D76">
              <w:rPr>
                <w:i/>
              </w:rPr>
              <w:t>;</w:t>
            </w:r>
          </w:p>
          <w:p w:rsidR="00E12AB4" w:rsidRPr="00547BAD" w:rsidRDefault="00E12AB4" w:rsidP="00E12AB4">
            <w:pPr>
              <w:jc w:val="both"/>
            </w:pPr>
            <w:r w:rsidRPr="006F69E5">
              <w:t xml:space="preserve">3) </w:t>
            </w:r>
            <w:r w:rsidRPr="005E3B27">
              <w:t xml:space="preserve">Personām, kurām uzturēšanās pabalsts piešķirts līdz </w:t>
            </w:r>
            <w:proofErr w:type="gramStart"/>
            <w:r w:rsidRPr="005E3B27">
              <w:t>2015.gada</w:t>
            </w:r>
            <w:proofErr w:type="gramEnd"/>
            <w:r w:rsidRPr="005E3B27">
              <w:t xml:space="preserve"> 31.decembrim </w:t>
            </w:r>
            <w:r w:rsidR="00D40C7A">
              <w:t>15 649</w:t>
            </w:r>
            <w:r w:rsidRPr="00386151">
              <w:rPr>
                <w:u w:val="single"/>
              </w:rPr>
              <w:t xml:space="preserve"> </w:t>
            </w:r>
            <w:proofErr w:type="spellStart"/>
            <w:r w:rsidR="0097464B" w:rsidRPr="00627E93">
              <w:rPr>
                <w:i/>
              </w:rPr>
              <w:t>euro</w:t>
            </w:r>
            <w:proofErr w:type="spellEnd"/>
            <w:r w:rsidRPr="00547BAD">
              <w:t>:</w:t>
            </w:r>
          </w:p>
          <w:p w:rsidR="00E12AB4" w:rsidRPr="00547BAD" w:rsidRDefault="00E12AB4" w:rsidP="00E12AB4">
            <w:pPr>
              <w:jc w:val="both"/>
            </w:pPr>
            <w:r w:rsidRPr="00547BAD">
              <w:t xml:space="preserve">Pabalsta apmērs 256,12 </w:t>
            </w:r>
            <w:proofErr w:type="spellStart"/>
            <w:r w:rsidR="0097464B" w:rsidRPr="00627E93">
              <w:rPr>
                <w:i/>
              </w:rPr>
              <w:t>euro</w:t>
            </w:r>
            <w:proofErr w:type="spellEnd"/>
            <w:r w:rsidRPr="00547BAD">
              <w:t xml:space="preserve"> x </w:t>
            </w:r>
            <w:r w:rsidR="00136412">
              <w:t>7</w:t>
            </w:r>
            <w:r w:rsidRPr="00547BAD">
              <w:t xml:space="preserve"> personas x 1 mēnesis = </w:t>
            </w:r>
            <w:r w:rsidR="00136412">
              <w:t>1 793</w:t>
            </w:r>
            <w:r w:rsidRPr="00547BAD">
              <w:t xml:space="preserve"> </w:t>
            </w:r>
            <w:proofErr w:type="spellStart"/>
            <w:r w:rsidR="0097464B" w:rsidRPr="00627E93">
              <w:rPr>
                <w:i/>
              </w:rPr>
              <w:t>euro</w:t>
            </w:r>
            <w:proofErr w:type="spellEnd"/>
            <w:r w:rsidRPr="00547BAD">
              <w:t>;</w:t>
            </w:r>
          </w:p>
          <w:p w:rsidR="00E12AB4" w:rsidRPr="00547BAD" w:rsidRDefault="00E12AB4" w:rsidP="00E12AB4">
            <w:pPr>
              <w:jc w:val="both"/>
            </w:pPr>
            <w:r w:rsidRPr="00547BAD">
              <w:t xml:space="preserve">Pabalsta apmērs 256,12 </w:t>
            </w:r>
            <w:proofErr w:type="spellStart"/>
            <w:r w:rsidR="0097464B" w:rsidRPr="00627E93">
              <w:rPr>
                <w:i/>
              </w:rPr>
              <w:t>euro</w:t>
            </w:r>
            <w:proofErr w:type="spellEnd"/>
            <w:r w:rsidRPr="00547BAD">
              <w:t xml:space="preserve"> x </w:t>
            </w:r>
            <w:r w:rsidR="00D40C7A">
              <w:t>2</w:t>
            </w:r>
            <w:r w:rsidRPr="00547BAD">
              <w:t xml:space="preserve"> personas x 2 mēneši = 1 024 </w:t>
            </w:r>
            <w:proofErr w:type="spellStart"/>
            <w:r w:rsidR="0097464B" w:rsidRPr="00627E93">
              <w:rPr>
                <w:i/>
              </w:rPr>
              <w:t>euro</w:t>
            </w:r>
            <w:proofErr w:type="spellEnd"/>
            <w:r w:rsidRPr="00547BAD">
              <w:t>;</w:t>
            </w:r>
          </w:p>
          <w:p w:rsidR="00E12AB4" w:rsidRPr="00547BAD" w:rsidRDefault="00E12AB4" w:rsidP="00E12AB4">
            <w:pPr>
              <w:jc w:val="both"/>
            </w:pPr>
            <w:r w:rsidRPr="00547BAD">
              <w:t xml:space="preserve">Pabalsta apmērs 256,12 </w:t>
            </w:r>
            <w:proofErr w:type="spellStart"/>
            <w:r w:rsidR="0097464B" w:rsidRPr="00627E93">
              <w:rPr>
                <w:i/>
              </w:rPr>
              <w:t>euro</w:t>
            </w:r>
            <w:proofErr w:type="spellEnd"/>
            <w:r w:rsidR="0097464B" w:rsidRPr="00547BAD">
              <w:t xml:space="preserve"> </w:t>
            </w:r>
            <w:r w:rsidRPr="00547BAD">
              <w:t xml:space="preserve">x </w:t>
            </w:r>
            <w:r w:rsidR="00D40C7A">
              <w:t>3</w:t>
            </w:r>
            <w:r w:rsidRPr="00547BAD">
              <w:t xml:space="preserve"> personas x 3 mēneši = </w:t>
            </w:r>
            <w:r w:rsidR="00D40C7A">
              <w:t>2 305</w:t>
            </w:r>
            <w:r w:rsidRPr="00547BAD">
              <w:t xml:space="preserve"> </w:t>
            </w:r>
            <w:proofErr w:type="spellStart"/>
            <w:r w:rsidR="0097464B" w:rsidRPr="00627E93">
              <w:rPr>
                <w:i/>
              </w:rPr>
              <w:t>euro</w:t>
            </w:r>
            <w:proofErr w:type="spellEnd"/>
            <w:r w:rsidRPr="00547BAD">
              <w:t>;</w:t>
            </w:r>
          </w:p>
          <w:p w:rsidR="00E12AB4" w:rsidRDefault="00E12AB4" w:rsidP="00E12AB4">
            <w:pPr>
              <w:jc w:val="both"/>
            </w:pPr>
            <w:r w:rsidRPr="00547BAD">
              <w:t xml:space="preserve">Pabalsta apmērs 256,12 </w:t>
            </w:r>
            <w:proofErr w:type="spellStart"/>
            <w:r w:rsidR="0097464B" w:rsidRPr="00627E93">
              <w:rPr>
                <w:i/>
              </w:rPr>
              <w:t>euro</w:t>
            </w:r>
            <w:proofErr w:type="spellEnd"/>
            <w:r w:rsidR="0097464B" w:rsidRPr="00547BAD">
              <w:t xml:space="preserve"> </w:t>
            </w:r>
            <w:r w:rsidRPr="00547BAD">
              <w:t xml:space="preserve">x </w:t>
            </w:r>
            <w:r w:rsidR="00D40C7A">
              <w:t>5</w:t>
            </w:r>
            <w:r w:rsidRPr="00547BAD">
              <w:t xml:space="preserve"> personas x 6 mēneši = </w:t>
            </w:r>
            <w:r w:rsidR="00D40C7A">
              <w:t>7 684</w:t>
            </w:r>
            <w:r w:rsidRPr="00547BAD">
              <w:t xml:space="preserve"> </w:t>
            </w:r>
            <w:proofErr w:type="spellStart"/>
            <w:r w:rsidR="0097464B" w:rsidRPr="00627E93">
              <w:rPr>
                <w:i/>
              </w:rPr>
              <w:t>euro</w:t>
            </w:r>
            <w:proofErr w:type="spellEnd"/>
            <w:r w:rsidRPr="00547BAD">
              <w:t>;</w:t>
            </w:r>
          </w:p>
          <w:p w:rsidR="00D40C7A" w:rsidRPr="00547BAD" w:rsidRDefault="00D40C7A" w:rsidP="00E12AB4">
            <w:pPr>
              <w:jc w:val="both"/>
            </w:pPr>
            <w:r w:rsidRPr="00547BAD">
              <w:t xml:space="preserve">Pabalsta apmērs 76,84 </w:t>
            </w:r>
            <w:proofErr w:type="spellStart"/>
            <w:r w:rsidRPr="00627E93">
              <w:rPr>
                <w:i/>
              </w:rPr>
              <w:t>euro</w:t>
            </w:r>
            <w:proofErr w:type="spellEnd"/>
            <w:r w:rsidRPr="00547BAD">
              <w:t xml:space="preserve"> x </w:t>
            </w:r>
            <w:r>
              <w:t>1</w:t>
            </w:r>
            <w:r w:rsidRPr="00547BAD">
              <w:t xml:space="preserve"> personas x </w:t>
            </w:r>
            <w:r>
              <w:t>1</w:t>
            </w:r>
            <w:r w:rsidRPr="00547BAD">
              <w:t xml:space="preserve"> mēneši = </w:t>
            </w:r>
            <w:r>
              <w:t>77</w:t>
            </w:r>
            <w:r w:rsidRPr="00547BAD">
              <w:t xml:space="preserve"> </w:t>
            </w:r>
            <w:proofErr w:type="spellStart"/>
            <w:r w:rsidRPr="00627E93">
              <w:rPr>
                <w:i/>
              </w:rPr>
              <w:t>euro</w:t>
            </w:r>
            <w:proofErr w:type="spellEnd"/>
            <w:r w:rsidRPr="00547BAD">
              <w:t>;</w:t>
            </w:r>
          </w:p>
          <w:p w:rsidR="00E12AB4" w:rsidRPr="00547BAD" w:rsidRDefault="00E12AB4" w:rsidP="00E12AB4">
            <w:pPr>
              <w:jc w:val="both"/>
            </w:pPr>
            <w:r w:rsidRPr="00547BAD">
              <w:t xml:space="preserve">Pabalsta apmērs 76,84 </w:t>
            </w:r>
            <w:proofErr w:type="spellStart"/>
            <w:r w:rsidR="0097464B" w:rsidRPr="00627E93">
              <w:rPr>
                <w:i/>
              </w:rPr>
              <w:t>euro</w:t>
            </w:r>
            <w:proofErr w:type="spellEnd"/>
            <w:r w:rsidRPr="00547BAD">
              <w:t xml:space="preserve"> x </w:t>
            </w:r>
            <w:r w:rsidR="00D40C7A">
              <w:t>3</w:t>
            </w:r>
            <w:r w:rsidRPr="00547BAD">
              <w:t xml:space="preserve"> personas x 2 mēneši = </w:t>
            </w:r>
            <w:r w:rsidR="00D40C7A">
              <w:t>461</w:t>
            </w:r>
            <w:r w:rsidRPr="00547BAD">
              <w:t xml:space="preserve"> </w:t>
            </w:r>
            <w:proofErr w:type="spellStart"/>
            <w:r w:rsidR="0097464B" w:rsidRPr="00627E93">
              <w:rPr>
                <w:i/>
              </w:rPr>
              <w:t>euro</w:t>
            </w:r>
            <w:proofErr w:type="spellEnd"/>
            <w:r w:rsidRPr="00547BAD">
              <w:t>;</w:t>
            </w:r>
          </w:p>
          <w:p w:rsidR="00E12AB4" w:rsidRPr="00547BAD" w:rsidRDefault="00E12AB4" w:rsidP="00E12AB4">
            <w:pPr>
              <w:jc w:val="both"/>
            </w:pPr>
            <w:r w:rsidRPr="00547BAD">
              <w:t xml:space="preserve">Pabalsta apmērs 76,84 </w:t>
            </w:r>
            <w:proofErr w:type="spellStart"/>
            <w:r w:rsidR="0097464B" w:rsidRPr="00627E93">
              <w:rPr>
                <w:i/>
              </w:rPr>
              <w:t>euro</w:t>
            </w:r>
            <w:proofErr w:type="spellEnd"/>
            <w:r w:rsidRPr="00547BAD">
              <w:t xml:space="preserve"> x 5 personas x 6 mēneši = 2 306 </w:t>
            </w:r>
            <w:proofErr w:type="spellStart"/>
            <w:r w:rsidR="0097464B" w:rsidRPr="00627E93">
              <w:rPr>
                <w:i/>
              </w:rPr>
              <w:t>euro</w:t>
            </w:r>
            <w:proofErr w:type="spellEnd"/>
            <w:r w:rsidRPr="00547BAD">
              <w:t>.</w:t>
            </w:r>
          </w:p>
          <w:p w:rsidR="00E12AB4" w:rsidRPr="002C6834" w:rsidRDefault="00E12AB4" w:rsidP="00E12AB4">
            <w:pPr>
              <w:jc w:val="both"/>
            </w:pPr>
            <w:proofErr w:type="gramStart"/>
            <w:r w:rsidRPr="002C6834">
              <w:rPr>
                <w:b/>
              </w:rPr>
              <w:t>2017.gadā</w:t>
            </w:r>
            <w:proofErr w:type="gramEnd"/>
            <w:r w:rsidRPr="002C6834">
              <w:rPr>
                <w:b/>
              </w:rPr>
              <w:t xml:space="preserve"> un turpmāk ik gadu </w:t>
            </w:r>
            <w:r w:rsidR="000A0860">
              <w:rPr>
                <w:b/>
              </w:rPr>
              <w:t xml:space="preserve">– </w:t>
            </w:r>
            <w:r w:rsidR="00161254">
              <w:rPr>
                <w:b/>
              </w:rPr>
              <w:t>100 955</w:t>
            </w:r>
            <w:r w:rsidRPr="002C6834">
              <w:rPr>
                <w:b/>
              </w:rPr>
              <w:t xml:space="preserve"> </w:t>
            </w:r>
            <w:proofErr w:type="spellStart"/>
            <w:r w:rsidR="000A0860" w:rsidRPr="005E3B27">
              <w:rPr>
                <w:b/>
                <w:i/>
              </w:rPr>
              <w:t>euro</w:t>
            </w:r>
            <w:proofErr w:type="spellEnd"/>
            <w:r w:rsidR="00EA5D76">
              <w:rPr>
                <w:b/>
                <w:i/>
              </w:rPr>
              <w:t>:</w:t>
            </w:r>
          </w:p>
          <w:p w:rsidR="00E12AB4" w:rsidRPr="00FE15AA" w:rsidRDefault="00E12AB4" w:rsidP="00E12AB4">
            <w:pPr>
              <w:jc w:val="both"/>
            </w:pPr>
            <w:r w:rsidRPr="006F69E5">
              <w:t xml:space="preserve">1) </w:t>
            </w:r>
            <w:r w:rsidRPr="005E3B27">
              <w:t xml:space="preserve">Personām, kurām piešķirts bēgļa statuss </w:t>
            </w:r>
            <w:r w:rsidR="00D40C7A">
              <w:t>61 608</w:t>
            </w:r>
            <w:r w:rsidRPr="005E3B27">
              <w:t xml:space="preserve"> </w:t>
            </w:r>
            <w:proofErr w:type="spellStart"/>
            <w:r w:rsidR="0097464B" w:rsidRPr="00FE15AA">
              <w:rPr>
                <w:i/>
              </w:rPr>
              <w:t>euro</w:t>
            </w:r>
            <w:proofErr w:type="spellEnd"/>
            <w:r w:rsidRPr="00FE15AA">
              <w:t>:</w:t>
            </w:r>
          </w:p>
          <w:p w:rsidR="00E12AB4" w:rsidRPr="00547BAD" w:rsidRDefault="00E12AB4" w:rsidP="00E12AB4">
            <w:pPr>
              <w:jc w:val="both"/>
            </w:pPr>
            <w:r w:rsidRPr="00547BAD">
              <w:t xml:space="preserve">Pabalsta apmērs 139 </w:t>
            </w:r>
            <w:proofErr w:type="spellStart"/>
            <w:r w:rsidR="0097464B" w:rsidRPr="00627E93">
              <w:rPr>
                <w:i/>
              </w:rPr>
              <w:t>euro</w:t>
            </w:r>
            <w:proofErr w:type="spellEnd"/>
            <w:r w:rsidRPr="00547BAD">
              <w:t xml:space="preserve"> x </w:t>
            </w:r>
            <w:r w:rsidR="00D40C7A">
              <w:t>16</w:t>
            </w:r>
            <w:r w:rsidRPr="00547BAD">
              <w:t xml:space="preserve"> personas x 12 mēneši = </w:t>
            </w:r>
            <w:r w:rsidR="00D40C7A">
              <w:t>26 688</w:t>
            </w:r>
            <w:r w:rsidRPr="00547BAD">
              <w:t xml:space="preserve"> </w:t>
            </w:r>
            <w:proofErr w:type="spellStart"/>
            <w:r w:rsidR="0097464B" w:rsidRPr="00627E93">
              <w:rPr>
                <w:i/>
              </w:rPr>
              <w:t>euro</w:t>
            </w:r>
            <w:proofErr w:type="spellEnd"/>
            <w:r w:rsidRPr="00547BAD">
              <w:t>;</w:t>
            </w:r>
          </w:p>
          <w:p w:rsidR="00D40C7A" w:rsidRPr="00547BAD" w:rsidRDefault="00D40C7A" w:rsidP="00D40C7A">
            <w:pPr>
              <w:jc w:val="both"/>
            </w:pPr>
            <w:r w:rsidRPr="00547BAD">
              <w:t>*</w:t>
            </w:r>
            <w:r>
              <w:t>nepilngadīga persona, nepilngadīga persona bez pavadības un viens no laulātajiem</w:t>
            </w:r>
          </w:p>
          <w:p w:rsidR="00E12AB4" w:rsidRPr="00547BAD" w:rsidRDefault="00E12AB4" w:rsidP="00E12AB4">
            <w:pPr>
              <w:jc w:val="both"/>
            </w:pPr>
            <w:r w:rsidRPr="00547BAD">
              <w:t xml:space="preserve">Pabalsta apmērs 97 </w:t>
            </w:r>
            <w:proofErr w:type="spellStart"/>
            <w:r w:rsidR="0097464B" w:rsidRPr="00627E93">
              <w:rPr>
                <w:i/>
              </w:rPr>
              <w:t>euro</w:t>
            </w:r>
            <w:proofErr w:type="spellEnd"/>
            <w:r w:rsidRPr="00547BAD">
              <w:t xml:space="preserve"> x </w:t>
            </w:r>
            <w:r w:rsidR="00D40C7A">
              <w:t>30</w:t>
            </w:r>
            <w:r w:rsidRPr="00547BAD">
              <w:t xml:space="preserve"> personas x 12 mēneši = </w:t>
            </w:r>
            <w:r w:rsidR="00D40C7A">
              <w:t>34 920</w:t>
            </w:r>
            <w:r w:rsidRPr="00547BAD">
              <w:t xml:space="preserve"> </w:t>
            </w:r>
            <w:proofErr w:type="spellStart"/>
            <w:r w:rsidR="0097464B" w:rsidRPr="00627E93">
              <w:rPr>
                <w:i/>
              </w:rPr>
              <w:t>euro</w:t>
            </w:r>
            <w:proofErr w:type="spellEnd"/>
            <w:r w:rsidRPr="00547BAD">
              <w:t>;</w:t>
            </w:r>
          </w:p>
          <w:p w:rsidR="001B284B" w:rsidRPr="00FE15AA" w:rsidRDefault="00E12AB4" w:rsidP="00E12AB4">
            <w:pPr>
              <w:jc w:val="both"/>
            </w:pPr>
            <w:r w:rsidRPr="00FE15AA">
              <w:t xml:space="preserve">2) </w:t>
            </w:r>
            <w:r w:rsidRPr="005E3B27">
              <w:t xml:space="preserve">Personām, kurām piešķirts alternatīvais statuss </w:t>
            </w:r>
            <w:r w:rsidR="001B284B">
              <w:t>39 361</w:t>
            </w:r>
            <w:r w:rsidRPr="005E3B27">
              <w:t xml:space="preserve"> </w:t>
            </w:r>
            <w:proofErr w:type="spellStart"/>
            <w:r w:rsidR="0097464B" w:rsidRPr="00FE15AA">
              <w:rPr>
                <w:i/>
              </w:rPr>
              <w:t>euro</w:t>
            </w:r>
            <w:proofErr w:type="spellEnd"/>
            <w:r w:rsidRPr="00FE15AA">
              <w:t>:</w:t>
            </w:r>
          </w:p>
          <w:p w:rsidR="00E12AB4" w:rsidRDefault="00E12AB4" w:rsidP="00E12AB4">
            <w:pPr>
              <w:jc w:val="both"/>
            </w:pPr>
            <w:r w:rsidRPr="00547BAD">
              <w:t xml:space="preserve">Pabalsta apmērs 139 </w:t>
            </w:r>
            <w:proofErr w:type="spellStart"/>
            <w:r w:rsidR="0097464B" w:rsidRPr="00627E93">
              <w:rPr>
                <w:i/>
              </w:rPr>
              <w:t>euro</w:t>
            </w:r>
            <w:proofErr w:type="spellEnd"/>
            <w:r w:rsidRPr="00547BAD">
              <w:t xml:space="preserve"> x </w:t>
            </w:r>
            <w:r w:rsidR="00D40C7A">
              <w:t>16</w:t>
            </w:r>
            <w:r w:rsidRPr="00547BAD">
              <w:t xml:space="preserve"> personas x 9 mēneši = </w:t>
            </w:r>
            <w:r w:rsidR="00D40C7A">
              <w:t>20 016</w:t>
            </w:r>
            <w:r w:rsidRPr="00547BAD">
              <w:t xml:space="preserve"> </w:t>
            </w:r>
            <w:proofErr w:type="spellStart"/>
            <w:r w:rsidR="0097464B" w:rsidRPr="00627E93">
              <w:rPr>
                <w:i/>
              </w:rPr>
              <w:t>euro</w:t>
            </w:r>
            <w:proofErr w:type="spellEnd"/>
            <w:r w:rsidRPr="00547BAD">
              <w:t>;</w:t>
            </w:r>
          </w:p>
          <w:p w:rsidR="001B284B" w:rsidRPr="00547BAD" w:rsidRDefault="001B284B" w:rsidP="00E12AB4">
            <w:pPr>
              <w:jc w:val="both"/>
            </w:pPr>
            <w:r w:rsidRPr="00547BAD">
              <w:t>Pabalsta apmērs</w:t>
            </w:r>
            <w:r>
              <w:t xml:space="preserve"> 139 </w:t>
            </w:r>
            <w:proofErr w:type="spellStart"/>
            <w:r w:rsidRPr="00627E93">
              <w:rPr>
                <w:i/>
              </w:rPr>
              <w:t>euro</w:t>
            </w:r>
            <w:proofErr w:type="spellEnd"/>
            <w:r>
              <w:t xml:space="preserve"> x 1 personas x 1 mēnesis</w:t>
            </w:r>
            <w:r w:rsidRPr="00547BAD">
              <w:t xml:space="preserve"> = </w:t>
            </w:r>
            <w:r>
              <w:t>139</w:t>
            </w:r>
            <w:r w:rsidRPr="00547BAD">
              <w:t xml:space="preserve"> </w:t>
            </w:r>
            <w:proofErr w:type="spellStart"/>
            <w:r w:rsidRPr="00627E93">
              <w:rPr>
                <w:i/>
              </w:rPr>
              <w:t>euro</w:t>
            </w:r>
            <w:proofErr w:type="spellEnd"/>
            <w:r w:rsidRPr="00547BAD">
              <w:t>;</w:t>
            </w:r>
          </w:p>
          <w:p w:rsidR="001B284B" w:rsidRPr="00547BAD" w:rsidRDefault="001B284B" w:rsidP="001B284B">
            <w:pPr>
              <w:jc w:val="both"/>
            </w:pPr>
            <w:r w:rsidRPr="00547BAD">
              <w:t>*</w:t>
            </w:r>
            <w:r>
              <w:t>nepilngadīga persona, nepilngadīga persona bez pavadības un viens no laulātajiem</w:t>
            </w:r>
          </w:p>
          <w:p w:rsidR="00E12AB4" w:rsidRPr="00547BAD" w:rsidRDefault="00E12AB4" w:rsidP="0097464B">
            <w:pPr>
              <w:jc w:val="both"/>
            </w:pPr>
            <w:r w:rsidRPr="00547BAD">
              <w:t xml:space="preserve">Pabalsta apmērs 97 </w:t>
            </w:r>
            <w:proofErr w:type="spellStart"/>
            <w:r w:rsidR="0097464B" w:rsidRPr="00627E93">
              <w:rPr>
                <w:i/>
              </w:rPr>
              <w:t>euro</w:t>
            </w:r>
            <w:proofErr w:type="spellEnd"/>
            <w:r w:rsidRPr="00547BAD">
              <w:t xml:space="preserve"> x </w:t>
            </w:r>
            <w:r w:rsidR="001B284B">
              <w:t>22</w:t>
            </w:r>
            <w:r w:rsidRPr="00547BAD">
              <w:t xml:space="preserve"> personas x 9 mēneši = </w:t>
            </w:r>
            <w:r w:rsidR="001B284B">
              <w:t>19 206</w:t>
            </w:r>
            <w:r w:rsidRPr="00547BAD">
              <w:t xml:space="preserve"> </w:t>
            </w:r>
            <w:proofErr w:type="spellStart"/>
            <w:r w:rsidR="0097464B" w:rsidRPr="00627E93">
              <w:rPr>
                <w:i/>
              </w:rPr>
              <w:t>euro</w:t>
            </w:r>
            <w:proofErr w:type="spellEnd"/>
            <w:r w:rsidR="001B284B">
              <w:t>.</w:t>
            </w:r>
          </w:p>
        </w:tc>
      </w:tr>
      <w:tr w:rsidR="00E12AB4" w:rsidRPr="00F34FB7" w:rsidTr="005E3B27">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lastRenderedPageBreak/>
              <w:t>6.1. detalizēts ieņēmumu aprēķins</w:t>
            </w:r>
          </w:p>
        </w:tc>
        <w:tc>
          <w:tcPr>
            <w:tcW w:w="4104" w:type="pct"/>
            <w:gridSpan w:val="5"/>
            <w:vMerge/>
            <w:tcBorders>
              <w:top w:val="outset" w:sz="6" w:space="0" w:color="auto"/>
              <w:left w:val="outset" w:sz="6" w:space="0" w:color="auto"/>
              <w:bottom w:val="outset" w:sz="6" w:space="0" w:color="auto"/>
              <w:right w:val="outset" w:sz="6" w:space="0" w:color="auto"/>
            </w:tcBorders>
            <w:vAlign w:val="center"/>
            <w:hideMark/>
          </w:tcPr>
          <w:p w:rsidR="00E12AB4" w:rsidRPr="00547BAD" w:rsidRDefault="00E12AB4" w:rsidP="00E12AB4"/>
        </w:tc>
      </w:tr>
      <w:tr w:rsidR="00E12AB4" w:rsidRPr="00F34FB7" w:rsidTr="005E3B27">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lastRenderedPageBreak/>
              <w:t>6.2. detalizēts izdevumu aprēķins</w:t>
            </w:r>
          </w:p>
        </w:tc>
        <w:tc>
          <w:tcPr>
            <w:tcW w:w="4104" w:type="pct"/>
            <w:gridSpan w:val="5"/>
            <w:vMerge/>
            <w:tcBorders>
              <w:top w:val="outset" w:sz="6" w:space="0" w:color="auto"/>
              <w:left w:val="outset" w:sz="6" w:space="0" w:color="auto"/>
              <w:bottom w:val="outset" w:sz="6" w:space="0" w:color="auto"/>
              <w:right w:val="outset" w:sz="6" w:space="0" w:color="auto"/>
            </w:tcBorders>
            <w:vAlign w:val="center"/>
            <w:hideMark/>
          </w:tcPr>
          <w:p w:rsidR="00E12AB4" w:rsidRPr="00547BAD" w:rsidRDefault="00E12AB4" w:rsidP="00E12AB4"/>
        </w:tc>
      </w:tr>
      <w:tr w:rsidR="00E12AB4" w:rsidRPr="009A70F2" w:rsidTr="005E3B27">
        <w:trPr>
          <w:trHeight w:val="555"/>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12AB4" w:rsidRPr="00547BAD" w:rsidRDefault="00E12AB4" w:rsidP="00E12AB4">
            <w:r w:rsidRPr="00547BAD">
              <w:lastRenderedPageBreak/>
              <w:t>7. Cita informācija</w:t>
            </w:r>
          </w:p>
        </w:tc>
        <w:tc>
          <w:tcPr>
            <w:tcW w:w="4104" w:type="pct"/>
            <w:gridSpan w:val="5"/>
            <w:tcBorders>
              <w:top w:val="outset" w:sz="6" w:space="0" w:color="auto"/>
              <w:left w:val="outset" w:sz="6" w:space="0" w:color="auto"/>
              <w:bottom w:val="outset" w:sz="6" w:space="0" w:color="auto"/>
              <w:right w:val="outset" w:sz="6" w:space="0" w:color="auto"/>
            </w:tcBorders>
            <w:hideMark/>
          </w:tcPr>
          <w:p w:rsidR="00E12AB4" w:rsidRPr="004325C1" w:rsidRDefault="00E12AB4" w:rsidP="001B284B">
            <w:pPr>
              <w:pStyle w:val="Heading1"/>
              <w:spacing w:before="0"/>
              <w:jc w:val="both"/>
              <w:rPr>
                <w:rStyle w:val="Emphasis"/>
                <w:i w:val="0"/>
                <w:iCs w:val="0"/>
                <w:color w:val="414142"/>
                <w:sz w:val="20"/>
                <w:szCs w:val="20"/>
              </w:rPr>
            </w:pPr>
            <w:r w:rsidRPr="004325C1">
              <w:rPr>
                <w:rStyle w:val="Emphasis"/>
                <w:rFonts w:ascii="Times New Roman" w:hAnsi="Times New Roman" w:cs="Times New Roman"/>
                <w:i w:val="0"/>
                <w:iCs w:val="0"/>
                <w:color w:val="000000" w:themeColor="text1"/>
                <w:sz w:val="24"/>
                <w:szCs w:val="24"/>
              </w:rPr>
              <w:t xml:space="preserve">Jautājumu par papildu nepieciešamo finansējumu Rīcības plānā paredzēto pasākumu turpināšanai </w:t>
            </w:r>
            <w:proofErr w:type="gramStart"/>
            <w:r w:rsidRPr="004325C1">
              <w:rPr>
                <w:rStyle w:val="Emphasis"/>
                <w:rFonts w:ascii="Times New Roman" w:hAnsi="Times New Roman" w:cs="Times New Roman"/>
                <w:i w:val="0"/>
                <w:iCs w:val="0"/>
                <w:color w:val="000000" w:themeColor="text1"/>
                <w:sz w:val="24"/>
                <w:szCs w:val="24"/>
              </w:rPr>
              <w:t>2018.gadam</w:t>
            </w:r>
            <w:proofErr w:type="gramEnd"/>
            <w:r w:rsidRPr="004325C1">
              <w:rPr>
                <w:rStyle w:val="Emphasis"/>
                <w:rFonts w:ascii="Times New Roman" w:hAnsi="Times New Roman" w:cs="Times New Roman"/>
                <w:i w:val="0"/>
                <w:iCs w:val="0"/>
                <w:color w:val="000000" w:themeColor="text1"/>
                <w:sz w:val="24"/>
                <w:szCs w:val="24"/>
              </w:rPr>
              <w:t xml:space="preserve"> un turpmākajiem gadiem skatāmi Ministru kabinetā kārtējā gada valsts budžeta likumprojekta un vidēja termiņa budžeta ietvara likumprojekta sagatavošanas un izskatīšanas procesā</w:t>
            </w:r>
            <w:r>
              <w:rPr>
                <w:rStyle w:val="Emphasis"/>
                <w:rFonts w:ascii="Times New Roman" w:hAnsi="Times New Roman" w:cs="Times New Roman"/>
                <w:i w:val="0"/>
                <w:iCs w:val="0"/>
                <w:color w:val="000000" w:themeColor="text1"/>
                <w:sz w:val="24"/>
                <w:szCs w:val="24"/>
              </w:rPr>
              <w:t>,</w:t>
            </w:r>
            <w:r w:rsidRPr="004325C1">
              <w:rPr>
                <w:rStyle w:val="Emphasis"/>
                <w:rFonts w:ascii="Times New Roman" w:hAnsi="Times New Roman" w:cs="Times New Roman"/>
                <w:i w:val="0"/>
                <w:iCs w:val="0"/>
                <w:color w:val="000000" w:themeColor="text1"/>
                <w:sz w:val="24"/>
                <w:szCs w:val="24"/>
              </w:rPr>
              <w:t xml:space="preserve"> atbilstoši </w:t>
            </w:r>
            <w:r w:rsidRPr="004E1F71">
              <w:rPr>
                <w:rFonts w:ascii="Times New Roman" w:hAnsi="Times New Roman" w:cs="Times New Roman"/>
                <w:bCs/>
                <w:color w:val="auto"/>
                <w:sz w:val="24"/>
                <w:szCs w:val="24"/>
              </w:rPr>
              <w:t xml:space="preserve">Ministru kabineta </w:t>
            </w:r>
            <w:r>
              <w:rPr>
                <w:rFonts w:ascii="Times New Roman" w:hAnsi="Times New Roman" w:cs="Times New Roman"/>
                <w:bCs/>
                <w:color w:val="auto"/>
                <w:sz w:val="24"/>
                <w:szCs w:val="24"/>
              </w:rPr>
              <w:t>2015.gada 3.novembra sēdes</w:t>
            </w:r>
            <w:r w:rsidRPr="004E1F71">
              <w:rPr>
                <w:rFonts w:ascii="Times New Roman" w:hAnsi="Times New Roman" w:cs="Times New Roman"/>
                <w:bCs/>
                <w:color w:val="auto"/>
                <w:sz w:val="24"/>
                <w:szCs w:val="24"/>
              </w:rPr>
              <w:t xml:space="preserve"> protoko</w:t>
            </w:r>
            <w:r>
              <w:rPr>
                <w:rFonts w:ascii="Times New Roman" w:hAnsi="Times New Roman" w:cs="Times New Roman"/>
                <w:bCs/>
                <w:color w:val="auto"/>
                <w:sz w:val="24"/>
                <w:szCs w:val="24"/>
              </w:rPr>
              <w:t>la N</w:t>
            </w:r>
            <w:r w:rsidRPr="004E1F71">
              <w:rPr>
                <w:rFonts w:ascii="Times New Roman" w:hAnsi="Times New Roman" w:cs="Times New Roman"/>
                <w:bCs/>
                <w:color w:val="auto"/>
                <w:sz w:val="24"/>
                <w:szCs w:val="24"/>
              </w:rPr>
              <w:t xml:space="preserve">r.57 </w:t>
            </w:r>
            <w:r w:rsidRPr="004E1F71">
              <w:rPr>
                <w:rFonts w:ascii="Times New Roman" w:hAnsi="Times New Roman" w:cs="Times New Roman"/>
                <w:color w:val="auto"/>
                <w:sz w:val="24"/>
                <w:szCs w:val="24"/>
              </w:rPr>
              <w:t>58.§</w:t>
            </w:r>
            <w:r w:rsidRPr="004E1F71">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Rīkojuma projekts </w:t>
            </w:r>
            <w:r w:rsidR="00320C46">
              <w:rPr>
                <w:rFonts w:ascii="Times New Roman" w:hAnsi="Times New Roman" w:cs="Times New Roman"/>
                <w:bCs/>
                <w:color w:val="000000" w:themeColor="text1"/>
                <w:sz w:val="24"/>
                <w:szCs w:val="24"/>
              </w:rPr>
              <w:t>“</w:t>
            </w:r>
            <w:r w:rsidRPr="004325C1">
              <w:rPr>
                <w:rFonts w:ascii="Times New Roman" w:hAnsi="Times New Roman" w:cs="Times New Roman"/>
                <w:bCs/>
                <w:color w:val="000000" w:themeColor="text1"/>
                <w:sz w:val="24"/>
                <w:szCs w:val="24"/>
              </w:rPr>
              <w:t>Rīcības plāns personu, kurām nepieciešama starptautiskā aizsardzība, pārvietošanai un uzņemšanai Latvijā</w:t>
            </w:r>
            <w:r w:rsidR="00320C4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11.punktam.</w:t>
            </w:r>
          </w:p>
        </w:tc>
      </w:tr>
    </w:tbl>
    <w:p w:rsidR="003D6856" w:rsidRPr="009C479E" w:rsidRDefault="008F4F83" w:rsidP="009570F8">
      <w:pPr>
        <w:spacing w:before="100" w:beforeAutospacing="1" w:after="100" w:afterAutospacing="1" w:line="360" w:lineRule="auto"/>
        <w:rPr>
          <w:color w:val="FF0000"/>
        </w:rPr>
      </w:pPr>
      <w:r w:rsidRPr="009C479E">
        <w:rPr>
          <w:color w:val="FF0000"/>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1"/>
        <w:gridCol w:w="2606"/>
        <w:gridCol w:w="5593"/>
      </w:tblGrid>
      <w:tr w:rsidR="003D6856" w:rsidRPr="00FA599F" w:rsidTr="002128E7">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856" w:rsidRPr="00FA599F" w:rsidRDefault="003D6856" w:rsidP="002128E7">
            <w:pPr>
              <w:spacing w:before="100" w:beforeAutospacing="1" w:after="100" w:afterAutospacing="1" w:line="360" w:lineRule="auto"/>
              <w:jc w:val="center"/>
              <w:rPr>
                <w:b/>
                <w:bCs/>
              </w:rPr>
            </w:pPr>
            <w:r w:rsidRPr="00FA599F">
              <w:rPr>
                <w:b/>
                <w:bCs/>
              </w:rPr>
              <w:t>VI. Sabiedrības līdzdalība un komunikācijas aktivitātes</w:t>
            </w:r>
          </w:p>
        </w:tc>
      </w:tr>
      <w:tr w:rsidR="003D6856" w:rsidRPr="005B3C0A" w:rsidTr="002128E7">
        <w:trPr>
          <w:trHeight w:val="54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3D6856" w:rsidRPr="005B3C0A" w:rsidRDefault="003D6856" w:rsidP="002128E7">
            <w:r w:rsidRPr="005B3C0A">
              <w:t>1.</w:t>
            </w:r>
          </w:p>
        </w:tc>
        <w:tc>
          <w:tcPr>
            <w:tcW w:w="1489" w:type="pct"/>
            <w:tcBorders>
              <w:top w:val="outset" w:sz="6" w:space="0" w:color="auto"/>
              <w:left w:val="outset" w:sz="6" w:space="0" w:color="auto"/>
              <w:bottom w:val="outset" w:sz="6" w:space="0" w:color="auto"/>
              <w:right w:val="outset" w:sz="6" w:space="0" w:color="auto"/>
            </w:tcBorders>
            <w:hideMark/>
          </w:tcPr>
          <w:p w:rsidR="003D6856" w:rsidRPr="005B3C0A" w:rsidRDefault="003D6856" w:rsidP="002128E7">
            <w:r w:rsidRPr="005B3C0A">
              <w:t>Plānotās sabiedrības līdzdalības un komunikācijas aktivitātes saistībā ar projektu</w:t>
            </w:r>
          </w:p>
        </w:tc>
        <w:tc>
          <w:tcPr>
            <w:tcW w:w="3206" w:type="pct"/>
            <w:tcBorders>
              <w:top w:val="outset" w:sz="6" w:space="0" w:color="auto"/>
              <w:left w:val="outset" w:sz="6" w:space="0" w:color="auto"/>
              <w:bottom w:val="outset" w:sz="6" w:space="0" w:color="auto"/>
              <w:right w:val="outset" w:sz="6" w:space="0" w:color="auto"/>
            </w:tcBorders>
            <w:hideMark/>
          </w:tcPr>
          <w:p w:rsidR="003D6856" w:rsidRPr="005B3C0A" w:rsidRDefault="00941BF6" w:rsidP="00941BF6">
            <w:r>
              <w:t>Publikācija mājaslapā</w:t>
            </w:r>
          </w:p>
        </w:tc>
      </w:tr>
      <w:tr w:rsidR="003D6856" w:rsidRPr="001E792C" w:rsidTr="002128E7">
        <w:trPr>
          <w:trHeight w:val="33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3D6856" w:rsidRPr="001E792C" w:rsidRDefault="003D6856" w:rsidP="002128E7">
            <w:pPr>
              <w:rPr>
                <w:color w:val="000000"/>
              </w:rPr>
            </w:pPr>
            <w:r w:rsidRPr="001E792C">
              <w:rPr>
                <w:color w:val="000000"/>
              </w:rPr>
              <w:t>2.</w:t>
            </w:r>
          </w:p>
        </w:tc>
        <w:tc>
          <w:tcPr>
            <w:tcW w:w="1489" w:type="pct"/>
            <w:tcBorders>
              <w:top w:val="outset" w:sz="6" w:space="0" w:color="auto"/>
              <w:left w:val="outset" w:sz="6" w:space="0" w:color="auto"/>
              <w:bottom w:val="outset" w:sz="6" w:space="0" w:color="auto"/>
              <w:right w:val="outset" w:sz="6" w:space="0" w:color="auto"/>
            </w:tcBorders>
            <w:hideMark/>
          </w:tcPr>
          <w:p w:rsidR="003D6856" w:rsidRPr="001E792C" w:rsidRDefault="003D6856" w:rsidP="002128E7">
            <w:pPr>
              <w:rPr>
                <w:color w:val="000000"/>
              </w:rPr>
            </w:pPr>
            <w:r w:rsidRPr="001E792C">
              <w:rPr>
                <w:color w:val="000000"/>
              </w:rPr>
              <w:t>Sabiedrības līdzdalība projekta izstrādē</w:t>
            </w:r>
          </w:p>
        </w:tc>
        <w:tc>
          <w:tcPr>
            <w:tcW w:w="3206" w:type="pct"/>
            <w:tcBorders>
              <w:top w:val="outset" w:sz="6" w:space="0" w:color="auto"/>
              <w:left w:val="outset" w:sz="6" w:space="0" w:color="auto"/>
              <w:bottom w:val="outset" w:sz="6" w:space="0" w:color="auto"/>
              <w:right w:val="outset" w:sz="6" w:space="0" w:color="auto"/>
            </w:tcBorders>
            <w:hideMark/>
          </w:tcPr>
          <w:p w:rsidR="003D6856" w:rsidRPr="001E792C" w:rsidRDefault="00941BF6" w:rsidP="002128E7">
            <w:pPr>
              <w:rPr>
                <w:color w:val="000000"/>
              </w:rPr>
            </w:pPr>
            <w:r w:rsidRPr="005B3C0A">
              <w:t xml:space="preserve">Projekts </w:t>
            </w:r>
            <w:r>
              <w:t>pirms</w:t>
            </w:r>
            <w:r w:rsidRPr="005B3C0A">
              <w:t xml:space="preserve"> </w:t>
            </w:r>
            <w:r>
              <w:t>nosūtīšanas izskatīšanai Ministru kabineta sēdē</w:t>
            </w:r>
            <w:r w:rsidRPr="005B3C0A">
              <w:t xml:space="preserve"> publicēts Ie</w:t>
            </w:r>
            <w:r>
              <w:t>kšlietu ministrijas un Pilsonības un migrācijas lietu pārvaldes</w:t>
            </w:r>
            <w:r w:rsidRPr="005B3C0A">
              <w:t xml:space="preserve"> mājaslapā.</w:t>
            </w:r>
          </w:p>
        </w:tc>
      </w:tr>
      <w:tr w:rsidR="003D6856" w:rsidRPr="001E792C" w:rsidTr="002128E7">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3D6856" w:rsidRPr="001E792C" w:rsidRDefault="003D6856" w:rsidP="002128E7">
            <w:pPr>
              <w:rPr>
                <w:color w:val="000000"/>
              </w:rPr>
            </w:pPr>
            <w:r w:rsidRPr="001E792C">
              <w:rPr>
                <w:color w:val="000000"/>
              </w:rPr>
              <w:t>3.</w:t>
            </w:r>
          </w:p>
        </w:tc>
        <w:tc>
          <w:tcPr>
            <w:tcW w:w="1489" w:type="pct"/>
            <w:tcBorders>
              <w:top w:val="outset" w:sz="6" w:space="0" w:color="auto"/>
              <w:left w:val="outset" w:sz="6" w:space="0" w:color="auto"/>
              <w:bottom w:val="outset" w:sz="6" w:space="0" w:color="auto"/>
              <w:right w:val="outset" w:sz="6" w:space="0" w:color="auto"/>
            </w:tcBorders>
            <w:hideMark/>
          </w:tcPr>
          <w:p w:rsidR="003D6856" w:rsidRPr="001E792C" w:rsidRDefault="003D6856" w:rsidP="002128E7">
            <w:pPr>
              <w:rPr>
                <w:color w:val="000000"/>
              </w:rPr>
            </w:pPr>
            <w:r w:rsidRPr="001E792C">
              <w:rPr>
                <w:color w:val="000000"/>
              </w:rPr>
              <w:t>Sabiedrības līdzdalības rezultāti</w:t>
            </w:r>
          </w:p>
        </w:tc>
        <w:tc>
          <w:tcPr>
            <w:tcW w:w="3206" w:type="pct"/>
            <w:tcBorders>
              <w:top w:val="outset" w:sz="6" w:space="0" w:color="auto"/>
              <w:left w:val="outset" w:sz="6" w:space="0" w:color="auto"/>
              <w:bottom w:val="outset" w:sz="6" w:space="0" w:color="auto"/>
              <w:right w:val="outset" w:sz="6" w:space="0" w:color="auto"/>
            </w:tcBorders>
            <w:hideMark/>
          </w:tcPr>
          <w:p w:rsidR="003D6856" w:rsidRPr="001E792C" w:rsidRDefault="00941BF6" w:rsidP="00941BF6">
            <w:pPr>
              <w:rPr>
                <w:color w:val="000000"/>
              </w:rPr>
            </w:pPr>
            <w:r>
              <w:rPr>
                <w:color w:val="000000"/>
              </w:rPr>
              <w:t>Komentāri par projektu nav saņemti</w:t>
            </w:r>
          </w:p>
        </w:tc>
      </w:tr>
      <w:tr w:rsidR="003D6856" w:rsidRPr="001E792C" w:rsidTr="002128E7">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3D6856" w:rsidRPr="001E792C" w:rsidRDefault="003D6856" w:rsidP="002128E7">
            <w:pPr>
              <w:rPr>
                <w:color w:val="000000"/>
              </w:rPr>
            </w:pPr>
            <w:r w:rsidRPr="001E792C">
              <w:rPr>
                <w:color w:val="000000"/>
              </w:rPr>
              <w:t>4.</w:t>
            </w:r>
          </w:p>
        </w:tc>
        <w:tc>
          <w:tcPr>
            <w:tcW w:w="1489" w:type="pct"/>
            <w:tcBorders>
              <w:top w:val="outset" w:sz="6" w:space="0" w:color="auto"/>
              <w:left w:val="outset" w:sz="6" w:space="0" w:color="auto"/>
              <w:bottom w:val="outset" w:sz="6" w:space="0" w:color="auto"/>
              <w:right w:val="outset" w:sz="6" w:space="0" w:color="auto"/>
            </w:tcBorders>
            <w:hideMark/>
          </w:tcPr>
          <w:p w:rsidR="003D6856" w:rsidRPr="001E792C" w:rsidRDefault="003D6856" w:rsidP="002128E7">
            <w:pPr>
              <w:rPr>
                <w:color w:val="000000"/>
              </w:rPr>
            </w:pPr>
            <w:r w:rsidRPr="001E792C">
              <w:rPr>
                <w:color w:val="000000"/>
              </w:rPr>
              <w:t>Cita informācija</w:t>
            </w:r>
          </w:p>
        </w:tc>
        <w:tc>
          <w:tcPr>
            <w:tcW w:w="3206" w:type="pct"/>
            <w:tcBorders>
              <w:top w:val="outset" w:sz="6" w:space="0" w:color="auto"/>
              <w:left w:val="outset" w:sz="6" w:space="0" w:color="auto"/>
              <w:bottom w:val="outset" w:sz="6" w:space="0" w:color="auto"/>
              <w:right w:val="outset" w:sz="6" w:space="0" w:color="auto"/>
            </w:tcBorders>
            <w:hideMark/>
          </w:tcPr>
          <w:p w:rsidR="003D6856" w:rsidRPr="001E792C" w:rsidRDefault="003D6856" w:rsidP="002128E7">
            <w:pPr>
              <w:spacing w:before="100" w:beforeAutospacing="1" w:after="100" w:afterAutospacing="1" w:line="360" w:lineRule="auto"/>
              <w:ind w:firstLine="15"/>
              <w:rPr>
                <w:color w:val="000000"/>
              </w:rPr>
            </w:pPr>
            <w:r w:rsidRPr="001E792C">
              <w:rPr>
                <w:color w:val="000000"/>
              </w:rPr>
              <w:t>Nav</w:t>
            </w:r>
          </w:p>
        </w:tc>
      </w:tr>
    </w:tbl>
    <w:p w:rsidR="008F4F83" w:rsidRPr="009C479E" w:rsidRDefault="008F4F83" w:rsidP="009570F8">
      <w:pPr>
        <w:spacing w:before="100" w:beforeAutospacing="1" w:after="100" w:afterAutospacing="1" w:line="360" w:lineRule="auto"/>
        <w:rPr>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271"/>
        <w:gridCol w:w="4907"/>
      </w:tblGrid>
      <w:tr w:rsidR="008F4F83" w:rsidRPr="00FA599F" w:rsidTr="008F4F8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F4F83" w:rsidRPr="00FA599F" w:rsidRDefault="008F4F83">
            <w:pPr>
              <w:spacing w:before="100" w:beforeAutospacing="1" w:after="100" w:afterAutospacing="1" w:line="360" w:lineRule="auto"/>
              <w:ind w:firstLine="300"/>
              <w:jc w:val="center"/>
              <w:rPr>
                <w:b/>
                <w:bCs/>
              </w:rPr>
            </w:pPr>
            <w:r w:rsidRPr="00FA599F">
              <w:rPr>
                <w:b/>
                <w:bCs/>
              </w:rPr>
              <w:t>VII. Tiesību akta projekta izpildes nodrošināšana un tās ietekme uz institūcijām</w:t>
            </w:r>
          </w:p>
        </w:tc>
      </w:tr>
      <w:tr w:rsidR="008F4F83" w:rsidRPr="00FA599F" w:rsidTr="008F4F8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F4F83" w:rsidRPr="00FA599F" w:rsidRDefault="008F4F83">
            <w:r w:rsidRPr="00FA599F">
              <w:t>1.</w:t>
            </w:r>
          </w:p>
        </w:tc>
        <w:tc>
          <w:tcPr>
            <w:tcW w:w="1900" w:type="pct"/>
            <w:tcBorders>
              <w:top w:val="outset" w:sz="6" w:space="0" w:color="auto"/>
              <w:left w:val="outset" w:sz="6" w:space="0" w:color="auto"/>
              <w:bottom w:val="outset" w:sz="6" w:space="0" w:color="auto"/>
              <w:right w:val="outset" w:sz="6" w:space="0" w:color="auto"/>
            </w:tcBorders>
            <w:hideMark/>
          </w:tcPr>
          <w:p w:rsidR="008F4F83" w:rsidRPr="00FA599F" w:rsidRDefault="008F4F83">
            <w:r w:rsidRPr="00FA599F">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8F4F83" w:rsidRPr="00FA599F" w:rsidRDefault="00547BAD" w:rsidP="00FA599F">
            <w:r>
              <w:t>P</w:t>
            </w:r>
            <w:r w:rsidR="003469E3">
              <w:t>ilsonības un migrācijas lietu pārvalde</w:t>
            </w:r>
          </w:p>
        </w:tc>
      </w:tr>
      <w:tr w:rsidR="008F4F83" w:rsidRPr="002F3A99" w:rsidTr="008F4F8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F4F83" w:rsidRPr="002F3A99" w:rsidRDefault="008F4F83">
            <w:pPr>
              <w:rPr>
                <w:color w:val="000000"/>
              </w:rPr>
            </w:pPr>
            <w:r w:rsidRPr="002F3A99">
              <w:rPr>
                <w:color w:val="000000"/>
              </w:rPr>
              <w:t>2.</w:t>
            </w:r>
          </w:p>
        </w:tc>
        <w:tc>
          <w:tcPr>
            <w:tcW w:w="1900" w:type="pct"/>
            <w:tcBorders>
              <w:top w:val="outset" w:sz="6" w:space="0" w:color="auto"/>
              <w:left w:val="outset" w:sz="6" w:space="0" w:color="auto"/>
              <w:bottom w:val="outset" w:sz="6" w:space="0" w:color="auto"/>
              <w:right w:val="outset" w:sz="6" w:space="0" w:color="auto"/>
            </w:tcBorders>
            <w:hideMark/>
          </w:tcPr>
          <w:p w:rsidR="008F4F83" w:rsidRPr="002F3A99" w:rsidRDefault="008F4F83">
            <w:pPr>
              <w:rPr>
                <w:color w:val="000000"/>
              </w:rPr>
            </w:pPr>
            <w:r w:rsidRPr="002F3A99">
              <w:rPr>
                <w:color w:val="000000"/>
              </w:rPr>
              <w:t xml:space="preserve">Projekta izpildes ietekme uz pārvaldes funkcijām un institucionālo struktūru. </w:t>
            </w:r>
          </w:p>
          <w:p w:rsidR="008F4F83" w:rsidRPr="002F3A99" w:rsidRDefault="008F4F83" w:rsidP="002F3A99">
            <w:pPr>
              <w:spacing w:before="100" w:beforeAutospacing="1" w:after="100" w:afterAutospacing="1"/>
              <w:rPr>
                <w:color w:val="000000"/>
              </w:rPr>
            </w:pPr>
            <w:r w:rsidRPr="002F3A99">
              <w:rPr>
                <w:color w:val="000000"/>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2F3A99" w:rsidRPr="002F3A99" w:rsidRDefault="002F3A99">
            <w:pPr>
              <w:rPr>
                <w:color w:val="000000"/>
              </w:rPr>
            </w:pPr>
          </w:p>
          <w:p w:rsidR="002F3A99" w:rsidRPr="002F3A99" w:rsidRDefault="002F3A99">
            <w:pPr>
              <w:rPr>
                <w:color w:val="000000"/>
              </w:rPr>
            </w:pPr>
          </w:p>
          <w:p w:rsidR="002F3A99" w:rsidRPr="002F3A99" w:rsidRDefault="002F3A99">
            <w:pPr>
              <w:rPr>
                <w:color w:val="000000"/>
              </w:rPr>
            </w:pPr>
          </w:p>
          <w:p w:rsidR="002F3A99" w:rsidRPr="002F3A99" w:rsidRDefault="002F3A99">
            <w:pPr>
              <w:rPr>
                <w:color w:val="000000"/>
              </w:rPr>
            </w:pPr>
            <w:r w:rsidRPr="002F3A99">
              <w:rPr>
                <w:color w:val="000000"/>
              </w:rPr>
              <w:t>Projekta izpildes rezultātā nav paredzēta esošu institūciju likvidācija vai reorganizācija</w:t>
            </w:r>
          </w:p>
        </w:tc>
      </w:tr>
      <w:tr w:rsidR="008F4F83" w:rsidRPr="001E792C" w:rsidTr="008F4F8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F4F83" w:rsidRPr="001E792C" w:rsidRDefault="008F4F83">
            <w:pPr>
              <w:rPr>
                <w:color w:val="000000"/>
              </w:rPr>
            </w:pPr>
            <w:r w:rsidRPr="001E792C">
              <w:rPr>
                <w:color w:val="000000"/>
              </w:rPr>
              <w:t>3.</w:t>
            </w:r>
          </w:p>
        </w:tc>
        <w:tc>
          <w:tcPr>
            <w:tcW w:w="1900" w:type="pct"/>
            <w:tcBorders>
              <w:top w:val="outset" w:sz="6" w:space="0" w:color="auto"/>
              <w:left w:val="outset" w:sz="6" w:space="0" w:color="auto"/>
              <w:bottom w:val="outset" w:sz="6" w:space="0" w:color="auto"/>
              <w:right w:val="outset" w:sz="6" w:space="0" w:color="auto"/>
            </w:tcBorders>
            <w:hideMark/>
          </w:tcPr>
          <w:p w:rsidR="008F4F83" w:rsidRPr="001E792C" w:rsidRDefault="008F4F83">
            <w:pPr>
              <w:rPr>
                <w:color w:val="000000"/>
              </w:rPr>
            </w:pPr>
            <w:r w:rsidRPr="001E792C">
              <w:rPr>
                <w:color w:val="000000"/>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8F4F83" w:rsidRPr="001E792C" w:rsidRDefault="002F3A99" w:rsidP="002F3A99">
            <w:pPr>
              <w:spacing w:before="100" w:beforeAutospacing="1" w:after="100" w:afterAutospacing="1" w:line="360" w:lineRule="auto"/>
              <w:rPr>
                <w:color w:val="000000"/>
              </w:rPr>
            </w:pPr>
            <w:r w:rsidRPr="001E792C">
              <w:rPr>
                <w:color w:val="000000"/>
              </w:rPr>
              <w:t>Nav</w:t>
            </w:r>
          </w:p>
        </w:tc>
      </w:tr>
    </w:tbl>
    <w:p w:rsidR="00406A65" w:rsidRDefault="00406A65"/>
    <w:p w:rsidR="00403802" w:rsidRDefault="00403802">
      <w:r>
        <w:t>Anotācijas IV</w:t>
      </w:r>
      <w:r w:rsidR="0022125E">
        <w:t>, V</w:t>
      </w:r>
      <w:r w:rsidR="003D6856">
        <w:t xml:space="preserve"> </w:t>
      </w:r>
      <w:r>
        <w:t>sadaļa</w:t>
      </w:r>
      <w:r w:rsidR="00F34FB7">
        <w:t xml:space="preserve"> </w:t>
      </w:r>
      <w:r>
        <w:t xml:space="preserve">- Projekts šo jomu neskar. </w:t>
      </w:r>
    </w:p>
    <w:p w:rsidR="007F36D3" w:rsidRDefault="007F36D3"/>
    <w:p w:rsidR="00403802" w:rsidRDefault="00403802"/>
    <w:p w:rsidR="00403802" w:rsidRDefault="00403802">
      <w:r>
        <w:t>Iekšlietu ministrs</w:t>
      </w:r>
      <w:proofErr w:type="gramStart"/>
      <w:r>
        <w:t xml:space="preserve">                  </w:t>
      </w:r>
      <w:r w:rsidR="007F36D3">
        <w:t xml:space="preserve">                                                                           </w:t>
      </w:r>
      <w:r>
        <w:t xml:space="preserve">  </w:t>
      </w:r>
      <w:proofErr w:type="gramEnd"/>
      <w:r>
        <w:t xml:space="preserve">R.Kozlovskis </w:t>
      </w:r>
    </w:p>
    <w:p w:rsidR="007F36D3" w:rsidRDefault="007F36D3"/>
    <w:p w:rsidR="007F36D3" w:rsidRDefault="007F36D3"/>
    <w:p w:rsidR="00403802" w:rsidRDefault="00403802">
      <w:r>
        <w:t>Vīza: Valsts sekretāre</w:t>
      </w:r>
      <w:r w:rsidR="000D1E78">
        <w:t xml:space="preserve">s </w:t>
      </w:r>
      <w:proofErr w:type="spellStart"/>
      <w:r w:rsidR="000D1E78">
        <w:t>p.i</w:t>
      </w:r>
      <w:proofErr w:type="spellEnd"/>
      <w:r w:rsidR="000D1E78">
        <w:t>.</w:t>
      </w:r>
      <w:r>
        <w:t xml:space="preserve">                </w:t>
      </w:r>
      <w:r w:rsidR="007F36D3">
        <w:t xml:space="preserve">                                                        </w:t>
      </w:r>
      <w:r w:rsidR="000D1E78">
        <w:tab/>
      </w:r>
      <w:r w:rsidR="005E3B27">
        <w:t xml:space="preserve"> </w:t>
      </w:r>
      <w:r w:rsidR="007F36D3">
        <w:t xml:space="preserve"> </w:t>
      </w:r>
      <w:proofErr w:type="spellStart"/>
      <w:r w:rsidR="005E3B27">
        <w:t>I.</w:t>
      </w:r>
      <w:r w:rsidR="000D1E78">
        <w:t>Aire</w:t>
      </w:r>
      <w:proofErr w:type="spellEnd"/>
    </w:p>
    <w:p w:rsidR="00F82377" w:rsidRDefault="00F82377"/>
    <w:p w:rsidR="00F82377" w:rsidRPr="00F34FB7" w:rsidRDefault="00F82377"/>
    <w:p w:rsidR="00403802" w:rsidRPr="00F34FB7" w:rsidRDefault="00F65569">
      <w:pPr>
        <w:rPr>
          <w:sz w:val="20"/>
          <w:szCs w:val="20"/>
        </w:rPr>
      </w:pPr>
      <w:r>
        <w:rPr>
          <w:sz w:val="20"/>
          <w:szCs w:val="20"/>
        </w:rPr>
        <w:t>2</w:t>
      </w:r>
      <w:r w:rsidR="00470E26">
        <w:rPr>
          <w:sz w:val="20"/>
          <w:szCs w:val="20"/>
        </w:rPr>
        <w:t>8</w:t>
      </w:r>
      <w:r w:rsidR="00F82377" w:rsidRPr="00F34FB7">
        <w:rPr>
          <w:sz w:val="20"/>
          <w:szCs w:val="20"/>
        </w:rPr>
        <w:t>.12</w:t>
      </w:r>
      <w:r w:rsidR="00403802" w:rsidRPr="00F34FB7">
        <w:rPr>
          <w:sz w:val="20"/>
          <w:szCs w:val="20"/>
        </w:rPr>
        <w:t xml:space="preserve">.2015. </w:t>
      </w:r>
      <w:r w:rsidR="00752749">
        <w:rPr>
          <w:sz w:val="20"/>
          <w:szCs w:val="20"/>
        </w:rPr>
        <w:t>11:40</w:t>
      </w:r>
    </w:p>
    <w:p w:rsidR="00403802" w:rsidRPr="00F34FB7" w:rsidRDefault="00174388">
      <w:pPr>
        <w:rPr>
          <w:sz w:val="20"/>
          <w:szCs w:val="20"/>
        </w:rPr>
      </w:pPr>
      <w:r>
        <w:rPr>
          <w:sz w:val="20"/>
          <w:szCs w:val="20"/>
        </w:rPr>
        <w:t>2077</w:t>
      </w:r>
    </w:p>
    <w:p w:rsidR="007F36D3" w:rsidRPr="007F36D3" w:rsidRDefault="007F36D3">
      <w:pPr>
        <w:rPr>
          <w:sz w:val="20"/>
          <w:szCs w:val="20"/>
        </w:rPr>
      </w:pPr>
      <w:proofErr w:type="spellStart"/>
      <w:r w:rsidRPr="007F36D3">
        <w:rPr>
          <w:sz w:val="20"/>
          <w:szCs w:val="20"/>
        </w:rPr>
        <w:t>V.Kozuliņa</w:t>
      </w:r>
      <w:proofErr w:type="spellEnd"/>
      <w:r w:rsidRPr="007F36D3">
        <w:rPr>
          <w:sz w:val="20"/>
          <w:szCs w:val="20"/>
        </w:rPr>
        <w:t xml:space="preserve">, 67219252 </w:t>
      </w:r>
    </w:p>
    <w:p w:rsidR="007F36D3" w:rsidRPr="007F36D3" w:rsidRDefault="00174388">
      <w:pPr>
        <w:rPr>
          <w:sz w:val="20"/>
          <w:szCs w:val="20"/>
        </w:rPr>
      </w:pPr>
      <w:hyperlink r:id="rId7" w:history="1">
        <w:r w:rsidR="007F36D3" w:rsidRPr="007F36D3">
          <w:rPr>
            <w:rStyle w:val="Hyperlink"/>
            <w:sz w:val="20"/>
            <w:szCs w:val="20"/>
          </w:rPr>
          <w:t>vita.kozulina@pmlp.gov.lv</w:t>
        </w:r>
      </w:hyperlink>
      <w:r w:rsidR="007F36D3" w:rsidRPr="007F36D3">
        <w:rPr>
          <w:sz w:val="20"/>
          <w:szCs w:val="20"/>
        </w:rPr>
        <w:t xml:space="preserve"> </w:t>
      </w:r>
    </w:p>
    <w:p w:rsidR="007B6378" w:rsidRDefault="007B6378">
      <w:pPr>
        <w:rPr>
          <w:sz w:val="20"/>
          <w:szCs w:val="20"/>
        </w:rPr>
      </w:pPr>
    </w:p>
    <w:p w:rsidR="007B6378" w:rsidRDefault="007B6378">
      <w:pPr>
        <w:rPr>
          <w:sz w:val="20"/>
          <w:szCs w:val="20"/>
        </w:rPr>
      </w:pPr>
    </w:p>
    <w:p w:rsidR="007F36D3" w:rsidRPr="007F36D3" w:rsidRDefault="007F36D3">
      <w:pPr>
        <w:rPr>
          <w:sz w:val="20"/>
          <w:szCs w:val="20"/>
        </w:rPr>
      </w:pPr>
      <w:proofErr w:type="spellStart"/>
      <w:r w:rsidRPr="007F36D3">
        <w:rPr>
          <w:sz w:val="20"/>
          <w:szCs w:val="20"/>
        </w:rPr>
        <w:t>R.Brīvniece</w:t>
      </w:r>
      <w:proofErr w:type="spellEnd"/>
      <w:r w:rsidRPr="007F36D3">
        <w:rPr>
          <w:sz w:val="20"/>
          <w:szCs w:val="20"/>
        </w:rPr>
        <w:t xml:space="preserve">, 67219453 </w:t>
      </w:r>
    </w:p>
    <w:p w:rsidR="00D22C6D" w:rsidRDefault="00174388">
      <w:pPr>
        <w:rPr>
          <w:sz w:val="20"/>
          <w:szCs w:val="20"/>
        </w:rPr>
      </w:pPr>
      <w:hyperlink r:id="rId8" w:history="1">
        <w:r w:rsidR="00A25E6A" w:rsidRPr="00CA6D57">
          <w:rPr>
            <w:rStyle w:val="Hyperlink"/>
            <w:sz w:val="20"/>
            <w:szCs w:val="20"/>
          </w:rPr>
          <w:t>ramona.brivniece@pmlp.gov.lv</w:t>
        </w:r>
      </w:hyperlink>
    </w:p>
    <w:p w:rsidR="00A25E6A" w:rsidRDefault="00A25E6A">
      <w:pPr>
        <w:rPr>
          <w:sz w:val="20"/>
          <w:szCs w:val="20"/>
        </w:rPr>
      </w:pPr>
    </w:p>
    <w:p w:rsidR="00A25E6A" w:rsidRDefault="00A25E6A">
      <w:pPr>
        <w:rPr>
          <w:sz w:val="20"/>
          <w:szCs w:val="20"/>
        </w:rPr>
      </w:pPr>
    </w:p>
    <w:p w:rsidR="00D22C6D" w:rsidRDefault="00D22C6D">
      <w:pPr>
        <w:rPr>
          <w:sz w:val="20"/>
          <w:szCs w:val="20"/>
        </w:rPr>
      </w:pPr>
    </w:p>
    <w:p w:rsidR="00D22C6D" w:rsidRPr="007F36D3" w:rsidRDefault="00D22C6D">
      <w:pPr>
        <w:rPr>
          <w:sz w:val="20"/>
          <w:szCs w:val="20"/>
        </w:rPr>
      </w:pPr>
      <w:bookmarkStart w:id="0" w:name="_GoBack"/>
      <w:bookmarkEnd w:id="0"/>
    </w:p>
    <w:sectPr w:rsidR="00D22C6D" w:rsidRPr="007F36D3" w:rsidSect="003A2249">
      <w:footerReference w:type="default" r:id="rId9"/>
      <w:footerReference w:type="first" r:id="rId10"/>
      <w:pgSz w:w="11906" w:h="16838"/>
      <w:pgMar w:top="1440" w:right="144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FC" w:rsidRDefault="002955FC" w:rsidP="008F4F83">
      <w:r>
        <w:separator/>
      </w:r>
    </w:p>
  </w:endnote>
  <w:endnote w:type="continuationSeparator" w:id="0">
    <w:p w:rsidR="002955FC" w:rsidRDefault="002955FC" w:rsidP="008F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811220"/>
      <w:docPartObj>
        <w:docPartGallery w:val="Page Numbers (Bottom of Page)"/>
        <w:docPartUnique/>
      </w:docPartObj>
    </w:sdtPr>
    <w:sdtEndPr>
      <w:rPr>
        <w:noProof/>
      </w:rPr>
    </w:sdtEndPr>
    <w:sdtContent>
      <w:p w:rsidR="00D40C7A" w:rsidRDefault="00D40C7A">
        <w:pPr>
          <w:pStyle w:val="Footer"/>
          <w:jc w:val="right"/>
        </w:pPr>
        <w:r>
          <w:fldChar w:fldCharType="begin"/>
        </w:r>
        <w:r>
          <w:instrText xml:space="preserve"> PAGE   \* MERGEFORMAT </w:instrText>
        </w:r>
        <w:r>
          <w:fldChar w:fldCharType="separate"/>
        </w:r>
        <w:r w:rsidR="00174388">
          <w:rPr>
            <w:noProof/>
          </w:rPr>
          <w:t>6</w:t>
        </w:r>
        <w:r>
          <w:rPr>
            <w:noProof/>
          </w:rPr>
          <w:fldChar w:fldCharType="end"/>
        </w:r>
      </w:p>
    </w:sdtContent>
  </w:sdt>
  <w:p w:rsidR="00D40C7A" w:rsidRDefault="00D40C7A" w:rsidP="00690602">
    <w:pPr>
      <w:jc w:val="both"/>
    </w:pPr>
    <w:r>
      <w:rPr>
        <w:sz w:val="20"/>
      </w:rPr>
      <w:t>IEMAnot_</w:t>
    </w:r>
    <w:r w:rsidR="00F65569">
      <w:rPr>
        <w:sz w:val="20"/>
      </w:rPr>
      <w:t>2</w:t>
    </w:r>
    <w:r w:rsidR="00470E26">
      <w:rPr>
        <w:sz w:val="20"/>
      </w:rPr>
      <w:t>8</w:t>
    </w:r>
    <w:r w:rsidRPr="0060266B">
      <w:rPr>
        <w:sz w:val="20"/>
      </w:rPr>
      <w:t>1215_par pabalstiem</w:t>
    </w:r>
    <w:r>
      <w:rPr>
        <w:sz w:val="20"/>
      </w:rPr>
      <w:t>.doc</w:t>
    </w:r>
    <w:r w:rsidRPr="0060266B">
      <w:rPr>
        <w:sz w:val="20"/>
      </w:rPr>
      <w:t xml:space="preserve">; Ministru kabineta noteikumu projekta „Grozījumi Ministru kabineta </w:t>
    </w:r>
    <w:proofErr w:type="gramStart"/>
    <w:r w:rsidRPr="0060266B">
      <w:rPr>
        <w:sz w:val="20"/>
      </w:rPr>
      <w:t>2014.gada</w:t>
    </w:r>
    <w:proofErr w:type="gramEnd"/>
    <w:r w:rsidRPr="0060266B">
      <w:rPr>
        <w:sz w:val="20"/>
      </w:rPr>
      <w:t xml:space="preserve"> 22.aprīļa noteikumos Nr.210 „Noteikumi par pabalstu bēglim un personai, kurai piešķirts alternatīvais statuss”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C7A" w:rsidRPr="002F1A31" w:rsidRDefault="00D40C7A" w:rsidP="004E1F71">
    <w:pPr>
      <w:jc w:val="both"/>
      <w:rPr>
        <w:sz w:val="20"/>
      </w:rPr>
    </w:pPr>
    <w:r w:rsidRPr="00690602">
      <w:rPr>
        <w:sz w:val="20"/>
      </w:rPr>
      <w:t>IEMAnot_</w:t>
    </w:r>
    <w:r w:rsidR="00F65569">
      <w:rPr>
        <w:sz w:val="20"/>
      </w:rPr>
      <w:t>2</w:t>
    </w:r>
    <w:r w:rsidR="00470E26">
      <w:rPr>
        <w:sz w:val="20"/>
      </w:rPr>
      <w:t>8</w:t>
    </w:r>
    <w:r>
      <w:rPr>
        <w:sz w:val="20"/>
      </w:rPr>
      <w:t>12</w:t>
    </w:r>
    <w:r w:rsidRPr="00690602">
      <w:rPr>
        <w:sz w:val="20"/>
      </w:rPr>
      <w:t>15_par pabalstiem</w:t>
    </w:r>
    <w:r>
      <w:rPr>
        <w:sz w:val="20"/>
      </w:rPr>
      <w:t>.doc</w:t>
    </w:r>
    <w:r w:rsidRPr="00690602">
      <w:rPr>
        <w:sz w:val="20"/>
      </w:rPr>
      <w:t>;</w:t>
    </w:r>
    <w:r w:rsidRPr="00DA0110">
      <w:rPr>
        <w:sz w:val="20"/>
      </w:rPr>
      <w:t xml:space="preserve"> </w:t>
    </w:r>
    <w:r w:rsidRPr="0060266B">
      <w:rPr>
        <w:sz w:val="20"/>
      </w:rPr>
      <w:t xml:space="preserve">Ministru kabineta noteikumu projekta „Grozījumi Ministru kabineta </w:t>
    </w:r>
    <w:proofErr w:type="gramStart"/>
    <w:r w:rsidRPr="0060266B">
      <w:rPr>
        <w:sz w:val="20"/>
      </w:rPr>
      <w:t>2014.gada</w:t>
    </w:r>
    <w:proofErr w:type="gramEnd"/>
    <w:r w:rsidRPr="0060266B">
      <w:rPr>
        <w:sz w:val="20"/>
      </w:rPr>
      <w:t xml:space="preserve"> 22.aprīļa noteikumos Nr.210 „Noteikumi par pabalstu bēglim un personai, kurai piešķirts alternatīvais statuss”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FC" w:rsidRDefault="002955FC" w:rsidP="008F4F83">
      <w:r>
        <w:separator/>
      </w:r>
    </w:p>
  </w:footnote>
  <w:footnote w:type="continuationSeparator" w:id="0">
    <w:p w:rsidR="002955FC" w:rsidRDefault="002955FC" w:rsidP="008F4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83"/>
    <w:rsid w:val="00002A95"/>
    <w:rsid w:val="0002223A"/>
    <w:rsid w:val="00023AFA"/>
    <w:rsid w:val="00053078"/>
    <w:rsid w:val="000659FD"/>
    <w:rsid w:val="00071579"/>
    <w:rsid w:val="00091816"/>
    <w:rsid w:val="000A0860"/>
    <w:rsid w:val="000B0664"/>
    <w:rsid w:val="000D1E78"/>
    <w:rsid w:val="000D6A87"/>
    <w:rsid w:val="000E0A75"/>
    <w:rsid w:val="000E2154"/>
    <w:rsid w:val="00136412"/>
    <w:rsid w:val="00145AE8"/>
    <w:rsid w:val="00161254"/>
    <w:rsid w:val="00174388"/>
    <w:rsid w:val="0017753E"/>
    <w:rsid w:val="00184516"/>
    <w:rsid w:val="0019360C"/>
    <w:rsid w:val="001B2242"/>
    <w:rsid w:val="001B284B"/>
    <w:rsid w:val="001C129F"/>
    <w:rsid w:val="001E792C"/>
    <w:rsid w:val="002128E7"/>
    <w:rsid w:val="0022125E"/>
    <w:rsid w:val="00244875"/>
    <w:rsid w:val="002572D6"/>
    <w:rsid w:val="002955FC"/>
    <w:rsid w:val="002A6781"/>
    <w:rsid w:val="002B3BB8"/>
    <w:rsid w:val="002C6834"/>
    <w:rsid w:val="002F3A99"/>
    <w:rsid w:val="002F46B3"/>
    <w:rsid w:val="00320C46"/>
    <w:rsid w:val="00322527"/>
    <w:rsid w:val="0032682C"/>
    <w:rsid w:val="00337DA8"/>
    <w:rsid w:val="0034020D"/>
    <w:rsid w:val="003469E3"/>
    <w:rsid w:val="003548CE"/>
    <w:rsid w:val="00363FE7"/>
    <w:rsid w:val="00386151"/>
    <w:rsid w:val="003A138F"/>
    <w:rsid w:val="003A19B2"/>
    <w:rsid w:val="003A2249"/>
    <w:rsid w:val="003A6F54"/>
    <w:rsid w:val="003D6856"/>
    <w:rsid w:val="003E1DCE"/>
    <w:rsid w:val="003E45A7"/>
    <w:rsid w:val="004000DF"/>
    <w:rsid w:val="00403802"/>
    <w:rsid w:val="00406A65"/>
    <w:rsid w:val="00426386"/>
    <w:rsid w:val="004325C1"/>
    <w:rsid w:val="00470E26"/>
    <w:rsid w:val="004E1F71"/>
    <w:rsid w:val="004F0250"/>
    <w:rsid w:val="00503663"/>
    <w:rsid w:val="00540F03"/>
    <w:rsid w:val="00547BAD"/>
    <w:rsid w:val="005B3C0A"/>
    <w:rsid w:val="005E3B27"/>
    <w:rsid w:val="0060266B"/>
    <w:rsid w:val="0060745F"/>
    <w:rsid w:val="00616547"/>
    <w:rsid w:val="006523B7"/>
    <w:rsid w:val="0065321B"/>
    <w:rsid w:val="006860A4"/>
    <w:rsid w:val="00690602"/>
    <w:rsid w:val="006C5280"/>
    <w:rsid w:val="006E745F"/>
    <w:rsid w:val="006F2122"/>
    <w:rsid w:val="006F69E5"/>
    <w:rsid w:val="00723DE6"/>
    <w:rsid w:val="00752749"/>
    <w:rsid w:val="007A774A"/>
    <w:rsid w:val="007B6378"/>
    <w:rsid w:val="007C3689"/>
    <w:rsid w:val="007F36D3"/>
    <w:rsid w:val="00831654"/>
    <w:rsid w:val="00862E58"/>
    <w:rsid w:val="00895902"/>
    <w:rsid w:val="008D3058"/>
    <w:rsid w:val="008F3BAF"/>
    <w:rsid w:val="008F4F83"/>
    <w:rsid w:val="00905792"/>
    <w:rsid w:val="00924CA0"/>
    <w:rsid w:val="00941BF6"/>
    <w:rsid w:val="009570F8"/>
    <w:rsid w:val="00960D7C"/>
    <w:rsid w:val="0097464B"/>
    <w:rsid w:val="00975B64"/>
    <w:rsid w:val="009846DA"/>
    <w:rsid w:val="009A03AB"/>
    <w:rsid w:val="009A10A0"/>
    <w:rsid w:val="009A4BD3"/>
    <w:rsid w:val="009A70F2"/>
    <w:rsid w:val="009C479E"/>
    <w:rsid w:val="009C7806"/>
    <w:rsid w:val="00A00F2A"/>
    <w:rsid w:val="00A25E6A"/>
    <w:rsid w:val="00AF52A7"/>
    <w:rsid w:val="00B72D8C"/>
    <w:rsid w:val="00B91B39"/>
    <w:rsid w:val="00B92E2D"/>
    <w:rsid w:val="00B95002"/>
    <w:rsid w:val="00C1434A"/>
    <w:rsid w:val="00C16EC8"/>
    <w:rsid w:val="00C31F9B"/>
    <w:rsid w:val="00C5035A"/>
    <w:rsid w:val="00C53F21"/>
    <w:rsid w:val="00C9599A"/>
    <w:rsid w:val="00CB0F5B"/>
    <w:rsid w:val="00CF56F6"/>
    <w:rsid w:val="00D22C6D"/>
    <w:rsid w:val="00D40C7A"/>
    <w:rsid w:val="00D4293D"/>
    <w:rsid w:val="00D65967"/>
    <w:rsid w:val="00D732E9"/>
    <w:rsid w:val="00DA6575"/>
    <w:rsid w:val="00E12AB4"/>
    <w:rsid w:val="00E23148"/>
    <w:rsid w:val="00E30322"/>
    <w:rsid w:val="00E62FF8"/>
    <w:rsid w:val="00E71207"/>
    <w:rsid w:val="00E71910"/>
    <w:rsid w:val="00EA0D54"/>
    <w:rsid w:val="00EA5D76"/>
    <w:rsid w:val="00EB0958"/>
    <w:rsid w:val="00EB65EF"/>
    <w:rsid w:val="00F05AF5"/>
    <w:rsid w:val="00F158F1"/>
    <w:rsid w:val="00F2616C"/>
    <w:rsid w:val="00F3092A"/>
    <w:rsid w:val="00F314D5"/>
    <w:rsid w:val="00F32F0E"/>
    <w:rsid w:val="00F34FB7"/>
    <w:rsid w:val="00F51393"/>
    <w:rsid w:val="00F65569"/>
    <w:rsid w:val="00F67129"/>
    <w:rsid w:val="00F82377"/>
    <w:rsid w:val="00F93F02"/>
    <w:rsid w:val="00FA599F"/>
    <w:rsid w:val="00FA684D"/>
    <w:rsid w:val="00FC3C51"/>
    <w:rsid w:val="00FE15AA"/>
    <w:rsid w:val="00FE2829"/>
    <w:rsid w:val="00FF7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4E7421B-3AEB-430F-8466-69981E5B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65"/>
    <w:rPr>
      <w:sz w:val="24"/>
      <w:szCs w:val="24"/>
    </w:rPr>
  </w:style>
  <w:style w:type="paragraph" w:styleId="Heading1">
    <w:name w:val="heading 1"/>
    <w:basedOn w:val="Normal"/>
    <w:next w:val="Normal"/>
    <w:link w:val="Heading1Char"/>
    <w:qFormat/>
    <w:rsid w:val="004325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F4F83"/>
    <w:pPr>
      <w:spacing w:before="45" w:line="360" w:lineRule="auto"/>
      <w:ind w:firstLine="300"/>
    </w:pPr>
    <w:rPr>
      <w:i/>
      <w:iCs/>
      <w:color w:val="414142"/>
      <w:sz w:val="20"/>
      <w:szCs w:val="20"/>
    </w:rPr>
  </w:style>
  <w:style w:type="paragraph" w:styleId="Header">
    <w:name w:val="header"/>
    <w:basedOn w:val="Normal"/>
    <w:link w:val="HeaderChar"/>
    <w:rsid w:val="008F4F83"/>
    <w:pPr>
      <w:tabs>
        <w:tab w:val="center" w:pos="4153"/>
        <w:tab w:val="right" w:pos="8306"/>
      </w:tabs>
    </w:pPr>
  </w:style>
  <w:style w:type="character" w:customStyle="1" w:styleId="HeaderChar">
    <w:name w:val="Header Char"/>
    <w:basedOn w:val="DefaultParagraphFont"/>
    <w:link w:val="Header"/>
    <w:rsid w:val="008F4F83"/>
    <w:rPr>
      <w:sz w:val="24"/>
      <w:szCs w:val="24"/>
    </w:rPr>
  </w:style>
  <w:style w:type="paragraph" w:styleId="Footer">
    <w:name w:val="footer"/>
    <w:basedOn w:val="Normal"/>
    <w:link w:val="FooterChar"/>
    <w:uiPriority w:val="99"/>
    <w:rsid w:val="008F4F83"/>
    <w:pPr>
      <w:tabs>
        <w:tab w:val="center" w:pos="4153"/>
        <w:tab w:val="right" w:pos="8306"/>
      </w:tabs>
    </w:pPr>
  </w:style>
  <w:style w:type="character" w:customStyle="1" w:styleId="FooterChar">
    <w:name w:val="Footer Char"/>
    <w:basedOn w:val="DefaultParagraphFont"/>
    <w:link w:val="Footer"/>
    <w:uiPriority w:val="99"/>
    <w:rsid w:val="008F4F83"/>
    <w:rPr>
      <w:sz w:val="24"/>
      <w:szCs w:val="24"/>
    </w:rPr>
  </w:style>
  <w:style w:type="paragraph" w:styleId="BalloonText">
    <w:name w:val="Balloon Text"/>
    <w:basedOn w:val="Normal"/>
    <w:link w:val="BalloonTextChar"/>
    <w:rsid w:val="008F4F83"/>
    <w:rPr>
      <w:rFonts w:ascii="Tahoma" w:hAnsi="Tahoma" w:cs="Tahoma"/>
      <w:sz w:val="16"/>
      <w:szCs w:val="16"/>
    </w:rPr>
  </w:style>
  <w:style w:type="character" w:customStyle="1" w:styleId="BalloonTextChar">
    <w:name w:val="Balloon Text Char"/>
    <w:basedOn w:val="DefaultParagraphFont"/>
    <w:link w:val="BalloonText"/>
    <w:rsid w:val="008F4F83"/>
    <w:rPr>
      <w:rFonts w:ascii="Tahoma" w:hAnsi="Tahoma" w:cs="Tahoma"/>
      <w:sz w:val="16"/>
      <w:szCs w:val="16"/>
    </w:rPr>
  </w:style>
  <w:style w:type="character" w:styleId="Hyperlink">
    <w:name w:val="Hyperlink"/>
    <w:basedOn w:val="DefaultParagraphFont"/>
    <w:rsid w:val="007F36D3"/>
    <w:rPr>
      <w:color w:val="0000FF" w:themeColor="hyperlink"/>
      <w:u w:val="single"/>
    </w:rPr>
  </w:style>
  <w:style w:type="character" w:styleId="Emphasis">
    <w:name w:val="Emphasis"/>
    <w:basedOn w:val="DefaultParagraphFont"/>
    <w:qFormat/>
    <w:rsid w:val="004325C1"/>
    <w:rPr>
      <w:i/>
      <w:iCs/>
    </w:rPr>
  </w:style>
  <w:style w:type="character" w:customStyle="1" w:styleId="Heading1Char">
    <w:name w:val="Heading 1 Char"/>
    <w:basedOn w:val="DefaultParagraphFont"/>
    <w:link w:val="Heading1"/>
    <w:rsid w:val="004325C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23148"/>
    <w:pPr>
      <w:ind w:left="720"/>
      <w:contextualSpacing/>
    </w:pPr>
  </w:style>
  <w:style w:type="character" w:styleId="CommentReference">
    <w:name w:val="annotation reference"/>
    <w:basedOn w:val="DefaultParagraphFont"/>
    <w:semiHidden/>
    <w:unhideWhenUsed/>
    <w:rsid w:val="0034020D"/>
    <w:rPr>
      <w:sz w:val="16"/>
      <w:szCs w:val="16"/>
    </w:rPr>
  </w:style>
  <w:style w:type="paragraph" w:styleId="CommentText">
    <w:name w:val="annotation text"/>
    <w:basedOn w:val="Normal"/>
    <w:link w:val="CommentTextChar"/>
    <w:semiHidden/>
    <w:unhideWhenUsed/>
    <w:rsid w:val="0034020D"/>
    <w:rPr>
      <w:sz w:val="20"/>
      <w:szCs w:val="20"/>
    </w:rPr>
  </w:style>
  <w:style w:type="character" w:customStyle="1" w:styleId="CommentTextChar">
    <w:name w:val="Comment Text Char"/>
    <w:basedOn w:val="DefaultParagraphFont"/>
    <w:link w:val="CommentText"/>
    <w:semiHidden/>
    <w:rsid w:val="0034020D"/>
  </w:style>
  <w:style w:type="paragraph" w:styleId="CommentSubject">
    <w:name w:val="annotation subject"/>
    <w:basedOn w:val="CommentText"/>
    <w:next w:val="CommentText"/>
    <w:link w:val="CommentSubjectChar"/>
    <w:semiHidden/>
    <w:unhideWhenUsed/>
    <w:rsid w:val="0034020D"/>
    <w:rPr>
      <w:b/>
      <w:bCs/>
    </w:rPr>
  </w:style>
  <w:style w:type="character" w:customStyle="1" w:styleId="CommentSubjectChar">
    <w:name w:val="Comment Subject Char"/>
    <w:basedOn w:val="CommentTextChar"/>
    <w:link w:val="CommentSubject"/>
    <w:semiHidden/>
    <w:rsid w:val="0034020D"/>
    <w:rPr>
      <w:b/>
      <w:bCs/>
    </w:rPr>
  </w:style>
  <w:style w:type="character" w:customStyle="1" w:styleId="apple-converted-space">
    <w:name w:val="apple-converted-space"/>
    <w:basedOn w:val="DefaultParagraphFont"/>
    <w:rsid w:val="0089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5142">
      <w:bodyDiv w:val="1"/>
      <w:marLeft w:val="0"/>
      <w:marRight w:val="0"/>
      <w:marTop w:val="0"/>
      <w:marBottom w:val="0"/>
      <w:divBdr>
        <w:top w:val="none" w:sz="0" w:space="0" w:color="auto"/>
        <w:left w:val="none" w:sz="0" w:space="0" w:color="auto"/>
        <w:bottom w:val="none" w:sz="0" w:space="0" w:color="auto"/>
        <w:right w:val="none" w:sz="0" w:space="0" w:color="auto"/>
      </w:divBdr>
      <w:divsChild>
        <w:div w:id="117338404">
          <w:marLeft w:val="0"/>
          <w:marRight w:val="0"/>
          <w:marTop w:val="0"/>
          <w:marBottom w:val="0"/>
          <w:divBdr>
            <w:top w:val="none" w:sz="0" w:space="0" w:color="auto"/>
            <w:left w:val="none" w:sz="0" w:space="0" w:color="auto"/>
            <w:bottom w:val="none" w:sz="0" w:space="0" w:color="auto"/>
            <w:right w:val="none" w:sz="0" w:space="0" w:color="auto"/>
          </w:divBdr>
          <w:divsChild>
            <w:div w:id="1136993860">
              <w:marLeft w:val="0"/>
              <w:marRight w:val="0"/>
              <w:marTop w:val="0"/>
              <w:marBottom w:val="0"/>
              <w:divBdr>
                <w:top w:val="none" w:sz="0" w:space="0" w:color="auto"/>
                <w:left w:val="none" w:sz="0" w:space="0" w:color="auto"/>
                <w:bottom w:val="none" w:sz="0" w:space="0" w:color="auto"/>
                <w:right w:val="none" w:sz="0" w:space="0" w:color="auto"/>
              </w:divBdr>
              <w:divsChild>
                <w:div w:id="1082946169">
                  <w:marLeft w:val="0"/>
                  <w:marRight w:val="0"/>
                  <w:marTop w:val="0"/>
                  <w:marBottom w:val="0"/>
                  <w:divBdr>
                    <w:top w:val="none" w:sz="0" w:space="0" w:color="auto"/>
                    <w:left w:val="none" w:sz="0" w:space="0" w:color="auto"/>
                    <w:bottom w:val="none" w:sz="0" w:space="0" w:color="auto"/>
                    <w:right w:val="none" w:sz="0" w:space="0" w:color="auto"/>
                  </w:divBdr>
                  <w:divsChild>
                    <w:div w:id="1103190674">
                      <w:marLeft w:val="0"/>
                      <w:marRight w:val="0"/>
                      <w:marTop w:val="0"/>
                      <w:marBottom w:val="0"/>
                      <w:divBdr>
                        <w:top w:val="none" w:sz="0" w:space="0" w:color="auto"/>
                        <w:left w:val="none" w:sz="0" w:space="0" w:color="auto"/>
                        <w:bottom w:val="none" w:sz="0" w:space="0" w:color="auto"/>
                        <w:right w:val="none" w:sz="0" w:space="0" w:color="auto"/>
                      </w:divBdr>
                      <w:divsChild>
                        <w:div w:id="973633154">
                          <w:marLeft w:val="0"/>
                          <w:marRight w:val="0"/>
                          <w:marTop w:val="0"/>
                          <w:marBottom w:val="0"/>
                          <w:divBdr>
                            <w:top w:val="none" w:sz="0" w:space="0" w:color="auto"/>
                            <w:left w:val="none" w:sz="0" w:space="0" w:color="auto"/>
                            <w:bottom w:val="none" w:sz="0" w:space="0" w:color="auto"/>
                            <w:right w:val="none" w:sz="0" w:space="0" w:color="auto"/>
                          </w:divBdr>
                          <w:divsChild>
                            <w:div w:id="21269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430134">
      <w:bodyDiv w:val="1"/>
      <w:marLeft w:val="0"/>
      <w:marRight w:val="0"/>
      <w:marTop w:val="0"/>
      <w:marBottom w:val="0"/>
      <w:divBdr>
        <w:top w:val="none" w:sz="0" w:space="0" w:color="auto"/>
        <w:left w:val="none" w:sz="0" w:space="0" w:color="auto"/>
        <w:bottom w:val="none" w:sz="0" w:space="0" w:color="auto"/>
        <w:right w:val="none" w:sz="0" w:space="0" w:color="auto"/>
      </w:divBdr>
    </w:div>
    <w:div w:id="1676033444">
      <w:bodyDiv w:val="1"/>
      <w:marLeft w:val="0"/>
      <w:marRight w:val="0"/>
      <w:marTop w:val="0"/>
      <w:marBottom w:val="0"/>
      <w:divBdr>
        <w:top w:val="none" w:sz="0" w:space="0" w:color="auto"/>
        <w:left w:val="none" w:sz="0" w:space="0" w:color="auto"/>
        <w:bottom w:val="none" w:sz="0" w:space="0" w:color="auto"/>
        <w:right w:val="none" w:sz="0" w:space="0" w:color="auto"/>
      </w:divBdr>
      <w:divsChild>
        <w:div w:id="1413163103">
          <w:marLeft w:val="0"/>
          <w:marRight w:val="0"/>
          <w:marTop w:val="0"/>
          <w:marBottom w:val="0"/>
          <w:divBdr>
            <w:top w:val="none" w:sz="0" w:space="0" w:color="auto"/>
            <w:left w:val="none" w:sz="0" w:space="0" w:color="auto"/>
            <w:bottom w:val="none" w:sz="0" w:space="0" w:color="auto"/>
            <w:right w:val="none" w:sz="0" w:space="0" w:color="auto"/>
          </w:divBdr>
          <w:divsChild>
            <w:div w:id="1373724624">
              <w:marLeft w:val="0"/>
              <w:marRight w:val="0"/>
              <w:marTop w:val="0"/>
              <w:marBottom w:val="0"/>
              <w:divBdr>
                <w:top w:val="none" w:sz="0" w:space="0" w:color="auto"/>
                <w:left w:val="none" w:sz="0" w:space="0" w:color="auto"/>
                <w:bottom w:val="none" w:sz="0" w:space="0" w:color="auto"/>
                <w:right w:val="none" w:sz="0" w:space="0" w:color="auto"/>
              </w:divBdr>
              <w:divsChild>
                <w:div w:id="1826818087">
                  <w:marLeft w:val="0"/>
                  <w:marRight w:val="0"/>
                  <w:marTop w:val="0"/>
                  <w:marBottom w:val="0"/>
                  <w:divBdr>
                    <w:top w:val="none" w:sz="0" w:space="0" w:color="auto"/>
                    <w:left w:val="none" w:sz="0" w:space="0" w:color="auto"/>
                    <w:bottom w:val="none" w:sz="0" w:space="0" w:color="auto"/>
                    <w:right w:val="none" w:sz="0" w:space="0" w:color="auto"/>
                  </w:divBdr>
                  <w:divsChild>
                    <w:div w:id="1304309072">
                      <w:marLeft w:val="0"/>
                      <w:marRight w:val="0"/>
                      <w:marTop w:val="0"/>
                      <w:marBottom w:val="0"/>
                      <w:divBdr>
                        <w:top w:val="none" w:sz="0" w:space="0" w:color="auto"/>
                        <w:left w:val="none" w:sz="0" w:space="0" w:color="auto"/>
                        <w:bottom w:val="none" w:sz="0" w:space="0" w:color="auto"/>
                        <w:right w:val="none" w:sz="0" w:space="0" w:color="auto"/>
                      </w:divBdr>
                      <w:divsChild>
                        <w:div w:id="813908568">
                          <w:marLeft w:val="0"/>
                          <w:marRight w:val="0"/>
                          <w:marTop w:val="300"/>
                          <w:marBottom w:val="0"/>
                          <w:divBdr>
                            <w:top w:val="none" w:sz="0" w:space="0" w:color="auto"/>
                            <w:left w:val="none" w:sz="0" w:space="0" w:color="auto"/>
                            <w:bottom w:val="none" w:sz="0" w:space="0" w:color="auto"/>
                            <w:right w:val="none" w:sz="0" w:space="0" w:color="auto"/>
                          </w:divBdr>
                          <w:divsChild>
                            <w:div w:id="1043678402">
                              <w:marLeft w:val="0"/>
                              <w:marRight w:val="0"/>
                              <w:marTop w:val="400"/>
                              <w:marBottom w:val="0"/>
                              <w:divBdr>
                                <w:top w:val="none" w:sz="0" w:space="0" w:color="auto"/>
                                <w:left w:val="none" w:sz="0" w:space="0" w:color="auto"/>
                                <w:bottom w:val="none" w:sz="0" w:space="0" w:color="auto"/>
                                <w:right w:val="none" w:sz="0" w:space="0" w:color="auto"/>
                              </w:divBdr>
                            </w:div>
                            <w:div w:id="1654720927">
                              <w:marLeft w:val="0"/>
                              <w:marRight w:val="0"/>
                              <w:marTop w:val="240"/>
                              <w:marBottom w:val="0"/>
                              <w:divBdr>
                                <w:top w:val="none" w:sz="0" w:space="0" w:color="auto"/>
                                <w:left w:val="none" w:sz="0" w:space="0" w:color="auto"/>
                                <w:bottom w:val="none" w:sz="0" w:space="0" w:color="auto"/>
                                <w:right w:val="none" w:sz="0" w:space="0" w:color="auto"/>
                              </w:divBdr>
                            </w:div>
                            <w:div w:id="1704134581">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na.brivniece@pmlp.gov.lv" TargetMode="External"/><Relationship Id="rId3" Type="http://schemas.openxmlformats.org/officeDocument/2006/relationships/settings" Target="settings.xml"/><Relationship Id="rId7" Type="http://schemas.openxmlformats.org/officeDocument/2006/relationships/hyperlink" Target="mailto:vita.kozulina@pml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FE88-B9BF-448E-9606-364A0900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2077</Words>
  <Characters>13992</Characters>
  <Application>Microsoft Office Word</Application>
  <DocSecurity>0</DocSecurity>
  <Lines>699</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Links>
    <vt:vector size="24" baseType="variant">
      <vt:variant>
        <vt:i4>4784138</vt:i4>
      </vt:variant>
      <vt:variant>
        <vt:i4>9</vt:i4>
      </vt:variant>
      <vt:variant>
        <vt:i4>0</vt:i4>
      </vt:variant>
      <vt:variant>
        <vt:i4>5</vt:i4>
      </vt:variant>
      <vt:variant>
        <vt:lpwstr>http://likumi.lv/doc.php?id=203061</vt:lpwstr>
      </vt:variant>
      <vt:variant>
        <vt:lpwstr>p2</vt:lpwstr>
      </vt:variant>
      <vt:variant>
        <vt:i4>5111828</vt:i4>
      </vt:variant>
      <vt:variant>
        <vt:i4>6</vt:i4>
      </vt:variant>
      <vt:variant>
        <vt:i4>0</vt:i4>
      </vt:variant>
      <vt:variant>
        <vt:i4>5</vt:i4>
      </vt:variant>
      <vt:variant>
        <vt:lpwstr>http://likumi.lv/doc.php?id=203061</vt:lpwstr>
      </vt:variant>
      <vt:variant>
        <vt:lpwstr>n5</vt:lpwstr>
      </vt:variant>
      <vt:variant>
        <vt:i4>6291491</vt:i4>
      </vt:variant>
      <vt:variant>
        <vt:i4>3</vt:i4>
      </vt:variant>
      <vt:variant>
        <vt:i4>0</vt:i4>
      </vt:variant>
      <vt:variant>
        <vt:i4>5</vt:i4>
      </vt:variant>
      <vt:variant>
        <vt:lpwstr>http://likumi.lv/doc.php?id=203061</vt:lpwstr>
      </vt:variant>
      <vt:variant>
        <vt:lpwstr>n57.1</vt:lpwstr>
      </vt:variant>
      <vt:variant>
        <vt:i4>4849674</vt:i4>
      </vt:variant>
      <vt:variant>
        <vt:i4>0</vt:i4>
      </vt:variant>
      <vt:variant>
        <vt:i4>0</vt:i4>
      </vt:variant>
      <vt:variant>
        <vt:i4>5</vt:i4>
      </vt:variant>
      <vt:variant>
        <vt:lpwstr>http://likumi.lv/doc.php?id=203061</vt:lpwstr>
      </vt:variant>
      <vt:variant>
        <vt:lpwstr>p13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vitak</dc:creator>
  <cp:lastModifiedBy>Marta Zvaune</cp:lastModifiedBy>
  <cp:revision>5</cp:revision>
  <cp:lastPrinted>2015-12-23T06:58:00Z</cp:lastPrinted>
  <dcterms:created xsi:type="dcterms:W3CDTF">2015-12-28T12:34:00Z</dcterms:created>
  <dcterms:modified xsi:type="dcterms:W3CDTF">2015-12-28T12:41:00Z</dcterms:modified>
</cp:coreProperties>
</file>