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bookmarkStart w:id="0" w:name="_GoBack"/>
      <w:bookmarkEnd w:id="0"/>
      <w:r w:rsidRPr="004D06FF">
        <w:rPr>
          <w:bCs/>
        </w:rPr>
        <w:t>Ministru kabineta rīkojuma</w:t>
      </w:r>
    </w:p>
    <w:p w:rsidR="00090983" w:rsidRPr="004D06FF" w:rsidRDefault="00090983" w:rsidP="0089519A">
      <w:pPr>
        <w:pStyle w:val="naislab"/>
        <w:spacing w:before="0" w:after="0"/>
        <w:jc w:val="center"/>
      </w:pPr>
      <w:r w:rsidRPr="004D06FF">
        <w:rPr>
          <w:b/>
        </w:rPr>
        <w:t>Par</w:t>
      </w:r>
      <w:r w:rsidR="002661CA" w:rsidRPr="002661CA">
        <w:rPr>
          <w:b/>
        </w:rPr>
        <w:t xml:space="preserve"> Valsts policijas un Valsts robežsardzes amatpersonu ar speciālajām dienesta pakāpēm dalības laika pagarināšanu Eiropas Savienības novērošanas misijā Gruzijā (</w:t>
      </w:r>
      <w:r w:rsidR="002661CA" w:rsidRPr="002661CA">
        <w:rPr>
          <w:b/>
          <w:i/>
        </w:rPr>
        <w:t>EUMM GEORGIA</w:t>
      </w:r>
      <w:r w:rsidR="002661CA" w:rsidRPr="002661CA">
        <w:rPr>
          <w:b/>
        </w:rPr>
        <w:t>)</w:t>
      </w:r>
      <w:r w:rsidR="001E3DEB">
        <w:rPr>
          <w:b/>
        </w:rPr>
        <w:t xml:space="preserve"> un </w:t>
      </w:r>
      <w:r w:rsidR="001E3DEB" w:rsidRPr="001E3DEB">
        <w:rPr>
          <w:b/>
        </w:rPr>
        <w:t>finanšu līdzekļu piešķiršanu no valsts budžeta programmas “Līdzekļi neparedzētiem gadījumiem”</w:t>
      </w:r>
    </w:p>
    <w:p w:rsidR="008C5649" w:rsidRPr="004D06FF" w:rsidRDefault="00852042" w:rsidP="0089519A">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text" w:val="ziņojums"/>
          <w:attr w:name="baseform" w:val="ziņojums"/>
          <w:attr w:name="id" w:val="-1"/>
        </w:smartTagPr>
        <w:r w:rsidRPr="004D06FF">
          <w:t>ziņojums</w:t>
        </w:r>
      </w:smartTag>
      <w:r w:rsidRPr="004D06FF">
        <w:t xml:space="preserve"> (anotācija)</w:t>
      </w:r>
    </w:p>
    <w:tbl>
      <w:tblPr>
        <w:tblpPr w:leftFromText="180" w:rightFromText="180" w:vertAnchor="text" w:horzAnchor="margin" w:tblpXSpec="center" w:tblpY="149"/>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66"/>
        <w:gridCol w:w="6840"/>
      </w:tblGrid>
      <w:tr w:rsidR="00852042" w:rsidRPr="004D06FF" w:rsidTr="00DA0C24">
        <w:tc>
          <w:tcPr>
            <w:tcW w:w="1022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DA0C24">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966"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89519A"/>
          <w:p w:rsidR="00262E2B" w:rsidRPr="00EF56BC" w:rsidRDefault="00262E2B" w:rsidP="0089519A">
            <w:pPr>
              <w:jc w:val="center"/>
            </w:pPr>
          </w:p>
        </w:tc>
        <w:tc>
          <w:tcPr>
            <w:tcW w:w="6840"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w:t>
            </w:r>
            <w:proofErr w:type="gramStart"/>
            <w:r w:rsidR="0089519A">
              <w:t>2015.gada</w:t>
            </w:r>
            <w:proofErr w:type="gramEnd"/>
            <w:r w:rsidR="0089519A">
              <w:t xml:space="preserve"> 16.februāra rīkojuma Nr.78 „Par Valdības rīcības plānu Deklarācijas par Laimdotas </w:t>
            </w:r>
            <w:proofErr w:type="spellStart"/>
            <w:r w:rsidR="0089519A">
              <w:t>Straujumas</w:t>
            </w:r>
            <w:proofErr w:type="spellEnd"/>
            <w:r w:rsidR="0089519A">
              <w:t xml:space="preserve"> vadītā Ministru kabineta iecerēto darbību īstenošanai” apstiprinātā Valdības rīcības plāna 167.5.apakšpunktu: “Turpināt atbalstīt ES Kopējās drošības un aizsardzības politikas (KDAP) attīstīšanu un KDAP instrumentu izmantošanu, piedaloties KDAP misijās un operācijās. Veidot kvalificētu civilo ekspertu kopumu dalībai misijās, radot iespēju kandidēt uz ietekmīgiem amatiem misijās.”;</w:t>
            </w:r>
          </w:p>
          <w:p w:rsidR="0089519A" w:rsidRDefault="0089519A" w:rsidP="0089519A">
            <w:pPr>
              <w:pStyle w:val="naiskr"/>
              <w:spacing w:before="0" w:after="0"/>
              <w:ind w:left="436" w:hanging="284"/>
              <w:jc w:val="both"/>
            </w:pPr>
            <w:r>
              <w:t>2.</w:t>
            </w:r>
            <w:r>
              <w:tab/>
              <w:t xml:space="preserve">Ministru kabineta </w:t>
            </w:r>
            <w:proofErr w:type="gramStart"/>
            <w:r>
              <w:t>2013.gada</w:t>
            </w:r>
            <w:proofErr w:type="gramEnd"/>
            <w:r>
              <w:t xml:space="preserve"> 6.augusta sēdē nolemto (prot. Nr.42, 92.§ “Informatīvais ziņojums “Par Latvijas civilo ekspertu dalību starptautiskajās misijās un operācijās 2014.-2016.gadā” 2.punkts – nodrošināt Latvijas civilo ekspertu (Iekšlietu ministrijas sistēmas iestāžu amatpersonu ar speciālajām dienesta pakāpēm) dalību 2014.-2016. gadā </w:t>
            </w:r>
            <w:proofErr w:type="spellStart"/>
            <w:r>
              <w:t>patreizējā</w:t>
            </w:r>
            <w:proofErr w:type="spellEnd"/>
            <w:r>
              <w:t xml:space="preserve"> līmenī - ES Novērošanas misijā Gruzijā (trīs civilie eksperti) un ES Policijas misijā Afganistānā (trīs civilie eksperti));</w:t>
            </w:r>
          </w:p>
          <w:p w:rsidR="0089519A" w:rsidRDefault="0089519A" w:rsidP="0089519A">
            <w:pPr>
              <w:pStyle w:val="naiskr"/>
              <w:spacing w:before="0" w:after="0"/>
              <w:ind w:left="436" w:hanging="284"/>
              <w:jc w:val="both"/>
            </w:pPr>
            <w:r>
              <w:t>3.</w:t>
            </w:r>
            <w:r>
              <w:tab/>
              <w:t xml:space="preserve">Eiropas Ārējās darbības dienesta Civilo operāciju komandiera </w:t>
            </w:r>
            <w:proofErr w:type="gramStart"/>
            <w:r>
              <w:t>2015.gada</w:t>
            </w:r>
            <w:proofErr w:type="gramEnd"/>
            <w:r>
              <w:t xml:space="preserve"> 8.maija vēstuli ar lūgumu pagarināt dalības laiku  EUMM GEORGIA </w:t>
            </w:r>
            <w:proofErr w:type="spellStart"/>
            <w:r>
              <w:t>K.Pintānam</w:t>
            </w:r>
            <w:proofErr w:type="spellEnd"/>
            <w:r>
              <w:t xml:space="preserve">  un </w:t>
            </w:r>
            <w:proofErr w:type="spellStart"/>
            <w:r>
              <w:t>J.Padānam</w:t>
            </w:r>
            <w:proofErr w:type="spellEnd"/>
            <w:r>
              <w:t xml:space="preserve">  attiecīgi līdz 2016.gada 15.septembrim un līdz 21.septembrim;</w:t>
            </w:r>
          </w:p>
          <w:p w:rsidR="0089519A" w:rsidRDefault="0089519A" w:rsidP="0089519A">
            <w:pPr>
              <w:pStyle w:val="naiskr"/>
              <w:spacing w:before="0" w:after="0"/>
              <w:ind w:left="436" w:hanging="284"/>
              <w:jc w:val="both"/>
            </w:pPr>
            <w:r>
              <w:t>4.</w:t>
            </w:r>
            <w:r>
              <w:tab/>
              <w:t xml:space="preserve">Ministru kabineta </w:t>
            </w:r>
            <w:proofErr w:type="gramStart"/>
            <w:r>
              <w:t>2015.gada</w:t>
            </w:r>
            <w:proofErr w:type="gramEnd"/>
            <w:r>
              <w:t xml:space="preserve"> 25.augusta sēdē nolemto (prot. Nr.41, 44.§ “Informatīvais ziņojums “Par priekšlikumiem valsts budžeta izdevumiem 2016. gadam un ietvaram 2016.-2018. gadam” 25.punkts);</w:t>
            </w:r>
          </w:p>
          <w:p w:rsidR="00090983" w:rsidRPr="004D06FF" w:rsidRDefault="0089519A" w:rsidP="0089519A">
            <w:pPr>
              <w:pStyle w:val="naiskr"/>
              <w:spacing w:before="0" w:after="0"/>
              <w:ind w:left="436" w:hanging="284"/>
              <w:jc w:val="both"/>
            </w:pPr>
            <w:r>
              <w:t>5.</w:t>
            </w:r>
            <w:r>
              <w:tab/>
              <w:t xml:space="preserve">Ministru kabineta </w:t>
            </w:r>
            <w:proofErr w:type="gramStart"/>
            <w:r>
              <w:t>2009.gada</w:t>
            </w:r>
            <w:proofErr w:type="gramEnd"/>
            <w:r>
              <w:t xml:space="preserve"> 22.decembra noteikumu Nr.1644 “Kārtība, kādā pieprasa un izlieto budžeta programmas “Līdzekļi neparedzētiem gadījumiem” līdzekļus” 3.punktu.</w:t>
            </w:r>
          </w:p>
        </w:tc>
      </w:tr>
      <w:tr w:rsidR="00262E2B" w:rsidRPr="004D06FF" w:rsidTr="00DA0C24">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Borders>
              <w:top w:val="single" w:sz="4" w:space="0" w:color="auto"/>
              <w:left w:val="single" w:sz="4" w:space="0" w:color="auto"/>
              <w:bottom w:val="single" w:sz="4" w:space="0" w:color="auto"/>
              <w:right w:val="single" w:sz="4" w:space="0" w:color="auto"/>
            </w:tcBorders>
          </w:tcPr>
          <w:p w:rsidR="001F42C4" w:rsidRDefault="001346FE" w:rsidP="0089519A">
            <w:pPr>
              <w:pStyle w:val="naiskr"/>
              <w:spacing w:before="0" w:after="0"/>
              <w:ind w:firstLine="436"/>
              <w:jc w:val="both"/>
            </w:pPr>
            <w:r>
              <w:t>Minēto amatpersonu d</w:t>
            </w:r>
            <w:r w:rsidR="001F42C4" w:rsidRPr="001F42C4">
              <w:t xml:space="preserve">alības laiks </w:t>
            </w:r>
            <w:r w:rsidR="001F42C4" w:rsidRPr="001F42C4">
              <w:rPr>
                <w:i/>
              </w:rPr>
              <w:t>EU</w:t>
            </w:r>
            <w:r w:rsidR="00A4534E">
              <w:rPr>
                <w:i/>
              </w:rPr>
              <w:t>MM</w:t>
            </w:r>
            <w:r w:rsidR="001F42C4" w:rsidRPr="001F42C4">
              <w:rPr>
                <w:i/>
              </w:rPr>
              <w:t xml:space="preserve"> </w:t>
            </w:r>
            <w:r w:rsidR="00A4534E">
              <w:rPr>
                <w:i/>
              </w:rPr>
              <w:t>GEORGIA</w:t>
            </w:r>
            <w:r w:rsidR="008525DB" w:rsidRPr="008525DB">
              <w:t xml:space="preserve"> noteikts</w:t>
            </w:r>
            <w:r w:rsidR="00CE0D70">
              <w:t xml:space="preserve"> </w:t>
            </w:r>
            <w:r w:rsidR="002661CA" w:rsidRPr="002661CA">
              <w:t xml:space="preserve">līdz </w:t>
            </w:r>
            <w:proofErr w:type="gramStart"/>
            <w:r w:rsidR="002661CA" w:rsidRPr="002661CA">
              <w:t>2015.gada</w:t>
            </w:r>
            <w:proofErr w:type="gramEnd"/>
            <w:r w:rsidR="002661CA" w:rsidRPr="002661CA">
              <w:t xml:space="preserve"> </w:t>
            </w:r>
            <w:r>
              <w:t>31</w:t>
            </w:r>
            <w:r w:rsidR="002661CA" w:rsidRPr="002661CA">
              <w:t>.</w:t>
            </w:r>
            <w:r>
              <w:t>dec</w:t>
            </w:r>
            <w:r w:rsidR="002661CA" w:rsidRPr="002661CA">
              <w:t xml:space="preserve">embrim </w:t>
            </w:r>
            <w:r w:rsidR="001F42C4" w:rsidRPr="001F42C4">
              <w:t>(Ministru kabineta 201</w:t>
            </w:r>
            <w:r w:rsidR="002661CA">
              <w:t>5</w:t>
            </w:r>
            <w:r w:rsidR="001F42C4" w:rsidRPr="001F42C4">
              <w:t xml:space="preserve">.gada </w:t>
            </w:r>
            <w:r w:rsidR="008442AF">
              <w:t>9</w:t>
            </w:r>
            <w:r w:rsidR="001F42C4" w:rsidRPr="001F42C4">
              <w:t>.</w:t>
            </w:r>
            <w:r w:rsidR="008442AF">
              <w:t>septembra</w:t>
            </w:r>
            <w:r w:rsidR="001F42C4" w:rsidRPr="001F42C4">
              <w:t xml:space="preserve"> rīkojums Nr.</w:t>
            </w:r>
            <w:r w:rsidR="008442AF">
              <w:t>491</w:t>
            </w:r>
            <w:r w:rsidR="002661CA">
              <w:t xml:space="preserve"> “</w:t>
            </w:r>
            <w:r w:rsidR="002661CA" w:rsidRPr="002661CA">
              <w:t>Par Valsts policijas un Valsts robežsardzes amatpersonu ar speciālajām dienesta pakāpēm dalības laika pagarināšanu Eiropas Savienības novērošanas misijā Gruzijā (</w:t>
            </w:r>
            <w:r w:rsidR="002661CA" w:rsidRPr="00677C27">
              <w:rPr>
                <w:i/>
              </w:rPr>
              <w:t>EUMM GEORGIA</w:t>
            </w:r>
            <w:r w:rsidR="002661CA" w:rsidRPr="002661CA">
              <w:t>)</w:t>
            </w:r>
            <w:r w:rsidR="008525DB">
              <w:t>”</w:t>
            </w:r>
            <w:r w:rsidR="001F42C4" w:rsidRPr="001F42C4">
              <w:t>).</w:t>
            </w:r>
          </w:p>
          <w:p w:rsidR="001831B9" w:rsidRDefault="001F42C4" w:rsidP="0089519A">
            <w:pPr>
              <w:pStyle w:val="naiskr"/>
              <w:spacing w:before="0" w:after="0"/>
              <w:ind w:firstLine="436"/>
              <w:jc w:val="both"/>
            </w:pPr>
            <w:r w:rsidRPr="001F42C4">
              <w:t xml:space="preserve">Saskaņā ar Ministru kabineta 2007.gada 22.maija noteikumu Nr.340 </w:t>
            </w:r>
            <w:r w:rsidR="008525DB">
              <w:t>“</w:t>
            </w:r>
            <w:r w:rsidRPr="001F42C4">
              <w:t>Kārtība, kādā Valsts robežsardzes, Valsts policijas un Valsts ugunsdzēsības un glābšanas dienesta amatpersonas ar speciālajām dienesta pakāpēm nosūta dalībai starptautiskajās misijās un operācijās, un dalības finansēšanas kārtība</w:t>
            </w:r>
            <w:r w:rsidR="008525DB">
              <w:t>”</w:t>
            </w:r>
            <w:r w:rsidRPr="001F42C4">
              <w:t xml:space="preserve"> 8.punktu, amatpersonas dalības laiku starptautiskajā misijā var pagarināt Ministru kabinets ar atsevišķu rīkojumu.</w:t>
            </w:r>
          </w:p>
          <w:p w:rsidR="00090983" w:rsidRPr="004D06FF" w:rsidRDefault="00A4534E" w:rsidP="0089519A">
            <w:pPr>
              <w:pStyle w:val="naiskr"/>
              <w:spacing w:before="0" w:after="0"/>
              <w:ind w:firstLine="436"/>
              <w:jc w:val="both"/>
            </w:pPr>
            <w:proofErr w:type="spellStart"/>
            <w:r>
              <w:lastRenderedPageBreak/>
              <w:t>K</w:t>
            </w:r>
            <w:r w:rsidR="001F42C4">
              <w:t>.</w:t>
            </w:r>
            <w:r>
              <w:t>Pintāns</w:t>
            </w:r>
            <w:proofErr w:type="spellEnd"/>
            <w:r w:rsidR="00090983" w:rsidRPr="004D06FF">
              <w:t xml:space="preserve"> </w:t>
            </w:r>
            <w:r w:rsidR="008525DB">
              <w:t xml:space="preserve">un </w:t>
            </w:r>
            <w:proofErr w:type="spellStart"/>
            <w:r w:rsidR="008525DB">
              <w:t>J.Padāns</w:t>
            </w:r>
            <w:proofErr w:type="spellEnd"/>
            <w:r w:rsidR="008525DB">
              <w:t xml:space="preserve"> </w:t>
            </w:r>
            <w:r w:rsidR="00090983" w:rsidRPr="004D06FF">
              <w:t>sav</w:t>
            </w:r>
            <w:r w:rsidR="008525DB">
              <w:t>os</w:t>
            </w:r>
            <w:r w:rsidR="00090983" w:rsidRPr="004D06FF">
              <w:t xml:space="preserve"> dienesta ziņojum</w:t>
            </w:r>
            <w:r w:rsidR="008525DB">
              <w:t>os</w:t>
            </w:r>
            <w:r w:rsidR="00090983" w:rsidRPr="004D06FF">
              <w:t xml:space="preserve"> piekrita </w:t>
            </w:r>
            <w:r w:rsidR="005C7D63">
              <w:t>dalība</w:t>
            </w:r>
            <w:r w:rsidR="001F42C4">
              <w:t>s laika pagarināšanai</w:t>
            </w:r>
            <w:r w:rsidR="001831B9" w:rsidRPr="004D06FF">
              <w:t xml:space="preserve"> </w:t>
            </w:r>
            <w:r w:rsidR="006652AE" w:rsidRPr="004D06FF">
              <w:rPr>
                <w:i/>
              </w:rPr>
              <w:t>EU</w:t>
            </w:r>
            <w:r>
              <w:rPr>
                <w:i/>
              </w:rPr>
              <w:t>MM</w:t>
            </w:r>
            <w:r w:rsidR="006652AE" w:rsidRPr="004D06FF">
              <w:rPr>
                <w:i/>
              </w:rPr>
              <w:t xml:space="preserve"> </w:t>
            </w:r>
            <w:r>
              <w:rPr>
                <w:i/>
              </w:rPr>
              <w:t>GEORGIA</w:t>
            </w:r>
            <w:r w:rsidR="001831B9" w:rsidRPr="004D06FF">
              <w:t xml:space="preserve"> </w:t>
            </w:r>
            <w:r w:rsidR="008525DB">
              <w:t xml:space="preserve">attiecīgi </w:t>
            </w:r>
            <w:r>
              <w:t>līdz 201</w:t>
            </w:r>
            <w:r w:rsidR="008525DB">
              <w:t>6</w:t>
            </w:r>
            <w:r>
              <w:t>.gada 15.septembrim</w:t>
            </w:r>
            <w:r w:rsidR="008525DB">
              <w:t xml:space="preserve"> un 21</w:t>
            </w:r>
            <w:r w:rsidR="00090983" w:rsidRPr="004D06FF">
              <w:t>.</w:t>
            </w:r>
            <w:r w:rsidR="008525DB">
              <w:t>septembrim</w:t>
            </w:r>
            <w:r w:rsidR="001346FE">
              <w:t>.</w:t>
            </w:r>
          </w:p>
          <w:p w:rsidR="001F42C4" w:rsidRDefault="001E3DEB" w:rsidP="0089519A">
            <w:pPr>
              <w:pStyle w:val="naiskr"/>
              <w:spacing w:before="0" w:after="0"/>
              <w:ind w:firstLine="436"/>
              <w:jc w:val="both"/>
            </w:pPr>
            <w:r w:rsidRPr="001E3DEB">
              <w:t>Saskaņā ar Informatīvā ziņojuma “Par priekšlikumiem valsts budžeta izdevumiem 2016. gadam un ietvaram 2016.-2018. gadam” (Ministru kabineta 2015. gada 25. augusta sēdes protokols Nr. 41, 44.§) 25. punktu Ārlietu ministrija un Iekšlietu ministrija civilo ekspertu darbības nodrošināšanai 2016. gadā var iesniegt pieprasījumu no līdz</w:t>
            </w:r>
            <w:r>
              <w:t xml:space="preserve">ekļiem neparedzētiem gadījumiem, ievērojot </w:t>
            </w:r>
            <w:r w:rsidRPr="001E3DEB">
              <w:t>Ministru kabineta</w:t>
            </w:r>
            <w:r w:rsidRPr="001E3DEB">
              <w:rPr>
                <w:b/>
                <w:bCs/>
              </w:rPr>
              <w:t xml:space="preserve"> </w:t>
            </w:r>
            <w:r w:rsidRPr="001E3DEB">
              <w:t>2009.gada 22.decembra noteikum</w:t>
            </w:r>
            <w:r>
              <w:t>us</w:t>
            </w:r>
            <w:r w:rsidRPr="001E3DEB">
              <w:t xml:space="preserve"> Nr.1644 “Kārtība, kādā pieprasa un izlieto budžeta programmas “Līdzekļi neparedzētiem gadījumiem” līdzekļus”</w:t>
            </w:r>
            <w:r w:rsidR="001346FE">
              <w:t>.</w:t>
            </w:r>
          </w:p>
          <w:p w:rsidR="002240B0" w:rsidRPr="004D06FF" w:rsidRDefault="001E3DEB" w:rsidP="0089519A">
            <w:pPr>
              <w:pStyle w:val="naiskr"/>
              <w:spacing w:before="0" w:after="0"/>
              <w:ind w:firstLine="436"/>
              <w:jc w:val="both"/>
            </w:pPr>
            <w:r>
              <w:t>Rīkojuma p</w:t>
            </w:r>
            <w:r w:rsidRPr="001E3DEB">
              <w:t>rojekts paredz</w:t>
            </w:r>
            <w:r w:rsidR="001346FE" w:rsidRPr="001346FE">
              <w:t xml:space="preserve"> Valsts policijas amatpersonas </w:t>
            </w:r>
            <w:proofErr w:type="spellStart"/>
            <w:r w:rsidR="001346FE">
              <w:t>K.Pintāna</w:t>
            </w:r>
            <w:proofErr w:type="spellEnd"/>
            <w:r w:rsidR="001346FE" w:rsidRPr="001346FE">
              <w:t xml:space="preserve"> </w:t>
            </w:r>
            <w:r w:rsidR="001346FE">
              <w:t xml:space="preserve">un Valsts robežsardzes amatpersonas </w:t>
            </w:r>
            <w:proofErr w:type="spellStart"/>
            <w:r w:rsidR="001346FE">
              <w:t>J.Padāna</w:t>
            </w:r>
            <w:proofErr w:type="spellEnd"/>
            <w:r w:rsidR="001346FE">
              <w:t xml:space="preserve"> </w:t>
            </w:r>
            <w:r w:rsidR="001346FE" w:rsidRPr="001346FE">
              <w:t xml:space="preserve">dalības laika pagarināšanu Eiropas Savienības </w:t>
            </w:r>
            <w:r w:rsidR="001346FE">
              <w:t>novērošanas</w:t>
            </w:r>
            <w:r w:rsidR="001346FE" w:rsidRPr="001346FE">
              <w:t xml:space="preserve"> misijā </w:t>
            </w:r>
            <w:r w:rsidR="001346FE">
              <w:t>Gruzijā</w:t>
            </w:r>
            <w:r w:rsidR="001346FE" w:rsidRPr="001346FE">
              <w:t xml:space="preserve"> (</w:t>
            </w:r>
            <w:r w:rsidR="001346FE" w:rsidRPr="001346FE">
              <w:rPr>
                <w:i/>
              </w:rPr>
              <w:t>EU</w:t>
            </w:r>
            <w:r w:rsidR="001346FE">
              <w:rPr>
                <w:i/>
              </w:rPr>
              <w:t>MM</w:t>
            </w:r>
            <w:r w:rsidR="001346FE" w:rsidRPr="001346FE">
              <w:rPr>
                <w:i/>
              </w:rPr>
              <w:t xml:space="preserve"> </w:t>
            </w:r>
            <w:r w:rsidR="001346FE">
              <w:rPr>
                <w:i/>
              </w:rPr>
              <w:t>GEORGIA</w:t>
            </w:r>
            <w:r w:rsidR="001346FE" w:rsidRPr="001346FE">
              <w:t xml:space="preserve">) </w:t>
            </w:r>
            <w:r w:rsidR="001346FE">
              <w:t xml:space="preserve">no </w:t>
            </w:r>
            <w:proofErr w:type="gramStart"/>
            <w:r w:rsidR="001346FE">
              <w:t>2016.gada</w:t>
            </w:r>
            <w:proofErr w:type="gramEnd"/>
            <w:r w:rsidR="001346FE">
              <w:t xml:space="preserve"> 1.janvāra attiecīgi </w:t>
            </w:r>
            <w:r w:rsidR="001346FE" w:rsidRPr="001346FE">
              <w:t>līdz 2016. gada 15.septembrim un 21.septembrim</w:t>
            </w:r>
            <w:r w:rsidR="001346FE">
              <w:t>, un</w:t>
            </w:r>
            <w:r w:rsidRPr="001E3DEB">
              <w:t xml:space="preserve"> uzdevumu Finanšu ministrijai no valsts budžeta programmas 02.00.00 “Līdzekļi neparedzētiem gadījumiem” piešķirt Valsts policijai</w:t>
            </w:r>
            <w:r>
              <w:t xml:space="preserve"> </w:t>
            </w:r>
            <w:r w:rsidR="0089519A">
              <w:t>30 737</w:t>
            </w:r>
            <w:r w:rsidR="00C77E04">
              <w:t xml:space="preserve"> </w:t>
            </w:r>
            <w:proofErr w:type="spellStart"/>
            <w:r w:rsidR="00C77E04" w:rsidRPr="00C77E04">
              <w:rPr>
                <w:i/>
              </w:rPr>
              <w:t>euro</w:t>
            </w:r>
            <w:proofErr w:type="spellEnd"/>
            <w:r w:rsidR="00C77E04">
              <w:t xml:space="preserve"> </w:t>
            </w:r>
            <w:r>
              <w:t>un Valsts robežsardzei</w:t>
            </w:r>
            <w:r w:rsidRPr="001E3DEB">
              <w:t xml:space="preserve"> </w:t>
            </w:r>
            <w:r w:rsidR="0089519A">
              <w:t>31 433</w:t>
            </w:r>
            <w:r w:rsidRPr="001E3DEB">
              <w:t xml:space="preserve">  </w:t>
            </w:r>
            <w:proofErr w:type="spellStart"/>
            <w:r w:rsidRPr="00C77E04">
              <w:rPr>
                <w:i/>
              </w:rPr>
              <w:t>euro</w:t>
            </w:r>
            <w:proofErr w:type="spellEnd"/>
            <w:r w:rsidRPr="001E3DEB">
              <w:t xml:space="preserve">,  lai segtu </w:t>
            </w:r>
            <w:r w:rsidR="001346FE">
              <w:t xml:space="preserve">minēto amatpersonu uzturēšanas </w:t>
            </w:r>
            <w:r w:rsidRPr="001E3DEB">
              <w:t>izdevumus</w:t>
            </w:r>
            <w:r w:rsidR="001346FE">
              <w:t xml:space="preserve"> misijā.</w:t>
            </w:r>
          </w:p>
        </w:tc>
      </w:tr>
      <w:tr w:rsidR="00262E2B" w:rsidRPr="004D06FF" w:rsidTr="00DA0C24">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CB1F2F" w:rsidP="0089519A">
            <w:pPr>
              <w:pStyle w:val="naiskr"/>
              <w:spacing w:before="0" w:after="0"/>
            </w:pPr>
            <w:r w:rsidRPr="004D06FF">
              <w:rPr>
                <w:iCs/>
              </w:rPr>
              <w:t>Iekšlietu ministrija</w:t>
            </w:r>
            <w:r w:rsidR="008442AF">
              <w:rPr>
                <w:iCs/>
              </w:rPr>
              <w:t>, Valsts policija un Valsts robežsardze</w:t>
            </w:r>
            <w:r w:rsidR="00C77E04">
              <w:rPr>
                <w:iCs/>
              </w:rPr>
              <w:t>.</w:t>
            </w:r>
          </w:p>
        </w:tc>
      </w:tr>
      <w:tr w:rsidR="00262E2B" w:rsidRPr="004D06FF" w:rsidTr="00DA0C24">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124F12" w:rsidRPr="004D06FF" w:rsidTr="00DA0C24">
        <w:trPr>
          <w:trHeight w:val="286"/>
          <w:jc w:val="center"/>
        </w:trPr>
        <w:tc>
          <w:tcPr>
            <w:tcW w:w="10224" w:type="dxa"/>
            <w:gridSpan w:val="7"/>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AF1426">
        <w:trPr>
          <w:jc w:val="center"/>
        </w:trPr>
        <w:tc>
          <w:tcPr>
            <w:tcW w:w="3576" w:type="dxa"/>
            <w:gridSpan w:val="2"/>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89519A">
            <w:pPr>
              <w:pStyle w:val="naisf"/>
              <w:spacing w:before="0" w:after="0"/>
              <w:ind w:firstLine="0"/>
              <w:jc w:val="center"/>
              <w:rPr>
                <w:b/>
              </w:rPr>
            </w:pPr>
            <w:r w:rsidRPr="004D06FF">
              <w:rPr>
                <w:b/>
              </w:rPr>
              <w:t>201</w:t>
            </w:r>
            <w:r w:rsidR="008442AF">
              <w:rPr>
                <w:b/>
              </w:rPr>
              <w:t>6</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124F12"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7</w:t>
            </w:r>
            <w:r w:rsidRPr="004D06FF">
              <w:rPr>
                <w:b/>
                <w:bCs/>
              </w:rPr>
              <w:t>.</w:t>
            </w: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8</w:t>
            </w:r>
            <w:r w:rsidRPr="004D06FF">
              <w:rPr>
                <w:b/>
                <w:bCs/>
              </w:rPr>
              <w:t>.</w:t>
            </w:r>
          </w:p>
        </w:tc>
        <w:tc>
          <w:tcPr>
            <w:tcW w:w="1518"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9</w:t>
            </w:r>
            <w:r w:rsidRPr="004D06FF">
              <w:rPr>
                <w:b/>
                <w:bCs/>
              </w:rPr>
              <w:t>.</w:t>
            </w:r>
          </w:p>
        </w:tc>
      </w:tr>
      <w:tr w:rsidR="00124F12"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AF1426">
        <w:trPr>
          <w:jc w:val="center"/>
        </w:trPr>
        <w:tc>
          <w:tcPr>
            <w:tcW w:w="3576" w:type="dxa"/>
            <w:gridSpan w:val="2"/>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1.1. valsts pamatbudžets, tai skaitā ieņēmumi no maksas pakalpojumiem un citi pašu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7B7C73" w:rsidRPr="004D06FF" w:rsidTr="00AF1426">
        <w:trPr>
          <w:jc w:val="center"/>
        </w:trPr>
        <w:tc>
          <w:tcPr>
            <w:tcW w:w="3576" w:type="dxa"/>
            <w:gridSpan w:val="2"/>
          </w:tcPr>
          <w:p w:rsidR="007B7C73" w:rsidRPr="004D06FF" w:rsidRDefault="007B7C73" w:rsidP="0089519A">
            <w:pPr>
              <w:jc w:val="both"/>
            </w:pPr>
            <w:r w:rsidRPr="004D06FF">
              <w:t>2. Budžeta izdevumi:</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4D06FF" w:rsidRDefault="00C77E04" w:rsidP="0089519A">
            <w:pPr>
              <w:pStyle w:val="naisf"/>
              <w:spacing w:before="0" w:after="0"/>
              <w:ind w:firstLine="0"/>
              <w:jc w:val="center"/>
            </w:pPr>
            <w:r>
              <w:t xml:space="preserve">+ </w:t>
            </w:r>
            <w:r w:rsidR="0089519A">
              <w:t>62 170</w:t>
            </w:r>
          </w:p>
        </w:tc>
        <w:tc>
          <w:tcPr>
            <w:tcW w:w="1283" w:type="dxa"/>
          </w:tcPr>
          <w:p w:rsidR="007B7C73" w:rsidRPr="004D06FF" w:rsidRDefault="007B7C73" w:rsidP="0089519A">
            <w:pPr>
              <w:pStyle w:val="naisf"/>
              <w:spacing w:before="0" w:after="0"/>
              <w:ind w:firstLine="0"/>
              <w:jc w:val="center"/>
            </w:pPr>
            <w:r w:rsidRPr="004D06FF">
              <w:t>0</w:t>
            </w:r>
          </w:p>
        </w:tc>
        <w:tc>
          <w:tcPr>
            <w:tcW w:w="1283" w:type="dxa"/>
          </w:tcPr>
          <w:p w:rsidR="007B7C73" w:rsidRPr="004D06FF" w:rsidRDefault="007B7C73" w:rsidP="0089519A">
            <w:pPr>
              <w:pStyle w:val="naisf"/>
              <w:spacing w:before="0" w:after="0"/>
              <w:ind w:firstLine="0"/>
              <w:jc w:val="center"/>
            </w:pPr>
            <w:r w:rsidRPr="004D06FF">
              <w:t>0</w:t>
            </w:r>
          </w:p>
        </w:tc>
        <w:tc>
          <w:tcPr>
            <w:tcW w:w="1518" w:type="dxa"/>
          </w:tcPr>
          <w:p w:rsidR="007B7C73" w:rsidRPr="004D06FF" w:rsidRDefault="007B7C73" w:rsidP="0089519A">
            <w:pPr>
              <w:pStyle w:val="naisf"/>
              <w:spacing w:before="0" w:after="0"/>
              <w:ind w:firstLine="0"/>
              <w:jc w:val="center"/>
            </w:pPr>
            <w:r w:rsidRPr="004D06FF">
              <w:t>0</w:t>
            </w:r>
          </w:p>
        </w:tc>
      </w:tr>
      <w:tr w:rsidR="007B7C73" w:rsidRPr="004D06FF" w:rsidTr="00AF1426">
        <w:trPr>
          <w:jc w:val="center"/>
        </w:trPr>
        <w:tc>
          <w:tcPr>
            <w:tcW w:w="3576" w:type="dxa"/>
            <w:gridSpan w:val="2"/>
          </w:tcPr>
          <w:p w:rsidR="007B7C73" w:rsidRPr="004D06FF" w:rsidRDefault="007B7C73" w:rsidP="0089519A">
            <w:pPr>
              <w:jc w:val="both"/>
            </w:pPr>
            <w:r w:rsidRPr="004D06FF">
              <w:t>2.1. valsts pamatbudžets</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4D06FF" w:rsidRDefault="00C77E04" w:rsidP="0089519A">
            <w:pPr>
              <w:pStyle w:val="naisf"/>
              <w:spacing w:before="0" w:after="0"/>
              <w:ind w:firstLine="0"/>
              <w:jc w:val="center"/>
            </w:pPr>
            <w:r>
              <w:t xml:space="preserve">+ </w:t>
            </w:r>
            <w:r w:rsidR="0089519A">
              <w:t>62 170</w:t>
            </w:r>
          </w:p>
        </w:tc>
        <w:tc>
          <w:tcPr>
            <w:tcW w:w="1283" w:type="dxa"/>
          </w:tcPr>
          <w:p w:rsidR="007B7C73" w:rsidRPr="004D06FF" w:rsidRDefault="007B7C73" w:rsidP="0089519A">
            <w:pPr>
              <w:pStyle w:val="naisf"/>
              <w:spacing w:before="0" w:after="0"/>
              <w:ind w:firstLine="0"/>
              <w:jc w:val="center"/>
            </w:pPr>
            <w:r w:rsidRPr="004D06FF">
              <w:t>0</w:t>
            </w:r>
          </w:p>
        </w:tc>
        <w:tc>
          <w:tcPr>
            <w:tcW w:w="1283" w:type="dxa"/>
          </w:tcPr>
          <w:p w:rsidR="007B7C73" w:rsidRPr="004D06FF" w:rsidRDefault="007B7C73" w:rsidP="0089519A">
            <w:pPr>
              <w:pStyle w:val="naisf"/>
              <w:spacing w:before="0" w:after="0"/>
              <w:ind w:firstLine="0"/>
              <w:jc w:val="center"/>
            </w:pPr>
            <w:r w:rsidRPr="004D06FF">
              <w:t>0</w:t>
            </w:r>
          </w:p>
        </w:tc>
        <w:tc>
          <w:tcPr>
            <w:tcW w:w="1518" w:type="dxa"/>
          </w:tcPr>
          <w:p w:rsidR="007B7C73" w:rsidRPr="004D06FF" w:rsidRDefault="007B7C73"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2.3. pašvaldību budžets </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3. Finansiālā ietekme:</w:t>
            </w:r>
          </w:p>
        </w:tc>
        <w:tc>
          <w:tcPr>
            <w:tcW w:w="1281" w:type="dxa"/>
            <w:shd w:val="clear" w:color="auto" w:fill="auto"/>
            <w:vAlign w:val="center"/>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77E04" w:rsidP="0089519A">
            <w:pPr>
              <w:pStyle w:val="naisf"/>
              <w:spacing w:before="0" w:after="0"/>
              <w:ind w:firstLine="0"/>
              <w:jc w:val="center"/>
            </w:pPr>
            <w:r>
              <w:t xml:space="preserve">- </w:t>
            </w:r>
            <w:r w:rsidR="0089519A">
              <w:t>62 170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77E04" w:rsidP="0089519A">
            <w:pPr>
              <w:pStyle w:val="naisf"/>
              <w:spacing w:before="0" w:after="0"/>
              <w:ind w:firstLine="0"/>
              <w:jc w:val="center"/>
            </w:pPr>
            <w:r>
              <w:t xml:space="preserve">- </w:t>
            </w:r>
            <w:r w:rsidR="0089519A">
              <w:t>62 170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3.2. speciālais budžets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C77E04" w:rsidRPr="004D06FF" w:rsidTr="00AF1426">
        <w:trPr>
          <w:trHeight w:val="1380"/>
          <w:jc w:val="center"/>
        </w:trPr>
        <w:tc>
          <w:tcPr>
            <w:tcW w:w="3576" w:type="dxa"/>
            <w:gridSpan w:val="2"/>
          </w:tcPr>
          <w:p w:rsidR="00C77E04" w:rsidRPr="004D06FF" w:rsidRDefault="00C77E04" w:rsidP="0089519A">
            <w:pPr>
              <w:jc w:val="both"/>
            </w:pPr>
            <w:r w:rsidRPr="004D06FF">
              <w:lastRenderedPageBreak/>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4D06FF" w:rsidRDefault="00C77E04" w:rsidP="0089519A">
            <w:pPr>
              <w:pStyle w:val="naisf"/>
              <w:spacing w:before="0" w:after="0"/>
              <w:ind w:firstLine="0"/>
              <w:jc w:val="center"/>
            </w:pPr>
            <w:r>
              <w:t xml:space="preserve">+ </w:t>
            </w:r>
            <w:r w:rsidR="0089519A">
              <w:t>62 170</w:t>
            </w:r>
          </w:p>
        </w:tc>
        <w:tc>
          <w:tcPr>
            <w:tcW w:w="1283" w:type="dxa"/>
          </w:tcPr>
          <w:p w:rsidR="00C77E04" w:rsidRPr="004D06FF" w:rsidRDefault="00C77E04" w:rsidP="0089519A">
            <w:pPr>
              <w:pStyle w:val="naisf"/>
              <w:spacing w:before="0" w:after="0"/>
              <w:ind w:firstLine="0"/>
              <w:jc w:val="center"/>
            </w:pPr>
            <w:r w:rsidRPr="004D06FF">
              <w:t>0</w:t>
            </w:r>
          </w:p>
        </w:tc>
        <w:tc>
          <w:tcPr>
            <w:tcW w:w="1283" w:type="dxa"/>
          </w:tcPr>
          <w:p w:rsidR="00C77E04" w:rsidRPr="004D06FF" w:rsidRDefault="00C77E04" w:rsidP="0089519A">
            <w:pPr>
              <w:pStyle w:val="naisf"/>
              <w:spacing w:before="0" w:after="0"/>
              <w:ind w:firstLine="0"/>
              <w:jc w:val="center"/>
            </w:pPr>
            <w:r w:rsidRPr="004D06FF">
              <w:t>0</w:t>
            </w:r>
          </w:p>
        </w:tc>
        <w:tc>
          <w:tcPr>
            <w:tcW w:w="1518" w:type="dxa"/>
          </w:tcPr>
          <w:p w:rsidR="00C77E04" w:rsidRPr="004D06FF" w:rsidRDefault="00C77E04"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95334F" w:rsidRPr="004D06FF" w:rsidTr="00AF1426">
        <w:trPr>
          <w:jc w:val="center"/>
        </w:trPr>
        <w:tc>
          <w:tcPr>
            <w:tcW w:w="3576" w:type="dxa"/>
            <w:gridSpan w:val="2"/>
          </w:tcPr>
          <w:p w:rsidR="0095334F" w:rsidRPr="004D06FF" w:rsidRDefault="0095334F" w:rsidP="0089519A">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C77E04" w:rsidRDefault="00C77E04" w:rsidP="0089519A">
            <w:pPr>
              <w:pStyle w:val="naisf"/>
              <w:spacing w:before="0" w:after="0"/>
              <w:ind w:firstLine="0"/>
            </w:pPr>
            <w:r>
              <w:t>Rīkojuma projekts paredz no val</w:t>
            </w:r>
            <w:r w:rsidR="00FD0332">
              <w:t>sts budžeta programmas 02.00.00</w:t>
            </w:r>
            <w:r>
              <w:t xml:space="preserve"> “Līdzekļi neparedzētiem gadījumiem” piešķirt:</w:t>
            </w:r>
          </w:p>
          <w:p w:rsidR="00C77E04" w:rsidRDefault="00C77E04" w:rsidP="0089519A">
            <w:pPr>
              <w:pStyle w:val="naisf"/>
              <w:numPr>
                <w:ilvl w:val="0"/>
                <w:numId w:val="15"/>
              </w:numPr>
              <w:spacing w:before="0" w:after="0"/>
            </w:pPr>
            <w:r>
              <w:t xml:space="preserve">Iekšlietu ministrijai (Valsts policijai) </w:t>
            </w:r>
            <w:r w:rsidR="0089519A">
              <w:t>30 737</w:t>
            </w:r>
            <w:r>
              <w:t xml:space="preserve"> </w:t>
            </w:r>
            <w:proofErr w:type="spellStart"/>
            <w:r w:rsidRPr="00C77E04">
              <w:rPr>
                <w:i/>
              </w:rPr>
              <w:t>euro</w:t>
            </w:r>
            <w:proofErr w:type="spellEnd"/>
            <w:r>
              <w:t xml:space="preserve">, lai segtu izdevumus, kas saistīti ar rīkojuma projekta 1.1.apakšpunktā minētās amatpersonas ar speciālo dienesta pakāpi dalību Eiropas Savienības novērošanas misijā Gruzijā (EUMM GEORGIA) līdz </w:t>
            </w:r>
            <w:proofErr w:type="gramStart"/>
            <w:r>
              <w:t>2016.gada</w:t>
            </w:r>
            <w:proofErr w:type="gramEnd"/>
            <w:r>
              <w:t xml:space="preserve"> 15.septembrim;</w:t>
            </w:r>
          </w:p>
          <w:p w:rsidR="00C77E04" w:rsidRDefault="00C77E04" w:rsidP="0089519A">
            <w:pPr>
              <w:pStyle w:val="naisf"/>
              <w:numPr>
                <w:ilvl w:val="0"/>
                <w:numId w:val="15"/>
              </w:numPr>
              <w:spacing w:before="0" w:after="0"/>
            </w:pPr>
            <w:r>
              <w:t xml:space="preserve">Iekšlietu ministrijai (Valsts robežsardzei) </w:t>
            </w:r>
            <w:r w:rsidR="0089519A">
              <w:t>31 433</w:t>
            </w:r>
            <w:r>
              <w:t xml:space="preserve"> </w:t>
            </w:r>
            <w:proofErr w:type="spellStart"/>
            <w:r w:rsidRPr="00C77E04">
              <w:rPr>
                <w:i/>
              </w:rPr>
              <w:t>euro</w:t>
            </w:r>
            <w:proofErr w:type="spellEnd"/>
            <w:r>
              <w:t xml:space="preserve">, lai segtu izdevumus, kas saistīti ar </w:t>
            </w:r>
            <w:r w:rsidR="00E20231">
              <w:t xml:space="preserve">rīkojuma projekta </w:t>
            </w:r>
            <w:r>
              <w:t xml:space="preserve">1.2.apakšpunktā minētās amatpersonas ar speciālo dienesta pakāpi dalību Eiropas Savienības novērošanas misijā Gruzijā (EUMM GEORGIA) līdz </w:t>
            </w:r>
            <w:proofErr w:type="gramStart"/>
            <w:r>
              <w:t>2016.gada</w:t>
            </w:r>
            <w:proofErr w:type="gramEnd"/>
            <w:r>
              <w:t xml:space="preserve"> 21.septembrim.</w:t>
            </w:r>
          </w:p>
          <w:p w:rsidR="0095334F" w:rsidRPr="004D06FF" w:rsidRDefault="00C77E04" w:rsidP="0089519A">
            <w:pPr>
              <w:pStyle w:val="naisf"/>
              <w:spacing w:before="0" w:after="0"/>
              <w:ind w:firstLine="0"/>
            </w:pPr>
            <w:r>
              <w:t>Detalizēts aprēķins pielikumā.</w:t>
            </w:r>
          </w:p>
        </w:tc>
      </w:tr>
      <w:tr w:rsidR="0095334F"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95334F"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124F12"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Valsts policija</w:t>
            </w:r>
            <w:r w:rsidR="00965B2B">
              <w:rPr>
                <w:b w:val="0"/>
                <w:iCs/>
              </w:rPr>
              <w:t xml:space="preserve"> un Valsts Robežsardze</w:t>
            </w:r>
            <w:r w:rsidR="00F74E26">
              <w:rPr>
                <w:b w:val="0"/>
                <w:iCs/>
              </w:rPr>
              <w:t>.</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DA0C24" w:rsidRDefault="00855161" w:rsidP="0089519A">
      <w:pPr>
        <w:pStyle w:val="naisf"/>
        <w:tabs>
          <w:tab w:val="left" w:pos="6804"/>
        </w:tabs>
        <w:spacing w:before="0" w:after="0"/>
        <w:ind w:right="-649" w:firstLine="0"/>
      </w:pPr>
      <w:r w:rsidRPr="004D06FF">
        <w:t xml:space="preserve">Vīza: </w:t>
      </w:r>
      <w:r w:rsidR="00DA0C24">
        <w:t>v</w:t>
      </w:r>
      <w:r w:rsidRPr="004D06FF">
        <w:t>alsts sekretāre</w:t>
      </w:r>
      <w:r w:rsidR="00DA0C24">
        <w:t>s</w:t>
      </w:r>
    </w:p>
    <w:p w:rsidR="00855161" w:rsidRPr="004D06FF" w:rsidRDefault="00DA0C24" w:rsidP="0089519A">
      <w:pPr>
        <w:pStyle w:val="naisf"/>
        <w:tabs>
          <w:tab w:val="left" w:pos="6804"/>
        </w:tabs>
        <w:spacing w:before="0" w:after="0"/>
        <w:ind w:right="-649" w:firstLine="0"/>
      </w:pPr>
      <w:r>
        <w:t>pienākumu izpildītāja</w:t>
      </w:r>
      <w:r w:rsidR="00E659E6">
        <w:tab/>
      </w:r>
      <w:r w:rsidR="00E659E6">
        <w:tab/>
      </w:r>
      <w:r w:rsidR="00855161" w:rsidRPr="004D06FF">
        <w:t>I.</w:t>
      </w:r>
      <w:r>
        <w:t>Aire</w:t>
      </w:r>
    </w:p>
    <w:p w:rsidR="00EF523F" w:rsidRDefault="00EF523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632D6E">
        <w:rPr>
          <w:noProof/>
          <w:sz w:val="20"/>
          <w:szCs w:val="20"/>
          <w:lang w:val="ru-RU"/>
        </w:rPr>
        <w:t>05.01.2016 13:45</w:t>
      </w:r>
      <w:r w:rsidRPr="00230B7B">
        <w:rPr>
          <w:sz w:val="20"/>
          <w:szCs w:val="20"/>
        </w:rPr>
        <w:fldChar w:fldCharType="end"/>
      </w:r>
    </w:p>
    <w:p w:rsidR="00855161" w:rsidRPr="00230B7B" w:rsidRDefault="00855161" w:rsidP="0089519A">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DA0C24">
        <w:rPr>
          <w:noProof/>
          <w:sz w:val="20"/>
          <w:szCs w:val="20"/>
        </w:rPr>
        <w:t>930</w:t>
      </w:r>
      <w:r w:rsidRPr="00230B7B">
        <w:rPr>
          <w:sz w:val="20"/>
          <w:szCs w:val="20"/>
        </w:rPr>
        <w:fldChar w:fldCharType="end"/>
      </w:r>
    </w:p>
    <w:p w:rsidR="00855161" w:rsidRPr="00230B7B" w:rsidRDefault="00855161" w:rsidP="0089519A">
      <w:pPr>
        <w:rPr>
          <w:sz w:val="20"/>
          <w:szCs w:val="20"/>
        </w:rPr>
      </w:pPr>
      <w:r w:rsidRPr="00230B7B">
        <w:rPr>
          <w:sz w:val="20"/>
          <w:szCs w:val="20"/>
        </w:rPr>
        <w:t>I.Silantjevs, 67219569</w:t>
      </w:r>
    </w:p>
    <w:p w:rsidR="00855161" w:rsidRDefault="00576FE5"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p w:rsidR="00DA056F" w:rsidRPr="00AF1426" w:rsidRDefault="00DA056F" w:rsidP="0089519A">
      <w:pPr>
        <w:pStyle w:val="naisf"/>
        <w:tabs>
          <w:tab w:val="left" w:pos="6804"/>
        </w:tabs>
        <w:spacing w:before="0" w:after="0"/>
        <w:ind w:right="-649" w:firstLine="0"/>
        <w:rPr>
          <w:rStyle w:val="Hyperlink"/>
          <w:sz w:val="20"/>
          <w:szCs w:val="20"/>
          <w:u w:val="none"/>
        </w:rPr>
      </w:pPr>
      <w:r w:rsidRPr="00AF1426">
        <w:rPr>
          <w:rStyle w:val="Hyperlink"/>
          <w:color w:val="000000" w:themeColor="text1"/>
          <w:sz w:val="20"/>
          <w:szCs w:val="20"/>
          <w:u w:val="none"/>
        </w:rPr>
        <w:t>S.Frolova, 67219607</w:t>
      </w:r>
    </w:p>
    <w:p w:rsidR="00DA056F" w:rsidRPr="00230B7B" w:rsidRDefault="00576FE5" w:rsidP="0089519A">
      <w:pPr>
        <w:pStyle w:val="naisf"/>
        <w:tabs>
          <w:tab w:val="left" w:pos="6804"/>
        </w:tabs>
        <w:spacing w:before="0" w:after="0"/>
        <w:ind w:right="-649" w:firstLine="0"/>
        <w:rPr>
          <w:sz w:val="20"/>
          <w:szCs w:val="20"/>
        </w:rPr>
      </w:pPr>
      <w:hyperlink r:id="rId9" w:history="1">
        <w:r w:rsidR="00AF1426" w:rsidRPr="009004A7">
          <w:rPr>
            <w:rStyle w:val="Hyperlink"/>
            <w:sz w:val="20"/>
            <w:szCs w:val="20"/>
          </w:rPr>
          <w:t>santa.frolova@iem.gov.lv</w:t>
        </w:r>
      </w:hyperlink>
      <w:r w:rsidR="00DA056F">
        <w:rPr>
          <w:rStyle w:val="Hyperlink"/>
          <w:sz w:val="20"/>
          <w:szCs w:val="20"/>
        </w:rPr>
        <w:t xml:space="preserve"> </w:t>
      </w:r>
    </w:p>
    <w:sectPr w:rsidR="00DA056F" w:rsidRPr="00230B7B" w:rsidSect="00C31E3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E5" w:rsidRDefault="00576FE5">
      <w:r>
        <w:separator/>
      </w:r>
    </w:p>
  </w:endnote>
  <w:endnote w:type="continuationSeparator" w:id="0">
    <w:p w:rsidR="00576FE5" w:rsidRDefault="0057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E3" w:rsidRDefault="00E31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74E26" w:rsidRDefault="00FB04D8" w:rsidP="00F74E26">
    <w:pPr>
      <w:pStyle w:val="Footer"/>
      <w:jc w:val="both"/>
      <w:rPr>
        <w:sz w:val="20"/>
        <w:szCs w:val="20"/>
      </w:rPr>
    </w:pPr>
    <w:r w:rsidRPr="00F74E26">
      <w:rPr>
        <w:sz w:val="20"/>
        <w:szCs w:val="20"/>
      </w:rPr>
      <w:fldChar w:fldCharType="begin"/>
    </w:r>
    <w:r w:rsidRPr="00F74E26">
      <w:rPr>
        <w:sz w:val="20"/>
        <w:szCs w:val="20"/>
      </w:rPr>
      <w:instrText xml:space="preserve"> FILENAME   \* MERGEFORMAT </w:instrText>
    </w:r>
    <w:r w:rsidRPr="00F74E26">
      <w:rPr>
        <w:sz w:val="20"/>
        <w:szCs w:val="20"/>
      </w:rPr>
      <w:fldChar w:fldCharType="separate"/>
    </w:r>
    <w:r w:rsidR="00D02AF4">
      <w:rPr>
        <w:noProof/>
        <w:sz w:val="20"/>
        <w:szCs w:val="20"/>
      </w:rPr>
      <w:t>IEManot_221215_EUMM_GEO</w:t>
    </w:r>
    <w:r w:rsidRPr="00F74E26">
      <w:rPr>
        <w:sz w:val="20"/>
        <w:szCs w:val="20"/>
      </w:rPr>
      <w:fldChar w:fldCharType="end"/>
    </w:r>
    <w:r w:rsidRPr="00F74E26">
      <w:rPr>
        <w:sz w:val="20"/>
        <w:szCs w:val="20"/>
      </w:rPr>
      <w:t xml:space="preserve">; </w:t>
    </w:r>
    <w:r w:rsidRPr="00F74E26">
      <w:rPr>
        <w:bCs/>
        <w:sz w:val="20"/>
        <w:szCs w:val="20"/>
      </w:rPr>
      <w:t>Ministru kabineta rīkojuma projekta „</w:t>
    </w:r>
    <w:r w:rsidRPr="00F74E26">
      <w:rPr>
        <w:sz w:val="20"/>
        <w:szCs w:val="20"/>
      </w:rPr>
      <w:t xml:space="preserve">Par Valsts policijas </w:t>
    </w:r>
    <w:r w:rsidR="00FD4E79" w:rsidRPr="00F74E26">
      <w:rPr>
        <w:sz w:val="20"/>
        <w:szCs w:val="20"/>
      </w:rPr>
      <w:t xml:space="preserve">un Valsts robežsardzes </w:t>
    </w:r>
    <w:r w:rsidRPr="00F74E26">
      <w:rPr>
        <w:sz w:val="20"/>
        <w:szCs w:val="20"/>
      </w:rPr>
      <w:t>amatperson</w:t>
    </w:r>
    <w:r w:rsidR="00FD4E79" w:rsidRPr="00F74E26">
      <w:rPr>
        <w:sz w:val="20"/>
        <w:szCs w:val="20"/>
      </w:rPr>
      <w:t>u</w:t>
    </w:r>
    <w:r w:rsidRPr="00F74E26">
      <w:rPr>
        <w:sz w:val="20"/>
        <w:szCs w:val="20"/>
      </w:rPr>
      <w:t xml:space="preserve"> ar speciāl</w:t>
    </w:r>
    <w:r w:rsidR="00FD4E79" w:rsidRPr="00F74E26">
      <w:rPr>
        <w:sz w:val="20"/>
        <w:szCs w:val="20"/>
      </w:rPr>
      <w:t>ajām</w:t>
    </w:r>
    <w:r w:rsidRPr="00F74E26">
      <w:rPr>
        <w:sz w:val="20"/>
        <w:szCs w:val="20"/>
      </w:rPr>
      <w:t xml:space="preserve"> dienesta </w:t>
    </w:r>
    <w:r w:rsidR="00E65563" w:rsidRPr="00F74E26">
      <w:rPr>
        <w:sz w:val="20"/>
        <w:szCs w:val="20"/>
      </w:rPr>
      <w:t>pakāp</w:t>
    </w:r>
    <w:r w:rsidR="00FD4E79" w:rsidRPr="00F74E26">
      <w:rPr>
        <w:sz w:val="20"/>
        <w:szCs w:val="20"/>
      </w:rPr>
      <w:t>ēm</w:t>
    </w:r>
    <w:r w:rsidR="00E65563" w:rsidRPr="00F74E26">
      <w:rPr>
        <w:sz w:val="20"/>
        <w:szCs w:val="20"/>
      </w:rPr>
      <w:t xml:space="preserve"> dalības laika pagarināšanu</w:t>
    </w:r>
    <w:r w:rsidRPr="00F74E26">
      <w:rPr>
        <w:sz w:val="20"/>
        <w:szCs w:val="20"/>
      </w:rPr>
      <w:t xml:space="preserve"> Eiropas Savienības </w:t>
    </w:r>
    <w:r w:rsidR="00843131" w:rsidRPr="00F74E26">
      <w:rPr>
        <w:sz w:val="20"/>
        <w:szCs w:val="20"/>
      </w:rPr>
      <w:t>novērošanas</w:t>
    </w:r>
    <w:r w:rsidRPr="00F74E26">
      <w:rPr>
        <w:sz w:val="20"/>
        <w:szCs w:val="20"/>
      </w:rPr>
      <w:t xml:space="preserve"> misijā </w:t>
    </w:r>
    <w:r w:rsidR="00843131" w:rsidRPr="00F74E26">
      <w:rPr>
        <w:sz w:val="20"/>
        <w:szCs w:val="20"/>
      </w:rPr>
      <w:t>Gruzijā</w:t>
    </w:r>
    <w:r w:rsidRPr="00F74E26">
      <w:rPr>
        <w:sz w:val="20"/>
        <w:szCs w:val="20"/>
      </w:rPr>
      <w:t xml:space="preserve"> (EU</w:t>
    </w:r>
    <w:r w:rsidR="00843131" w:rsidRPr="00F74E26">
      <w:rPr>
        <w:sz w:val="20"/>
        <w:szCs w:val="20"/>
      </w:rPr>
      <w:t>MM</w:t>
    </w:r>
    <w:r w:rsidRPr="00F74E26">
      <w:rPr>
        <w:sz w:val="20"/>
        <w:szCs w:val="20"/>
      </w:rPr>
      <w:t xml:space="preserve"> </w:t>
    </w:r>
    <w:r w:rsidR="00843131" w:rsidRPr="00F74E26">
      <w:rPr>
        <w:sz w:val="20"/>
        <w:szCs w:val="20"/>
      </w:rPr>
      <w:t>GEORGIA</w:t>
    </w:r>
    <w:r w:rsidRPr="00F74E26">
      <w:rPr>
        <w:sz w:val="20"/>
        <w:szCs w:val="20"/>
      </w:rPr>
      <w:t>)</w:t>
    </w:r>
    <w:r w:rsidR="005B1A1F" w:rsidRPr="00F74E26">
      <w:t xml:space="preserve"> </w:t>
    </w:r>
    <w:r w:rsidR="005B1A1F" w:rsidRPr="00F74E26">
      <w:rPr>
        <w:sz w:val="20"/>
        <w:szCs w:val="20"/>
      </w:rPr>
      <w:t>un finanšu līdzekļu piešķiršanu no valsts budžeta programmas “Līdzekļi neparedzētiem gadījumiem”</w:t>
    </w:r>
    <w:r w:rsidRPr="00F74E26">
      <w:rPr>
        <w:bCs/>
        <w:sz w:val="20"/>
        <w:szCs w:val="20"/>
      </w:rPr>
      <w:t xml:space="preserve">” </w:t>
    </w:r>
    <w:r w:rsidR="00877BAF">
      <w:rPr>
        <w:bCs/>
        <w:sz w:val="20"/>
        <w:szCs w:val="20"/>
      </w:rPr>
      <w:t>sākotnējās ietekmes novērtējuma ziņojums (</w:t>
    </w:r>
    <w:r w:rsidR="00877BAF" w:rsidRPr="00877BAF">
      <w:rPr>
        <w:bCs/>
        <w:sz w:val="20"/>
        <w:szCs w:val="20"/>
      </w:rPr>
      <w:t>anotācija</w:t>
    </w:r>
    <w:r w:rsidR="00877BAF">
      <w:rPr>
        <w:bCs/>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877BAF" w:rsidRDefault="00FB04D8" w:rsidP="00877BAF">
    <w:pPr>
      <w:pStyle w:val="Footer"/>
      <w:jc w:val="both"/>
      <w:rPr>
        <w:sz w:val="20"/>
        <w:szCs w:val="20"/>
      </w:rPr>
    </w:pPr>
    <w:r w:rsidRPr="00877BAF">
      <w:rPr>
        <w:sz w:val="20"/>
        <w:szCs w:val="20"/>
      </w:rPr>
      <w:fldChar w:fldCharType="begin"/>
    </w:r>
    <w:r w:rsidRPr="00877BAF">
      <w:rPr>
        <w:sz w:val="20"/>
        <w:szCs w:val="20"/>
      </w:rPr>
      <w:instrText xml:space="preserve"> FILENAME   \* MERGEFORMAT </w:instrText>
    </w:r>
    <w:r w:rsidRPr="00877BAF">
      <w:rPr>
        <w:sz w:val="20"/>
        <w:szCs w:val="20"/>
      </w:rPr>
      <w:fldChar w:fldCharType="separate"/>
    </w:r>
    <w:r w:rsidR="00D02AF4">
      <w:rPr>
        <w:noProof/>
        <w:sz w:val="20"/>
        <w:szCs w:val="20"/>
      </w:rPr>
      <w:t>IEManot_221215_EUMM_GEO</w:t>
    </w:r>
    <w:r w:rsidRPr="00877BAF">
      <w:rPr>
        <w:sz w:val="20"/>
        <w:szCs w:val="20"/>
      </w:rPr>
      <w:fldChar w:fldCharType="end"/>
    </w:r>
    <w:r w:rsidRPr="00877BAF">
      <w:rPr>
        <w:sz w:val="20"/>
        <w:szCs w:val="20"/>
      </w:rPr>
      <w:t xml:space="preserve">; </w:t>
    </w:r>
    <w:r w:rsidRPr="00877BAF">
      <w:rPr>
        <w:bCs/>
        <w:sz w:val="20"/>
        <w:szCs w:val="20"/>
      </w:rPr>
      <w:t>Ministru kabineta rīkojuma projekta „</w:t>
    </w:r>
    <w:r w:rsidRPr="00877BAF">
      <w:rPr>
        <w:sz w:val="20"/>
        <w:szCs w:val="20"/>
      </w:rPr>
      <w:t xml:space="preserve">Par Valsts policijas </w:t>
    </w:r>
    <w:r w:rsidR="00FD4E79" w:rsidRPr="00877BAF">
      <w:rPr>
        <w:sz w:val="20"/>
        <w:szCs w:val="20"/>
      </w:rPr>
      <w:t xml:space="preserve">un Valsts robežsardzes </w:t>
    </w:r>
    <w:r w:rsidRPr="00877BAF">
      <w:rPr>
        <w:sz w:val="20"/>
        <w:szCs w:val="20"/>
      </w:rPr>
      <w:t>amatperson</w:t>
    </w:r>
    <w:r w:rsidR="00FD4E79" w:rsidRPr="00877BAF">
      <w:rPr>
        <w:sz w:val="20"/>
        <w:szCs w:val="20"/>
      </w:rPr>
      <w:t>u</w:t>
    </w:r>
    <w:r w:rsidRPr="00877BAF">
      <w:rPr>
        <w:sz w:val="20"/>
        <w:szCs w:val="20"/>
      </w:rPr>
      <w:t xml:space="preserve"> ar speciāl</w:t>
    </w:r>
    <w:r w:rsidR="00FD4E79" w:rsidRPr="00877BAF">
      <w:rPr>
        <w:sz w:val="20"/>
        <w:szCs w:val="20"/>
      </w:rPr>
      <w:t>ajām</w:t>
    </w:r>
    <w:r w:rsidRPr="00877BAF">
      <w:rPr>
        <w:sz w:val="20"/>
        <w:szCs w:val="20"/>
      </w:rPr>
      <w:t xml:space="preserve"> dienesta pakāp</w:t>
    </w:r>
    <w:r w:rsidR="00FD4E79" w:rsidRPr="00877BAF">
      <w:rPr>
        <w:sz w:val="20"/>
        <w:szCs w:val="20"/>
      </w:rPr>
      <w:t>ēm</w:t>
    </w:r>
    <w:r w:rsidRPr="00877BAF">
      <w:rPr>
        <w:sz w:val="20"/>
        <w:szCs w:val="20"/>
      </w:rPr>
      <w:t xml:space="preserve"> dalīb</w:t>
    </w:r>
    <w:r w:rsidR="00E65563" w:rsidRPr="00877BAF">
      <w:rPr>
        <w:sz w:val="20"/>
        <w:szCs w:val="20"/>
      </w:rPr>
      <w:t>as laika pagarināšanu</w:t>
    </w:r>
    <w:r w:rsidRPr="00877BAF">
      <w:rPr>
        <w:sz w:val="20"/>
        <w:szCs w:val="20"/>
      </w:rPr>
      <w:t xml:space="preserve"> Eiropas Savienības </w:t>
    </w:r>
    <w:r w:rsidR="00843131" w:rsidRPr="00877BAF">
      <w:rPr>
        <w:sz w:val="20"/>
        <w:szCs w:val="20"/>
      </w:rPr>
      <w:t>novērošanas</w:t>
    </w:r>
    <w:r w:rsidRPr="00877BAF">
      <w:rPr>
        <w:sz w:val="20"/>
        <w:szCs w:val="20"/>
      </w:rPr>
      <w:t xml:space="preserve"> misijā </w:t>
    </w:r>
    <w:r w:rsidR="00843131" w:rsidRPr="00877BAF">
      <w:rPr>
        <w:sz w:val="20"/>
        <w:szCs w:val="20"/>
      </w:rPr>
      <w:t>Gruzijā</w:t>
    </w:r>
    <w:r w:rsidRPr="00877BAF">
      <w:rPr>
        <w:sz w:val="20"/>
        <w:szCs w:val="20"/>
      </w:rPr>
      <w:t xml:space="preserve"> (EU</w:t>
    </w:r>
    <w:r w:rsidR="00843131" w:rsidRPr="00877BAF">
      <w:rPr>
        <w:sz w:val="20"/>
        <w:szCs w:val="20"/>
      </w:rPr>
      <w:t>MM</w:t>
    </w:r>
    <w:r w:rsidRPr="00877BAF">
      <w:rPr>
        <w:sz w:val="20"/>
        <w:szCs w:val="20"/>
      </w:rPr>
      <w:t xml:space="preserve"> </w:t>
    </w:r>
    <w:r w:rsidR="00843131" w:rsidRPr="00877BAF">
      <w:rPr>
        <w:sz w:val="20"/>
        <w:szCs w:val="20"/>
      </w:rPr>
      <w:t>GEORGIA</w:t>
    </w:r>
    <w:r w:rsidRPr="00877BAF">
      <w:rPr>
        <w:sz w:val="20"/>
        <w:szCs w:val="20"/>
      </w:rPr>
      <w:t>)</w:t>
    </w:r>
    <w:r w:rsidR="005B1A1F" w:rsidRPr="00877BAF">
      <w:t xml:space="preserve"> </w:t>
    </w:r>
    <w:r w:rsidR="005B1A1F" w:rsidRPr="00877BAF">
      <w:rPr>
        <w:sz w:val="20"/>
        <w:szCs w:val="20"/>
      </w:rPr>
      <w:t>un finanšu līdzekļu piešķiršanu no valsts budžeta programmas “Līdzekļi neparedzētiem gadījumiem”</w:t>
    </w:r>
    <w:r w:rsidRPr="00877BAF">
      <w:rPr>
        <w:bCs/>
        <w:sz w:val="20"/>
        <w:szCs w:val="20"/>
      </w:rPr>
      <w:t xml:space="preserve">” </w:t>
    </w:r>
    <w:r w:rsidR="00877BAF">
      <w:rPr>
        <w:bCs/>
        <w:sz w:val="20"/>
        <w:szCs w:val="20"/>
      </w:rPr>
      <w:t>sākotnējās ietekmes novērtējuma ziņojums (</w:t>
    </w:r>
    <w:r w:rsidRPr="00877BAF">
      <w:rPr>
        <w:bCs/>
        <w:sz w:val="20"/>
        <w:szCs w:val="20"/>
      </w:rPr>
      <w:t>anotācija</w:t>
    </w:r>
    <w:r w:rsidR="00877BAF">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E5" w:rsidRDefault="00576FE5">
      <w:r>
        <w:separator/>
      </w:r>
    </w:p>
  </w:footnote>
  <w:footnote w:type="continuationSeparator" w:id="0">
    <w:p w:rsidR="00576FE5" w:rsidRDefault="0057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D6E">
      <w:rPr>
        <w:rStyle w:val="PageNumber"/>
        <w:noProof/>
      </w:rPr>
      <w:t>3</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24F12"/>
    <w:rsid w:val="001346FE"/>
    <w:rsid w:val="00144E3A"/>
    <w:rsid w:val="0015060C"/>
    <w:rsid w:val="0016018A"/>
    <w:rsid w:val="00161DE0"/>
    <w:rsid w:val="00161F0E"/>
    <w:rsid w:val="00164484"/>
    <w:rsid w:val="00170E2A"/>
    <w:rsid w:val="00177394"/>
    <w:rsid w:val="00182C18"/>
    <w:rsid w:val="001831B9"/>
    <w:rsid w:val="00183CC2"/>
    <w:rsid w:val="001900E4"/>
    <w:rsid w:val="00190F88"/>
    <w:rsid w:val="00191501"/>
    <w:rsid w:val="00194624"/>
    <w:rsid w:val="00197340"/>
    <w:rsid w:val="001A4066"/>
    <w:rsid w:val="001A6AE4"/>
    <w:rsid w:val="001B01FD"/>
    <w:rsid w:val="001B1D44"/>
    <w:rsid w:val="001B4A71"/>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1CA"/>
    <w:rsid w:val="0026665C"/>
    <w:rsid w:val="00270429"/>
    <w:rsid w:val="002723E9"/>
    <w:rsid w:val="00277929"/>
    <w:rsid w:val="00277F29"/>
    <w:rsid w:val="002808F4"/>
    <w:rsid w:val="00283B82"/>
    <w:rsid w:val="002846E9"/>
    <w:rsid w:val="00284C34"/>
    <w:rsid w:val="0029066C"/>
    <w:rsid w:val="002913F9"/>
    <w:rsid w:val="002B50DB"/>
    <w:rsid w:val="002C12AB"/>
    <w:rsid w:val="002C7CAC"/>
    <w:rsid w:val="002D1A26"/>
    <w:rsid w:val="002D3306"/>
    <w:rsid w:val="002D48AA"/>
    <w:rsid w:val="002D5DD8"/>
    <w:rsid w:val="002D7BAA"/>
    <w:rsid w:val="002D7F54"/>
    <w:rsid w:val="002E3FF4"/>
    <w:rsid w:val="002F78C8"/>
    <w:rsid w:val="00301CF3"/>
    <w:rsid w:val="003218F8"/>
    <w:rsid w:val="0032715C"/>
    <w:rsid w:val="00327CC8"/>
    <w:rsid w:val="00337CA5"/>
    <w:rsid w:val="00362478"/>
    <w:rsid w:val="00375B25"/>
    <w:rsid w:val="0038132C"/>
    <w:rsid w:val="00386365"/>
    <w:rsid w:val="003873AC"/>
    <w:rsid w:val="00396542"/>
    <w:rsid w:val="0039685B"/>
    <w:rsid w:val="003A31A6"/>
    <w:rsid w:val="003A3AFB"/>
    <w:rsid w:val="003A7DD5"/>
    <w:rsid w:val="003A7F0C"/>
    <w:rsid w:val="003A7F79"/>
    <w:rsid w:val="003B611B"/>
    <w:rsid w:val="003B6404"/>
    <w:rsid w:val="003C449B"/>
    <w:rsid w:val="003D21FF"/>
    <w:rsid w:val="003F0112"/>
    <w:rsid w:val="003F071A"/>
    <w:rsid w:val="003F160B"/>
    <w:rsid w:val="003F3D81"/>
    <w:rsid w:val="00400032"/>
    <w:rsid w:val="00400B5B"/>
    <w:rsid w:val="004028F2"/>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0724"/>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76FE5"/>
    <w:rsid w:val="00580468"/>
    <w:rsid w:val="00582231"/>
    <w:rsid w:val="0058603B"/>
    <w:rsid w:val="0059431B"/>
    <w:rsid w:val="005A39CC"/>
    <w:rsid w:val="005B1A1F"/>
    <w:rsid w:val="005B4730"/>
    <w:rsid w:val="005C5C31"/>
    <w:rsid w:val="005C7B5B"/>
    <w:rsid w:val="005C7D63"/>
    <w:rsid w:val="005E05D7"/>
    <w:rsid w:val="005E41E7"/>
    <w:rsid w:val="005E450F"/>
    <w:rsid w:val="0062298A"/>
    <w:rsid w:val="00626514"/>
    <w:rsid w:val="00626589"/>
    <w:rsid w:val="00632D6E"/>
    <w:rsid w:val="006339A0"/>
    <w:rsid w:val="006413A8"/>
    <w:rsid w:val="00642E56"/>
    <w:rsid w:val="00651E00"/>
    <w:rsid w:val="006652AE"/>
    <w:rsid w:val="00672636"/>
    <w:rsid w:val="00672A3F"/>
    <w:rsid w:val="00674572"/>
    <w:rsid w:val="00677C27"/>
    <w:rsid w:val="00687763"/>
    <w:rsid w:val="00692B0D"/>
    <w:rsid w:val="00693E0E"/>
    <w:rsid w:val="006A1AE3"/>
    <w:rsid w:val="006A1CA2"/>
    <w:rsid w:val="006A6C1E"/>
    <w:rsid w:val="006C30E1"/>
    <w:rsid w:val="006C4607"/>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522C"/>
    <w:rsid w:val="007B3B54"/>
    <w:rsid w:val="007B3FA0"/>
    <w:rsid w:val="007B7C73"/>
    <w:rsid w:val="007C0F2C"/>
    <w:rsid w:val="007C2BCC"/>
    <w:rsid w:val="007C3617"/>
    <w:rsid w:val="007C4EF0"/>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3131"/>
    <w:rsid w:val="0084405E"/>
    <w:rsid w:val="008442AF"/>
    <w:rsid w:val="00845811"/>
    <w:rsid w:val="00846994"/>
    <w:rsid w:val="00850451"/>
    <w:rsid w:val="00852042"/>
    <w:rsid w:val="008525DB"/>
    <w:rsid w:val="00852C39"/>
    <w:rsid w:val="008534C9"/>
    <w:rsid w:val="00855161"/>
    <w:rsid w:val="0085599D"/>
    <w:rsid w:val="0087510C"/>
    <w:rsid w:val="00877BAF"/>
    <w:rsid w:val="0089519A"/>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33131"/>
    <w:rsid w:val="009476A3"/>
    <w:rsid w:val="009477D1"/>
    <w:rsid w:val="00950874"/>
    <w:rsid w:val="0095334F"/>
    <w:rsid w:val="00953483"/>
    <w:rsid w:val="00965897"/>
    <w:rsid w:val="00965B2B"/>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67DE1"/>
    <w:rsid w:val="00A70CFD"/>
    <w:rsid w:val="00A72A0B"/>
    <w:rsid w:val="00A74C86"/>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1426"/>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C2880"/>
    <w:rsid w:val="00BE06C7"/>
    <w:rsid w:val="00BF30D4"/>
    <w:rsid w:val="00BF40ED"/>
    <w:rsid w:val="00BF5B5C"/>
    <w:rsid w:val="00BF5BC2"/>
    <w:rsid w:val="00C1133D"/>
    <w:rsid w:val="00C13593"/>
    <w:rsid w:val="00C16533"/>
    <w:rsid w:val="00C27A08"/>
    <w:rsid w:val="00C31312"/>
    <w:rsid w:val="00C31E36"/>
    <w:rsid w:val="00C326C6"/>
    <w:rsid w:val="00C35295"/>
    <w:rsid w:val="00C36ADD"/>
    <w:rsid w:val="00C36E74"/>
    <w:rsid w:val="00C40595"/>
    <w:rsid w:val="00C41621"/>
    <w:rsid w:val="00C449FA"/>
    <w:rsid w:val="00C463E9"/>
    <w:rsid w:val="00C5384F"/>
    <w:rsid w:val="00C56964"/>
    <w:rsid w:val="00C6031B"/>
    <w:rsid w:val="00C656D5"/>
    <w:rsid w:val="00C67103"/>
    <w:rsid w:val="00C71BB9"/>
    <w:rsid w:val="00C77E04"/>
    <w:rsid w:val="00C84A01"/>
    <w:rsid w:val="00C94C28"/>
    <w:rsid w:val="00CB0247"/>
    <w:rsid w:val="00CB1F2F"/>
    <w:rsid w:val="00CB3440"/>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56B76"/>
    <w:rsid w:val="00D603F6"/>
    <w:rsid w:val="00D7540E"/>
    <w:rsid w:val="00DA056F"/>
    <w:rsid w:val="00DA0C24"/>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0231"/>
    <w:rsid w:val="00E23E8D"/>
    <w:rsid w:val="00E317E3"/>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EF523F"/>
    <w:rsid w:val="00EF56BC"/>
    <w:rsid w:val="00F1246B"/>
    <w:rsid w:val="00F16861"/>
    <w:rsid w:val="00F201EC"/>
    <w:rsid w:val="00F208A9"/>
    <w:rsid w:val="00F336FE"/>
    <w:rsid w:val="00F41D75"/>
    <w:rsid w:val="00F5139D"/>
    <w:rsid w:val="00F56C87"/>
    <w:rsid w:val="00F63DAC"/>
    <w:rsid w:val="00F72F67"/>
    <w:rsid w:val="00F7454F"/>
    <w:rsid w:val="00F74E26"/>
    <w:rsid w:val="00F77988"/>
    <w:rsid w:val="00F77F48"/>
    <w:rsid w:val="00FB04D8"/>
    <w:rsid w:val="00FB2C2D"/>
    <w:rsid w:val="00FB30F1"/>
    <w:rsid w:val="00FB53E7"/>
    <w:rsid w:val="00FD0332"/>
    <w:rsid w:val="00FD2A8A"/>
    <w:rsid w:val="00FD411F"/>
    <w:rsid w:val="00FD4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frolov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7D4F-6175-4452-A742-14596279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6245</Characters>
  <Application>Microsoft Office Word</Application>
  <DocSecurity>0</DocSecurity>
  <Lines>624</Lines>
  <Paragraphs>305</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7037</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2</cp:revision>
  <cp:lastPrinted>2015-12-28T06:22:00Z</cp:lastPrinted>
  <dcterms:created xsi:type="dcterms:W3CDTF">2016-01-05T11:45:00Z</dcterms:created>
  <dcterms:modified xsi:type="dcterms:W3CDTF">2016-01-05T11:45:00Z</dcterms:modified>
  <cp:category>Sākotnējās ietekmes novērtējuma ziņojums (anotācija)</cp:category>
</cp:coreProperties>
</file>