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18E95" w14:textId="77777777" w:rsidR="005F6E36" w:rsidRPr="0083487A" w:rsidRDefault="005F6E36" w:rsidP="005F6E36">
      <w:pPr>
        <w:jc w:val="center"/>
        <w:rPr>
          <w:b/>
          <w:color w:val="000000"/>
        </w:rPr>
      </w:pPr>
      <w:r w:rsidRPr="0083487A">
        <w:rPr>
          <w:b/>
          <w:color w:val="000000"/>
        </w:rPr>
        <w:t xml:space="preserve">Ministru kabineta noteikumu projekta </w:t>
      </w:r>
    </w:p>
    <w:p w14:paraId="3467B73B" w14:textId="77777777" w:rsidR="005F6E36" w:rsidRPr="0083487A" w:rsidRDefault="005F6E36" w:rsidP="005F6E36">
      <w:pPr>
        <w:jc w:val="center"/>
        <w:rPr>
          <w:b/>
          <w:color w:val="000000"/>
        </w:rPr>
      </w:pPr>
      <w:r w:rsidRPr="0083487A">
        <w:rPr>
          <w:b/>
          <w:color w:val="000000"/>
        </w:rPr>
        <w:t>„Grozījumi M</w:t>
      </w:r>
      <w:r w:rsidR="00E1162E" w:rsidRPr="0083487A">
        <w:rPr>
          <w:b/>
          <w:color w:val="000000"/>
        </w:rPr>
        <w:t xml:space="preserve">inistru kabineta </w:t>
      </w:r>
      <w:proofErr w:type="gramStart"/>
      <w:r w:rsidR="00E1162E" w:rsidRPr="0083487A">
        <w:rPr>
          <w:b/>
          <w:color w:val="000000"/>
        </w:rPr>
        <w:t>2011.gada</w:t>
      </w:r>
      <w:proofErr w:type="gramEnd"/>
      <w:r w:rsidR="00E1162E" w:rsidRPr="0083487A">
        <w:rPr>
          <w:b/>
          <w:color w:val="000000"/>
        </w:rPr>
        <w:t xml:space="preserve"> 25.</w:t>
      </w:r>
      <w:r w:rsidRPr="0083487A">
        <w:rPr>
          <w:b/>
          <w:color w:val="000000"/>
        </w:rPr>
        <w:t xml:space="preserve">janvāra noteikumos </w:t>
      </w:r>
    </w:p>
    <w:p w14:paraId="09ED28C1" w14:textId="77777777" w:rsidR="005F6E36" w:rsidRPr="0083487A" w:rsidRDefault="00E1162E" w:rsidP="005F6E36">
      <w:pPr>
        <w:jc w:val="center"/>
        <w:rPr>
          <w:b/>
          <w:color w:val="000000"/>
        </w:rPr>
      </w:pPr>
      <w:r w:rsidRPr="0083487A">
        <w:rPr>
          <w:b/>
          <w:color w:val="000000"/>
        </w:rPr>
        <w:t>Nr.</w:t>
      </w:r>
      <w:r w:rsidR="005F6E36" w:rsidRPr="0083487A">
        <w:rPr>
          <w:b/>
          <w:color w:val="000000"/>
        </w:rPr>
        <w:t>75 „Noteikumi par aktīvo nodarbinātības pasākumu un preventīvo bezdarba samazināšanas pasākumu organizēšanas un finansēšanas kārtību un pasākumu īstenotāju izvēles principiem””</w:t>
      </w:r>
    </w:p>
    <w:p w14:paraId="6A41312D" w14:textId="77777777" w:rsidR="00B445F0" w:rsidRPr="0083487A" w:rsidRDefault="00B76D85" w:rsidP="005F6E36">
      <w:pPr>
        <w:jc w:val="center"/>
        <w:rPr>
          <w:b/>
        </w:rPr>
      </w:pPr>
      <w:r w:rsidRPr="0083487A">
        <w:rPr>
          <w:b/>
        </w:rPr>
        <w:t xml:space="preserve">sākotnējās ietekmes novērtējuma </w:t>
      </w:r>
      <w:smartTag w:uri="schemas-tilde-lv/tildestengine" w:element="veidnes">
        <w:smartTagPr>
          <w:attr w:name="baseform" w:val="ziņojum|s"/>
          <w:attr w:name="id" w:val="-1"/>
          <w:attr w:name="text" w:val="ziņojums"/>
        </w:smartTagPr>
        <w:r w:rsidRPr="0083487A">
          <w:rPr>
            <w:b/>
          </w:rPr>
          <w:t>ziņojums</w:t>
        </w:r>
      </w:smartTag>
      <w:r w:rsidRPr="0083487A">
        <w:rPr>
          <w:b/>
        </w:rPr>
        <w:t xml:space="preserve"> (anotācija)</w:t>
      </w:r>
    </w:p>
    <w:p w14:paraId="62088CF9" w14:textId="77777777" w:rsidR="00B76D85"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2"/>
        <w:gridCol w:w="5673"/>
      </w:tblGrid>
      <w:tr w:rsidR="00194614" w:rsidRPr="002F6619" w14:paraId="2BFE1381" w14:textId="77777777" w:rsidTr="006A7D0B">
        <w:tc>
          <w:tcPr>
            <w:tcW w:w="5000" w:type="pct"/>
            <w:gridSpan w:val="3"/>
            <w:shd w:val="clear" w:color="auto" w:fill="auto"/>
          </w:tcPr>
          <w:p w14:paraId="7D150F6F" w14:textId="77777777" w:rsidR="00194614" w:rsidRPr="002F6619" w:rsidRDefault="00C01716" w:rsidP="006A7D0B">
            <w:pPr>
              <w:jc w:val="center"/>
              <w:rPr>
                <w:b/>
              </w:rPr>
            </w:pPr>
            <w:r w:rsidRPr="002F6619">
              <w:rPr>
                <w:b/>
              </w:rPr>
              <w:t>I</w:t>
            </w:r>
            <w:r w:rsidR="00DC37D9" w:rsidRPr="002F6619">
              <w:rPr>
                <w:b/>
              </w:rPr>
              <w:t>.</w:t>
            </w:r>
            <w:r w:rsidRPr="002F6619">
              <w:rPr>
                <w:b/>
              </w:rPr>
              <w:t xml:space="preserve"> Tiesību </w:t>
            </w:r>
            <w:smartTag w:uri="schemas-tilde-lv/tildestengine" w:element="veidnes">
              <w:smartTagPr>
                <w:attr w:name="baseform" w:val="akt|s"/>
                <w:attr w:name="id" w:val="-1"/>
                <w:attr w:name="text" w:val="akta"/>
              </w:smartTagPr>
              <w:r w:rsidRPr="002F6619">
                <w:rPr>
                  <w:b/>
                </w:rPr>
                <w:t>akta</w:t>
              </w:r>
            </w:smartTag>
            <w:r w:rsidRPr="002F6619">
              <w:rPr>
                <w:b/>
              </w:rPr>
              <w:t xml:space="preserve"> projekta izstrādes nepieciešamība</w:t>
            </w:r>
          </w:p>
        </w:tc>
      </w:tr>
      <w:tr w:rsidR="00B76D85" w:rsidRPr="002F6619" w14:paraId="2ED67BF3" w14:textId="77777777" w:rsidTr="006A7D0B">
        <w:tc>
          <w:tcPr>
            <w:tcW w:w="213" w:type="pct"/>
            <w:shd w:val="clear" w:color="auto" w:fill="auto"/>
          </w:tcPr>
          <w:p w14:paraId="4D3F1135" w14:textId="77777777" w:rsidR="00B76D85" w:rsidRPr="002F6619" w:rsidRDefault="00B76D85" w:rsidP="00B76D85">
            <w:r w:rsidRPr="002F6619">
              <w:t>1.</w:t>
            </w:r>
          </w:p>
        </w:tc>
        <w:tc>
          <w:tcPr>
            <w:tcW w:w="1654" w:type="pct"/>
            <w:shd w:val="clear" w:color="auto" w:fill="auto"/>
          </w:tcPr>
          <w:p w14:paraId="0783F3D3" w14:textId="77777777" w:rsidR="00B76D85" w:rsidRPr="002F6619" w:rsidRDefault="00B76D85" w:rsidP="00B76D85">
            <w:r w:rsidRPr="002F6619">
              <w:t>Pamatojums</w:t>
            </w:r>
          </w:p>
        </w:tc>
        <w:tc>
          <w:tcPr>
            <w:tcW w:w="3133" w:type="pct"/>
            <w:shd w:val="clear" w:color="auto" w:fill="auto"/>
          </w:tcPr>
          <w:p w14:paraId="6C2DA9C3" w14:textId="0446BE6D" w:rsidR="00B76D85" w:rsidRPr="002F6619" w:rsidRDefault="003819E0" w:rsidP="00680FC4">
            <w:pPr>
              <w:jc w:val="both"/>
              <w:rPr>
                <w:i/>
                <w:color w:val="FF0000"/>
              </w:rPr>
            </w:pPr>
            <w:r w:rsidRPr="002F6619">
              <w:t xml:space="preserve">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w:t>
            </w:r>
            <w:r w:rsidR="0089056B" w:rsidRPr="002F6619">
              <w:t>ir izstrādāts</w:t>
            </w:r>
            <w:r w:rsidRPr="002F6619">
              <w:t xml:space="preserve"> </w:t>
            </w:r>
            <w:r w:rsidR="00AC5EDE" w:rsidRPr="002F6619">
              <w:rPr>
                <w:shd w:val="clear" w:color="auto" w:fill="FFFFFF"/>
              </w:rPr>
              <w:t>atbilstoši Labklājības ministrijas virzītajam M</w:t>
            </w:r>
            <w:r w:rsidR="003B5DD3" w:rsidRPr="002F6619">
              <w:rPr>
                <w:shd w:val="clear" w:color="auto" w:fill="FFFFFF"/>
              </w:rPr>
              <w:t>inistru kabineta (turpmāk – MK)</w:t>
            </w:r>
            <w:r w:rsidR="00CC7776">
              <w:rPr>
                <w:shd w:val="clear" w:color="auto" w:fill="FFFFFF"/>
              </w:rPr>
              <w:t xml:space="preserve"> informatīvā ziņojuma</w:t>
            </w:r>
            <w:r w:rsidR="00AC5EDE" w:rsidRPr="002F6619">
              <w:rPr>
                <w:shd w:val="clear" w:color="auto" w:fill="FFFFFF"/>
              </w:rPr>
              <w:t xml:space="preserve"> projektam </w:t>
            </w:r>
            <w:r w:rsidR="003B5DD3" w:rsidRPr="002F6619">
              <w:rPr>
                <w:shd w:val="clear" w:color="auto" w:fill="FFFFFF"/>
              </w:rPr>
              <w:t>„</w:t>
            </w:r>
            <w:r w:rsidR="00AC5EDE" w:rsidRPr="002F6619">
              <w:rPr>
                <w:shd w:val="clear" w:color="auto" w:fill="FFFFFF"/>
              </w:rPr>
              <w:t>Par Nodarbinātības valsts aģentūras kā projekta īstenotāja veiktajiem izdevumiem, kas nevar tikt finansēti no specifiskā atbalsta mērķa vai tā pasākuma attiecināmām izmaksām, Eiropas Savienības struktūrfondu un Kohēzijas fonda 2014.–2020.gada plānošanas periodā”</w:t>
            </w:r>
            <w:r w:rsidR="007844E6">
              <w:rPr>
                <w:shd w:val="clear" w:color="auto" w:fill="FFFFFF"/>
              </w:rPr>
              <w:t xml:space="preserve"> (turpmāk – Informatīvais ziņojums)</w:t>
            </w:r>
            <w:r w:rsidR="00AC5EDE" w:rsidRPr="002F6619">
              <w:rPr>
                <w:shd w:val="clear" w:color="auto" w:fill="FFFFFF"/>
              </w:rPr>
              <w:t xml:space="preserve"> (nosūtīts saskaņošanai Tieslietu un Finanšu ministrijai 2015.gada </w:t>
            </w:r>
            <w:r w:rsidR="00680FC4" w:rsidRPr="002F6619">
              <w:rPr>
                <w:shd w:val="clear" w:color="auto" w:fill="FFFFFF"/>
              </w:rPr>
              <w:t>13.novembrī</w:t>
            </w:r>
            <w:r w:rsidR="00AC5EDE" w:rsidRPr="002F6619">
              <w:rPr>
                <w:shd w:val="clear" w:color="auto" w:fill="FFFFFF"/>
              </w:rPr>
              <w:t>)</w:t>
            </w:r>
            <w:r w:rsidR="0089056B" w:rsidRPr="002F6619">
              <w:rPr>
                <w:shd w:val="clear" w:color="auto" w:fill="FFFFFF"/>
              </w:rPr>
              <w:t xml:space="preserve"> un </w:t>
            </w:r>
            <w:r w:rsidR="00D970B0" w:rsidRPr="002F6619">
              <w:rPr>
                <w:shd w:val="clear" w:color="auto" w:fill="FFFFFF"/>
              </w:rPr>
              <w:t>Labklājības ministrijas iniciatīvas, lai pilnveidotu aktīvās darba tirgus politikas pasākumu īstenošanas nosacījumus.</w:t>
            </w:r>
          </w:p>
        </w:tc>
      </w:tr>
      <w:tr w:rsidR="00B76D85" w:rsidRPr="002F6619" w14:paraId="3B62428A" w14:textId="77777777" w:rsidTr="006A7D0B">
        <w:tc>
          <w:tcPr>
            <w:tcW w:w="213" w:type="pct"/>
            <w:shd w:val="clear" w:color="auto" w:fill="auto"/>
          </w:tcPr>
          <w:p w14:paraId="755DF882" w14:textId="77777777" w:rsidR="00B76D85" w:rsidRPr="002F6619" w:rsidRDefault="00B76D85" w:rsidP="00B76D85">
            <w:r w:rsidRPr="002F6619">
              <w:t xml:space="preserve">2. </w:t>
            </w:r>
          </w:p>
        </w:tc>
        <w:tc>
          <w:tcPr>
            <w:tcW w:w="1654" w:type="pct"/>
            <w:shd w:val="clear" w:color="auto" w:fill="auto"/>
          </w:tcPr>
          <w:p w14:paraId="31138E43" w14:textId="77777777" w:rsidR="00B76D85" w:rsidRPr="002F6619" w:rsidRDefault="004373E9" w:rsidP="00B76D85">
            <w:r w:rsidRPr="002F6619">
              <w:t>Pašreizējā situācija un problēmas, kuru risināšanai tiesību akta projekts izstrādāts, tiesiskā regulējuma mērķis un būtība</w:t>
            </w:r>
          </w:p>
        </w:tc>
        <w:tc>
          <w:tcPr>
            <w:tcW w:w="3133" w:type="pct"/>
            <w:shd w:val="clear" w:color="auto" w:fill="auto"/>
          </w:tcPr>
          <w:p w14:paraId="0C35DDB5" w14:textId="64C3A832" w:rsidR="009D43D4" w:rsidRPr="002F6619" w:rsidRDefault="002C37C8" w:rsidP="006C5EC9">
            <w:pPr>
              <w:jc w:val="both"/>
              <w:rPr>
                <w:shd w:val="clear" w:color="auto" w:fill="FFFFFF"/>
              </w:rPr>
            </w:pPr>
            <w:r w:rsidRPr="002F6619">
              <w:rPr>
                <w:shd w:val="clear" w:color="auto" w:fill="FFFFFF"/>
              </w:rPr>
              <w:t>1. L</w:t>
            </w:r>
            <w:r w:rsidR="006C5342" w:rsidRPr="002F6619">
              <w:rPr>
                <w:shd w:val="clear" w:color="auto" w:fill="FFFFFF"/>
              </w:rPr>
              <w:t>ai nodrošinātu</w:t>
            </w:r>
            <w:r w:rsidR="0078094E" w:rsidRPr="002F6619">
              <w:rPr>
                <w:shd w:val="clear" w:color="auto" w:fill="FFFFFF"/>
              </w:rPr>
              <w:t xml:space="preserve"> iespēju bezdarbniekiem un darba meklētājiem gada laikā apgūt vairāk nekā 2 valsts valodu programmas atbilstoši kompetenču līmenim, Noteikumu projektā paredzēts, ka</w:t>
            </w:r>
            <w:r w:rsidR="006C5342" w:rsidRPr="002F6619">
              <w:rPr>
                <w:shd w:val="clear" w:color="auto" w:fill="FFFFFF"/>
              </w:rPr>
              <w:t xml:space="preserve"> valsts valodas apmāc</w:t>
            </w:r>
            <w:r w:rsidR="0078094E" w:rsidRPr="002F6619">
              <w:rPr>
                <w:shd w:val="clear" w:color="auto" w:fill="FFFFFF"/>
              </w:rPr>
              <w:t>ībās bezd</w:t>
            </w:r>
            <w:r w:rsidR="00FA2B37" w:rsidRPr="002F6619">
              <w:rPr>
                <w:shd w:val="clear" w:color="auto" w:fill="FFFFFF"/>
              </w:rPr>
              <w:t>arbniekus un darba meklētājus, atšķirībā no citām neformālās izglītības programmām, var iesaistīt vai</w:t>
            </w:r>
            <w:r w:rsidR="002F6619" w:rsidRPr="002F6619">
              <w:rPr>
                <w:shd w:val="clear" w:color="auto" w:fill="FFFFFF"/>
              </w:rPr>
              <w:t>rāk nekā divas reizes</w:t>
            </w:r>
            <w:r w:rsidR="00FA2B37" w:rsidRPr="002F6619">
              <w:rPr>
                <w:shd w:val="clear" w:color="auto" w:fill="FFFFFF"/>
              </w:rPr>
              <w:t xml:space="preserve"> viena gada</w:t>
            </w:r>
            <w:r w:rsidR="007D6372" w:rsidRPr="002F6619">
              <w:rPr>
                <w:shd w:val="clear" w:color="auto" w:fill="FFFFFF"/>
              </w:rPr>
              <w:t xml:space="preserve"> laikā</w:t>
            </w:r>
            <w:r w:rsidR="00FA2B37" w:rsidRPr="002F6619">
              <w:rPr>
                <w:shd w:val="clear" w:color="auto" w:fill="FFFFFF"/>
              </w:rPr>
              <w:t>. Tādējādi tiks veicināta iespēja valsts valodu apgūt ātrāk,</w:t>
            </w:r>
            <w:r w:rsidR="006C5342" w:rsidRPr="002F6619">
              <w:rPr>
                <w:shd w:val="clear" w:color="auto" w:fill="FFFFFF"/>
              </w:rPr>
              <w:t xml:space="preserve"> nodrošin</w:t>
            </w:r>
            <w:r w:rsidR="00FA2B37" w:rsidRPr="002F6619">
              <w:rPr>
                <w:shd w:val="clear" w:color="auto" w:fill="FFFFFF"/>
              </w:rPr>
              <w:t>ot</w:t>
            </w:r>
            <w:r w:rsidR="006C5342" w:rsidRPr="002F6619">
              <w:rPr>
                <w:shd w:val="clear" w:color="auto" w:fill="FFFFFF"/>
              </w:rPr>
              <w:t xml:space="preserve"> intensīvāku valsts valodas apmācību</w:t>
            </w:r>
            <w:r w:rsidR="00FA2B37" w:rsidRPr="002F6619">
              <w:rPr>
                <w:shd w:val="clear" w:color="auto" w:fill="FFFFFF"/>
              </w:rPr>
              <w:t>, t.sk.</w:t>
            </w:r>
            <w:r w:rsidRPr="002F6619">
              <w:rPr>
                <w:shd w:val="clear" w:color="auto" w:fill="FFFFFF"/>
              </w:rPr>
              <w:t xml:space="preserve"> iev</w:t>
            </w:r>
            <w:r w:rsidR="00FA2B37" w:rsidRPr="002F6619">
              <w:rPr>
                <w:shd w:val="clear" w:color="auto" w:fill="FFFFFF"/>
              </w:rPr>
              <w:t>ērojot</w:t>
            </w:r>
            <w:r w:rsidRPr="002F6619">
              <w:rPr>
                <w:shd w:val="clear" w:color="auto" w:fill="FFFFFF"/>
              </w:rPr>
              <w:t xml:space="preserve"> </w:t>
            </w:r>
            <w:proofErr w:type="gramStart"/>
            <w:r w:rsidRPr="002F6619">
              <w:rPr>
                <w:shd w:val="clear" w:color="auto" w:fill="FFFFFF"/>
              </w:rPr>
              <w:t>2015.gada</w:t>
            </w:r>
            <w:proofErr w:type="gramEnd"/>
            <w:r w:rsidRPr="002F6619">
              <w:rPr>
                <w:shd w:val="clear" w:color="auto" w:fill="FFFFFF"/>
              </w:rPr>
              <w:t xml:space="preserve"> </w:t>
            </w:r>
            <w:r w:rsidR="00992E5E">
              <w:rPr>
                <w:shd w:val="clear" w:color="auto" w:fill="FFFFFF"/>
              </w:rPr>
              <w:t xml:space="preserve">2.decembra </w:t>
            </w:r>
            <w:r w:rsidR="007D6372" w:rsidRPr="002F6619">
              <w:rPr>
                <w:shd w:val="clear" w:color="auto" w:fill="FFFFFF"/>
              </w:rPr>
              <w:t>MK</w:t>
            </w:r>
            <w:r w:rsidR="000B145D">
              <w:rPr>
                <w:shd w:val="clear" w:color="auto" w:fill="FFFFFF"/>
              </w:rPr>
              <w:t xml:space="preserve"> rīkojuma</w:t>
            </w:r>
            <w:r w:rsidR="00992E5E">
              <w:rPr>
                <w:shd w:val="clear" w:color="auto" w:fill="FFFFFF"/>
              </w:rPr>
              <w:t xml:space="preserve"> Nr.759</w:t>
            </w:r>
            <w:r w:rsidRPr="002F6619">
              <w:rPr>
                <w:shd w:val="clear" w:color="auto" w:fill="FFFFFF"/>
              </w:rPr>
              <w:t xml:space="preserve"> </w:t>
            </w:r>
            <w:r w:rsidR="00992E5E">
              <w:rPr>
                <w:shd w:val="clear" w:color="auto" w:fill="FFFFFF"/>
              </w:rPr>
              <w:t>„Rīcības plāns</w:t>
            </w:r>
            <w:r w:rsidR="006C5342" w:rsidRPr="002F6619">
              <w:rPr>
                <w:shd w:val="clear" w:color="auto" w:fill="FFFFFF"/>
              </w:rPr>
              <w:t xml:space="preserve"> personu, kurām nepieciešama starptautiskā aizsardzība, pārvietošanai un uzņemšanai Latvijā</w:t>
            </w:r>
            <w:r w:rsidRPr="002F6619">
              <w:rPr>
                <w:shd w:val="clear" w:color="auto" w:fill="FFFFFF"/>
              </w:rPr>
              <w:t xml:space="preserve">” 3.1.1.apakšpunku, kas paredz nodrošināt </w:t>
            </w:r>
            <w:r w:rsidR="00FA2B37" w:rsidRPr="002F6619">
              <w:rPr>
                <w:shd w:val="clear" w:color="auto" w:fill="FFFFFF"/>
              </w:rPr>
              <w:t>sociālekonomisko</w:t>
            </w:r>
            <w:r w:rsidRPr="002F6619">
              <w:rPr>
                <w:shd w:val="clear" w:color="auto" w:fill="FFFFFF"/>
              </w:rPr>
              <w:t xml:space="preserve"> iekļaušanu ar nodarbinātības palīdzību, </w:t>
            </w:r>
            <w:r w:rsidR="00FA2B37" w:rsidRPr="002F6619">
              <w:rPr>
                <w:shd w:val="clear" w:color="auto" w:fill="FFFFFF"/>
              </w:rPr>
              <w:t>cita starpā</w:t>
            </w:r>
            <w:r w:rsidRPr="002F6619">
              <w:rPr>
                <w:shd w:val="clear" w:color="auto" w:fill="FFFFFF"/>
              </w:rPr>
              <w:t xml:space="preserve"> nodrošinot</w:t>
            </w:r>
            <w:r w:rsidR="00FA2B37" w:rsidRPr="002F6619">
              <w:rPr>
                <w:shd w:val="clear" w:color="auto" w:fill="FFFFFF"/>
              </w:rPr>
              <w:t xml:space="preserve"> arī</w:t>
            </w:r>
            <w:r w:rsidRPr="002F6619">
              <w:rPr>
                <w:shd w:val="clear" w:color="auto" w:fill="FFFFFF"/>
              </w:rPr>
              <w:t xml:space="preserve"> valsts valodas apmācību</w:t>
            </w:r>
            <w:r w:rsidR="00FA2B37" w:rsidRPr="002F6619">
              <w:rPr>
                <w:shd w:val="clear" w:color="auto" w:fill="FFFFFF"/>
              </w:rPr>
              <w:t>, tādējādi veicinot riska grupu ātrāku un sekmīgāku iekļaušanos darba tirgū un sabiedrībā kopumā</w:t>
            </w:r>
            <w:r w:rsidR="009D43D4">
              <w:rPr>
                <w:shd w:val="clear" w:color="auto" w:fill="FFFFFF"/>
              </w:rPr>
              <w:t xml:space="preserve">. </w:t>
            </w:r>
            <w:r w:rsidR="004F30D2">
              <w:rPr>
                <w:shd w:val="clear" w:color="auto" w:fill="FFFFFF"/>
              </w:rPr>
              <w:t>Ņemot vērā izglītības programmas apguvei nepieciešamu laiku, n</w:t>
            </w:r>
            <w:r w:rsidR="004F30D2" w:rsidRPr="004F30D2">
              <w:rPr>
                <w:shd w:val="clear" w:color="auto" w:fill="FFFFFF"/>
              </w:rPr>
              <w:t>eformālās izglītības programmā</w:t>
            </w:r>
            <w:r w:rsidR="004F30D2">
              <w:rPr>
                <w:shd w:val="clear" w:color="auto" w:fill="FFFFFF"/>
              </w:rPr>
              <w:t>s</w:t>
            </w:r>
            <w:r w:rsidR="004F30D2" w:rsidRPr="004F30D2">
              <w:rPr>
                <w:shd w:val="clear" w:color="auto" w:fill="FFFFFF"/>
              </w:rPr>
              <w:t xml:space="preserve"> valsts valodas apguvei dažādos valsts valodas prasmes līmeņos bezdarbnieku un darba meklētāju var iesaistīt</w:t>
            </w:r>
            <w:r w:rsidR="004F30D2">
              <w:rPr>
                <w:shd w:val="clear" w:color="auto" w:fill="FFFFFF"/>
              </w:rPr>
              <w:t xml:space="preserve"> ne vairāk kā 3 reizes viena gada laikā. Vienlaikus noteikumu projekts paredz, ka neformālās izg</w:t>
            </w:r>
            <w:r w:rsidR="00A3620A">
              <w:rPr>
                <w:shd w:val="clear" w:color="auto" w:fill="FFFFFF"/>
              </w:rPr>
              <w:t>lītības programmās valsts valoda</w:t>
            </w:r>
            <w:r w:rsidR="004F30D2">
              <w:rPr>
                <w:shd w:val="clear" w:color="auto" w:fill="FFFFFF"/>
              </w:rPr>
              <w:t>s apguvei šādā apjomā</w:t>
            </w:r>
            <w:r w:rsidR="00A3620A">
              <w:rPr>
                <w:shd w:val="clear" w:color="auto" w:fill="FFFFFF"/>
              </w:rPr>
              <w:t xml:space="preserve"> </w:t>
            </w:r>
            <w:r w:rsidR="004F30D2">
              <w:rPr>
                <w:shd w:val="clear" w:color="auto" w:fill="FFFFFF"/>
              </w:rPr>
              <w:t xml:space="preserve">iesaista tikai tos </w:t>
            </w:r>
            <w:r w:rsidR="004F30D2">
              <w:rPr>
                <w:shd w:val="clear" w:color="auto" w:fill="FFFFFF"/>
              </w:rPr>
              <w:lastRenderedPageBreak/>
              <w:t>bezdarbniekus un darba meklētājus, kuri šajā laikā neapgūst citas neformālās izglītības programmas</w:t>
            </w:r>
            <w:r w:rsidR="0089056B" w:rsidRPr="002F6619">
              <w:rPr>
                <w:shd w:val="clear" w:color="auto" w:fill="FFFFFF"/>
              </w:rPr>
              <w:t xml:space="preserve"> (Noteikumu projekta 1.punkts)</w:t>
            </w:r>
            <w:r w:rsidRPr="002F6619">
              <w:rPr>
                <w:shd w:val="clear" w:color="auto" w:fill="FFFFFF"/>
              </w:rPr>
              <w:t xml:space="preserve">. </w:t>
            </w:r>
          </w:p>
          <w:p w14:paraId="7C6966F6" w14:textId="54A693BE" w:rsidR="00E846EC" w:rsidRPr="002F6619" w:rsidRDefault="002C37C8" w:rsidP="006C5EC9">
            <w:pPr>
              <w:jc w:val="both"/>
              <w:rPr>
                <w:bCs/>
                <w:shd w:val="clear" w:color="auto" w:fill="FFFFFF"/>
              </w:rPr>
            </w:pPr>
            <w:r w:rsidRPr="002F6619">
              <w:rPr>
                <w:shd w:val="clear" w:color="auto" w:fill="FFFFFF"/>
              </w:rPr>
              <w:t>2. A</w:t>
            </w:r>
            <w:r w:rsidR="006C5342" w:rsidRPr="002F6619">
              <w:rPr>
                <w:shd w:val="clear" w:color="auto" w:fill="FFFFFF"/>
              </w:rPr>
              <w:t xml:space="preserve">tbilstoši Labklājības ministrijas virzītajam </w:t>
            </w:r>
            <w:r w:rsidR="007844E6">
              <w:rPr>
                <w:shd w:val="clear" w:color="auto" w:fill="FFFFFF"/>
              </w:rPr>
              <w:t>Informatīvajam ziņojuma</w:t>
            </w:r>
            <w:r w:rsidR="00853561">
              <w:rPr>
                <w:shd w:val="clear" w:color="auto" w:fill="FFFFFF"/>
              </w:rPr>
              <w:t>m</w:t>
            </w:r>
            <w:r w:rsidR="006C5342" w:rsidRPr="002F6619">
              <w:rPr>
                <w:shd w:val="clear" w:color="auto" w:fill="FFFFFF"/>
              </w:rPr>
              <w:t xml:space="preserve">, </w:t>
            </w:r>
            <w:r w:rsidR="006C5342" w:rsidRPr="002F6619">
              <w:rPr>
                <w:bCs/>
                <w:shd w:val="clear" w:color="auto" w:fill="FFFFFF"/>
              </w:rPr>
              <w:t>ir nepieciešams paredzēt, ka valsts valodas prasmes noslēguma pārbaudījumu organizēšanu (izbraukumu veikšanu) bezdarbniekiem</w:t>
            </w:r>
            <w:r w:rsidR="00E8524A">
              <w:rPr>
                <w:bCs/>
                <w:shd w:val="clear" w:color="auto" w:fill="FFFFFF"/>
              </w:rPr>
              <w:t xml:space="preserve"> un darba meklētājiem</w:t>
            </w:r>
            <w:r w:rsidR="006C5342" w:rsidRPr="002F6619">
              <w:rPr>
                <w:bCs/>
                <w:shd w:val="clear" w:color="auto" w:fill="FFFFFF"/>
              </w:rPr>
              <w:t xml:space="preserve"> visas Latvijas teritorijā nodrošina papildu</w:t>
            </w:r>
            <w:r w:rsidR="00035D37">
              <w:rPr>
                <w:bCs/>
                <w:shd w:val="clear" w:color="auto" w:fill="FFFFFF"/>
              </w:rPr>
              <w:t>s</w:t>
            </w:r>
            <w:r w:rsidR="006C5342" w:rsidRPr="002F6619">
              <w:rPr>
                <w:bCs/>
                <w:shd w:val="clear" w:color="auto" w:fill="FFFFFF"/>
              </w:rPr>
              <w:t xml:space="preserve"> valsts valodu apmācību nodrošināšanai (t.i., papildu</w:t>
            </w:r>
            <w:r w:rsidR="00035D37">
              <w:rPr>
                <w:bCs/>
                <w:shd w:val="clear" w:color="auto" w:fill="FFFFFF"/>
              </w:rPr>
              <w:t>s</w:t>
            </w:r>
            <w:r w:rsidR="006C5342" w:rsidRPr="002F6619">
              <w:rPr>
                <w:bCs/>
                <w:shd w:val="clear" w:color="auto" w:fill="FFFFFF"/>
              </w:rPr>
              <w:t xml:space="preserve"> apmācību kupona izmaksām), atbilstoši </w:t>
            </w:r>
            <w:r w:rsidR="006C5342" w:rsidRPr="002F6619">
              <w:rPr>
                <w:shd w:val="clear" w:color="auto" w:fill="FFFFFF"/>
              </w:rPr>
              <w:t>Nodarbinātības valsts aģentūras (turpmāk – NVA) un Valsts izglītības satura centra (turpmāk – VISC) noslēgtajai starpresoru vienošanai</w:t>
            </w:r>
            <w:r w:rsidR="006C5342" w:rsidRPr="002F6619">
              <w:rPr>
                <w:bCs/>
                <w:shd w:val="clear" w:color="auto" w:fill="FFFFFF"/>
              </w:rPr>
              <w:t>.</w:t>
            </w:r>
            <w:r w:rsidR="006C5342" w:rsidRPr="002F6619">
              <w:rPr>
                <w:shd w:val="clear" w:color="auto" w:fill="FFFFFF"/>
              </w:rPr>
              <w:t xml:space="preserve">  Atbilstoši precizējumi tiks veikti arī Labklājības ministrijas pārziņā esošajos </w:t>
            </w:r>
            <w:proofErr w:type="gramStart"/>
            <w:r w:rsidR="00E00E71" w:rsidRPr="002F6619">
              <w:rPr>
                <w:rFonts w:eastAsia="Calibri"/>
                <w:lang w:eastAsia="en-US"/>
              </w:rPr>
              <w:t>2014.gada</w:t>
            </w:r>
            <w:proofErr w:type="gramEnd"/>
            <w:r w:rsidR="00E00E71" w:rsidRPr="002F6619">
              <w:rPr>
                <w:rFonts w:eastAsia="Calibri"/>
                <w:lang w:eastAsia="en-US"/>
              </w:rPr>
              <w:t xml:space="preserve"> 23.decembra</w:t>
            </w:r>
            <w:r w:rsidR="0066747A">
              <w:rPr>
                <w:rFonts w:eastAsia="Calibri"/>
                <w:lang w:eastAsia="en-US"/>
              </w:rPr>
              <w:t xml:space="preserve"> MK</w:t>
            </w:r>
            <w:r w:rsidR="00E00E71" w:rsidRPr="002F6619">
              <w:rPr>
                <w:rFonts w:eastAsia="Calibri"/>
                <w:lang w:eastAsia="en-US"/>
              </w:rPr>
              <w:t xml:space="preserve"> noteikumos Nr.836 </w:t>
            </w:r>
            <w:r w:rsidR="000102F6">
              <w:rPr>
                <w:bCs/>
              </w:rPr>
              <w:t>„</w:t>
            </w:r>
            <w:r w:rsidR="00E00E71" w:rsidRPr="002F6619">
              <w:rPr>
                <w:rFonts w:eastAsia="Calibri"/>
                <w:lang w:eastAsia="en-US"/>
              </w:rPr>
              <w:t xml:space="preserve">Darbības programmas </w:t>
            </w:r>
            <w:r w:rsidR="000102F6">
              <w:rPr>
                <w:bCs/>
              </w:rPr>
              <w:t>„</w:t>
            </w:r>
            <w:r w:rsidR="00E00E71" w:rsidRPr="002F6619">
              <w:rPr>
                <w:rFonts w:eastAsia="Calibri"/>
                <w:lang w:eastAsia="en-US"/>
              </w:rPr>
              <w:t xml:space="preserve">Izaugsme un nodarbinātība” 7.1.1.specifiskā atbalsta mērķa </w:t>
            </w:r>
            <w:r w:rsidR="000102F6">
              <w:rPr>
                <w:bCs/>
              </w:rPr>
              <w:t>„</w:t>
            </w:r>
            <w:r w:rsidR="00E00E71" w:rsidRPr="002F6619">
              <w:rPr>
                <w:rFonts w:eastAsia="Calibri"/>
                <w:lang w:eastAsia="en-US"/>
              </w:rPr>
              <w:t>Paaugstināt bezdarbnieku kvalifikāciju un prasmes atbilstoši darba tirgus pieprasījumam” īstenošanas noteikumi”</w:t>
            </w:r>
            <w:r w:rsidR="00D970B0" w:rsidRPr="002F6619">
              <w:rPr>
                <w:rFonts w:eastAsia="Calibri"/>
                <w:lang w:eastAsia="en-US"/>
              </w:rPr>
              <w:t xml:space="preserve"> un </w:t>
            </w:r>
            <w:r w:rsidR="00D970B0" w:rsidRPr="002F6619">
              <w:rPr>
                <w:color w:val="000000"/>
              </w:rPr>
              <w:t xml:space="preserve">2015.gada 28.aprīļa </w:t>
            </w:r>
            <w:r w:rsidR="000102F6">
              <w:rPr>
                <w:color w:val="000000"/>
              </w:rPr>
              <w:t xml:space="preserve">MK </w:t>
            </w:r>
            <w:r w:rsidR="00D970B0" w:rsidRPr="002F6619">
              <w:rPr>
                <w:color w:val="000000"/>
              </w:rPr>
              <w:t xml:space="preserve">noteikumos Nr.207 </w:t>
            </w:r>
            <w:r w:rsidR="000102F6">
              <w:rPr>
                <w:bCs/>
              </w:rPr>
              <w:t>„</w:t>
            </w:r>
            <w:hyperlink r:id="rId8" w:history="1">
              <w:r w:rsidR="00D970B0" w:rsidRPr="002F6619">
                <w:rPr>
                  <w:color w:val="000000"/>
                </w:rPr>
                <w:t xml:space="preserve">Darbības programmas </w:t>
              </w:r>
              <w:r w:rsidR="000102F6">
                <w:rPr>
                  <w:bCs/>
                </w:rPr>
                <w:t>„</w:t>
              </w:r>
              <w:r w:rsidR="00D970B0" w:rsidRPr="002F6619">
                <w:rPr>
                  <w:color w:val="000000"/>
                </w:rPr>
                <w:t>Izaugsme un nodarbinātība</w:t>
              </w:r>
              <w:r w:rsidR="000102F6">
                <w:rPr>
                  <w:color w:val="000000"/>
                </w:rPr>
                <w:t>”</w:t>
              </w:r>
              <w:r w:rsidR="00D970B0" w:rsidRPr="002F6619">
                <w:rPr>
                  <w:color w:val="000000"/>
                </w:rPr>
                <w:t xml:space="preserve"> 7.2.1.specifiskā atbalsta mērķa </w:t>
              </w:r>
              <w:r w:rsidR="000102F6">
                <w:rPr>
                  <w:bCs/>
                </w:rPr>
                <w:t>„</w:t>
              </w:r>
              <w:r w:rsidR="00D970B0" w:rsidRPr="002F6619">
                <w:rPr>
                  <w:color w:val="000000"/>
                </w:rPr>
                <w:t>Palielināt nodarbinātībā, izglītībā vai apmācībās neiesaistītu jauniešu nodarbinātību un izglītības iegu</w:t>
              </w:r>
              <w:r w:rsidR="000102F6">
                <w:rPr>
                  <w:color w:val="000000"/>
                </w:rPr>
                <w:t>vi Jauniešu garantijas ietvaros”</w:t>
              </w:r>
              <w:r w:rsidR="00D970B0" w:rsidRPr="002F6619">
                <w:rPr>
                  <w:color w:val="000000"/>
                </w:rPr>
                <w:t xml:space="preserve"> pasākumu </w:t>
              </w:r>
              <w:r w:rsidR="000102F6">
                <w:rPr>
                  <w:bCs/>
                </w:rPr>
                <w:t>„</w:t>
              </w:r>
              <w:r w:rsidR="00D970B0" w:rsidRPr="002F6619">
                <w:rPr>
                  <w:color w:val="000000"/>
                </w:rPr>
                <w:t>Aktīvās darba tirgus politikas pasākumu īstenošana jauniešu bezdarbni</w:t>
              </w:r>
              <w:r w:rsidR="0083487A">
                <w:rPr>
                  <w:color w:val="000000"/>
                </w:rPr>
                <w:t>eku nodarbinātības veicināšanai”</w:t>
              </w:r>
              <w:r w:rsidR="00D970B0" w:rsidRPr="002F6619">
                <w:rPr>
                  <w:color w:val="000000"/>
                </w:rPr>
                <w:t xml:space="preserve"> un </w:t>
              </w:r>
              <w:r w:rsidR="000102F6">
                <w:rPr>
                  <w:bCs/>
                </w:rPr>
                <w:t>„</w:t>
              </w:r>
              <w:r w:rsidR="00D970B0" w:rsidRPr="002F6619">
                <w:rPr>
                  <w:color w:val="000000"/>
                </w:rPr>
                <w:t>Sākotnējās profesionālās izglītības programmu īstenoša</w:t>
              </w:r>
              <w:r w:rsidR="000102F6">
                <w:rPr>
                  <w:color w:val="000000"/>
                </w:rPr>
                <w:t>na Jauniešu garantijas ietvaros”</w:t>
              </w:r>
              <w:r w:rsidR="00D970B0" w:rsidRPr="002F6619">
                <w:rPr>
                  <w:color w:val="000000"/>
                </w:rPr>
                <w:t xml:space="preserve"> īstenošanas noteikumi</w:t>
              </w:r>
            </w:hyperlink>
            <w:r w:rsidR="000102F6">
              <w:rPr>
                <w:color w:val="000000"/>
              </w:rPr>
              <w:t>”</w:t>
            </w:r>
            <w:r w:rsidR="00E00E71" w:rsidRPr="002F6619">
              <w:rPr>
                <w:rFonts w:eastAsia="Calibri"/>
                <w:lang w:eastAsia="en-US"/>
              </w:rPr>
              <w:t>.</w:t>
            </w:r>
            <w:r w:rsidR="00E00E71" w:rsidRPr="002F6619">
              <w:rPr>
                <w:shd w:val="clear" w:color="auto" w:fill="FFFFFF"/>
              </w:rPr>
              <w:t xml:space="preserve"> </w:t>
            </w:r>
            <w:r w:rsidR="006C5342" w:rsidRPr="002F6619">
              <w:rPr>
                <w:shd w:val="clear" w:color="auto" w:fill="FFFFFF"/>
              </w:rPr>
              <w:t>Ierosinātās izmaiņas neskar privātpersonu intereses, tiek precizēta norēķinu kārtība starp valsts iestādēm – šai gadījumā starp finansējuma saņēmēju un VISC – par noslēguma valsts valodas prasmju pārbaužu organizēšanu. Nodrošinot bezd</w:t>
            </w:r>
            <w:r w:rsidR="006C5342" w:rsidRPr="002F6619">
              <w:rPr>
                <w:bCs/>
                <w:shd w:val="clear" w:color="auto" w:fill="FFFFFF"/>
              </w:rPr>
              <w:t xml:space="preserve">arbniekiem iespēju valsts valodas prasmju pārbaudi kārtot valsts valodas apmācību pakalpojuma sniegšanas vietā, </w:t>
            </w:r>
            <w:r w:rsidR="00E00E71" w:rsidRPr="002F6619">
              <w:rPr>
                <w:bCs/>
                <w:shd w:val="clear" w:color="auto" w:fill="FFFFFF"/>
              </w:rPr>
              <w:t>bezdarbniekiem un darba meklētājiem tiek nodrošināta iespēja</w:t>
            </w:r>
            <w:r w:rsidR="006C5342" w:rsidRPr="002F6619">
              <w:rPr>
                <w:bCs/>
                <w:shd w:val="clear" w:color="auto" w:fill="FFFFFF"/>
              </w:rPr>
              <w:t xml:space="preserve"> saņem atbilstošu valsts valodas zināšanu līmeņa apliecību (proti, minētais neprasa bezdarbniekam papildu laiku un ceļa izdevumus, kas var būt par iemeslu bezdarbniekam minētās pārbaudes nekārtošanai), tādējādi arī palielinās bezdarbnieku</w:t>
            </w:r>
            <w:r w:rsidR="00E00E71" w:rsidRPr="002F6619">
              <w:rPr>
                <w:bCs/>
                <w:shd w:val="clear" w:color="auto" w:fill="FFFFFF"/>
              </w:rPr>
              <w:t xml:space="preserve"> un darba meklētāju</w:t>
            </w:r>
            <w:r w:rsidR="006C5342" w:rsidRPr="002F6619">
              <w:rPr>
                <w:bCs/>
                <w:shd w:val="clear" w:color="auto" w:fill="FFFFFF"/>
              </w:rPr>
              <w:t xml:space="preserve"> iespējas integrēties darba tirgū atbilstoši nepieciešamajam izvēlētās profesijas valsts valodas līmenim. </w:t>
            </w:r>
          </w:p>
          <w:p w14:paraId="77BF9B15" w14:textId="77777777" w:rsidR="00E846EC" w:rsidRPr="002F6619" w:rsidRDefault="00E846EC" w:rsidP="008116D1">
            <w:pPr>
              <w:autoSpaceDE w:val="0"/>
              <w:autoSpaceDN w:val="0"/>
              <w:adjustRightInd w:val="0"/>
              <w:jc w:val="both"/>
              <w:rPr>
                <w:color w:val="000000"/>
              </w:rPr>
            </w:pPr>
            <w:r w:rsidRPr="002F6619">
              <w:rPr>
                <w:color w:val="000000"/>
              </w:rPr>
              <w:t xml:space="preserve">- 7.1.1.SAM ietvaros periodā līdz </w:t>
            </w:r>
            <w:proofErr w:type="gramStart"/>
            <w:r w:rsidRPr="002F6619">
              <w:rPr>
                <w:color w:val="000000"/>
              </w:rPr>
              <w:t>2015.gada</w:t>
            </w:r>
            <w:proofErr w:type="gramEnd"/>
            <w:r w:rsidRPr="002F6619">
              <w:rPr>
                <w:color w:val="000000"/>
              </w:rPr>
              <w:t xml:space="preserve"> 1.oktobrim valsts valodas apmācību programmā iesaistīti 1 708 bezdarbnieki, no tiem izmantojuši VISC pakalpojumu -  770, kas veido 45 % no valsts valodas apmācībā iesaistīto bezdarbnieku skaita;</w:t>
            </w:r>
          </w:p>
          <w:p w14:paraId="39AB4778" w14:textId="77777777" w:rsidR="00A24503" w:rsidRDefault="00E846EC" w:rsidP="0071055B">
            <w:pPr>
              <w:jc w:val="both"/>
            </w:pPr>
            <w:r w:rsidRPr="002F6619">
              <w:rPr>
                <w:color w:val="000000"/>
              </w:rPr>
              <w:lastRenderedPageBreak/>
              <w:t>- 7.2.1.1.SAM pasākuma ietvaros periodā līdz 2015.gada 1.oktobrim valsts valodas programmā iesaistīti 433 bezdarbnieki, no tiem izmantojuši VISC pakalpojumu – 336, kas veido 78 % no valsts valodas apmācībā iesaistīto bezdarbnieku skaita.</w:t>
            </w:r>
            <w:r w:rsidRPr="002F6619">
              <w:rPr>
                <w:bCs/>
                <w:shd w:val="clear" w:color="auto" w:fill="FFFFFF"/>
              </w:rPr>
              <w:t xml:space="preserve"> </w:t>
            </w:r>
            <w:r w:rsidR="00E00E71" w:rsidRPr="002F6619">
              <w:rPr>
                <w:shd w:val="clear" w:color="auto" w:fill="FFFFFF"/>
              </w:rPr>
              <w:t>(Noteikumu projekta 2</w:t>
            </w:r>
            <w:r w:rsidR="006C5342" w:rsidRPr="002F6619">
              <w:rPr>
                <w:shd w:val="clear" w:color="auto" w:fill="FFFFFF"/>
              </w:rPr>
              <w:t>.</w:t>
            </w:r>
            <w:r w:rsidR="00BA275D">
              <w:rPr>
                <w:shd w:val="clear" w:color="auto" w:fill="FFFFFF"/>
              </w:rPr>
              <w:t xml:space="preserve"> un</w:t>
            </w:r>
            <w:r w:rsidR="00E00E71" w:rsidRPr="002F6619">
              <w:rPr>
                <w:shd w:val="clear" w:color="auto" w:fill="FFFFFF"/>
              </w:rPr>
              <w:t xml:space="preserve"> 3.</w:t>
            </w:r>
            <w:r w:rsidR="006C5342" w:rsidRPr="002F6619">
              <w:rPr>
                <w:shd w:val="clear" w:color="auto" w:fill="FFFFFF"/>
              </w:rPr>
              <w:t>punkts)</w:t>
            </w:r>
            <w:r w:rsidR="004117F8" w:rsidRPr="002F6619">
              <w:rPr>
                <w:shd w:val="clear" w:color="auto" w:fill="FFFFFF"/>
              </w:rPr>
              <w:t>.</w:t>
            </w:r>
            <w:r w:rsidR="002F062E" w:rsidRPr="002F6619">
              <w:t xml:space="preserve"> </w:t>
            </w:r>
          </w:p>
          <w:p w14:paraId="4A5E7B29" w14:textId="53F7C7ED" w:rsidR="00680B37" w:rsidRDefault="00B22C1D" w:rsidP="004C7E4D">
            <w:pPr>
              <w:jc w:val="both"/>
              <w:rPr>
                <w:bCs/>
              </w:rPr>
            </w:pPr>
            <w:r>
              <w:t xml:space="preserve">3. </w:t>
            </w:r>
            <w:r w:rsidR="002045B3">
              <w:t>A</w:t>
            </w:r>
            <w:r w:rsidR="00A516AE" w:rsidRPr="00A516AE">
              <w:rPr>
                <w:bCs/>
              </w:rPr>
              <w:t xml:space="preserve">tbilstoši </w:t>
            </w:r>
            <w:proofErr w:type="gramStart"/>
            <w:r w:rsidR="00A516AE" w:rsidRPr="00A516AE">
              <w:rPr>
                <w:bCs/>
              </w:rPr>
              <w:t>2014.gada</w:t>
            </w:r>
            <w:proofErr w:type="gramEnd"/>
            <w:r w:rsidR="00A516AE" w:rsidRPr="00A516AE">
              <w:rPr>
                <w:bCs/>
              </w:rPr>
              <w:t xml:space="preserve"> 12.augusta MK noteikumu Nr.452 </w:t>
            </w:r>
            <w:r w:rsidR="002045B3" w:rsidRPr="002045B3">
              <w:rPr>
                <w:bCs/>
              </w:rPr>
              <w:t>„</w:t>
            </w:r>
            <w:r w:rsidR="00A516AE" w:rsidRPr="00A516AE">
              <w:rPr>
                <w:bCs/>
              </w:rPr>
              <w:t>Grozījumi MK noteikumos Nr.75” (stājas spēkā no 15.08.2014) 43.</w:t>
            </w:r>
            <w:r w:rsidR="00A516AE" w:rsidRPr="00A516AE">
              <w:rPr>
                <w:bCs/>
                <w:vertAlign w:val="superscript"/>
              </w:rPr>
              <w:t>1</w:t>
            </w:r>
            <w:r w:rsidR="00A516AE" w:rsidRPr="00A516AE">
              <w:rPr>
                <w:bCs/>
              </w:rPr>
              <w:t xml:space="preserve"> punktā noteiktajam, ja bezdarbnieku un darba meklētāju apmācībai tiek izmantota kuponu metode, tad paredzētos finanšu līdzekļus, kas tiek izmaksāti mācību iestādei, var izlietot</w:t>
            </w:r>
            <w:r w:rsidR="00A516AE">
              <w:rPr>
                <w:bCs/>
              </w:rPr>
              <w:t xml:space="preserve"> </w:t>
            </w:r>
            <w:r w:rsidR="00A516AE" w:rsidRPr="00A516AE">
              <w:rPr>
                <w:bCs/>
                <w:lang w:eastAsia="en-US"/>
              </w:rPr>
              <w:t xml:space="preserve">izglītības programmu kvalifikācijas eksāmenu, noslēguma pārbaudījumu un sertifikātu ieguves izdevumu segšanai, </w:t>
            </w:r>
            <w:r w:rsidR="00F377D2">
              <w:rPr>
                <w:bCs/>
                <w:lang w:eastAsia="en-US"/>
              </w:rPr>
              <w:t>t.sk.</w:t>
            </w:r>
            <w:r w:rsidR="00A516AE" w:rsidRPr="00A516AE">
              <w:rPr>
                <w:bCs/>
                <w:lang w:eastAsia="en-US"/>
              </w:rPr>
              <w:t xml:space="preserve"> par v</w:t>
            </w:r>
            <w:r w:rsidR="002045B3">
              <w:rPr>
                <w:bCs/>
                <w:lang w:eastAsia="en-US"/>
              </w:rPr>
              <w:t>alsts valodas prasmes pārbaudēm.</w:t>
            </w:r>
            <w:r w:rsidR="00A516AE">
              <w:rPr>
                <w:bCs/>
                <w:lang w:eastAsia="en-US"/>
              </w:rPr>
              <w:t xml:space="preserve"> </w:t>
            </w:r>
            <w:r w:rsidR="00A516AE" w:rsidRPr="00A516AE">
              <w:rPr>
                <w:bCs/>
                <w:lang w:eastAsia="en-US"/>
              </w:rPr>
              <w:t xml:space="preserve">Iepriekšminētais </w:t>
            </w:r>
            <w:r w:rsidR="002045B3">
              <w:rPr>
                <w:bCs/>
                <w:lang w:eastAsia="en-US"/>
              </w:rPr>
              <w:t>punkts nosaka</w:t>
            </w:r>
            <w:r w:rsidR="00A516AE" w:rsidRPr="00A516AE">
              <w:rPr>
                <w:bCs/>
                <w:lang w:eastAsia="en-US"/>
              </w:rPr>
              <w:t xml:space="preserve">, ka apmācību kupona cenā tiek ietvertas noteiktas izmaksu pozīcijas pilnai </w:t>
            </w:r>
            <w:r w:rsidR="009F0C0C">
              <w:rPr>
                <w:bCs/>
                <w:lang w:eastAsia="en-US"/>
              </w:rPr>
              <w:t xml:space="preserve">apmācību </w:t>
            </w:r>
            <w:r w:rsidR="00A516AE" w:rsidRPr="00A516AE">
              <w:rPr>
                <w:bCs/>
                <w:lang w:eastAsia="en-US"/>
              </w:rPr>
              <w:t xml:space="preserve">procesa nodrošināšanai un līdz ar to papildu izdevumi par apmācību organizēšanu, </w:t>
            </w:r>
            <w:r w:rsidR="00700170">
              <w:rPr>
                <w:bCs/>
                <w:lang w:eastAsia="en-US"/>
              </w:rPr>
              <w:t>t.sk.</w:t>
            </w:r>
            <w:r w:rsidR="00A516AE" w:rsidRPr="00A516AE">
              <w:rPr>
                <w:bCs/>
                <w:lang w:eastAsia="en-US"/>
              </w:rPr>
              <w:t xml:space="preserve"> noslēguma pārbaudīju</w:t>
            </w:r>
            <w:r w:rsidR="002045B3">
              <w:rPr>
                <w:bCs/>
                <w:lang w:eastAsia="en-US"/>
              </w:rPr>
              <w:t xml:space="preserve">mu nodrošināšanu, nav paredzēti, tomēr </w:t>
            </w:r>
            <w:r w:rsidR="004C7E4D">
              <w:rPr>
                <w:bCs/>
              </w:rPr>
              <w:t>f</w:t>
            </w:r>
            <w:r w:rsidR="00A516AE">
              <w:rPr>
                <w:bCs/>
              </w:rPr>
              <w:t xml:space="preserve">aktiski </w:t>
            </w:r>
            <w:r w:rsidR="00A516AE" w:rsidRPr="000C7663">
              <w:rPr>
                <w:bCs/>
              </w:rPr>
              <w:t xml:space="preserve">NVA kā projekta īstenotājs veicis </w:t>
            </w:r>
            <w:r w:rsidR="00A516AE">
              <w:rPr>
                <w:bCs/>
              </w:rPr>
              <w:t>izdevumus</w:t>
            </w:r>
            <w:r w:rsidR="00A516AE" w:rsidRPr="000C7663">
              <w:rPr>
                <w:bCs/>
              </w:rPr>
              <w:t xml:space="preserve"> SAM 7.2.1.1. pasākuma projekta </w:t>
            </w:r>
            <w:r w:rsidR="00700170" w:rsidRPr="00700170">
              <w:rPr>
                <w:bCs/>
              </w:rPr>
              <w:t>„</w:t>
            </w:r>
            <w:r w:rsidR="00A516AE" w:rsidRPr="000C7663">
              <w:rPr>
                <w:bCs/>
              </w:rPr>
              <w:t xml:space="preserve">Jauniešu garantijas” un SAM 7.1.1. projekta </w:t>
            </w:r>
            <w:r w:rsidR="00700170" w:rsidRPr="00700170">
              <w:rPr>
                <w:bCs/>
              </w:rPr>
              <w:t>„</w:t>
            </w:r>
            <w:r w:rsidR="00A516AE" w:rsidRPr="000C7663">
              <w:rPr>
                <w:bCs/>
              </w:rPr>
              <w:t>Atbalsts bezdarbnieku izglītībai”</w:t>
            </w:r>
            <w:r w:rsidR="00A5115E">
              <w:rPr>
                <w:bCs/>
              </w:rPr>
              <w:t xml:space="preserve"> un pasākuma </w:t>
            </w:r>
            <w:r w:rsidR="00A5115E" w:rsidRPr="00A5115E">
              <w:rPr>
                <w:bCs/>
              </w:rPr>
              <w:t>„</w:t>
            </w:r>
            <w:r w:rsidR="00A5115E">
              <w:rPr>
                <w:bCs/>
              </w:rPr>
              <w:t>Bezdarbnieku un darba meklētāju apmācība” (valsts budžets)</w:t>
            </w:r>
            <w:r w:rsidR="00A516AE" w:rsidRPr="000C7663">
              <w:rPr>
                <w:bCs/>
              </w:rPr>
              <w:t xml:space="preserve"> ietvaros</w:t>
            </w:r>
            <w:r w:rsidR="00A516AE">
              <w:rPr>
                <w:bCs/>
              </w:rPr>
              <w:t xml:space="preserve"> </w:t>
            </w:r>
            <w:r w:rsidR="00A516AE" w:rsidRPr="000C7663">
              <w:rPr>
                <w:bCs/>
              </w:rPr>
              <w:t xml:space="preserve">par valsts valodas prasmes noslēguma pārbaudījumu organizēšanu (tajā skaitā izbraukumu veikšanu) visas Latvijas teritorijā, lai organizētu bezdarbnieku pārbaudījuma kārtošanu 10 darba dienu laikā pēc valsts valodas apmācības pabeigšanas, </w:t>
            </w:r>
            <w:r w:rsidR="00693EE8">
              <w:rPr>
                <w:bCs/>
              </w:rPr>
              <w:t xml:space="preserve">ievērojot </w:t>
            </w:r>
            <w:r w:rsidR="00A516AE" w:rsidRPr="000C7663">
              <w:rPr>
                <w:bCs/>
              </w:rPr>
              <w:t>NVA ar V</w:t>
            </w:r>
            <w:r w:rsidR="00A516AE">
              <w:rPr>
                <w:bCs/>
              </w:rPr>
              <w:t>IS</w:t>
            </w:r>
            <w:r w:rsidR="00A516AE" w:rsidRPr="000C7663">
              <w:rPr>
                <w:bCs/>
              </w:rPr>
              <w:t>C noslēgt</w:t>
            </w:r>
            <w:r w:rsidR="00693EE8">
              <w:rPr>
                <w:bCs/>
              </w:rPr>
              <w:t xml:space="preserve">o </w:t>
            </w:r>
            <w:r w:rsidR="00A516AE" w:rsidRPr="000C7663">
              <w:rPr>
                <w:bCs/>
              </w:rPr>
              <w:t>starpresor</w:t>
            </w:r>
            <w:r w:rsidR="00693EE8">
              <w:rPr>
                <w:bCs/>
              </w:rPr>
              <w:t>u vienošanos</w:t>
            </w:r>
            <w:r w:rsidR="00A516AE">
              <w:rPr>
                <w:bCs/>
              </w:rPr>
              <w:t>.</w:t>
            </w:r>
          </w:p>
          <w:p w14:paraId="5E06A420" w14:textId="3A1E2216" w:rsidR="00A516AE" w:rsidRPr="004C7E4D" w:rsidRDefault="00680B37" w:rsidP="004C7E4D">
            <w:pPr>
              <w:jc w:val="both"/>
            </w:pPr>
            <w:r w:rsidRPr="00680B37">
              <w:rPr>
                <w:bCs/>
              </w:rPr>
              <w:t xml:space="preserve">Līgumi par apmācību īstenošanu, t.sk. valsts valodas apmācību īstenošanu ar izglītības iestādēm tika noslēgti </w:t>
            </w:r>
            <w:proofErr w:type="gramStart"/>
            <w:r>
              <w:rPr>
                <w:bCs/>
              </w:rPr>
              <w:t>2014.gada</w:t>
            </w:r>
            <w:proofErr w:type="gramEnd"/>
            <w:r>
              <w:rPr>
                <w:bCs/>
              </w:rPr>
              <w:t xml:space="preserve"> vidū</w:t>
            </w:r>
            <w:r w:rsidRPr="00680B37">
              <w:rPr>
                <w:bCs/>
              </w:rPr>
              <w:t xml:space="preserve"> un jaunus l</w:t>
            </w:r>
            <w:r>
              <w:rPr>
                <w:bCs/>
              </w:rPr>
              <w:t>īgumus par apmācību īstenošanu</w:t>
            </w:r>
            <w:r w:rsidRPr="00680B37">
              <w:rPr>
                <w:bCs/>
              </w:rPr>
              <w:t xml:space="preserve"> plānots slēgt </w:t>
            </w:r>
            <w:r>
              <w:rPr>
                <w:bCs/>
              </w:rPr>
              <w:t xml:space="preserve">tikai </w:t>
            </w:r>
            <w:r w:rsidRPr="00680B37">
              <w:rPr>
                <w:bCs/>
              </w:rPr>
              <w:t>2016.gad</w:t>
            </w:r>
            <w:r>
              <w:rPr>
                <w:bCs/>
              </w:rPr>
              <w:t xml:space="preserve">ā, līdz ar to, spēkā joprojām ir līgumi, kas noslēgti pirms 2014.gada 15.augusta un uz tiem attiecināms </w:t>
            </w:r>
            <w:r w:rsidRPr="00680B37">
              <w:rPr>
                <w:bCs/>
              </w:rPr>
              <w:t>2011.gada 25.janvār</w:t>
            </w:r>
            <w:r>
              <w:rPr>
                <w:bCs/>
              </w:rPr>
              <w:t xml:space="preserve">a MK noteikumu Nr.75 </w:t>
            </w:r>
            <w:r w:rsidRPr="00680B37">
              <w:rPr>
                <w:bCs/>
              </w:rPr>
              <w:t>„Noteikumi par aktīvo nodarbinātības pasākumu un preventīvo bezdarba samazināšanas pasākumu organizēšanas un finansēšanas kārtību un pasākumu īstenotāju izvēles principiem</w:t>
            </w:r>
            <w:r>
              <w:rPr>
                <w:bCs/>
              </w:rPr>
              <w:t xml:space="preserve">” </w:t>
            </w:r>
            <w:r w:rsidRPr="00680B37">
              <w:rPr>
                <w:bCs/>
              </w:rPr>
              <w:t>207.</w:t>
            </w:r>
            <w:r>
              <w:rPr>
                <w:bCs/>
              </w:rPr>
              <w:t>punkts, k</w:t>
            </w:r>
            <w:r w:rsidR="006F689E">
              <w:rPr>
                <w:bCs/>
              </w:rPr>
              <w:t>as</w:t>
            </w:r>
            <w:r>
              <w:rPr>
                <w:bCs/>
              </w:rPr>
              <w:t xml:space="preserve"> paredz, ka š</w:t>
            </w:r>
            <w:r w:rsidRPr="00680B37">
              <w:rPr>
                <w:bCs/>
              </w:rPr>
              <w:t>o noteikumu 43.1</w:t>
            </w:r>
            <w:r>
              <w:rPr>
                <w:bCs/>
              </w:rPr>
              <w:t>.apakš</w:t>
            </w:r>
            <w:r w:rsidRPr="00680B37">
              <w:rPr>
                <w:bCs/>
              </w:rPr>
              <w:t>punktu nepiemēro izgl</w:t>
            </w:r>
            <w:r w:rsidR="003727FB">
              <w:rPr>
                <w:bCs/>
              </w:rPr>
              <w:t>ītības iestādēm, kas līdz 2014.</w:t>
            </w:r>
            <w:r w:rsidRPr="00680B37">
              <w:rPr>
                <w:bCs/>
              </w:rPr>
              <w:t xml:space="preserve">gada 15. augustam ir noslēgušas līgumus ar </w:t>
            </w:r>
            <w:r>
              <w:rPr>
                <w:bCs/>
              </w:rPr>
              <w:t>NVA</w:t>
            </w:r>
            <w:r w:rsidRPr="00680B37">
              <w:rPr>
                <w:bCs/>
              </w:rPr>
              <w:t xml:space="preserve"> par pasākumu īstenošanu.</w:t>
            </w:r>
          </w:p>
          <w:p w14:paraId="1B262E67" w14:textId="732590BC" w:rsidR="00A516AE" w:rsidRPr="00680B37" w:rsidRDefault="00BD6B36" w:rsidP="0071055B">
            <w:pPr>
              <w:jc w:val="both"/>
              <w:rPr>
                <w:bCs/>
                <w:lang w:eastAsia="en-US"/>
              </w:rPr>
            </w:pPr>
            <w:r>
              <w:rPr>
                <w:bCs/>
                <w:lang w:eastAsia="en-US"/>
              </w:rPr>
              <w:t xml:space="preserve">Ņemot vērā iepriekš minēto, Noteikumu projektā </w:t>
            </w:r>
            <w:r w:rsidR="00895999" w:rsidRPr="00895999">
              <w:rPr>
                <w:bCs/>
                <w:lang w:eastAsia="en-US"/>
              </w:rPr>
              <w:t>paredz</w:t>
            </w:r>
            <w:r>
              <w:rPr>
                <w:bCs/>
                <w:lang w:eastAsia="en-US"/>
              </w:rPr>
              <w:t>ēta izmaksu attiecināmība</w:t>
            </w:r>
            <w:r w:rsidR="00895999" w:rsidRPr="00895999">
              <w:rPr>
                <w:bCs/>
                <w:lang w:eastAsia="en-US"/>
              </w:rPr>
              <w:t xml:space="preserve"> valsts valodas prasmes noslēguma eksāmenu organizēšanai </w:t>
            </w:r>
            <w:r w:rsidR="00895999" w:rsidRPr="00680B37">
              <w:rPr>
                <w:bCs/>
                <w:lang w:eastAsia="en-US"/>
              </w:rPr>
              <w:t>no šī pakalpojuma sniegšanas brīž</w:t>
            </w:r>
            <w:r w:rsidRPr="00680B37">
              <w:rPr>
                <w:bCs/>
                <w:lang w:eastAsia="en-US"/>
              </w:rPr>
              <w:t xml:space="preserve">a </w:t>
            </w:r>
            <w:r>
              <w:rPr>
                <w:bCs/>
                <w:lang w:eastAsia="en-US"/>
              </w:rPr>
              <w:t>(</w:t>
            </w:r>
            <w:proofErr w:type="gramStart"/>
            <w:r>
              <w:rPr>
                <w:bCs/>
                <w:lang w:eastAsia="en-US"/>
              </w:rPr>
              <w:t>2014.gada</w:t>
            </w:r>
            <w:proofErr w:type="gramEnd"/>
            <w:r>
              <w:rPr>
                <w:bCs/>
                <w:lang w:eastAsia="en-US"/>
              </w:rPr>
              <w:t xml:space="preserve"> 15.augusta)</w:t>
            </w:r>
            <w:r w:rsidR="009F0C0C">
              <w:rPr>
                <w:bCs/>
                <w:lang w:eastAsia="en-US"/>
              </w:rPr>
              <w:t xml:space="preserve"> (Noteikumu projekta 4.punkts)</w:t>
            </w:r>
            <w:r>
              <w:rPr>
                <w:bCs/>
                <w:lang w:eastAsia="en-US"/>
              </w:rPr>
              <w:t xml:space="preserve">. </w:t>
            </w:r>
            <w:r w:rsidR="009F0C0C">
              <w:t xml:space="preserve">Turklāt </w:t>
            </w:r>
            <w:r w:rsidR="00895999" w:rsidRPr="00895999">
              <w:t xml:space="preserve">Noteikumu projektā netiek </w:t>
            </w:r>
            <w:r w:rsidR="00895999" w:rsidRPr="00895999">
              <w:lastRenderedPageBreak/>
              <w:t xml:space="preserve">paredzētas/grozītas normas, kas </w:t>
            </w:r>
            <w:r w:rsidR="009F0C0C">
              <w:t>ietekmē</w:t>
            </w:r>
            <w:r w:rsidR="00895999" w:rsidRPr="00895999">
              <w:t xml:space="preserve"> privātperson</w:t>
            </w:r>
            <w:r w:rsidR="009F0C0C">
              <w:t xml:space="preserve">u tiesisko stāvokli, bet gan precizē savstarpējo norēķinu kārtību starp iestādēm. </w:t>
            </w:r>
          </w:p>
          <w:p w14:paraId="3E28B987" w14:textId="090E042D" w:rsidR="00A516AE" w:rsidRPr="00680B37" w:rsidRDefault="00680B37" w:rsidP="00680B37">
            <w:pPr>
              <w:jc w:val="both"/>
              <w:rPr>
                <w:bCs/>
              </w:rPr>
            </w:pPr>
            <w:r>
              <w:rPr>
                <w:bCs/>
              </w:rPr>
              <w:t>P</w:t>
            </w:r>
            <w:r w:rsidRPr="00680B37">
              <w:rPr>
                <w:bCs/>
              </w:rPr>
              <w:t xml:space="preserve">ašreizējā situācijā </w:t>
            </w:r>
            <w:r>
              <w:rPr>
                <w:bCs/>
              </w:rPr>
              <w:t>valsts valodas apmācību</w:t>
            </w:r>
            <w:r w:rsidRPr="00680B37">
              <w:rPr>
                <w:bCs/>
              </w:rPr>
              <w:t xml:space="preserve"> mērķa sasniegšanai būtiski ir NVA nodrošināt </w:t>
            </w:r>
            <w:proofErr w:type="gramStart"/>
            <w:r w:rsidRPr="00680B37">
              <w:rPr>
                <w:bCs/>
              </w:rPr>
              <w:t>arī turpmāku VISC sniegtā pakalpojuma</w:t>
            </w:r>
            <w:proofErr w:type="gramEnd"/>
            <w:r w:rsidRPr="00680B37">
              <w:rPr>
                <w:bCs/>
              </w:rPr>
              <w:t xml:space="preserve"> par valsts valodas prasmes noslēguma pārbaudes organizēšanu. </w:t>
            </w:r>
          </w:p>
        </w:tc>
      </w:tr>
      <w:tr w:rsidR="00B76D85" w:rsidRPr="002F6619" w14:paraId="7AFA1C0A" w14:textId="77777777" w:rsidTr="006A7D0B">
        <w:tc>
          <w:tcPr>
            <w:tcW w:w="213" w:type="pct"/>
            <w:shd w:val="clear" w:color="auto" w:fill="auto"/>
          </w:tcPr>
          <w:p w14:paraId="439F8173" w14:textId="397536FE" w:rsidR="00B76D85" w:rsidRPr="002F6619" w:rsidRDefault="004373E9" w:rsidP="00B76D85">
            <w:r w:rsidRPr="002F6619">
              <w:lastRenderedPageBreak/>
              <w:t>3</w:t>
            </w:r>
            <w:r w:rsidR="00B76D85" w:rsidRPr="002F6619">
              <w:t>.</w:t>
            </w:r>
          </w:p>
        </w:tc>
        <w:tc>
          <w:tcPr>
            <w:tcW w:w="1654" w:type="pct"/>
            <w:shd w:val="clear" w:color="auto" w:fill="auto"/>
          </w:tcPr>
          <w:p w14:paraId="5935E008" w14:textId="77777777" w:rsidR="00B76D85" w:rsidRPr="002F6619" w:rsidRDefault="00B76D85" w:rsidP="00B76D85">
            <w:r w:rsidRPr="002F6619">
              <w:t>Projekta izstrādē iesaistītās institūcijas</w:t>
            </w:r>
          </w:p>
        </w:tc>
        <w:tc>
          <w:tcPr>
            <w:tcW w:w="3133" w:type="pct"/>
            <w:shd w:val="clear" w:color="auto" w:fill="auto"/>
          </w:tcPr>
          <w:p w14:paraId="02E08926" w14:textId="747D4B93" w:rsidR="00B76D85" w:rsidRPr="009C7F78" w:rsidRDefault="00370322" w:rsidP="00D4440C">
            <w:pPr>
              <w:jc w:val="both"/>
            </w:pPr>
            <w:r>
              <w:t>Labklājības ministrija</w:t>
            </w:r>
            <w:r w:rsidR="000179D0">
              <w:t>.</w:t>
            </w:r>
          </w:p>
        </w:tc>
      </w:tr>
      <w:tr w:rsidR="00B76D85" w:rsidRPr="002F6619" w14:paraId="1BEB59B2" w14:textId="77777777" w:rsidTr="006A7D0B">
        <w:tc>
          <w:tcPr>
            <w:tcW w:w="213" w:type="pct"/>
            <w:shd w:val="clear" w:color="auto" w:fill="auto"/>
          </w:tcPr>
          <w:p w14:paraId="6812B666" w14:textId="77777777" w:rsidR="00B76D85" w:rsidRPr="002F6619" w:rsidRDefault="004373E9" w:rsidP="004373E9">
            <w:r w:rsidRPr="002F6619">
              <w:t>4</w:t>
            </w:r>
            <w:r w:rsidR="00B76D85" w:rsidRPr="002F6619">
              <w:t xml:space="preserve">. </w:t>
            </w:r>
          </w:p>
        </w:tc>
        <w:tc>
          <w:tcPr>
            <w:tcW w:w="1654" w:type="pct"/>
            <w:shd w:val="clear" w:color="auto" w:fill="auto"/>
          </w:tcPr>
          <w:p w14:paraId="30EC6742" w14:textId="77777777" w:rsidR="00B76D85" w:rsidRPr="002F6619" w:rsidRDefault="00B76D85" w:rsidP="00B76D85">
            <w:r w:rsidRPr="002F6619">
              <w:t>Cita informācija</w:t>
            </w:r>
          </w:p>
        </w:tc>
        <w:tc>
          <w:tcPr>
            <w:tcW w:w="3133" w:type="pct"/>
            <w:shd w:val="clear" w:color="auto" w:fill="auto"/>
          </w:tcPr>
          <w:p w14:paraId="784220A5" w14:textId="77777777" w:rsidR="00B76D85" w:rsidRPr="002F6619" w:rsidRDefault="00FC797D" w:rsidP="006A7D0B">
            <w:pPr>
              <w:jc w:val="both"/>
              <w:rPr>
                <w:color w:val="000000"/>
              </w:rPr>
            </w:pPr>
            <w:r w:rsidRPr="002F6619">
              <w:rPr>
                <w:color w:val="000000"/>
              </w:rPr>
              <w:t>Nav</w:t>
            </w:r>
            <w:r w:rsidR="00372BBA" w:rsidRPr="002F6619">
              <w:rPr>
                <w:color w:val="000000"/>
              </w:rPr>
              <w:t>.</w:t>
            </w:r>
          </w:p>
        </w:tc>
      </w:tr>
    </w:tbl>
    <w:p w14:paraId="2EDCCFF7" w14:textId="77777777" w:rsidR="00B76D85" w:rsidRPr="002F6619"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9"/>
        <w:gridCol w:w="5646"/>
      </w:tblGrid>
      <w:tr w:rsidR="00C01716" w:rsidRPr="002F6619" w14:paraId="47650DE5" w14:textId="77777777" w:rsidTr="006A7D0B">
        <w:tc>
          <w:tcPr>
            <w:tcW w:w="9287" w:type="dxa"/>
            <w:gridSpan w:val="3"/>
            <w:shd w:val="clear" w:color="auto" w:fill="auto"/>
          </w:tcPr>
          <w:p w14:paraId="68230973" w14:textId="77777777" w:rsidR="00230730" w:rsidRPr="002F6619" w:rsidRDefault="00C01716" w:rsidP="006A7D0B">
            <w:pPr>
              <w:pStyle w:val="naisnod"/>
              <w:spacing w:before="0" w:after="0"/>
              <w:ind w:left="57" w:right="57"/>
              <w:rPr>
                <w:b w:val="0"/>
              </w:rPr>
            </w:pPr>
            <w:r w:rsidRPr="002F6619">
              <w:t>II</w:t>
            </w:r>
            <w:r w:rsidR="00DC37D9" w:rsidRPr="002F6619">
              <w:t>.</w:t>
            </w:r>
            <w:r w:rsidRPr="002F6619">
              <w:rPr>
                <w:b w:val="0"/>
              </w:rPr>
              <w:t xml:space="preserve"> </w:t>
            </w:r>
            <w:r w:rsidR="00230730" w:rsidRPr="002F6619">
              <w:t>Tiesību akta projekta ietekme uz sabiedrību, tautsaimniecības attīstību</w:t>
            </w:r>
          </w:p>
          <w:p w14:paraId="232E6F00" w14:textId="77777777" w:rsidR="00C01716" w:rsidRPr="002F6619" w:rsidRDefault="00230730" w:rsidP="006A7D0B">
            <w:pPr>
              <w:jc w:val="center"/>
              <w:rPr>
                <w:b/>
              </w:rPr>
            </w:pPr>
            <w:r w:rsidRPr="002F6619">
              <w:rPr>
                <w:b/>
              </w:rPr>
              <w:t>un administratīvo slogu</w:t>
            </w:r>
          </w:p>
        </w:tc>
      </w:tr>
      <w:tr w:rsidR="00B76D85" w:rsidRPr="002F6619" w14:paraId="1BDCF7D5" w14:textId="77777777" w:rsidTr="006A7D0B">
        <w:tc>
          <w:tcPr>
            <w:tcW w:w="396" w:type="dxa"/>
            <w:shd w:val="clear" w:color="auto" w:fill="auto"/>
          </w:tcPr>
          <w:p w14:paraId="0AD2DB31" w14:textId="77777777" w:rsidR="00B76D85" w:rsidRPr="002F6619" w:rsidRDefault="00B76D85" w:rsidP="00242D7D">
            <w:r w:rsidRPr="002F6619">
              <w:t>1.</w:t>
            </w:r>
          </w:p>
        </w:tc>
        <w:tc>
          <w:tcPr>
            <w:tcW w:w="3072" w:type="dxa"/>
            <w:shd w:val="clear" w:color="auto" w:fill="auto"/>
          </w:tcPr>
          <w:p w14:paraId="562FA7D6" w14:textId="77777777" w:rsidR="00B76D85" w:rsidRPr="002F6619" w:rsidRDefault="00230730" w:rsidP="00242D7D">
            <w:r w:rsidRPr="002F6619">
              <w:t>Sabiedrības mērķgrupas, kuras tiesiskais regulējums ietekmē vai varētu ietekmēt</w:t>
            </w:r>
          </w:p>
        </w:tc>
        <w:tc>
          <w:tcPr>
            <w:tcW w:w="5819" w:type="dxa"/>
            <w:shd w:val="clear" w:color="auto" w:fill="auto"/>
          </w:tcPr>
          <w:p w14:paraId="7D46B00E" w14:textId="53F603D0" w:rsidR="00B76D85" w:rsidRPr="002F6619" w:rsidRDefault="00A363EB" w:rsidP="00A363EB">
            <w:pPr>
              <w:jc w:val="both"/>
              <w:rPr>
                <w:iCs/>
                <w:color w:val="000000"/>
              </w:rPr>
            </w:pPr>
            <w:r w:rsidRPr="002F6619">
              <w:rPr>
                <w:iCs/>
                <w:color w:val="000000"/>
              </w:rPr>
              <w:t>NVA reģistrēti bezdarbnieki un darba meklētāji, īpaši ar zemu un darba tirgus prasībām neatbilstošu prasmju un kvalifikācijas līmeni</w:t>
            </w:r>
            <w:r w:rsidR="00CF794E" w:rsidRPr="002F6619">
              <w:rPr>
                <w:iCs/>
                <w:color w:val="000000"/>
              </w:rPr>
              <w:t xml:space="preserve">. Atbilstoši NVA rīcībā esošajiem datiem, </w:t>
            </w:r>
            <w:r w:rsidR="00CF794E" w:rsidRPr="002F6619">
              <w:t xml:space="preserve">reģistrētā bezdarba līmenis valstī 2015.gada oktobra beigās bija </w:t>
            </w:r>
            <w:r w:rsidR="00CF794E" w:rsidRPr="002F6619">
              <w:rPr>
                <w:bCs/>
              </w:rPr>
              <w:t>8,3%</w:t>
            </w:r>
            <w:r w:rsidR="00CF794E" w:rsidRPr="002F6619">
              <w:t xml:space="preserve">, kopējais aģentūrā reģistrēto bezdarbnieku skaits – 78 052. </w:t>
            </w:r>
          </w:p>
        </w:tc>
      </w:tr>
      <w:tr w:rsidR="00230730" w:rsidRPr="002F6619" w14:paraId="0AFA458C" w14:textId="77777777" w:rsidTr="006A7D0B">
        <w:tc>
          <w:tcPr>
            <w:tcW w:w="396" w:type="dxa"/>
            <w:shd w:val="clear" w:color="auto" w:fill="auto"/>
          </w:tcPr>
          <w:p w14:paraId="071C6BD7" w14:textId="77777777" w:rsidR="00230730" w:rsidRPr="002F6619" w:rsidRDefault="00230730" w:rsidP="00242D7D">
            <w:r w:rsidRPr="002F6619">
              <w:t xml:space="preserve">2. </w:t>
            </w:r>
          </w:p>
        </w:tc>
        <w:tc>
          <w:tcPr>
            <w:tcW w:w="3072" w:type="dxa"/>
            <w:shd w:val="clear" w:color="auto" w:fill="auto"/>
          </w:tcPr>
          <w:p w14:paraId="6861D931" w14:textId="77777777" w:rsidR="00230730" w:rsidRPr="002F6619" w:rsidRDefault="00230730" w:rsidP="00242D7D">
            <w:r w:rsidRPr="002F6619">
              <w:t>Tiesiskā regulējuma ietekme uz tautsaimniecību un administratīvo slogu</w:t>
            </w:r>
          </w:p>
        </w:tc>
        <w:tc>
          <w:tcPr>
            <w:tcW w:w="5819" w:type="dxa"/>
            <w:shd w:val="clear" w:color="auto" w:fill="auto"/>
          </w:tcPr>
          <w:p w14:paraId="0CD60E96" w14:textId="77777777" w:rsidR="00230730" w:rsidRPr="002F6619" w:rsidRDefault="00A363EB" w:rsidP="00A363EB">
            <w:pPr>
              <w:jc w:val="both"/>
              <w:rPr>
                <w:color w:val="000000"/>
              </w:rPr>
            </w:pPr>
            <w:r w:rsidRPr="002F6619">
              <w:rPr>
                <w:iCs/>
                <w:color w:val="000000"/>
              </w:rPr>
              <w:t>Sabiedrības grupām Noteikumu projekts nemaina tiesības un pienākumus, kā arī veicamās darbības.</w:t>
            </w:r>
          </w:p>
        </w:tc>
      </w:tr>
      <w:tr w:rsidR="00230730" w:rsidRPr="002F6619" w14:paraId="0E303EEB" w14:textId="77777777" w:rsidTr="006A7D0B">
        <w:tc>
          <w:tcPr>
            <w:tcW w:w="396" w:type="dxa"/>
            <w:shd w:val="clear" w:color="auto" w:fill="auto"/>
          </w:tcPr>
          <w:p w14:paraId="3E4AB00D" w14:textId="77777777" w:rsidR="00230730" w:rsidRPr="002F6619" w:rsidRDefault="00230730" w:rsidP="00230730">
            <w:r w:rsidRPr="002F6619">
              <w:t>3.</w:t>
            </w:r>
          </w:p>
        </w:tc>
        <w:tc>
          <w:tcPr>
            <w:tcW w:w="3072" w:type="dxa"/>
            <w:shd w:val="clear" w:color="auto" w:fill="auto"/>
          </w:tcPr>
          <w:p w14:paraId="5250B24C" w14:textId="77777777" w:rsidR="00230730" w:rsidRPr="002F6619" w:rsidRDefault="00230730" w:rsidP="00242D7D">
            <w:r w:rsidRPr="002F6619">
              <w:t>Administratīvo izmaksu monetārs novērtējums</w:t>
            </w:r>
          </w:p>
        </w:tc>
        <w:tc>
          <w:tcPr>
            <w:tcW w:w="5819" w:type="dxa"/>
            <w:shd w:val="clear" w:color="auto" w:fill="auto"/>
          </w:tcPr>
          <w:p w14:paraId="7CD4E3B3" w14:textId="77777777" w:rsidR="00230730" w:rsidRPr="002F6619" w:rsidRDefault="005F23F9" w:rsidP="006A7D0B">
            <w:pPr>
              <w:jc w:val="both"/>
              <w:rPr>
                <w:i/>
                <w:color w:val="000000"/>
              </w:rPr>
            </w:pPr>
            <w:r w:rsidRPr="002F6619">
              <w:rPr>
                <w:iCs/>
                <w:color w:val="000000"/>
              </w:rPr>
              <w:t>Noteikumu projekts šo jomu neskar.</w:t>
            </w:r>
          </w:p>
        </w:tc>
      </w:tr>
      <w:tr w:rsidR="00230730" w:rsidRPr="002F6619" w14:paraId="27A55CE4" w14:textId="77777777" w:rsidTr="006A7D0B">
        <w:tc>
          <w:tcPr>
            <w:tcW w:w="396" w:type="dxa"/>
            <w:shd w:val="clear" w:color="auto" w:fill="auto"/>
          </w:tcPr>
          <w:p w14:paraId="6BEA7EA2" w14:textId="77777777" w:rsidR="00230730" w:rsidRPr="002F6619" w:rsidRDefault="00230730" w:rsidP="00242D7D">
            <w:r w:rsidRPr="002F6619">
              <w:t xml:space="preserve">4. </w:t>
            </w:r>
          </w:p>
        </w:tc>
        <w:tc>
          <w:tcPr>
            <w:tcW w:w="3072" w:type="dxa"/>
            <w:shd w:val="clear" w:color="auto" w:fill="auto"/>
          </w:tcPr>
          <w:p w14:paraId="1E08EEB6" w14:textId="77777777" w:rsidR="00230730" w:rsidRPr="002F6619" w:rsidRDefault="00230730" w:rsidP="00242D7D">
            <w:r w:rsidRPr="002F6619">
              <w:t>Cita informācija</w:t>
            </w:r>
          </w:p>
        </w:tc>
        <w:tc>
          <w:tcPr>
            <w:tcW w:w="5819" w:type="dxa"/>
            <w:shd w:val="clear" w:color="auto" w:fill="auto"/>
          </w:tcPr>
          <w:p w14:paraId="57BA7849" w14:textId="77777777" w:rsidR="00230730" w:rsidRPr="002F6619" w:rsidRDefault="00230730" w:rsidP="006A7D0B">
            <w:pPr>
              <w:jc w:val="both"/>
              <w:rPr>
                <w:iCs/>
                <w:color w:val="000000"/>
              </w:rPr>
            </w:pPr>
            <w:r w:rsidRPr="002F6619">
              <w:rPr>
                <w:iCs/>
                <w:color w:val="000000"/>
              </w:rPr>
              <w:t>Nav</w:t>
            </w:r>
            <w:r w:rsidR="005F23F9" w:rsidRPr="002F6619">
              <w:rPr>
                <w:iCs/>
                <w:color w:val="000000"/>
              </w:rPr>
              <w:t>.</w:t>
            </w:r>
          </w:p>
        </w:tc>
      </w:tr>
    </w:tbl>
    <w:p w14:paraId="5F498BF3" w14:textId="77777777" w:rsidR="00FF50CB" w:rsidRPr="002F6619" w:rsidRDefault="00FF50CB" w:rsidP="00A96D6E"/>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26"/>
        <w:gridCol w:w="5645"/>
      </w:tblGrid>
      <w:tr w:rsidR="00D970B0" w:rsidRPr="002F6619" w14:paraId="27805DD1" w14:textId="77777777" w:rsidTr="00931F15">
        <w:trPr>
          <w:trHeight w:val="461"/>
          <w:jc w:val="center"/>
        </w:trPr>
        <w:tc>
          <w:tcPr>
            <w:tcW w:w="9067" w:type="dxa"/>
            <w:gridSpan w:val="3"/>
            <w:vAlign w:val="center"/>
          </w:tcPr>
          <w:p w14:paraId="1FAC13CD" w14:textId="77777777" w:rsidR="00D970B0" w:rsidRPr="002F6619" w:rsidRDefault="00D970B0" w:rsidP="00D970B0">
            <w:pPr>
              <w:jc w:val="center"/>
              <w:rPr>
                <w:rFonts w:eastAsia="Calibri"/>
                <w:b/>
                <w:lang w:eastAsia="en-US"/>
              </w:rPr>
            </w:pPr>
            <w:r w:rsidRPr="002F6619">
              <w:rPr>
                <w:rFonts w:eastAsia="Calibri"/>
                <w:lang w:eastAsia="en-US"/>
              </w:rPr>
              <w:br w:type="page"/>
            </w:r>
            <w:r w:rsidRPr="002F6619">
              <w:rPr>
                <w:rFonts w:eastAsia="Calibri"/>
                <w:b/>
                <w:lang w:eastAsia="en-US"/>
              </w:rPr>
              <w:t>IV. Tiesību akta projekta ietekme uz spēkā esošo tiesību normu sistēmu</w:t>
            </w:r>
          </w:p>
        </w:tc>
      </w:tr>
      <w:tr w:rsidR="00D970B0" w:rsidRPr="002F6619" w14:paraId="6271DF97" w14:textId="77777777" w:rsidTr="00931F15">
        <w:trPr>
          <w:jc w:val="center"/>
        </w:trPr>
        <w:tc>
          <w:tcPr>
            <w:tcW w:w="396" w:type="dxa"/>
          </w:tcPr>
          <w:p w14:paraId="029BD333" w14:textId="77777777" w:rsidR="00D970B0" w:rsidRPr="002F6619" w:rsidRDefault="00D970B0" w:rsidP="00D970B0">
            <w:pPr>
              <w:rPr>
                <w:rFonts w:eastAsia="Calibri"/>
                <w:iCs/>
                <w:lang w:eastAsia="en-US"/>
              </w:rPr>
            </w:pPr>
            <w:r w:rsidRPr="002F6619">
              <w:rPr>
                <w:rFonts w:eastAsia="Calibri"/>
                <w:iCs/>
                <w:lang w:eastAsia="en-US"/>
              </w:rPr>
              <w:t>1.</w:t>
            </w:r>
          </w:p>
        </w:tc>
        <w:tc>
          <w:tcPr>
            <w:tcW w:w="3026" w:type="dxa"/>
          </w:tcPr>
          <w:p w14:paraId="2F020ED0" w14:textId="77777777" w:rsidR="00D970B0" w:rsidRPr="002F6619" w:rsidRDefault="00D970B0" w:rsidP="00D970B0">
            <w:pPr>
              <w:rPr>
                <w:rFonts w:eastAsia="Calibri"/>
                <w:iCs/>
                <w:lang w:eastAsia="en-US"/>
              </w:rPr>
            </w:pPr>
            <w:r w:rsidRPr="002F6619">
              <w:rPr>
                <w:rFonts w:eastAsia="Calibri"/>
                <w:lang w:eastAsia="en-US"/>
              </w:rPr>
              <w:t>Nepieciešamie saistītie tiesību aktu projekti</w:t>
            </w:r>
          </w:p>
        </w:tc>
        <w:tc>
          <w:tcPr>
            <w:tcW w:w="5645" w:type="dxa"/>
          </w:tcPr>
          <w:p w14:paraId="7929E032" w14:textId="77777777" w:rsidR="00EA656C" w:rsidRPr="002F6619" w:rsidRDefault="00EA656C" w:rsidP="00EA656C">
            <w:pPr>
              <w:jc w:val="both"/>
              <w:rPr>
                <w:rFonts w:eastAsia="Calibri"/>
                <w:iCs/>
                <w:lang w:eastAsia="en-US"/>
              </w:rPr>
            </w:pPr>
            <w:r w:rsidRPr="002F6619">
              <w:rPr>
                <w:rFonts w:eastAsia="Calibri"/>
                <w:iCs/>
                <w:lang w:eastAsia="en-US"/>
              </w:rPr>
              <w:t>Atbilstoši precizējumi attiecībā uz finansējuma saņēmēja un VISC norēķinu kārtību tiks rosināti arī Labklājības ministrijas pārziņā esošajos:</w:t>
            </w:r>
          </w:p>
          <w:p w14:paraId="568AD752" w14:textId="77777777" w:rsidR="00EA656C" w:rsidRPr="002F6619" w:rsidRDefault="00EA656C" w:rsidP="00EA656C">
            <w:pPr>
              <w:jc w:val="both"/>
              <w:rPr>
                <w:rFonts w:eastAsia="Calibri"/>
                <w:iCs/>
                <w:lang w:eastAsia="en-US"/>
              </w:rPr>
            </w:pPr>
            <w:r w:rsidRPr="002F6619">
              <w:rPr>
                <w:rFonts w:eastAsia="Calibri"/>
                <w:iCs/>
                <w:lang w:eastAsia="en-US"/>
              </w:rPr>
              <w:t xml:space="preserve">- </w:t>
            </w:r>
            <w:proofErr w:type="gramStart"/>
            <w:r w:rsidRPr="002F6619">
              <w:rPr>
                <w:rFonts w:eastAsia="Calibri"/>
                <w:iCs/>
                <w:lang w:eastAsia="en-US"/>
              </w:rPr>
              <w:t>2014.gada</w:t>
            </w:r>
            <w:proofErr w:type="gramEnd"/>
            <w:r w:rsidRPr="002F6619">
              <w:rPr>
                <w:rFonts w:eastAsia="Calibri"/>
                <w:iCs/>
                <w:lang w:eastAsia="en-US"/>
              </w:rPr>
              <w:t xml:space="preserve"> 23.decembra</w:t>
            </w:r>
            <w:r>
              <w:rPr>
                <w:rFonts w:eastAsia="Calibri"/>
                <w:iCs/>
                <w:lang w:eastAsia="en-US"/>
              </w:rPr>
              <w:t xml:space="preserve"> MK noteikumos Nr.836 </w:t>
            </w:r>
            <w:r>
              <w:rPr>
                <w:bCs/>
              </w:rPr>
              <w:t>„</w:t>
            </w:r>
            <w:r w:rsidRPr="002F6619">
              <w:rPr>
                <w:rFonts w:eastAsia="Calibri"/>
                <w:iCs/>
                <w:lang w:eastAsia="en-US"/>
              </w:rPr>
              <w:t xml:space="preserve">Darbības programmas </w:t>
            </w:r>
            <w:r>
              <w:rPr>
                <w:bCs/>
              </w:rPr>
              <w:t>„</w:t>
            </w:r>
            <w:r>
              <w:rPr>
                <w:rFonts w:eastAsia="Calibri"/>
                <w:iCs/>
                <w:lang w:eastAsia="en-US"/>
              </w:rPr>
              <w:t>Izaugsme un nodarbinātība”</w:t>
            </w:r>
            <w:r w:rsidRPr="002F6619">
              <w:rPr>
                <w:rFonts w:eastAsia="Calibri"/>
                <w:iCs/>
                <w:lang w:eastAsia="en-US"/>
              </w:rPr>
              <w:t xml:space="preserve"> 7</w:t>
            </w:r>
            <w:r>
              <w:rPr>
                <w:rFonts w:eastAsia="Calibri"/>
                <w:iCs/>
                <w:lang w:eastAsia="en-US"/>
              </w:rPr>
              <w:t xml:space="preserve">.1.1.specifiskā atbalsta mērķa </w:t>
            </w:r>
            <w:r>
              <w:rPr>
                <w:bCs/>
              </w:rPr>
              <w:t>„</w:t>
            </w:r>
            <w:r w:rsidRPr="002F6619">
              <w:rPr>
                <w:rFonts w:eastAsia="Calibri"/>
                <w:iCs/>
                <w:lang w:eastAsia="en-US"/>
              </w:rPr>
              <w:t>Paaugstināt bezdarbnieku kvalifikāciju un prasmes atbilstoši darba tirgu</w:t>
            </w:r>
            <w:r>
              <w:rPr>
                <w:rFonts w:eastAsia="Calibri"/>
                <w:iCs/>
                <w:lang w:eastAsia="en-US"/>
              </w:rPr>
              <w:t>s pieprasījumam” īstenošanas noteikumi”</w:t>
            </w:r>
            <w:r w:rsidRPr="002F6619">
              <w:rPr>
                <w:rFonts w:eastAsia="Calibri"/>
                <w:iCs/>
                <w:lang w:eastAsia="en-US"/>
              </w:rPr>
              <w:t>;</w:t>
            </w:r>
          </w:p>
          <w:p w14:paraId="27735A0E" w14:textId="77777777" w:rsidR="00EA656C" w:rsidRPr="002F6619" w:rsidRDefault="00EA656C" w:rsidP="00EA656C">
            <w:pPr>
              <w:jc w:val="both"/>
              <w:rPr>
                <w:rFonts w:eastAsia="Calibri"/>
                <w:iCs/>
                <w:lang w:eastAsia="en-US"/>
              </w:rPr>
            </w:pPr>
            <w:r>
              <w:rPr>
                <w:rFonts w:eastAsia="Calibri"/>
                <w:iCs/>
                <w:lang w:eastAsia="en-US"/>
              </w:rPr>
              <w:t xml:space="preserve">- </w:t>
            </w:r>
            <w:proofErr w:type="gramStart"/>
            <w:r w:rsidRPr="002F6619">
              <w:rPr>
                <w:rFonts w:eastAsia="Calibri"/>
                <w:iCs/>
                <w:lang w:eastAsia="en-US"/>
              </w:rPr>
              <w:t>2015.gada</w:t>
            </w:r>
            <w:proofErr w:type="gramEnd"/>
            <w:r w:rsidRPr="002F6619">
              <w:rPr>
                <w:rFonts w:eastAsia="Calibri"/>
                <w:iCs/>
                <w:lang w:eastAsia="en-US"/>
              </w:rPr>
              <w:t xml:space="preserve"> 28.aprīļa </w:t>
            </w:r>
            <w:r>
              <w:rPr>
                <w:rFonts w:eastAsia="Calibri"/>
                <w:iCs/>
                <w:lang w:eastAsia="en-US"/>
              </w:rPr>
              <w:t xml:space="preserve">MK noteikumos Nr.207 </w:t>
            </w:r>
            <w:r>
              <w:rPr>
                <w:bCs/>
              </w:rPr>
              <w:t>„</w:t>
            </w:r>
            <w:r w:rsidRPr="002F6619">
              <w:rPr>
                <w:rFonts w:eastAsia="Calibri"/>
                <w:iCs/>
                <w:lang w:eastAsia="en-US"/>
              </w:rPr>
              <w:t xml:space="preserve">Darbības programmas </w:t>
            </w:r>
            <w:r>
              <w:rPr>
                <w:bCs/>
              </w:rPr>
              <w:t>„</w:t>
            </w:r>
            <w:r>
              <w:rPr>
                <w:rFonts w:eastAsia="Calibri"/>
                <w:iCs/>
                <w:lang w:eastAsia="en-US"/>
              </w:rPr>
              <w:t>Izaugsme un nodarbinātība”</w:t>
            </w:r>
            <w:r w:rsidRPr="002F6619">
              <w:rPr>
                <w:rFonts w:eastAsia="Calibri"/>
                <w:iCs/>
                <w:lang w:eastAsia="en-US"/>
              </w:rPr>
              <w:t xml:space="preserve"> 7.2.1.specifiskā atbalsta mērķa </w:t>
            </w:r>
            <w:r>
              <w:rPr>
                <w:bCs/>
              </w:rPr>
              <w:t>„</w:t>
            </w:r>
            <w:r w:rsidRPr="002F6619">
              <w:rPr>
                <w:rFonts w:eastAsia="Calibri"/>
                <w:iCs/>
                <w:lang w:eastAsia="en-US"/>
              </w:rPr>
              <w:t>Palielināt nodarbinātībā, izglītībā vai apmācībās neiesaistītu jauniešu nodarbinātību un izglītības iegu</w:t>
            </w:r>
            <w:r>
              <w:rPr>
                <w:rFonts w:eastAsia="Calibri"/>
                <w:iCs/>
                <w:lang w:eastAsia="en-US"/>
              </w:rPr>
              <w:t>vi Jauniešu garantijas ietvaros”</w:t>
            </w:r>
            <w:r w:rsidRPr="002F6619">
              <w:rPr>
                <w:rFonts w:eastAsia="Calibri"/>
                <w:iCs/>
                <w:lang w:eastAsia="en-US"/>
              </w:rPr>
              <w:t xml:space="preserve"> pasākumu </w:t>
            </w:r>
            <w:r>
              <w:rPr>
                <w:bCs/>
              </w:rPr>
              <w:t>„</w:t>
            </w:r>
            <w:r w:rsidRPr="002F6619">
              <w:rPr>
                <w:rFonts w:eastAsia="Calibri"/>
                <w:iCs/>
                <w:lang w:eastAsia="en-US"/>
              </w:rPr>
              <w:t>Aktīvās darba tirgus politikas pasākumu īstenošana jauniešu bezdarbnieku n</w:t>
            </w:r>
            <w:r>
              <w:rPr>
                <w:rFonts w:eastAsia="Calibri"/>
                <w:iCs/>
                <w:lang w:eastAsia="en-US"/>
              </w:rPr>
              <w:t xml:space="preserve">odarbinātības veicināšanai” un </w:t>
            </w:r>
            <w:r>
              <w:rPr>
                <w:bCs/>
              </w:rPr>
              <w:t>„</w:t>
            </w:r>
            <w:r w:rsidRPr="002F6619">
              <w:rPr>
                <w:rFonts w:eastAsia="Calibri"/>
                <w:iCs/>
                <w:lang w:eastAsia="en-US"/>
              </w:rPr>
              <w:t xml:space="preserve">Sākotnējās profesionālās izglītības programmu īstenošana Jauniešu </w:t>
            </w:r>
            <w:r>
              <w:rPr>
                <w:rFonts w:eastAsia="Calibri"/>
                <w:iCs/>
                <w:lang w:eastAsia="en-US"/>
              </w:rPr>
              <w:t>garantijas ietvaros”</w:t>
            </w:r>
            <w:r w:rsidRPr="002F6619">
              <w:rPr>
                <w:rFonts w:eastAsia="Calibri"/>
                <w:iCs/>
                <w:lang w:eastAsia="en-US"/>
              </w:rPr>
              <w:t xml:space="preserve"> īsten</w:t>
            </w:r>
            <w:r>
              <w:rPr>
                <w:rFonts w:eastAsia="Calibri"/>
                <w:iCs/>
                <w:lang w:eastAsia="en-US"/>
              </w:rPr>
              <w:t>ošanas noteikumi”</w:t>
            </w:r>
            <w:r w:rsidRPr="002F6619">
              <w:rPr>
                <w:rFonts w:eastAsia="Calibri"/>
                <w:iCs/>
                <w:lang w:eastAsia="en-US"/>
              </w:rPr>
              <w:t>.</w:t>
            </w:r>
          </w:p>
          <w:p w14:paraId="7CFF1FBF" w14:textId="0F5288D5" w:rsidR="00D970B0" w:rsidRPr="002F6619" w:rsidRDefault="00EA656C" w:rsidP="00EA656C">
            <w:pPr>
              <w:rPr>
                <w:rFonts w:eastAsia="Calibri"/>
                <w:lang w:eastAsia="en-US"/>
              </w:rPr>
            </w:pPr>
            <w:r w:rsidRPr="002F6619">
              <w:rPr>
                <w:rFonts w:eastAsia="Calibri"/>
                <w:iCs/>
                <w:lang w:eastAsia="en-US"/>
              </w:rPr>
              <w:t>Minētie grozījumi virzāmi izskatīšanai MK vienlaikus</w:t>
            </w:r>
            <w:r>
              <w:rPr>
                <w:rFonts w:eastAsia="Calibri"/>
                <w:iCs/>
                <w:lang w:eastAsia="en-US"/>
              </w:rPr>
              <w:t xml:space="preserve"> ar</w:t>
            </w:r>
            <w:r w:rsidRPr="002F6619">
              <w:rPr>
                <w:rFonts w:eastAsia="Calibri"/>
                <w:iCs/>
                <w:lang w:eastAsia="en-US"/>
              </w:rPr>
              <w:t xml:space="preserve"> Noteikumu projektu.</w:t>
            </w:r>
          </w:p>
        </w:tc>
      </w:tr>
      <w:tr w:rsidR="00D970B0" w:rsidRPr="002F6619" w14:paraId="1203B67F" w14:textId="77777777" w:rsidTr="00931F15">
        <w:trPr>
          <w:jc w:val="center"/>
        </w:trPr>
        <w:tc>
          <w:tcPr>
            <w:tcW w:w="396" w:type="dxa"/>
          </w:tcPr>
          <w:p w14:paraId="459B91C6" w14:textId="77777777" w:rsidR="00D970B0" w:rsidRPr="002F6619" w:rsidRDefault="00D970B0" w:rsidP="00D970B0">
            <w:pPr>
              <w:rPr>
                <w:rFonts w:eastAsia="Calibri"/>
                <w:iCs/>
                <w:lang w:eastAsia="en-US"/>
              </w:rPr>
            </w:pPr>
            <w:r w:rsidRPr="002F6619">
              <w:rPr>
                <w:rFonts w:eastAsia="Calibri"/>
                <w:iCs/>
                <w:lang w:eastAsia="en-US"/>
              </w:rPr>
              <w:t>2.</w:t>
            </w:r>
          </w:p>
        </w:tc>
        <w:tc>
          <w:tcPr>
            <w:tcW w:w="3026" w:type="dxa"/>
          </w:tcPr>
          <w:p w14:paraId="7C3444AC" w14:textId="77777777" w:rsidR="00D970B0" w:rsidRPr="002F6619" w:rsidRDefault="00D970B0" w:rsidP="00D970B0">
            <w:pPr>
              <w:rPr>
                <w:rFonts w:eastAsia="Calibri"/>
                <w:lang w:eastAsia="en-US"/>
              </w:rPr>
            </w:pPr>
            <w:r w:rsidRPr="002F6619">
              <w:rPr>
                <w:rFonts w:eastAsia="Calibri"/>
                <w:lang w:eastAsia="en-US"/>
              </w:rPr>
              <w:t>Atbildīgā institūcija</w:t>
            </w:r>
          </w:p>
        </w:tc>
        <w:tc>
          <w:tcPr>
            <w:tcW w:w="5645" w:type="dxa"/>
          </w:tcPr>
          <w:p w14:paraId="7C3B8253" w14:textId="1739D9F4" w:rsidR="00D970B0" w:rsidRPr="002F6619" w:rsidRDefault="00D970B0" w:rsidP="00D970B0">
            <w:pPr>
              <w:rPr>
                <w:rFonts w:eastAsia="Calibri"/>
                <w:lang w:eastAsia="en-US"/>
              </w:rPr>
            </w:pPr>
            <w:r w:rsidRPr="002F6619">
              <w:rPr>
                <w:rFonts w:eastAsia="Calibri"/>
                <w:lang w:eastAsia="en-US"/>
              </w:rPr>
              <w:t>Labklājības ministrija</w:t>
            </w:r>
            <w:r w:rsidR="00EA656C">
              <w:rPr>
                <w:rFonts w:eastAsia="Calibri"/>
                <w:lang w:eastAsia="en-US"/>
              </w:rPr>
              <w:t>.</w:t>
            </w:r>
          </w:p>
        </w:tc>
      </w:tr>
      <w:tr w:rsidR="00D970B0" w:rsidRPr="002F6619" w14:paraId="04D199FA" w14:textId="77777777" w:rsidTr="00931F15">
        <w:trPr>
          <w:jc w:val="center"/>
        </w:trPr>
        <w:tc>
          <w:tcPr>
            <w:tcW w:w="396" w:type="dxa"/>
          </w:tcPr>
          <w:p w14:paraId="337CE1DB" w14:textId="77777777" w:rsidR="00D970B0" w:rsidRPr="002F6619" w:rsidRDefault="00D970B0" w:rsidP="00D970B0">
            <w:pPr>
              <w:rPr>
                <w:rFonts w:eastAsia="Calibri"/>
                <w:iCs/>
                <w:lang w:eastAsia="en-US"/>
              </w:rPr>
            </w:pPr>
            <w:r w:rsidRPr="002F6619">
              <w:rPr>
                <w:rFonts w:eastAsia="Calibri"/>
                <w:iCs/>
                <w:lang w:eastAsia="en-US"/>
              </w:rPr>
              <w:t>3.</w:t>
            </w:r>
          </w:p>
        </w:tc>
        <w:tc>
          <w:tcPr>
            <w:tcW w:w="3026" w:type="dxa"/>
          </w:tcPr>
          <w:p w14:paraId="58F15F7B" w14:textId="77777777" w:rsidR="00D970B0" w:rsidRPr="002F6619" w:rsidRDefault="00D970B0" w:rsidP="00D970B0">
            <w:pPr>
              <w:rPr>
                <w:rFonts w:eastAsia="Calibri"/>
                <w:iCs/>
                <w:lang w:eastAsia="en-US"/>
              </w:rPr>
            </w:pPr>
            <w:r w:rsidRPr="002F6619">
              <w:rPr>
                <w:rFonts w:eastAsia="Calibri"/>
                <w:lang w:eastAsia="en-US"/>
              </w:rPr>
              <w:t>Cita informācija</w:t>
            </w:r>
          </w:p>
        </w:tc>
        <w:tc>
          <w:tcPr>
            <w:tcW w:w="5645" w:type="dxa"/>
          </w:tcPr>
          <w:p w14:paraId="3EE8D21E" w14:textId="52D38248" w:rsidR="00D970B0" w:rsidRPr="002F6619" w:rsidRDefault="00EA656C" w:rsidP="009A513F">
            <w:pPr>
              <w:jc w:val="both"/>
              <w:rPr>
                <w:rFonts w:eastAsia="Calibri"/>
                <w:iCs/>
                <w:lang w:eastAsia="en-US"/>
              </w:rPr>
            </w:pPr>
            <w:r>
              <w:rPr>
                <w:rFonts w:eastAsia="Calibri"/>
                <w:iCs/>
                <w:lang w:eastAsia="en-US"/>
              </w:rPr>
              <w:t>Nav.</w:t>
            </w:r>
          </w:p>
        </w:tc>
      </w:tr>
    </w:tbl>
    <w:p w14:paraId="1DFBBA73" w14:textId="77777777" w:rsidR="00D970B0" w:rsidRPr="002F6619" w:rsidRDefault="00D970B0" w:rsidP="00A96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6"/>
        <w:gridCol w:w="5649"/>
      </w:tblGrid>
      <w:tr w:rsidR="00B76D85" w:rsidRPr="002F6619" w14:paraId="20EFDF18" w14:textId="77777777" w:rsidTr="006A7D0B">
        <w:tc>
          <w:tcPr>
            <w:tcW w:w="9287" w:type="dxa"/>
            <w:gridSpan w:val="3"/>
            <w:shd w:val="clear" w:color="auto" w:fill="auto"/>
          </w:tcPr>
          <w:p w14:paraId="238ADA92" w14:textId="77777777" w:rsidR="00B76D85" w:rsidRPr="002F6619" w:rsidRDefault="00043389" w:rsidP="006A7D0B">
            <w:pPr>
              <w:jc w:val="center"/>
              <w:rPr>
                <w:b/>
              </w:rPr>
            </w:pPr>
            <w:r w:rsidRPr="002F6619">
              <w:rPr>
                <w:b/>
              </w:rPr>
              <w:t>VI</w:t>
            </w:r>
            <w:r w:rsidR="00DC37D9" w:rsidRPr="002F6619">
              <w:rPr>
                <w:b/>
              </w:rPr>
              <w:t>.</w:t>
            </w:r>
            <w:r w:rsidRPr="002F6619">
              <w:rPr>
                <w:b/>
              </w:rPr>
              <w:t xml:space="preserve"> Sabiedrības līdzdalība un </w:t>
            </w:r>
            <w:r w:rsidR="00BB50B2" w:rsidRPr="002F6619">
              <w:rPr>
                <w:b/>
              </w:rPr>
              <w:t>komunikācijas aktivitātes</w:t>
            </w:r>
          </w:p>
        </w:tc>
      </w:tr>
      <w:tr w:rsidR="00BC4041" w:rsidRPr="002F6619" w14:paraId="6D886D7E" w14:textId="77777777" w:rsidTr="006A7D0B">
        <w:tc>
          <w:tcPr>
            <w:tcW w:w="396" w:type="dxa"/>
            <w:shd w:val="clear" w:color="auto" w:fill="auto"/>
          </w:tcPr>
          <w:p w14:paraId="2D4E5D35" w14:textId="77777777" w:rsidR="00BC4041" w:rsidRPr="002F6619" w:rsidRDefault="00BC4041" w:rsidP="00A36979">
            <w:r w:rsidRPr="002F6619">
              <w:t xml:space="preserve">1. </w:t>
            </w:r>
          </w:p>
        </w:tc>
        <w:tc>
          <w:tcPr>
            <w:tcW w:w="3072" w:type="dxa"/>
            <w:shd w:val="clear" w:color="auto" w:fill="auto"/>
          </w:tcPr>
          <w:p w14:paraId="325A8AA7" w14:textId="77777777" w:rsidR="00BC4041" w:rsidRPr="002F6619" w:rsidRDefault="00BB50B2" w:rsidP="006A7D0B">
            <w:pPr>
              <w:pStyle w:val="naiskr"/>
              <w:spacing w:before="0" w:after="0"/>
              <w:ind w:left="57" w:right="57"/>
            </w:pPr>
            <w:r w:rsidRPr="002F6619">
              <w:t>Plānotās sabiedrības līdzdalības un komunikācijas aktivitātes saistībā ar projektu</w:t>
            </w:r>
          </w:p>
        </w:tc>
        <w:tc>
          <w:tcPr>
            <w:tcW w:w="5819" w:type="dxa"/>
            <w:shd w:val="clear" w:color="auto" w:fill="auto"/>
          </w:tcPr>
          <w:p w14:paraId="5685FEAF" w14:textId="6580A11E" w:rsidR="00EE0272" w:rsidRPr="002F6619" w:rsidRDefault="00EE0272" w:rsidP="00125791">
            <w:pPr>
              <w:jc w:val="both"/>
              <w:rPr>
                <w:i/>
                <w:color w:val="FF0000"/>
              </w:rPr>
            </w:pPr>
            <w:r w:rsidRPr="002F6619">
              <w:rPr>
                <w:iCs/>
              </w:rPr>
              <w:t xml:space="preserve">Noteikumu projekts </w:t>
            </w:r>
            <w:proofErr w:type="gramStart"/>
            <w:r w:rsidR="00621426">
              <w:rPr>
                <w:iCs/>
              </w:rPr>
              <w:t>2015</w:t>
            </w:r>
            <w:r w:rsidRPr="002F6619">
              <w:rPr>
                <w:iCs/>
              </w:rPr>
              <w:t>.gada</w:t>
            </w:r>
            <w:proofErr w:type="gramEnd"/>
            <w:r w:rsidRPr="002F6619">
              <w:rPr>
                <w:iCs/>
              </w:rPr>
              <w:t xml:space="preserve"> </w:t>
            </w:r>
            <w:r w:rsidR="00556139" w:rsidRPr="002F6619">
              <w:rPr>
                <w:iCs/>
                <w:color w:val="000000"/>
              </w:rPr>
              <w:t xml:space="preserve">novembrī </w:t>
            </w:r>
            <w:r w:rsidRPr="002F6619">
              <w:rPr>
                <w:iCs/>
              </w:rPr>
              <w:t>sabiedrības līdzdarbības nolūkos tika ievietots L</w:t>
            </w:r>
            <w:r w:rsidR="002A228D">
              <w:rPr>
                <w:iCs/>
              </w:rPr>
              <w:t>abklājības ministrijas</w:t>
            </w:r>
            <w:r w:rsidRPr="002F6619">
              <w:rPr>
                <w:iCs/>
              </w:rPr>
              <w:t xml:space="preserve"> </w:t>
            </w:r>
            <w:r w:rsidR="00125791">
              <w:rPr>
                <w:iCs/>
              </w:rPr>
              <w:t>tīmekļa vietnē</w:t>
            </w:r>
            <w:r w:rsidRPr="002F6619">
              <w:rPr>
                <w:iCs/>
              </w:rPr>
              <w:t>.</w:t>
            </w:r>
          </w:p>
        </w:tc>
      </w:tr>
      <w:tr w:rsidR="00BC4041" w:rsidRPr="002F6619" w14:paraId="67F33F78" w14:textId="77777777" w:rsidTr="006A7D0B">
        <w:tc>
          <w:tcPr>
            <w:tcW w:w="396" w:type="dxa"/>
            <w:shd w:val="clear" w:color="auto" w:fill="auto"/>
          </w:tcPr>
          <w:p w14:paraId="25DD6686" w14:textId="77777777" w:rsidR="00BC4041" w:rsidRPr="002F6619" w:rsidRDefault="00BC4041" w:rsidP="00A36979">
            <w:r w:rsidRPr="002F6619">
              <w:t xml:space="preserve">2. </w:t>
            </w:r>
          </w:p>
        </w:tc>
        <w:tc>
          <w:tcPr>
            <w:tcW w:w="3072" w:type="dxa"/>
            <w:shd w:val="clear" w:color="auto" w:fill="auto"/>
          </w:tcPr>
          <w:p w14:paraId="39B2DDF3" w14:textId="77777777" w:rsidR="00BC4041" w:rsidRPr="002F6619" w:rsidRDefault="00BC4041" w:rsidP="006A7D0B">
            <w:pPr>
              <w:pStyle w:val="naiskr"/>
              <w:spacing w:before="0" w:after="0"/>
              <w:ind w:left="57" w:right="57"/>
            </w:pPr>
            <w:r w:rsidRPr="002F6619">
              <w:t xml:space="preserve">Sabiedrības līdzdalība projekta izstrādē </w:t>
            </w:r>
          </w:p>
        </w:tc>
        <w:tc>
          <w:tcPr>
            <w:tcW w:w="5819" w:type="dxa"/>
            <w:shd w:val="clear" w:color="auto" w:fill="auto"/>
          </w:tcPr>
          <w:p w14:paraId="07CD3EEA" w14:textId="098B23DA" w:rsidR="00BC4041" w:rsidRPr="002F6619" w:rsidRDefault="00CD0C2E" w:rsidP="002A228D">
            <w:pPr>
              <w:jc w:val="both"/>
            </w:pPr>
            <w:r w:rsidRPr="002F6619">
              <w:rPr>
                <w:iCs/>
              </w:rPr>
              <w:t xml:space="preserve">Sabiedrības līdzdalība </w:t>
            </w:r>
            <w:r w:rsidR="002A228D">
              <w:rPr>
                <w:iCs/>
              </w:rPr>
              <w:t>N</w:t>
            </w:r>
            <w:r w:rsidRPr="002F6619">
              <w:rPr>
                <w:iCs/>
              </w:rPr>
              <w:t xml:space="preserve">oteikumu projekta izstrādē tika nodrošināta, ievietojot </w:t>
            </w:r>
            <w:r w:rsidR="002A228D">
              <w:rPr>
                <w:iCs/>
              </w:rPr>
              <w:t>N</w:t>
            </w:r>
            <w:r w:rsidRPr="002F6619">
              <w:rPr>
                <w:iCs/>
              </w:rPr>
              <w:t xml:space="preserve">oteikumu projektu Labklājības ministrijas tīmekļa vietnē </w:t>
            </w:r>
            <w:hyperlink r:id="rId9" w:history="1">
              <w:r w:rsidRPr="002F6619">
                <w:rPr>
                  <w:rStyle w:val="Hyperlink"/>
                  <w:iCs/>
                </w:rPr>
                <w:t>www.lm.gov.lv</w:t>
              </w:r>
            </w:hyperlink>
            <w:r w:rsidRPr="002F6619">
              <w:rPr>
                <w:iCs/>
              </w:rPr>
              <w:t xml:space="preserve"> un aicinot sabiedrības pārstāvjus sniegt viedokli.</w:t>
            </w:r>
          </w:p>
        </w:tc>
      </w:tr>
      <w:tr w:rsidR="00BC4041" w:rsidRPr="002F6619" w14:paraId="2A676256" w14:textId="77777777" w:rsidTr="006A7D0B">
        <w:tc>
          <w:tcPr>
            <w:tcW w:w="396" w:type="dxa"/>
            <w:shd w:val="clear" w:color="auto" w:fill="auto"/>
          </w:tcPr>
          <w:p w14:paraId="79D6BBBA" w14:textId="77777777" w:rsidR="00BC4041" w:rsidRPr="002F6619" w:rsidRDefault="00BC4041" w:rsidP="00A36979">
            <w:r w:rsidRPr="002F6619">
              <w:t>3.</w:t>
            </w:r>
          </w:p>
        </w:tc>
        <w:tc>
          <w:tcPr>
            <w:tcW w:w="3072" w:type="dxa"/>
            <w:shd w:val="clear" w:color="auto" w:fill="auto"/>
          </w:tcPr>
          <w:p w14:paraId="3DECC64E" w14:textId="77777777" w:rsidR="00BC4041" w:rsidRPr="002F6619" w:rsidRDefault="00BC4041" w:rsidP="006A7D0B">
            <w:pPr>
              <w:pStyle w:val="naiskr"/>
              <w:spacing w:before="0" w:after="0"/>
              <w:ind w:left="57" w:right="57"/>
            </w:pPr>
            <w:r w:rsidRPr="002F6619">
              <w:t xml:space="preserve">Sabiedrības līdzdalības rezultāti </w:t>
            </w:r>
          </w:p>
        </w:tc>
        <w:tc>
          <w:tcPr>
            <w:tcW w:w="5819" w:type="dxa"/>
            <w:shd w:val="clear" w:color="auto" w:fill="auto"/>
          </w:tcPr>
          <w:p w14:paraId="4016166E" w14:textId="07D7BAF7" w:rsidR="00C17418" w:rsidRPr="002F6619" w:rsidRDefault="007022DE" w:rsidP="00BC7920">
            <w:pPr>
              <w:suppressAutoHyphens/>
              <w:ind w:right="57"/>
              <w:jc w:val="both"/>
              <w:rPr>
                <w:iCs/>
                <w:lang w:eastAsia="ar-SA"/>
              </w:rPr>
            </w:pPr>
            <w:r w:rsidRPr="002F6619">
              <w:rPr>
                <w:iCs/>
                <w:lang w:eastAsia="ar-SA"/>
              </w:rPr>
              <w:t>Nav.</w:t>
            </w:r>
            <w:r w:rsidR="00B007D7" w:rsidRPr="002F6619">
              <w:rPr>
                <w:iCs/>
                <w:lang w:eastAsia="ar-SA"/>
              </w:rPr>
              <w:t xml:space="preserve"> </w:t>
            </w:r>
          </w:p>
        </w:tc>
      </w:tr>
      <w:tr w:rsidR="00BC4041" w:rsidRPr="002F6619" w14:paraId="6063E0A4" w14:textId="77777777" w:rsidTr="006A7D0B">
        <w:tc>
          <w:tcPr>
            <w:tcW w:w="396" w:type="dxa"/>
            <w:shd w:val="clear" w:color="auto" w:fill="auto"/>
          </w:tcPr>
          <w:p w14:paraId="5B34580E" w14:textId="77777777" w:rsidR="00BC4041" w:rsidRPr="002F6619" w:rsidRDefault="004A1651" w:rsidP="004A1651">
            <w:r w:rsidRPr="002F6619">
              <w:t>4</w:t>
            </w:r>
            <w:r w:rsidR="00BC4041" w:rsidRPr="002F6619">
              <w:t>.</w:t>
            </w:r>
          </w:p>
        </w:tc>
        <w:tc>
          <w:tcPr>
            <w:tcW w:w="3072" w:type="dxa"/>
            <w:shd w:val="clear" w:color="auto" w:fill="auto"/>
          </w:tcPr>
          <w:p w14:paraId="0222F0A0" w14:textId="77777777" w:rsidR="00BC4041" w:rsidRPr="002F6619" w:rsidRDefault="00BC4041" w:rsidP="006A7D0B">
            <w:pPr>
              <w:pStyle w:val="naiskr"/>
              <w:spacing w:before="0" w:after="0"/>
              <w:ind w:left="57" w:right="57"/>
            </w:pPr>
            <w:r w:rsidRPr="002F6619">
              <w:t>Cita informācija</w:t>
            </w:r>
          </w:p>
          <w:p w14:paraId="1175CDF2" w14:textId="77777777" w:rsidR="00BC4041" w:rsidRPr="002F6619" w:rsidRDefault="00BC4041" w:rsidP="006A7D0B">
            <w:pPr>
              <w:pStyle w:val="naiskr"/>
              <w:spacing w:before="0" w:after="0"/>
              <w:ind w:left="57" w:right="57"/>
            </w:pPr>
          </w:p>
        </w:tc>
        <w:tc>
          <w:tcPr>
            <w:tcW w:w="5819" w:type="dxa"/>
            <w:shd w:val="clear" w:color="auto" w:fill="auto"/>
          </w:tcPr>
          <w:p w14:paraId="6F6A69A5" w14:textId="77777777" w:rsidR="00BC4041" w:rsidRPr="002F6619" w:rsidRDefault="00BC4041" w:rsidP="006A7D0B">
            <w:pPr>
              <w:jc w:val="both"/>
              <w:rPr>
                <w:color w:val="000000"/>
              </w:rPr>
            </w:pPr>
            <w:r w:rsidRPr="002F6619">
              <w:rPr>
                <w:color w:val="000000"/>
              </w:rPr>
              <w:t>Nav</w:t>
            </w:r>
            <w:r w:rsidR="00D95119" w:rsidRPr="002F6619">
              <w:rPr>
                <w:color w:val="000000"/>
              </w:rPr>
              <w:t>.</w:t>
            </w:r>
          </w:p>
        </w:tc>
      </w:tr>
    </w:tbl>
    <w:p w14:paraId="72ADDD99" w14:textId="77777777" w:rsidR="00B76D85" w:rsidRPr="002F6619"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7"/>
        <w:gridCol w:w="5648"/>
      </w:tblGrid>
      <w:tr w:rsidR="00194614" w:rsidRPr="002F6619" w14:paraId="16312D6C" w14:textId="77777777" w:rsidTr="006A7D0B">
        <w:tc>
          <w:tcPr>
            <w:tcW w:w="9287" w:type="dxa"/>
            <w:gridSpan w:val="3"/>
            <w:shd w:val="clear" w:color="auto" w:fill="auto"/>
          </w:tcPr>
          <w:p w14:paraId="131B379D" w14:textId="77777777" w:rsidR="00194614" w:rsidRPr="002F6619" w:rsidRDefault="00194614" w:rsidP="006A7D0B">
            <w:pPr>
              <w:jc w:val="center"/>
              <w:rPr>
                <w:b/>
              </w:rPr>
            </w:pPr>
            <w:r w:rsidRPr="002F6619">
              <w:rPr>
                <w:b/>
              </w:rPr>
              <w:t>VII</w:t>
            </w:r>
            <w:r w:rsidR="00DC37D9" w:rsidRPr="002F6619">
              <w:rPr>
                <w:b/>
              </w:rPr>
              <w:t>.</w:t>
            </w:r>
            <w:r w:rsidRPr="002F6619">
              <w:rPr>
                <w:b/>
              </w:rPr>
              <w:t xml:space="preserve"> Tiesību akta projekta izpildes nodrošināšana un tās ietekme uz institūcijām</w:t>
            </w:r>
          </w:p>
        </w:tc>
      </w:tr>
      <w:tr w:rsidR="00B76D85" w:rsidRPr="002F6619" w14:paraId="7910B7AA" w14:textId="77777777" w:rsidTr="006A7D0B">
        <w:tc>
          <w:tcPr>
            <w:tcW w:w="396" w:type="dxa"/>
            <w:shd w:val="clear" w:color="auto" w:fill="auto"/>
          </w:tcPr>
          <w:p w14:paraId="77A8423A" w14:textId="77777777" w:rsidR="00B76D85" w:rsidRPr="002F6619" w:rsidRDefault="00194614" w:rsidP="00242D7D">
            <w:r w:rsidRPr="002F6619">
              <w:t>1</w:t>
            </w:r>
            <w:r w:rsidR="00B76D85" w:rsidRPr="002F6619">
              <w:t xml:space="preserve">. </w:t>
            </w:r>
          </w:p>
        </w:tc>
        <w:tc>
          <w:tcPr>
            <w:tcW w:w="3072" w:type="dxa"/>
            <w:shd w:val="clear" w:color="auto" w:fill="auto"/>
          </w:tcPr>
          <w:p w14:paraId="0D019B8B" w14:textId="77777777" w:rsidR="00B76D85" w:rsidRPr="002F6619" w:rsidRDefault="00194614" w:rsidP="00242D7D">
            <w:r w:rsidRPr="002F6619">
              <w:t>Projekta izpildē iesaistītās institūcijas</w:t>
            </w:r>
          </w:p>
        </w:tc>
        <w:tc>
          <w:tcPr>
            <w:tcW w:w="5819" w:type="dxa"/>
            <w:shd w:val="clear" w:color="auto" w:fill="auto"/>
          </w:tcPr>
          <w:p w14:paraId="11B8C957" w14:textId="77777777" w:rsidR="00B76D85" w:rsidRPr="002F6619" w:rsidRDefault="009C51EA" w:rsidP="00E908AD">
            <w:pPr>
              <w:jc w:val="both"/>
              <w:rPr>
                <w:color w:val="000000"/>
              </w:rPr>
            </w:pPr>
            <w:r w:rsidRPr="002F6619">
              <w:rPr>
                <w:iCs/>
                <w:color w:val="000000"/>
              </w:rPr>
              <w:t xml:space="preserve">Noteikuma projekta izpildi nodrošinās </w:t>
            </w:r>
            <w:r w:rsidR="00E908AD" w:rsidRPr="002F6619">
              <w:rPr>
                <w:iCs/>
                <w:color w:val="000000"/>
              </w:rPr>
              <w:t>NVA</w:t>
            </w:r>
            <w:r w:rsidRPr="002F6619">
              <w:rPr>
                <w:iCs/>
                <w:color w:val="000000"/>
              </w:rPr>
              <w:t>.</w:t>
            </w:r>
          </w:p>
        </w:tc>
      </w:tr>
      <w:tr w:rsidR="006A694C" w:rsidRPr="002F6619" w14:paraId="33730ABB" w14:textId="77777777" w:rsidTr="006A7D0B">
        <w:tc>
          <w:tcPr>
            <w:tcW w:w="396" w:type="dxa"/>
            <w:shd w:val="clear" w:color="auto" w:fill="auto"/>
          </w:tcPr>
          <w:p w14:paraId="1162E348" w14:textId="77777777" w:rsidR="006A694C" w:rsidRPr="002F6619" w:rsidRDefault="006A694C" w:rsidP="00046760">
            <w:r w:rsidRPr="002F6619">
              <w:t xml:space="preserve">2. </w:t>
            </w:r>
          </w:p>
        </w:tc>
        <w:tc>
          <w:tcPr>
            <w:tcW w:w="3072" w:type="dxa"/>
            <w:shd w:val="clear" w:color="auto" w:fill="auto"/>
          </w:tcPr>
          <w:p w14:paraId="19B5F1A3" w14:textId="77777777" w:rsidR="006A694C" w:rsidRPr="002F6619" w:rsidRDefault="006A694C" w:rsidP="00046760">
            <w:r w:rsidRPr="002F6619">
              <w:t>Projekta izpildes ietekme uz pār</w:t>
            </w:r>
            <w:r w:rsidRPr="002F6619">
              <w:softHyphen/>
              <w:t>valdes funkcijām un institucionālo struktūru.</w:t>
            </w:r>
          </w:p>
          <w:p w14:paraId="7403C1B2" w14:textId="77777777" w:rsidR="006A694C" w:rsidRPr="002F6619" w:rsidRDefault="006A694C" w:rsidP="00046760">
            <w:r w:rsidRPr="002F6619">
              <w:t>Jaunu institūciju izveide, esošu institūciju likvidācija vai reorga</w:t>
            </w:r>
            <w:r w:rsidRPr="002F6619">
              <w:softHyphen/>
              <w:t>nizācija, to ietekme uz institūcijas cilvēkresursiem</w:t>
            </w:r>
          </w:p>
        </w:tc>
        <w:tc>
          <w:tcPr>
            <w:tcW w:w="5819" w:type="dxa"/>
            <w:shd w:val="clear" w:color="auto" w:fill="auto"/>
          </w:tcPr>
          <w:p w14:paraId="4F2AAE71" w14:textId="77777777" w:rsidR="006A694C" w:rsidRPr="002F6619" w:rsidRDefault="006A694C" w:rsidP="00E908AD">
            <w:pPr>
              <w:jc w:val="both"/>
              <w:rPr>
                <w:color w:val="000000"/>
              </w:rPr>
            </w:pPr>
            <w:r w:rsidRPr="002F6619">
              <w:rPr>
                <w:color w:val="000000"/>
              </w:rPr>
              <w:t xml:space="preserve">Noteikumu projekts neparedz </w:t>
            </w:r>
            <w:r w:rsidR="00E908AD" w:rsidRPr="002F6619">
              <w:rPr>
                <w:color w:val="000000"/>
              </w:rPr>
              <w:t>NVA</w:t>
            </w:r>
            <w:r w:rsidRPr="002F6619">
              <w:rPr>
                <w:color w:val="000000"/>
              </w:rPr>
              <w:t xml:space="preserve"> funkciju paplašināšanu vai sašaur</w:t>
            </w:r>
            <w:r w:rsidR="00A75348" w:rsidRPr="002F6619">
              <w:rPr>
                <w:color w:val="000000"/>
              </w:rPr>
              <w:t xml:space="preserve">ināšanu, kā arī neietekmē pieejamos cilvēkresursus. </w:t>
            </w:r>
          </w:p>
        </w:tc>
      </w:tr>
      <w:tr w:rsidR="006A694C" w:rsidRPr="002F6619" w14:paraId="2B890F24" w14:textId="77777777" w:rsidTr="006A7D0B">
        <w:tc>
          <w:tcPr>
            <w:tcW w:w="396" w:type="dxa"/>
            <w:shd w:val="clear" w:color="auto" w:fill="auto"/>
          </w:tcPr>
          <w:p w14:paraId="5F6F6E11" w14:textId="77777777" w:rsidR="006A694C" w:rsidRPr="002F6619" w:rsidRDefault="006A694C" w:rsidP="00046760">
            <w:r w:rsidRPr="002F6619">
              <w:t xml:space="preserve">3. </w:t>
            </w:r>
          </w:p>
        </w:tc>
        <w:tc>
          <w:tcPr>
            <w:tcW w:w="3072" w:type="dxa"/>
            <w:shd w:val="clear" w:color="auto" w:fill="auto"/>
          </w:tcPr>
          <w:p w14:paraId="50DE5C9D" w14:textId="77777777" w:rsidR="006A694C" w:rsidRPr="002F6619" w:rsidRDefault="006A694C" w:rsidP="00046760">
            <w:r w:rsidRPr="002F6619">
              <w:t>Cita informācija</w:t>
            </w:r>
          </w:p>
        </w:tc>
        <w:tc>
          <w:tcPr>
            <w:tcW w:w="5819" w:type="dxa"/>
            <w:shd w:val="clear" w:color="auto" w:fill="auto"/>
          </w:tcPr>
          <w:p w14:paraId="7D93D616" w14:textId="77777777" w:rsidR="006A694C" w:rsidRPr="002F6619" w:rsidRDefault="006A694C" w:rsidP="00046760">
            <w:pPr>
              <w:jc w:val="both"/>
              <w:rPr>
                <w:color w:val="000000"/>
              </w:rPr>
            </w:pPr>
            <w:r w:rsidRPr="002F6619">
              <w:rPr>
                <w:color w:val="000000"/>
              </w:rPr>
              <w:t>Nav.</w:t>
            </w:r>
          </w:p>
        </w:tc>
      </w:tr>
    </w:tbl>
    <w:p w14:paraId="4416A960" w14:textId="77777777" w:rsidR="004B2F3F" w:rsidRPr="002F6619" w:rsidRDefault="004B2F3F" w:rsidP="006A694C"/>
    <w:p w14:paraId="346CA4CA" w14:textId="5EACF518" w:rsidR="00B76D85" w:rsidRPr="002F6619" w:rsidRDefault="004B2F3F" w:rsidP="002B264A">
      <w:pPr>
        <w:jc w:val="center"/>
        <w:rPr>
          <w:i/>
        </w:rPr>
      </w:pPr>
      <w:r w:rsidRPr="002F6619">
        <w:rPr>
          <w:i/>
        </w:rPr>
        <w:t>Noteikumu projekts anotācijas</w:t>
      </w:r>
      <w:r w:rsidR="00D970B0" w:rsidRPr="002F6619">
        <w:rPr>
          <w:i/>
        </w:rPr>
        <w:t xml:space="preserve"> I</w:t>
      </w:r>
      <w:r w:rsidR="00A96D6E" w:rsidRPr="002F6619">
        <w:rPr>
          <w:i/>
        </w:rPr>
        <w:t>I</w:t>
      </w:r>
      <w:r w:rsidR="00D970B0" w:rsidRPr="002F6619">
        <w:rPr>
          <w:i/>
        </w:rPr>
        <w:t>I un V</w:t>
      </w:r>
      <w:r w:rsidR="00A96D6E" w:rsidRPr="002F6619">
        <w:rPr>
          <w:i/>
        </w:rPr>
        <w:t xml:space="preserve"> sadaļu neskar.</w:t>
      </w:r>
    </w:p>
    <w:p w14:paraId="46FA95DA" w14:textId="77777777" w:rsidR="00FE5D00" w:rsidRPr="002F6619" w:rsidRDefault="00FE5D00" w:rsidP="00B76D85">
      <w:pPr>
        <w:jc w:val="center"/>
      </w:pPr>
    </w:p>
    <w:p w14:paraId="16539614" w14:textId="77777777" w:rsidR="007B614D" w:rsidRPr="002F6619" w:rsidRDefault="007B614D" w:rsidP="00B76D85">
      <w:pPr>
        <w:jc w:val="center"/>
      </w:pPr>
    </w:p>
    <w:p w14:paraId="1FB1347D" w14:textId="77777777" w:rsidR="006D7ACC" w:rsidRPr="002F6619" w:rsidRDefault="00194614" w:rsidP="006D7ACC">
      <w:pPr>
        <w:ind w:firstLine="720"/>
      </w:pPr>
      <w:r w:rsidRPr="002F6619">
        <w:t>Labklājības ministr</w:t>
      </w:r>
      <w:r w:rsidR="00250408" w:rsidRPr="002F6619">
        <w:t>s</w:t>
      </w:r>
      <w:r w:rsidR="00250408" w:rsidRPr="002F6619">
        <w:tab/>
      </w:r>
      <w:r w:rsidR="00250408" w:rsidRPr="002F6619">
        <w:tab/>
      </w:r>
      <w:r w:rsidR="00250408" w:rsidRPr="002F6619">
        <w:tab/>
      </w:r>
      <w:r w:rsidR="00250408" w:rsidRPr="002F6619">
        <w:tab/>
      </w:r>
      <w:r w:rsidR="00250408" w:rsidRPr="002F6619">
        <w:tab/>
      </w:r>
      <w:r w:rsidR="00250408" w:rsidRPr="002F6619">
        <w:tab/>
        <w:t>U.Augulis</w:t>
      </w:r>
      <w:r w:rsidRPr="002F6619">
        <w:tab/>
      </w:r>
      <w:r w:rsidRPr="002F6619">
        <w:tab/>
      </w:r>
    </w:p>
    <w:p w14:paraId="6C37743A" w14:textId="77777777" w:rsidR="006D7ACC" w:rsidRDefault="006D7ACC" w:rsidP="006D7ACC">
      <w:pPr>
        <w:ind w:firstLine="720"/>
      </w:pPr>
    </w:p>
    <w:p w14:paraId="5CC67C22" w14:textId="77777777" w:rsidR="007B614D" w:rsidRDefault="007B614D" w:rsidP="00D970B0"/>
    <w:p w14:paraId="4595181E" w14:textId="77777777" w:rsidR="00330E6E" w:rsidRDefault="00194614" w:rsidP="00FF573B">
      <w:r w:rsidRPr="008B0AD5">
        <w:tab/>
      </w:r>
      <w:r w:rsidRPr="008B0AD5">
        <w:tab/>
      </w:r>
      <w:r w:rsidRPr="008B0AD5">
        <w:tab/>
      </w:r>
      <w:r w:rsidRPr="008B0AD5">
        <w:tab/>
        <w:t xml:space="preserve">          </w:t>
      </w:r>
      <w:r w:rsidR="00330E6E" w:rsidRPr="008B0AD5">
        <w:t xml:space="preserve">        </w:t>
      </w:r>
    </w:p>
    <w:p w14:paraId="03CB02BB" w14:textId="64DC514F" w:rsidR="00250408" w:rsidRPr="008B41C2" w:rsidRDefault="00621426" w:rsidP="00250408">
      <w:pPr>
        <w:tabs>
          <w:tab w:val="center" w:pos="4535"/>
        </w:tabs>
        <w:suppressAutoHyphens/>
        <w:rPr>
          <w:sz w:val="20"/>
          <w:szCs w:val="20"/>
          <w:lang w:eastAsia="ar-SA"/>
        </w:rPr>
      </w:pPr>
      <w:r>
        <w:rPr>
          <w:sz w:val="20"/>
          <w:szCs w:val="20"/>
          <w:lang w:eastAsia="ar-SA"/>
        </w:rPr>
        <w:t>22</w:t>
      </w:r>
      <w:r w:rsidR="006814CC" w:rsidRPr="008B41C2">
        <w:rPr>
          <w:sz w:val="20"/>
          <w:szCs w:val="20"/>
          <w:lang w:eastAsia="ar-SA"/>
        </w:rPr>
        <w:t>.</w:t>
      </w:r>
      <w:r w:rsidR="003F76F2">
        <w:rPr>
          <w:sz w:val="20"/>
          <w:szCs w:val="20"/>
          <w:lang w:eastAsia="ar-SA"/>
        </w:rPr>
        <w:t>12</w:t>
      </w:r>
      <w:r w:rsidR="006E3369" w:rsidRPr="008B41C2">
        <w:rPr>
          <w:sz w:val="20"/>
          <w:szCs w:val="20"/>
          <w:lang w:eastAsia="ar-SA"/>
        </w:rPr>
        <w:t>.2015</w:t>
      </w:r>
      <w:r w:rsidR="00250408" w:rsidRPr="008B41C2">
        <w:rPr>
          <w:sz w:val="20"/>
          <w:szCs w:val="20"/>
          <w:lang w:eastAsia="ar-SA"/>
        </w:rPr>
        <w:t xml:space="preserve">. </w:t>
      </w:r>
      <w:r w:rsidR="002F6619">
        <w:rPr>
          <w:sz w:val="20"/>
          <w:szCs w:val="20"/>
          <w:lang w:eastAsia="ar-SA"/>
        </w:rPr>
        <w:t>1</w:t>
      </w:r>
      <w:r>
        <w:rPr>
          <w:sz w:val="20"/>
          <w:szCs w:val="20"/>
          <w:lang w:eastAsia="ar-SA"/>
        </w:rPr>
        <w:t>3</w:t>
      </w:r>
      <w:r w:rsidR="00BF6CAC">
        <w:rPr>
          <w:sz w:val="20"/>
          <w:szCs w:val="20"/>
          <w:lang w:eastAsia="ar-SA"/>
        </w:rPr>
        <w:t>:</w:t>
      </w:r>
      <w:r w:rsidR="00954213">
        <w:rPr>
          <w:sz w:val="20"/>
          <w:szCs w:val="20"/>
          <w:lang w:eastAsia="ar-SA"/>
        </w:rPr>
        <w:t>06</w:t>
      </w:r>
      <w:bookmarkStart w:id="0" w:name="_GoBack"/>
      <w:bookmarkEnd w:id="0"/>
      <w:r w:rsidR="00250408" w:rsidRPr="008B41C2">
        <w:rPr>
          <w:sz w:val="20"/>
          <w:szCs w:val="20"/>
          <w:lang w:eastAsia="ar-SA"/>
        </w:rPr>
        <w:tab/>
      </w:r>
    </w:p>
    <w:p w14:paraId="1E346C85" w14:textId="1752CCCC" w:rsidR="00250408" w:rsidRPr="00250408" w:rsidRDefault="007E7DF0" w:rsidP="00250408">
      <w:pPr>
        <w:suppressAutoHyphens/>
        <w:textAlignment w:val="baseline"/>
        <w:rPr>
          <w:rFonts w:eastAsia="Arial"/>
          <w:kern w:val="1"/>
          <w:sz w:val="20"/>
          <w:szCs w:val="20"/>
          <w:lang w:eastAsia="ar-SA"/>
        </w:rPr>
      </w:pPr>
      <w:r>
        <w:rPr>
          <w:rFonts w:eastAsia="Arial"/>
          <w:kern w:val="1"/>
          <w:sz w:val="20"/>
          <w:szCs w:val="20"/>
          <w:lang w:eastAsia="ar-SA"/>
        </w:rPr>
        <w:t>1315</w:t>
      </w:r>
    </w:p>
    <w:p w14:paraId="5C33E0B7" w14:textId="77777777" w:rsidR="00250408" w:rsidRPr="00250408" w:rsidRDefault="00DF2A52" w:rsidP="00250408">
      <w:pPr>
        <w:suppressAutoHyphens/>
        <w:textAlignment w:val="baseline"/>
        <w:rPr>
          <w:rFonts w:eastAsia="Arial"/>
          <w:kern w:val="1"/>
          <w:sz w:val="20"/>
          <w:szCs w:val="20"/>
          <w:lang w:eastAsia="ar-SA"/>
        </w:rPr>
      </w:pPr>
      <w:r>
        <w:rPr>
          <w:rFonts w:eastAsia="Arial"/>
          <w:kern w:val="1"/>
          <w:sz w:val="20"/>
          <w:szCs w:val="20"/>
          <w:lang w:eastAsia="ar-SA"/>
        </w:rPr>
        <w:t>K.Ziediņš</w:t>
      </w:r>
    </w:p>
    <w:p w14:paraId="4D40A160" w14:textId="77777777" w:rsidR="00250408" w:rsidRPr="00250408" w:rsidRDefault="00250408" w:rsidP="00250408">
      <w:pPr>
        <w:suppressAutoHyphens/>
        <w:autoSpaceDE w:val="0"/>
        <w:textAlignment w:val="baseline"/>
        <w:rPr>
          <w:rFonts w:eastAsia="Arial"/>
          <w:kern w:val="1"/>
          <w:sz w:val="20"/>
          <w:szCs w:val="20"/>
          <w:lang w:eastAsia="ar-SA"/>
        </w:rPr>
      </w:pPr>
      <w:r>
        <w:rPr>
          <w:rFonts w:eastAsia="Arial"/>
          <w:kern w:val="1"/>
          <w:sz w:val="20"/>
          <w:szCs w:val="20"/>
          <w:lang w:eastAsia="ar-SA"/>
        </w:rPr>
        <w:t>Tālrunis</w:t>
      </w:r>
      <w:r w:rsidRPr="00250408">
        <w:rPr>
          <w:rFonts w:eastAsia="Arial"/>
          <w:kern w:val="1"/>
          <w:sz w:val="20"/>
          <w:szCs w:val="20"/>
          <w:lang w:eastAsia="ar-SA"/>
        </w:rPr>
        <w:t>: 67021503</w:t>
      </w:r>
    </w:p>
    <w:p w14:paraId="437BB1FF" w14:textId="77777777" w:rsidR="00250408" w:rsidRPr="00250408" w:rsidRDefault="00250408" w:rsidP="00250408">
      <w:pPr>
        <w:suppressAutoHyphens/>
        <w:autoSpaceDE w:val="0"/>
        <w:textAlignment w:val="baseline"/>
        <w:rPr>
          <w:rFonts w:eastAsia="Arial"/>
          <w:kern w:val="1"/>
          <w:sz w:val="20"/>
          <w:szCs w:val="20"/>
          <w:lang w:eastAsia="ar-SA"/>
        </w:rPr>
      </w:pPr>
      <w:r w:rsidRPr="00250408">
        <w:rPr>
          <w:rFonts w:eastAsia="Arial"/>
          <w:kern w:val="1"/>
          <w:sz w:val="20"/>
          <w:szCs w:val="20"/>
          <w:lang w:eastAsia="ar-SA"/>
        </w:rPr>
        <w:t>Fakss: 67021505</w:t>
      </w:r>
    </w:p>
    <w:p w14:paraId="7B686078" w14:textId="77777777" w:rsidR="000C29B0" w:rsidRPr="00E85C09" w:rsidRDefault="00250408" w:rsidP="00E85C09">
      <w:pPr>
        <w:suppressAutoHyphens/>
        <w:rPr>
          <w:sz w:val="20"/>
          <w:szCs w:val="20"/>
          <w:lang w:eastAsia="ar-SA"/>
        </w:rPr>
      </w:pPr>
      <w:r>
        <w:rPr>
          <w:sz w:val="20"/>
          <w:szCs w:val="20"/>
          <w:lang w:eastAsia="ar-SA"/>
        </w:rPr>
        <w:t xml:space="preserve">e-pasts: </w:t>
      </w:r>
      <w:hyperlink r:id="rId10" w:history="1">
        <w:r w:rsidR="001D0AEA">
          <w:rPr>
            <w:color w:val="0000FF"/>
            <w:sz w:val="20"/>
            <w:szCs w:val="20"/>
            <w:u w:val="single"/>
            <w:lang w:eastAsia="ar-SA"/>
          </w:rPr>
          <w:t>Kristaps.Ziedins</w:t>
        </w:r>
        <w:r w:rsidRPr="00250408">
          <w:rPr>
            <w:color w:val="0000FF"/>
            <w:sz w:val="20"/>
            <w:szCs w:val="20"/>
            <w:u w:val="single"/>
            <w:lang w:eastAsia="ar-SA"/>
          </w:rPr>
          <w:t>@lm.gov.lv</w:t>
        </w:r>
      </w:hyperlink>
    </w:p>
    <w:sectPr w:rsidR="000C29B0" w:rsidRPr="00E85C09" w:rsidSect="00ED5D34">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4C433" w14:textId="77777777" w:rsidR="005D1684" w:rsidRDefault="005D1684">
      <w:r>
        <w:separator/>
      </w:r>
    </w:p>
  </w:endnote>
  <w:endnote w:type="continuationSeparator" w:id="0">
    <w:p w14:paraId="7D9D9F53" w14:textId="77777777" w:rsidR="005D1684" w:rsidRDefault="005D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48774" w14:textId="7BA0FE64" w:rsidR="006B05E5" w:rsidRPr="00C0201F" w:rsidRDefault="006B05E5" w:rsidP="00F2273E">
    <w:pPr>
      <w:pStyle w:val="NormalWeb"/>
      <w:spacing w:before="0" w:after="0"/>
      <w:jc w:val="both"/>
      <w:rPr>
        <w:sz w:val="20"/>
        <w:szCs w:val="20"/>
      </w:rPr>
    </w:pPr>
    <w:r>
      <w:rPr>
        <w:sz w:val="20"/>
        <w:szCs w:val="20"/>
      </w:rPr>
      <w:t>L</w:t>
    </w:r>
    <w:r w:rsidR="00E335C8">
      <w:rPr>
        <w:sz w:val="20"/>
        <w:szCs w:val="20"/>
      </w:rPr>
      <w:t>MA</w:t>
    </w:r>
    <w:r>
      <w:rPr>
        <w:sz w:val="20"/>
        <w:szCs w:val="20"/>
      </w:rPr>
      <w:t>not_</w:t>
    </w:r>
    <w:r w:rsidR="00621426">
      <w:rPr>
        <w:sz w:val="20"/>
        <w:szCs w:val="20"/>
      </w:rPr>
      <w:t>22</w:t>
    </w:r>
    <w:r w:rsidR="003F76F2">
      <w:rPr>
        <w:sz w:val="20"/>
        <w:szCs w:val="20"/>
      </w:rPr>
      <w:t>12</w:t>
    </w:r>
    <w:r w:rsidR="00587020">
      <w:rPr>
        <w:sz w:val="20"/>
        <w:szCs w:val="20"/>
      </w:rPr>
      <w:t>15</w:t>
    </w:r>
    <w:r>
      <w:rPr>
        <w:sz w:val="20"/>
        <w:szCs w:val="20"/>
      </w:rPr>
      <w:t>_</w:t>
    </w:r>
    <w:r w:rsidR="003F76F2">
      <w:rPr>
        <w:sz w:val="20"/>
        <w:szCs w:val="20"/>
      </w:rPr>
      <w:t>75_groz</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6E4D6972" w14:textId="77777777" w:rsidR="006B05E5" w:rsidRPr="00F2273E" w:rsidRDefault="006B05E5" w:rsidP="00B8295E">
    <w:pPr>
      <w:pStyle w:val="Footer"/>
      <w:tabs>
        <w:tab w:val="clear" w:pos="4153"/>
        <w:tab w:val="clear" w:pos="8306"/>
        <w:tab w:val="left" w:pos="26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DCCF" w14:textId="268D48E6" w:rsidR="006B05E5" w:rsidRPr="00C0201F" w:rsidRDefault="006B05E5" w:rsidP="00F2273E">
    <w:pPr>
      <w:pStyle w:val="NormalWeb"/>
      <w:spacing w:before="0" w:after="0"/>
      <w:jc w:val="both"/>
      <w:rPr>
        <w:sz w:val="20"/>
        <w:szCs w:val="20"/>
      </w:rPr>
    </w:pPr>
    <w:r>
      <w:rPr>
        <w:sz w:val="20"/>
        <w:szCs w:val="20"/>
      </w:rPr>
      <w:t>L</w:t>
    </w:r>
    <w:r w:rsidR="00E335C8">
      <w:rPr>
        <w:sz w:val="20"/>
        <w:szCs w:val="20"/>
      </w:rPr>
      <w:t>MA</w:t>
    </w:r>
    <w:r w:rsidR="00F71B4A">
      <w:rPr>
        <w:sz w:val="20"/>
        <w:szCs w:val="20"/>
      </w:rPr>
      <w:t>not_</w:t>
    </w:r>
    <w:r w:rsidR="00621426">
      <w:rPr>
        <w:sz w:val="20"/>
        <w:szCs w:val="20"/>
      </w:rPr>
      <w:t>22</w:t>
    </w:r>
    <w:r w:rsidR="006B45B2">
      <w:rPr>
        <w:sz w:val="20"/>
        <w:szCs w:val="20"/>
      </w:rPr>
      <w:t>12</w:t>
    </w:r>
    <w:r>
      <w:rPr>
        <w:sz w:val="20"/>
        <w:szCs w:val="20"/>
      </w:rPr>
      <w:t>1</w:t>
    </w:r>
    <w:r w:rsidR="00587020">
      <w:rPr>
        <w:sz w:val="20"/>
        <w:szCs w:val="20"/>
      </w:rPr>
      <w:t>5</w:t>
    </w:r>
    <w:r>
      <w:rPr>
        <w:sz w:val="20"/>
        <w:szCs w:val="20"/>
      </w:rPr>
      <w:t>_</w:t>
    </w:r>
    <w:r w:rsidR="006B45B2">
      <w:rPr>
        <w:sz w:val="20"/>
        <w:szCs w:val="20"/>
      </w:rPr>
      <w:t>75_groz</w:t>
    </w:r>
    <w:r w:rsidRPr="00C0201F">
      <w:rPr>
        <w:sz w:val="20"/>
        <w:szCs w:val="20"/>
      </w:rPr>
      <w:t>;</w:t>
    </w:r>
    <w:r>
      <w:rPr>
        <w:sz w:val="20"/>
        <w:szCs w:val="20"/>
      </w:rPr>
      <w:t xml:space="preserve"> </w:t>
    </w:r>
    <w:r w:rsidRPr="00C0201F">
      <w:rPr>
        <w:sz w:val="20"/>
        <w:szCs w:val="20"/>
      </w:rPr>
      <w:t>Grozījumi Ministru kabineta 2011. gada 25. janvāra noteikumos Nr. 75 „Noteikumi par aktīvo nodarbinātības pasākumu un preventīvo bezdarba samazināšanas pasākumu organizēšanas un finansēšanas kārtību un pasākumu īstenotāju izvēles principiem”</w:t>
    </w:r>
  </w:p>
  <w:p w14:paraId="0F2A9385" w14:textId="77777777" w:rsidR="006B05E5" w:rsidRPr="00F2273E" w:rsidRDefault="006B05E5" w:rsidP="00F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004D7" w14:textId="77777777" w:rsidR="005D1684" w:rsidRDefault="005D1684">
      <w:r>
        <w:separator/>
      </w:r>
    </w:p>
  </w:footnote>
  <w:footnote w:type="continuationSeparator" w:id="0">
    <w:p w14:paraId="156B55DE" w14:textId="77777777" w:rsidR="005D1684" w:rsidRDefault="005D1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A07EC" w14:textId="77777777" w:rsidR="006B05E5" w:rsidRDefault="00F40F2D" w:rsidP="00242D7D">
    <w:pPr>
      <w:pStyle w:val="Header"/>
      <w:framePr w:wrap="around" w:vAnchor="text" w:hAnchor="margin" w:xAlign="center" w:y="1"/>
      <w:rPr>
        <w:rStyle w:val="PageNumber"/>
      </w:rPr>
    </w:pPr>
    <w:r>
      <w:rPr>
        <w:rStyle w:val="PageNumber"/>
      </w:rPr>
      <w:fldChar w:fldCharType="begin"/>
    </w:r>
    <w:r w:rsidR="006B05E5">
      <w:rPr>
        <w:rStyle w:val="PageNumber"/>
      </w:rPr>
      <w:instrText xml:space="preserve">PAGE  </w:instrText>
    </w:r>
    <w:r>
      <w:rPr>
        <w:rStyle w:val="PageNumber"/>
      </w:rPr>
      <w:fldChar w:fldCharType="end"/>
    </w:r>
  </w:p>
  <w:p w14:paraId="6DAEE2A4" w14:textId="77777777" w:rsidR="006B05E5" w:rsidRDefault="006B0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E2A5" w14:textId="77777777" w:rsidR="006B05E5" w:rsidRDefault="00F40F2D" w:rsidP="00242D7D">
    <w:pPr>
      <w:pStyle w:val="Header"/>
      <w:framePr w:wrap="around" w:vAnchor="text" w:hAnchor="margin" w:xAlign="center" w:y="1"/>
      <w:rPr>
        <w:rStyle w:val="PageNumber"/>
      </w:rPr>
    </w:pPr>
    <w:r>
      <w:rPr>
        <w:rStyle w:val="PageNumber"/>
      </w:rPr>
      <w:fldChar w:fldCharType="begin"/>
    </w:r>
    <w:r w:rsidR="006B05E5">
      <w:rPr>
        <w:rStyle w:val="PageNumber"/>
      </w:rPr>
      <w:instrText xml:space="preserve">PAGE  </w:instrText>
    </w:r>
    <w:r>
      <w:rPr>
        <w:rStyle w:val="PageNumber"/>
      </w:rPr>
      <w:fldChar w:fldCharType="separate"/>
    </w:r>
    <w:r w:rsidR="00954213">
      <w:rPr>
        <w:rStyle w:val="PageNumber"/>
        <w:noProof/>
      </w:rPr>
      <w:t>5</w:t>
    </w:r>
    <w:r>
      <w:rPr>
        <w:rStyle w:val="PageNumber"/>
      </w:rPr>
      <w:fldChar w:fldCharType="end"/>
    </w:r>
  </w:p>
  <w:p w14:paraId="495EB6FF" w14:textId="77777777" w:rsidR="006B05E5" w:rsidRDefault="006B0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0"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1" w15:restartNumberingAfterBreak="0">
    <w:nsid w:val="57202D18"/>
    <w:multiLevelType w:val="hybridMultilevel"/>
    <w:tmpl w:val="5066F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4"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2"/>
  </w:num>
  <w:num w:numId="7">
    <w:abstractNumId w:val="12"/>
  </w:num>
  <w:num w:numId="8">
    <w:abstractNumId w:val="3"/>
  </w:num>
  <w:num w:numId="9">
    <w:abstractNumId w:val="15"/>
  </w:num>
  <w:num w:numId="10">
    <w:abstractNumId w:val="10"/>
  </w:num>
  <w:num w:numId="11">
    <w:abstractNumId w:val="14"/>
  </w:num>
  <w:num w:numId="12">
    <w:abstractNumId w:val="1"/>
  </w:num>
  <w:num w:numId="13">
    <w:abstractNumId w:val="5"/>
  </w:num>
  <w:num w:numId="14">
    <w:abstractNumId w:val="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5"/>
    <w:rsid w:val="000003CB"/>
    <w:rsid w:val="000010EF"/>
    <w:rsid w:val="00001DE9"/>
    <w:rsid w:val="000049FD"/>
    <w:rsid w:val="00004BE3"/>
    <w:rsid w:val="000102F6"/>
    <w:rsid w:val="00010C24"/>
    <w:rsid w:val="0001203B"/>
    <w:rsid w:val="00012BCF"/>
    <w:rsid w:val="00014889"/>
    <w:rsid w:val="000162FD"/>
    <w:rsid w:val="000179D0"/>
    <w:rsid w:val="00017E5D"/>
    <w:rsid w:val="00020B4F"/>
    <w:rsid w:val="000232EB"/>
    <w:rsid w:val="000251D9"/>
    <w:rsid w:val="000260C1"/>
    <w:rsid w:val="00027414"/>
    <w:rsid w:val="0003124C"/>
    <w:rsid w:val="00032FCA"/>
    <w:rsid w:val="000344C0"/>
    <w:rsid w:val="00034970"/>
    <w:rsid w:val="00035D37"/>
    <w:rsid w:val="00036245"/>
    <w:rsid w:val="00036804"/>
    <w:rsid w:val="00037BB3"/>
    <w:rsid w:val="00043389"/>
    <w:rsid w:val="000450B6"/>
    <w:rsid w:val="00046760"/>
    <w:rsid w:val="000476FC"/>
    <w:rsid w:val="000509A8"/>
    <w:rsid w:val="00056345"/>
    <w:rsid w:val="00057176"/>
    <w:rsid w:val="0006002A"/>
    <w:rsid w:val="0006076A"/>
    <w:rsid w:val="00060968"/>
    <w:rsid w:val="00061004"/>
    <w:rsid w:val="00065FDF"/>
    <w:rsid w:val="00067067"/>
    <w:rsid w:val="0007050B"/>
    <w:rsid w:val="000713E1"/>
    <w:rsid w:val="000736E1"/>
    <w:rsid w:val="00073BFF"/>
    <w:rsid w:val="00075CF5"/>
    <w:rsid w:val="0007607D"/>
    <w:rsid w:val="00076D11"/>
    <w:rsid w:val="000777A9"/>
    <w:rsid w:val="00080296"/>
    <w:rsid w:val="000829C1"/>
    <w:rsid w:val="0008362C"/>
    <w:rsid w:val="00084CB0"/>
    <w:rsid w:val="000902BF"/>
    <w:rsid w:val="00093744"/>
    <w:rsid w:val="0009450F"/>
    <w:rsid w:val="00095D94"/>
    <w:rsid w:val="0009784B"/>
    <w:rsid w:val="000A1D01"/>
    <w:rsid w:val="000A35D2"/>
    <w:rsid w:val="000A5509"/>
    <w:rsid w:val="000A5BB5"/>
    <w:rsid w:val="000A7827"/>
    <w:rsid w:val="000B145D"/>
    <w:rsid w:val="000B6555"/>
    <w:rsid w:val="000B67FC"/>
    <w:rsid w:val="000B6A7F"/>
    <w:rsid w:val="000B78EC"/>
    <w:rsid w:val="000C1D63"/>
    <w:rsid w:val="000C23D3"/>
    <w:rsid w:val="000C29B0"/>
    <w:rsid w:val="000C4D05"/>
    <w:rsid w:val="000D0DA0"/>
    <w:rsid w:val="000D0EC0"/>
    <w:rsid w:val="000D1449"/>
    <w:rsid w:val="000D740B"/>
    <w:rsid w:val="000D7C1A"/>
    <w:rsid w:val="000E0C7D"/>
    <w:rsid w:val="000E1F9F"/>
    <w:rsid w:val="000E384F"/>
    <w:rsid w:val="000E421B"/>
    <w:rsid w:val="000E678C"/>
    <w:rsid w:val="000F2C0D"/>
    <w:rsid w:val="000F305C"/>
    <w:rsid w:val="000F3932"/>
    <w:rsid w:val="000F40BD"/>
    <w:rsid w:val="000F5F6B"/>
    <w:rsid w:val="00102682"/>
    <w:rsid w:val="0010720E"/>
    <w:rsid w:val="00111137"/>
    <w:rsid w:val="001121F2"/>
    <w:rsid w:val="001141FC"/>
    <w:rsid w:val="001149F8"/>
    <w:rsid w:val="00115437"/>
    <w:rsid w:val="00116098"/>
    <w:rsid w:val="0012151E"/>
    <w:rsid w:val="00122F3D"/>
    <w:rsid w:val="00124853"/>
    <w:rsid w:val="00125791"/>
    <w:rsid w:val="00125B86"/>
    <w:rsid w:val="001269D7"/>
    <w:rsid w:val="00126C64"/>
    <w:rsid w:val="001272CE"/>
    <w:rsid w:val="00130C31"/>
    <w:rsid w:val="00131478"/>
    <w:rsid w:val="0013206C"/>
    <w:rsid w:val="00133BF5"/>
    <w:rsid w:val="00134B34"/>
    <w:rsid w:val="001350F4"/>
    <w:rsid w:val="001401BD"/>
    <w:rsid w:val="00143584"/>
    <w:rsid w:val="001435A8"/>
    <w:rsid w:val="001443DF"/>
    <w:rsid w:val="00144C2C"/>
    <w:rsid w:val="00147461"/>
    <w:rsid w:val="00147E93"/>
    <w:rsid w:val="00152425"/>
    <w:rsid w:val="00152E95"/>
    <w:rsid w:val="00167021"/>
    <w:rsid w:val="00167401"/>
    <w:rsid w:val="00170E63"/>
    <w:rsid w:val="00174A87"/>
    <w:rsid w:val="0018200B"/>
    <w:rsid w:val="00184B14"/>
    <w:rsid w:val="00185E65"/>
    <w:rsid w:val="001869A8"/>
    <w:rsid w:val="00191899"/>
    <w:rsid w:val="00191E0E"/>
    <w:rsid w:val="00194614"/>
    <w:rsid w:val="00196EF2"/>
    <w:rsid w:val="001A354E"/>
    <w:rsid w:val="001A360B"/>
    <w:rsid w:val="001A51E6"/>
    <w:rsid w:val="001B1897"/>
    <w:rsid w:val="001B7328"/>
    <w:rsid w:val="001C0089"/>
    <w:rsid w:val="001C0D90"/>
    <w:rsid w:val="001C509E"/>
    <w:rsid w:val="001C67A6"/>
    <w:rsid w:val="001D0050"/>
    <w:rsid w:val="001D07B3"/>
    <w:rsid w:val="001D0AEA"/>
    <w:rsid w:val="001D1950"/>
    <w:rsid w:val="001D1C3C"/>
    <w:rsid w:val="001D34C5"/>
    <w:rsid w:val="001D391F"/>
    <w:rsid w:val="001D3BDF"/>
    <w:rsid w:val="001D42CD"/>
    <w:rsid w:val="001D76B1"/>
    <w:rsid w:val="001D7806"/>
    <w:rsid w:val="001D7AD1"/>
    <w:rsid w:val="001E1307"/>
    <w:rsid w:val="001E184A"/>
    <w:rsid w:val="001E19A9"/>
    <w:rsid w:val="001E5C57"/>
    <w:rsid w:val="001F3077"/>
    <w:rsid w:val="001F40FF"/>
    <w:rsid w:val="001F5D7D"/>
    <w:rsid w:val="00201973"/>
    <w:rsid w:val="002045B3"/>
    <w:rsid w:val="00204FC5"/>
    <w:rsid w:val="00205A93"/>
    <w:rsid w:val="00206FB6"/>
    <w:rsid w:val="002142DC"/>
    <w:rsid w:val="002157A8"/>
    <w:rsid w:val="00215A6B"/>
    <w:rsid w:val="00216591"/>
    <w:rsid w:val="002175D9"/>
    <w:rsid w:val="0021789A"/>
    <w:rsid w:val="00224061"/>
    <w:rsid w:val="002242CB"/>
    <w:rsid w:val="0022698A"/>
    <w:rsid w:val="00226F75"/>
    <w:rsid w:val="00230730"/>
    <w:rsid w:val="0023232C"/>
    <w:rsid w:val="00232C33"/>
    <w:rsid w:val="00232C58"/>
    <w:rsid w:val="0023478C"/>
    <w:rsid w:val="00234C48"/>
    <w:rsid w:val="002354DF"/>
    <w:rsid w:val="00237649"/>
    <w:rsid w:val="00242D7D"/>
    <w:rsid w:val="002432E7"/>
    <w:rsid w:val="002500CB"/>
    <w:rsid w:val="00250408"/>
    <w:rsid w:val="002517CB"/>
    <w:rsid w:val="00252213"/>
    <w:rsid w:val="00257250"/>
    <w:rsid w:val="00257DD4"/>
    <w:rsid w:val="002607A6"/>
    <w:rsid w:val="00261071"/>
    <w:rsid w:val="00261F5F"/>
    <w:rsid w:val="00262EBA"/>
    <w:rsid w:val="002640D9"/>
    <w:rsid w:val="002654CD"/>
    <w:rsid w:val="002662E3"/>
    <w:rsid w:val="002700EF"/>
    <w:rsid w:val="00270E4A"/>
    <w:rsid w:val="00271F7F"/>
    <w:rsid w:val="00273F99"/>
    <w:rsid w:val="002747BA"/>
    <w:rsid w:val="00275E90"/>
    <w:rsid w:val="00276E78"/>
    <w:rsid w:val="00277E18"/>
    <w:rsid w:val="0028162B"/>
    <w:rsid w:val="00284191"/>
    <w:rsid w:val="00294074"/>
    <w:rsid w:val="00294E7C"/>
    <w:rsid w:val="00296571"/>
    <w:rsid w:val="00296A90"/>
    <w:rsid w:val="002A1B5B"/>
    <w:rsid w:val="002A228D"/>
    <w:rsid w:val="002A2700"/>
    <w:rsid w:val="002B264A"/>
    <w:rsid w:val="002B4ECF"/>
    <w:rsid w:val="002B5097"/>
    <w:rsid w:val="002B6A76"/>
    <w:rsid w:val="002B6ABC"/>
    <w:rsid w:val="002C234A"/>
    <w:rsid w:val="002C37C8"/>
    <w:rsid w:val="002C6ABF"/>
    <w:rsid w:val="002C7C67"/>
    <w:rsid w:val="002D175B"/>
    <w:rsid w:val="002D35DB"/>
    <w:rsid w:val="002D37AB"/>
    <w:rsid w:val="002D529C"/>
    <w:rsid w:val="002D5363"/>
    <w:rsid w:val="002E11C5"/>
    <w:rsid w:val="002E21A1"/>
    <w:rsid w:val="002E224D"/>
    <w:rsid w:val="002E2D26"/>
    <w:rsid w:val="002E3B40"/>
    <w:rsid w:val="002E5400"/>
    <w:rsid w:val="002E721A"/>
    <w:rsid w:val="002F062E"/>
    <w:rsid w:val="002F2FD3"/>
    <w:rsid w:val="002F42A2"/>
    <w:rsid w:val="002F6619"/>
    <w:rsid w:val="00302138"/>
    <w:rsid w:val="003023A0"/>
    <w:rsid w:val="003027C8"/>
    <w:rsid w:val="00302CB3"/>
    <w:rsid w:val="003042AF"/>
    <w:rsid w:val="003053F0"/>
    <w:rsid w:val="00307EFC"/>
    <w:rsid w:val="00307F36"/>
    <w:rsid w:val="003125A1"/>
    <w:rsid w:val="00316BC4"/>
    <w:rsid w:val="0032227C"/>
    <w:rsid w:val="003251E6"/>
    <w:rsid w:val="00327684"/>
    <w:rsid w:val="00330A50"/>
    <w:rsid w:val="00330B59"/>
    <w:rsid w:val="00330E6E"/>
    <w:rsid w:val="00331033"/>
    <w:rsid w:val="0033776D"/>
    <w:rsid w:val="00337E07"/>
    <w:rsid w:val="003408CE"/>
    <w:rsid w:val="00346A87"/>
    <w:rsid w:val="003539EE"/>
    <w:rsid w:val="00354249"/>
    <w:rsid w:val="00354D6D"/>
    <w:rsid w:val="00357C5A"/>
    <w:rsid w:val="003626E2"/>
    <w:rsid w:val="00363857"/>
    <w:rsid w:val="0036402F"/>
    <w:rsid w:val="00364388"/>
    <w:rsid w:val="003668DA"/>
    <w:rsid w:val="003670FB"/>
    <w:rsid w:val="003675BC"/>
    <w:rsid w:val="003679AE"/>
    <w:rsid w:val="00370322"/>
    <w:rsid w:val="003727FB"/>
    <w:rsid w:val="00372BBA"/>
    <w:rsid w:val="003804C1"/>
    <w:rsid w:val="00380F5C"/>
    <w:rsid w:val="00381667"/>
    <w:rsid w:val="003819E0"/>
    <w:rsid w:val="003857EF"/>
    <w:rsid w:val="00385EC9"/>
    <w:rsid w:val="0038652B"/>
    <w:rsid w:val="00386C06"/>
    <w:rsid w:val="00386CC2"/>
    <w:rsid w:val="00391C74"/>
    <w:rsid w:val="003948D6"/>
    <w:rsid w:val="003962C4"/>
    <w:rsid w:val="003A6E33"/>
    <w:rsid w:val="003A774C"/>
    <w:rsid w:val="003A7CD2"/>
    <w:rsid w:val="003B212C"/>
    <w:rsid w:val="003B306A"/>
    <w:rsid w:val="003B4106"/>
    <w:rsid w:val="003B5452"/>
    <w:rsid w:val="003B59A0"/>
    <w:rsid w:val="003B5ADB"/>
    <w:rsid w:val="003B5D70"/>
    <w:rsid w:val="003B5DD3"/>
    <w:rsid w:val="003B629D"/>
    <w:rsid w:val="003C4869"/>
    <w:rsid w:val="003C650F"/>
    <w:rsid w:val="003C66CE"/>
    <w:rsid w:val="003C6948"/>
    <w:rsid w:val="003D0A12"/>
    <w:rsid w:val="003D164C"/>
    <w:rsid w:val="003D2E74"/>
    <w:rsid w:val="003D5E86"/>
    <w:rsid w:val="003D6AB9"/>
    <w:rsid w:val="003E01B3"/>
    <w:rsid w:val="003E07C8"/>
    <w:rsid w:val="003E412C"/>
    <w:rsid w:val="003E5101"/>
    <w:rsid w:val="003E619B"/>
    <w:rsid w:val="003E6618"/>
    <w:rsid w:val="003F27FC"/>
    <w:rsid w:val="003F2D05"/>
    <w:rsid w:val="003F31D2"/>
    <w:rsid w:val="003F489F"/>
    <w:rsid w:val="003F4BB4"/>
    <w:rsid w:val="003F76F2"/>
    <w:rsid w:val="003F7EB1"/>
    <w:rsid w:val="00400423"/>
    <w:rsid w:val="004041F2"/>
    <w:rsid w:val="00404BBC"/>
    <w:rsid w:val="0040663A"/>
    <w:rsid w:val="004111DD"/>
    <w:rsid w:val="0041151B"/>
    <w:rsid w:val="004117F8"/>
    <w:rsid w:val="00413919"/>
    <w:rsid w:val="0041662A"/>
    <w:rsid w:val="00420520"/>
    <w:rsid w:val="00421529"/>
    <w:rsid w:val="00422841"/>
    <w:rsid w:val="00422BAF"/>
    <w:rsid w:val="00425DFD"/>
    <w:rsid w:val="004302F9"/>
    <w:rsid w:val="00433352"/>
    <w:rsid w:val="004373E9"/>
    <w:rsid w:val="00440A1F"/>
    <w:rsid w:val="00441361"/>
    <w:rsid w:val="00443853"/>
    <w:rsid w:val="00443E52"/>
    <w:rsid w:val="00447FA7"/>
    <w:rsid w:val="00455034"/>
    <w:rsid w:val="004551D6"/>
    <w:rsid w:val="0045648D"/>
    <w:rsid w:val="004570AE"/>
    <w:rsid w:val="00461B31"/>
    <w:rsid w:val="004638EB"/>
    <w:rsid w:val="00466487"/>
    <w:rsid w:val="00466776"/>
    <w:rsid w:val="00467E20"/>
    <w:rsid w:val="0048071D"/>
    <w:rsid w:val="004811B1"/>
    <w:rsid w:val="00484F8D"/>
    <w:rsid w:val="0048663C"/>
    <w:rsid w:val="00491216"/>
    <w:rsid w:val="00491392"/>
    <w:rsid w:val="00492E35"/>
    <w:rsid w:val="00494652"/>
    <w:rsid w:val="004A0240"/>
    <w:rsid w:val="004A075F"/>
    <w:rsid w:val="004A1651"/>
    <w:rsid w:val="004A2936"/>
    <w:rsid w:val="004A6980"/>
    <w:rsid w:val="004B0372"/>
    <w:rsid w:val="004B0C0C"/>
    <w:rsid w:val="004B1AE5"/>
    <w:rsid w:val="004B2C33"/>
    <w:rsid w:val="004B2F3F"/>
    <w:rsid w:val="004B6518"/>
    <w:rsid w:val="004C129A"/>
    <w:rsid w:val="004C289C"/>
    <w:rsid w:val="004C4FE3"/>
    <w:rsid w:val="004C7E4D"/>
    <w:rsid w:val="004D2D92"/>
    <w:rsid w:val="004D4815"/>
    <w:rsid w:val="004D6A07"/>
    <w:rsid w:val="004E0FE8"/>
    <w:rsid w:val="004E1C7C"/>
    <w:rsid w:val="004E24B8"/>
    <w:rsid w:val="004E29F7"/>
    <w:rsid w:val="004E3377"/>
    <w:rsid w:val="004E3D80"/>
    <w:rsid w:val="004E3EF8"/>
    <w:rsid w:val="004F30D2"/>
    <w:rsid w:val="004F42E2"/>
    <w:rsid w:val="004F4524"/>
    <w:rsid w:val="004F4F50"/>
    <w:rsid w:val="00500860"/>
    <w:rsid w:val="00502F62"/>
    <w:rsid w:val="00510F83"/>
    <w:rsid w:val="0051235A"/>
    <w:rsid w:val="005131D9"/>
    <w:rsid w:val="0052064B"/>
    <w:rsid w:val="00524303"/>
    <w:rsid w:val="00524443"/>
    <w:rsid w:val="005269A3"/>
    <w:rsid w:val="00526DD0"/>
    <w:rsid w:val="00530882"/>
    <w:rsid w:val="0053295A"/>
    <w:rsid w:val="0053299C"/>
    <w:rsid w:val="00537432"/>
    <w:rsid w:val="00542C64"/>
    <w:rsid w:val="005438FE"/>
    <w:rsid w:val="005439E6"/>
    <w:rsid w:val="00544287"/>
    <w:rsid w:val="00546425"/>
    <w:rsid w:val="0054664E"/>
    <w:rsid w:val="00550898"/>
    <w:rsid w:val="00551014"/>
    <w:rsid w:val="00552B24"/>
    <w:rsid w:val="00555E7F"/>
    <w:rsid w:val="00555F29"/>
    <w:rsid w:val="00556139"/>
    <w:rsid w:val="0056713F"/>
    <w:rsid w:val="0057031B"/>
    <w:rsid w:val="0057037E"/>
    <w:rsid w:val="00572343"/>
    <w:rsid w:val="005727D7"/>
    <w:rsid w:val="00572F13"/>
    <w:rsid w:val="00574592"/>
    <w:rsid w:val="005805BC"/>
    <w:rsid w:val="005816D7"/>
    <w:rsid w:val="00582B65"/>
    <w:rsid w:val="00587020"/>
    <w:rsid w:val="005919CE"/>
    <w:rsid w:val="00596450"/>
    <w:rsid w:val="0059781B"/>
    <w:rsid w:val="005A193A"/>
    <w:rsid w:val="005A2892"/>
    <w:rsid w:val="005A4C43"/>
    <w:rsid w:val="005A5741"/>
    <w:rsid w:val="005A7D98"/>
    <w:rsid w:val="005B3D35"/>
    <w:rsid w:val="005B532B"/>
    <w:rsid w:val="005B7E07"/>
    <w:rsid w:val="005C01A9"/>
    <w:rsid w:val="005C12AD"/>
    <w:rsid w:val="005C20E5"/>
    <w:rsid w:val="005C3A67"/>
    <w:rsid w:val="005C56C0"/>
    <w:rsid w:val="005C7D74"/>
    <w:rsid w:val="005D0884"/>
    <w:rsid w:val="005D1684"/>
    <w:rsid w:val="005D1A6A"/>
    <w:rsid w:val="005D6371"/>
    <w:rsid w:val="005D721F"/>
    <w:rsid w:val="005F23F9"/>
    <w:rsid w:val="005F2445"/>
    <w:rsid w:val="005F3ABB"/>
    <w:rsid w:val="005F6E36"/>
    <w:rsid w:val="005F703D"/>
    <w:rsid w:val="00605089"/>
    <w:rsid w:val="00606F3D"/>
    <w:rsid w:val="00610790"/>
    <w:rsid w:val="00611B34"/>
    <w:rsid w:val="0061393B"/>
    <w:rsid w:val="0061475F"/>
    <w:rsid w:val="00614AAD"/>
    <w:rsid w:val="00614F38"/>
    <w:rsid w:val="00617341"/>
    <w:rsid w:val="00621426"/>
    <w:rsid w:val="00621B75"/>
    <w:rsid w:val="00622B16"/>
    <w:rsid w:val="0062529F"/>
    <w:rsid w:val="00626053"/>
    <w:rsid w:val="00626D1A"/>
    <w:rsid w:val="0062749E"/>
    <w:rsid w:val="00627593"/>
    <w:rsid w:val="00630B60"/>
    <w:rsid w:val="00631C59"/>
    <w:rsid w:val="00634A1B"/>
    <w:rsid w:val="00634DB9"/>
    <w:rsid w:val="0063566C"/>
    <w:rsid w:val="0063621D"/>
    <w:rsid w:val="00641621"/>
    <w:rsid w:val="006437E9"/>
    <w:rsid w:val="00646EEF"/>
    <w:rsid w:val="006505AA"/>
    <w:rsid w:val="00651522"/>
    <w:rsid w:val="00652EBD"/>
    <w:rsid w:val="006539B1"/>
    <w:rsid w:val="00653B3B"/>
    <w:rsid w:val="00655A75"/>
    <w:rsid w:val="006577ED"/>
    <w:rsid w:val="00665040"/>
    <w:rsid w:val="00665429"/>
    <w:rsid w:val="00665E6D"/>
    <w:rsid w:val="0066747A"/>
    <w:rsid w:val="00672129"/>
    <w:rsid w:val="0067300A"/>
    <w:rsid w:val="006745B7"/>
    <w:rsid w:val="00680B37"/>
    <w:rsid w:val="00680FC4"/>
    <w:rsid w:val="006814CC"/>
    <w:rsid w:val="006826A6"/>
    <w:rsid w:val="006843B4"/>
    <w:rsid w:val="00684571"/>
    <w:rsid w:val="0068598D"/>
    <w:rsid w:val="0068651F"/>
    <w:rsid w:val="006870B0"/>
    <w:rsid w:val="0069030A"/>
    <w:rsid w:val="00693EE8"/>
    <w:rsid w:val="00694DC1"/>
    <w:rsid w:val="00695209"/>
    <w:rsid w:val="00695242"/>
    <w:rsid w:val="006978FC"/>
    <w:rsid w:val="006A0299"/>
    <w:rsid w:val="006A0595"/>
    <w:rsid w:val="006A0C6E"/>
    <w:rsid w:val="006A1718"/>
    <w:rsid w:val="006A261A"/>
    <w:rsid w:val="006A4903"/>
    <w:rsid w:val="006A694C"/>
    <w:rsid w:val="006A6AD8"/>
    <w:rsid w:val="006A7824"/>
    <w:rsid w:val="006A7D0B"/>
    <w:rsid w:val="006B05E5"/>
    <w:rsid w:val="006B1EA1"/>
    <w:rsid w:val="006B45B2"/>
    <w:rsid w:val="006B5C11"/>
    <w:rsid w:val="006B6496"/>
    <w:rsid w:val="006B73F1"/>
    <w:rsid w:val="006B7AAD"/>
    <w:rsid w:val="006C0CCD"/>
    <w:rsid w:val="006C1DF6"/>
    <w:rsid w:val="006C215F"/>
    <w:rsid w:val="006C4099"/>
    <w:rsid w:val="006C5342"/>
    <w:rsid w:val="006C5EC9"/>
    <w:rsid w:val="006D1046"/>
    <w:rsid w:val="006D3874"/>
    <w:rsid w:val="006D6455"/>
    <w:rsid w:val="006D7ACC"/>
    <w:rsid w:val="006E23BC"/>
    <w:rsid w:val="006E258A"/>
    <w:rsid w:val="006E3120"/>
    <w:rsid w:val="006E3312"/>
    <w:rsid w:val="006E3369"/>
    <w:rsid w:val="006E4BC8"/>
    <w:rsid w:val="006F40D5"/>
    <w:rsid w:val="006F4B62"/>
    <w:rsid w:val="006F557C"/>
    <w:rsid w:val="006F689E"/>
    <w:rsid w:val="006F76E1"/>
    <w:rsid w:val="00700170"/>
    <w:rsid w:val="00700EAF"/>
    <w:rsid w:val="007022DE"/>
    <w:rsid w:val="00703FD6"/>
    <w:rsid w:val="00704C57"/>
    <w:rsid w:val="0071055B"/>
    <w:rsid w:val="0071113B"/>
    <w:rsid w:val="0071151B"/>
    <w:rsid w:val="00711C5D"/>
    <w:rsid w:val="00716DE7"/>
    <w:rsid w:val="0072078B"/>
    <w:rsid w:val="0072181A"/>
    <w:rsid w:val="007218D4"/>
    <w:rsid w:val="00722AE8"/>
    <w:rsid w:val="00724239"/>
    <w:rsid w:val="00724BC7"/>
    <w:rsid w:val="007259D5"/>
    <w:rsid w:val="00730409"/>
    <w:rsid w:val="007337A1"/>
    <w:rsid w:val="00734A90"/>
    <w:rsid w:val="00735B9C"/>
    <w:rsid w:val="0073684E"/>
    <w:rsid w:val="00737143"/>
    <w:rsid w:val="0074072C"/>
    <w:rsid w:val="00741AC9"/>
    <w:rsid w:val="00742310"/>
    <w:rsid w:val="0074308C"/>
    <w:rsid w:val="00743C4D"/>
    <w:rsid w:val="007450F9"/>
    <w:rsid w:val="007500F0"/>
    <w:rsid w:val="00750273"/>
    <w:rsid w:val="007513BD"/>
    <w:rsid w:val="007522E3"/>
    <w:rsid w:val="007529BA"/>
    <w:rsid w:val="00755242"/>
    <w:rsid w:val="0076105D"/>
    <w:rsid w:val="00762A81"/>
    <w:rsid w:val="007676EF"/>
    <w:rsid w:val="00770E81"/>
    <w:rsid w:val="00775436"/>
    <w:rsid w:val="0077652F"/>
    <w:rsid w:val="00780539"/>
    <w:rsid w:val="0078094E"/>
    <w:rsid w:val="00781BA3"/>
    <w:rsid w:val="007821D3"/>
    <w:rsid w:val="007827C4"/>
    <w:rsid w:val="00783E57"/>
    <w:rsid w:val="007844E6"/>
    <w:rsid w:val="00784868"/>
    <w:rsid w:val="00790C04"/>
    <w:rsid w:val="00792B1A"/>
    <w:rsid w:val="00796DCB"/>
    <w:rsid w:val="007974A9"/>
    <w:rsid w:val="007A2C82"/>
    <w:rsid w:val="007A6706"/>
    <w:rsid w:val="007A6A56"/>
    <w:rsid w:val="007A6F6F"/>
    <w:rsid w:val="007A7792"/>
    <w:rsid w:val="007B0E2A"/>
    <w:rsid w:val="007B37AB"/>
    <w:rsid w:val="007B614D"/>
    <w:rsid w:val="007B76F6"/>
    <w:rsid w:val="007C02BE"/>
    <w:rsid w:val="007C0E0C"/>
    <w:rsid w:val="007C3D03"/>
    <w:rsid w:val="007C4B9C"/>
    <w:rsid w:val="007C6887"/>
    <w:rsid w:val="007C6CD2"/>
    <w:rsid w:val="007C74B4"/>
    <w:rsid w:val="007D3181"/>
    <w:rsid w:val="007D561C"/>
    <w:rsid w:val="007D59CD"/>
    <w:rsid w:val="007D5CD5"/>
    <w:rsid w:val="007D6372"/>
    <w:rsid w:val="007D654A"/>
    <w:rsid w:val="007D69C2"/>
    <w:rsid w:val="007E7678"/>
    <w:rsid w:val="007E7854"/>
    <w:rsid w:val="007E7DF0"/>
    <w:rsid w:val="007F09E1"/>
    <w:rsid w:val="007F1969"/>
    <w:rsid w:val="007F1E46"/>
    <w:rsid w:val="007F2251"/>
    <w:rsid w:val="007F2580"/>
    <w:rsid w:val="007F25C7"/>
    <w:rsid w:val="007F5EE5"/>
    <w:rsid w:val="007F777B"/>
    <w:rsid w:val="007F7AD1"/>
    <w:rsid w:val="00800BD6"/>
    <w:rsid w:val="00800F76"/>
    <w:rsid w:val="008011D6"/>
    <w:rsid w:val="008013C7"/>
    <w:rsid w:val="008028B0"/>
    <w:rsid w:val="00804BFE"/>
    <w:rsid w:val="00805592"/>
    <w:rsid w:val="008061F0"/>
    <w:rsid w:val="00807340"/>
    <w:rsid w:val="008116D1"/>
    <w:rsid w:val="00811C7B"/>
    <w:rsid w:val="008163BB"/>
    <w:rsid w:val="00820049"/>
    <w:rsid w:val="00821AAF"/>
    <w:rsid w:val="008237F8"/>
    <w:rsid w:val="00825D03"/>
    <w:rsid w:val="008277D6"/>
    <w:rsid w:val="00827930"/>
    <w:rsid w:val="00832AD8"/>
    <w:rsid w:val="0083487A"/>
    <w:rsid w:val="00840698"/>
    <w:rsid w:val="00845145"/>
    <w:rsid w:val="0084516D"/>
    <w:rsid w:val="00846301"/>
    <w:rsid w:val="0084656D"/>
    <w:rsid w:val="00852F2B"/>
    <w:rsid w:val="00853561"/>
    <w:rsid w:val="008548A1"/>
    <w:rsid w:val="008548FC"/>
    <w:rsid w:val="00855004"/>
    <w:rsid w:val="0086295C"/>
    <w:rsid w:val="008649C0"/>
    <w:rsid w:val="00864B05"/>
    <w:rsid w:val="00865A0F"/>
    <w:rsid w:val="008660C5"/>
    <w:rsid w:val="008660ED"/>
    <w:rsid w:val="008667F9"/>
    <w:rsid w:val="00866E80"/>
    <w:rsid w:val="00866EEB"/>
    <w:rsid w:val="00866F51"/>
    <w:rsid w:val="00870749"/>
    <w:rsid w:val="00870C13"/>
    <w:rsid w:val="008710FF"/>
    <w:rsid w:val="00873BDD"/>
    <w:rsid w:val="00874B41"/>
    <w:rsid w:val="00881E55"/>
    <w:rsid w:val="00883A3C"/>
    <w:rsid w:val="0088548E"/>
    <w:rsid w:val="00885D44"/>
    <w:rsid w:val="008877FE"/>
    <w:rsid w:val="00887BC2"/>
    <w:rsid w:val="00890003"/>
    <w:rsid w:val="0089056B"/>
    <w:rsid w:val="00895999"/>
    <w:rsid w:val="00895B62"/>
    <w:rsid w:val="008971DD"/>
    <w:rsid w:val="00897327"/>
    <w:rsid w:val="00897AEF"/>
    <w:rsid w:val="008A1531"/>
    <w:rsid w:val="008A1556"/>
    <w:rsid w:val="008A1E2A"/>
    <w:rsid w:val="008A2BD9"/>
    <w:rsid w:val="008A33AD"/>
    <w:rsid w:val="008A59D2"/>
    <w:rsid w:val="008A60B5"/>
    <w:rsid w:val="008A6A60"/>
    <w:rsid w:val="008B0AD5"/>
    <w:rsid w:val="008B13D8"/>
    <w:rsid w:val="008B41C2"/>
    <w:rsid w:val="008B5F72"/>
    <w:rsid w:val="008B7535"/>
    <w:rsid w:val="008B79E4"/>
    <w:rsid w:val="008C2922"/>
    <w:rsid w:val="008C373A"/>
    <w:rsid w:val="008C38F1"/>
    <w:rsid w:val="008C7291"/>
    <w:rsid w:val="008D3A8A"/>
    <w:rsid w:val="008E1C68"/>
    <w:rsid w:val="008E4C40"/>
    <w:rsid w:val="008E69EF"/>
    <w:rsid w:val="008E6F07"/>
    <w:rsid w:val="008F1097"/>
    <w:rsid w:val="008F10A1"/>
    <w:rsid w:val="008F1CB6"/>
    <w:rsid w:val="008F594F"/>
    <w:rsid w:val="009019EB"/>
    <w:rsid w:val="0090292B"/>
    <w:rsid w:val="00905103"/>
    <w:rsid w:val="00906323"/>
    <w:rsid w:val="00912FC6"/>
    <w:rsid w:val="0091403B"/>
    <w:rsid w:val="009159E6"/>
    <w:rsid w:val="00917B30"/>
    <w:rsid w:val="009212A0"/>
    <w:rsid w:val="00923C70"/>
    <w:rsid w:val="009250EC"/>
    <w:rsid w:val="00931F15"/>
    <w:rsid w:val="00932D58"/>
    <w:rsid w:val="009333B3"/>
    <w:rsid w:val="00935337"/>
    <w:rsid w:val="009367D8"/>
    <w:rsid w:val="009368EA"/>
    <w:rsid w:val="00936AC0"/>
    <w:rsid w:val="009417C4"/>
    <w:rsid w:val="009431A2"/>
    <w:rsid w:val="00943896"/>
    <w:rsid w:val="00943EA9"/>
    <w:rsid w:val="00944630"/>
    <w:rsid w:val="00945D81"/>
    <w:rsid w:val="00945FFA"/>
    <w:rsid w:val="00946311"/>
    <w:rsid w:val="00946A86"/>
    <w:rsid w:val="00951E0F"/>
    <w:rsid w:val="00952814"/>
    <w:rsid w:val="00952E2D"/>
    <w:rsid w:val="00953C07"/>
    <w:rsid w:val="00954213"/>
    <w:rsid w:val="0095728B"/>
    <w:rsid w:val="00961F2C"/>
    <w:rsid w:val="00964074"/>
    <w:rsid w:val="00966185"/>
    <w:rsid w:val="00967917"/>
    <w:rsid w:val="00970B8C"/>
    <w:rsid w:val="00972F05"/>
    <w:rsid w:val="00975C37"/>
    <w:rsid w:val="00977757"/>
    <w:rsid w:val="0098113F"/>
    <w:rsid w:val="009816D9"/>
    <w:rsid w:val="009823A4"/>
    <w:rsid w:val="00990CE7"/>
    <w:rsid w:val="009919DC"/>
    <w:rsid w:val="00992E5E"/>
    <w:rsid w:val="009A186A"/>
    <w:rsid w:val="009A3081"/>
    <w:rsid w:val="009A513F"/>
    <w:rsid w:val="009A5ECB"/>
    <w:rsid w:val="009A65F3"/>
    <w:rsid w:val="009A69D2"/>
    <w:rsid w:val="009B01C4"/>
    <w:rsid w:val="009B20CD"/>
    <w:rsid w:val="009B64D4"/>
    <w:rsid w:val="009B7085"/>
    <w:rsid w:val="009B7651"/>
    <w:rsid w:val="009B76F8"/>
    <w:rsid w:val="009C51EA"/>
    <w:rsid w:val="009C5DA7"/>
    <w:rsid w:val="009C7F78"/>
    <w:rsid w:val="009D0B26"/>
    <w:rsid w:val="009D43D4"/>
    <w:rsid w:val="009D4901"/>
    <w:rsid w:val="009D6253"/>
    <w:rsid w:val="009D691A"/>
    <w:rsid w:val="009D72F8"/>
    <w:rsid w:val="009D7FE8"/>
    <w:rsid w:val="009E2A09"/>
    <w:rsid w:val="009E2B68"/>
    <w:rsid w:val="009E2C0B"/>
    <w:rsid w:val="009E514D"/>
    <w:rsid w:val="009F0C0C"/>
    <w:rsid w:val="009F18B1"/>
    <w:rsid w:val="009F5B90"/>
    <w:rsid w:val="009F5F90"/>
    <w:rsid w:val="00A01E6F"/>
    <w:rsid w:val="00A05C39"/>
    <w:rsid w:val="00A07DA0"/>
    <w:rsid w:val="00A11FE2"/>
    <w:rsid w:val="00A148CC"/>
    <w:rsid w:val="00A14F15"/>
    <w:rsid w:val="00A17115"/>
    <w:rsid w:val="00A20925"/>
    <w:rsid w:val="00A24503"/>
    <w:rsid w:val="00A24845"/>
    <w:rsid w:val="00A26D8B"/>
    <w:rsid w:val="00A30F0A"/>
    <w:rsid w:val="00A32E82"/>
    <w:rsid w:val="00A338F3"/>
    <w:rsid w:val="00A3620A"/>
    <w:rsid w:val="00A363EB"/>
    <w:rsid w:val="00A36882"/>
    <w:rsid w:val="00A36979"/>
    <w:rsid w:val="00A37061"/>
    <w:rsid w:val="00A40632"/>
    <w:rsid w:val="00A426BD"/>
    <w:rsid w:val="00A4307F"/>
    <w:rsid w:val="00A4498A"/>
    <w:rsid w:val="00A453A9"/>
    <w:rsid w:val="00A45CFC"/>
    <w:rsid w:val="00A46FD8"/>
    <w:rsid w:val="00A4726E"/>
    <w:rsid w:val="00A5115E"/>
    <w:rsid w:val="00A516AE"/>
    <w:rsid w:val="00A5283D"/>
    <w:rsid w:val="00A550C3"/>
    <w:rsid w:val="00A55A48"/>
    <w:rsid w:val="00A63D50"/>
    <w:rsid w:val="00A74ABE"/>
    <w:rsid w:val="00A75348"/>
    <w:rsid w:val="00A75A87"/>
    <w:rsid w:val="00A77B1D"/>
    <w:rsid w:val="00A80097"/>
    <w:rsid w:val="00A81499"/>
    <w:rsid w:val="00A84460"/>
    <w:rsid w:val="00A84932"/>
    <w:rsid w:val="00A8517D"/>
    <w:rsid w:val="00A85778"/>
    <w:rsid w:val="00A862E3"/>
    <w:rsid w:val="00A86740"/>
    <w:rsid w:val="00A86889"/>
    <w:rsid w:val="00A8697F"/>
    <w:rsid w:val="00A96D6E"/>
    <w:rsid w:val="00AA1C53"/>
    <w:rsid w:val="00AA393B"/>
    <w:rsid w:val="00AA63A5"/>
    <w:rsid w:val="00AA6B1E"/>
    <w:rsid w:val="00AB1E26"/>
    <w:rsid w:val="00AB2740"/>
    <w:rsid w:val="00AB4F5B"/>
    <w:rsid w:val="00AB7A33"/>
    <w:rsid w:val="00AB7A8F"/>
    <w:rsid w:val="00AC2862"/>
    <w:rsid w:val="00AC2DE8"/>
    <w:rsid w:val="00AC31ED"/>
    <w:rsid w:val="00AC36BF"/>
    <w:rsid w:val="00AC404C"/>
    <w:rsid w:val="00AC5EDE"/>
    <w:rsid w:val="00AC61C3"/>
    <w:rsid w:val="00AD19EC"/>
    <w:rsid w:val="00AD31D2"/>
    <w:rsid w:val="00AD49BA"/>
    <w:rsid w:val="00AD4C91"/>
    <w:rsid w:val="00AD7547"/>
    <w:rsid w:val="00AE22C5"/>
    <w:rsid w:val="00AE3159"/>
    <w:rsid w:val="00AE66EC"/>
    <w:rsid w:val="00AE768A"/>
    <w:rsid w:val="00AF2AA3"/>
    <w:rsid w:val="00AF4AB2"/>
    <w:rsid w:val="00AF4E96"/>
    <w:rsid w:val="00B007D7"/>
    <w:rsid w:val="00B00D42"/>
    <w:rsid w:val="00B00EB5"/>
    <w:rsid w:val="00B037D5"/>
    <w:rsid w:val="00B06472"/>
    <w:rsid w:val="00B100D6"/>
    <w:rsid w:val="00B10115"/>
    <w:rsid w:val="00B11963"/>
    <w:rsid w:val="00B12065"/>
    <w:rsid w:val="00B12838"/>
    <w:rsid w:val="00B14858"/>
    <w:rsid w:val="00B1518D"/>
    <w:rsid w:val="00B15B02"/>
    <w:rsid w:val="00B21287"/>
    <w:rsid w:val="00B22C1D"/>
    <w:rsid w:val="00B23557"/>
    <w:rsid w:val="00B26604"/>
    <w:rsid w:val="00B268A9"/>
    <w:rsid w:val="00B303BD"/>
    <w:rsid w:val="00B35796"/>
    <w:rsid w:val="00B43BE1"/>
    <w:rsid w:val="00B445F0"/>
    <w:rsid w:val="00B502EE"/>
    <w:rsid w:val="00B53295"/>
    <w:rsid w:val="00B53D7D"/>
    <w:rsid w:val="00B5405A"/>
    <w:rsid w:val="00B54170"/>
    <w:rsid w:val="00B54D14"/>
    <w:rsid w:val="00B61470"/>
    <w:rsid w:val="00B61D11"/>
    <w:rsid w:val="00B6462C"/>
    <w:rsid w:val="00B67995"/>
    <w:rsid w:val="00B702A6"/>
    <w:rsid w:val="00B70D19"/>
    <w:rsid w:val="00B726DA"/>
    <w:rsid w:val="00B74572"/>
    <w:rsid w:val="00B75B3B"/>
    <w:rsid w:val="00B76D85"/>
    <w:rsid w:val="00B81B48"/>
    <w:rsid w:val="00B8295E"/>
    <w:rsid w:val="00B86491"/>
    <w:rsid w:val="00B86F9E"/>
    <w:rsid w:val="00B9114A"/>
    <w:rsid w:val="00B96328"/>
    <w:rsid w:val="00B97923"/>
    <w:rsid w:val="00B97C72"/>
    <w:rsid w:val="00BA1488"/>
    <w:rsid w:val="00BA275D"/>
    <w:rsid w:val="00BA772B"/>
    <w:rsid w:val="00BA7BC8"/>
    <w:rsid w:val="00BB0E5B"/>
    <w:rsid w:val="00BB0FDF"/>
    <w:rsid w:val="00BB50B2"/>
    <w:rsid w:val="00BC34DF"/>
    <w:rsid w:val="00BC4041"/>
    <w:rsid w:val="00BC6902"/>
    <w:rsid w:val="00BC7920"/>
    <w:rsid w:val="00BD0940"/>
    <w:rsid w:val="00BD2E0D"/>
    <w:rsid w:val="00BD2EB6"/>
    <w:rsid w:val="00BD392F"/>
    <w:rsid w:val="00BD5DA6"/>
    <w:rsid w:val="00BD6B36"/>
    <w:rsid w:val="00BD75C4"/>
    <w:rsid w:val="00BE52B1"/>
    <w:rsid w:val="00BE56AC"/>
    <w:rsid w:val="00BE710B"/>
    <w:rsid w:val="00BE7750"/>
    <w:rsid w:val="00BF0154"/>
    <w:rsid w:val="00BF093B"/>
    <w:rsid w:val="00BF1176"/>
    <w:rsid w:val="00BF1A20"/>
    <w:rsid w:val="00BF22D0"/>
    <w:rsid w:val="00BF43E1"/>
    <w:rsid w:val="00BF6CAC"/>
    <w:rsid w:val="00C01716"/>
    <w:rsid w:val="00C07711"/>
    <w:rsid w:val="00C11CD2"/>
    <w:rsid w:val="00C17418"/>
    <w:rsid w:val="00C17EFB"/>
    <w:rsid w:val="00C219E4"/>
    <w:rsid w:val="00C322DC"/>
    <w:rsid w:val="00C324C0"/>
    <w:rsid w:val="00C40B5B"/>
    <w:rsid w:val="00C46D1C"/>
    <w:rsid w:val="00C50FE2"/>
    <w:rsid w:val="00C51021"/>
    <w:rsid w:val="00C52552"/>
    <w:rsid w:val="00C52A6E"/>
    <w:rsid w:val="00C53B4A"/>
    <w:rsid w:val="00C5638B"/>
    <w:rsid w:val="00C60642"/>
    <w:rsid w:val="00C608F8"/>
    <w:rsid w:val="00C61919"/>
    <w:rsid w:val="00C619A4"/>
    <w:rsid w:val="00C657FB"/>
    <w:rsid w:val="00C66BD4"/>
    <w:rsid w:val="00C71966"/>
    <w:rsid w:val="00C73696"/>
    <w:rsid w:val="00C7462C"/>
    <w:rsid w:val="00C75B7E"/>
    <w:rsid w:val="00C76E86"/>
    <w:rsid w:val="00C775F1"/>
    <w:rsid w:val="00C81D43"/>
    <w:rsid w:val="00C858EC"/>
    <w:rsid w:val="00C90E96"/>
    <w:rsid w:val="00C91328"/>
    <w:rsid w:val="00C97816"/>
    <w:rsid w:val="00CA06E6"/>
    <w:rsid w:val="00CA2DD6"/>
    <w:rsid w:val="00CA3A4A"/>
    <w:rsid w:val="00CA5031"/>
    <w:rsid w:val="00CB70EB"/>
    <w:rsid w:val="00CB7609"/>
    <w:rsid w:val="00CC006B"/>
    <w:rsid w:val="00CC225C"/>
    <w:rsid w:val="00CC5EA2"/>
    <w:rsid w:val="00CC7253"/>
    <w:rsid w:val="00CC7776"/>
    <w:rsid w:val="00CD0C2E"/>
    <w:rsid w:val="00CD0DEC"/>
    <w:rsid w:val="00CD1DE4"/>
    <w:rsid w:val="00CD2FAA"/>
    <w:rsid w:val="00CD33C7"/>
    <w:rsid w:val="00CD4CD8"/>
    <w:rsid w:val="00CD5210"/>
    <w:rsid w:val="00CD6908"/>
    <w:rsid w:val="00CD74BA"/>
    <w:rsid w:val="00CE3E52"/>
    <w:rsid w:val="00CE48D0"/>
    <w:rsid w:val="00CF4EB2"/>
    <w:rsid w:val="00CF4F20"/>
    <w:rsid w:val="00CF5FB7"/>
    <w:rsid w:val="00CF794E"/>
    <w:rsid w:val="00D0203A"/>
    <w:rsid w:val="00D02B7E"/>
    <w:rsid w:val="00D03785"/>
    <w:rsid w:val="00D057C9"/>
    <w:rsid w:val="00D06247"/>
    <w:rsid w:val="00D0665B"/>
    <w:rsid w:val="00D0766C"/>
    <w:rsid w:val="00D077A1"/>
    <w:rsid w:val="00D10773"/>
    <w:rsid w:val="00D11F1B"/>
    <w:rsid w:val="00D12865"/>
    <w:rsid w:val="00D12C2E"/>
    <w:rsid w:val="00D161E1"/>
    <w:rsid w:val="00D174AE"/>
    <w:rsid w:val="00D2119B"/>
    <w:rsid w:val="00D22CD3"/>
    <w:rsid w:val="00D24B0F"/>
    <w:rsid w:val="00D25CD8"/>
    <w:rsid w:val="00D25D1F"/>
    <w:rsid w:val="00D266F6"/>
    <w:rsid w:val="00D26856"/>
    <w:rsid w:val="00D2793E"/>
    <w:rsid w:val="00D30B48"/>
    <w:rsid w:val="00D30EA3"/>
    <w:rsid w:val="00D323E0"/>
    <w:rsid w:val="00D335CE"/>
    <w:rsid w:val="00D338F6"/>
    <w:rsid w:val="00D42001"/>
    <w:rsid w:val="00D422CD"/>
    <w:rsid w:val="00D43B25"/>
    <w:rsid w:val="00D4440C"/>
    <w:rsid w:val="00D46A70"/>
    <w:rsid w:val="00D508CB"/>
    <w:rsid w:val="00D51C49"/>
    <w:rsid w:val="00D5358F"/>
    <w:rsid w:val="00D5430A"/>
    <w:rsid w:val="00D54B5C"/>
    <w:rsid w:val="00D55C5F"/>
    <w:rsid w:val="00D56ADF"/>
    <w:rsid w:val="00D6613B"/>
    <w:rsid w:val="00D67089"/>
    <w:rsid w:val="00D71BD1"/>
    <w:rsid w:val="00D80CFB"/>
    <w:rsid w:val="00D82864"/>
    <w:rsid w:val="00D832C0"/>
    <w:rsid w:val="00D87023"/>
    <w:rsid w:val="00D92A9E"/>
    <w:rsid w:val="00D94595"/>
    <w:rsid w:val="00D94C88"/>
    <w:rsid w:val="00D95119"/>
    <w:rsid w:val="00D970B0"/>
    <w:rsid w:val="00DA33F7"/>
    <w:rsid w:val="00DB10A6"/>
    <w:rsid w:val="00DB3435"/>
    <w:rsid w:val="00DB4594"/>
    <w:rsid w:val="00DB4DD4"/>
    <w:rsid w:val="00DB59AB"/>
    <w:rsid w:val="00DB67EF"/>
    <w:rsid w:val="00DC0D21"/>
    <w:rsid w:val="00DC17E4"/>
    <w:rsid w:val="00DC1D36"/>
    <w:rsid w:val="00DC2FF4"/>
    <w:rsid w:val="00DC37D9"/>
    <w:rsid w:val="00DC40B0"/>
    <w:rsid w:val="00DC4660"/>
    <w:rsid w:val="00DD0B19"/>
    <w:rsid w:val="00DD2EDE"/>
    <w:rsid w:val="00DD37F8"/>
    <w:rsid w:val="00DE1E7E"/>
    <w:rsid w:val="00DE3BE9"/>
    <w:rsid w:val="00DE42E3"/>
    <w:rsid w:val="00DE4DDC"/>
    <w:rsid w:val="00DE50BB"/>
    <w:rsid w:val="00DE59D6"/>
    <w:rsid w:val="00DE7C61"/>
    <w:rsid w:val="00DF08EC"/>
    <w:rsid w:val="00DF13EE"/>
    <w:rsid w:val="00DF2A52"/>
    <w:rsid w:val="00DF4D5C"/>
    <w:rsid w:val="00DF6A0A"/>
    <w:rsid w:val="00DF6BE2"/>
    <w:rsid w:val="00E00B04"/>
    <w:rsid w:val="00E00E71"/>
    <w:rsid w:val="00E0677F"/>
    <w:rsid w:val="00E100EE"/>
    <w:rsid w:val="00E1013D"/>
    <w:rsid w:val="00E1162E"/>
    <w:rsid w:val="00E13C97"/>
    <w:rsid w:val="00E16155"/>
    <w:rsid w:val="00E16E8F"/>
    <w:rsid w:val="00E17963"/>
    <w:rsid w:val="00E21DFF"/>
    <w:rsid w:val="00E223C9"/>
    <w:rsid w:val="00E2415E"/>
    <w:rsid w:val="00E24720"/>
    <w:rsid w:val="00E2524F"/>
    <w:rsid w:val="00E30A6D"/>
    <w:rsid w:val="00E335C8"/>
    <w:rsid w:val="00E33A04"/>
    <w:rsid w:val="00E37878"/>
    <w:rsid w:val="00E41DC1"/>
    <w:rsid w:val="00E4509D"/>
    <w:rsid w:val="00E47AD9"/>
    <w:rsid w:val="00E52083"/>
    <w:rsid w:val="00E532BA"/>
    <w:rsid w:val="00E54341"/>
    <w:rsid w:val="00E560F4"/>
    <w:rsid w:val="00E57173"/>
    <w:rsid w:val="00E57C15"/>
    <w:rsid w:val="00E63231"/>
    <w:rsid w:val="00E64801"/>
    <w:rsid w:val="00E65863"/>
    <w:rsid w:val="00E702D6"/>
    <w:rsid w:val="00E72FAB"/>
    <w:rsid w:val="00E77002"/>
    <w:rsid w:val="00E80579"/>
    <w:rsid w:val="00E80D1B"/>
    <w:rsid w:val="00E8291C"/>
    <w:rsid w:val="00E8315F"/>
    <w:rsid w:val="00E83C51"/>
    <w:rsid w:val="00E83E73"/>
    <w:rsid w:val="00E842A4"/>
    <w:rsid w:val="00E842AB"/>
    <w:rsid w:val="00E846EC"/>
    <w:rsid w:val="00E8524A"/>
    <w:rsid w:val="00E85268"/>
    <w:rsid w:val="00E85415"/>
    <w:rsid w:val="00E85C09"/>
    <w:rsid w:val="00E85E02"/>
    <w:rsid w:val="00E8666B"/>
    <w:rsid w:val="00E908AD"/>
    <w:rsid w:val="00E91398"/>
    <w:rsid w:val="00E93554"/>
    <w:rsid w:val="00E9447B"/>
    <w:rsid w:val="00EA17D4"/>
    <w:rsid w:val="00EA2BDC"/>
    <w:rsid w:val="00EA2D19"/>
    <w:rsid w:val="00EA316B"/>
    <w:rsid w:val="00EA656C"/>
    <w:rsid w:val="00EB11D4"/>
    <w:rsid w:val="00EB17CB"/>
    <w:rsid w:val="00EB2C5D"/>
    <w:rsid w:val="00EB2C79"/>
    <w:rsid w:val="00EB3DD2"/>
    <w:rsid w:val="00EB7FDB"/>
    <w:rsid w:val="00EC01E4"/>
    <w:rsid w:val="00EC0548"/>
    <w:rsid w:val="00EC3803"/>
    <w:rsid w:val="00EC3FF5"/>
    <w:rsid w:val="00EC43D3"/>
    <w:rsid w:val="00EC6491"/>
    <w:rsid w:val="00EC70F1"/>
    <w:rsid w:val="00ED5D34"/>
    <w:rsid w:val="00ED7ABB"/>
    <w:rsid w:val="00ED7E0C"/>
    <w:rsid w:val="00EE0272"/>
    <w:rsid w:val="00EE075B"/>
    <w:rsid w:val="00EE1E2D"/>
    <w:rsid w:val="00EE51C2"/>
    <w:rsid w:val="00EE592D"/>
    <w:rsid w:val="00EE64A9"/>
    <w:rsid w:val="00EE67FE"/>
    <w:rsid w:val="00EE6861"/>
    <w:rsid w:val="00EE6B1B"/>
    <w:rsid w:val="00EE6F8F"/>
    <w:rsid w:val="00EE7953"/>
    <w:rsid w:val="00EF1873"/>
    <w:rsid w:val="00EF418E"/>
    <w:rsid w:val="00EF4771"/>
    <w:rsid w:val="00EF5285"/>
    <w:rsid w:val="00EF5D9D"/>
    <w:rsid w:val="00EF68D0"/>
    <w:rsid w:val="00F0025D"/>
    <w:rsid w:val="00F03087"/>
    <w:rsid w:val="00F03772"/>
    <w:rsid w:val="00F04BE4"/>
    <w:rsid w:val="00F075AD"/>
    <w:rsid w:val="00F07D2A"/>
    <w:rsid w:val="00F111F3"/>
    <w:rsid w:val="00F13195"/>
    <w:rsid w:val="00F14670"/>
    <w:rsid w:val="00F169FA"/>
    <w:rsid w:val="00F2143F"/>
    <w:rsid w:val="00F2273E"/>
    <w:rsid w:val="00F23E23"/>
    <w:rsid w:val="00F242A2"/>
    <w:rsid w:val="00F246B8"/>
    <w:rsid w:val="00F27C1E"/>
    <w:rsid w:val="00F31547"/>
    <w:rsid w:val="00F31A97"/>
    <w:rsid w:val="00F33D16"/>
    <w:rsid w:val="00F33D35"/>
    <w:rsid w:val="00F34275"/>
    <w:rsid w:val="00F34B0F"/>
    <w:rsid w:val="00F3556B"/>
    <w:rsid w:val="00F370CB"/>
    <w:rsid w:val="00F37220"/>
    <w:rsid w:val="00F3743E"/>
    <w:rsid w:val="00F377D2"/>
    <w:rsid w:val="00F37904"/>
    <w:rsid w:val="00F40F2D"/>
    <w:rsid w:val="00F41AAE"/>
    <w:rsid w:val="00F44E64"/>
    <w:rsid w:val="00F45647"/>
    <w:rsid w:val="00F47DD9"/>
    <w:rsid w:val="00F501C1"/>
    <w:rsid w:val="00F5672D"/>
    <w:rsid w:val="00F60E13"/>
    <w:rsid w:val="00F62DAB"/>
    <w:rsid w:val="00F642E4"/>
    <w:rsid w:val="00F6628F"/>
    <w:rsid w:val="00F6713B"/>
    <w:rsid w:val="00F71B4A"/>
    <w:rsid w:val="00F76110"/>
    <w:rsid w:val="00F808F1"/>
    <w:rsid w:val="00F80AB4"/>
    <w:rsid w:val="00F81547"/>
    <w:rsid w:val="00F8389D"/>
    <w:rsid w:val="00F852BD"/>
    <w:rsid w:val="00F85304"/>
    <w:rsid w:val="00F87231"/>
    <w:rsid w:val="00F921EE"/>
    <w:rsid w:val="00F95E08"/>
    <w:rsid w:val="00F96154"/>
    <w:rsid w:val="00FA0679"/>
    <w:rsid w:val="00FA2B37"/>
    <w:rsid w:val="00FA4732"/>
    <w:rsid w:val="00FA589C"/>
    <w:rsid w:val="00FB112E"/>
    <w:rsid w:val="00FB14BA"/>
    <w:rsid w:val="00FB2419"/>
    <w:rsid w:val="00FB27BF"/>
    <w:rsid w:val="00FB39D9"/>
    <w:rsid w:val="00FB3CE8"/>
    <w:rsid w:val="00FB5A0F"/>
    <w:rsid w:val="00FB62D5"/>
    <w:rsid w:val="00FC26F6"/>
    <w:rsid w:val="00FC4119"/>
    <w:rsid w:val="00FC4A8F"/>
    <w:rsid w:val="00FC797D"/>
    <w:rsid w:val="00FD2204"/>
    <w:rsid w:val="00FD34AB"/>
    <w:rsid w:val="00FD3531"/>
    <w:rsid w:val="00FD3B25"/>
    <w:rsid w:val="00FD3DAB"/>
    <w:rsid w:val="00FD40E3"/>
    <w:rsid w:val="00FD4626"/>
    <w:rsid w:val="00FE1CB8"/>
    <w:rsid w:val="00FE4096"/>
    <w:rsid w:val="00FE5D00"/>
    <w:rsid w:val="00FE60F5"/>
    <w:rsid w:val="00FE6F51"/>
    <w:rsid w:val="00FE7D64"/>
    <w:rsid w:val="00FF1422"/>
    <w:rsid w:val="00FF50CB"/>
    <w:rsid w:val="00FF573B"/>
    <w:rsid w:val="00FF7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E6AAF77"/>
  <w15:docId w15:val="{8E0412DE-500F-4EB1-A60E-6BE894DA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56C"/>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22"/>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4081-darbibas-programmas-izaugsme-un-nodarbinatiba-7-2-1-specifiska-atbalsta-merka-palielinat-nodarbinatiba-izglitiba-v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ga.Emule-Konone@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33CF-014F-485B-91A8-81678A4B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7356</Words>
  <Characters>4193</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11526</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Kristaps Ziedins</cp:lastModifiedBy>
  <cp:revision>125</cp:revision>
  <cp:lastPrinted>2015-12-21T09:47:00Z</cp:lastPrinted>
  <dcterms:created xsi:type="dcterms:W3CDTF">2015-12-15T08:17:00Z</dcterms:created>
  <dcterms:modified xsi:type="dcterms:W3CDTF">2015-12-22T11:06:00Z</dcterms:modified>
</cp:coreProperties>
</file>