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D521B0" w:rsidRDefault="00BF1B85" w:rsidP="00BF1B85">
      <w:pPr>
        <w:ind w:firstLine="0"/>
        <w:jc w:val="center"/>
        <w:rPr>
          <w:b/>
          <w:sz w:val="24"/>
          <w:szCs w:val="24"/>
        </w:rPr>
      </w:pPr>
      <w:bookmarkStart w:id="0" w:name="_GoBack"/>
      <w:bookmarkEnd w:id="0"/>
      <w:r w:rsidRPr="00D521B0">
        <w:rPr>
          <w:b/>
          <w:sz w:val="24"/>
          <w:szCs w:val="24"/>
        </w:rPr>
        <w:t>Ministru kabineta noteikumu projekta</w:t>
      </w:r>
    </w:p>
    <w:p w:rsidR="00BF1B85" w:rsidRDefault="00BF1B85" w:rsidP="00E85682">
      <w:pPr>
        <w:ind w:right="-234" w:firstLine="0"/>
        <w:jc w:val="center"/>
        <w:rPr>
          <w:rFonts w:eastAsia="Times New Roman"/>
          <w:b/>
          <w:szCs w:val="28"/>
          <w:lang w:eastAsia="lv-LV"/>
        </w:rPr>
      </w:pPr>
      <w:r w:rsidRPr="00D521B0">
        <w:rPr>
          <w:b/>
          <w:sz w:val="24"/>
          <w:szCs w:val="24"/>
        </w:rPr>
        <w:t>„</w:t>
      </w:r>
      <w:r w:rsidR="00463BC3" w:rsidRPr="00463BC3">
        <w:rPr>
          <w:b/>
          <w:sz w:val="24"/>
          <w:szCs w:val="24"/>
        </w:rPr>
        <w:t>Grozījum</w:t>
      </w:r>
      <w:r w:rsidR="00E26137">
        <w:rPr>
          <w:b/>
          <w:sz w:val="24"/>
          <w:szCs w:val="24"/>
        </w:rPr>
        <w:t>s</w:t>
      </w:r>
      <w:r w:rsidR="00463BC3" w:rsidRPr="00463BC3">
        <w:rPr>
          <w:b/>
          <w:sz w:val="24"/>
          <w:szCs w:val="24"/>
        </w:rPr>
        <w:t xml:space="preserve"> Ministru kabineta 2015.gada 31.marta noteikumos Nr.153 „Noteikumi par pasažieru kategorijām, kuras ir tiesīgas izmantot braukšanas maksas atvieglojumus maršrutu tīkla maršrutos”</w:t>
      </w:r>
      <w:r w:rsidRPr="00D521B0">
        <w:rPr>
          <w:b/>
          <w:sz w:val="24"/>
          <w:szCs w:val="24"/>
        </w:rPr>
        <w:t>” sākotnējās ietekmes novērtējuma ziņojums (anotācija)</w:t>
      </w:r>
      <w:r w:rsidRPr="00D521B0">
        <w:rPr>
          <w:rFonts w:eastAsia="Times New Roman"/>
          <w:b/>
          <w:szCs w:val="28"/>
          <w:lang w:eastAsia="lv-LV"/>
        </w:rPr>
        <w:t xml:space="preserve"> </w:t>
      </w:r>
    </w:p>
    <w:p w:rsidR="00B9701D" w:rsidRDefault="00B9701D" w:rsidP="00E85682">
      <w:pPr>
        <w:ind w:right="-234" w:firstLine="0"/>
        <w:jc w:val="center"/>
        <w:rPr>
          <w:b/>
          <w:sz w:val="24"/>
          <w:szCs w:val="24"/>
        </w:rPr>
      </w:pPr>
    </w:p>
    <w:p w:rsidR="0059471B" w:rsidRPr="00E85682" w:rsidRDefault="0059471B" w:rsidP="00E85682">
      <w:pPr>
        <w:ind w:right="-234" w:firstLine="0"/>
        <w:jc w:val="center"/>
        <w:rPr>
          <w:b/>
          <w:sz w:val="24"/>
          <w:szCs w:val="24"/>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3601"/>
        <w:gridCol w:w="67"/>
        <w:gridCol w:w="5052"/>
      </w:tblGrid>
      <w:tr w:rsidR="00D521B0" w:rsidRPr="00D521B0" w:rsidTr="00BF67E8">
        <w:trPr>
          <w:tblCellSpacing w:w="0" w:type="dxa"/>
        </w:trPr>
        <w:tc>
          <w:tcPr>
            <w:tcW w:w="9214" w:type="dxa"/>
            <w:gridSpan w:val="6"/>
            <w:tcBorders>
              <w:top w:val="outset" w:sz="6" w:space="0" w:color="auto"/>
              <w:left w:val="outset" w:sz="6" w:space="0" w:color="auto"/>
              <w:bottom w:val="outset" w:sz="6" w:space="0" w:color="auto"/>
              <w:right w:val="outset" w:sz="6" w:space="0" w:color="auto"/>
            </w:tcBorders>
            <w:vAlign w:val="center"/>
          </w:tcPr>
          <w:p w:rsidR="00BF1B85" w:rsidRPr="00D521B0" w:rsidRDefault="00BF1B85" w:rsidP="00463BC3">
            <w:pPr>
              <w:spacing w:line="240" w:lineRule="auto"/>
              <w:ind w:firstLine="0"/>
              <w:jc w:val="center"/>
              <w:rPr>
                <w:rFonts w:eastAsia="Times New Roman"/>
                <w:sz w:val="24"/>
                <w:szCs w:val="24"/>
                <w:lang w:eastAsia="lv-LV"/>
              </w:rPr>
            </w:pPr>
            <w:r w:rsidRPr="00D521B0">
              <w:rPr>
                <w:rFonts w:eastAsia="Times New Roman"/>
                <w:b/>
                <w:bCs/>
                <w:sz w:val="24"/>
                <w:szCs w:val="24"/>
                <w:lang w:eastAsia="lv-LV"/>
              </w:rPr>
              <w:t>I. Tiesību akta projekta izstrādes nepieciešamība</w:t>
            </w:r>
          </w:p>
        </w:tc>
      </w:tr>
      <w:tr w:rsidR="00D521B0" w:rsidRPr="00D521B0" w:rsidTr="00BF67E8">
        <w:trPr>
          <w:trHeight w:val="735"/>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463BC3">
            <w:pPr>
              <w:spacing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463BC3">
            <w:pPr>
              <w:spacing w:line="240" w:lineRule="auto"/>
              <w:ind w:firstLine="0"/>
              <w:jc w:val="left"/>
              <w:rPr>
                <w:rFonts w:eastAsia="Times New Roman"/>
                <w:sz w:val="24"/>
                <w:szCs w:val="24"/>
                <w:lang w:eastAsia="lv-LV"/>
              </w:rPr>
            </w:pPr>
            <w:r w:rsidRPr="00D521B0">
              <w:rPr>
                <w:rFonts w:eastAsia="Times New Roman"/>
                <w:sz w:val="24"/>
                <w:szCs w:val="24"/>
                <w:lang w:eastAsia="lv-LV"/>
              </w:rPr>
              <w:t> Pamatojums</w:t>
            </w:r>
          </w:p>
          <w:p w:rsidR="00BF1B85" w:rsidRPr="00D521B0" w:rsidRDefault="00BF1B85" w:rsidP="00463BC3">
            <w:pPr>
              <w:spacing w:line="240" w:lineRule="auto"/>
              <w:ind w:firstLine="0"/>
              <w:jc w:val="left"/>
              <w:rPr>
                <w:rFonts w:eastAsia="Times New Roman"/>
                <w:sz w:val="24"/>
                <w:szCs w:val="24"/>
                <w:lang w:eastAsia="lv-LV"/>
              </w:rPr>
            </w:pPr>
          </w:p>
        </w:tc>
        <w:tc>
          <w:tcPr>
            <w:tcW w:w="5052" w:type="dxa"/>
            <w:tcBorders>
              <w:top w:val="outset" w:sz="6" w:space="0" w:color="auto"/>
              <w:left w:val="outset" w:sz="6" w:space="0" w:color="auto"/>
              <w:bottom w:val="outset" w:sz="6" w:space="0" w:color="auto"/>
              <w:right w:val="outset" w:sz="6" w:space="0" w:color="auto"/>
            </w:tcBorders>
          </w:tcPr>
          <w:p w:rsidR="00EA1D5C" w:rsidRPr="00D521B0" w:rsidRDefault="00463BC3" w:rsidP="00463BC3">
            <w:pPr>
              <w:spacing w:line="240" w:lineRule="auto"/>
              <w:ind w:firstLine="0"/>
              <w:rPr>
                <w:rFonts w:eastAsia="Times New Roman"/>
                <w:sz w:val="24"/>
                <w:szCs w:val="24"/>
                <w:lang w:eastAsia="lv-LV"/>
              </w:rPr>
            </w:pPr>
            <w:r w:rsidRPr="00463BC3">
              <w:rPr>
                <w:rFonts w:eastAsia="Times New Roman"/>
                <w:sz w:val="24"/>
                <w:szCs w:val="24"/>
                <w:lang w:eastAsia="lv-LV"/>
              </w:rPr>
              <w:t xml:space="preserve">Sabiedriskā transporta </w:t>
            </w:r>
            <w:r>
              <w:rPr>
                <w:rFonts w:eastAsia="Times New Roman"/>
                <w:sz w:val="24"/>
                <w:szCs w:val="24"/>
                <w:lang w:eastAsia="lv-LV"/>
              </w:rPr>
              <w:t>pakalpojumu likuma 14.panta otrā daļa.</w:t>
            </w:r>
          </w:p>
        </w:tc>
      </w:tr>
      <w:tr w:rsidR="00D521B0" w:rsidRPr="00D521B0" w:rsidTr="00BF67E8">
        <w:trPr>
          <w:trHeight w:val="938"/>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648EA">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Pašreizējā situācija un problēmas, kuru risināšanai tiesību akta projekts izstrādāts, tiesiskā regulējuma mērķis un būtība</w:t>
            </w:r>
          </w:p>
        </w:tc>
        <w:tc>
          <w:tcPr>
            <w:tcW w:w="5052" w:type="dxa"/>
            <w:tcBorders>
              <w:top w:val="outset" w:sz="6" w:space="0" w:color="auto"/>
              <w:left w:val="outset" w:sz="6" w:space="0" w:color="auto"/>
              <w:bottom w:val="outset" w:sz="6" w:space="0" w:color="auto"/>
              <w:right w:val="outset" w:sz="6" w:space="0" w:color="auto"/>
            </w:tcBorders>
          </w:tcPr>
          <w:p w:rsidR="00545F33" w:rsidRPr="00BF67E8" w:rsidRDefault="00463BC3" w:rsidP="009648EA">
            <w:pPr>
              <w:spacing w:line="240" w:lineRule="auto"/>
              <w:ind w:firstLine="501"/>
              <w:rPr>
                <w:rFonts w:eastAsia="Times New Roman"/>
                <w:sz w:val="24"/>
                <w:szCs w:val="24"/>
                <w:lang w:eastAsia="lv-LV"/>
              </w:rPr>
            </w:pPr>
            <w:r w:rsidRPr="00BF67E8">
              <w:rPr>
                <w:rFonts w:eastAsia="Times New Roman"/>
                <w:sz w:val="24"/>
                <w:szCs w:val="24"/>
                <w:lang w:eastAsia="lv-LV"/>
              </w:rPr>
              <w:t>Nepieciešam</w:t>
            </w:r>
            <w:r w:rsidR="009648EA">
              <w:rPr>
                <w:rFonts w:eastAsia="Times New Roman"/>
                <w:sz w:val="24"/>
                <w:szCs w:val="24"/>
                <w:lang w:eastAsia="lv-LV"/>
              </w:rPr>
              <w:t>s izdarīt</w:t>
            </w:r>
            <w:r w:rsidRPr="00BF67E8">
              <w:rPr>
                <w:rFonts w:eastAsia="Times New Roman"/>
                <w:sz w:val="24"/>
                <w:szCs w:val="24"/>
                <w:lang w:eastAsia="lv-LV"/>
              </w:rPr>
              <w:t xml:space="preserve"> </w:t>
            </w:r>
            <w:r w:rsidR="009648EA">
              <w:rPr>
                <w:rFonts w:eastAsia="Times New Roman"/>
                <w:sz w:val="24"/>
                <w:szCs w:val="24"/>
                <w:lang w:eastAsia="lv-LV"/>
              </w:rPr>
              <w:t>grozījumu</w:t>
            </w:r>
            <w:r w:rsidRPr="00BF67E8">
              <w:rPr>
                <w:rFonts w:eastAsia="Times New Roman"/>
                <w:sz w:val="24"/>
                <w:szCs w:val="24"/>
                <w:lang w:eastAsia="lv-LV"/>
              </w:rPr>
              <w:t xml:space="preserve"> Ministru kabineta 2015.gada 31.marta noteikumos Nr.153 „Noteikumi par pasažieru kategorijām, kuras ir tiesīgas izmantot braukšanas maksas atvieglojumus maršrutu tīkla maršrutos”</w:t>
            </w:r>
            <w:r w:rsidR="00484E93" w:rsidRPr="00BF67E8">
              <w:rPr>
                <w:rFonts w:eastAsia="Times New Roman"/>
                <w:sz w:val="24"/>
                <w:szCs w:val="24"/>
                <w:lang w:eastAsia="lv-LV"/>
              </w:rPr>
              <w:t xml:space="preserve"> (turpmāk-Noteikumi)</w:t>
            </w:r>
            <w:r w:rsidR="009648EA">
              <w:rPr>
                <w:rFonts w:eastAsia="Times New Roman"/>
                <w:sz w:val="24"/>
                <w:szCs w:val="24"/>
                <w:lang w:eastAsia="lv-LV"/>
              </w:rPr>
              <w:t xml:space="preserve">, </w:t>
            </w:r>
            <w:r w:rsidR="00484E93" w:rsidRPr="00BF67E8">
              <w:rPr>
                <w:rFonts w:eastAsia="Times New Roman"/>
                <w:sz w:val="24"/>
                <w:szCs w:val="24"/>
                <w:lang w:eastAsia="lv-LV"/>
              </w:rPr>
              <w:t>nosakot pārvadātājiem sistēmas ieviešanas pārej</w:t>
            </w:r>
            <w:r w:rsidR="00BA19DD" w:rsidRPr="00BF67E8">
              <w:rPr>
                <w:rFonts w:eastAsia="Times New Roman"/>
                <w:sz w:val="24"/>
                <w:szCs w:val="24"/>
                <w:lang w:eastAsia="lv-LV"/>
              </w:rPr>
              <w:t>as periodu</w:t>
            </w:r>
            <w:r w:rsidR="009648EA">
              <w:rPr>
                <w:rFonts w:eastAsia="Times New Roman"/>
                <w:sz w:val="24"/>
                <w:szCs w:val="24"/>
                <w:lang w:eastAsia="lv-LV"/>
              </w:rPr>
              <w:t xml:space="preserve"> </w:t>
            </w:r>
            <w:r w:rsidR="00484E93" w:rsidRPr="00BF67E8">
              <w:rPr>
                <w:rFonts w:eastAsia="Times New Roman"/>
                <w:sz w:val="24"/>
                <w:szCs w:val="24"/>
                <w:lang w:eastAsia="lv-LV"/>
              </w:rPr>
              <w:t xml:space="preserve">no 2016.gada 1.janvāra līdz 2016.gada </w:t>
            </w:r>
            <w:r w:rsidR="009648EA">
              <w:rPr>
                <w:rFonts w:eastAsia="Times New Roman"/>
                <w:sz w:val="24"/>
                <w:szCs w:val="24"/>
                <w:lang w:eastAsia="lv-LV"/>
              </w:rPr>
              <w:t>30.jūnijam</w:t>
            </w:r>
            <w:r w:rsidR="00484E93" w:rsidRPr="00BF67E8">
              <w:rPr>
                <w:rFonts w:eastAsia="Times New Roman"/>
                <w:sz w:val="24"/>
                <w:szCs w:val="24"/>
                <w:lang w:eastAsia="lv-LV"/>
              </w:rPr>
              <w:t>.</w:t>
            </w:r>
            <w:r w:rsidR="001D3C54">
              <w:rPr>
                <w:rFonts w:eastAsia="Times New Roman"/>
                <w:sz w:val="24"/>
                <w:szCs w:val="24"/>
                <w:lang w:eastAsia="lv-LV"/>
              </w:rPr>
              <w:t xml:space="preserve"> </w:t>
            </w:r>
          </w:p>
        </w:tc>
      </w:tr>
      <w:tr w:rsidR="00D521B0" w:rsidRPr="00D521B0" w:rsidTr="00BF67E8">
        <w:trPr>
          <w:trHeight w:val="68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Projekta izstrādē iesaistītās institūcijas</w:t>
            </w:r>
          </w:p>
        </w:tc>
        <w:tc>
          <w:tcPr>
            <w:tcW w:w="5052" w:type="dxa"/>
            <w:tcBorders>
              <w:top w:val="outset" w:sz="6" w:space="0" w:color="auto"/>
              <w:left w:val="outset" w:sz="6" w:space="0" w:color="auto"/>
              <w:bottom w:val="outset" w:sz="6" w:space="0" w:color="auto"/>
              <w:right w:val="outset" w:sz="6" w:space="0" w:color="auto"/>
            </w:tcBorders>
          </w:tcPr>
          <w:p w:rsidR="00BF1B85" w:rsidRPr="00BF67E8" w:rsidRDefault="00484E93" w:rsidP="00BF67E8">
            <w:pPr>
              <w:spacing w:line="240" w:lineRule="auto"/>
              <w:ind w:firstLine="0"/>
              <w:jc w:val="left"/>
              <w:rPr>
                <w:rFonts w:eastAsia="Times New Roman"/>
                <w:sz w:val="24"/>
                <w:szCs w:val="24"/>
                <w:lang w:eastAsia="lv-LV"/>
              </w:rPr>
            </w:pPr>
            <w:r w:rsidRPr="00BF67E8">
              <w:rPr>
                <w:rFonts w:eastAsia="Times New Roman"/>
                <w:sz w:val="24"/>
                <w:szCs w:val="24"/>
                <w:lang w:eastAsia="lv-LV"/>
              </w:rPr>
              <w:t>Satiksmes ministrija, VSIA “Autotransporta direkcija”</w:t>
            </w:r>
          </w:p>
        </w:tc>
      </w:tr>
      <w:tr w:rsidR="00D521B0" w:rsidRPr="00D521B0" w:rsidTr="00BF67E8">
        <w:trPr>
          <w:trHeight w:val="380"/>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052" w:type="dxa"/>
            <w:tcBorders>
              <w:top w:val="outset" w:sz="6" w:space="0" w:color="auto"/>
              <w:left w:val="outset" w:sz="6" w:space="0" w:color="auto"/>
              <w:bottom w:val="outset" w:sz="6" w:space="0" w:color="auto"/>
              <w:right w:val="outset" w:sz="6" w:space="0" w:color="auto"/>
            </w:tcBorders>
          </w:tcPr>
          <w:p w:rsidR="00BF1B85" w:rsidRPr="00BF67E8" w:rsidRDefault="00BF1B85" w:rsidP="00BF67E8">
            <w:pPr>
              <w:spacing w:line="240" w:lineRule="auto"/>
              <w:ind w:firstLine="0"/>
              <w:jc w:val="left"/>
              <w:rPr>
                <w:rFonts w:eastAsia="Times New Roman"/>
                <w:sz w:val="24"/>
                <w:szCs w:val="24"/>
                <w:lang w:eastAsia="lv-LV"/>
              </w:rPr>
            </w:pPr>
            <w:r w:rsidRPr="00BF67E8">
              <w:rPr>
                <w:rFonts w:eastAsia="Times New Roman"/>
                <w:sz w:val="24"/>
                <w:szCs w:val="24"/>
                <w:lang w:eastAsia="lv-LV"/>
              </w:rPr>
              <w:t> Nav</w:t>
            </w:r>
          </w:p>
        </w:tc>
      </w:tr>
      <w:tr w:rsidR="00D521B0" w:rsidRPr="00D521B0" w:rsidTr="00BF67E8">
        <w:trPr>
          <w:tblCellSpacing w:w="0" w:type="dxa"/>
        </w:trPr>
        <w:tc>
          <w:tcPr>
            <w:tcW w:w="9214" w:type="dxa"/>
            <w:gridSpan w:val="6"/>
            <w:tcBorders>
              <w:top w:val="outset" w:sz="6" w:space="0" w:color="auto"/>
              <w:left w:val="outset" w:sz="6" w:space="0" w:color="auto"/>
              <w:bottom w:val="outset" w:sz="6" w:space="0" w:color="auto"/>
              <w:right w:val="outset" w:sz="6" w:space="0" w:color="auto"/>
            </w:tcBorders>
            <w:vAlign w:val="center"/>
          </w:tcPr>
          <w:p w:rsidR="00BF67E8" w:rsidRDefault="00BF1B85" w:rsidP="00BF67E8">
            <w:pPr>
              <w:spacing w:line="240" w:lineRule="auto"/>
              <w:ind w:firstLine="0"/>
              <w:jc w:val="center"/>
              <w:rPr>
                <w:rFonts w:eastAsia="Times New Roman"/>
                <w:sz w:val="24"/>
                <w:szCs w:val="24"/>
                <w:lang w:eastAsia="lv-LV"/>
              </w:rPr>
            </w:pPr>
            <w:r w:rsidRPr="00BF67E8">
              <w:rPr>
                <w:rFonts w:eastAsia="Times New Roman"/>
                <w:sz w:val="24"/>
                <w:szCs w:val="24"/>
                <w:lang w:eastAsia="lv-LV"/>
              </w:rPr>
              <w:t> </w:t>
            </w:r>
          </w:p>
          <w:p w:rsidR="00BF1B85" w:rsidRPr="00BF67E8" w:rsidRDefault="00BF1B85" w:rsidP="00BF67E8">
            <w:pPr>
              <w:spacing w:line="240" w:lineRule="auto"/>
              <w:ind w:firstLine="0"/>
              <w:jc w:val="center"/>
              <w:rPr>
                <w:rFonts w:eastAsia="Times New Roman"/>
                <w:b/>
                <w:sz w:val="24"/>
                <w:szCs w:val="24"/>
                <w:lang w:eastAsia="lv-LV"/>
              </w:rPr>
            </w:pPr>
            <w:r w:rsidRPr="00BF67E8">
              <w:rPr>
                <w:rFonts w:eastAsia="Times New Roman"/>
                <w:b/>
                <w:bCs/>
                <w:sz w:val="24"/>
                <w:szCs w:val="24"/>
                <w:lang w:eastAsia="lv-LV"/>
              </w:rPr>
              <w:t>II. Tiesību akta projekta ietekme uz sabiedrību</w:t>
            </w:r>
            <w:r w:rsidRPr="00BF67E8">
              <w:rPr>
                <w:b/>
                <w:bCs/>
                <w:sz w:val="24"/>
                <w:szCs w:val="24"/>
                <w:shd w:val="clear" w:color="auto" w:fill="FFFFFF"/>
              </w:rPr>
              <w:t>, tautsaimniecības attīstību un administratīvo slogu</w:t>
            </w:r>
          </w:p>
        </w:tc>
      </w:tr>
      <w:tr w:rsidR="00D521B0" w:rsidRPr="00D521B0" w:rsidTr="00BF67E8">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611"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Sabiedrības mērķgrupas, kuras tiesiskais regulējums ietekmē vai varētu ietekmēt</w:t>
            </w:r>
          </w:p>
        </w:tc>
        <w:tc>
          <w:tcPr>
            <w:tcW w:w="5119" w:type="dxa"/>
            <w:gridSpan w:val="2"/>
            <w:tcBorders>
              <w:top w:val="outset" w:sz="6" w:space="0" w:color="auto"/>
              <w:left w:val="outset" w:sz="6" w:space="0" w:color="auto"/>
              <w:bottom w:val="outset" w:sz="6" w:space="0" w:color="auto"/>
              <w:right w:val="outset" w:sz="6" w:space="0" w:color="auto"/>
            </w:tcBorders>
          </w:tcPr>
          <w:p w:rsidR="00BF1B85" w:rsidRPr="00BF67E8" w:rsidRDefault="00120A37" w:rsidP="00BF67E8">
            <w:pPr>
              <w:spacing w:line="240" w:lineRule="auto"/>
              <w:rPr>
                <w:rFonts w:eastAsia="Times New Roman"/>
                <w:sz w:val="24"/>
                <w:szCs w:val="24"/>
                <w:lang w:eastAsia="lv-LV"/>
              </w:rPr>
            </w:pPr>
            <w:r w:rsidRPr="00BF67E8">
              <w:rPr>
                <w:rFonts w:eastAsia="Times New Roman"/>
                <w:sz w:val="24"/>
                <w:szCs w:val="24"/>
                <w:lang w:eastAsia="lv-LV"/>
              </w:rPr>
              <w:t xml:space="preserve">Noteikumu projekts attiecas uz </w:t>
            </w:r>
            <w:r w:rsidR="00502441" w:rsidRPr="00BF67E8">
              <w:rPr>
                <w:rFonts w:eastAsia="Times New Roman"/>
                <w:sz w:val="24"/>
                <w:szCs w:val="24"/>
                <w:lang w:eastAsia="lv-LV"/>
              </w:rPr>
              <w:t>Satiksmes ministriju (VSIA „Autotransporta direkciju), Labklājības ministriju (Veselības un darbspēju ekspertīzes ārstu valsts komisiju, Valsts bērnu tiesību aizsardzības inspekciju), Iekšlietu ministriju (Pilsonības un migrācijas lietu pārvaldi), sabiedriskā transporta pakalpojumu sniedzējiem, norēķinu līdzekļa izsniedzējiem un pieņēmējiem.</w:t>
            </w:r>
          </w:p>
        </w:tc>
      </w:tr>
      <w:tr w:rsidR="00D521B0" w:rsidRPr="00D521B0" w:rsidTr="00BF67E8">
        <w:trPr>
          <w:trHeight w:val="523"/>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611"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Tiesiskā regulējuma ietekme uz tautsaimniecību un administratīvo slogu</w:t>
            </w:r>
          </w:p>
        </w:tc>
        <w:tc>
          <w:tcPr>
            <w:tcW w:w="5119" w:type="dxa"/>
            <w:gridSpan w:val="2"/>
            <w:tcBorders>
              <w:top w:val="outset" w:sz="6" w:space="0" w:color="auto"/>
              <w:left w:val="outset" w:sz="6" w:space="0" w:color="auto"/>
              <w:bottom w:val="outset" w:sz="6" w:space="0" w:color="auto"/>
              <w:right w:val="outset" w:sz="6" w:space="0" w:color="auto"/>
            </w:tcBorders>
          </w:tcPr>
          <w:p w:rsidR="00BF4006" w:rsidRPr="00BF67E8" w:rsidRDefault="00BF4006" w:rsidP="00BF67E8">
            <w:pPr>
              <w:spacing w:line="240" w:lineRule="auto"/>
              <w:ind w:firstLine="0"/>
              <w:rPr>
                <w:sz w:val="24"/>
                <w:szCs w:val="24"/>
              </w:rPr>
            </w:pPr>
            <w:r w:rsidRPr="00BF67E8">
              <w:rPr>
                <w:sz w:val="24"/>
                <w:szCs w:val="24"/>
              </w:rPr>
              <w:t xml:space="preserve">Administratīvo izmaksu samazinājums gada laikā autopārvadātājiem nepārsniedz 2000 </w:t>
            </w:r>
            <w:r w:rsidRPr="00BF67E8">
              <w:rPr>
                <w:i/>
                <w:sz w:val="24"/>
                <w:szCs w:val="24"/>
              </w:rPr>
              <w:t>euro</w:t>
            </w:r>
            <w:r w:rsidRPr="00BF67E8">
              <w:rPr>
                <w:sz w:val="24"/>
                <w:szCs w:val="24"/>
              </w:rPr>
              <w:t xml:space="preserve">. </w:t>
            </w:r>
          </w:p>
          <w:p w:rsidR="00BF1B85" w:rsidRPr="00BF67E8" w:rsidRDefault="00BF4006" w:rsidP="00BF67E8">
            <w:pPr>
              <w:spacing w:line="240" w:lineRule="auto"/>
              <w:ind w:firstLine="0"/>
              <w:rPr>
                <w:sz w:val="24"/>
                <w:szCs w:val="24"/>
              </w:rPr>
            </w:pPr>
            <w:r w:rsidRPr="00BF67E8">
              <w:rPr>
                <w:sz w:val="24"/>
                <w:szCs w:val="24"/>
              </w:rPr>
              <w:t>Tiesiskais regulējums Autotransporta direkcijai nerada papildus izmaksas saistībā ar informācijas pieņemšanas, apstrādes vai uzglabāšanas pienākumiem.</w:t>
            </w:r>
          </w:p>
        </w:tc>
      </w:tr>
      <w:tr w:rsidR="00D521B0" w:rsidRPr="00D521B0" w:rsidTr="00BF67E8">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611"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Administratīvo izmaksu monetārs novērtējums</w:t>
            </w:r>
          </w:p>
        </w:tc>
        <w:tc>
          <w:tcPr>
            <w:tcW w:w="5119" w:type="dxa"/>
            <w:gridSpan w:val="2"/>
            <w:tcBorders>
              <w:top w:val="outset" w:sz="6" w:space="0" w:color="auto"/>
              <w:left w:val="outset" w:sz="6" w:space="0" w:color="auto"/>
              <w:bottom w:val="outset" w:sz="6" w:space="0" w:color="auto"/>
              <w:right w:val="outset" w:sz="6" w:space="0" w:color="auto"/>
            </w:tcBorders>
          </w:tcPr>
          <w:p w:rsidR="00F46BF8" w:rsidRPr="00BF67E8" w:rsidRDefault="00502441" w:rsidP="00BF67E8">
            <w:pPr>
              <w:spacing w:line="240" w:lineRule="auto"/>
              <w:ind w:firstLine="0"/>
              <w:rPr>
                <w:rFonts w:eastAsia="Times New Roman"/>
                <w:sz w:val="24"/>
                <w:szCs w:val="24"/>
                <w:lang w:eastAsia="lv-LV"/>
              </w:rPr>
            </w:pPr>
            <w:r w:rsidRPr="00BF67E8">
              <w:rPr>
                <w:rFonts w:eastAsia="Times New Roman"/>
                <w:sz w:val="24"/>
                <w:szCs w:val="24"/>
                <w:lang w:eastAsia="lv-LV"/>
              </w:rPr>
              <w:t>Projekts šo jomu neskar.</w:t>
            </w:r>
          </w:p>
        </w:tc>
      </w:tr>
      <w:tr w:rsidR="00D521B0" w:rsidRPr="00D521B0" w:rsidTr="00BF67E8">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611"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119" w:type="dxa"/>
            <w:gridSpan w:val="2"/>
            <w:tcBorders>
              <w:top w:val="outset" w:sz="6" w:space="0" w:color="auto"/>
              <w:left w:val="outset" w:sz="6" w:space="0" w:color="auto"/>
              <w:bottom w:val="outset" w:sz="6" w:space="0" w:color="auto"/>
              <w:right w:val="outset" w:sz="6" w:space="0" w:color="auto"/>
            </w:tcBorders>
          </w:tcPr>
          <w:p w:rsidR="00BF1B85" w:rsidRPr="00BF67E8" w:rsidRDefault="00BF1B85" w:rsidP="00BF67E8">
            <w:pPr>
              <w:spacing w:line="240" w:lineRule="auto"/>
              <w:ind w:firstLine="0"/>
              <w:jc w:val="left"/>
              <w:rPr>
                <w:rFonts w:eastAsia="Times New Roman"/>
                <w:sz w:val="24"/>
                <w:szCs w:val="24"/>
                <w:lang w:eastAsia="lv-LV"/>
              </w:rPr>
            </w:pPr>
            <w:r w:rsidRPr="00BF67E8">
              <w:rPr>
                <w:rFonts w:eastAsia="Times New Roman"/>
                <w:sz w:val="24"/>
                <w:szCs w:val="24"/>
                <w:lang w:eastAsia="lv-LV"/>
              </w:rPr>
              <w:t> Nav</w:t>
            </w:r>
          </w:p>
        </w:tc>
      </w:tr>
      <w:tr w:rsidR="00D521B0" w:rsidRPr="00D521B0" w:rsidTr="00BF67E8">
        <w:trPr>
          <w:trHeight w:val="351"/>
          <w:tblCellSpacing w:w="0" w:type="dxa"/>
        </w:trPr>
        <w:tc>
          <w:tcPr>
            <w:tcW w:w="9214" w:type="dxa"/>
            <w:gridSpan w:val="6"/>
            <w:tcBorders>
              <w:top w:val="outset" w:sz="6" w:space="0" w:color="auto"/>
              <w:left w:val="outset" w:sz="6" w:space="0" w:color="auto"/>
              <w:bottom w:val="outset" w:sz="6" w:space="0" w:color="auto"/>
              <w:right w:val="outset" w:sz="6" w:space="0" w:color="auto"/>
            </w:tcBorders>
          </w:tcPr>
          <w:p w:rsidR="00BF67E8" w:rsidRDefault="00BF67E8" w:rsidP="00BF67E8">
            <w:pPr>
              <w:spacing w:line="240" w:lineRule="auto"/>
              <w:ind w:firstLine="0"/>
              <w:jc w:val="center"/>
              <w:rPr>
                <w:rFonts w:eastAsia="Times New Roman"/>
                <w:b/>
                <w:bCs/>
                <w:sz w:val="24"/>
                <w:szCs w:val="24"/>
                <w:lang w:eastAsia="lv-LV"/>
              </w:rPr>
            </w:pPr>
          </w:p>
          <w:p w:rsidR="006951CB" w:rsidRPr="00BF67E8" w:rsidRDefault="006951CB" w:rsidP="00BF67E8">
            <w:pPr>
              <w:spacing w:line="240" w:lineRule="auto"/>
              <w:ind w:firstLine="0"/>
              <w:jc w:val="center"/>
              <w:rPr>
                <w:rFonts w:eastAsia="Times New Roman"/>
                <w:sz w:val="24"/>
                <w:szCs w:val="24"/>
                <w:lang w:eastAsia="lv-LV"/>
              </w:rPr>
            </w:pPr>
            <w:r w:rsidRPr="00BF67E8">
              <w:rPr>
                <w:rFonts w:eastAsia="Times New Roman"/>
                <w:b/>
                <w:bCs/>
                <w:sz w:val="24"/>
                <w:szCs w:val="24"/>
                <w:lang w:eastAsia="lv-LV"/>
              </w:rPr>
              <w:t>VII. Tiesību akta projekta izpildes nodrošināšana un tās ietekme uz institūcijām</w:t>
            </w:r>
          </w:p>
        </w:tc>
      </w:tr>
      <w:tr w:rsidR="00D521B0" w:rsidRPr="00D521B0" w:rsidTr="00BF67E8">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1.</w:t>
            </w:r>
          </w:p>
        </w:tc>
        <w:tc>
          <w:tcPr>
            <w:tcW w:w="3619" w:type="dxa"/>
            <w:gridSpan w:val="3"/>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izpildē iesaistītās institūcijas</w:t>
            </w:r>
          </w:p>
        </w:tc>
        <w:tc>
          <w:tcPr>
            <w:tcW w:w="5119" w:type="dxa"/>
            <w:gridSpan w:val="2"/>
            <w:tcBorders>
              <w:top w:val="outset" w:sz="6" w:space="0" w:color="auto"/>
              <w:left w:val="outset" w:sz="6" w:space="0" w:color="auto"/>
              <w:bottom w:val="outset" w:sz="6" w:space="0" w:color="auto"/>
              <w:right w:val="outset" w:sz="6" w:space="0" w:color="auto"/>
            </w:tcBorders>
          </w:tcPr>
          <w:p w:rsidR="006951CB" w:rsidRPr="00BF67E8" w:rsidRDefault="00853229" w:rsidP="00BF67E8">
            <w:pPr>
              <w:spacing w:line="240" w:lineRule="auto"/>
              <w:ind w:firstLine="0"/>
              <w:rPr>
                <w:rFonts w:eastAsia="Times New Roman"/>
                <w:sz w:val="24"/>
                <w:szCs w:val="24"/>
                <w:lang w:eastAsia="lv-LV"/>
              </w:rPr>
            </w:pPr>
            <w:r w:rsidRPr="00BF67E8">
              <w:rPr>
                <w:rFonts w:eastAsia="Times New Roman"/>
                <w:sz w:val="24"/>
                <w:szCs w:val="24"/>
                <w:lang w:eastAsia="lv-LV"/>
              </w:rPr>
              <w:t>Satiksmes ministrija (VSIA „Autotransporta direkcija), Labklājības ministrija (Veselības un darbspēju ekspertīzes ārstu valsts komisiju, Valsts bērnu tiesību aizsardzības inspekciju), Iekšlietu ministrija (Pilsonība</w:t>
            </w:r>
            <w:r w:rsidR="00620D73" w:rsidRPr="00BF67E8">
              <w:rPr>
                <w:rFonts w:eastAsia="Times New Roman"/>
                <w:sz w:val="24"/>
                <w:szCs w:val="24"/>
                <w:lang w:eastAsia="lv-LV"/>
              </w:rPr>
              <w:t xml:space="preserve">s un migrācijas lietu pārvalde) </w:t>
            </w:r>
            <w:r w:rsidR="00620D73" w:rsidRPr="00BF67E8">
              <w:rPr>
                <w:rFonts w:eastAsia="Times New Roman"/>
                <w:sz w:val="24"/>
                <w:szCs w:val="24"/>
                <w:lang w:eastAsia="lv-LV"/>
              </w:rPr>
              <w:lastRenderedPageBreak/>
              <w:t>sabiedriskā transporta pakalpojumu sniedzēji, norēķinu līdzekļa izsniedzēji un pieņēmēji.</w:t>
            </w:r>
          </w:p>
        </w:tc>
      </w:tr>
      <w:tr w:rsidR="00D521B0" w:rsidRPr="00D521B0" w:rsidTr="00BF67E8">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xml:space="preserve"> 2.</w:t>
            </w:r>
          </w:p>
        </w:tc>
        <w:tc>
          <w:tcPr>
            <w:tcW w:w="3619" w:type="dxa"/>
            <w:gridSpan w:val="3"/>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19" w:type="dxa"/>
            <w:gridSpan w:val="2"/>
            <w:tcBorders>
              <w:top w:val="outset" w:sz="6" w:space="0" w:color="auto"/>
              <w:left w:val="outset" w:sz="6" w:space="0" w:color="auto"/>
              <w:bottom w:val="outset" w:sz="6" w:space="0" w:color="auto"/>
              <w:right w:val="outset" w:sz="6" w:space="0" w:color="auto"/>
            </w:tcBorders>
          </w:tcPr>
          <w:p w:rsidR="006951CB" w:rsidRPr="00BF67E8" w:rsidRDefault="00853229" w:rsidP="00BF67E8">
            <w:pPr>
              <w:spacing w:line="240" w:lineRule="auto"/>
              <w:ind w:left="1" w:firstLine="0"/>
              <w:rPr>
                <w:rFonts w:eastAsia="Times New Roman"/>
                <w:sz w:val="24"/>
                <w:szCs w:val="24"/>
                <w:lang w:eastAsia="lv-LV"/>
              </w:rPr>
            </w:pPr>
            <w:r w:rsidRPr="00BF67E8">
              <w:rPr>
                <w:rFonts w:eastAsia="Times New Roman"/>
                <w:sz w:val="24"/>
                <w:szCs w:val="24"/>
                <w:lang w:eastAsia="lv-LV"/>
              </w:rPr>
              <w:t xml:space="preserve">Projekta izpilde tiks nodrošināta anotācijas </w:t>
            </w:r>
            <w:r w:rsidR="007032C0" w:rsidRPr="00BF67E8">
              <w:rPr>
                <w:rFonts w:eastAsia="Times New Roman"/>
                <w:bCs/>
                <w:sz w:val="24"/>
                <w:szCs w:val="24"/>
                <w:lang w:eastAsia="lv-LV"/>
              </w:rPr>
              <w:t xml:space="preserve">VII. </w:t>
            </w:r>
            <w:r w:rsidRPr="00BF67E8">
              <w:rPr>
                <w:rFonts w:eastAsia="Times New Roman"/>
                <w:bCs/>
                <w:sz w:val="24"/>
                <w:szCs w:val="24"/>
                <w:lang w:eastAsia="lv-LV"/>
              </w:rPr>
              <w:t>sadaļas 1.punktā minēto institūciju līdzšinējo funkciju ietvaros un institūciju cilvēkresursus neietekmēs.</w:t>
            </w:r>
          </w:p>
        </w:tc>
      </w:tr>
      <w:tr w:rsidR="00D521B0" w:rsidRPr="00D521B0" w:rsidTr="00BF67E8">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3.</w:t>
            </w:r>
          </w:p>
        </w:tc>
        <w:tc>
          <w:tcPr>
            <w:tcW w:w="3619" w:type="dxa"/>
            <w:gridSpan w:val="3"/>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5119" w:type="dxa"/>
            <w:gridSpan w:val="2"/>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p>
        </w:tc>
      </w:tr>
    </w:tbl>
    <w:p w:rsidR="0077138F" w:rsidRPr="00D521B0" w:rsidRDefault="0077138F" w:rsidP="00994762">
      <w:pPr>
        <w:pBdr>
          <w:between w:val="single" w:sz="4" w:space="1" w:color="auto"/>
        </w:pBdr>
        <w:spacing w:line="240" w:lineRule="auto"/>
        <w:ind w:firstLine="0"/>
        <w:rPr>
          <w:rFonts w:eastAsia="Times New Roman"/>
          <w:szCs w:val="28"/>
          <w:lang w:eastAsia="lv-LV"/>
        </w:rPr>
      </w:pPr>
    </w:p>
    <w:p w:rsidR="0077138F" w:rsidRPr="00D521B0" w:rsidRDefault="00772142"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853229">
        <w:rPr>
          <w:rFonts w:eastAsia="Times New Roman"/>
          <w:sz w:val="24"/>
          <w:szCs w:val="24"/>
          <w:lang w:eastAsia="lv-LV"/>
        </w:rPr>
        <w:t>,</w:t>
      </w:r>
      <w:r w:rsidR="00853229" w:rsidRPr="00853229">
        <w:rPr>
          <w:rFonts w:eastAsia="Times New Roman"/>
          <w:sz w:val="24"/>
          <w:szCs w:val="24"/>
          <w:lang w:eastAsia="lv-LV"/>
        </w:rPr>
        <w:t>IV</w:t>
      </w:r>
      <w:r w:rsidR="00853229">
        <w:rPr>
          <w:rFonts w:eastAsia="Times New Roman"/>
          <w:sz w:val="24"/>
          <w:szCs w:val="24"/>
          <w:lang w:eastAsia="lv-LV"/>
        </w:rPr>
        <w:t>, V</w:t>
      </w:r>
      <w:r w:rsidR="000232D7">
        <w:rPr>
          <w:rFonts w:eastAsia="Times New Roman"/>
          <w:sz w:val="24"/>
          <w:szCs w:val="24"/>
          <w:lang w:eastAsia="lv-LV"/>
        </w:rPr>
        <w:t xml:space="preserve"> un VI</w:t>
      </w:r>
      <w:r w:rsidR="00853229" w:rsidRPr="00853229">
        <w:rPr>
          <w:rFonts w:eastAsia="Times New Roman"/>
          <w:sz w:val="24"/>
          <w:szCs w:val="24"/>
          <w:lang w:eastAsia="lv-LV"/>
        </w:rPr>
        <w:t xml:space="preserve"> </w:t>
      </w:r>
      <w:r w:rsidR="000232D7">
        <w:rPr>
          <w:rFonts w:eastAsia="Times New Roman"/>
          <w:sz w:val="24"/>
          <w:szCs w:val="24"/>
          <w:lang w:eastAsia="lv-LV"/>
        </w:rPr>
        <w:t>sadaļa – projekts šīs</w:t>
      </w:r>
      <w:r w:rsidR="00620D73">
        <w:rPr>
          <w:rFonts w:eastAsia="Times New Roman"/>
          <w:sz w:val="24"/>
          <w:szCs w:val="24"/>
          <w:lang w:eastAsia="lv-LV"/>
        </w:rPr>
        <w:t xml:space="preserve"> jomas</w:t>
      </w:r>
      <w:r w:rsidR="003373D7" w:rsidRPr="00D521B0">
        <w:rPr>
          <w:rFonts w:eastAsia="Times New Roman"/>
          <w:sz w:val="24"/>
          <w:szCs w:val="24"/>
          <w:lang w:eastAsia="lv-LV"/>
        </w:rPr>
        <w:t xml:space="preserve"> neskar.</w:t>
      </w:r>
    </w:p>
    <w:p w:rsidR="003373D7" w:rsidRPr="00D521B0" w:rsidRDefault="003373D7" w:rsidP="0077138F">
      <w:pPr>
        <w:spacing w:line="240" w:lineRule="auto"/>
        <w:ind w:firstLine="0"/>
        <w:rPr>
          <w:rFonts w:eastAsia="Times New Roman"/>
          <w:szCs w:val="28"/>
          <w:lang w:eastAsia="lv-LV"/>
        </w:rPr>
      </w:pPr>
    </w:p>
    <w:p w:rsidR="003373D7" w:rsidRPr="00D521B0" w:rsidRDefault="003373D7" w:rsidP="00743A0F">
      <w:pPr>
        <w:spacing w:line="240" w:lineRule="auto"/>
        <w:ind w:firstLine="0"/>
        <w:rPr>
          <w:rFonts w:eastAsia="Times New Roman"/>
          <w:szCs w:val="28"/>
          <w:lang w:eastAsia="lv-LV"/>
        </w:rPr>
      </w:pPr>
    </w:p>
    <w:p w:rsidR="000232D7" w:rsidRPr="00A2731F" w:rsidRDefault="000232D7" w:rsidP="000232D7">
      <w:pPr>
        <w:spacing w:line="240" w:lineRule="auto"/>
        <w:ind w:right="-516" w:firstLine="0"/>
        <w:rPr>
          <w:rFonts w:eastAsia="Times New Roman"/>
          <w:szCs w:val="28"/>
          <w:lang w:eastAsia="lv-LV"/>
        </w:rPr>
      </w:pPr>
      <w:r w:rsidRPr="00A2731F">
        <w:rPr>
          <w:rFonts w:eastAsia="Times New Roman"/>
          <w:szCs w:val="28"/>
          <w:lang w:eastAsia="lv-LV"/>
        </w:rPr>
        <w:t>Satiksmes ministra p.i.,</w:t>
      </w:r>
    </w:p>
    <w:p w:rsidR="000232D7" w:rsidRPr="00A2731F" w:rsidRDefault="000232D7" w:rsidP="000232D7">
      <w:pPr>
        <w:spacing w:line="240" w:lineRule="auto"/>
        <w:ind w:right="-516" w:firstLine="0"/>
        <w:rPr>
          <w:rFonts w:eastAsia="Times New Roman"/>
          <w:szCs w:val="28"/>
          <w:lang w:eastAsia="lv-LV"/>
        </w:rPr>
      </w:pPr>
      <w:r w:rsidRPr="00A2731F">
        <w:rPr>
          <w:rFonts w:eastAsia="Times New Roman"/>
          <w:szCs w:val="28"/>
          <w:lang w:eastAsia="lv-LV"/>
        </w:rPr>
        <w:t xml:space="preserve">iekšlietu ministrs                                                            </w:t>
      </w:r>
      <w:r w:rsidRPr="00A2731F">
        <w:rPr>
          <w:rFonts w:eastAsia="Times New Roman"/>
          <w:szCs w:val="28"/>
          <w:lang w:eastAsia="lv-LV"/>
        </w:rPr>
        <w:tab/>
      </w:r>
      <w:r w:rsidRPr="00A2731F">
        <w:rPr>
          <w:rFonts w:eastAsia="Times New Roman"/>
          <w:szCs w:val="28"/>
          <w:lang w:eastAsia="lv-LV"/>
        </w:rPr>
        <w:tab/>
        <w:t>R. Kozlovskis</w:t>
      </w:r>
    </w:p>
    <w:p w:rsidR="000232D7" w:rsidRPr="00A2731F" w:rsidRDefault="000232D7" w:rsidP="000232D7">
      <w:pPr>
        <w:spacing w:line="240" w:lineRule="auto"/>
        <w:ind w:right="-516" w:firstLine="0"/>
        <w:rPr>
          <w:szCs w:val="28"/>
        </w:rPr>
      </w:pPr>
    </w:p>
    <w:p w:rsidR="000232D7" w:rsidRPr="00A2731F" w:rsidRDefault="000232D7" w:rsidP="000232D7">
      <w:pPr>
        <w:spacing w:line="240" w:lineRule="auto"/>
        <w:ind w:right="-516" w:firstLine="0"/>
        <w:rPr>
          <w:szCs w:val="28"/>
        </w:rPr>
      </w:pPr>
    </w:p>
    <w:p w:rsidR="000232D7" w:rsidRPr="00A2731F" w:rsidRDefault="000232D7" w:rsidP="000232D7">
      <w:pPr>
        <w:spacing w:line="256" w:lineRule="auto"/>
        <w:ind w:firstLine="0"/>
        <w:jc w:val="left"/>
        <w:rPr>
          <w:szCs w:val="28"/>
        </w:rPr>
      </w:pPr>
      <w:r w:rsidRPr="00A2731F">
        <w:rPr>
          <w:szCs w:val="28"/>
        </w:rPr>
        <w:t xml:space="preserve">Vīza: valsts sekretārs </w:t>
      </w:r>
      <w:r w:rsidRPr="00A2731F">
        <w:rPr>
          <w:szCs w:val="28"/>
        </w:rPr>
        <w:tab/>
      </w:r>
      <w:r w:rsidRPr="00A2731F">
        <w:rPr>
          <w:szCs w:val="28"/>
        </w:rPr>
        <w:tab/>
      </w:r>
      <w:r w:rsidRPr="00A2731F">
        <w:rPr>
          <w:szCs w:val="28"/>
        </w:rPr>
        <w:tab/>
      </w:r>
      <w:r w:rsidRPr="00A2731F">
        <w:rPr>
          <w:szCs w:val="28"/>
        </w:rPr>
        <w:tab/>
      </w:r>
      <w:r w:rsidRPr="00A2731F">
        <w:rPr>
          <w:szCs w:val="28"/>
        </w:rPr>
        <w:tab/>
      </w:r>
      <w:r w:rsidRPr="00A2731F">
        <w:rPr>
          <w:szCs w:val="28"/>
        </w:rPr>
        <w:tab/>
      </w:r>
      <w:r w:rsidRPr="00A2731F">
        <w:rPr>
          <w:szCs w:val="28"/>
        </w:rPr>
        <w:tab/>
        <w:t>K.Ozoliņš</w:t>
      </w:r>
    </w:p>
    <w:p w:rsidR="0077138F" w:rsidRPr="00463BC3" w:rsidRDefault="0077138F" w:rsidP="00BF1B85">
      <w:pPr>
        <w:pStyle w:val="Header"/>
        <w:ind w:firstLine="0"/>
        <w:rPr>
          <w:sz w:val="22"/>
          <w:highlight w:val="yellow"/>
          <w:lang w:val="lv-LV"/>
        </w:rPr>
      </w:pPr>
    </w:p>
    <w:p w:rsidR="00281070" w:rsidRDefault="00281070" w:rsidP="00FB66F1">
      <w:pPr>
        <w:spacing w:line="240" w:lineRule="auto"/>
        <w:ind w:firstLine="0"/>
      </w:pPr>
    </w:p>
    <w:p w:rsidR="00A2731F" w:rsidRDefault="00A2731F" w:rsidP="00FB66F1">
      <w:pPr>
        <w:spacing w:line="240" w:lineRule="auto"/>
        <w:ind w:firstLine="0"/>
      </w:pPr>
    </w:p>
    <w:p w:rsidR="008347DD" w:rsidRPr="00A2731F" w:rsidRDefault="00ED531A" w:rsidP="00FB66F1">
      <w:pPr>
        <w:spacing w:line="240" w:lineRule="auto"/>
        <w:ind w:firstLine="0"/>
        <w:rPr>
          <w:sz w:val="20"/>
          <w:szCs w:val="20"/>
        </w:rPr>
      </w:pPr>
      <w:r>
        <w:rPr>
          <w:sz w:val="20"/>
          <w:szCs w:val="20"/>
        </w:rPr>
        <w:t>04.01.2016.</w:t>
      </w:r>
      <w:r w:rsidR="00A2731F" w:rsidRPr="00A2731F">
        <w:rPr>
          <w:sz w:val="20"/>
          <w:szCs w:val="20"/>
        </w:rPr>
        <w:t xml:space="preserve"> 1</w:t>
      </w:r>
      <w:r>
        <w:rPr>
          <w:sz w:val="20"/>
          <w:szCs w:val="20"/>
        </w:rPr>
        <w:t>7:14</w:t>
      </w:r>
    </w:p>
    <w:p w:rsidR="00A2731F" w:rsidRPr="00A2731F" w:rsidRDefault="00ED531A" w:rsidP="00FB66F1">
      <w:pPr>
        <w:spacing w:line="240" w:lineRule="auto"/>
        <w:ind w:firstLine="0"/>
        <w:rPr>
          <w:sz w:val="20"/>
          <w:szCs w:val="20"/>
        </w:rPr>
      </w:pPr>
      <w:r>
        <w:rPr>
          <w:sz w:val="20"/>
          <w:szCs w:val="20"/>
        </w:rPr>
        <w:t>343</w:t>
      </w:r>
    </w:p>
    <w:p w:rsidR="008347DD" w:rsidRPr="00A2731F" w:rsidRDefault="008347DD" w:rsidP="008347DD">
      <w:pPr>
        <w:spacing w:line="240" w:lineRule="auto"/>
        <w:ind w:right="154" w:firstLine="0"/>
        <w:rPr>
          <w:sz w:val="20"/>
          <w:szCs w:val="20"/>
        </w:rPr>
      </w:pPr>
      <w:r w:rsidRPr="00A2731F">
        <w:rPr>
          <w:sz w:val="20"/>
          <w:szCs w:val="20"/>
        </w:rPr>
        <w:t>A.Novikova 67028325</w:t>
      </w:r>
    </w:p>
    <w:p w:rsidR="008347DD" w:rsidRPr="00A2731F" w:rsidRDefault="008347DD" w:rsidP="008347DD">
      <w:pPr>
        <w:spacing w:line="240" w:lineRule="auto"/>
        <w:ind w:right="154" w:firstLine="0"/>
        <w:rPr>
          <w:sz w:val="20"/>
          <w:szCs w:val="20"/>
        </w:rPr>
      </w:pPr>
      <w:r w:rsidRPr="00A2731F">
        <w:rPr>
          <w:sz w:val="20"/>
          <w:szCs w:val="20"/>
        </w:rPr>
        <w:t>annija.novikova@sam.gov.lv</w:t>
      </w:r>
    </w:p>
    <w:p w:rsidR="008347DD" w:rsidRPr="00A2731F" w:rsidRDefault="008347DD" w:rsidP="008347DD">
      <w:pPr>
        <w:spacing w:line="240" w:lineRule="auto"/>
        <w:ind w:firstLine="0"/>
        <w:rPr>
          <w:sz w:val="20"/>
          <w:szCs w:val="20"/>
        </w:rPr>
      </w:pPr>
      <w:r w:rsidRPr="00A2731F">
        <w:rPr>
          <w:sz w:val="20"/>
          <w:szCs w:val="20"/>
        </w:rPr>
        <w:t>Brice 67502866</w:t>
      </w:r>
    </w:p>
    <w:p w:rsidR="008347DD" w:rsidRPr="00A2731F" w:rsidRDefault="008347DD" w:rsidP="008347DD">
      <w:pPr>
        <w:spacing w:line="240" w:lineRule="auto"/>
        <w:ind w:firstLine="0"/>
        <w:rPr>
          <w:sz w:val="20"/>
          <w:szCs w:val="20"/>
        </w:rPr>
      </w:pPr>
      <w:r w:rsidRPr="00A2731F">
        <w:rPr>
          <w:sz w:val="20"/>
          <w:szCs w:val="20"/>
        </w:rPr>
        <w:t>Ilze.brice@atd.lv</w:t>
      </w:r>
    </w:p>
    <w:p w:rsidR="008347DD" w:rsidRPr="00A2731F" w:rsidRDefault="008347DD" w:rsidP="00FB66F1">
      <w:pPr>
        <w:spacing w:line="240" w:lineRule="auto"/>
        <w:ind w:firstLine="0"/>
        <w:rPr>
          <w:sz w:val="20"/>
          <w:szCs w:val="20"/>
        </w:rPr>
      </w:pPr>
    </w:p>
    <w:sectPr w:rsidR="008347DD" w:rsidRPr="00A2731F" w:rsidSect="00C56AB6">
      <w:headerReference w:type="default" r:id="rId9"/>
      <w:footerReference w:type="default" r:id="rId10"/>
      <w:footerReference w:type="first" r:id="rId11"/>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D7" w:rsidRDefault="00B74FD7">
      <w:pPr>
        <w:spacing w:line="240" w:lineRule="auto"/>
      </w:pPr>
      <w:r>
        <w:separator/>
      </w:r>
    </w:p>
  </w:endnote>
  <w:endnote w:type="continuationSeparator" w:id="0">
    <w:p w:rsidR="00B74FD7" w:rsidRDefault="00B74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3" w:rsidRDefault="00BD5A43" w:rsidP="00BD5A43">
    <w:pPr>
      <w:pStyle w:val="Footer"/>
      <w:spacing w:line="240" w:lineRule="auto"/>
      <w:ind w:firstLine="0"/>
      <w:rPr>
        <w:sz w:val="20"/>
        <w:szCs w:val="20"/>
        <w:lang w:val="lv-LV"/>
      </w:rPr>
    </w:pPr>
    <w:r>
      <w:rPr>
        <w:sz w:val="20"/>
        <w:szCs w:val="20"/>
        <w:lang w:val="lv-LV"/>
      </w:rPr>
      <w:t>SAMAnot_040116_153</w:t>
    </w:r>
    <w:r w:rsidRPr="00281070">
      <w:rPr>
        <w:sz w:val="20"/>
        <w:szCs w:val="20"/>
        <w:lang w:val="lv-LV"/>
      </w:rPr>
      <w:t>; Minis</w:t>
    </w:r>
    <w:r>
      <w:rPr>
        <w:sz w:val="20"/>
        <w:szCs w:val="20"/>
        <w:lang w:val="lv-LV"/>
      </w:rPr>
      <w:t xml:space="preserve">tru kabineta noteikumu projekta </w:t>
    </w:r>
    <w:r w:rsidRPr="00463BC3">
      <w:rPr>
        <w:sz w:val="20"/>
        <w:szCs w:val="20"/>
        <w:lang w:val="lv-LV"/>
      </w:rPr>
      <w:t>„Grozījum</w:t>
    </w:r>
    <w:r>
      <w:rPr>
        <w:sz w:val="20"/>
        <w:szCs w:val="20"/>
        <w:lang w:val="lv-LV"/>
      </w:rPr>
      <w:t>s</w:t>
    </w:r>
    <w:r w:rsidRPr="00463BC3">
      <w:rPr>
        <w:sz w:val="20"/>
        <w:szCs w:val="20"/>
        <w:lang w:val="lv-LV"/>
      </w:rPr>
      <w:t xml:space="preserve"> Ministru kabineta 2015.gada 31.marta noteikumos Nr.153 „Noteikumi par pasažieru kategorijām, kuras ir tiesīgas izmantot braukšanas maksas atvieglojumus maršrutu tīkla maršrutos”</w:t>
    </w:r>
    <w:r>
      <w:rPr>
        <w:sz w:val="20"/>
        <w:szCs w:val="20"/>
        <w:lang w:val="lv-LV"/>
      </w:rPr>
      <w:t xml:space="preserve">” </w:t>
    </w:r>
    <w:r w:rsidRPr="00281070">
      <w:rPr>
        <w:sz w:val="20"/>
        <w:szCs w:val="20"/>
        <w:lang w:val="lv-LV"/>
      </w:rPr>
      <w:t>sākotnējās ietekmes novērtējuma ziņojums (anotācija)</w:t>
    </w:r>
  </w:p>
  <w:p w:rsidR="00BD5A43" w:rsidRDefault="00BD5A43" w:rsidP="00BD5A43">
    <w:pPr>
      <w:pStyle w:val="Footer"/>
      <w:spacing w:line="240" w:lineRule="auto"/>
      <w:ind w:firstLine="0"/>
      <w:rPr>
        <w:lang w:val="lv-LV"/>
      </w:rPr>
    </w:pPr>
  </w:p>
  <w:p w:rsidR="00BD5A43" w:rsidRPr="00BD5A43" w:rsidRDefault="00BD5A43" w:rsidP="00BD5A43">
    <w:pPr>
      <w:pStyle w:val="Footer"/>
      <w:spacing w:line="240" w:lineRule="auto"/>
      <w:ind w:firstLine="0"/>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03" w:rsidRDefault="008C46B7" w:rsidP="00E85682">
    <w:pPr>
      <w:pStyle w:val="Footer"/>
      <w:spacing w:line="240" w:lineRule="auto"/>
      <w:ind w:firstLine="0"/>
      <w:rPr>
        <w:sz w:val="20"/>
        <w:szCs w:val="20"/>
        <w:lang w:val="lv-LV"/>
      </w:rPr>
    </w:pPr>
    <w:r>
      <w:rPr>
        <w:sz w:val="20"/>
        <w:szCs w:val="20"/>
        <w:lang w:val="lv-LV"/>
      </w:rPr>
      <w:t>SAMAnot_</w:t>
    </w:r>
    <w:r w:rsidR="00BD5A43">
      <w:rPr>
        <w:sz w:val="20"/>
        <w:szCs w:val="20"/>
        <w:lang w:val="lv-LV"/>
      </w:rPr>
      <w:t>040116</w:t>
    </w:r>
    <w:r w:rsidR="00463BC3">
      <w:rPr>
        <w:sz w:val="20"/>
        <w:szCs w:val="20"/>
        <w:lang w:val="lv-LV"/>
      </w:rPr>
      <w:t>_</w:t>
    </w:r>
    <w:r w:rsidR="00B97C90">
      <w:rPr>
        <w:sz w:val="20"/>
        <w:szCs w:val="20"/>
        <w:lang w:val="lv-LV"/>
      </w:rPr>
      <w:t>153</w:t>
    </w:r>
    <w:r w:rsidR="004A0803" w:rsidRPr="00281070">
      <w:rPr>
        <w:sz w:val="20"/>
        <w:szCs w:val="20"/>
        <w:lang w:val="lv-LV"/>
      </w:rPr>
      <w:t>; Minis</w:t>
    </w:r>
    <w:r w:rsidR="00463BC3">
      <w:rPr>
        <w:sz w:val="20"/>
        <w:szCs w:val="20"/>
        <w:lang w:val="lv-LV"/>
      </w:rPr>
      <w:t xml:space="preserve">tru kabineta noteikumu projekta </w:t>
    </w:r>
    <w:r w:rsidR="00463BC3" w:rsidRPr="00463BC3">
      <w:rPr>
        <w:sz w:val="20"/>
        <w:szCs w:val="20"/>
        <w:lang w:val="lv-LV"/>
      </w:rPr>
      <w:t>„Grozījum</w:t>
    </w:r>
    <w:r w:rsidR="00BD5A43">
      <w:rPr>
        <w:sz w:val="20"/>
        <w:szCs w:val="20"/>
        <w:lang w:val="lv-LV"/>
      </w:rPr>
      <w:t>s</w:t>
    </w:r>
    <w:r w:rsidR="00463BC3" w:rsidRPr="00463BC3">
      <w:rPr>
        <w:sz w:val="20"/>
        <w:szCs w:val="20"/>
        <w:lang w:val="lv-LV"/>
      </w:rPr>
      <w:t xml:space="preserve"> Ministru kabineta 2015.gada 31.marta noteikumos Nr.153 „Noteikumi par pasažieru kategorijām, kuras ir tiesīgas izmantot braukšanas maksas atvieglojumus maršrutu tīkla maršrutos”</w:t>
    </w:r>
    <w:r w:rsidR="00463BC3">
      <w:rPr>
        <w:sz w:val="20"/>
        <w:szCs w:val="20"/>
        <w:lang w:val="lv-LV"/>
      </w:rPr>
      <w:t xml:space="preserve">” </w:t>
    </w:r>
    <w:r w:rsidR="004A0803" w:rsidRPr="00281070">
      <w:rPr>
        <w:sz w:val="20"/>
        <w:szCs w:val="20"/>
        <w:lang w:val="lv-LV"/>
      </w:rPr>
      <w:t>sākotnējās ietekmes novērtējuma ziņojums (anotācija)</w:t>
    </w:r>
  </w:p>
  <w:p w:rsidR="0059471B" w:rsidRDefault="0059471B" w:rsidP="00E85682">
    <w:pPr>
      <w:pStyle w:val="Footer"/>
      <w:spacing w:line="240" w:lineRule="auto"/>
      <w:ind w:firstLine="0"/>
    </w:pPr>
  </w:p>
  <w:p w:rsidR="00E85682" w:rsidRDefault="00E856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D7" w:rsidRDefault="00B74FD7">
      <w:pPr>
        <w:spacing w:line="240" w:lineRule="auto"/>
      </w:pPr>
      <w:r>
        <w:separator/>
      </w:r>
    </w:p>
  </w:footnote>
  <w:footnote w:type="continuationSeparator" w:id="0">
    <w:p w:rsidR="00B74FD7" w:rsidRDefault="00B74F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03" w:rsidRDefault="004A0803" w:rsidP="009F0183">
    <w:pPr>
      <w:pStyle w:val="Header"/>
      <w:ind w:firstLine="0"/>
      <w:jc w:val="center"/>
    </w:pPr>
    <w:r>
      <w:fldChar w:fldCharType="begin"/>
    </w:r>
    <w:r>
      <w:instrText xml:space="preserve"> PAGE   \* MERGEFORMAT </w:instrText>
    </w:r>
    <w:r>
      <w:fldChar w:fldCharType="separate"/>
    </w:r>
    <w:r w:rsidR="0041516E">
      <w:rPr>
        <w:noProof/>
      </w:rPr>
      <w:t>2</w:t>
    </w:r>
    <w:r>
      <w:fldChar w:fldCharType="end"/>
    </w:r>
  </w:p>
  <w:p w:rsidR="004A0803" w:rsidRDefault="004A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232D7"/>
    <w:rsid w:val="000357BE"/>
    <w:rsid w:val="00042CBD"/>
    <w:rsid w:val="00057FA2"/>
    <w:rsid w:val="00061DCB"/>
    <w:rsid w:val="00062AC4"/>
    <w:rsid w:val="00065597"/>
    <w:rsid w:val="000A445E"/>
    <w:rsid w:val="000A6878"/>
    <w:rsid w:val="000C4C54"/>
    <w:rsid w:val="000D7548"/>
    <w:rsid w:val="000E384E"/>
    <w:rsid w:val="000E6D08"/>
    <w:rsid w:val="0010204A"/>
    <w:rsid w:val="00120A37"/>
    <w:rsid w:val="00126C4C"/>
    <w:rsid w:val="00160DB4"/>
    <w:rsid w:val="001745A7"/>
    <w:rsid w:val="00180736"/>
    <w:rsid w:val="001926F0"/>
    <w:rsid w:val="001A0521"/>
    <w:rsid w:val="001A6C87"/>
    <w:rsid w:val="001D3294"/>
    <w:rsid w:val="001D3C54"/>
    <w:rsid w:val="00205C2C"/>
    <w:rsid w:val="00206644"/>
    <w:rsid w:val="00213407"/>
    <w:rsid w:val="002171D5"/>
    <w:rsid w:val="00233F4B"/>
    <w:rsid w:val="00234ABE"/>
    <w:rsid w:val="0023776E"/>
    <w:rsid w:val="00281070"/>
    <w:rsid w:val="00294F02"/>
    <w:rsid w:val="002D32E1"/>
    <w:rsid w:val="00314A78"/>
    <w:rsid w:val="003236B0"/>
    <w:rsid w:val="00325C8C"/>
    <w:rsid w:val="003373D7"/>
    <w:rsid w:val="003375B1"/>
    <w:rsid w:val="0034013D"/>
    <w:rsid w:val="003576C3"/>
    <w:rsid w:val="00382AC4"/>
    <w:rsid w:val="003B3FCD"/>
    <w:rsid w:val="003C1081"/>
    <w:rsid w:val="003D6E53"/>
    <w:rsid w:val="003F5FBD"/>
    <w:rsid w:val="003F6EC1"/>
    <w:rsid w:val="0040323E"/>
    <w:rsid w:val="0041516E"/>
    <w:rsid w:val="0042304A"/>
    <w:rsid w:val="00427590"/>
    <w:rsid w:val="00440F04"/>
    <w:rsid w:val="00450330"/>
    <w:rsid w:val="00452AD8"/>
    <w:rsid w:val="00463BC3"/>
    <w:rsid w:val="00477756"/>
    <w:rsid w:val="00484E93"/>
    <w:rsid w:val="00493641"/>
    <w:rsid w:val="00496CAA"/>
    <w:rsid w:val="004A0803"/>
    <w:rsid w:val="004D3D90"/>
    <w:rsid w:val="004D4F2E"/>
    <w:rsid w:val="004E6D57"/>
    <w:rsid w:val="00502441"/>
    <w:rsid w:val="005036C4"/>
    <w:rsid w:val="00505323"/>
    <w:rsid w:val="00515704"/>
    <w:rsid w:val="005302EB"/>
    <w:rsid w:val="0053418C"/>
    <w:rsid w:val="00537673"/>
    <w:rsid w:val="00545F33"/>
    <w:rsid w:val="00553F4A"/>
    <w:rsid w:val="00573443"/>
    <w:rsid w:val="00583189"/>
    <w:rsid w:val="0059046E"/>
    <w:rsid w:val="005924F2"/>
    <w:rsid w:val="0059471B"/>
    <w:rsid w:val="005D17D2"/>
    <w:rsid w:val="005F6670"/>
    <w:rsid w:val="006147E3"/>
    <w:rsid w:val="00616C79"/>
    <w:rsid w:val="00620D73"/>
    <w:rsid w:val="00624909"/>
    <w:rsid w:val="00642717"/>
    <w:rsid w:val="006466C7"/>
    <w:rsid w:val="0064744C"/>
    <w:rsid w:val="00665FBA"/>
    <w:rsid w:val="00667D9A"/>
    <w:rsid w:val="00682737"/>
    <w:rsid w:val="00687344"/>
    <w:rsid w:val="00691184"/>
    <w:rsid w:val="00691D00"/>
    <w:rsid w:val="00692791"/>
    <w:rsid w:val="006951CB"/>
    <w:rsid w:val="006A6D37"/>
    <w:rsid w:val="006C4580"/>
    <w:rsid w:val="006E06E3"/>
    <w:rsid w:val="006E38B5"/>
    <w:rsid w:val="006E47BA"/>
    <w:rsid w:val="00700EF1"/>
    <w:rsid w:val="007032C0"/>
    <w:rsid w:val="007040D8"/>
    <w:rsid w:val="00706ABE"/>
    <w:rsid w:val="007172BA"/>
    <w:rsid w:val="007347AE"/>
    <w:rsid w:val="00742C40"/>
    <w:rsid w:val="00743A0F"/>
    <w:rsid w:val="00763372"/>
    <w:rsid w:val="0077138F"/>
    <w:rsid w:val="007719E4"/>
    <w:rsid w:val="00772142"/>
    <w:rsid w:val="007814DE"/>
    <w:rsid w:val="007836E7"/>
    <w:rsid w:val="00785FB2"/>
    <w:rsid w:val="0079035A"/>
    <w:rsid w:val="007931AC"/>
    <w:rsid w:val="007C2065"/>
    <w:rsid w:val="007C57A4"/>
    <w:rsid w:val="007D0B71"/>
    <w:rsid w:val="00820D80"/>
    <w:rsid w:val="008347DD"/>
    <w:rsid w:val="00853229"/>
    <w:rsid w:val="008666E4"/>
    <w:rsid w:val="00884C8C"/>
    <w:rsid w:val="008A3CFA"/>
    <w:rsid w:val="008C232F"/>
    <w:rsid w:val="008C46B7"/>
    <w:rsid w:val="008E78FD"/>
    <w:rsid w:val="009111D1"/>
    <w:rsid w:val="0094766E"/>
    <w:rsid w:val="0095094F"/>
    <w:rsid w:val="009648EA"/>
    <w:rsid w:val="009676FF"/>
    <w:rsid w:val="00973E8A"/>
    <w:rsid w:val="00977481"/>
    <w:rsid w:val="00994762"/>
    <w:rsid w:val="00997156"/>
    <w:rsid w:val="009977D7"/>
    <w:rsid w:val="009A3274"/>
    <w:rsid w:val="009A3CF9"/>
    <w:rsid w:val="009A426C"/>
    <w:rsid w:val="009C295B"/>
    <w:rsid w:val="009E4FE9"/>
    <w:rsid w:val="009F0183"/>
    <w:rsid w:val="00A176F1"/>
    <w:rsid w:val="00A215E7"/>
    <w:rsid w:val="00A235B5"/>
    <w:rsid w:val="00A2617A"/>
    <w:rsid w:val="00A2667C"/>
    <w:rsid w:val="00A2731F"/>
    <w:rsid w:val="00A47454"/>
    <w:rsid w:val="00A71C2B"/>
    <w:rsid w:val="00A81D9B"/>
    <w:rsid w:val="00A90019"/>
    <w:rsid w:val="00A96C87"/>
    <w:rsid w:val="00AA42CB"/>
    <w:rsid w:val="00AE1869"/>
    <w:rsid w:val="00AF1857"/>
    <w:rsid w:val="00AF7786"/>
    <w:rsid w:val="00B24250"/>
    <w:rsid w:val="00B32EED"/>
    <w:rsid w:val="00B37009"/>
    <w:rsid w:val="00B672F4"/>
    <w:rsid w:val="00B704E7"/>
    <w:rsid w:val="00B71182"/>
    <w:rsid w:val="00B74FD7"/>
    <w:rsid w:val="00B9701D"/>
    <w:rsid w:val="00B97C90"/>
    <w:rsid w:val="00BA19DD"/>
    <w:rsid w:val="00BA60D6"/>
    <w:rsid w:val="00BB79C7"/>
    <w:rsid w:val="00BD5A43"/>
    <w:rsid w:val="00BD5B7A"/>
    <w:rsid w:val="00BF1B85"/>
    <w:rsid w:val="00BF4006"/>
    <w:rsid w:val="00BF67E8"/>
    <w:rsid w:val="00C31818"/>
    <w:rsid w:val="00C56AB6"/>
    <w:rsid w:val="00C80971"/>
    <w:rsid w:val="00C81BC4"/>
    <w:rsid w:val="00C90696"/>
    <w:rsid w:val="00C912D0"/>
    <w:rsid w:val="00CB135A"/>
    <w:rsid w:val="00CB2D16"/>
    <w:rsid w:val="00CC371E"/>
    <w:rsid w:val="00CC3C15"/>
    <w:rsid w:val="00CC4EF4"/>
    <w:rsid w:val="00D05D98"/>
    <w:rsid w:val="00D14393"/>
    <w:rsid w:val="00D27C1C"/>
    <w:rsid w:val="00D334EB"/>
    <w:rsid w:val="00D37FB5"/>
    <w:rsid w:val="00D4560C"/>
    <w:rsid w:val="00D46612"/>
    <w:rsid w:val="00D521B0"/>
    <w:rsid w:val="00D53693"/>
    <w:rsid w:val="00D55FE8"/>
    <w:rsid w:val="00D56C0D"/>
    <w:rsid w:val="00D707FC"/>
    <w:rsid w:val="00D81B14"/>
    <w:rsid w:val="00D87D2E"/>
    <w:rsid w:val="00D93F71"/>
    <w:rsid w:val="00DA66A7"/>
    <w:rsid w:val="00DA73A7"/>
    <w:rsid w:val="00DC4A8C"/>
    <w:rsid w:val="00DD7F3B"/>
    <w:rsid w:val="00DE5DF0"/>
    <w:rsid w:val="00DF5236"/>
    <w:rsid w:val="00DF5C49"/>
    <w:rsid w:val="00DF5F4F"/>
    <w:rsid w:val="00E04958"/>
    <w:rsid w:val="00E17C25"/>
    <w:rsid w:val="00E26137"/>
    <w:rsid w:val="00E321F9"/>
    <w:rsid w:val="00E749E8"/>
    <w:rsid w:val="00E77FBE"/>
    <w:rsid w:val="00E85682"/>
    <w:rsid w:val="00E95E0E"/>
    <w:rsid w:val="00E966E7"/>
    <w:rsid w:val="00EA1D5C"/>
    <w:rsid w:val="00EB6441"/>
    <w:rsid w:val="00ED531A"/>
    <w:rsid w:val="00ED5AD9"/>
    <w:rsid w:val="00EE57CA"/>
    <w:rsid w:val="00F07E95"/>
    <w:rsid w:val="00F16666"/>
    <w:rsid w:val="00F356C7"/>
    <w:rsid w:val="00F45EC7"/>
    <w:rsid w:val="00F46BF8"/>
    <w:rsid w:val="00F514BD"/>
    <w:rsid w:val="00F53691"/>
    <w:rsid w:val="00F56F5B"/>
    <w:rsid w:val="00F70FC4"/>
    <w:rsid w:val="00F72986"/>
    <w:rsid w:val="00F75F5C"/>
    <w:rsid w:val="00F814F4"/>
    <w:rsid w:val="00FB09FC"/>
    <w:rsid w:val="00FB66F1"/>
    <w:rsid w:val="00FE60B6"/>
    <w:rsid w:val="00FE74F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character" w:styleId="CommentReference">
    <w:name w:val="annotation reference"/>
    <w:basedOn w:val="DefaultParagraphFont"/>
    <w:uiPriority w:val="99"/>
    <w:semiHidden/>
    <w:unhideWhenUsed/>
    <w:rsid w:val="00EA1D5C"/>
    <w:rPr>
      <w:sz w:val="16"/>
      <w:szCs w:val="16"/>
    </w:rPr>
  </w:style>
  <w:style w:type="paragraph" w:styleId="CommentText">
    <w:name w:val="annotation text"/>
    <w:basedOn w:val="Normal"/>
    <w:link w:val="CommentTextChar"/>
    <w:uiPriority w:val="99"/>
    <w:semiHidden/>
    <w:unhideWhenUsed/>
    <w:rsid w:val="00EA1D5C"/>
    <w:pPr>
      <w:spacing w:line="240" w:lineRule="auto"/>
    </w:pPr>
    <w:rPr>
      <w:sz w:val="20"/>
      <w:szCs w:val="20"/>
    </w:rPr>
  </w:style>
  <w:style w:type="character" w:customStyle="1" w:styleId="CommentTextChar">
    <w:name w:val="Comment Text Char"/>
    <w:basedOn w:val="DefaultParagraphFont"/>
    <w:link w:val="CommentText"/>
    <w:uiPriority w:val="99"/>
    <w:semiHidden/>
    <w:rsid w:val="00EA1D5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A1D5C"/>
    <w:rPr>
      <w:b/>
      <w:bCs/>
    </w:rPr>
  </w:style>
  <w:style w:type="character" w:customStyle="1" w:styleId="CommentSubjectChar">
    <w:name w:val="Comment Subject Char"/>
    <w:basedOn w:val="CommentTextChar"/>
    <w:link w:val="CommentSubject"/>
    <w:uiPriority w:val="99"/>
    <w:semiHidden/>
    <w:rsid w:val="00EA1D5C"/>
    <w:rPr>
      <w:rFonts w:ascii="Times New Roman" w:hAnsi="Times New Roman"/>
      <w:b/>
      <w:bCs/>
      <w:lang w:eastAsia="en-US"/>
    </w:rPr>
  </w:style>
  <w:style w:type="paragraph" w:styleId="BalloonText">
    <w:name w:val="Balloon Text"/>
    <w:basedOn w:val="Normal"/>
    <w:link w:val="BalloonTextChar"/>
    <w:uiPriority w:val="99"/>
    <w:semiHidden/>
    <w:unhideWhenUsed/>
    <w:rsid w:val="00EA1D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character" w:styleId="CommentReference">
    <w:name w:val="annotation reference"/>
    <w:basedOn w:val="DefaultParagraphFont"/>
    <w:uiPriority w:val="99"/>
    <w:semiHidden/>
    <w:unhideWhenUsed/>
    <w:rsid w:val="00EA1D5C"/>
    <w:rPr>
      <w:sz w:val="16"/>
      <w:szCs w:val="16"/>
    </w:rPr>
  </w:style>
  <w:style w:type="paragraph" w:styleId="CommentText">
    <w:name w:val="annotation text"/>
    <w:basedOn w:val="Normal"/>
    <w:link w:val="CommentTextChar"/>
    <w:uiPriority w:val="99"/>
    <w:semiHidden/>
    <w:unhideWhenUsed/>
    <w:rsid w:val="00EA1D5C"/>
    <w:pPr>
      <w:spacing w:line="240" w:lineRule="auto"/>
    </w:pPr>
    <w:rPr>
      <w:sz w:val="20"/>
      <w:szCs w:val="20"/>
    </w:rPr>
  </w:style>
  <w:style w:type="character" w:customStyle="1" w:styleId="CommentTextChar">
    <w:name w:val="Comment Text Char"/>
    <w:basedOn w:val="DefaultParagraphFont"/>
    <w:link w:val="CommentText"/>
    <w:uiPriority w:val="99"/>
    <w:semiHidden/>
    <w:rsid w:val="00EA1D5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A1D5C"/>
    <w:rPr>
      <w:b/>
      <w:bCs/>
    </w:rPr>
  </w:style>
  <w:style w:type="character" w:customStyle="1" w:styleId="CommentSubjectChar">
    <w:name w:val="Comment Subject Char"/>
    <w:basedOn w:val="CommentTextChar"/>
    <w:link w:val="CommentSubject"/>
    <w:uiPriority w:val="99"/>
    <w:semiHidden/>
    <w:rsid w:val="00EA1D5C"/>
    <w:rPr>
      <w:rFonts w:ascii="Times New Roman" w:hAnsi="Times New Roman"/>
      <w:b/>
      <w:bCs/>
      <w:lang w:eastAsia="en-US"/>
    </w:rPr>
  </w:style>
  <w:style w:type="paragraph" w:styleId="BalloonText">
    <w:name w:val="Balloon Text"/>
    <w:basedOn w:val="Normal"/>
    <w:link w:val="BalloonTextChar"/>
    <w:uiPriority w:val="99"/>
    <w:semiHidden/>
    <w:unhideWhenUsed/>
    <w:rsid w:val="00EA1D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1100">
      <w:bodyDiv w:val="1"/>
      <w:marLeft w:val="0"/>
      <w:marRight w:val="0"/>
      <w:marTop w:val="0"/>
      <w:marBottom w:val="0"/>
      <w:divBdr>
        <w:top w:val="none" w:sz="0" w:space="0" w:color="auto"/>
        <w:left w:val="none" w:sz="0" w:space="0" w:color="auto"/>
        <w:bottom w:val="none" w:sz="0" w:space="0" w:color="auto"/>
        <w:right w:val="none" w:sz="0" w:space="0" w:color="auto"/>
      </w:divBdr>
    </w:div>
    <w:div w:id="1144082901">
      <w:bodyDiv w:val="1"/>
      <w:marLeft w:val="0"/>
      <w:marRight w:val="0"/>
      <w:marTop w:val="0"/>
      <w:marBottom w:val="0"/>
      <w:divBdr>
        <w:top w:val="none" w:sz="0" w:space="0" w:color="auto"/>
        <w:left w:val="none" w:sz="0" w:space="0" w:color="auto"/>
        <w:bottom w:val="none" w:sz="0" w:space="0" w:color="auto"/>
        <w:right w:val="none" w:sz="0" w:space="0" w:color="auto"/>
      </w:divBdr>
    </w:div>
    <w:div w:id="1882743647">
      <w:bodyDiv w:val="1"/>
      <w:marLeft w:val="0"/>
      <w:marRight w:val="0"/>
      <w:marTop w:val="0"/>
      <w:marBottom w:val="0"/>
      <w:divBdr>
        <w:top w:val="none" w:sz="0" w:space="0" w:color="auto"/>
        <w:left w:val="none" w:sz="0" w:space="0" w:color="auto"/>
        <w:bottom w:val="none" w:sz="0" w:space="0" w:color="auto"/>
        <w:right w:val="none" w:sz="0" w:space="0" w:color="auto"/>
      </w:divBdr>
    </w:div>
    <w:div w:id="2063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B038-D63D-4A59-9B06-086B3D81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2027</Words>
  <Characters>1156</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CSDD</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2015.gada 31.marta noteikumos Nr.153 „Noteikumi par pasažieru kategorijām, kuras ir tiesīgas izmantot braukšanas maksas atvieglojumus maršrutu tīkla maršrutos”” sākotnējās ietekmes novērtējuma ziņojums (anotācija)</dc:title>
  <dc:creator>Aivis.O</dc:creator>
  <cp:lastModifiedBy>Lauris Miķelsons</cp:lastModifiedBy>
  <cp:revision>29</cp:revision>
  <dcterms:created xsi:type="dcterms:W3CDTF">2015-12-18T12:51:00Z</dcterms:created>
  <dcterms:modified xsi:type="dcterms:W3CDTF">2016-01-05T06:57:00Z</dcterms:modified>
</cp:coreProperties>
</file>