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6F" w:rsidRPr="00DE0915" w:rsidRDefault="00943F6F" w:rsidP="00DE0915">
      <w:pPr>
        <w:jc w:val="center"/>
        <w:rPr>
          <w:b/>
          <w:bCs/>
          <w:color w:val="000000"/>
          <w:szCs w:val="28"/>
          <w:lang w:eastAsia="lv-LV"/>
        </w:rPr>
      </w:pPr>
      <w:r w:rsidRPr="00DE0915">
        <w:rPr>
          <w:b/>
          <w:bCs/>
          <w:color w:val="000000"/>
          <w:szCs w:val="28"/>
          <w:lang w:eastAsia="lv-LV"/>
        </w:rPr>
        <w:t>Ministru kabineta noteikumu projekta „</w:t>
      </w:r>
      <w:r>
        <w:rPr>
          <w:b/>
          <w:bCs/>
          <w:color w:val="000000"/>
          <w:szCs w:val="28"/>
          <w:lang w:eastAsia="lv-LV"/>
        </w:rPr>
        <w:t>Grozījumi Ministru kabineta 2008. gada 11. marta noteikumos Nr. 173 „Valsts pamatbudžeta valsts autoceļu fonda programmai piešķirto līdzekļu izlietošanas kārtība”</w:t>
      </w:r>
      <w:r w:rsidRPr="00DE0915">
        <w:rPr>
          <w:b/>
          <w:bCs/>
          <w:color w:val="000000"/>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DE0915">
          <w:rPr>
            <w:b/>
            <w:bCs/>
            <w:color w:val="000000"/>
            <w:szCs w:val="28"/>
            <w:lang w:eastAsia="lv-LV"/>
          </w:rPr>
          <w:t>ziņojums</w:t>
        </w:r>
      </w:smartTag>
      <w:r w:rsidRPr="00DE0915">
        <w:rPr>
          <w:b/>
          <w:bCs/>
          <w:color w:val="000000"/>
          <w:szCs w:val="28"/>
          <w:lang w:eastAsia="lv-LV"/>
        </w:rPr>
        <w:t xml:space="preserve"> (anotācija)</w:t>
      </w:r>
    </w:p>
    <w:p w:rsidR="00867EDC" w:rsidRPr="00DE0915" w:rsidRDefault="00867EDC" w:rsidP="00DE0915">
      <w:pPr>
        <w:shd w:val="clear" w:color="auto" w:fill="FFFFFF"/>
        <w:spacing w:before="45" w:line="248" w:lineRule="atLeast"/>
        <w:ind w:firstLine="300"/>
        <w:jc w:val="center"/>
        <w:rPr>
          <w:iCs/>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692"/>
        <w:gridCol w:w="5983"/>
      </w:tblGrid>
      <w:tr w:rsidR="00943F6F" w:rsidRPr="005D57E4" w:rsidTr="00DE0915">
        <w:trPr>
          <w:trHeight w:val="405"/>
        </w:trPr>
        <w:tc>
          <w:tcPr>
            <w:tcW w:w="0" w:type="auto"/>
            <w:gridSpan w:val="3"/>
            <w:tcBorders>
              <w:top w:val="outset" w:sz="6" w:space="0" w:color="414142"/>
              <w:bottom w:val="outset" w:sz="6" w:space="0" w:color="414142"/>
            </w:tcBorders>
            <w:vAlign w:val="center"/>
          </w:tcPr>
          <w:p w:rsidR="00943F6F" w:rsidRPr="005D57E4" w:rsidRDefault="00943F6F" w:rsidP="00DE0915">
            <w:pPr>
              <w:spacing w:before="100" w:beforeAutospacing="1" w:after="100" w:afterAutospacing="1" w:line="293" w:lineRule="atLeast"/>
              <w:jc w:val="center"/>
              <w:rPr>
                <w:b/>
                <w:bCs/>
                <w:color w:val="000000"/>
                <w:szCs w:val="28"/>
                <w:lang w:eastAsia="lv-LV"/>
              </w:rPr>
            </w:pPr>
            <w:r w:rsidRPr="005D57E4">
              <w:rPr>
                <w:b/>
                <w:bCs/>
                <w:color w:val="000000"/>
                <w:szCs w:val="28"/>
                <w:lang w:eastAsia="lv-LV"/>
              </w:rPr>
              <w:t>I Tiesību akta projekta izstrādes nepieciešamība</w:t>
            </w:r>
          </w:p>
        </w:tc>
      </w:tr>
      <w:tr w:rsidR="00943F6F" w:rsidRPr="005D57E4" w:rsidTr="00A139F9">
        <w:trPr>
          <w:trHeight w:val="405"/>
        </w:trPr>
        <w:tc>
          <w:tcPr>
            <w:tcW w:w="250" w:type="pct"/>
            <w:tcBorders>
              <w:top w:val="outset" w:sz="6" w:space="0" w:color="414142"/>
              <w:bottom w:val="outset" w:sz="6" w:space="0" w:color="414142"/>
              <w:right w:val="outset" w:sz="6" w:space="0" w:color="414142"/>
            </w:tcBorders>
          </w:tcPr>
          <w:p w:rsidR="00943F6F" w:rsidRPr="005D57E4" w:rsidRDefault="00943F6F" w:rsidP="00DE0915">
            <w:pPr>
              <w:spacing w:before="100" w:beforeAutospacing="1" w:after="100" w:afterAutospacing="1" w:line="293" w:lineRule="atLeast"/>
              <w:jc w:val="center"/>
              <w:rPr>
                <w:color w:val="000000"/>
                <w:szCs w:val="28"/>
                <w:lang w:eastAsia="lv-LV"/>
              </w:rPr>
            </w:pPr>
            <w:r w:rsidRPr="005D57E4">
              <w:rPr>
                <w:color w:val="000000"/>
                <w:szCs w:val="28"/>
                <w:lang w:eastAsia="lv-LV"/>
              </w:rPr>
              <w:t>1.</w:t>
            </w:r>
          </w:p>
        </w:tc>
        <w:tc>
          <w:tcPr>
            <w:tcW w:w="1474"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Pamatojums</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ind w:firstLine="678"/>
              <w:rPr>
                <w:color w:val="000000"/>
                <w:szCs w:val="28"/>
                <w:lang w:eastAsia="lv-LV"/>
              </w:rPr>
            </w:pPr>
            <w:r w:rsidRPr="005D57E4">
              <w:rPr>
                <w:color w:val="000000"/>
                <w:szCs w:val="28"/>
                <w:lang w:eastAsia="lv-LV"/>
              </w:rPr>
              <w:t xml:space="preserve">Likuma „Par autoceļiem” 12. panta </w:t>
            </w:r>
            <w:r w:rsidR="00200B29" w:rsidRPr="005D57E4">
              <w:rPr>
                <w:color w:val="000000"/>
                <w:szCs w:val="28"/>
                <w:lang w:eastAsia="lv-LV"/>
              </w:rPr>
              <w:t>trešā un septītā</w:t>
            </w:r>
            <w:r w:rsidRPr="005D57E4">
              <w:rPr>
                <w:color w:val="000000"/>
                <w:szCs w:val="28"/>
                <w:lang w:eastAsia="lv-LV"/>
              </w:rPr>
              <w:t xml:space="preserve"> daļa.</w:t>
            </w:r>
          </w:p>
        </w:tc>
      </w:tr>
      <w:tr w:rsidR="00943F6F" w:rsidRPr="005D57E4" w:rsidTr="00A139F9">
        <w:trPr>
          <w:trHeight w:val="465"/>
        </w:trPr>
        <w:tc>
          <w:tcPr>
            <w:tcW w:w="250" w:type="pct"/>
            <w:tcBorders>
              <w:top w:val="outset" w:sz="6" w:space="0" w:color="414142"/>
              <w:bottom w:val="outset" w:sz="6" w:space="0" w:color="414142"/>
              <w:right w:val="outset" w:sz="6" w:space="0" w:color="414142"/>
            </w:tcBorders>
          </w:tcPr>
          <w:p w:rsidR="00943F6F" w:rsidRPr="005D57E4" w:rsidRDefault="00943F6F" w:rsidP="00DE0915">
            <w:pPr>
              <w:spacing w:before="100" w:beforeAutospacing="1" w:after="100" w:afterAutospacing="1" w:line="293" w:lineRule="atLeast"/>
              <w:jc w:val="center"/>
              <w:rPr>
                <w:color w:val="000000"/>
                <w:szCs w:val="28"/>
                <w:lang w:eastAsia="lv-LV"/>
              </w:rPr>
            </w:pPr>
            <w:r w:rsidRPr="005D57E4">
              <w:rPr>
                <w:color w:val="000000"/>
                <w:szCs w:val="28"/>
                <w:lang w:eastAsia="lv-LV"/>
              </w:rPr>
              <w:t>2.</w:t>
            </w:r>
          </w:p>
        </w:tc>
        <w:tc>
          <w:tcPr>
            <w:tcW w:w="1474"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Pašreizējā situācija un problēmas, kuru risināšanai tiesību akta projekts izstrādāts, tiesiskā regulējuma mērķis un būtība</w:t>
            </w:r>
          </w:p>
        </w:tc>
        <w:tc>
          <w:tcPr>
            <w:tcW w:w="3276" w:type="pct"/>
            <w:tcBorders>
              <w:top w:val="outset" w:sz="6" w:space="0" w:color="414142"/>
              <w:left w:val="outset" w:sz="6" w:space="0" w:color="414142"/>
              <w:bottom w:val="outset" w:sz="6" w:space="0" w:color="414142"/>
            </w:tcBorders>
          </w:tcPr>
          <w:p w:rsidR="00415CA0" w:rsidRPr="005D57E4" w:rsidRDefault="00415CA0" w:rsidP="00415CA0">
            <w:pPr>
              <w:ind w:firstLine="720"/>
              <w:jc w:val="both"/>
              <w:rPr>
                <w:color w:val="000000"/>
                <w:szCs w:val="28"/>
              </w:rPr>
            </w:pPr>
            <w:r w:rsidRPr="005D57E4">
              <w:rPr>
                <w:color w:val="000000"/>
                <w:szCs w:val="28"/>
              </w:rPr>
              <w:t xml:space="preserve">1. </w:t>
            </w:r>
            <w:r w:rsidR="009429A1">
              <w:rPr>
                <w:color w:val="000000"/>
                <w:szCs w:val="28"/>
              </w:rPr>
              <w:t>Valsts kontroles revīzijas Nr. </w:t>
            </w:r>
            <w:r w:rsidRPr="005D57E4">
              <w:rPr>
                <w:color w:val="000000"/>
                <w:szCs w:val="28"/>
              </w:rPr>
              <w:t>5.1.-2-32-2/2013</w:t>
            </w:r>
            <w:r w:rsidR="009429A1">
              <w:rPr>
                <w:color w:val="000000"/>
                <w:szCs w:val="28"/>
              </w:rPr>
              <w:t xml:space="preserve"> „Par Latvijas Republikas 2013. </w:t>
            </w:r>
            <w:r w:rsidRPr="005D57E4">
              <w:rPr>
                <w:color w:val="000000"/>
                <w:szCs w:val="28"/>
              </w:rPr>
              <w:t>gada pārskata par valsts budžeta izpildi un par pašvaldību budžetiem pašvaldību gada pārskatu daļu” ziņojuma 238.</w:t>
            </w:r>
            <w:r w:rsidR="009429A1">
              <w:rPr>
                <w:color w:val="000000"/>
                <w:szCs w:val="28"/>
              </w:rPr>
              <w:t> </w:t>
            </w:r>
            <w:r w:rsidRPr="005D57E4">
              <w:rPr>
                <w:color w:val="000000"/>
                <w:szCs w:val="28"/>
              </w:rPr>
              <w:t>punktā Satiksmes ministrijai tika dots ieteikums - lai nodrošinātu patiesu, pilnīgu un salīdzināmu informāciju par mērķdotācijas autoceļu un ielu uzturēšanai izlietojumu un nodrošinātu uzraudzības procesu, Satiksmes ministrijai jāizvērtē nepieciešamība precizēt Ministru kabineta 2008.</w:t>
            </w:r>
            <w:r w:rsidR="009429A1">
              <w:rPr>
                <w:color w:val="000000"/>
                <w:szCs w:val="28"/>
              </w:rPr>
              <w:t>  gada 11. marta noteikumus Nr. </w:t>
            </w:r>
            <w:r w:rsidRPr="005D57E4">
              <w:rPr>
                <w:color w:val="000000"/>
                <w:szCs w:val="28"/>
              </w:rPr>
              <w:t>173 „Valsts pamatbudžeta valsts autoceļu fonda programmai piešķirto līdzekļu izlietošanas kārtība” (turpmāk – Noteikumi Nr.</w:t>
            </w:r>
            <w:r w:rsidR="009429A1">
              <w:rPr>
                <w:color w:val="000000"/>
                <w:szCs w:val="28"/>
              </w:rPr>
              <w:t> </w:t>
            </w:r>
            <w:r w:rsidRPr="005D57E4">
              <w:rPr>
                <w:color w:val="000000"/>
                <w:szCs w:val="28"/>
              </w:rPr>
              <w:t>173), lai, sagatavojot pašvaldību gada pārskatus, tiktu novērstas revīzijā konstatētās kļūdas.</w:t>
            </w:r>
          </w:p>
          <w:p w:rsidR="00415CA0" w:rsidRPr="005D57E4" w:rsidRDefault="00415CA0" w:rsidP="00415CA0">
            <w:pPr>
              <w:ind w:firstLine="720"/>
              <w:jc w:val="both"/>
              <w:rPr>
                <w:color w:val="000000"/>
                <w:szCs w:val="28"/>
              </w:rPr>
            </w:pPr>
            <w:r w:rsidRPr="005D57E4">
              <w:rPr>
                <w:color w:val="000000"/>
                <w:szCs w:val="28"/>
              </w:rPr>
              <w:t>Pamatojoties uz iepriekš minēto, lai samazinātu administratīvo slogu, vienkāršotu pašvaldību atskaišu sagatavošanu un precizētu mērķdotācijas līdzekļu izlietošanas kārtību</w:t>
            </w:r>
            <w:r w:rsidR="00E20B20" w:rsidRPr="005D57E4">
              <w:rPr>
                <w:color w:val="000000"/>
                <w:szCs w:val="28"/>
              </w:rPr>
              <w:t xml:space="preserve">, </w:t>
            </w:r>
            <w:r w:rsidR="00095E3A" w:rsidRPr="005D57E4">
              <w:rPr>
                <w:color w:val="000000"/>
                <w:szCs w:val="28"/>
              </w:rPr>
              <w:t>ar Noteikumu p</w:t>
            </w:r>
            <w:r w:rsidR="00E20B20" w:rsidRPr="005D57E4">
              <w:rPr>
                <w:color w:val="000000"/>
                <w:szCs w:val="28"/>
              </w:rPr>
              <w:t xml:space="preserve">rojektu </w:t>
            </w:r>
            <w:r w:rsidR="00095E3A" w:rsidRPr="005D57E4">
              <w:rPr>
                <w:color w:val="000000"/>
                <w:szCs w:val="28"/>
              </w:rPr>
              <w:t>plānots veikt šādus grozījumus Noteikumos Nr.</w:t>
            </w:r>
            <w:r w:rsidR="009429A1">
              <w:rPr>
                <w:color w:val="000000"/>
                <w:szCs w:val="28"/>
              </w:rPr>
              <w:t> </w:t>
            </w:r>
            <w:r w:rsidR="00095E3A" w:rsidRPr="005D57E4">
              <w:rPr>
                <w:color w:val="000000"/>
                <w:szCs w:val="28"/>
              </w:rPr>
              <w:t>173:</w:t>
            </w:r>
          </w:p>
          <w:p w:rsidR="00943F6F" w:rsidRPr="005D57E4" w:rsidRDefault="00095E3A" w:rsidP="00867EDC">
            <w:pPr>
              <w:ind w:firstLine="720"/>
              <w:jc w:val="both"/>
              <w:rPr>
                <w:szCs w:val="28"/>
              </w:rPr>
            </w:pPr>
            <w:r w:rsidRPr="005D57E4">
              <w:rPr>
                <w:szCs w:val="28"/>
              </w:rPr>
              <w:t xml:space="preserve">1) </w:t>
            </w:r>
            <w:r w:rsidR="00943F6F" w:rsidRPr="005D57E4">
              <w:rPr>
                <w:szCs w:val="28"/>
              </w:rPr>
              <w:t xml:space="preserve">Noteikumu projekts paredz, ka pašvaldības atskaites un vidēja termiņa </w:t>
            </w:r>
            <w:smartTag w:uri="schemas-tilde-lv/tildestengine" w:element="veidnes">
              <w:smartTagPr>
                <w:attr w:name="text" w:val="plāns"/>
                <w:attr w:name="baseform" w:val="plāns"/>
                <w:attr w:name="id" w:val="-1"/>
              </w:smartTagPr>
              <w:r w:rsidR="00943F6F" w:rsidRPr="005D57E4">
                <w:rPr>
                  <w:szCs w:val="28"/>
                </w:rPr>
                <w:t>plāns</w:t>
              </w:r>
            </w:smartTag>
            <w:r w:rsidR="00943F6F" w:rsidRPr="005D57E4">
              <w:rPr>
                <w:szCs w:val="28"/>
              </w:rPr>
              <w:t xml:space="preserve"> būs jāiesniedz elektronisk</w:t>
            </w:r>
            <w:r w:rsidR="00E73CCC" w:rsidRPr="005D57E4">
              <w:rPr>
                <w:szCs w:val="28"/>
              </w:rPr>
              <w:t>ā veidā</w:t>
            </w:r>
            <w:r w:rsidR="00867EDC">
              <w:rPr>
                <w:szCs w:val="28"/>
              </w:rPr>
              <w:t>, kā arī tiek precizēts p</w:t>
            </w:r>
            <w:r w:rsidR="00867EDC" w:rsidRPr="00867EDC">
              <w:rPr>
                <w:szCs w:val="28"/>
              </w:rPr>
              <w:t xml:space="preserve">ārskats par pašvaldību </w:t>
            </w:r>
            <w:r w:rsidR="006F6633">
              <w:rPr>
                <w:szCs w:val="28"/>
              </w:rPr>
              <w:t>auto</w:t>
            </w:r>
            <w:r w:rsidR="00867EDC" w:rsidRPr="00867EDC">
              <w:rPr>
                <w:szCs w:val="28"/>
              </w:rPr>
              <w:t>ceļu un ielu finansēšanai paredzētās mērķdotācijas izlietojumu</w:t>
            </w:r>
            <w:r w:rsidR="00E73CCC" w:rsidRPr="005D57E4">
              <w:rPr>
                <w:szCs w:val="28"/>
              </w:rPr>
              <w:t xml:space="preserve">. Atbilstoši </w:t>
            </w:r>
            <w:r w:rsidR="00121160" w:rsidRPr="005D57E4">
              <w:rPr>
                <w:szCs w:val="28"/>
              </w:rPr>
              <w:t xml:space="preserve">tiek </w:t>
            </w:r>
            <w:r w:rsidR="00E73CCC" w:rsidRPr="005D57E4">
              <w:rPr>
                <w:szCs w:val="28"/>
              </w:rPr>
              <w:t>grozīta</w:t>
            </w:r>
            <w:r w:rsidR="00943F6F" w:rsidRPr="005D57E4">
              <w:rPr>
                <w:szCs w:val="28"/>
              </w:rPr>
              <w:t xml:space="preserve"> </w:t>
            </w:r>
            <w:r w:rsidRPr="005D57E4">
              <w:rPr>
                <w:szCs w:val="28"/>
              </w:rPr>
              <w:t>N</w:t>
            </w:r>
            <w:r w:rsidR="00943F6F" w:rsidRPr="005D57E4">
              <w:rPr>
                <w:szCs w:val="28"/>
              </w:rPr>
              <w:t>oteikumu</w:t>
            </w:r>
            <w:r w:rsidR="00652451" w:rsidRPr="005D57E4">
              <w:rPr>
                <w:szCs w:val="28"/>
              </w:rPr>
              <w:t xml:space="preserve"> Nr. 173</w:t>
            </w:r>
            <w:r w:rsidR="00943F6F" w:rsidRPr="005D57E4">
              <w:rPr>
                <w:szCs w:val="28"/>
              </w:rPr>
              <w:t xml:space="preserve"> 2</w:t>
            </w:r>
            <w:r w:rsidR="00200B29" w:rsidRPr="005D57E4">
              <w:rPr>
                <w:szCs w:val="28"/>
              </w:rPr>
              <w:t>.</w:t>
            </w:r>
            <w:r w:rsidR="00652451" w:rsidRPr="005D57E4">
              <w:rPr>
                <w:szCs w:val="28"/>
              </w:rPr>
              <w:t> </w:t>
            </w:r>
            <w:r w:rsidR="00943F6F" w:rsidRPr="005D57E4">
              <w:rPr>
                <w:szCs w:val="28"/>
              </w:rPr>
              <w:t xml:space="preserve"> pielikuma redakcija.</w:t>
            </w:r>
            <w:r w:rsidR="00CF749D">
              <w:rPr>
                <w:szCs w:val="28"/>
              </w:rPr>
              <w:t xml:space="preserve"> </w:t>
            </w:r>
            <w:r w:rsidR="00CF749D" w:rsidRPr="00CF749D">
              <w:rPr>
                <w:szCs w:val="28"/>
              </w:rPr>
              <w:t xml:space="preserve">Pārskats par pašvaldību autoceļu un ielu finansēšanai paredzētās mērķdotācijas izlietojumu aizpildāms atbilstoši </w:t>
            </w:r>
            <w:r w:rsidR="00CF749D">
              <w:rPr>
                <w:szCs w:val="28"/>
              </w:rPr>
              <w:t>jaunajai kārtībai</w:t>
            </w:r>
            <w:r w:rsidR="009429A1">
              <w:rPr>
                <w:szCs w:val="28"/>
              </w:rPr>
              <w:t>, sākot ar pārskatu par 2016. gada 1. </w:t>
            </w:r>
            <w:r w:rsidR="00CF749D" w:rsidRPr="00CF749D">
              <w:rPr>
                <w:szCs w:val="28"/>
              </w:rPr>
              <w:t>ceturksni.</w:t>
            </w:r>
          </w:p>
          <w:p w:rsidR="00095E3A" w:rsidRPr="005D57E4" w:rsidRDefault="00095E3A" w:rsidP="00095E3A">
            <w:pPr>
              <w:ind w:firstLine="720"/>
              <w:jc w:val="both"/>
              <w:rPr>
                <w:color w:val="000000"/>
                <w:szCs w:val="28"/>
              </w:rPr>
            </w:pPr>
            <w:r w:rsidRPr="005D57E4">
              <w:rPr>
                <w:szCs w:val="28"/>
              </w:rPr>
              <w:t xml:space="preserve">2) </w:t>
            </w:r>
            <w:r w:rsidRPr="005D57E4">
              <w:rPr>
                <w:color w:val="000000"/>
                <w:szCs w:val="28"/>
              </w:rPr>
              <w:t xml:space="preserve">Noteikumu projektā atbilstoši daudzkārtējiem valsts akciju sabiedrības „Latvijas Valsts ceļi” audita </w:t>
            </w:r>
            <w:r w:rsidR="00F63CE0" w:rsidRPr="005D57E4">
              <w:rPr>
                <w:color w:val="000000"/>
                <w:szCs w:val="28"/>
              </w:rPr>
              <w:t xml:space="preserve">konstatējumiem, ka norēķinu </w:t>
            </w:r>
            <w:r w:rsidR="00F63CE0" w:rsidRPr="005D57E4">
              <w:rPr>
                <w:color w:val="000000"/>
                <w:szCs w:val="28"/>
              </w:rPr>
              <w:lastRenderedPageBreak/>
              <w:t>kontos, kuros uzskaita mērķdotācijas līdzekļus, faktiski tiek uzskaitīti arī citi speciālā budžeta līdzekļi (dabas resursa nodokli</w:t>
            </w:r>
            <w:r w:rsidR="00A139F9">
              <w:rPr>
                <w:color w:val="000000"/>
                <w:szCs w:val="28"/>
              </w:rPr>
              <w:t>s</w:t>
            </w:r>
            <w:r w:rsidR="00F63CE0" w:rsidRPr="005D57E4">
              <w:rPr>
                <w:color w:val="000000"/>
                <w:szCs w:val="28"/>
              </w:rPr>
              <w:t xml:space="preserve">, ziedojumi, privatizācijas līdzekļi un citi), no kuriem mērķdotācijas līdzekļi tiek nodalīti, vien izmantojot grāmatvedības sistēmu, kas nenodrošina pārskatāmu un nepārprotamu mērķdotācijas izlietojumu, </w:t>
            </w:r>
            <w:r w:rsidRPr="005D57E4">
              <w:rPr>
                <w:color w:val="000000"/>
                <w:szCs w:val="28"/>
              </w:rPr>
              <w:t>ir precizēts 11.</w:t>
            </w:r>
            <w:r w:rsidR="004C6AB0" w:rsidRPr="005D57E4">
              <w:rPr>
                <w:color w:val="000000"/>
                <w:szCs w:val="28"/>
              </w:rPr>
              <w:t> </w:t>
            </w:r>
            <w:r w:rsidRPr="005D57E4">
              <w:rPr>
                <w:color w:val="000000"/>
                <w:szCs w:val="28"/>
              </w:rPr>
              <w:t>punkts, kas nosaka, ka mērķdotācija ir ieskaitāma atsevišķā norēķinu kontā, kas atvieglos mērķdotācijas izlietojuma kontroli un atskaišu sagatavošanu.</w:t>
            </w:r>
          </w:p>
          <w:p w:rsidR="00F63CE0" w:rsidRPr="005D57E4" w:rsidRDefault="00F63CE0" w:rsidP="0042367F">
            <w:pPr>
              <w:ind w:firstLine="720"/>
              <w:jc w:val="both"/>
              <w:rPr>
                <w:szCs w:val="28"/>
                <w:lang w:eastAsia="lv-LV"/>
              </w:rPr>
            </w:pPr>
            <w:r w:rsidRPr="005D57E4">
              <w:rPr>
                <w:szCs w:val="28"/>
                <w:lang w:eastAsia="lv-LV"/>
              </w:rPr>
              <w:t xml:space="preserve">3) </w:t>
            </w:r>
            <w:r w:rsidR="00E2510B" w:rsidRPr="005D57E4">
              <w:rPr>
                <w:szCs w:val="28"/>
                <w:lang w:eastAsia="lv-LV"/>
              </w:rPr>
              <w:t xml:space="preserve">Ir precizēti mērķi, kādiem drīkst izlietot mērķdotāciju, proti, </w:t>
            </w:r>
            <w:r w:rsidR="00E2510B" w:rsidRPr="005D57E4">
              <w:rPr>
                <w:szCs w:val="28"/>
              </w:rPr>
              <w:t xml:space="preserve">pašvaldību </w:t>
            </w:r>
            <w:r w:rsidR="006F6633">
              <w:rPr>
                <w:szCs w:val="28"/>
              </w:rPr>
              <w:t>auto</w:t>
            </w:r>
            <w:r w:rsidR="00E2510B" w:rsidRPr="005D57E4">
              <w:rPr>
                <w:szCs w:val="28"/>
              </w:rPr>
              <w:t>ceļu un ielu uzturēšanai</w:t>
            </w:r>
            <w:r w:rsidR="00E2510B" w:rsidRPr="005D57E4">
              <w:rPr>
                <w:szCs w:val="28"/>
                <w:lang w:eastAsia="lv-LV"/>
              </w:rPr>
              <w:t xml:space="preserve">, būvniecībai un </w:t>
            </w:r>
            <w:r w:rsidR="00E2510B" w:rsidRPr="005D57E4">
              <w:rPr>
                <w:szCs w:val="28"/>
              </w:rPr>
              <w:t xml:space="preserve">zemes pirkšanai, lai uzlabotu un attīstītu pašvaldību </w:t>
            </w:r>
            <w:r w:rsidR="006F6633">
              <w:rPr>
                <w:szCs w:val="28"/>
              </w:rPr>
              <w:t>auto</w:t>
            </w:r>
            <w:r w:rsidR="00E2510B" w:rsidRPr="005D57E4">
              <w:rPr>
                <w:szCs w:val="28"/>
              </w:rPr>
              <w:t xml:space="preserve">ceļus un ielas, kā arī bankas konta apkalpošanas izmaksu segšanai. Šie mērķi aptver lielāko daļu no pašreiz sīkāk izdalītajiem mērķiem, taču turpmāk mērķdotāciju nevarēs izlietot pašvaldību </w:t>
            </w:r>
            <w:r w:rsidR="00A306F5">
              <w:rPr>
                <w:szCs w:val="28"/>
              </w:rPr>
              <w:t>auto</w:t>
            </w:r>
            <w:r w:rsidR="00E2510B" w:rsidRPr="005D57E4">
              <w:rPr>
                <w:szCs w:val="28"/>
              </w:rPr>
              <w:t xml:space="preserve">ceļu un ielu uzturēšanas tehnikas iegādei un uzturēšanai, ņemot vērā, ka </w:t>
            </w:r>
            <w:r w:rsidR="000C0806" w:rsidRPr="005D57E4">
              <w:rPr>
                <w:szCs w:val="28"/>
              </w:rPr>
              <w:t xml:space="preserve">šiem mērķiem tiek izmantota ļoti neliela daļa no </w:t>
            </w:r>
            <w:r w:rsidR="00653A8D" w:rsidRPr="005D57E4">
              <w:rPr>
                <w:szCs w:val="28"/>
              </w:rPr>
              <w:t xml:space="preserve">kopējā </w:t>
            </w:r>
            <w:r w:rsidR="000C0806" w:rsidRPr="005D57E4">
              <w:rPr>
                <w:szCs w:val="28"/>
              </w:rPr>
              <w:t xml:space="preserve">mērķdotācijas </w:t>
            </w:r>
            <w:r w:rsidR="00653A8D" w:rsidRPr="005D57E4">
              <w:rPr>
                <w:szCs w:val="28"/>
              </w:rPr>
              <w:t xml:space="preserve">apmēra </w:t>
            </w:r>
            <w:r w:rsidR="000C0806" w:rsidRPr="005D57E4">
              <w:rPr>
                <w:szCs w:val="28"/>
              </w:rPr>
              <w:t>un tie rada risku</w:t>
            </w:r>
            <w:r w:rsidR="00653A8D" w:rsidRPr="005D57E4">
              <w:rPr>
                <w:szCs w:val="28"/>
              </w:rPr>
              <w:t xml:space="preserve">, ka </w:t>
            </w:r>
            <w:r w:rsidR="000C0806" w:rsidRPr="005D57E4">
              <w:rPr>
                <w:szCs w:val="28"/>
              </w:rPr>
              <w:t>pašvaldības līdzek</w:t>
            </w:r>
            <w:r w:rsidR="00653A8D" w:rsidRPr="005D57E4">
              <w:rPr>
                <w:szCs w:val="28"/>
              </w:rPr>
              <w:t>ļi var tikt izmantoti</w:t>
            </w:r>
            <w:r w:rsidR="000C0806" w:rsidRPr="005D57E4">
              <w:rPr>
                <w:szCs w:val="28"/>
              </w:rPr>
              <w:t xml:space="preserve"> </w:t>
            </w:r>
            <w:r w:rsidR="00653A8D" w:rsidRPr="005D57E4">
              <w:rPr>
                <w:szCs w:val="28"/>
              </w:rPr>
              <w:t>nelietderīgi</w:t>
            </w:r>
            <w:r w:rsidR="000C0806" w:rsidRPr="005D57E4">
              <w:rPr>
                <w:szCs w:val="28"/>
              </w:rPr>
              <w:t>, piemēram, traktoru, kas iegādāts no mērķdotācijas līdzekļiem nedrīkst izmantot citiem mērķiem, tādēļ pašvaldībai ir jāiegādājas vēl viena tehnikas vienība citu darbu veikšanai</w:t>
            </w:r>
            <w:r w:rsidR="00653A8D" w:rsidRPr="005D57E4">
              <w:rPr>
                <w:szCs w:val="28"/>
              </w:rPr>
              <w:t>, kā arī ir sarežģīti pārbaudīt, vai pašvaldība par mērķdotācijas līdzekļiem iegādāto tehniku nav izmantojusi citiem mērķiem</w:t>
            </w:r>
            <w:r w:rsidR="000C0806" w:rsidRPr="005D57E4">
              <w:rPr>
                <w:szCs w:val="28"/>
              </w:rPr>
              <w:t xml:space="preserve">. </w:t>
            </w:r>
            <w:r w:rsidR="00A306F5">
              <w:rPr>
                <w:szCs w:val="28"/>
              </w:rPr>
              <w:t xml:space="preserve">Ja pašvaldība iegādāsies </w:t>
            </w:r>
            <w:r w:rsidR="00A306F5" w:rsidRPr="005D57E4">
              <w:rPr>
                <w:szCs w:val="28"/>
              </w:rPr>
              <w:t xml:space="preserve">pašvaldību </w:t>
            </w:r>
            <w:r w:rsidR="00A306F5">
              <w:rPr>
                <w:szCs w:val="28"/>
              </w:rPr>
              <w:t>auto</w:t>
            </w:r>
            <w:r w:rsidR="00A306F5" w:rsidRPr="005D57E4">
              <w:rPr>
                <w:szCs w:val="28"/>
              </w:rPr>
              <w:t>ce</w:t>
            </w:r>
            <w:r w:rsidR="00A306F5">
              <w:rPr>
                <w:szCs w:val="28"/>
              </w:rPr>
              <w:t>ļu un ielu uzturēšanas tehniku tikai par sava pamatbudžeta līdzekļiem, pašvaldībām būs vairāk līdzekļu citu darbu veikšanai, kas atbilst mērķdotācijas izlietošanas mērķi</w:t>
            </w:r>
            <w:r w:rsidR="009C5B6B">
              <w:rPr>
                <w:szCs w:val="28"/>
              </w:rPr>
              <w:t>e</w:t>
            </w:r>
            <w:r w:rsidR="00A306F5">
              <w:rPr>
                <w:szCs w:val="28"/>
              </w:rPr>
              <w:t xml:space="preserve">m. Turpmāk </w:t>
            </w:r>
            <w:r w:rsidR="00A306F5" w:rsidRPr="005D57E4">
              <w:rPr>
                <w:szCs w:val="28"/>
              </w:rPr>
              <w:t xml:space="preserve">pašvaldību </w:t>
            </w:r>
            <w:r w:rsidR="00A306F5">
              <w:rPr>
                <w:szCs w:val="28"/>
              </w:rPr>
              <w:t>auto</w:t>
            </w:r>
            <w:r w:rsidR="00A306F5" w:rsidRPr="005D57E4">
              <w:rPr>
                <w:szCs w:val="28"/>
              </w:rPr>
              <w:t>ceļu un ielu uzturēšanas tehnikas iegādei un uzturēšanai</w:t>
            </w:r>
            <w:r w:rsidR="00A306F5">
              <w:rPr>
                <w:szCs w:val="28"/>
              </w:rPr>
              <w:t xml:space="preserve"> pašvaldības drīkstēs izlietot tikai sava pamatbudžeta līdzekļus.</w:t>
            </w:r>
          </w:p>
          <w:p w:rsidR="00095E3A" w:rsidRPr="005D57E4" w:rsidRDefault="00A8247B" w:rsidP="0042367F">
            <w:pPr>
              <w:ind w:firstLine="720"/>
              <w:jc w:val="both"/>
              <w:rPr>
                <w:szCs w:val="28"/>
                <w:lang w:eastAsia="lv-LV"/>
              </w:rPr>
            </w:pPr>
            <w:r w:rsidRPr="005D57E4">
              <w:rPr>
                <w:szCs w:val="28"/>
                <w:lang w:eastAsia="lv-LV"/>
              </w:rPr>
              <w:t xml:space="preserve">4) Noteikumu projektā atbilstoši daudzkārtējiem valsts akciju sabiedrības „Latvijas Valsts ceļi” audita </w:t>
            </w:r>
            <w:r w:rsidR="00F63CE0" w:rsidRPr="005D57E4">
              <w:rPr>
                <w:szCs w:val="28"/>
                <w:lang w:eastAsia="lv-LV"/>
              </w:rPr>
              <w:t xml:space="preserve">konstatējumiem, ka līdzšinējais regulējums rada būtiskas neatbilstības atskaitēs par mērķdotācijas ieņēmumiem un izdevumiem, </w:t>
            </w:r>
            <w:r w:rsidRPr="005D57E4">
              <w:rPr>
                <w:szCs w:val="28"/>
                <w:lang w:eastAsia="lv-LV"/>
              </w:rPr>
              <w:t>ir precizēts Noteikumu Nr. 173 26.</w:t>
            </w:r>
            <w:r w:rsidR="009429A1">
              <w:rPr>
                <w:szCs w:val="28"/>
                <w:lang w:eastAsia="lv-LV"/>
              </w:rPr>
              <w:t> </w:t>
            </w:r>
            <w:r w:rsidRPr="005D57E4">
              <w:rPr>
                <w:szCs w:val="28"/>
                <w:lang w:eastAsia="lv-LV"/>
              </w:rPr>
              <w:t>un 27.</w:t>
            </w:r>
            <w:r w:rsidR="009429A1">
              <w:rPr>
                <w:szCs w:val="28"/>
                <w:lang w:eastAsia="lv-LV"/>
              </w:rPr>
              <w:t> </w:t>
            </w:r>
            <w:r w:rsidRPr="005D57E4">
              <w:rPr>
                <w:szCs w:val="28"/>
                <w:lang w:eastAsia="lv-LV"/>
              </w:rPr>
              <w:t xml:space="preserve">punkts, kas </w:t>
            </w:r>
            <w:r w:rsidRPr="005D57E4">
              <w:rPr>
                <w:szCs w:val="28"/>
                <w:lang w:eastAsia="lv-LV"/>
              </w:rPr>
              <w:lastRenderedPageBreak/>
              <w:t xml:space="preserve">nosaka pašvaldības rīcību </w:t>
            </w:r>
            <w:r w:rsidR="00801A9B">
              <w:rPr>
                <w:szCs w:val="28"/>
                <w:lang w:eastAsia="lv-LV"/>
              </w:rPr>
              <w:t>neatbilstoši</w:t>
            </w:r>
            <w:r w:rsidRPr="005D57E4">
              <w:rPr>
                <w:szCs w:val="28"/>
                <w:lang w:eastAsia="lv-LV"/>
              </w:rPr>
              <w:t xml:space="preserve"> izliet</w:t>
            </w:r>
            <w:r w:rsidR="00F63CE0" w:rsidRPr="005D57E4">
              <w:rPr>
                <w:szCs w:val="28"/>
                <w:lang w:eastAsia="lv-LV"/>
              </w:rPr>
              <w:t>ot</w:t>
            </w:r>
            <w:r w:rsidRPr="005D57E4">
              <w:rPr>
                <w:szCs w:val="28"/>
                <w:lang w:eastAsia="lv-LV"/>
              </w:rPr>
              <w:t>ās mērķdotācijas aizturēšanas gadījumā. Atbilstoši piedāvātajai redakcijai aizturēto mērķdotācijas daļu pašvaldībai pārskaita atpakaļ tikai pēc tam, kad tā no pamatbudžeta ir apmaksājusi iepriekš pamatbudžetā neplānotus autoceļu uzturēšanas darbus, kas atbilst noteikumos noteiktajiem izlietojuma mērķiem.</w:t>
            </w:r>
          </w:p>
          <w:p w:rsidR="00CC227E" w:rsidRPr="005D57E4" w:rsidRDefault="00CC227E" w:rsidP="0042367F">
            <w:pPr>
              <w:ind w:firstLine="720"/>
              <w:jc w:val="both"/>
              <w:rPr>
                <w:color w:val="000000"/>
                <w:szCs w:val="28"/>
              </w:rPr>
            </w:pPr>
            <w:r w:rsidRPr="005D57E4">
              <w:rPr>
                <w:color w:val="000000"/>
                <w:szCs w:val="28"/>
              </w:rPr>
              <w:t xml:space="preserve">2. No Noteikumiem Nr. 173 ir svītrots valsts autoceļu fonda programmas līdzekļu procentuālais sadalījums, ņemot vērā, ka šīs normas </w:t>
            </w:r>
            <w:r w:rsidR="00121160" w:rsidRPr="005D57E4">
              <w:rPr>
                <w:color w:val="000000"/>
                <w:szCs w:val="28"/>
              </w:rPr>
              <w:t xml:space="preserve">ir pretrunā </w:t>
            </w:r>
            <w:r w:rsidRPr="005D57E4">
              <w:rPr>
                <w:color w:val="000000"/>
                <w:szCs w:val="28"/>
              </w:rPr>
              <w:t>likuma „Par autoceļiem” 12.</w:t>
            </w:r>
            <w:r w:rsidR="00F63CE0" w:rsidRPr="005D57E4">
              <w:rPr>
                <w:color w:val="000000"/>
                <w:szCs w:val="28"/>
              </w:rPr>
              <w:t> </w:t>
            </w:r>
            <w:r w:rsidRPr="005D57E4">
              <w:rPr>
                <w:color w:val="000000"/>
                <w:szCs w:val="28"/>
              </w:rPr>
              <w:t>panta</w:t>
            </w:r>
            <w:r w:rsidR="00121160" w:rsidRPr="005D57E4">
              <w:rPr>
                <w:color w:val="000000"/>
                <w:szCs w:val="28"/>
              </w:rPr>
              <w:t xml:space="preserve"> ceturtajā</w:t>
            </w:r>
            <w:r w:rsidRPr="005D57E4">
              <w:rPr>
                <w:color w:val="000000"/>
                <w:szCs w:val="28"/>
              </w:rPr>
              <w:t xml:space="preserve"> daļ</w:t>
            </w:r>
            <w:r w:rsidR="00121160" w:rsidRPr="005D57E4">
              <w:rPr>
                <w:color w:val="000000"/>
                <w:szCs w:val="28"/>
              </w:rPr>
              <w:t>ā noteiktajam</w:t>
            </w:r>
            <w:r w:rsidRPr="005D57E4">
              <w:rPr>
                <w:color w:val="000000"/>
                <w:szCs w:val="28"/>
              </w:rPr>
              <w:t xml:space="preserve">, ka ikgadējai mērķdotācijai pašvaldību autoceļiem un ielām piešķirtais finansējums nedrīkst būt mazāks par 25 procentiem no programmai "Valsts autoceļu fonds" piešķirtā valsts budžeta finansējuma, neskaitot prognozētos ieņēmumus no autoceļu lietošanas nodevas. Konkrētais finansējuma sadalījums katru gadu </w:t>
            </w:r>
            <w:r w:rsidR="00121160" w:rsidRPr="005D57E4">
              <w:rPr>
                <w:color w:val="000000"/>
                <w:szCs w:val="28"/>
              </w:rPr>
              <w:t>tiek</w:t>
            </w:r>
            <w:r w:rsidRPr="005D57E4">
              <w:rPr>
                <w:color w:val="000000"/>
                <w:szCs w:val="28"/>
              </w:rPr>
              <w:t xml:space="preserve"> noteikts likumā „Par valsts budžetu”</w:t>
            </w:r>
            <w:r w:rsidR="00867EDC">
              <w:rPr>
                <w:color w:val="000000"/>
                <w:szCs w:val="28"/>
              </w:rPr>
              <w:t>,</w:t>
            </w:r>
            <w:r w:rsidR="00495453" w:rsidRPr="005D57E4">
              <w:rPr>
                <w:color w:val="000000"/>
                <w:szCs w:val="28"/>
              </w:rPr>
              <w:t xml:space="preserve"> un Noteikumos Nr.</w:t>
            </w:r>
            <w:r w:rsidR="009429A1">
              <w:rPr>
                <w:color w:val="000000"/>
                <w:szCs w:val="28"/>
              </w:rPr>
              <w:t> </w:t>
            </w:r>
            <w:r w:rsidR="00495453" w:rsidRPr="005D57E4">
              <w:rPr>
                <w:color w:val="000000"/>
                <w:szCs w:val="28"/>
              </w:rPr>
              <w:t>173 nav nepieciešams iekļaut likumu dublējošas normas.</w:t>
            </w:r>
          </w:p>
          <w:p w:rsidR="00943F6F" w:rsidRDefault="00943F6F" w:rsidP="00A139F9">
            <w:pPr>
              <w:ind w:firstLine="678"/>
              <w:jc w:val="both"/>
              <w:rPr>
                <w:color w:val="000000"/>
                <w:szCs w:val="28"/>
              </w:rPr>
            </w:pPr>
            <w:r w:rsidRPr="005D57E4">
              <w:rPr>
                <w:color w:val="000000"/>
                <w:szCs w:val="28"/>
              </w:rPr>
              <w:t xml:space="preserve">3. </w:t>
            </w:r>
            <w:r w:rsidR="00CC227E" w:rsidRPr="005D57E4">
              <w:rPr>
                <w:color w:val="000000"/>
                <w:szCs w:val="28"/>
              </w:rPr>
              <w:t xml:space="preserve">Ar </w:t>
            </w:r>
            <w:r w:rsidRPr="005D57E4">
              <w:rPr>
                <w:color w:val="000000"/>
                <w:szCs w:val="28"/>
              </w:rPr>
              <w:t>Noteikumu projekt</w:t>
            </w:r>
            <w:r w:rsidR="00CC227E" w:rsidRPr="005D57E4">
              <w:rPr>
                <w:color w:val="000000"/>
                <w:szCs w:val="28"/>
              </w:rPr>
              <w:t>u</w:t>
            </w:r>
            <w:r w:rsidRPr="005D57E4">
              <w:rPr>
                <w:color w:val="000000"/>
                <w:szCs w:val="28"/>
              </w:rPr>
              <w:t xml:space="preserve"> atbilstoš</w:t>
            </w:r>
            <w:r w:rsidR="00200B29" w:rsidRPr="005D57E4">
              <w:rPr>
                <w:color w:val="000000"/>
                <w:szCs w:val="28"/>
              </w:rPr>
              <w:t>i</w:t>
            </w:r>
            <w:r w:rsidRPr="005D57E4">
              <w:rPr>
                <w:color w:val="000000"/>
                <w:szCs w:val="28"/>
              </w:rPr>
              <w:t xml:space="preserve"> jaun</w:t>
            </w:r>
            <w:r w:rsidR="00495453" w:rsidRPr="005D57E4">
              <w:rPr>
                <w:color w:val="000000"/>
                <w:szCs w:val="28"/>
              </w:rPr>
              <w:t>ajam</w:t>
            </w:r>
            <w:r w:rsidRPr="005D57E4">
              <w:rPr>
                <w:color w:val="000000"/>
                <w:szCs w:val="28"/>
              </w:rPr>
              <w:t xml:space="preserve"> Būvniecības likuma</w:t>
            </w:r>
            <w:r w:rsidR="00CC227E" w:rsidRPr="005D57E4">
              <w:rPr>
                <w:color w:val="000000"/>
                <w:szCs w:val="28"/>
              </w:rPr>
              <w:t>m</w:t>
            </w:r>
            <w:r w:rsidR="00A8247B" w:rsidRPr="005D57E4">
              <w:rPr>
                <w:color w:val="000000"/>
                <w:szCs w:val="28"/>
              </w:rPr>
              <w:t>, kas stājās spēkā 2014.</w:t>
            </w:r>
            <w:r w:rsidR="009429A1">
              <w:t> </w:t>
            </w:r>
            <w:r w:rsidR="00A8247B" w:rsidRPr="005D57E4">
              <w:rPr>
                <w:color w:val="000000"/>
                <w:szCs w:val="28"/>
              </w:rPr>
              <w:t>gada 1.oktobrī,</w:t>
            </w:r>
            <w:r w:rsidRPr="005D57E4">
              <w:rPr>
                <w:color w:val="000000"/>
                <w:szCs w:val="28"/>
              </w:rPr>
              <w:t xml:space="preserve"> ir precizēt</w:t>
            </w:r>
            <w:r w:rsidR="00CC227E" w:rsidRPr="005D57E4">
              <w:rPr>
                <w:color w:val="000000"/>
                <w:szCs w:val="28"/>
              </w:rPr>
              <w:t>a terminoloģija, tostarp</w:t>
            </w:r>
            <w:r w:rsidR="00F63CE0" w:rsidRPr="005D57E4">
              <w:rPr>
                <w:color w:val="000000"/>
                <w:szCs w:val="28"/>
              </w:rPr>
              <w:t xml:space="preserve"> redakcionāli precizēti</w:t>
            </w:r>
            <w:r w:rsidRPr="005D57E4">
              <w:rPr>
                <w:color w:val="000000"/>
                <w:szCs w:val="28"/>
              </w:rPr>
              <w:t xml:space="preserve"> mērķdotācijas līdzekļu lietošanas mērķi</w:t>
            </w:r>
            <w:r w:rsidR="00CC227E" w:rsidRPr="005D57E4">
              <w:rPr>
                <w:color w:val="000000"/>
                <w:szCs w:val="28"/>
              </w:rPr>
              <w:t>. Noteikumu projekts paredz arī citus redakcionālus precizējumus, piemēram, Noteikumu Nr.</w:t>
            </w:r>
            <w:r w:rsidR="009429A1">
              <w:rPr>
                <w:color w:val="000000"/>
                <w:szCs w:val="28"/>
              </w:rPr>
              <w:t> </w:t>
            </w:r>
            <w:r w:rsidR="00CC227E" w:rsidRPr="005D57E4">
              <w:rPr>
                <w:color w:val="000000"/>
                <w:szCs w:val="28"/>
              </w:rPr>
              <w:t>173 15.</w:t>
            </w:r>
            <w:r w:rsidR="009429A1">
              <w:rPr>
                <w:color w:val="000000"/>
                <w:szCs w:val="28"/>
              </w:rPr>
              <w:t> </w:t>
            </w:r>
            <w:r w:rsidR="00CC227E" w:rsidRPr="005D57E4">
              <w:rPr>
                <w:color w:val="000000"/>
                <w:szCs w:val="28"/>
              </w:rPr>
              <w:t>punkts pārnests uz 3.</w:t>
            </w:r>
            <w:r w:rsidR="00CC227E" w:rsidRPr="005D57E4">
              <w:rPr>
                <w:color w:val="000000"/>
                <w:szCs w:val="28"/>
                <w:vertAlign w:val="superscript"/>
              </w:rPr>
              <w:t>1</w:t>
            </w:r>
            <w:r w:rsidR="009429A1">
              <w:rPr>
                <w:color w:val="000000"/>
                <w:szCs w:val="28"/>
                <w:vertAlign w:val="superscript"/>
              </w:rPr>
              <w:t> </w:t>
            </w:r>
            <w:r w:rsidR="00CC227E" w:rsidRPr="005D57E4">
              <w:rPr>
                <w:color w:val="000000"/>
                <w:szCs w:val="28"/>
              </w:rPr>
              <w:t xml:space="preserve"> punktu</w:t>
            </w:r>
            <w:r w:rsidR="00F63CE0" w:rsidRPr="005D57E4">
              <w:rPr>
                <w:color w:val="000000"/>
                <w:szCs w:val="28"/>
              </w:rPr>
              <w:t>, redakcionāli precizēts Noteikumu Nr.</w:t>
            </w:r>
            <w:r w:rsidR="009429A1">
              <w:rPr>
                <w:color w:val="000000"/>
                <w:szCs w:val="28"/>
              </w:rPr>
              <w:t> </w:t>
            </w:r>
            <w:r w:rsidR="00F63CE0" w:rsidRPr="005D57E4">
              <w:rPr>
                <w:color w:val="000000"/>
                <w:szCs w:val="28"/>
              </w:rPr>
              <w:t>173 24.</w:t>
            </w:r>
            <w:r w:rsidR="009429A1">
              <w:rPr>
                <w:color w:val="000000"/>
                <w:szCs w:val="28"/>
              </w:rPr>
              <w:t> </w:t>
            </w:r>
            <w:r w:rsidR="00F63CE0" w:rsidRPr="005D57E4">
              <w:rPr>
                <w:color w:val="000000"/>
                <w:szCs w:val="28"/>
              </w:rPr>
              <w:t>punkts.</w:t>
            </w:r>
            <w:r w:rsidRPr="005D57E4">
              <w:rPr>
                <w:color w:val="000000"/>
                <w:szCs w:val="28"/>
              </w:rPr>
              <w:t xml:space="preserve"> </w:t>
            </w:r>
          </w:p>
          <w:p w:rsidR="00BF050A" w:rsidRDefault="00BF050A" w:rsidP="00A139F9">
            <w:pPr>
              <w:ind w:firstLine="678"/>
              <w:jc w:val="both"/>
              <w:rPr>
                <w:color w:val="000000"/>
                <w:szCs w:val="28"/>
              </w:rPr>
            </w:pPr>
            <w:r>
              <w:rPr>
                <w:color w:val="000000"/>
                <w:szCs w:val="28"/>
              </w:rPr>
              <w:t xml:space="preserve">4. </w:t>
            </w:r>
            <w:r w:rsidRPr="005D57E4">
              <w:rPr>
                <w:color w:val="000000"/>
                <w:szCs w:val="28"/>
              </w:rPr>
              <w:t>No Noteikumiem Nr. 173</w:t>
            </w:r>
            <w:r>
              <w:rPr>
                <w:color w:val="000000"/>
                <w:szCs w:val="28"/>
              </w:rPr>
              <w:t xml:space="preserve"> tiek svītrota norma, ka </w:t>
            </w:r>
            <w:r w:rsidRPr="00BF050A">
              <w:rPr>
                <w:color w:val="000000"/>
                <w:szCs w:val="28"/>
              </w:rPr>
              <w:t>Ministru kabinets ne retāk kā reizi trijos gados pārskata šo noteikumu 1.</w:t>
            </w:r>
            <w:r w:rsidR="009429A1">
              <w:rPr>
                <w:color w:val="000000"/>
                <w:szCs w:val="28"/>
              </w:rPr>
              <w:t> </w:t>
            </w:r>
            <w:r w:rsidRPr="00BF050A">
              <w:rPr>
                <w:color w:val="000000"/>
                <w:szCs w:val="28"/>
              </w:rPr>
              <w:t>pielikumā noteikto pašvaldībām piešķiramo mērķdotācijas daļu.</w:t>
            </w:r>
            <w:r>
              <w:rPr>
                <w:color w:val="000000"/>
                <w:szCs w:val="28"/>
              </w:rPr>
              <w:t xml:space="preserve"> Ministru kabinetam ir tiesības jebkurā laikā veikt grozījumus Noteikumos Nr.</w:t>
            </w:r>
            <w:r w:rsidR="009429A1">
              <w:rPr>
                <w:color w:val="000000"/>
                <w:szCs w:val="28"/>
              </w:rPr>
              <w:t> </w:t>
            </w:r>
            <w:r>
              <w:rPr>
                <w:color w:val="000000"/>
                <w:szCs w:val="28"/>
              </w:rPr>
              <w:t>173, tai skaitā to 1.</w:t>
            </w:r>
            <w:r w:rsidR="009429A1">
              <w:rPr>
                <w:color w:val="000000"/>
                <w:szCs w:val="28"/>
              </w:rPr>
              <w:t> </w:t>
            </w:r>
            <w:r>
              <w:rPr>
                <w:color w:val="000000"/>
                <w:szCs w:val="28"/>
              </w:rPr>
              <w:t>pielikumā, kā arī pašvaldībām ir tiesības vērsties Ministru kabinetā ar priekšlikumiem veikt grozījumus Noteikumos Nr.</w:t>
            </w:r>
            <w:r w:rsidR="009429A1">
              <w:rPr>
                <w:color w:val="000000"/>
                <w:szCs w:val="28"/>
              </w:rPr>
              <w:t> </w:t>
            </w:r>
            <w:r>
              <w:rPr>
                <w:color w:val="000000"/>
                <w:szCs w:val="28"/>
              </w:rPr>
              <w:t xml:space="preserve">173, līdz ar to šai normai nav juridiskas slodzes. </w:t>
            </w:r>
          </w:p>
          <w:p w:rsidR="00CB203C" w:rsidRPr="005D57E4" w:rsidRDefault="00CB203C" w:rsidP="00A139F9">
            <w:pPr>
              <w:ind w:firstLine="678"/>
              <w:jc w:val="both"/>
              <w:rPr>
                <w:color w:val="000000"/>
                <w:szCs w:val="28"/>
              </w:rPr>
            </w:pPr>
            <w:r>
              <w:rPr>
                <w:color w:val="000000"/>
                <w:szCs w:val="28"/>
              </w:rPr>
              <w:t xml:space="preserve">5. </w:t>
            </w:r>
            <w:r w:rsidR="00D03758">
              <w:rPr>
                <w:color w:val="000000"/>
                <w:szCs w:val="28"/>
              </w:rPr>
              <w:t xml:space="preserve">Balstoties uz </w:t>
            </w:r>
            <w:r w:rsidR="008F4209">
              <w:rPr>
                <w:color w:val="000000"/>
                <w:szCs w:val="28"/>
              </w:rPr>
              <w:t xml:space="preserve">vēsturisko </w:t>
            </w:r>
            <w:r w:rsidR="00D03758">
              <w:rPr>
                <w:color w:val="000000"/>
                <w:szCs w:val="28"/>
              </w:rPr>
              <w:t>pieredzi, ka nāk</w:t>
            </w:r>
            <w:r w:rsidR="00A139F9">
              <w:rPr>
                <w:color w:val="000000"/>
                <w:szCs w:val="28"/>
              </w:rPr>
              <w:t>amā</w:t>
            </w:r>
            <w:r w:rsidR="00D03758">
              <w:rPr>
                <w:color w:val="000000"/>
                <w:szCs w:val="28"/>
              </w:rPr>
              <w:t xml:space="preserve"> gada valsts budžets (attiecīgi Satiksmes ministrijai pieejamais finansējums) netiek pieņemts līdz 1.</w:t>
            </w:r>
            <w:r w:rsidR="009429A1">
              <w:rPr>
                <w:color w:val="000000"/>
                <w:szCs w:val="28"/>
              </w:rPr>
              <w:t> </w:t>
            </w:r>
            <w:r w:rsidR="00D03758">
              <w:rPr>
                <w:color w:val="000000"/>
                <w:szCs w:val="28"/>
              </w:rPr>
              <w:t>oktobrim, a</w:t>
            </w:r>
            <w:r>
              <w:rPr>
                <w:color w:val="000000"/>
                <w:szCs w:val="28"/>
              </w:rPr>
              <w:t xml:space="preserve">r Noteikumu projektu tiek grozīts </w:t>
            </w:r>
            <w:r>
              <w:rPr>
                <w:color w:val="000000"/>
                <w:szCs w:val="28"/>
              </w:rPr>
              <w:lastRenderedPageBreak/>
              <w:t>45.</w:t>
            </w:r>
            <w:r w:rsidR="009429A1">
              <w:rPr>
                <w:color w:val="000000"/>
                <w:szCs w:val="28"/>
              </w:rPr>
              <w:t> </w:t>
            </w:r>
            <w:r>
              <w:rPr>
                <w:color w:val="000000"/>
                <w:szCs w:val="28"/>
              </w:rPr>
              <w:t>punktā noteiktais termiņš (no attiecīgā gada 1.</w:t>
            </w:r>
            <w:r w:rsidR="009429A1">
              <w:rPr>
                <w:color w:val="000000"/>
                <w:szCs w:val="28"/>
              </w:rPr>
              <w:t> </w:t>
            </w:r>
            <w:r>
              <w:rPr>
                <w:color w:val="000000"/>
                <w:szCs w:val="28"/>
              </w:rPr>
              <w:t>oktobra uz nākamā gada 1.</w:t>
            </w:r>
            <w:r w:rsidR="009429A1">
              <w:rPr>
                <w:color w:val="000000"/>
                <w:szCs w:val="28"/>
              </w:rPr>
              <w:t> </w:t>
            </w:r>
            <w:r>
              <w:rPr>
                <w:color w:val="000000"/>
                <w:szCs w:val="28"/>
              </w:rPr>
              <w:t>janvāri), kādā Satiksmes ministrijai jāinformē pašvaldības par pieņemto lēmumu saistībā ar līdzfinansējuma piešķiršanu tranzīta ielu atjaunošanai.</w:t>
            </w:r>
          </w:p>
        </w:tc>
      </w:tr>
      <w:tr w:rsidR="00943F6F" w:rsidRPr="005D57E4" w:rsidTr="00A139F9">
        <w:trPr>
          <w:trHeight w:val="465"/>
        </w:trPr>
        <w:tc>
          <w:tcPr>
            <w:tcW w:w="250" w:type="pct"/>
            <w:tcBorders>
              <w:top w:val="outset" w:sz="6" w:space="0" w:color="414142"/>
              <w:bottom w:val="outset" w:sz="6" w:space="0" w:color="414142"/>
              <w:right w:val="outset" w:sz="6" w:space="0" w:color="414142"/>
            </w:tcBorders>
          </w:tcPr>
          <w:p w:rsidR="00943F6F" w:rsidRPr="005D57E4" w:rsidRDefault="00943F6F" w:rsidP="00DE0915">
            <w:pPr>
              <w:spacing w:before="100" w:beforeAutospacing="1" w:after="100" w:afterAutospacing="1" w:line="293" w:lineRule="atLeast"/>
              <w:jc w:val="center"/>
              <w:rPr>
                <w:color w:val="000000"/>
                <w:szCs w:val="28"/>
                <w:lang w:eastAsia="lv-LV"/>
              </w:rPr>
            </w:pPr>
            <w:r w:rsidRPr="005D57E4">
              <w:rPr>
                <w:color w:val="000000"/>
                <w:szCs w:val="28"/>
                <w:lang w:eastAsia="lv-LV"/>
              </w:rPr>
              <w:lastRenderedPageBreak/>
              <w:t>3.</w:t>
            </w:r>
          </w:p>
        </w:tc>
        <w:tc>
          <w:tcPr>
            <w:tcW w:w="1474"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Projekta izstrādē iesaistītās institūcijas</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ind w:firstLine="678"/>
              <w:jc w:val="both"/>
              <w:rPr>
                <w:color w:val="000000"/>
                <w:szCs w:val="28"/>
                <w:lang w:eastAsia="lv-LV"/>
              </w:rPr>
            </w:pPr>
            <w:r w:rsidRPr="005D57E4">
              <w:rPr>
                <w:color w:val="000000"/>
                <w:szCs w:val="28"/>
                <w:lang w:eastAsia="lv-LV"/>
              </w:rPr>
              <w:t>Satiksmes ministrija, valsts akciju sabiedrība „Latvijas Valsts ceļi”</w:t>
            </w:r>
            <w:r w:rsidR="00E73CCC" w:rsidRPr="005D57E4">
              <w:rPr>
                <w:color w:val="000000"/>
                <w:szCs w:val="28"/>
                <w:lang w:eastAsia="lv-LV"/>
              </w:rPr>
              <w:t>, Latvijas Pašvaldību savienība</w:t>
            </w:r>
          </w:p>
        </w:tc>
      </w:tr>
      <w:tr w:rsidR="00943F6F" w:rsidRPr="005D57E4" w:rsidTr="00A139F9">
        <w:tc>
          <w:tcPr>
            <w:tcW w:w="250" w:type="pct"/>
            <w:tcBorders>
              <w:top w:val="outset" w:sz="6" w:space="0" w:color="414142"/>
              <w:bottom w:val="outset" w:sz="6" w:space="0" w:color="414142"/>
              <w:right w:val="outset" w:sz="6" w:space="0" w:color="414142"/>
            </w:tcBorders>
          </w:tcPr>
          <w:p w:rsidR="00943F6F" w:rsidRPr="005D57E4" w:rsidRDefault="00943F6F" w:rsidP="00DE0915">
            <w:pPr>
              <w:spacing w:before="100" w:beforeAutospacing="1" w:after="100" w:afterAutospacing="1" w:line="293" w:lineRule="atLeast"/>
              <w:jc w:val="center"/>
              <w:rPr>
                <w:color w:val="000000"/>
                <w:szCs w:val="28"/>
                <w:lang w:eastAsia="lv-LV"/>
              </w:rPr>
            </w:pPr>
            <w:r w:rsidRPr="005D57E4">
              <w:rPr>
                <w:color w:val="000000"/>
                <w:szCs w:val="28"/>
                <w:lang w:eastAsia="lv-LV"/>
              </w:rPr>
              <w:t>4.</w:t>
            </w:r>
          </w:p>
        </w:tc>
        <w:tc>
          <w:tcPr>
            <w:tcW w:w="1474"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Cita informācija</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spacing w:before="100" w:beforeAutospacing="1" w:after="100" w:afterAutospacing="1" w:line="293" w:lineRule="atLeast"/>
              <w:ind w:firstLine="678"/>
              <w:rPr>
                <w:color w:val="000000"/>
                <w:szCs w:val="28"/>
                <w:lang w:eastAsia="lv-LV"/>
              </w:rPr>
            </w:pPr>
            <w:r w:rsidRPr="005D57E4">
              <w:rPr>
                <w:color w:val="000000"/>
                <w:szCs w:val="28"/>
                <w:lang w:eastAsia="lv-LV"/>
              </w:rPr>
              <w:t>Nav.</w:t>
            </w:r>
          </w:p>
        </w:tc>
      </w:tr>
    </w:tbl>
    <w:p w:rsidR="00943F6F" w:rsidRDefault="00943F6F" w:rsidP="002F0047">
      <w:pPr>
        <w:shd w:val="clear" w:color="auto" w:fill="FFFFFF"/>
        <w:ind w:firstLine="301"/>
        <w:rPr>
          <w:color w:val="000000"/>
          <w:szCs w:val="28"/>
          <w:lang w:eastAsia="lv-LV"/>
        </w:rPr>
      </w:pPr>
    </w:p>
    <w:p w:rsidR="00867EDC" w:rsidRPr="005D57E4" w:rsidRDefault="00867EDC" w:rsidP="002F0047">
      <w:pPr>
        <w:shd w:val="clear" w:color="auto" w:fill="FFFFFF"/>
        <w:ind w:firstLine="301"/>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694"/>
        <w:gridCol w:w="5981"/>
      </w:tblGrid>
      <w:tr w:rsidR="00943F6F" w:rsidRPr="005D57E4" w:rsidTr="00DE0915">
        <w:trPr>
          <w:trHeight w:val="555"/>
        </w:trPr>
        <w:tc>
          <w:tcPr>
            <w:tcW w:w="0" w:type="auto"/>
            <w:gridSpan w:val="3"/>
            <w:tcBorders>
              <w:top w:val="outset" w:sz="6" w:space="0" w:color="414142"/>
              <w:bottom w:val="outset" w:sz="6" w:space="0" w:color="414142"/>
            </w:tcBorders>
            <w:vAlign w:val="center"/>
          </w:tcPr>
          <w:p w:rsidR="00943F6F" w:rsidRPr="005D57E4" w:rsidRDefault="00943F6F" w:rsidP="00DE0915">
            <w:pPr>
              <w:spacing w:before="100" w:beforeAutospacing="1" w:after="100" w:afterAutospacing="1" w:line="293" w:lineRule="atLeast"/>
              <w:jc w:val="center"/>
              <w:rPr>
                <w:b/>
                <w:bCs/>
                <w:color w:val="000000"/>
                <w:szCs w:val="28"/>
                <w:lang w:eastAsia="lv-LV"/>
              </w:rPr>
            </w:pPr>
            <w:r w:rsidRPr="005D57E4">
              <w:rPr>
                <w:b/>
                <w:bCs/>
                <w:color w:val="000000"/>
                <w:szCs w:val="28"/>
                <w:lang w:eastAsia="lv-LV"/>
              </w:rPr>
              <w:t>II Tiesību akta projekta ietekme uz sabiedrību, tautsaimniecības attīstību un administratīvo slogu</w:t>
            </w:r>
          </w:p>
        </w:tc>
      </w:tr>
      <w:tr w:rsidR="00943F6F" w:rsidRPr="005D57E4" w:rsidTr="00A139F9">
        <w:trPr>
          <w:trHeight w:val="465"/>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1.</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 xml:space="preserve">Sabiedrības </w:t>
            </w:r>
            <w:proofErr w:type="spellStart"/>
            <w:r w:rsidRPr="005D57E4">
              <w:rPr>
                <w:color w:val="000000"/>
                <w:szCs w:val="28"/>
                <w:lang w:eastAsia="lv-LV"/>
              </w:rPr>
              <w:t>mērķgrupas</w:t>
            </w:r>
            <w:proofErr w:type="spellEnd"/>
            <w:r w:rsidRPr="005D57E4">
              <w:rPr>
                <w:color w:val="000000"/>
                <w:szCs w:val="28"/>
                <w:lang w:eastAsia="lv-LV"/>
              </w:rPr>
              <w:t>, kuras tiesiskais regulējums ietekmē vai varētu ietekmēt</w:t>
            </w:r>
          </w:p>
        </w:tc>
        <w:tc>
          <w:tcPr>
            <w:tcW w:w="3275" w:type="pct"/>
            <w:tcBorders>
              <w:top w:val="outset" w:sz="6" w:space="0" w:color="414142"/>
              <w:left w:val="outset" w:sz="6" w:space="0" w:color="414142"/>
              <w:bottom w:val="outset" w:sz="6" w:space="0" w:color="414142"/>
            </w:tcBorders>
          </w:tcPr>
          <w:p w:rsidR="00943F6F" w:rsidRPr="005D57E4" w:rsidRDefault="00E73CCC" w:rsidP="001C2A74">
            <w:pPr>
              <w:ind w:firstLine="682"/>
              <w:jc w:val="both"/>
              <w:rPr>
                <w:color w:val="000000"/>
                <w:szCs w:val="28"/>
                <w:lang w:eastAsia="lv-LV"/>
              </w:rPr>
            </w:pPr>
            <w:r w:rsidRPr="005D57E4">
              <w:rPr>
                <w:color w:val="000000"/>
                <w:szCs w:val="28"/>
                <w:lang w:eastAsia="lv-LV"/>
              </w:rPr>
              <w:t>Pašvaldības, valsts akciju sabiedrība „Latvijas Valsts ceļi”.</w:t>
            </w:r>
          </w:p>
        </w:tc>
      </w:tr>
      <w:tr w:rsidR="00943F6F" w:rsidRPr="005D57E4" w:rsidTr="00A139F9">
        <w:trPr>
          <w:trHeight w:val="510"/>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2.</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Tiesiskā regulējuma ietekme uz tautsaimniecību un administratīvo slogu</w:t>
            </w:r>
          </w:p>
        </w:tc>
        <w:tc>
          <w:tcPr>
            <w:tcW w:w="3275" w:type="pct"/>
            <w:tcBorders>
              <w:top w:val="outset" w:sz="6" w:space="0" w:color="414142"/>
              <w:left w:val="outset" w:sz="6" w:space="0" w:color="414142"/>
              <w:bottom w:val="outset" w:sz="6" w:space="0" w:color="414142"/>
            </w:tcBorders>
          </w:tcPr>
          <w:p w:rsidR="00943F6F" w:rsidRPr="005D57E4" w:rsidRDefault="00943F6F" w:rsidP="0042367F">
            <w:pPr>
              <w:ind w:firstLine="720"/>
              <w:jc w:val="both"/>
              <w:rPr>
                <w:color w:val="000000"/>
                <w:szCs w:val="28"/>
              </w:rPr>
            </w:pPr>
            <w:r w:rsidRPr="005D57E4">
              <w:rPr>
                <w:color w:val="000000"/>
                <w:szCs w:val="28"/>
              </w:rPr>
              <w:t xml:space="preserve">Projekta mērķis ir mazināt administratīvo slogu pašvaldībām un pāriet tikai uz elektroniski noformētām atskaitēm. </w:t>
            </w:r>
          </w:p>
          <w:p w:rsidR="00943F6F" w:rsidRPr="005D57E4" w:rsidRDefault="00943F6F" w:rsidP="0042367F">
            <w:pPr>
              <w:ind w:firstLine="720"/>
              <w:jc w:val="both"/>
              <w:rPr>
                <w:color w:val="000000"/>
                <w:szCs w:val="28"/>
                <w:lang w:eastAsia="lv-LV"/>
              </w:rPr>
            </w:pPr>
            <w:r w:rsidRPr="005D57E4">
              <w:rPr>
                <w:color w:val="000000"/>
                <w:szCs w:val="28"/>
              </w:rPr>
              <w:t>Pašvaldībām vairs nebūs nepieciešama papīra formātā noformētu atskaišu sūtīšana.</w:t>
            </w:r>
          </w:p>
        </w:tc>
      </w:tr>
      <w:tr w:rsidR="00943F6F" w:rsidRPr="005D57E4" w:rsidTr="00A139F9">
        <w:trPr>
          <w:trHeight w:val="510"/>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3.</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Administratīvo izmaksu monetārs novērtējums</w:t>
            </w:r>
          </w:p>
        </w:tc>
        <w:tc>
          <w:tcPr>
            <w:tcW w:w="3275" w:type="pct"/>
            <w:tcBorders>
              <w:top w:val="outset" w:sz="6" w:space="0" w:color="414142"/>
              <w:left w:val="outset" w:sz="6" w:space="0" w:color="414142"/>
              <w:bottom w:val="outset" w:sz="6" w:space="0" w:color="414142"/>
            </w:tcBorders>
          </w:tcPr>
          <w:p w:rsidR="00943F6F" w:rsidRPr="005D57E4" w:rsidRDefault="00943F6F" w:rsidP="005D098E">
            <w:pPr>
              <w:ind w:firstLine="720"/>
              <w:jc w:val="both"/>
              <w:rPr>
                <w:szCs w:val="28"/>
              </w:rPr>
            </w:pPr>
            <w:r w:rsidRPr="005D57E4">
              <w:rPr>
                <w:szCs w:val="28"/>
              </w:rPr>
              <w:t>Projektam ir šāda administratīvo izmaksu ekonomija:</w:t>
            </w:r>
          </w:p>
          <w:p w:rsidR="00943F6F" w:rsidRPr="005D57E4" w:rsidRDefault="00943F6F" w:rsidP="00212CC1">
            <w:pPr>
              <w:ind w:firstLine="720"/>
              <w:contextualSpacing/>
              <w:jc w:val="both"/>
              <w:rPr>
                <w:szCs w:val="28"/>
              </w:rPr>
            </w:pPr>
            <w:r w:rsidRPr="005D57E4">
              <w:rPr>
                <w:szCs w:val="28"/>
              </w:rPr>
              <w:t xml:space="preserve">1) </w:t>
            </w:r>
            <w:r w:rsidRPr="005D57E4">
              <w:rPr>
                <w:color w:val="000000"/>
                <w:szCs w:val="28"/>
                <w:lang w:eastAsia="lv-LV"/>
              </w:rPr>
              <w:t>valsts akciju sabiedrība „Latvijas Valsts ceļi”</w:t>
            </w:r>
            <w:r w:rsidRPr="005D57E4">
              <w:rPr>
                <w:szCs w:val="28"/>
              </w:rPr>
              <w:t>, veicot atskaišu apstrādi</w:t>
            </w:r>
            <w:r w:rsidR="00E73CCC" w:rsidRPr="005D57E4">
              <w:rPr>
                <w:szCs w:val="28"/>
              </w:rPr>
              <w:t>,</w:t>
            </w:r>
            <w:r w:rsidRPr="005D57E4">
              <w:rPr>
                <w:szCs w:val="28"/>
              </w:rPr>
              <w:t xml:space="preserve"> administratīvās izmaksas nemainās.</w:t>
            </w:r>
          </w:p>
          <w:p w:rsidR="00943F6F" w:rsidRPr="005D57E4" w:rsidRDefault="00943F6F" w:rsidP="00212CC1">
            <w:pPr>
              <w:ind w:firstLine="720"/>
              <w:contextualSpacing/>
              <w:jc w:val="both"/>
              <w:rPr>
                <w:szCs w:val="28"/>
              </w:rPr>
            </w:pPr>
            <w:r w:rsidRPr="005D57E4">
              <w:rPr>
                <w:szCs w:val="28"/>
              </w:rPr>
              <w:t>2) Pašvaldībām, veicot informācijas sagatavošanu, administratīvās izmaksas nemainās.</w:t>
            </w:r>
          </w:p>
          <w:p w:rsidR="00943F6F" w:rsidRPr="005D57E4" w:rsidRDefault="00943F6F" w:rsidP="00212CC1">
            <w:pPr>
              <w:ind w:firstLine="720"/>
              <w:contextualSpacing/>
              <w:jc w:val="both"/>
              <w:rPr>
                <w:szCs w:val="28"/>
              </w:rPr>
            </w:pPr>
            <w:r w:rsidRPr="005D57E4">
              <w:rPr>
                <w:szCs w:val="28"/>
              </w:rPr>
              <w:t>2) Pašvaldībām administratīvo izmaksu samazinājums (pieņemot, ka gadā tiktu noformētas (elektroniski) (119 x 4) 796 atskaites ar pavadvēstulēm</w:t>
            </w:r>
            <w:r w:rsidR="00E73CCC" w:rsidRPr="005D57E4">
              <w:rPr>
                <w:szCs w:val="28"/>
              </w:rPr>
              <w:t>)</w:t>
            </w:r>
            <w:r w:rsidRPr="005D57E4">
              <w:rPr>
                <w:szCs w:val="28"/>
              </w:rPr>
              <w:t xml:space="preserve"> par drukāšanas, papīra, konvertu un pasta sūtījumu (markas) izmaksām atkarībā no iepirkuma rezultātiem būs ~ 470 </w:t>
            </w:r>
            <w:proofErr w:type="spellStart"/>
            <w:r w:rsidRPr="005D57E4">
              <w:rPr>
                <w:i/>
                <w:szCs w:val="28"/>
              </w:rPr>
              <w:t>euro</w:t>
            </w:r>
            <w:proofErr w:type="spellEnd"/>
            <w:r w:rsidRPr="005D57E4">
              <w:rPr>
                <w:szCs w:val="28"/>
              </w:rPr>
              <w:t xml:space="preserve"> gadā. </w:t>
            </w:r>
          </w:p>
        </w:tc>
      </w:tr>
      <w:tr w:rsidR="00943F6F" w:rsidRPr="005D57E4" w:rsidTr="00A139F9">
        <w:trPr>
          <w:trHeight w:val="345"/>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4.</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Cita informācija</w:t>
            </w:r>
          </w:p>
        </w:tc>
        <w:tc>
          <w:tcPr>
            <w:tcW w:w="3275" w:type="pct"/>
            <w:tcBorders>
              <w:top w:val="outset" w:sz="6" w:space="0" w:color="414142"/>
              <w:left w:val="outset" w:sz="6" w:space="0" w:color="414142"/>
              <w:bottom w:val="outset" w:sz="6" w:space="0" w:color="414142"/>
            </w:tcBorders>
          </w:tcPr>
          <w:p w:rsidR="00943F6F" w:rsidRPr="005D57E4" w:rsidRDefault="00943F6F" w:rsidP="00A139F9">
            <w:pPr>
              <w:spacing w:before="100" w:beforeAutospacing="1" w:after="100" w:afterAutospacing="1" w:line="293" w:lineRule="atLeast"/>
              <w:ind w:firstLine="682"/>
              <w:rPr>
                <w:color w:val="000000"/>
                <w:szCs w:val="28"/>
                <w:lang w:eastAsia="lv-LV"/>
              </w:rPr>
            </w:pPr>
            <w:r w:rsidRPr="005D57E4">
              <w:rPr>
                <w:color w:val="000000"/>
                <w:szCs w:val="28"/>
                <w:lang w:eastAsia="lv-LV"/>
              </w:rPr>
              <w:t>Nav.</w:t>
            </w:r>
          </w:p>
        </w:tc>
      </w:tr>
    </w:tbl>
    <w:p w:rsidR="00943F6F" w:rsidRDefault="00943F6F" w:rsidP="002F0047">
      <w:pPr>
        <w:shd w:val="clear" w:color="auto" w:fill="FFFFFF"/>
        <w:ind w:firstLine="301"/>
        <w:rPr>
          <w:color w:val="000000"/>
          <w:szCs w:val="28"/>
          <w:lang w:eastAsia="lv-LV"/>
        </w:rPr>
      </w:pPr>
    </w:p>
    <w:p w:rsidR="00867EDC" w:rsidRPr="005D57E4" w:rsidRDefault="00867EDC" w:rsidP="002F0047">
      <w:pPr>
        <w:shd w:val="clear" w:color="auto" w:fill="FFFFFF"/>
        <w:ind w:firstLine="301"/>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943F6F" w:rsidRPr="005D57E4" w:rsidTr="00630602">
        <w:trPr>
          <w:trHeight w:val="420"/>
        </w:trPr>
        <w:tc>
          <w:tcPr>
            <w:tcW w:w="0" w:type="auto"/>
            <w:gridSpan w:val="3"/>
            <w:tcBorders>
              <w:top w:val="outset" w:sz="6" w:space="0" w:color="414142"/>
              <w:bottom w:val="outset" w:sz="6" w:space="0" w:color="414142"/>
            </w:tcBorders>
            <w:shd w:val="clear" w:color="auto" w:fill="FFFFFF"/>
            <w:vAlign w:val="center"/>
          </w:tcPr>
          <w:p w:rsidR="00943F6F" w:rsidRPr="005D57E4" w:rsidRDefault="00943F6F" w:rsidP="00630602">
            <w:pPr>
              <w:spacing w:before="100" w:beforeAutospacing="1" w:after="100" w:afterAutospacing="1" w:line="285" w:lineRule="atLeast"/>
              <w:jc w:val="center"/>
              <w:rPr>
                <w:b/>
                <w:bCs/>
                <w:color w:val="000000"/>
                <w:szCs w:val="28"/>
                <w:lang w:eastAsia="lv-LV"/>
              </w:rPr>
            </w:pPr>
            <w:r w:rsidRPr="005D57E4">
              <w:rPr>
                <w:b/>
                <w:bCs/>
                <w:color w:val="000000"/>
                <w:szCs w:val="28"/>
                <w:lang w:eastAsia="lv-LV"/>
              </w:rPr>
              <w:t>VI Sabiedrības līdzdalība un komunikācijas aktivitātes</w:t>
            </w:r>
          </w:p>
        </w:tc>
      </w:tr>
      <w:tr w:rsidR="00943F6F" w:rsidRPr="005D57E4" w:rsidTr="00A139F9">
        <w:trPr>
          <w:trHeight w:val="540"/>
        </w:trPr>
        <w:tc>
          <w:tcPr>
            <w:tcW w:w="250" w:type="pct"/>
            <w:tcBorders>
              <w:top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 xml:space="preserve">Plānotās sabiedrības līdzdalības un </w:t>
            </w:r>
            <w:r w:rsidRPr="005D57E4">
              <w:rPr>
                <w:color w:val="000000"/>
                <w:szCs w:val="28"/>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943F6F" w:rsidRPr="005D57E4" w:rsidRDefault="00943F6F" w:rsidP="00A139F9">
            <w:pPr>
              <w:ind w:firstLine="773"/>
              <w:jc w:val="both"/>
              <w:rPr>
                <w:szCs w:val="28"/>
              </w:rPr>
            </w:pPr>
            <w:r w:rsidRPr="005D57E4">
              <w:rPr>
                <w:szCs w:val="28"/>
              </w:rPr>
              <w:lastRenderedPageBreak/>
              <w:t xml:space="preserve">Projekts </w:t>
            </w:r>
            <w:r w:rsidR="00E73CCC" w:rsidRPr="005D57E4">
              <w:rPr>
                <w:szCs w:val="28"/>
              </w:rPr>
              <w:t xml:space="preserve">2015. gada 1. jūlijā </w:t>
            </w:r>
            <w:r w:rsidRPr="005D57E4">
              <w:rPr>
                <w:szCs w:val="28"/>
              </w:rPr>
              <w:t xml:space="preserve">publicēts Satiksmes ministrijas </w:t>
            </w:r>
            <w:r w:rsidR="00E73CCC" w:rsidRPr="005D57E4">
              <w:rPr>
                <w:szCs w:val="28"/>
              </w:rPr>
              <w:t>interneta vietnē</w:t>
            </w:r>
            <w:r w:rsidRPr="005D57E4">
              <w:rPr>
                <w:szCs w:val="28"/>
              </w:rPr>
              <w:t xml:space="preserve">, sadaļā </w:t>
            </w:r>
            <w:r w:rsidRPr="005D57E4">
              <w:rPr>
                <w:szCs w:val="28"/>
              </w:rPr>
              <w:lastRenderedPageBreak/>
              <w:t>„Izstrādē esošie attīstības plānošanas dokumenti un tiesību akti ”.</w:t>
            </w:r>
          </w:p>
          <w:p w:rsidR="00943F6F" w:rsidRPr="005D57E4" w:rsidRDefault="00943F6F" w:rsidP="00630602">
            <w:pPr>
              <w:rPr>
                <w:color w:val="000000"/>
                <w:szCs w:val="28"/>
                <w:lang w:eastAsia="lv-LV"/>
              </w:rPr>
            </w:pPr>
          </w:p>
        </w:tc>
      </w:tr>
      <w:tr w:rsidR="00943F6F" w:rsidRPr="005D57E4" w:rsidTr="00A139F9">
        <w:trPr>
          <w:trHeight w:val="330"/>
        </w:trPr>
        <w:tc>
          <w:tcPr>
            <w:tcW w:w="250" w:type="pct"/>
            <w:tcBorders>
              <w:top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943F6F" w:rsidRPr="005D57E4" w:rsidRDefault="00943F6F" w:rsidP="00A139F9">
            <w:pPr>
              <w:ind w:firstLine="773"/>
              <w:rPr>
                <w:color w:val="000000"/>
                <w:szCs w:val="28"/>
                <w:lang w:eastAsia="lv-LV"/>
              </w:rPr>
            </w:pPr>
            <w:r w:rsidRPr="005D57E4">
              <w:rPr>
                <w:color w:val="000000"/>
                <w:szCs w:val="28"/>
                <w:lang w:eastAsia="lv-LV"/>
              </w:rPr>
              <w:t>Projekts šo jomu neskar.</w:t>
            </w:r>
          </w:p>
        </w:tc>
      </w:tr>
      <w:tr w:rsidR="00943F6F" w:rsidRPr="005D57E4" w:rsidTr="00A139F9">
        <w:trPr>
          <w:trHeight w:val="465"/>
        </w:trPr>
        <w:tc>
          <w:tcPr>
            <w:tcW w:w="250" w:type="pct"/>
            <w:tcBorders>
              <w:top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943F6F" w:rsidRPr="005D57E4" w:rsidRDefault="00943F6F" w:rsidP="00A139F9">
            <w:pPr>
              <w:ind w:firstLine="773"/>
              <w:rPr>
                <w:color w:val="000000"/>
                <w:szCs w:val="28"/>
                <w:lang w:eastAsia="lv-LV"/>
              </w:rPr>
            </w:pPr>
            <w:r w:rsidRPr="005D57E4">
              <w:rPr>
                <w:color w:val="000000"/>
                <w:szCs w:val="28"/>
                <w:lang w:eastAsia="lv-LV"/>
              </w:rPr>
              <w:t>Priekšlikumi nav saņemti.</w:t>
            </w:r>
          </w:p>
        </w:tc>
      </w:tr>
      <w:tr w:rsidR="00943F6F" w:rsidRPr="005D57E4" w:rsidTr="00A139F9">
        <w:trPr>
          <w:trHeight w:val="465"/>
        </w:trPr>
        <w:tc>
          <w:tcPr>
            <w:tcW w:w="250" w:type="pct"/>
            <w:tcBorders>
              <w:top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43F6F" w:rsidRPr="005D57E4" w:rsidRDefault="00943F6F" w:rsidP="00630602">
            <w:pPr>
              <w:rPr>
                <w:color w:val="000000"/>
                <w:szCs w:val="28"/>
                <w:lang w:eastAsia="lv-LV"/>
              </w:rPr>
            </w:pPr>
            <w:r w:rsidRPr="005D57E4">
              <w:rPr>
                <w:color w:val="000000"/>
                <w:szCs w:val="28"/>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943F6F" w:rsidRPr="005D57E4" w:rsidRDefault="00943F6F" w:rsidP="00A139F9">
            <w:pPr>
              <w:spacing w:before="100" w:beforeAutospacing="1" w:after="100" w:afterAutospacing="1" w:line="285" w:lineRule="atLeast"/>
              <w:ind w:firstLine="773"/>
              <w:rPr>
                <w:color w:val="000000"/>
                <w:szCs w:val="28"/>
                <w:lang w:eastAsia="lv-LV"/>
              </w:rPr>
            </w:pPr>
            <w:r w:rsidRPr="005D57E4">
              <w:rPr>
                <w:color w:val="000000"/>
                <w:szCs w:val="28"/>
                <w:lang w:eastAsia="lv-LV"/>
              </w:rPr>
              <w:t>Nav.</w:t>
            </w:r>
          </w:p>
        </w:tc>
      </w:tr>
    </w:tbl>
    <w:p w:rsidR="00943F6F" w:rsidRDefault="00943F6F" w:rsidP="002F0047">
      <w:pPr>
        <w:shd w:val="clear" w:color="auto" w:fill="FFFFFF"/>
        <w:ind w:firstLine="301"/>
        <w:rPr>
          <w:color w:val="000000"/>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694"/>
        <w:gridCol w:w="5981"/>
      </w:tblGrid>
      <w:tr w:rsidR="00943F6F" w:rsidRPr="005D57E4" w:rsidTr="00DE0915">
        <w:trPr>
          <w:trHeight w:val="375"/>
          <w:jc w:val="center"/>
        </w:trPr>
        <w:tc>
          <w:tcPr>
            <w:tcW w:w="0" w:type="auto"/>
            <w:gridSpan w:val="3"/>
            <w:tcBorders>
              <w:top w:val="outset" w:sz="6" w:space="0" w:color="414142"/>
              <w:bottom w:val="outset" w:sz="6" w:space="0" w:color="414142"/>
            </w:tcBorders>
            <w:vAlign w:val="center"/>
          </w:tcPr>
          <w:p w:rsidR="00943F6F" w:rsidRPr="005D57E4" w:rsidRDefault="00943F6F" w:rsidP="00DE0915">
            <w:pPr>
              <w:spacing w:before="100" w:beforeAutospacing="1" w:after="100" w:afterAutospacing="1" w:line="293" w:lineRule="atLeast"/>
              <w:jc w:val="center"/>
              <w:rPr>
                <w:b/>
                <w:bCs/>
                <w:color w:val="000000"/>
                <w:szCs w:val="28"/>
                <w:lang w:eastAsia="lv-LV"/>
              </w:rPr>
            </w:pPr>
            <w:r w:rsidRPr="005D57E4">
              <w:rPr>
                <w:b/>
                <w:bCs/>
                <w:color w:val="000000"/>
                <w:szCs w:val="28"/>
                <w:lang w:eastAsia="lv-LV"/>
              </w:rPr>
              <w:t>VII Tiesību akta projekta izpildes nodrošināšana un tās ietekme uz institūcijām</w:t>
            </w:r>
          </w:p>
        </w:tc>
      </w:tr>
      <w:tr w:rsidR="00943F6F" w:rsidRPr="005D57E4" w:rsidTr="00A139F9">
        <w:trPr>
          <w:trHeight w:val="420"/>
          <w:jc w:val="center"/>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1.</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Projekta izpildē iesaistītās institūcijas</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ind w:firstLine="819"/>
              <w:jc w:val="both"/>
              <w:rPr>
                <w:color w:val="000000"/>
                <w:szCs w:val="28"/>
                <w:lang w:eastAsia="lv-LV"/>
              </w:rPr>
            </w:pPr>
            <w:r w:rsidRPr="005D57E4">
              <w:rPr>
                <w:color w:val="000000"/>
                <w:szCs w:val="28"/>
                <w:lang w:eastAsia="lv-LV"/>
              </w:rPr>
              <w:t xml:space="preserve">Satiksmes ministrija, valsts akciju sabiedrība „Latvijas Valsts ceļi”, </w:t>
            </w:r>
            <w:r w:rsidR="00A525C3" w:rsidRPr="005D57E4">
              <w:rPr>
                <w:color w:val="000000"/>
                <w:szCs w:val="28"/>
                <w:lang w:eastAsia="lv-LV"/>
              </w:rPr>
              <w:t>pašvaldības, Valsts kase</w:t>
            </w:r>
            <w:r w:rsidRPr="005D57E4">
              <w:rPr>
                <w:color w:val="000000"/>
                <w:szCs w:val="28"/>
                <w:lang w:eastAsia="lv-LV"/>
              </w:rPr>
              <w:t>.</w:t>
            </w:r>
          </w:p>
        </w:tc>
      </w:tr>
      <w:tr w:rsidR="00943F6F" w:rsidRPr="005D57E4" w:rsidTr="00A139F9">
        <w:trPr>
          <w:trHeight w:val="450"/>
          <w:jc w:val="center"/>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2.</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Projekta izpildes ietekme uz pārvaldes funkcijām un institucionālo struktūru.</w:t>
            </w:r>
          </w:p>
          <w:p w:rsidR="00943F6F" w:rsidRPr="005D57E4" w:rsidRDefault="00943F6F" w:rsidP="00DE0915">
            <w:pPr>
              <w:spacing w:before="100" w:beforeAutospacing="1" w:after="100" w:afterAutospacing="1" w:line="293" w:lineRule="atLeast"/>
              <w:rPr>
                <w:color w:val="000000"/>
                <w:szCs w:val="28"/>
                <w:lang w:eastAsia="lv-LV"/>
              </w:rPr>
            </w:pPr>
            <w:r w:rsidRPr="005D57E4">
              <w:rPr>
                <w:color w:val="000000"/>
                <w:szCs w:val="28"/>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ind w:firstLine="819"/>
              <w:rPr>
                <w:color w:val="000000"/>
                <w:szCs w:val="28"/>
                <w:lang w:eastAsia="lv-LV"/>
              </w:rPr>
            </w:pPr>
            <w:r w:rsidRPr="005D57E4">
              <w:rPr>
                <w:color w:val="000000"/>
                <w:szCs w:val="28"/>
                <w:lang w:eastAsia="lv-LV"/>
              </w:rPr>
              <w:t>Projekts šo jomu neskar.</w:t>
            </w:r>
          </w:p>
        </w:tc>
      </w:tr>
      <w:tr w:rsidR="00943F6F" w:rsidRPr="005D57E4" w:rsidTr="00A139F9">
        <w:trPr>
          <w:trHeight w:val="390"/>
          <w:jc w:val="center"/>
        </w:trPr>
        <w:tc>
          <w:tcPr>
            <w:tcW w:w="250" w:type="pct"/>
            <w:tcBorders>
              <w:top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3.</w:t>
            </w:r>
          </w:p>
        </w:tc>
        <w:tc>
          <w:tcPr>
            <w:tcW w:w="1475" w:type="pct"/>
            <w:tcBorders>
              <w:top w:val="outset" w:sz="6" w:space="0" w:color="414142"/>
              <w:left w:val="outset" w:sz="6" w:space="0" w:color="414142"/>
              <w:bottom w:val="outset" w:sz="6" w:space="0" w:color="414142"/>
              <w:right w:val="outset" w:sz="6" w:space="0" w:color="414142"/>
            </w:tcBorders>
          </w:tcPr>
          <w:p w:rsidR="00943F6F" w:rsidRPr="005D57E4" w:rsidRDefault="00943F6F" w:rsidP="00DE0915">
            <w:pPr>
              <w:rPr>
                <w:color w:val="000000"/>
                <w:szCs w:val="28"/>
                <w:lang w:eastAsia="lv-LV"/>
              </w:rPr>
            </w:pPr>
            <w:r w:rsidRPr="005D57E4">
              <w:rPr>
                <w:color w:val="000000"/>
                <w:szCs w:val="28"/>
                <w:lang w:eastAsia="lv-LV"/>
              </w:rPr>
              <w:t>Cita informācija</w:t>
            </w:r>
          </w:p>
        </w:tc>
        <w:tc>
          <w:tcPr>
            <w:tcW w:w="3276" w:type="pct"/>
            <w:tcBorders>
              <w:top w:val="outset" w:sz="6" w:space="0" w:color="414142"/>
              <w:left w:val="outset" w:sz="6" w:space="0" w:color="414142"/>
              <w:bottom w:val="outset" w:sz="6" w:space="0" w:color="414142"/>
            </w:tcBorders>
          </w:tcPr>
          <w:p w:rsidR="00943F6F" w:rsidRPr="005D57E4" w:rsidRDefault="00943F6F" w:rsidP="00A139F9">
            <w:pPr>
              <w:spacing w:before="100" w:beforeAutospacing="1" w:after="100" w:afterAutospacing="1" w:line="293" w:lineRule="atLeast"/>
              <w:ind w:firstLine="819"/>
              <w:rPr>
                <w:color w:val="000000"/>
                <w:szCs w:val="28"/>
                <w:lang w:eastAsia="lv-LV"/>
              </w:rPr>
            </w:pPr>
            <w:r w:rsidRPr="005D57E4">
              <w:rPr>
                <w:color w:val="000000"/>
                <w:szCs w:val="28"/>
                <w:lang w:eastAsia="lv-LV"/>
              </w:rPr>
              <w:t>Nav.</w:t>
            </w:r>
          </w:p>
        </w:tc>
      </w:tr>
    </w:tbl>
    <w:p w:rsidR="00943F6F" w:rsidRPr="007D1291" w:rsidRDefault="00943F6F" w:rsidP="00666170">
      <w:pPr>
        <w:ind w:firstLine="720"/>
        <w:rPr>
          <w:color w:val="000000"/>
          <w:szCs w:val="28"/>
        </w:rPr>
      </w:pPr>
      <w:r w:rsidRPr="007D1291">
        <w:rPr>
          <w:color w:val="000000"/>
          <w:szCs w:val="28"/>
        </w:rPr>
        <w:t>Anotācijas III, IV, V sadaļa – projekts šo jomu neskar.</w:t>
      </w:r>
    </w:p>
    <w:p w:rsidR="00943F6F" w:rsidRDefault="00943F6F" w:rsidP="005D0E57">
      <w:pPr>
        <w:rPr>
          <w:color w:val="000000"/>
          <w:sz w:val="24"/>
          <w:szCs w:val="24"/>
        </w:rPr>
      </w:pPr>
    </w:p>
    <w:p w:rsidR="00943F6F" w:rsidRDefault="00943F6F" w:rsidP="005D0E57">
      <w:pPr>
        <w:rPr>
          <w:color w:val="000000"/>
          <w:sz w:val="24"/>
          <w:szCs w:val="24"/>
        </w:rPr>
      </w:pPr>
    </w:p>
    <w:p w:rsidR="00CF749D" w:rsidRPr="00CF749D" w:rsidRDefault="00CF749D" w:rsidP="00CF749D">
      <w:pPr>
        <w:spacing w:after="40"/>
        <w:ind w:firstLine="720"/>
        <w:jc w:val="both"/>
        <w:rPr>
          <w:szCs w:val="28"/>
          <w:lang w:eastAsia="lv-LV"/>
        </w:rPr>
      </w:pPr>
      <w:r w:rsidRPr="00CF749D">
        <w:rPr>
          <w:szCs w:val="28"/>
          <w:lang w:eastAsia="lv-LV"/>
        </w:rPr>
        <w:t xml:space="preserve">Satiksmes ministra </w:t>
      </w:r>
      <w:proofErr w:type="spellStart"/>
      <w:r w:rsidRPr="00CF749D">
        <w:rPr>
          <w:szCs w:val="28"/>
          <w:lang w:eastAsia="lv-LV"/>
        </w:rPr>
        <w:t>p.i</w:t>
      </w:r>
      <w:proofErr w:type="spellEnd"/>
      <w:r w:rsidRPr="00CF749D">
        <w:rPr>
          <w:szCs w:val="28"/>
          <w:lang w:eastAsia="lv-LV"/>
        </w:rPr>
        <w:t>.</w:t>
      </w:r>
    </w:p>
    <w:p w:rsidR="00CF749D" w:rsidRPr="00CF749D" w:rsidRDefault="00CF749D" w:rsidP="00CF749D">
      <w:pPr>
        <w:spacing w:after="40"/>
        <w:ind w:firstLine="720"/>
        <w:jc w:val="both"/>
        <w:rPr>
          <w:szCs w:val="28"/>
          <w:lang w:eastAsia="lv-LV"/>
        </w:rPr>
      </w:pPr>
      <w:r w:rsidRPr="00CF749D">
        <w:rPr>
          <w:szCs w:val="28"/>
          <w:lang w:eastAsia="lv-LV"/>
        </w:rPr>
        <w:t>iekšlietu ministrs</w:t>
      </w:r>
      <w:r w:rsidRPr="00CF749D">
        <w:rPr>
          <w:szCs w:val="28"/>
          <w:lang w:eastAsia="lv-LV"/>
        </w:rPr>
        <w:tab/>
      </w:r>
      <w:r w:rsidRPr="00CF749D">
        <w:rPr>
          <w:szCs w:val="28"/>
          <w:lang w:eastAsia="lv-LV"/>
        </w:rPr>
        <w:tab/>
      </w:r>
      <w:r w:rsidRPr="00CF749D">
        <w:rPr>
          <w:szCs w:val="28"/>
          <w:lang w:eastAsia="lv-LV"/>
        </w:rPr>
        <w:tab/>
      </w:r>
      <w:r w:rsidRPr="00CF749D">
        <w:rPr>
          <w:szCs w:val="28"/>
          <w:lang w:eastAsia="lv-LV"/>
        </w:rPr>
        <w:tab/>
      </w:r>
      <w:r w:rsidRPr="00CF749D">
        <w:rPr>
          <w:szCs w:val="28"/>
          <w:lang w:eastAsia="lv-LV"/>
        </w:rPr>
        <w:tab/>
      </w:r>
      <w:r w:rsidRPr="00CF749D">
        <w:rPr>
          <w:szCs w:val="28"/>
          <w:lang w:eastAsia="lv-LV"/>
        </w:rPr>
        <w:tab/>
      </w:r>
      <w:r w:rsidRPr="00CF749D">
        <w:rPr>
          <w:szCs w:val="28"/>
          <w:lang w:eastAsia="lv-LV"/>
        </w:rPr>
        <w:tab/>
        <w:t xml:space="preserve">    R. </w:t>
      </w:r>
      <w:proofErr w:type="spellStart"/>
      <w:r w:rsidRPr="00CF749D">
        <w:rPr>
          <w:szCs w:val="28"/>
          <w:lang w:eastAsia="lv-LV"/>
        </w:rPr>
        <w:t>Kozlovskis</w:t>
      </w:r>
      <w:proofErr w:type="spellEnd"/>
    </w:p>
    <w:p w:rsidR="00943F6F" w:rsidRDefault="00943F6F" w:rsidP="005D0E57">
      <w:pPr>
        <w:jc w:val="both"/>
        <w:rPr>
          <w:szCs w:val="28"/>
          <w:lang w:eastAsia="lv-LV"/>
        </w:rPr>
      </w:pPr>
    </w:p>
    <w:p w:rsidR="00943F6F" w:rsidRDefault="00943F6F" w:rsidP="00DF54BE">
      <w:pPr>
        <w:ind w:left="709"/>
        <w:jc w:val="both"/>
        <w:rPr>
          <w:szCs w:val="28"/>
          <w:lang w:eastAsia="lv-LV"/>
        </w:rPr>
      </w:pPr>
      <w:r>
        <w:rPr>
          <w:szCs w:val="28"/>
          <w:lang w:eastAsia="lv-LV"/>
        </w:rPr>
        <w:t xml:space="preserve">Vīza: </w:t>
      </w:r>
      <w:r w:rsidR="00175968" w:rsidRPr="005F01A3">
        <w:rPr>
          <w:rFonts w:eastAsia="Times New Roman"/>
          <w:szCs w:val="28"/>
          <w:lang w:eastAsia="lv-LV"/>
        </w:rPr>
        <w:t>valsts sekretār</w:t>
      </w:r>
      <w:r w:rsidR="00DF54BE">
        <w:rPr>
          <w:rFonts w:eastAsia="Times New Roman"/>
          <w:szCs w:val="28"/>
          <w:lang w:eastAsia="lv-LV"/>
        </w:rPr>
        <w:t>s</w:t>
      </w:r>
      <w:r w:rsidR="00867EDC">
        <w:rPr>
          <w:rFonts w:eastAsia="Times New Roman"/>
          <w:szCs w:val="28"/>
          <w:lang w:eastAsia="lv-LV"/>
        </w:rPr>
        <w:tab/>
      </w:r>
      <w:r w:rsidR="00867EDC">
        <w:rPr>
          <w:rFonts w:eastAsia="Times New Roman"/>
          <w:szCs w:val="28"/>
          <w:lang w:eastAsia="lv-LV"/>
        </w:rPr>
        <w:tab/>
      </w:r>
      <w:r w:rsidR="00867EDC">
        <w:rPr>
          <w:rFonts w:eastAsia="Times New Roman"/>
          <w:szCs w:val="28"/>
          <w:lang w:eastAsia="lv-LV"/>
        </w:rPr>
        <w:tab/>
      </w:r>
      <w:r w:rsidR="00867EDC">
        <w:rPr>
          <w:rFonts w:eastAsia="Times New Roman"/>
          <w:szCs w:val="28"/>
          <w:lang w:eastAsia="lv-LV"/>
        </w:rPr>
        <w:tab/>
      </w:r>
      <w:r w:rsidR="00867EDC">
        <w:rPr>
          <w:rFonts w:eastAsia="Times New Roman"/>
          <w:szCs w:val="28"/>
          <w:lang w:eastAsia="lv-LV"/>
        </w:rPr>
        <w:tab/>
      </w:r>
      <w:r w:rsidR="00175968" w:rsidRPr="005F01A3">
        <w:rPr>
          <w:rFonts w:eastAsia="Times New Roman"/>
          <w:szCs w:val="28"/>
          <w:lang w:eastAsia="lv-LV"/>
        </w:rPr>
        <w:tab/>
      </w:r>
      <w:r w:rsidR="001441EC">
        <w:rPr>
          <w:rFonts w:eastAsia="Times New Roman"/>
          <w:szCs w:val="28"/>
          <w:lang w:eastAsia="lv-LV"/>
        </w:rPr>
        <w:t xml:space="preserve">    </w:t>
      </w:r>
      <w:r w:rsidR="00DF54BE">
        <w:rPr>
          <w:rFonts w:eastAsia="Times New Roman"/>
          <w:szCs w:val="28"/>
          <w:lang w:eastAsia="lv-LV"/>
        </w:rPr>
        <w:t>K.</w:t>
      </w:r>
      <w:r w:rsidR="009429A1">
        <w:rPr>
          <w:rFonts w:eastAsia="Times New Roman"/>
          <w:szCs w:val="28"/>
          <w:lang w:eastAsia="lv-LV"/>
        </w:rPr>
        <w:t> </w:t>
      </w:r>
      <w:r w:rsidR="00DF54BE">
        <w:rPr>
          <w:rFonts w:eastAsia="Times New Roman"/>
          <w:szCs w:val="28"/>
          <w:lang w:eastAsia="lv-LV"/>
        </w:rPr>
        <w:t>Ozoliņš</w:t>
      </w:r>
    </w:p>
    <w:p w:rsidR="00943F6F" w:rsidRDefault="00943F6F" w:rsidP="005D0E57">
      <w:pPr>
        <w:jc w:val="both"/>
        <w:rPr>
          <w:szCs w:val="28"/>
          <w:lang w:eastAsia="lv-LV"/>
        </w:rPr>
      </w:pPr>
    </w:p>
    <w:p w:rsidR="00DC398A" w:rsidRDefault="00DC398A" w:rsidP="005D0E57">
      <w:pPr>
        <w:jc w:val="both"/>
        <w:rPr>
          <w:szCs w:val="28"/>
          <w:lang w:eastAsia="lv-LV"/>
        </w:rPr>
      </w:pPr>
    </w:p>
    <w:p w:rsidR="00943F6F" w:rsidRDefault="00DA5730" w:rsidP="005D0E57">
      <w:pPr>
        <w:jc w:val="both"/>
        <w:rPr>
          <w:sz w:val="20"/>
          <w:szCs w:val="20"/>
          <w:lang w:eastAsia="lv-LV"/>
        </w:rPr>
      </w:pPr>
      <w:r>
        <w:rPr>
          <w:sz w:val="20"/>
          <w:szCs w:val="20"/>
          <w:lang w:eastAsia="lv-LV"/>
        </w:rPr>
        <w:t>0</w:t>
      </w:r>
      <w:r w:rsidR="001441EC">
        <w:rPr>
          <w:sz w:val="20"/>
          <w:szCs w:val="20"/>
          <w:lang w:eastAsia="lv-LV"/>
        </w:rPr>
        <w:t>7</w:t>
      </w:r>
      <w:r>
        <w:rPr>
          <w:sz w:val="20"/>
          <w:szCs w:val="20"/>
          <w:lang w:eastAsia="lv-LV"/>
        </w:rPr>
        <w:t>.12</w:t>
      </w:r>
      <w:r w:rsidR="00B36E50">
        <w:rPr>
          <w:sz w:val="20"/>
          <w:szCs w:val="20"/>
          <w:lang w:eastAsia="lv-LV"/>
        </w:rPr>
        <w:t>.2015</w:t>
      </w:r>
      <w:r w:rsidR="00943F6F">
        <w:rPr>
          <w:sz w:val="20"/>
          <w:szCs w:val="20"/>
          <w:lang w:eastAsia="lv-LV"/>
        </w:rPr>
        <w:t xml:space="preserve">. </w:t>
      </w:r>
      <w:r w:rsidR="00801A9B">
        <w:rPr>
          <w:sz w:val="20"/>
          <w:szCs w:val="20"/>
          <w:lang w:eastAsia="lv-LV"/>
        </w:rPr>
        <w:t>9</w:t>
      </w:r>
      <w:r w:rsidR="00867EDC" w:rsidRPr="00801A9B">
        <w:rPr>
          <w:sz w:val="20"/>
          <w:szCs w:val="20"/>
          <w:lang w:eastAsia="lv-LV"/>
        </w:rPr>
        <w:t>:</w:t>
      </w:r>
      <w:r w:rsidR="001441EC">
        <w:rPr>
          <w:sz w:val="20"/>
          <w:szCs w:val="20"/>
          <w:lang w:eastAsia="lv-LV"/>
        </w:rPr>
        <w:t>35</w:t>
      </w:r>
      <w:bookmarkStart w:id="0" w:name="_GoBack"/>
      <w:bookmarkEnd w:id="0"/>
    </w:p>
    <w:p w:rsidR="00943F6F" w:rsidRPr="00867EDC" w:rsidRDefault="00E560BB" w:rsidP="005D0E57">
      <w:pPr>
        <w:jc w:val="both"/>
        <w:rPr>
          <w:sz w:val="20"/>
          <w:szCs w:val="20"/>
        </w:rPr>
      </w:pPr>
      <w:r>
        <w:rPr>
          <w:sz w:val="20"/>
          <w:szCs w:val="20"/>
        </w:rPr>
        <w:t>10</w:t>
      </w:r>
      <w:r w:rsidR="000C22D9">
        <w:rPr>
          <w:sz w:val="20"/>
          <w:szCs w:val="20"/>
        </w:rPr>
        <w:t>97</w:t>
      </w:r>
    </w:p>
    <w:p w:rsidR="005D57E4" w:rsidRDefault="00200B29" w:rsidP="005D0E57">
      <w:pPr>
        <w:jc w:val="both"/>
        <w:rPr>
          <w:sz w:val="20"/>
          <w:szCs w:val="20"/>
        </w:rPr>
      </w:pPr>
      <w:r>
        <w:rPr>
          <w:bCs/>
          <w:sz w:val="20"/>
          <w:szCs w:val="20"/>
        </w:rPr>
        <w:t>Ģ. Augstkalns</w:t>
      </w:r>
      <w:r w:rsidR="00943F6F">
        <w:rPr>
          <w:bCs/>
          <w:sz w:val="20"/>
          <w:szCs w:val="20"/>
        </w:rPr>
        <w:t>, 6</w:t>
      </w:r>
      <w:r w:rsidR="00943F6F">
        <w:rPr>
          <w:sz w:val="20"/>
          <w:szCs w:val="20"/>
        </w:rPr>
        <w:t>7028</w:t>
      </w:r>
      <w:r>
        <w:rPr>
          <w:sz w:val="20"/>
          <w:szCs w:val="20"/>
        </w:rPr>
        <w:t>374</w:t>
      </w:r>
      <w:r w:rsidR="00943F6F">
        <w:rPr>
          <w:sz w:val="20"/>
          <w:szCs w:val="20"/>
        </w:rPr>
        <w:t xml:space="preserve">, </w:t>
      </w:r>
    </w:p>
    <w:p w:rsidR="00943F6F" w:rsidRDefault="001441EC" w:rsidP="005D0E57">
      <w:pPr>
        <w:jc w:val="both"/>
        <w:rPr>
          <w:sz w:val="20"/>
          <w:szCs w:val="20"/>
        </w:rPr>
      </w:pPr>
      <w:hyperlink r:id="rId9" w:history="1">
        <w:r w:rsidR="00481A74" w:rsidRPr="00387003">
          <w:rPr>
            <w:rStyle w:val="Hyperlink"/>
            <w:sz w:val="20"/>
            <w:szCs w:val="20"/>
          </w:rPr>
          <w:t>Girts.Augstkalns@lvceli.lv</w:t>
        </w:r>
      </w:hyperlink>
      <w:r w:rsidR="00943F6F">
        <w:rPr>
          <w:sz w:val="20"/>
          <w:szCs w:val="20"/>
        </w:rPr>
        <w:t xml:space="preserve"> </w:t>
      </w:r>
    </w:p>
    <w:p w:rsidR="00943F6F" w:rsidRDefault="00943F6F" w:rsidP="005D0E57">
      <w:pPr>
        <w:jc w:val="both"/>
        <w:rPr>
          <w:sz w:val="20"/>
          <w:szCs w:val="20"/>
        </w:rPr>
      </w:pPr>
    </w:p>
    <w:p w:rsidR="005D57E4" w:rsidRDefault="00943F6F" w:rsidP="0042367F">
      <w:pPr>
        <w:rPr>
          <w:sz w:val="20"/>
          <w:szCs w:val="20"/>
          <w:lang w:eastAsia="lv-LV"/>
        </w:rPr>
      </w:pPr>
      <w:r w:rsidRPr="00C154DE">
        <w:rPr>
          <w:sz w:val="20"/>
          <w:szCs w:val="20"/>
          <w:lang w:eastAsia="lv-LV"/>
        </w:rPr>
        <w:t>D.</w:t>
      </w:r>
      <w:r>
        <w:rPr>
          <w:sz w:val="20"/>
          <w:szCs w:val="20"/>
          <w:lang w:eastAsia="lv-LV"/>
        </w:rPr>
        <w:t> </w:t>
      </w:r>
      <w:r w:rsidRPr="00C154DE">
        <w:rPr>
          <w:sz w:val="20"/>
          <w:szCs w:val="20"/>
          <w:lang w:eastAsia="lv-LV"/>
        </w:rPr>
        <w:t>Suveizda, 67028253</w:t>
      </w:r>
      <w:r w:rsidR="005D57E4">
        <w:rPr>
          <w:sz w:val="20"/>
          <w:szCs w:val="20"/>
          <w:lang w:eastAsia="lv-LV"/>
        </w:rPr>
        <w:t xml:space="preserve">, </w:t>
      </w:r>
    </w:p>
    <w:p w:rsidR="00943F6F" w:rsidRDefault="001441EC" w:rsidP="0042367F">
      <w:pPr>
        <w:rPr>
          <w:rFonts w:ascii="Arial" w:hAnsi="Arial" w:cs="Arial"/>
          <w:b/>
          <w:bCs/>
          <w:color w:val="414142"/>
          <w:sz w:val="20"/>
          <w:szCs w:val="20"/>
          <w:lang w:eastAsia="lv-LV"/>
        </w:rPr>
      </w:pPr>
      <w:hyperlink r:id="rId10" w:history="1">
        <w:r w:rsidR="00B36E50" w:rsidRPr="00B26F33">
          <w:rPr>
            <w:rStyle w:val="Hyperlink"/>
            <w:sz w:val="20"/>
            <w:szCs w:val="20"/>
            <w:lang w:eastAsia="lv-LV"/>
          </w:rPr>
          <w:t>Dace.Suveizda@sam.gov.lv</w:t>
        </w:r>
      </w:hyperlink>
    </w:p>
    <w:sectPr w:rsidR="00943F6F" w:rsidSect="001D3D27">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6F" w:rsidRDefault="00943F6F" w:rsidP="001D3D27">
      <w:r>
        <w:separator/>
      </w:r>
    </w:p>
  </w:endnote>
  <w:endnote w:type="continuationSeparator" w:id="0">
    <w:p w:rsidR="00943F6F" w:rsidRDefault="00943F6F"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6F" w:rsidRPr="00115C69" w:rsidRDefault="00115C69" w:rsidP="00115C69">
    <w:pPr>
      <w:jc w:val="both"/>
    </w:pPr>
    <w:r>
      <w:rPr>
        <w:bCs/>
        <w:color w:val="000000"/>
        <w:sz w:val="20"/>
        <w:szCs w:val="20"/>
        <w:lang w:eastAsia="lv-LV"/>
      </w:rPr>
      <w:t>SAMAnot_</w:t>
    </w:r>
    <w:r w:rsidR="001441EC">
      <w:rPr>
        <w:bCs/>
        <w:color w:val="000000"/>
        <w:sz w:val="20"/>
        <w:szCs w:val="20"/>
        <w:lang w:eastAsia="lv-LV"/>
      </w:rPr>
      <w:t>07</w:t>
    </w:r>
    <w:r w:rsidR="00DA5730">
      <w:rPr>
        <w:bCs/>
        <w:color w:val="000000"/>
        <w:sz w:val="20"/>
        <w:szCs w:val="20"/>
        <w:lang w:eastAsia="lv-LV"/>
      </w:rPr>
      <w:t>12</w:t>
    </w:r>
    <w:r>
      <w:rPr>
        <w:bCs/>
        <w:color w:val="000000"/>
        <w:sz w:val="20"/>
        <w:szCs w:val="20"/>
        <w:lang w:eastAsia="lv-LV"/>
      </w:rPr>
      <w:t xml:space="preserve">15_groz_merkdotacija; </w:t>
    </w:r>
    <w:r w:rsidRPr="003C3789">
      <w:rPr>
        <w:bCs/>
        <w:color w:val="000000"/>
        <w:sz w:val="20"/>
        <w:szCs w:val="20"/>
        <w:lang w:eastAsia="lv-LV"/>
      </w:rPr>
      <w:t xml:space="preserve">Ministru kabineta noteikumu projekta „Grozījumi Ministru kabineta 2008. gada 11. marta noteikumos Nr. 173 „Valsts pamatbudžeta valsts autoceļu fonda programmai piešķirto līdzekļu izlietošanas kārtība”” sākotnējās ietekmes novērtējuma </w:t>
    </w:r>
    <w:smartTag w:uri="schemas-tilde-lv/tildestengine" w:element="veidnes">
      <w:smartTagPr>
        <w:attr w:name="id" w:val="-1"/>
        <w:attr w:name="baseform" w:val="ziņojums"/>
        <w:attr w:name="text" w:val="ziņojums"/>
      </w:smartTagPr>
      <w:r w:rsidRPr="003C3789">
        <w:rPr>
          <w:bCs/>
          <w:color w:val="000000"/>
          <w:sz w:val="20"/>
          <w:szCs w:val="20"/>
          <w:lang w:eastAsia="lv-LV"/>
        </w:rPr>
        <w:t>ziņojums</w:t>
      </w:r>
    </w:smartTag>
    <w:r w:rsidRPr="003C3789">
      <w:rPr>
        <w:bCs/>
        <w:color w:val="000000"/>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6F" w:rsidRPr="003C3789" w:rsidRDefault="00943F6F" w:rsidP="00864B46">
    <w:pPr>
      <w:jc w:val="both"/>
      <w:rPr>
        <w:b/>
        <w:bCs/>
        <w:color w:val="000000"/>
        <w:szCs w:val="28"/>
        <w:lang w:eastAsia="lv-LV"/>
      </w:rPr>
    </w:pPr>
    <w:r>
      <w:rPr>
        <w:bCs/>
        <w:color w:val="000000"/>
        <w:sz w:val="20"/>
        <w:szCs w:val="20"/>
        <w:lang w:eastAsia="lv-LV"/>
      </w:rPr>
      <w:t>SAMAnot_</w:t>
    </w:r>
    <w:r w:rsidR="00DA5730">
      <w:rPr>
        <w:bCs/>
        <w:color w:val="000000"/>
        <w:sz w:val="20"/>
        <w:szCs w:val="20"/>
        <w:lang w:eastAsia="lv-LV"/>
      </w:rPr>
      <w:t>0</w:t>
    </w:r>
    <w:r w:rsidR="001441EC">
      <w:rPr>
        <w:bCs/>
        <w:color w:val="000000"/>
        <w:sz w:val="20"/>
        <w:szCs w:val="20"/>
        <w:lang w:eastAsia="lv-LV"/>
      </w:rPr>
      <w:t>7</w:t>
    </w:r>
    <w:r w:rsidR="00DA5730">
      <w:rPr>
        <w:bCs/>
        <w:color w:val="000000"/>
        <w:sz w:val="20"/>
        <w:szCs w:val="20"/>
        <w:lang w:eastAsia="lv-LV"/>
      </w:rPr>
      <w:t>12</w:t>
    </w:r>
    <w:r>
      <w:rPr>
        <w:bCs/>
        <w:color w:val="000000"/>
        <w:sz w:val="20"/>
        <w:szCs w:val="20"/>
        <w:lang w:eastAsia="lv-LV"/>
      </w:rPr>
      <w:t>15_groz_</w:t>
    </w:r>
    <w:r w:rsidR="00115C69">
      <w:rPr>
        <w:bCs/>
        <w:color w:val="000000"/>
        <w:sz w:val="20"/>
        <w:szCs w:val="20"/>
        <w:lang w:eastAsia="lv-LV"/>
      </w:rPr>
      <w:t>merkdotacija</w:t>
    </w:r>
    <w:r>
      <w:rPr>
        <w:bCs/>
        <w:color w:val="000000"/>
        <w:sz w:val="20"/>
        <w:szCs w:val="20"/>
        <w:lang w:eastAsia="lv-LV"/>
      </w:rPr>
      <w:t xml:space="preserve">; </w:t>
    </w:r>
    <w:r w:rsidRPr="003C3789">
      <w:rPr>
        <w:bCs/>
        <w:color w:val="000000"/>
        <w:sz w:val="20"/>
        <w:szCs w:val="20"/>
        <w:lang w:eastAsia="lv-LV"/>
      </w:rPr>
      <w:t xml:space="preserve">Ministru kabineta noteikumu projekta „Grozījumi Ministru kabineta 2008. gada 11. marta noteikumos Nr. 173 „Valsts pamatbudžeta valsts autoceļu fonda programmai piešķirto līdzekļu izlietošanas kārtība”” sākotnējās ietekmes novērtējuma </w:t>
    </w:r>
    <w:smartTag w:uri="schemas-tilde-lv/tildestengine" w:element="veidnes">
      <w:smartTagPr>
        <w:attr w:name="id" w:val="-1"/>
        <w:attr w:name="baseform" w:val="ziņojums"/>
        <w:attr w:name="text" w:val="ziņojums"/>
      </w:smartTagPr>
      <w:r w:rsidRPr="003C3789">
        <w:rPr>
          <w:bCs/>
          <w:color w:val="000000"/>
          <w:sz w:val="20"/>
          <w:szCs w:val="20"/>
          <w:lang w:eastAsia="lv-LV"/>
        </w:rPr>
        <w:t>ziņojums</w:t>
      </w:r>
    </w:smartTag>
    <w:r w:rsidRPr="003C3789">
      <w:rPr>
        <w:bCs/>
        <w:color w:val="000000"/>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6F" w:rsidRDefault="00943F6F" w:rsidP="001D3D27">
      <w:r>
        <w:separator/>
      </w:r>
    </w:p>
  </w:footnote>
  <w:footnote w:type="continuationSeparator" w:id="0">
    <w:p w:rsidR="00943F6F" w:rsidRDefault="00943F6F"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6F" w:rsidRDefault="00481A74">
    <w:pPr>
      <w:pStyle w:val="Header"/>
      <w:jc w:val="center"/>
    </w:pPr>
    <w:r>
      <w:fldChar w:fldCharType="begin"/>
    </w:r>
    <w:r>
      <w:instrText xml:space="preserve"> PAGE   \* MERGEFORMAT </w:instrText>
    </w:r>
    <w:r>
      <w:fldChar w:fldCharType="separate"/>
    </w:r>
    <w:r w:rsidR="001441EC">
      <w:rPr>
        <w:noProof/>
      </w:rPr>
      <w:t>5</w:t>
    </w:r>
    <w:r>
      <w:rPr>
        <w:noProof/>
      </w:rPr>
      <w:fldChar w:fldCharType="end"/>
    </w:r>
  </w:p>
  <w:p w:rsidR="00943F6F" w:rsidRDefault="00943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0164DA7"/>
    <w:multiLevelType w:val="hybridMultilevel"/>
    <w:tmpl w:val="E7E6F1A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95E3A"/>
    <w:rsid w:val="000C0806"/>
    <w:rsid w:val="000C22D9"/>
    <w:rsid w:val="000D5D90"/>
    <w:rsid w:val="000D66F9"/>
    <w:rsid w:val="00115C69"/>
    <w:rsid w:val="00121160"/>
    <w:rsid w:val="00142568"/>
    <w:rsid w:val="001441EC"/>
    <w:rsid w:val="0014481A"/>
    <w:rsid w:val="00175968"/>
    <w:rsid w:val="00175A35"/>
    <w:rsid w:val="001B559E"/>
    <w:rsid w:val="001B7CC2"/>
    <w:rsid w:val="001C2A74"/>
    <w:rsid w:val="001D3D27"/>
    <w:rsid w:val="001E521E"/>
    <w:rsid w:val="00200B29"/>
    <w:rsid w:val="00212CC1"/>
    <w:rsid w:val="00222671"/>
    <w:rsid w:val="00297869"/>
    <w:rsid w:val="002F0047"/>
    <w:rsid w:val="00300F55"/>
    <w:rsid w:val="00310657"/>
    <w:rsid w:val="00394104"/>
    <w:rsid w:val="003B1E79"/>
    <w:rsid w:val="003B3316"/>
    <w:rsid w:val="003C3789"/>
    <w:rsid w:val="003C7C32"/>
    <w:rsid w:val="003D2402"/>
    <w:rsid w:val="00410CEB"/>
    <w:rsid w:val="00415CA0"/>
    <w:rsid w:val="0042367F"/>
    <w:rsid w:val="00430951"/>
    <w:rsid w:val="00481A74"/>
    <w:rsid w:val="00481D38"/>
    <w:rsid w:val="00495453"/>
    <w:rsid w:val="004B3F43"/>
    <w:rsid w:val="004B6EB5"/>
    <w:rsid w:val="004C1EFA"/>
    <w:rsid w:val="004C45D6"/>
    <w:rsid w:val="004C6AB0"/>
    <w:rsid w:val="004F5F50"/>
    <w:rsid w:val="00501BC3"/>
    <w:rsid w:val="005066FD"/>
    <w:rsid w:val="00506FB8"/>
    <w:rsid w:val="0051192F"/>
    <w:rsid w:val="00523878"/>
    <w:rsid w:val="005268F5"/>
    <w:rsid w:val="00580136"/>
    <w:rsid w:val="00591647"/>
    <w:rsid w:val="005D098E"/>
    <w:rsid w:val="005D0E57"/>
    <w:rsid w:val="005D57E4"/>
    <w:rsid w:val="00630602"/>
    <w:rsid w:val="00652451"/>
    <w:rsid w:val="00653838"/>
    <w:rsid w:val="00653A8D"/>
    <w:rsid w:val="00655373"/>
    <w:rsid w:val="00666170"/>
    <w:rsid w:val="00681066"/>
    <w:rsid w:val="00693E35"/>
    <w:rsid w:val="006A73DE"/>
    <w:rsid w:val="006D0E4F"/>
    <w:rsid w:val="006D783E"/>
    <w:rsid w:val="006F6633"/>
    <w:rsid w:val="00723BA5"/>
    <w:rsid w:val="0075212F"/>
    <w:rsid w:val="007612FD"/>
    <w:rsid w:val="007653E2"/>
    <w:rsid w:val="00781925"/>
    <w:rsid w:val="007B0A82"/>
    <w:rsid w:val="007B7359"/>
    <w:rsid w:val="007D1291"/>
    <w:rsid w:val="00801A9B"/>
    <w:rsid w:val="008052A7"/>
    <w:rsid w:val="00840154"/>
    <w:rsid w:val="008556E5"/>
    <w:rsid w:val="00861D6F"/>
    <w:rsid w:val="00864B46"/>
    <w:rsid w:val="00866D63"/>
    <w:rsid w:val="00867EDC"/>
    <w:rsid w:val="00883B51"/>
    <w:rsid w:val="0088592A"/>
    <w:rsid w:val="0089513C"/>
    <w:rsid w:val="008D245E"/>
    <w:rsid w:val="008E30A3"/>
    <w:rsid w:val="008F4209"/>
    <w:rsid w:val="009202AB"/>
    <w:rsid w:val="00930554"/>
    <w:rsid w:val="00932321"/>
    <w:rsid w:val="009429A1"/>
    <w:rsid w:val="00943F6F"/>
    <w:rsid w:val="00975194"/>
    <w:rsid w:val="00983E36"/>
    <w:rsid w:val="009A22F6"/>
    <w:rsid w:val="009C5B6B"/>
    <w:rsid w:val="009E29B9"/>
    <w:rsid w:val="009E5BE8"/>
    <w:rsid w:val="00A02E3E"/>
    <w:rsid w:val="00A139F9"/>
    <w:rsid w:val="00A233A5"/>
    <w:rsid w:val="00A306F5"/>
    <w:rsid w:val="00A50B39"/>
    <w:rsid w:val="00A525C3"/>
    <w:rsid w:val="00A8247B"/>
    <w:rsid w:val="00AA154E"/>
    <w:rsid w:val="00AE6171"/>
    <w:rsid w:val="00AF2725"/>
    <w:rsid w:val="00AF400C"/>
    <w:rsid w:val="00B36E50"/>
    <w:rsid w:val="00B96F3F"/>
    <w:rsid w:val="00BA1968"/>
    <w:rsid w:val="00BD5A81"/>
    <w:rsid w:val="00BF050A"/>
    <w:rsid w:val="00C12F96"/>
    <w:rsid w:val="00C135FC"/>
    <w:rsid w:val="00C154DE"/>
    <w:rsid w:val="00C4224B"/>
    <w:rsid w:val="00C52913"/>
    <w:rsid w:val="00C60BCD"/>
    <w:rsid w:val="00C63EB8"/>
    <w:rsid w:val="00C820B0"/>
    <w:rsid w:val="00CB1428"/>
    <w:rsid w:val="00CB203C"/>
    <w:rsid w:val="00CC227E"/>
    <w:rsid w:val="00CF749D"/>
    <w:rsid w:val="00D03758"/>
    <w:rsid w:val="00D17EE4"/>
    <w:rsid w:val="00D6111F"/>
    <w:rsid w:val="00DA5730"/>
    <w:rsid w:val="00DC10C0"/>
    <w:rsid w:val="00DC398A"/>
    <w:rsid w:val="00DC76D2"/>
    <w:rsid w:val="00DD3E70"/>
    <w:rsid w:val="00DE0915"/>
    <w:rsid w:val="00DE26C5"/>
    <w:rsid w:val="00DE6C07"/>
    <w:rsid w:val="00DF54BE"/>
    <w:rsid w:val="00E07C15"/>
    <w:rsid w:val="00E20B20"/>
    <w:rsid w:val="00E2510B"/>
    <w:rsid w:val="00E26F8F"/>
    <w:rsid w:val="00E43E19"/>
    <w:rsid w:val="00E51EA8"/>
    <w:rsid w:val="00E560BB"/>
    <w:rsid w:val="00E71DF6"/>
    <w:rsid w:val="00E73CCC"/>
    <w:rsid w:val="00E87CB8"/>
    <w:rsid w:val="00E91F17"/>
    <w:rsid w:val="00EC677A"/>
    <w:rsid w:val="00ED300C"/>
    <w:rsid w:val="00ED52B8"/>
    <w:rsid w:val="00EF0B38"/>
    <w:rsid w:val="00F2475F"/>
    <w:rsid w:val="00F25791"/>
    <w:rsid w:val="00F52710"/>
    <w:rsid w:val="00F54F4F"/>
    <w:rsid w:val="00F63CE0"/>
    <w:rsid w:val="00F80C03"/>
    <w:rsid w:val="00FB5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23878"/>
    <w:rPr>
      <w:rFonts w:cs="Times New Roman"/>
      <w:sz w:val="16"/>
    </w:rPr>
  </w:style>
  <w:style w:type="paragraph" w:styleId="CommentText">
    <w:name w:val="annotation text"/>
    <w:basedOn w:val="Normal"/>
    <w:link w:val="CommentTextChar"/>
    <w:uiPriority w:val="99"/>
    <w:semiHidden/>
    <w:rsid w:val="00523878"/>
    <w:rPr>
      <w:sz w:val="20"/>
      <w:szCs w:val="20"/>
      <w:lang w:eastAsia="lv-LV"/>
    </w:rPr>
  </w:style>
  <w:style w:type="character" w:customStyle="1" w:styleId="CommentTextChar">
    <w:name w:val="Comment Text Char"/>
    <w:basedOn w:val="DefaultParagraphFont"/>
    <w:link w:val="CommentText"/>
    <w:uiPriority w:val="99"/>
    <w:semiHidden/>
    <w:locked/>
    <w:rsid w:val="00523878"/>
    <w:rPr>
      <w:rFonts w:cs="Times New Roman"/>
      <w:sz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basedOn w:val="CommentTextChar"/>
    <w:link w:val="CommentSubject"/>
    <w:uiPriority w:val="99"/>
    <w:semiHidden/>
    <w:locked/>
    <w:rsid w:val="00523878"/>
    <w:rPr>
      <w:rFonts w:cs="Times New Roman"/>
      <w:b/>
      <w:sz w:val="20"/>
    </w:rPr>
  </w:style>
  <w:style w:type="paragraph" w:styleId="BalloonText">
    <w:name w:val="Balloon Text"/>
    <w:basedOn w:val="Normal"/>
    <w:link w:val="BalloonTextChar"/>
    <w:uiPriority w:val="99"/>
    <w:semiHidden/>
    <w:rsid w:val="00523878"/>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523878"/>
    <w:rPr>
      <w:rFonts w:ascii="Tahoma" w:hAnsi="Tahoma" w:cs="Times New Roman"/>
      <w:sz w:val="16"/>
    </w:rPr>
  </w:style>
  <w:style w:type="paragraph" w:styleId="Header">
    <w:name w:val="header"/>
    <w:basedOn w:val="Normal"/>
    <w:link w:val="HeaderChar"/>
    <w:uiPriority w:val="99"/>
    <w:rsid w:val="001D3D27"/>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1D3D27"/>
    <w:rPr>
      <w:rFonts w:cs="Times New Roman"/>
    </w:rPr>
  </w:style>
  <w:style w:type="character" w:styleId="Hyperlink">
    <w:name w:val="Hyperlink"/>
    <w:basedOn w:val="DefaultParagraphFont"/>
    <w:uiPriority w:val="99"/>
    <w:semiHidden/>
    <w:rsid w:val="005D0E57"/>
    <w:rPr>
      <w:rFonts w:cs="Times New Roman"/>
      <w:color w:val="0000FF"/>
      <w:u w:val="single"/>
    </w:rPr>
  </w:style>
  <w:style w:type="paragraph" w:styleId="ListParagraph">
    <w:name w:val="List Paragraph"/>
    <w:basedOn w:val="Normal"/>
    <w:uiPriority w:val="99"/>
    <w:qFormat/>
    <w:rsid w:val="00AF400C"/>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23878"/>
    <w:rPr>
      <w:rFonts w:cs="Times New Roman"/>
      <w:sz w:val="16"/>
    </w:rPr>
  </w:style>
  <w:style w:type="paragraph" w:styleId="CommentText">
    <w:name w:val="annotation text"/>
    <w:basedOn w:val="Normal"/>
    <w:link w:val="CommentTextChar"/>
    <w:uiPriority w:val="99"/>
    <w:semiHidden/>
    <w:rsid w:val="00523878"/>
    <w:rPr>
      <w:sz w:val="20"/>
      <w:szCs w:val="20"/>
      <w:lang w:eastAsia="lv-LV"/>
    </w:rPr>
  </w:style>
  <w:style w:type="character" w:customStyle="1" w:styleId="CommentTextChar">
    <w:name w:val="Comment Text Char"/>
    <w:basedOn w:val="DefaultParagraphFont"/>
    <w:link w:val="CommentText"/>
    <w:uiPriority w:val="99"/>
    <w:semiHidden/>
    <w:locked/>
    <w:rsid w:val="00523878"/>
    <w:rPr>
      <w:rFonts w:cs="Times New Roman"/>
      <w:sz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basedOn w:val="CommentTextChar"/>
    <w:link w:val="CommentSubject"/>
    <w:uiPriority w:val="99"/>
    <w:semiHidden/>
    <w:locked/>
    <w:rsid w:val="00523878"/>
    <w:rPr>
      <w:rFonts w:cs="Times New Roman"/>
      <w:b/>
      <w:sz w:val="20"/>
    </w:rPr>
  </w:style>
  <w:style w:type="paragraph" w:styleId="BalloonText">
    <w:name w:val="Balloon Text"/>
    <w:basedOn w:val="Normal"/>
    <w:link w:val="BalloonTextChar"/>
    <w:uiPriority w:val="99"/>
    <w:semiHidden/>
    <w:rsid w:val="00523878"/>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523878"/>
    <w:rPr>
      <w:rFonts w:ascii="Tahoma" w:hAnsi="Tahoma" w:cs="Times New Roman"/>
      <w:sz w:val="16"/>
    </w:rPr>
  </w:style>
  <w:style w:type="paragraph" w:styleId="Header">
    <w:name w:val="header"/>
    <w:basedOn w:val="Normal"/>
    <w:link w:val="HeaderChar"/>
    <w:uiPriority w:val="99"/>
    <w:rsid w:val="001D3D27"/>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1D3D27"/>
    <w:rPr>
      <w:rFonts w:cs="Times New Roman"/>
    </w:rPr>
  </w:style>
  <w:style w:type="character" w:styleId="Hyperlink">
    <w:name w:val="Hyperlink"/>
    <w:basedOn w:val="DefaultParagraphFont"/>
    <w:uiPriority w:val="99"/>
    <w:semiHidden/>
    <w:rsid w:val="005D0E57"/>
    <w:rPr>
      <w:rFonts w:cs="Times New Roman"/>
      <w:color w:val="0000FF"/>
      <w:u w:val="single"/>
    </w:rPr>
  </w:style>
  <w:style w:type="paragraph" w:styleId="ListParagraph">
    <w:name w:val="List Paragraph"/>
    <w:basedOn w:val="Normal"/>
    <w:uiPriority w:val="99"/>
    <w:qFormat/>
    <w:rsid w:val="00AF400C"/>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5072">
      <w:marLeft w:val="0"/>
      <w:marRight w:val="0"/>
      <w:marTop w:val="0"/>
      <w:marBottom w:val="0"/>
      <w:divBdr>
        <w:top w:val="none" w:sz="0" w:space="0" w:color="auto"/>
        <w:left w:val="none" w:sz="0" w:space="0" w:color="auto"/>
        <w:bottom w:val="none" w:sz="0" w:space="0" w:color="auto"/>
        <w:right w:val="none" w:sz="0" w:space="0" w:color="auto"/>
      </w:divBdr>
    </w:div>
    <w:div w:id="972515073">
      <w:marLeft w:val="0"/>
      <w:marRight w:val="0"/>
      <w:marTop w:val="0"/>
      <w:marBottom w:val="0"/>
      <w:divBdr>
        <w:top w:val="none" w:sz="0" w:space="0" w:color="auto"/>
        <w:left w:val="none" w:sz="0" w:space="0" w:color="auto"/>
        <w:bottom w:val="none" w:sz="0" w:space="0" w:color="auto"/>
        <w:right w:val="none" w:sz="0" w:space="0" w:color="auto"/>
      </w:divBdr>
    </w:div>
    <w:div w:id="972515075">
      <w:marLeft w:val="0"/>
      <w:marRight w:val="0"/>
      <w:marTop w:val="0"/>
      <w:marBottom w:val="0"/>
      <w:divBdr>
        <w:top w:val="none" w:sz="0" w:space="0" w:color="auto"/>
        <w:left w:val="none" w:sz="0" w:space="0" w:color="auto"/>
        <w:bottom w:val="none" w:sz="0" w:space="0" w:color="auto"/>
        <w:right w:val="none" w:sz="0" w:space="0" w:color="auto"/>
      </w:divBdr>
      <w:divsChild>
        <w:div w:id="972515071">
          <w:marLeft w:val="0"/>
          <w:marRight w:val="0"/>
          <w:marTop w:val="240"/>
          <w:marBottom w:val="0"/>
          <w:divBdr>
            <w:top w:val="none" w:sz="0" w:space="0" w:color="auto"/>
            <w:left w:val="none" w:sz="0" w:space="0" w:color="auto"/>
            <w:bottom w:val="none" w:sz="0" w:space="0" w:color="auto"/>
            <w:right w:val="none" w:sz="0" w:space="0" w:color="auto"/>
          </w:divBdr>
        </w:div>
        <w:div w:id="972515074">
          <w:marLeft w:val="0"/>
          <w:marRight w:val="0"/>
          <w:marTop w:val="400"/>
          <w:marBottom w:val="0"/>
          <w:divBdr>
            <w:top w:val="none" w:sz="0" w:space="0" w:color="auto"/>
            <w:left w:val="none" w:sz="0" w:space="0" w:color="auto"/>
            <w:bottom w:val="none" w:sz="0" w:space="0" w:color="auto"/>
            <w:right w:val="none" w:sz="0" w:space="0" w:color="auto"/>
          </w:divBdr>
        </w:div>
      </w:divsChild>
    </w:div>
    <w:div w:id="972515076">
      <w:marLeft w:val="0"/>
      <w:marRight w:val="0"/>
      <w:marTop w:val="0"/>
      <w:marBottom w:val="0"/>
      <w:divBdr>
        <w:top w:val="none" w:sz="0" w:space="0" w:color="auto"/>
        <w:left w:val="none" w:sz="0" w:space="0" w:color="auto"/>
        <w:bottom w:val="none" w:sz="0" w:space="0" w:color="auto"/>
        <w:right w:val="none" w:sz="0" w:space="0" w:color="auto"/>
      </w:divBdr>
    </w:div>
    <w:div w:id="972515077">
      <w:marLeft w:val="0"/>
      <w:marRight w:val="0"/>
      <w:marTop w:val="0"/>
      <w:marBottom w:val="0"/>
      <w:divBdr>
        <w:top w:val="none" w:sz="0" w:space="0" w:color="auto"/>
        <w:left w:val="none" w:sz="0" w:space="0" w:color="auto"/>
        <w:bottom w:val="none" w:sz="0" w:space="0" w:color="auto"/>
        <w:right w:val="none" w:sz="0" w:space="0" w:color="auto"/>
      </w:divBdr>
    </w:div>
    <w:div w:id="972515078">
      <w:marLeft w:val="0"/>
      <w:marRight w:val="0"/>
      <w:marTop w:val="0"/>
      <w:marBottom w:val="0"/>
      <w:divBdr>
        <w:top w:val="none" w:sz="0" w:space="0" w:color="auto"/>
        <w:left w:val="none" w:sz="0" w:space="0" w:color="auto"/>
        <w:bottom w:val="none" w:sz="0" w:space="0" w:color="auto"/>
        <w:right w:val="none" w:sz="0" w:space="0" w:color="auto"/>
      </w:divBdr>
    </w:div>
    <w:div w:id="972515079">
      <w:marLeft w:val="0"/>
      <w:marRight w:val="0"/>
      <w:marTop w:val="0"/>
      <w:marBottom w:val="0"/>
      <w:divBdr>
        <w:top w:val="none" w:sz="0" w:space="0" w:color="auto"/>
        <w:left w:val="none" w:sz="0" w:space="0" w:color="auto"/>
        <w:bottom w:val="none" w:sz="0" w:space="0" w:color="auto"/>
        <w:right w:val="none" w:sz="0" w:space="0" w:color="auto"/>
      </w:divBdr>
    </w:div>
    <w:div w:id="972515080">
      <w:marLeft w:val="0"/>
      <w:marRight w:val="0"/>
      <w:marTop w:val="0"/>
      <w:marBottom w:val="0"/>
      <w:divBdr>
        <w:top w:val="none" w:sz="0" w:space="0" w:color="auto"/>
        <w:left w:val="none" w:sz="0" w:space="0" w:color="auto"/>
        <w:bottom w:val="none" w:sz="0" w:space="0" w:color="auto"/>
        <w:right w:val="none" w:sz="0" w:space="0" w:color="auto"/>
      </w:divBdr>
    </w:div>
    <w:div w:id="972515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veizda@sam.gov.lv" TargetMode="External"/><Relationship Id="rId4" Type="http://schemas.microsoft.com/office/2007/relationships/stylesWithEffects" Target="stylesWithEffects.xml"/><Relationship Id="rId9" Type="http://schemas.openxmlformats.org/officeDocument/2006/relationships/hyperlink" Target="mailto:Girts.Augstkalns@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F402-29AC-4B0E-8140-E0B1B7B0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1097</Words>
  <Characters>7902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 gada 11. marta noteikumos Nr. 173 „Valsts pamatbudžeta valsts autoceļu fonda programmai piešķirto līdzekļu izlietošanas kārtība”” sākotnējās ietekmes novērtējuma ziņojums (anotācija)</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11. marta noteikumos Nr. 173 „Valsts pamatbudžeta valsts autoceļu fonda programmai piešķirto līdzekļu izlietošanas kārtība”” sākotnējās ietekmes novērtējuma ziņojums (anotācija)</dc:title>
  <dc:creator>Dace.Suveizda@sam.gov.lv</dc:creator>
  <dc:description>Dace.Suveizda@sam.gov.lv; 67028253</dc:description>
  <cp:lastModifiedBy>Dace Suveizda</cp:lastModifiedBy>
  <cp:revision>10</cp:revision>
  <cp:lastPrinted>2015-11-26T13:01:00Z</cp:lastPrinted>
  <dcterms:created xsi:type="dcterms:W3CDTF">2015-11-02T13:52:00Z</dcterms:created>
  <dcterms:modified xsi:type="dcterms:W3CDTF">2015-12-07T07:35:00Z</dcterms:modified>
</cp:coreProperties>
</file>