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bookmarkStart w:id="0" w:name="_GoBack"/>
      <w:bookmarkEnd w:id="0"/>
      <w:r w:rsidRPr="00D521B0">
        <w:rPr>
          <w:b/>
          <w:sz w:val="24"/>
          <w:szCs w:val="24"/>
        </w:rPr>
        <w:t>Ministru kabineta noteikumu projekta</w:t>
      </w:r>
    </w:p>
    <w:p w:rsidR="00BF1B85" w:rsidRPr="00E85682" w:rsidRDefault="00BF1B85" w:rsidP="00E85682">
      <w:pPr>
        <w:ind w:right="-234" w:firstLine="0"/>
        <w:jc w:val="center"/>
        <w:rPr>
          <w:b/>
          <w:sz w:val="24"/>
          <w:szCs w:val="24"/>
        </w:rPr>
      </w:pPr>
      <w:r w:rsidRPr="00D521B0">
        <w:rPr>
          <w:b/>
          <w:sz w:val="24"/>
          <w:szCs w:val="24"/>
        </w:rPr>
        <w:t>„Grozījumi Ministru kabineta 20</w:t>
      </w:r>
      <w:r w:rsidR="00F07E95" w:rsidRPr="00D521B0">
        <w:rPr>
          <w:b/>
          <w:sz w:val="24"/>
          <w:szCs w:val="24"/>
        </w:rPr>
        <w:t>10</w:t>
      </w:r>
      <w:r w:rsidRPr="00D521B0">
        <w:rPr>
          <w:b/>
          <w:sz w:val="24"/>
          <w:szCs w:val="24"/>
        </w:rPr>
        <w:t xml:space="preserve">.gada </w:t>
      </w:r>
      <w:r w:rsidR="00F07E95" w:rsidRPr="00D521B0">
        <w:rPr>
          <w:b/>
          <w:sz w:val="24"/>
          <w:szCs w:val="24"/>
        </w:rPr>
        <w:t>30</w:t>
      </w:r>
      <w:r w:rsidRPr="00D521B0">
        <w:rPr>
          <w:b/>
          <w:sz w:val="24"/>
          <w:szCs w:val="24"/>
        </w:rPr>
        <w:t>.</w:t>
      </w:r>
      <w:r w:rsidR="00F07E95" w:rsidRPr="00D521B0">
        <w:rPr>
          <w:b/>
          <w:sz w:val="24"/>
          <w:szCs w:val="24"/>
        </w:rPr>
        <w:t>nov</w:t>
      </w:r>
      <w:r w:rsidRPr="00D521B0">
        <w:rPr>
          <w:b/>
          <w:sz w:val="24"/>
          <w:szCs w:val="24"/>
        </w:rPr>
        <w:t>embra noteikumos Nr.</w:t>
      </w:r>
      <w:r w:rsidR="00F07E95" w:rsidRPr="00D521B0">
        <w:rPr>
          <w:b/>
          <w:sz w:val="24"/>
          <w:szCs w:val="24"/>
        </w:rPr>
        <w:t>1080</w:t>
      </w:r>
      <w:r w:rsidRPr="00D521B0">
        <w:rPr>
          <w:b/>
          <w:sz w:val="24"/>
          <w:szCs w:val="24"/>
        </w:rPr>
        <w:t xml:space="preserve"> „Transportlīdzekļu </w:t>
      </w:r>
      <w:r w:rsidR="00F07E95" w:rsidRPr="00D521B0">
        <w:rPr>
          <w:b/>
          <w:sz w:val="24"/>
          <w:szCs w:val="24"/>
        </w:rPr>
        <w:t>reģistrācij</w:t>
      </w:r>
      <w:r w:rsidRPr="00D521B0">
        <w:rPr>
          <w:b/>
          <w:sz w:val="24"/>
          <w:szCs w:val="24"/>
        </w:rPr>
        <w:t>as noteikumi” sākotnējās ietekmes novērtējuma ziņojums (anotācija)</w:t>
      </w:r>
      <w:r w:rsidRPr="00D521B0">
        <w:rPr>
          <w:rFonts w:eastAsia="Times New Roman"/>
          <w:b/>
          <w:szCs w:val="28"/>
          <w:lang w:eastAsia="lv-LV"/>
        </w:rPr>
        <w:t xml:space="preserve"> </w:t>
      </w:r>
    </w:p>
    <w:tbl>
      <w:tblPr>
        <w:tblW w:w="965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
        <w:gridCol w:w="397"/>
        <w:gridCol w:w="8"/>
        <w:gridCol w:w="10"/>
        <w:gridCol w:w="122"/>
        <w:gridCol w:w="1273"/>
        <w:gridCol w:w="650"/>
        <w:gridCol w:w="1102"/>
        <w:gridCol w:w="377"/>
        <w:gridCol w:w="77"/>
        <w:gridCol w:w="67"/>
        <w:gridCol w:w="1207"/>
        <w:gridCol w:w="696"/>
        <w:gridCol w:w="3448"/>
        <w:gridCol w:w="139"/>
      </w:tblGrid>
      <w:tr w:rsidR="00D521B0" w:rsidRPr="00D521B0" w:rsidTr="00CB135A">
        <w:trPr>
          <w:gridAfter w:val="1"/>
          <w:wAfter w:w="139" w:type="dxa"/>
          <w:tblCellSpacing w:w="0" w:type="dxa"/>
        </w:trPr>
        <w:tc>
          <w:tcPr>
            <w:tcW w:w="9513" w:type="dxa"/>
            <w:gridSpan w:val="14"/>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CB135A">
        <w:trPr>
          <w:gridAfter w:val="1"/>
          <w:wAfter w:w="139" w:type="dxa"/>
          <w:trHeight w:val="735"/>
          <w:tblCellSpacing w:w="0" w:type="dxa"/>
        </w:trPr>
        <w:tc>
          <w:tcPr>
            <w:tcW w:w="494" w:type="dxa"/>
            <w:gridSpan w:val="4"/>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68"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Pamatojums</w:t>
            </w:r>
          </w:p>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p>
        </w:tc>
        <w:tc>
          <w:tcPr>
            <w:tcW w:w="5351" w:type="dxa"/>
            <w:gridSpan w:val="3"/>
            <w:tcBorders>
              <w:top w:val="outset" w:sz="6" w:space="0" w:color="auto"/>
              <w:left w:val="outset" w:sz="6" w:space="0" w:color="auto"/>
              <w:bottom w:val="outset" w:sz="6" w:space="0" w:color="auto"/>
              <w:right w:val="outset" w:sz="6" w:space="0" w:color="auto"/>
            </w:tcBorders>
          </w:tcPr>
          <w:p w:rsidR="00BF1B85" w:rsidRDefault="007C57A4" w:rsidP="00F07E95">
            <w:pPr>
              <w:spacing w:line="240" w:lineRule="auto"/>
              <w:ind w:firstLine="0"/>
              <w:rPr>
                <w:rFonts w:eastAsia="Times New Roman"/>
                <w:sz w:val="24"/>
                <w:szCs w:val="24"/>
                <w:lang w:eastAsia="lv-LV"/>
              </w:rPr>
            </w:pPr>
            <w:r w:rsidRPr="00D521B0">
              <w:rPr>
                <w:rFonts w:eastAsia="Times New Roman"/>
                <w:sz w:val="24"/>
                <w:szCs w:val="24"/>
                <w:lang w:eastAsia="lv-LV"/>
              </w:rPr>
              <w:t xml:space="preserve"> </w:t>
            </w:r>
            <w:r w:rsidR="00BF1B85" w:rsidRPr="00D521B0">
              <w:rPr>
                <w:rFonts w:eastAsia="Times New Roman"/>
                <w:sz w:val="24"/>
                <w:szCs w:val="24"/>
                <w:lang w:eastAsia="lv-LV"/>
              </w:rPr>
              <w:t xml:space="preserve">Ceļu satiksmes likuma </w:t>
            </w:r>
            <w:r w:rsidR="00F07E95" w:rsidRPr="00D521B0">
              <w:rPr>
                <w:rFonts w:eastAsia="Times New Roman"/>
                <w:sz w:val="24"/>
                <w:szCs w:val="24"/>
                <w:lang w:eastAsia="lv-LV"/>
              </w:rPr>
              <w:t>10</w:t>
            </w:r>
            <w:r w:rsidR="00BF1B85" w:rsidRPr="00D521B0">
              <w:rPr>
                <w:rFonts w:eastAsia="Times New Roman"/>
                <w:sz w:val="24"/>
                <w:szCs w:val="24"/>
                <w:lang w:eastAsia="lv-LV"/>
              </w:rPr>
              <w:t>.</w:t>
            </w:r>
            <w:r w:rsidR="00F07E95" w:rsidRPr="00D521B0">
              <w:rPr>
                <w:rFonts w:eastAsia="Times New Roman"/>
                <w:sz w:val="24"/>
                <w:szCs w:val="24"/>
                <w:lang w:eastAsia="lv-LV"/>
              </w:rPr>
              <w:t>panta 1.</w:t>
            </w:r>
            <w:r w:rsidR="00F07E95" w:rsidRPr="00D521B0">
              <w:rPr>
                <w:rFonts w:eastAsia="Times New Roman"/>
                <w:sz w:val="24"/>
                <w:szCs w:val="24"/>
                <w:vertAlign w:val="superscript"/>
                <w:lang w:eastAsia="lv-LV"/>
              </w:rPr>
              <w:t>4</w:t>
            </w:r>
            <w:r w:rsidR="00F07E95" w:rsidRPr="00D521B0">
              <w:rPr>
                <w:rFonts w:eastAsia="Times New Roman"/>
                <w:sz w:val="24"/>
                <w:szCs w:val="24"/>
                <w:lang w:eastAsia="lv-LV"/>
              </w:rPr>
              <w:t xml:space="preserve"> daļa un 10.</w:t>
            </w:r>
            <w:r w:rsidR="00F07E95" w:rsidRPr="00D521B0">
              <w:rPr>
                <w:rFonts w:eastAsia="Times New Roman"/>
                <w:sz w:val="24"/>
                <w:szCs w:val="24"/>
                <w:vertAlign w:val="superscript"/>
                <w:lang w:eastAsia="lv-LV"/>
              </w:rPr>
              <w:t>2</w:t>
            </w:r>
            <w:r w:rsidR="00BF1B85" w:rsidRPr="00D521B0">
              <w:rPr>
                <w:rFonts w:eastAsia="Times New Roman"/>
                <w:sz w:val="24"/>
                <w:szCs w:val="24"/>
                <w:lang w:eastAsia="lv-LV"/>
              </w:rPr>
              <w:t>panta ceturt</w:t>
            </w:r>
            <w:r w:rsidR="009E4FE9" w:rsidRPr="00D521B0">
              <w:rPr>
                <w:rFonts w:eastAsia="Times New Roman"/>
                <w:sz w:val="24"/>
                <w:szCs w:val="24"/>
                <w:lang w:eastAsia="lv-LV"/>
              </w:rPr>
              <w:t>ā</w:t>
            </w:r>
            <w:r w:rsidR="00BF1B85" w:rsidRPr="00D521B0">
              <w:rPr>
                <w:rFonts w:eastAsia="Times New Roman"/>
                <w:sz w:val="24"/>
                <w:szCs w:val="24"/>
                <w:lang w:eastAsia="lv-LV"/>
              </w:rPr>
              <w:t xml:space="preserve"> daļa.  </w:t>
            </w:r>
          </w:p>
          <w:p w:rsidR="00EA1D5C" w:rsidRPr="00D521B0" w:rsidRDefault="00EA1D5C" w:rsidP="00F07E95">
            <w:pPr>
              <w:spacing w:line="240" w:lineRule="auto"/>
              <w:ind w:firstLine="0"/>
              <w:rPr>
                <w:rFonts w:eastAsia="Times New Roman"/>
                <w:sz w:val="24"/>
                <w:szCs w:val="24"/>
                <w:lang w:eastAsia="lv-LV"/>
              </w:rPr>
            </w:pPr>
            <w:r w:rsidRPr="00D14393">
              <w:rPr>
                <w:sz w:val="24"/>
                <w:szCs w:val="24"/>
              </w:rPr>
              <w:t>Padomes</w:t>
            </w:r>
            <w:r>
              <w:rPr>
                <w:sz w:val="24"/>
                <w:szCs w:val="24"/>
              </w:rPr>
              <w:t xml:space="preserve"> 2013.gada 13.maija </w:t>
            </w:r>
            <w:r w:rsidRPr="00D14393">
              <w:rPr>
                <w:sz w:val="24"/>
                <w:szCs w:val="24"/>
              </w:rPr>
              <w:t xml:space="preserve">Direktīva </w:t>
            </w:r>
            <w:r w:rsidRPr="001745A7">
              <w:rPr>
                <w:sz w:val="24"/>
                <w:szCs w:val="24"/>
              </w:rPr>
              <w:t>2013/22/ES ar ko pielāgo dažas direktīvas transporta politikas jomā saistībā ar Horvātijas Republikas pievienošanos</w:t>
            </w:r>
            <w:r>
              <w:rPr>
                <w:sz w:val="24"/>
                <w:szCs w:val="24"/>
              </w:rPr>
              <w:t>.</w:t>
            </w:r>
          </w:p>
        </w:tc>
      </w:tr>
      <w:tr w:rsidR="00D521B0" w:rsidRPr="00D521B0" w:rsidTr="00CB135A">
        <w:trPr>
          <w:gridAfter w:val="1"/>
          <w:wAfter w:w="139" w:type="dxa"/>
          <w:trHeight w:val="938"/>
          <w:tblCellSpacing w:w="0" w:type="dxa"/>
        </w:trPr>
        <w:tc>
          <w:tcPr>
            <w:tcW w:w="494" w:type="dxa"/>
            <w:gridSpan w:val="4"/>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68" w:type="dxa"/>
            <w:gridSpan w:val="7"/>
            <w:tcBorders>
              <w:top w:val="outset" w:sz="6" w:space="0" w:color="auto"/>
              <w:left w:val="outset" w:sz="6" w:space="0" w:color="auto"/>
              <w:bottom w:val="outset" w:sz="6" w:space="0" w:color="auto"/>
              <w:right w:val="outset" w:sz="6" w:space="0" w:color="auto"/>
            </w:tcBorders>
          </w:tcPr>
          <w:p w:rsidR="00A81D9B" w:rsidRPr="00D521B0" w:rsidRDefault="00BF1B85" w:rsidP="009E4FE9">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A81D9B" w:rsidRPr="00D521B0" w:rsidRDefault="00A81D9B" w:rsidP="00A81D9B">
            <w:pPr>
              <w:rPr>
                <w:rFonts w:eastAsia="Times New Roman"/>
                <w:sz w:val="24"/>
                <w:szCs w:val="24"/>
                <w:lang w:eastAsia="lv-LV"/>
              </w:rPr>
            </w:pPr>
          </w:p>
          <w:p w:rsidR="00BF1B85" w:rsidRPr="00D521B0" w:rsidRDefault="00A81D9B" w:rsidP="00A81D9B">
            <w:pPr>
              <w:tabs>
                <w:tab w:val="left" w:pos="1728"/>
              </w:tabs>
              <w:rPr>
                <w:rFonts w:eastAsia="Times New Roman"/>
                <w:sz w:val="24"/>
                <w:szCs w:val="24"/>
                <w:lang w:eastAsia="lv-LV"/>
              </w:rPr>
            </w:pPr>
            <w:r w:rsidRPr="00D521B0">
              <w:rPr>
                <w:rFonts w:eastAsia="Times New Roman"/>
                <w:sz w:val="24"/>
                <w:szCs w:val="24"/>
                <w:lang w:eastAsia="lv-LV"/>
              </w:rPr>
              <w:tab/>
            </w:r>
          </w:p>
        </w:tc>
        <w:tc>
          <w:tcPr>
            <w:tcW w:w="5351" w:type="dxa"/>
            <w:gridSpan w:val="3"/>
            <w:tcBorders>
              <w:top w:val="outset" w:sz="6" w:space="0" w:color="auto"/>
              <w:left w:val="outset" w:sz="6" w:space="0" w:color="auto"/>
              <w:bottom w:val="outset" w:sz="6" w:space="0" w:color="auto"/>
              <w:right w:val="outset" w:sz="6" w:space="0" w:color="auto"/>
            </w:tcBorders>
          </w:tcPr>
          <w:p w:rsidR="00DE5DF0" w:rsidRDefault="002171D5" w:rsidP="00C56AB6">
            <w:pPr>
              <w:ind w:firstLine="0"/>
              <w:rPr>
                <w:sz w:val="24"/>
                <w:szCs w:val="24"/>
              </w:rPr>
            </w:pPr>
            <w:r w:rsidRPr="00D521B0">
              <w:rPr>
                <w:sz w:val="24"/>
                <w:szCs w:val="24"/>
              </w:rPr>
              <w:t>Saskaņā ar</w:t>
            </w:r>
            <w:r w:rsidR="00A235B5" w:rsidRPr="00D521B0">
              <w:rPr>
                <w:sz w:val="24"/>
                <w:szCs w:val="24"/>
              </w:rPr>
              <w:t xml:space="preserve"> Ministru kabineta 2010.gada 30.novembra noteikum</w:t>
            </w:r>
            <w:r w:rsidRPr="00D521B0">
              <w:rPr>
                <w:sz w:val="24"/>
                <w:szCs w:val="24"/>
              </w:rPr>
              <w:t>iem</w:t>
            </w:r>
            <w:r w:rsidR="00A235B5" w:rsidRPr="00D521B0">
              <w:rPr>
                <w:sz w:val="24"/>
                <w:szCs w:val="24"/>
              </w:rPr>
              <w:t xml:space="preserve"> Nr.1080 „Transportlīdzekļu reģistrācijas noteikumi” (turpmāk – Noteikumi) transportlīdzekļu īpašuma tiesību maiņas reģistrācijai vairākos gadījumos ir jāiesniedz šo faktu apliecinoši dokumenti (rēķins – uzziņa, pieņemšanas – nodošanas akts). Lai samazinātu administratīvo slogu, </w:t>
            </w:r>
            <w:r w:rsidR="003375B1" w:rsidRPr="003375B1">
              <w:rPr>
                <w:bCs/>
                <w:sz w:val="24"/>
                <w:szCs w:val="24"/>
              </w:rPr>
              <w:t>Ministru kabineta noteikumu projekt</w:t>
            </w:r>
            <w:r w:rsidR="003375B1">
              <w:rPr>
                <w:bCs/>
                <w:sz w:val="24"/>
                <w:szCs w:val="24"/>
              </w:rPr>
              <w:t xml:space="preserve">ā </w:t>
            </w:r>
            <w:r w:rsidR="003375B1" w:rsidRPr="003375B1">
              <w:rPr>
                <w:bCs/>
                <w:sz w:val="24"/>
                <w:szCs w:val="24"/>
              </w:rPr>
              <w:t>„Grozījumi Ministru kabineta 2010.gada 30.novembra noteikumos Nr.1080 „Transportlīdzekļu reģistrācijas noteikumi”</w:t>
            </w:r>
            <w:r w:rsidR="003375B1">
              <w:rPr>
                <w:bCs/>
                <w:sz w:val="24"/>
                <w:szCs w:val="24"/>
              </w:rPr>
              <w:t xml:space="preserve"> (turpmāk -</w:t>
            </w:r>
            <w:r w:rsidR="00973E8A" w:rsidRPr="00D521B0">
              <w:rPr>
                <w:sz w:val="24"/>
                <w:szCs w:val="24"/>
              </w:rPr>
              <w:t>noteikumu projekt</w:t>
            </w:r>
            <w:r w:rsidR="003375B1">
              <w:rPr>
                <w:sz w:val="24"/>
                <w:szCs w:val="24"/>
              </w:rPr>
              <w:t>s)</w:t>
            </w:r>
            <w:r w:rsidR="00973E8A" w:rsidRPr="00D521B0">
              <w:rPr>
                <w:sz w:val="24"/>
                <w:szCs w:val="24"/>
              </w:rPr>
              <w:t xml:space="preserve"> </w:t>
            </w:r>
            <w:r w:rsidR="00EA1D5C">
              <w:rPr>
                <w:sz w:val="24"/>
                <w:szCs w:val="24"/>
              </w:rPr>
              <w:t xml:space="preserve">ir </w:t>
            </w:r>
            <w:r w:rsidR="00A235B5" w:rsidRPr="00D521B0">
              <w:rPr>
                <w:sz w:val="24"/>
                <w:szCs w:val="24"/>
              </w:rPr>
              <w:t>paredzēts atteikties no šādu dokumentu noformēšanas</w:t>
            </w:r>
            <w:r w:rsidR="008E78FD" w:rsidRPr="00D521B0">
              <w:rPr>
                <w:sz w:val="24"/>
                <w:szCs w:val="24"/>
              </w:rPr>
              <w:t xml:space="preserve"> papīra formā</w:t>
            </w:r>
            <w:r w:rsidR="00A235B5" w:rsidRPr="00D521B0">
              <w:rPr>
                <w:sz w:val="24"/>
                <w:szCs w:val="24"/>
              </w:rPr>
              <w:t xml:space="preserve">, aizvietojot tos ar  speciālām atzīmēm </w:t>
            </w:r>
            <w:r w:rsidR="00973E8A" w:rsidRPr="00D521B0">
              <w:rPr>
                <w:sz w:val="24"/>
                <w:szCs w:val="24"/>
              </w:rPr>
              <w:t xml:space="preserve">Transportlīdzekļu un to vadītāju </w:t>
            </w:r>
            <w:r w:rsidR="00A235B5" w:rsidRPr="00D521B0">
              <w:rPr>
                <w:sz w:val="24"/>
                <w:szCs w:val="24"/>
              </w:rPr>
              <w:t>reģistrā</w:t>
            </w:r>
            <w:r w:rsidR="00973E8A" w:rsidRPr="00D521B0">
              <w:rPr>
                <w:sz w:val="24"/>
                <w:szCs w:val="24"/>
              </w:rPr>
              <w:t xml:space="preserve"> (turpmāk – reģistrs)</w:t>
            </w:r>
            <w:r w:rsidR="00A235B5" w:rsidRPr="00D521B0">
              <w:rPr>
                <w:sz w:val="24"/>
                <w:szCs w:val="24"/>
              </w:rPr>
              <w:t xml:space="preserve">. </w:t>
            </w:r>
            <w:r w:rsidR="00682737" w:rsidRPr="00D521B0">
              <w:rPr>
                <w:sz w:val="24"/>
                <w:szCs w:val="24"/>
              </w:rPr>
              <w:t xml:space="preserve">Tādejādi tiks nodrošināta veikto darījumu caurskatāmība. </w:t>
            </w:r>
            <w:r w:rsidR="000357BE" w:rsidRPr="00D521B0">
              <w:rPr>
                <w:sz w:val="24"/>
                <w:szCs w:val="24"/>
              </w:rPr>
              <w:t>R</w:t>
            </w:r>
            <w:r w:rsidR="00682737" w:rsidRPr="00D521B0">
              <w:rPr>
                <w:sz w:val="24"/>
                <w:szCs w:val="24"/>
              </w:rPr>
              <w:t>eģistrā tiks precīzi fiksēts brīdis, kad mainās ne tikai īpašumtiesības uz transportlīdzekli, bet arī atbildība, kas paredzēta transportlīdzekļa īpašniekam vai turētājam. Nosakot īpašumtiesību pāreju elektroniskā veidā</w:t>
            </w:r>
            <w:r w:rsidR="00DE5DF0">
              <w:rPr>
                <w:sz w:val="24"/>
                <w:szCs w:val="24"/>
              </w:rPr>
              <w:t>,</w:t>
            </w:r>
            <w:r w:rsidR="00682737" w:rsidRPr="00D521B0">
              <w:rPr>
                <w:sz w:val="24"/>
                <w:szCs w:val="24"/>
              </w:rPr>
              <w:t xml:space="preserve"> tiek izslēgtas iespējas dokumentu falsifikācijai.</w:t>
            </w:r>
            <w:r w:rsidR="00493641" w:rsidRPr="00D521B0">
              <w:rPr>
                <w:sz w:val="24"/>
                <w:szCs w:val="24"/>
              </w:rPr>
              <w:t xml:space="preserve"> </w:t>
            </w:r>
            <w:r w:rsidR="00DE5DF0">
              <w:rPr>
                <w:sz w:val="24"/>
                <w:szCs w:val="24"/>
              </w:rPr>
              <w:t xml:space="preserve">Šādas izmaiņas ir paredzētas arī </w:t>
            </w:r>
            <w:r w:rsidR="00DE5DF0">
              <w:rPr>
                <w:rFonts w:eastAsia="Times New Roman"/>
                <w:iCs/>
                <w:sz w:val="24"/>
                <w:szCs w:val="24"/>
                <w:lang w:eastAsia="lv-LV"/>
              </w:rPr>
              <w:t>Ceļu satiksmes likumā un  Ministru kabineta 2007.</w:t>
            </w:r>
            <w:r w:rsidR="00DE5DF0" w:rsidRPr="00DE5DF0">
              <w:rPr>
                <w:rFonts w:eastAsia="Times New Roman"/>
                <w:iCs/>
                <w:sz w:val="24"/>
                <w:szCs w:val="24"/>
                <w:lang w:eastAsia="lv-LV"/>
              </w:rPr>
              <w:t xml:space="preserve">gada 18.decembra noteikumos Nr.876 </w:t>
            </w:r>
            <w:r w:rsidR="00DE5DF0" w:rsidRPr="00DE5DF0">
              <w:rPr>
                <w:rFonts w:eastAsia="Times New Roman"/>
                <w:sz w:val="24"/>
                <w:szCs w:val="24"/>
                <w:lang w:eastAsia="lv-LV"/>
              </w:rPr>
              <w:t>„</w:t>
            </w:r>
            <w:r w:rsidR="00DE5DF0" w:rsidRPr="00DE5DF0">
              <w:rPr>
                <w:rFonts w:eastAsia="Times New Roman"/>
                <w:iCs/>
                <w:sz w:val="24"/>
                <w:szCs w:val="24"/>
                <w:lang w:eastAsia="lv-LV"/>
              </w:rPr>
              <w:t>Transportlīdzekļu un to numurēto agregātu tirdzniecības noteikumi”, kas stājas spēkā 2016.gada 1.janvārī.</w:t>
            </w:r>
          </w:p>
          <w:p w:rsidR="003F5FBD" w:rsidRPr="00C56AB6" w:rsidRDefault="003F5FBD" w:rsidP="00DE5DF0">
            <w:pPr>
              <w:ind w:firstLine="360"/>
              <w:rPr>
                <w:bCs/>
                <w:sz w:val="24"/>
                <w:szCs w:val="24"/>
              </w:rPr>
            </w:pPr>
            <w:r w:rsidRPr="00D521B0">
              <w:rPr>
                <w:sz w:val="24"/>
                <w:szCs w:val="24"/>
              </w:rPr>
              <w:t xml:space="preserve">Lai nodrošinātu atzīmju izdarīšanu un atvieglotu dokumentu noformēšanas procesu, </w:t>
            </w:r>
            <w:r w:rsidR="00624909" w:rsidRPr="00D521B0">
              <w:rPr>
                <w:sz w:val="24"/>
                <w:szCs w:val="24"/>
              </w:rPr>
              <w:t>Noteikumu projekts nosaka</w:t>
            </w:r>
            <w:r w:rsidRPr="00D521B0">
              <w:rPr>
                <w:sz w:val="24"/>
                <w:szCs w:val="24"/>
              </w:rPr>
              <w:t xml:space="preserve"> izmaiņas transportlīdzekļu noņemšanas no uzska</w:t>
            </w:r>
            <w:r w:rsidR="00EA1D5C">
              <w:rPr>
                <w:sz w:val="24"/>
                <w:szCs w:val="24"/>
              </w:rPr>
              <w:t>i</w:t>
            </w:r>
            <w:r w:rsidRPr="00D521B0">
              <w:rPr>
                <w:sz w:val="24"/>
                <w:szCs w:val="24"/>
              </w:rPr>
              <w:t>tes kārtībā, paredzot iespēju transportlīdzekli noņemt no uzskaites atsavināšanai Latvijā, izdar</w:t>
            </w:r>
            <w:r w:rsidR="00624909" w:rsidRPr="00D521B0">
              <w:rPr>
                <w:sz w:val="24"/>
                <w:szCs w:val="24"/>
              </w:rPr>
              <w:t>ot tikai atzīmi</w:t>
            </w:r>
            <w:r w:rsidRPr="00D521B0">
              <w:rPr>
                <w:sz w:val="24"/>
                <w:szCs w:val="24"/>
              </w:rPr>
              <w:t xml:space="preserve"> reģistrā. Tādejādi padarot šo pakalpojumu pieejamu arī elektroniskā veidā.</w:t>
            </w:r>
          </w:p>
          <w:p w:rsidR="003F5FBD" w:rsidRPr="00D521B0" w:rsidRDefault="00B37009" w:rsidP="003F5FBD">
            <w:pPr>
              <w:spacing w:line="240" w:lineRule="auto"/>
              <w:ind w:firstLine="360"/>
              <w:rPr>
                <w:sz w:val="24"/>
                <w:szCs w:val="24"/>
              </w:rPr>
            </w:pPr>
            <w:r w:rsidRPr="00D521B0">
              <w:rPr>
                <w:sz w:val="24"/>
                <w:szCs w:val="24"/>
              </w:rPr>
              <w:t>Lai mazinātu administratīvo slogu komersantiem, kas nodarbojas ar t</w:t>
            </w:r>
            <w:r w:rsidR="00624909" w:rsidRPr="00D521B0">
              <w:rPr>
                <w:sz w:val="24"/>
                <w:szCs w:val="24"/>
              </w:rPr>
              <w:t xml:space="preserve">ransportlīdzekļu tirdzniecību, </w:t>
            </w:r>
            <w:r w:rsidR="003F5FBD" w:rsidRPr="00D521B0">
              <w:rPr>
                <w:sz w:val="24"/>
                <w:szCs w:val="24"/>
              </w:rPr>
              <w:t xml:space="preserve">Tirdzniecības noteikumu </w:t>
            </w:r>
            <w:r w:rsidR="00624909" w:rsidRPr="00D521B0">
              <w:rPr>
                <w:sz w:val="24"/>
                <w:szCs w:val="24"/>
              </w:rPr>
              <w:t>projekts</w:t>
            </w:r>
            <w:r w:rsidR="003F5FBD" w:rsidRPr="00D521B0">
              <w:rPr>
                <w:sz w:val="24"/>
                <w:szCs w:val="24"/>
              </w:rPr>
              <w:t xml:space="preserve"> paredz atteikties no tirdzniecības numura karšu izsniegšanas </w:t>
            </w:r>
            <w:r w:rsidR="002D32E1" w:rsidRPr="00D521B0">
              <w:rPr>
                <w:rFonts w:eastAsia="Times New Roman"/>
                <w:sz w:val="24"/>
                <w:szCs w:val="24"/>
                <w:lang w:eastAsia="lv-LV"/>
              </w:rPr>
              <w:t xml:space="preserve">valsts akciju </w:t>
            </w:r>
            <w:r w:rsidR="002D32E1" w:rsidRPr="00D521B0">
              <w:rPr>
                <w:rFonts w:eastAsia="Times New Roman"/>
                <w:sz w:val="24"/>
                <w:szCs w:val="24"/>
                <w:lang w:eastAsia="lv-LV"/>
              </w:rPr>
              <w:lastRenderedPageBreak/>
              <w:t xml:space="preserve">sabiedrībā </w:t>
            </w:r>
            <w:r w:rsidR="002D32E1" w:rsidRPr="00D521B0">
              <w:rPr>
                <w:sz w:val="24"/>
                <w:szCs w:val="24"/>
              </w:rPr>
              <w:t>„</w:t>
            </w:r>
            <w:r w:rsidR="002D32E1" w:rsidRPr="00D521B0">
              <w:rPr>
                <w:rFonts w:eastAsia="Times New Roman"/>
                <w:sz w:val="24"/>
                <w:szCs w:val="24"/>
                <w:lang w:eastAsia="lv-LV"/>
              </w:rPr>
              <w:t>Ceļu satiksmes drošības direkcija” (turpmāk – CSDD)</w:t>
            </w:r>
            <w:r w:rsidR="003F5FBD" w:rsidRPr="00D521B0">
              <w:rPr>
                <w:sz w:val="24"/>
                <w:szCs w:val="24"/>
              </w:rPr>
              <w:t xml:space="preserve"> tirdzniecības numura zīmju izmantošanai. </w:t>
            </w:r>
            <w:r w:rsidRPr="00D521B0">
              <w:rPr>
                <w:sz w:val="24"/>
                <w:szCs w:val="24"/>
              </w:rPr>
              <w:t>N</w:t>
            </w:r>
            <w:r w:rsidR="003F5FBD" w:rsidRPr="00D521B0">
              <w:rPr>
                <w:sz w:val="24"/>
                <w:szCs w:val="24"/>
              </w:rPr>
              <w:t>oteikumu projekt</w:t>
            </w:r>
            <w:r w:rsidR="00624909" w:rsidRPr="00D521B0">
              <w:rPr>
                <w:sz w:val="24"/>
                <w:szCs w:val="24"/>
              </w:rPr>
              <w:t>s</w:t>
            </w:r>
            <w:r w:rsidR="003F5FBD" w:rsidRPr="00D521B0">
              <w:rPr>
                <w:sz w:val="24"/>
                <w:szCs w:val="24"/>
              </w:rPr>
              <w:t xml:space="preserve"> paredz, ka tirdzniecības numura kartes noformē CSDD, neizsniedzot tirdzniecības numura kartes uz speciālas veidlapas.</w:t>
            </w:r>
            <w:r w:rsidRPr="00D521B0">
              <w:rPr>
                <w:sz w:val="24"/>
                <w:szCs w:val="24"/>
              </w:rPr>
              <w:t xml:space="preserve"> </w:t>
            </w:r>
          </w:p>
          <w:p w:rsidR="00B37009" w:rsidRPr="00D521B0" w:rsidRDefault="00B37009" w:rsidP="00A235B5">
            <w:pPr>
              <w:spacing w:line="240" w:lineRule="auto"/>
              <w:ind w:firstLine="360"/>
              <w:rPr>
                <w:sz w:val="24"/>
                <w:szCs w:val="24"/>
              </w:rPr>
            </w:pPr>
            <w:r w:rsidRPr="00D521B0">
              <w:rPr>
                <w:sz w:val="24"/>
                <w:szCs w:val="24"/>
              </w:rPr>
              <w:t xml:space="preserve">Noteikumu projekts </w:t>
            </w:r>
            <w:r w:rsidR="002D32E1" w:rsidRPr="00D521B0">
              <w:rPr>
                <w:sz w:val="24"/>
                <w:szCs w:val="24"/>
              </w:rPr>
              <w:t xml:space="preserve">paredz </w:t>
            </w:r>
            <w:r w:rsidRPr="00D521B0">
              <w:rPr>
                <w:sz w:val="24"/>
                <w:szCs w:val="24"/>
              </w:rPr>
              <w:t>paplašināt iespēju izvēlēties</w:t>
            </w:r>
            <w:r w:rsidR="00DE5DF0">
              <w:rPr>
                <w:sz w:val="24"/>
                <w:szCs w:val="24"/>
              </w:rPr>
              <w:t xml:space="preserve"> transportlīdzekļa</w:t>
            </w:r>
            <w:r w:rsidRPr="00D521B0">
              <w:rPr>
                <w:sz w:val="24"/>
                <w:szCs w:val="24"/>
              </w:rPr>
              <w:t xml:space="preserve"> valsts reģistrācijas numuru no visās CSDD nodaļās pieejamo numuru saraksta. Līdz šim izvēli bija iespējams veikt tikai no tās CSDD nodaļas pieejamo numuru saraksta, kurā tiek veikta transportlīdzekļa reģistrācija.  </w:t>
            </w:r>
          </w:p>
          <w:p w:rsidR="003F5FBD" w:rsidRPr="00D521B0" w:rsidRDefault="00B37009" w:rsidP="00A235B5">
            <w:pPr>
              <w:spacing w:line="240" w:lineRule="auto"/>
              <w:ind w:firstLine="360"/>
              <w:rPr>
                <w:sz w:val="24"/>
                <w:szCs w:val="24"/>
              </w:rPr>
            </w:pPr>
            <w:r w:rsidRPr="00D521B0">
              <w:rPr>
                <w:sz w:val="24"/>
                <w:szCs w:val="24"/>
              </w:rPr>
              <w:t xml:space="preserve">Ņemot vērā </w:t>
            </w:r>
            <w:r w:rsidR="006147E3" w:rsidRPr="00D521B0">
              <w:rPr>
                <w:sz w:val="24"/>
                <w:szCs w:val="24"/>
              </w:rPr>
              <w:t xml:space="preserve">Ministru kabineta izstrādātajā </w:t>
            </w:r>
            <w:proofErr w:type="spellStart"/>
            <w:r w:rsidRPr="00D521B0">
              <w:rPr>
                <w:sz w:val="24"/>
                <w:szCs w:val="24"/>
              </w:rPr>
              <w:t>Elektromobilitātes</w:t>
            </w:r>
            <w:proofErr w:type="spellEnd"/>
            <w:r w:rsidRPr="00D521B0">
              <w:rPr>
                <w:sz w:val="24"/>
                <w:szCs w:val="24"/>
              </w:rPr>
              <w:t xml:space="preserve"> </w:t>
            </w:r>
            <w:r w:rsidR="006147E3" w:rsidRPr="00D521B0">
              <w:rPr>
                <w:sz w:val="24"/>
                <w:szCs w:val="24"/>
              </w:rPr>
              <w:t xml:space="preserve">attīstības </w:t>
            </w:r>
            <w:r w:rsidRPr="00D521B0">
              <w:rPr>
                <w:sz w:val="24"/>
                <w:szCs w:val="24"/>
              </w:rPr>
              <w:t>plān</w:t>
            </w:r>
            <w:r w:rsidR="006147E3" w:rsidRPr="00D521B0">
              <w:rPr>
                <w:sz w:val="24"/>
                <w:szCs w:val="24"/>
              </w:rPr>
              <w:t xml:space="preserve">ā paredzēto speciālo numura zīmju piešķiršanu </w:t>
            </w:r>
            <w:r w:rsidRPr="00D521B0">
              <w:rPr>
                <w:sz w:val="24"/>
                <w:szCs w:val="24"/>
              </w:rPr>
              <w:t xml:space="preserve"> </w:t>
            </w:r>
            <w:r w:rsidR="006147E3" w:rsidRPr="00D521B0">
              <w:rPr>
                <w:sz w:val="24"/>
                <w:szCs w:val="24"/>
              </w:rPr>
              <w:t xml:space="preserve">transportlīdzekļiem, kuri darbināmi tikai ar elektromotoru, </w:t>
            </w:r>
            <w:r w:rsidR="00B71182" w:rsidRPr="00D521B0">
              <w:rPr>
                <w:sz w:val="24"/>
                <w:szCs w:val="24"/>
              </w:rPr>
              <w:t>n</w:t>
            </w:r>
            <w:r w:rsidRPr="00D521B0">
              <w:rPr>
                <w:sz w:val="24"/>
                <w:szCs w:val="24"/>
              </w:rPr>
              <w:t>oteikumu projektā paredzēt</w:t>
            </w:r>
            <w:r w:rsidR="006147E3" w:rsidRPr="00D521B0">
              <w:rPr>
                <w:sz w:val="24"/>
                <w:szCs w:val="24"/>
              </w:rPr>
              <w:t>a</w:t>
            </w:r>
            <w:r w:rsidRPr="00D521B0">
              <w:rPr>
                <w:sz w:val="24"/>
                <w:szCs w:val="24"/>
              </w:rPr>
              <w:t xml:space="preserve"> </w:t>
            </w:r>
            <w:r w:rsidR="006147E3" w:rsidRPr="00D521B0">
              <w:rPr>
                <w:sz w:val="24"/>
                <w:szCs w:val="24"/>
              </w:rPr>
              <w:t>šo numura zīmju izsniegšanas kārtība</w:t>
            </w:r>
            <w:r w:rsidRPr="00D521B0">
              <w:rPr>
                <w:sz w:val="24"/>
                <w:szCs w:val="24"/>
              </w:rPr>
              <w:t xml:space="preserve">. </w:t>
            </w:r>
          </w:p>
          <w:p w:rsidR="006147E3" w:rsidRPr="00D521B0" w:rsidRDefault="006147E3" w:rsidP="00A235B5">
            <w:pPr>
              <w:spacing w:line="240" w:lineRule="auto"/>
              <w:ind w:firstLine="360"/>
              <w:rPr>
                <w:sz w:val="24"/>
                <w:szCs w:val="24"/>
              </w:rPr>
            </w:pPr>
            <w:r w:rsidRPr="00D521B0">
              <w:rPr>
                <w:sz w:val="24"/>
                <w:szCs w:val="24"/>
              </w:rPr>
              <w:t xml:space="preserve">Noteikumu projektā tiek paplašinātas reģistrētā transportlīdzekļa turētāja tiesības -  noteikta iespēja turētājam pārtraukt transportlīdzekļa reģistrāciju uz laiku, nodot numura zīmes, kā arī reģistrēt transportlīdzekļa identifikācijas numura izmaiņas. Līdz ar to šīs darbības reālais transportlīdzekļa lietotājs var veikt bez transportlīdzekļa īpašnieka klātbūtnes vai pilnvarojuma, tādejādi samazinot administratīvo slogu. </w:t>
            </w:r>
          </w:p>
          <w:p w:rsidR="006147E3" w:rsidRPr="00D521B0" w:rsidRDefault="008E78FD" w:rsidP="00A235B5">
            <w:pPr>
              <w:spacing w:line="240" w:lineRule="auto"/>
              <w:ind w:firstLine="360"/>
              <w:rPr>
                <w:sz w:val="24"/>
                <w:szCs w:val="24"/>
              </w:rPr>
            </w:pPr>
            <w:r w:rsidRPr="00D521B0">
              <w:rPr>
                <w:sz w:val="24"/>
                <w:szCs w:val="24"/>
              </w:rPr>
              <w:t xml:space="preserve">Turpmāk paredzēta turētāja kā transportlīdzekļa faktiskā lietotāja </w:t>
            </w:r>
            <w:r w:rsidR="00A2617A" w:rsidRPr="00D521B0">
              <w:rPr>
                <w:sz w:val="24"/>
                <w:szCs w:val="24"/>
              </w:rPr>
              <w:t xml:space="preserve">administratīvā sloga samazināšana </w:t>
            </w:r>
            <w:r w:rsidRPr="00D521B0">
              <w:rPr>
                <w:sz w:val="24"/>
                <w:szCs w:val="24"/>
              </w:rPr>
              <w:t xml:space="preserve">arī līzinga gadījumos, kad transportlīdzekli reģistrē, pamatojoties uz </w:t>
            </w:r>
            <w:r w:rsidR="00A2617A" w:rsidRPr="00D521B0">
              <w:rPr>
                <w:sz w:val="24"/>
                <w:szCs w:val="24"/>
              </w:rPr>
              <w:t>personas, kurai saskaņā ar normatīvajiem aktiem par patērētāju tiesību aizsar</w:t>
            </w:r>
            <w:r w:rsidR="00F814F4" w:rsidRPr="00D521B0">
              <w:rPr>
                <w:sz w:val="24"/>
                <w:szCs w:val="24"/>
              </w:rPr>
              <w:t>dzību</w:t>
            </w:r>
            <w:r w:rsidR="00A2617A" w:rsidRPr="00D521B0">
              <w:rPr>
                <w:sz w:val="24"/>
                <w:szCs w:val="24"/>
              </w:rPr>
              <w:t xml:space="preserve"> ir tiesības sniegt patērētājam kreditēšanas pakalpojumu</w:t>
            </w:r>
            <w:r w:rsidRPr="00D521B0">
              <w:rPr>
                <w:sz w:val="24"/>
                <w:szCs w:val="24"/>
              </w:rPr>
              <w:t xml:space="preserve">, izdarītu atzīmi reģistrā. Šajos gadījumos turētāja klātbūtne nav nepieciešama. </w:t>
            </w:r>
          </w:p>
          <w:p w:rsidR="008E78FD" w:rsidRPr="00D521B0" w:rsidRDefault="00624909" w:rsidP="00A235B5">
            <w:pPr>
              <w:spacing w:line="240" w:lineRule="auto"/>
              <w:ind w:firstLine="360"/>
              <w:rPr>
                <w:sz w:val="24"/>
                <w:szCs w:val="24"/>
              </w:rPr>
            </w:pPr>
            <w:r w:rsidRPr="00D521B0">
              <w:rPr>
                <w:sz w:val="24"/>
                <w:szCs w:val="24"/>
              </w:rPr>
              <w:t>Noteikumu projekts p</w:t>
            </w:r>
            <w:r w:rsidR="008E78FD" w:rsidRPr="00D521B0">
              <w:rPr>
                <w:sz w:val="24"/>
                <w:szCs w:val="24"/>
              </w:rPr>
              <w:t xml:space="preserve">aredz, ka gadījumā, kad reģistrācijai iesniegtie dokumenti </w:t>
            </w:r>
            <w:r w:rsidR="00977481" w:rsidRPr="00D521B0">
              <w:rPr>
                <w:sz w:val="24"/>
                <w:szCs w:val="24"/>
              </w:rPr>
              <w:t xml:space="preserve">tiek aizturēti, jo radušās aizdomas par to </w:t>
            </w:r>
            <w:r w:rsidR="008E78FD" w:rsidRPr="00D521B0">
              <w:rPr>
                <w:sz w:val="24"/>
                <w:szCs w:val="24"/>
              </w:rPr>
              <w:t>vilto</w:t>
            </w:r>
            <w:r w:rsidR="00977481" w:rsidRPr="00D521B0">
              <w:rPr>
                <w:sz w:val="24"/>
                <w:szCs w:val="24"/>
              </w:rPr>
              <w:t>jumu</w:t>
            </w:r>
            <w:r w:rsidR="008E78FD" w:rsidRPr="00D521B0">
              <w:rPr>
                <w:sz w:val="24"/>
                <w:szCs w:val="24"/>
              </w:rPr>
              <w:t>, CSDD izsniedz aktu par iesniegto dokumentu nodošanu Valsts policijai pārbaudes veikšanai</w:t>
            </w:r>
            <w:r w:rsidR="00F814F4" w:rsidRPr="00D521B0">
              <w:rPr>
                <w:sz w:val="24"/>
                <w:szCs w:val="24"/>
              </w:rPr>
              <w:t>,</w:t>
            </w:r>
            <w:r w:rsidR="00977481" w:rsidRPr="00D521B0">
              <w:rPr>
                <w:sz w:val="24"/>
                <w:szCs w:val="24"/>
              </w:rPr>
              <w:t xml:space="preserve"> </w:t>
            </w:r>
            <w:r w:rsidR="00294F02" w:rsidRPr="00D521B0">
              <w:rPr>
                <w:sz w:val="24"/>
                <w:szCs w:val="24"/>
              </w:rPr>
              <w:t xml:space="preserve">lai </w:t>
            </w:r>
            <w:r w:rsidR="00977481" w:rsidRPr="00D521B0">
              <w:rPr>
                <w:sz w:val="24"/>
                <w:szCs w:val="24"/>
              </w:rPr>
              <w:t>a</w:t>
            </w:r>
            <w:r w:rsidR="008E78FD" w:rsidRPr="00D521B0">
              <w:rPr>
                <w:sz w:val="24"/>
                <w:szCs w:val="24"/>
              </w:rPr>
              <w:t xml:space="preserve">r </w:t>
            </w:r>
            <w:r w:rsidR="00977481" w:rsidRPr="00D521B0">
              <w:rPr>
                <w:sz w:val="24"/>
                <w:szCs w:val="24"/>
              </w:rPr>
              <w:t xml:space="preserve">šo </w:t>
            </w:r>
            <w:r w:rsidR="008E78FD" w:rsidRPr="00D521B0">
              <w:rPr>
                <w:sz w:val="24"/>
                <w:szCs w:val="24"/>
              </w:rPr>
              <w:t>akt</w:t>
            </w:r>
            <w:r w:rsidR="00977481" w:rsidRPr="00D521B0">
              <w:rPr>
                <w:sz w:val="24"/>
                <w:szCs w:val="24"/>
              </w:rPr>
              <w:t>u</w:t>
            </w:r>
            <w:r w:rsidR="008E78FD" w:rsidRPr="00D521B0">
              <w:rPr>
                <w:sz w:val="24"/>
                <w:szCs w:val="24"/>
              </w:rPr>
              <w:t xml:space="preserve"> </w:t>
            </w:r>
            <w:r w:rsidR="00977481" w:rsidRPr="00D521B0">
              <w:rPr>
                <w:sz w:val="24"/>
                <w:szCs w:val="24"/>
              </w:rPr>
              <w:t>transportlīdzekli 24 stundu laikā varētu nogādāt tā uzglabāšanas vietā.</w:t>
            </w:r>
          </w:p>
          <w:p w:rsidR="00DE5DF0" w:rsidRDefault="003F5FBD" w:rsidP="00DE5DF0">
            <w:pPr>
              <w:ind w:firstLine="0"/>
              <w:rPr>
                <w:sz w:val="24"/>
                <w:szCs w:val="24"/>
              </w:rPr>
            </w:pPr>
            <w:r w:rsidRPr="00D521B0">
              <w:rPr>
                <w:sz w:val="24"/>
                <w:szCs w:val="24"/>
              </w:rPr>
              <w:t>N</w:t>
            </w:r>
            <w:r w:rsidR="00F56F5B" w:rsidRPr="00D521B0">
              <w:rPr>
                <w:sz w:val="24"/>
                <w:szCs w:val="24"/>
              </w:rPr>
              <w:t xml:space="preserve">oteikumos </w:t>
            </w:r>
            <w:r w:rsidR="00126C4C" w:rsidRPr="00D521B0">
              <w:rPr>
                <w:sz w:val="24"/>
                <w:szCs w:val="24"/>
              </w:rPr>
              <w:t xml:space="preserve">noteikts, ka </w:t>
            </w:r>
            <w:r w:rsidR="005D17D2" w:rsidRPr="00D521B0">
              <w:rPr>
                <w:rFonts w:eastAsia="Times New Roman"/>
                <w:sz w:val="24"/>
                <w:szCs w:val="24"/>
                <w:lang w:eastAsia="lv-LV"/>
              </w:rPr>
              <w:t xml:space="preserve">tirdzniecības uzņēmumā iegādāta transportlīdzekļa reģistrācijai </w:t>
            </w:r>
            <w:r w:rsidR="005D17D2" w:rsidRPr="00D521B0">
              <w:rPr>
                <w:sz w:val="24"/>
                <w:szCs w:val="24"/>
              </w:rPr>
              <w:t xml:space="preserve">kā īpašuma tiesības  apliecinošs dokuments </w:t>
            </w:r>
            <w:r w:rsidR="005D17D2" w:rsidRPr="00D521B0">
              <w:rPr>
                <w:rFonts w:eastAsia="Times New Roman"/>
                <w:sz w:val="24"/>
                <w:szCs w:val="24"/>
                <w:lang w:eastAsia="lv-LV"/>
              </w:rPr>
              <w:t xml:space="preserve">ir jāiesniedz </w:t>
            </w:r>
            <w:r w:rsidR="005D17D2" w:rsidRPr="00D521B0">
              <w:rPr>
                <w:sz w:val="24"/>
                <w:szCs w:val="24"/>
              </w:rPr>
              <w:t xml:space="preserve">uz speciālas veidlapas aizpildīts rēķins-uzziņa. </w:t>
            </w:r>
            <w:r w:rsidR="00A235B5" w:rsidRPr="00D521B0">
              <w:rPr>
                <w:sz w:val="24"/>
                <w:szCs w:val="24"/>
              </w:rPr>
              <w:t>Ņemot vērā, ka t</w:t>
            </w:r>
            <w:r w:rsidR="00A215E7" w:rsidRPr="00D521B0">
              <w:rPr>
                <w:sz w:val="24"/>
                <w:szCs w:val="24"/>
              </w:rPr>
              <w:t xml:space="preserve">ermins “Rēķins-uzziņa” ir maldinošs, jo dokuments </w:t>
            </w:r>
            <w:r w:rsidR="00DD7F3B" w:rsidRPr="00D521B0">
              <w:rPr>
                <w:sz w:val="24"/>
                <w:szCs w:val="24"/>
              </w:rPr>
              <w:t xml:space="preserve">pēc savas būtības </w:t>
            </w:r>
            <w:r w:rsidR="0079035A" w:rsidRPr="00D521B0">
              <w:rPr>
                <w:sz w:val="24"/>
                <w:szCs w:val="24"/>
              </w:rPr>
              <w:t>nav normatīviem aktiem atbilstošs kases čeks vai rēķins, bet apliecina ieguvēja īpašuma tiesība</w:t>
            </w:r>
            <w:r w:rsidR="00A235B5" w:rsidRPr="00D521B0">
              <w:rPr>
                <w:sz w:val="24"/>
                <w:szCs w:val="24"/>
              </w:rPr>
              <w:t>s uz nopirkto transportlīdzekli, ir izstrādāt</w:t>
            </w:r>
            <w:r w:rsidR="00DE5DF0">
              <w:rPr>
                <w:sz w:val="24"/>
                <w:szCs w:val="24"/>
              </w:rPr>
              <w:t>i un pieņemti grozījumi</w:t>
            </w:r>
            <w:r w:rsidR="00DA73A7" w:rsidRPr="00D521B0">
              <w:rPr>
                <w:sz w:val="24"/>
                <w:szCs w:val="24"/>
              </w:rPr>
              <w:t xml:space="preserve"> </w:t>
            </w:r>
            <w:r w:rsidR="00DE5DF0">
              <w:rPr>
                <w:rFonts w:eastAsia="Times New Roman"/>
                <w:iCs/>
                <w:sz w:val="24"/>
                <w:szCs w:val="24"/>
                <w:lang w:eastAsia="lv-LV"/>
              </w:rPr>
              <w:t xml:space="preserve">Ceļu satiksmes likumā </w:t>
            </w:r>
            <w:r w:rsidR="00DE5DF0">
              <w:rPr>
                <w:rFonts w:eastAsia="Times New Roman"/>
                <w:iCs/>
                <w:sz w:val="24"/>
                <w:szCs w:val="24"/>
                <w:lang w:eastAsia="lv-LV"/>
              </w:rPr>
              <w:lastRenderedPageBreak/>
              <w:t>un  Ministru kabineta 2007.</w:t>
            </w:r>
            <w:r w:rsidR="00DE5DF0" w:rsidRPr="00DE5DF0">
              <w:rPr>
                <w:rFonts w:eastAsia="Times New Roman"/>
                <w:iCs/>
                <w:sz w:val="24"/>
                <w:szCs w:val="24"/>
                <w:lang w:eastAsia="lv-LV"/>
              </w:rPr>
              <w:t xml:space="preserve">gada 18.decembra noteikumos Nr.876 </w:t>
            </w:r>
            <w:r w:rsidR="00DE5DF0" w:rsidRPr="00DE5DF0">
              <w:rPr>
                <w:rFonts w:eastAsia="Times New Roman"/>
                <w:sz w:val="24"/>
                <w:szCs w:val="24"/>
                <w:lang w:eastAsia="lv-LV"/>
              </w:rPr>
              <w:t>„</w:t>
            </w:r>
            <w:r w:rsidR="00DE5DF0" w:rsidRPr="00DE5DF0">
              <w:rPr>
                <w:rFonts w:eastAsia="Times New Roman"/>
                <w:iCs/>
                <w:sz w:val="24"/>
                <w:szCs w:val="24"/>
                <w:lang w:eastAsia="lv-LV"/>
              </w:rPr>
              <w:t>Transportlīdzekļu un to numurēto agregātu tirdzniecības noteikumi”, kas stājas spēkā 2016.gada 1.janvārī.</w:t>
            </w:r>
          </w:p>
          <w:p w:rsidR="00A47454" w:rsidRPr="00D521B0" w:rsidRDefault="002D32E1" w:rsidP="009F0183">
            <w:pPr>
              <w:spacing w:line="240" w:lineRule="auto"/>
              <w:ind w:firstLine="360"/>
              <w:rPr>
                <w:sz w:val="24"/>
                <w:szCs w:val="24"/>
              </w:rPr>
            </w:pPr>
            <w:r w:rsidRPr="00D521B0">
              <w:rPr>
                <w:sz w:val="24"/>
                <w:szCs w:val="24"/>
              </w:rPr>
              <w:t>L</w:t>
            </w:r>
            <w:r w:rsidR="00A215E7" w:rsidRPr="00D521B0">
              <w:rPr>
                <w:sz w:val="24"/>
                <w:szCs w:val="24"/>
              </w:rPr>
              <w:t>ai samazinātu administratīvo slogu</w:t>
            </w:r>
            <w:r w:rsidRPr="00D521B0">
              <w:rPr>
                <w:sz w:val="24"/>
                <w:szCs w:val="24"/>
              </w:rPr>
              <w:t xml:space="preserve">, arī </w:t>
            </w:r>
            <w:r w:rsidR="00B71182" w:rsidRPr="00D521B0">
              <w:rPr>
                <w:sz w:val="24"/>
                <w:szCs w:val="24"/>
              </w:rPr>
              <w:t>n</w:t>
            </w:r>
            <w:r w:rsidR="00DA73A7" w:rsidRPr="00D521B0">
              <w:rPr>
                <w:sz w:val="24"/>
                <w:szCs w:val="24"/>
              </w:rPr>
              <w:t xml:space="preserve">oteikumu </w:t>
            </w:r>
            <w:r w:rsidR="00A47454" w:rsidRPr="00D521B0">
              <w:rPr>
                <w:sz w:val="24"/>
                <w:szCs w:val="24"/>
              </w:rPr>
              <w:t xml:space="preserve">projekts paredz īpašuma tiesību dokumenta nosaukumu “Rēķins-uzziņa” aizstāt ar vārdiem “Īpašumtiesību apliecība”, kas </w:t>
            </w:r>
            <w:r w:rsidR="00BA60D6" w:rsidRPr="00D521B0">
              <w:rPr>
                <w:sz w:val="24"/>
                <w:szCs w:val="24"/>
              </w:rPr>
              <w:t xml:space="preserve">precīzāk raksturo noformētā dokumenta </w:t>
            </w:r>
            <w:r w:rsidR="00FB09FC" w:rsidRPr="00D521B0">
              <w:rPr>
                <w:sz w:val="24"/>
                <w:szCs w:val="24"/>
              </w:rPr>
              <w:t>fakt</w:t>
            </w:r>
            <w:r w:rsidR="00F45EC7" w:rsidRPr="00D521B0">
              <w:rPr>
                <w:sz w:val="24"/>
                <w:szCs w:val="24"/>
              </w:rPr>
              <w:t>isko nozīmi un tā būtību.</w:t>
            </w:r>
            <w:r w:rsidR="003B3FCD" w:rsidRPr="00D521B0">
              <w:rPr>
                <w:sz w:val="24"/>
                <w:szCs w:val="24"/>
              </w:rPr>
              <w:t xml:space="preserve"> Ņemot vērā, ka īpašumtiesību apliecība ir paredzēta kā izdruka no reģistra, tiek samazināts komersantu administratīvais slogs, jo vairs netiek izmantotas stingrās uzskaites veidlapas, kā arī transportlīdzekļa ieguvēja administratīvais slogs, jo dati par īpašumtiesību maiņu ir pieejami reģistrā. </w:t>
            </w:r>
          </w:p>
          <w:p w:rsidR="00D05D98" w:rsidRPr="00D521B0" w:rsidRDefault="00D05D98" w:rsidP="009F0183">
            <w:pPr>
              <w:spacing w:line="240" w:lineRule="auto"/>
              <w:ind w:firstLine="360"/>
              <w:rPr>
                <w:sz w:val="24"/>
                <w:szCs w:val="24"/>
              </w:rPr>
            </w:pPr>
            <w:r w:rsidRPr="00D521B0">
              <w:rPr>
                <w:sz w:val="24"/>
                <w:szCs w:val="24"/>
              </w:rPr>
              <w:t xml:space="preserve">Īpašumtiesību apliecība būtu vienīgais dokuments, kas apliecina tirdzniecības uzņēmumā iegādāta transportlīdzekļa īpašuma tiesības un uzskaites tehniskos datus jaunam transportlīdzeklim, kuru pārdevis transportlīdzekļa izgatavotājs vai tā oficiālais pārstāvis. </w:t>
            </w:r>
          </w:p>
          <w:p w:rsidR="00D05D98" w:rsidRPr="00D521B0" w:rsidRDefault="00233F4B" w:rsidP="00233F4B">
            <w:pPr>
              <w:spacing w:line="240" w:lineRule="auto"/>
              <w:ind w:firstLine="360"/>
              <w:rPr>
                <w:sz w:val="24"/>
                <w:szCs w:val="24"/>
              </w:rPr>
            </w:pPr>
            <w:r w:rsidRPr="00D521B0">
              <w:rPr>
                <w:sz w:val="24"/>
                <w:szCs w:val="24"/>
              </w:rPr>
              <w:t>Atbilst</w:t>
            </w:r>
            <w:r w:rsidR="00B672F4">
              <w:rPr>
                <w:sz w:val="24"/>
                <w:szCs w:val="24"/>
              </w:rPr>
              <w:t>oši Ministru kabineta noteikumu</w:t>
            </w:r>
            <w:r w:rsidRPr="00D521B0">
              <w:rPr>
                <w:sz w:val="24"/>
                <w:szCs w:val="24"/>
              </w:rPr>
              <w:t xml:space="preserve"> Nr.1494 “Mopēdu, mehānisko transportlīdzekļu, to piekabju un sastāvdaļu atbilstības novērtēšanas noteikumi” 81.2.apakšpunktā  noteiktajam</w:t>
            </w:r>
            <w:r w:rsidR="002D32E1" w:rsidRPr="00D521B0">
              <w:rPr>
                <w:sz w:val="24"/>
                <w:szCs w:val="24"/>
              </w:rPr>
              <w:t xml:space="preserve"> </w:t>
            </w:r>
            <w:r w:rsidR="00B71182" w:rsidRPr="00D521B0">
              <w:rPr>
                <w:sz w:val="24"/>
                <w:szCs w:val="24"/>
              </w:rPr>
              <w:t>n</w:t>
            </w:r>
            <w:r w:rsidR="002D32E1" w:rsidRPr="00D521B0">
              <w:rPr>
                <w:sz w:val="24"/>
                <w:szCs w:val="24"/>
              </w:rPr>
              <w:t>oteikumu projektā</w:t>
            </w:r>
            <w:r w:rsidR="00E95E0E" w:rsidRPr="00D521B0">
              <w:rPr>
                <w:sz w:val="24"/>
                <w:szCs w:val="24"/>
              </w:rPr>
              <w:t xml:space="preserve"> ir papildināts</w:t>
            </w:r>
            <w:r w:rsidRPr="00D521B0">
              <w:rPr>
                <w:sz w:val="24"/>
                <w:szCs w:val="24"/>
              </w:rPr>
              <w:t xml:space="preserve"> Eiropas Savienības dalībvalstu saraksts, kurās reģistrētiem transportlīdzekļiem piemērojams atvieglojums, papildin</w:t>
            </w:r>
            <w:r w:rsidR="00E95E0E" w:rsidRPr="00D521B0">
              <w:rPr>
                <w:sz w:val="24"/>
                <w:szCs w:val="24"/>
              </w:rPr>
              <w:t>ot to arī ar</w:t>
            </w:r>
            <w:r w:rsidRPr="00D521B0">
              <w:rPr>
                <w:sz w:val="24"/>
                <w:szCs w:val="24"/>
              </w:rPr>
              <w:t xml:space="preserve"> Horvātiju.</w:t>
            </w:r>
          </w:p>
          <w:p w:rsidR="00057FA2" w:rsidRPr="00D521B0" w:rsidRDefault="00057FA2" w:rsidP="009F0183">
            <w:pPr>
              <w:spacing w:line="240" w:lineRule="auto"/>
              <w:ind w:firstLine="360"/>
              <w:rPr>
                <w:sz w:val="24"/>
                <w:szCs w:val="24"/>
              </w:rPr>
            </w:pPr>
            <w:r w:rsidRPr="00D521B0">
              <w:rPr>
                <w:sz w:val="24"/>
                <w:szCs w:val="24"/>
              </w:rPr>
              <w:t xml:space="preserve">Noteikumu projekts </w:t>
            </w:r>
            <w:r w:rsidR="00B71182" w:rsidRPr="00D521B0">
              <w:rPr>
                <w:sz w:val="24"/>
                <w:szCs w:val="24"/>
              </w:rPr>
              <w:t>paredz</w:t>
            </w:r>
            <w:r w:rsidRPr="00D521B0">
              <w:rPr>
                <w:sz w:val="24"/>
                <w:szCs w:val="24"/>
              </w:rPr>
              <w:t xml:space="preserve"> veikt attālinātu reģistrāciju, kas samazina administratīvo slogu, jo atsavinātāja klātbūtne </w:t>
            </w:r>
            <w:r w:rsidR="00493641" w:rsidRPr="00D521B0">
              <w:rPr>
                <w:sz w:val="24"/>
                <w:szCs w:val="24"/>
              </w:rPr>
              <w:t xml:space="preserve">vairs </w:t>
            </w:r>
            <w:r w:rsidRPr="00D521B0">
              <w:rPr>
                <w:sz w:val="24"/>
                <w:szCs w:val="24"/>
              </w:rPr>
              <w:t>nav nepieciešama, ja atsavinātājs reģistrā ir izdarījis atzīmi par ieguvēja tiesībām veikt īpašnieka maiņu.</w:t>
            </w:r>
          </w:p>
          <w:p w:rsidR="003B3FCD" w:rsidRPr="00D521B0" w:rsidRDefault="00692791" w:rsidP="009F0183">
            <w:pPr>
              <w:spacing w:line="240" w:lineRule="auto"/>
              <w:ind w:firstLine="360"/>
              <w:rPr>
                <w:sz w:val="24"/>
                <w:szCs w:val="24"/>
              </w:rPr>
            </w:pPr>
            <w:r w:rsidRPr="00D521B0">
              <w:rPr>
                <w:sz w:val="24"/>
                <w:szCs w:val="24"/>
              </w:rPr>
              <w:t xml:space="preserve">Ņemot vērā, ka šobrīd netiek izsniegts Latvijā izgatavota agregāta izgatavotāja izdots sertifikāts, šis dokuments tiek </w:t>
            </w:r>
            <w:r w:rsidR="00427590" w:rsidRPr="00D521B0">
              <w:rPr>
                <w:sz w:val="24"/>
                <w:szCs w:val="24"/>
              </w:rPr>
              <w:t>svītrots</w:t>
            </w:r>
            <w:r w:rsidRPr="00D521B0">
              <w:rPr>
                <w:sz w:val="24"/>
                <w:szCs w:val="24"/>
              </w:rPr>
              <w:t xml:space="preserve"> no Noteikumiem. </w:t>
            </w:r>
          </w:p>
          <w:p w:rsidR="00692791" w:rsidRPr="00D521B0" w:rsidRDefault="00692791" w:rsidP="009F0183">
            <w:pPr>
              <w:spacing w:line="240" w:lineRule="auto"/>
              <w:ind w:firstLine="360"/>
              <w:rPr>
                <w:rFonts w:eastAsia="Times New Roman"/>
                <w:sz w:val="24"/>
                <w:szCs w:val="24"/>
                <w:lang w:eastAsia="lv-LV"/>
              </w:rPr>
            </w:pPr>
            <w:r w:rsidRPr="00D521B0">
              <w:rPr>
                <w:rFonts w:eastAsia="Times New Roman"/>
                <w:sz w:val="24"/>
                <w:szCs w:val="24"/>
                <w:lang w:eastAsia="lv-LV"/>
              </w:rPr>
              <w:t>Apķīlātās vai valstij piekritīgās mantas realizēšanas gadījumā netiek papildus prasīts dokument</w:t>
            </w:r>
            <w:r w:rsidR="00B71182" w:rsidRPr="00D521B0">
              <w:rPr>
                <w:rFonts w:eastAsia="Times New Roman"/>
                <w:sz w:val="24"/>
                <w:szCs w:val="24"/>
                <w:lang w:eastAsia="lv-LV"/>
              </w:rPr>
              <w:t>s</w:t>
            </w:r>
            <w:r w:rsidRPr="00D521B0">
              <w:rPr>
                <w:rFonts w:eastAsia="Times New Roman"/>
                <w:sz w:val="24"/>
                <w:szCs w:val="24"/>
                <w:lang w:eastAsia="lv-LV"/>
              </w:rPr>
              <w:t xml:space="preserve"> par to, ka numurētā agregāta vai transportlīdzekļa ievešana Eiropas Savienībā no ārpuskopienas valsts ir noformēta normatīvajos aktos par muitas lietām noteiktajā kārtībā, tādejādi samazinot administratīvo slogu.</w:t>
            </w:r>
          </w:p>
          <w:p w:rsidR="00692791" w:rsidRPr="00D521B0" w:rsidRDefault="00692791" w:rsidP="009F0183">
            <w:pPr>
              <w:spacing w:line="240" w:lineRule="auto"/>
              <w:ind w:firstLine="360"/>
              <w:rPr>
                <w:rFonts w:eastAsia="Times New Roman"/>
                <w:sz w:val="24"/>
                <w:szCs w:val="24"/>
                <w:lang w:eastAsia="lv-LV"/>
              </w:rPr>
            </w:pPr>
            <w:r w:rsidRPr="00D521B0">
              <w:rPr>
                <w:rFonts w:eastAsia="Times New Roman"/>
                <w:sz w:val="24"/>
                <w:szCs w:val="24"/>
                <w:lang w:eastAsia="lv-LV"/>
              </w:rPr>
              <w:t>Ņemot vērā, ka šobrīd sērijveidā pārbūvēta transportlīdzekļa atbilstības apliecinājums tiek izveidots reģistrā, to nav nepieciešams izsniegt uz stingrās uzskaites veidlapas. Līdz ar to tiek samazināts administratīvais slogs un dokumentu aprite papīra formā.</w:t>
            </w:r>
          </w:p>
          <w:p w:rsidR="00692791" w:rsidRPr="00D521B0" w:rsidRDefault="00692791" w:rsidP="00692791">
            <w:pPr>
              <w:spacing w:line="240" w:lineRule="auto"/>
              <w:ind w:firstLine="360"/>
              <w:rPr>
                <w:rFonts w:eastAsia="Times New Roman"/>
                <w:sz w:val="24"/>
                <w:szCs w:val="24"/>
                <w:lang w:eastAsia="lv-LV"/>
              </w:rPr>
            </w:pPr>
            <w:r w:rsidRPr="00D521B0">
              <w:rPr>
                <w:rFonts w:eastAsia="Times New Roman"/>
                <w:sz w:val="24"/>
                <w:szCs w:val="24"/>
                <w:lang w:eastAsia="lv-LV"/>
              </w:rPr>
              <w:t xml:space="preserve">Lai ierobežotu iespēju izmantot ceļu satiksmē </w:t>
            </w:r>
            <w:r w:rsidRPr="00D521B0">
              <w:rPr>
                <w:rFonts w:eastAsia="Times New Roman"/>
                <w:sz w:val="24"/>
                <w:szCs w:val="24"/>
                <w:lang w:eastAsia="lv-LV"/>
              </w:rPr>
              <w:lastRenderedPageBreak/>
              <w:t xml:space="preserve">transportlīdzekli, kuru aizliegts ekspluatēt Latvijā, </w:t>
            </w:r>
            <w:r w:rsidR="00B71182" w:rsidRPr="00D521B0">
              <w:rPr>
                <w:rFonts w:eastAsia="Times New Roman"/>
                <w:sz w:val="24"/>
                <w:szCs w:val="24"/>
                <w:lang w:eastAsia="lv-LV"/>
              </w:rPr>
              <w:t>n</w:t>
            </w:r>
            <w:r w:rsidRPr="00D521B0">
              <w:rPr>
                <w:rFonts w:eastAsia="Times New Roman"/>
                <w:sz w:val="24"/>
                <w:szCs w:val="24"/>
                <w:lang w:eastAsia="lv-LV"/>
              </w:rPr>
              <w:t xml:space="preserve">oteikumu projektā paredzēta šāda transportlīdzekļa reģistrācija, neizsniedzot tam valsts reģistrācijas numura zīmes. </w:t>
            </w:r>
          </w:p>
          <w:p w:rsidR="00692791" w:rsidRPr="00D521B0" w:rsidRDefault="00692791" w:rsidP="00692791">
            <w:pPr>
              <w:spacing w:line="240" w:lineRule="auto"/>
              <w:ind w:firstLine="360"/>
              <w:rPr>
                <w:rFonts w:eastAsia="Times New Roman"/>
                <w:sz w:val="24"/>
                <w:szCs w:val="24"/>
                <w:lang w:eastAsia="lv-LV"/>
              </w:rPr>
            </w:pPr>
            <w:r w:rsidRPr="00D521B0">
              <w:rPr>
                <w:rFonts w:eastAsia="Times New Roman"/>
                <w:sz w:val="24"/>
                <w:szCs w:val="24"/>
                <w:lang w:eastAsia="lv-LV"/>
              </w:rPr>
              <w:t>Lai ierobežotu fiktīvu darbību veikšanu ar valsts reģistrācijas numuriem</w:t>
            </w:r>
            <w:r w:rsidR="00DF5C49" w:rsidRPr="00D521B0">
              <w:rPr>
                <w:rFonts w:eastAsia="Times New Roman"/>
                <w:sz w:val="24"/>
                <w:szCs w:val="24"/>
                <w:lang w:eastAsia="lv-LV"/>
              </w:rPr>
              <w:t xml:space="preserve"> to turpmākas realizācijas nolūkā</w:t>
            </w:r>
            <w:r w:rsidRPr="00D521B0">
              <w:rPr>
                <w:rFonts w:eastAsia="Times New Roman"/>
                <w:sz w:val="24"/>
                <w:szCs w:val="24"/>
                <w:lang w:eastAsia="lv-LV"/>
              </w:rPr>
              <w:t xml:space="preserve">, izmantojot transportlīdzekļus, kuri zaudējuši pielaidi ceļu satiksmei un tiek izmantoti tikai šādām fiktīvām darbībām, </w:t>
            </w:r>
            <w:r w:rsidR="00B71182" w:rsidRPr="00D521B0">
              <w:rPr>
                <w:rFonts w:eastAsia="Times New Roman"/>
                <w:sz w:val="24"/>
                <w:szCs w:val="24"/>
                <w:lang w:eastAsia="lv-LV"/>
              </w:rPr>
              <w:t>n</w:t>
            </w:r>
            <w:r w:rsidRPr="00D521B0">
              <w:rPr>
                <w:rFonts w:eastAsia="Times New Roman"/>
                <w:sz w:val="24"/>
                <w:szCs w:val="24"/>
                <w:lang w:eastAsia="lv-LV"/>
              </w:rPr>
              <w:t xml:space="preserve">oteikumu projekts paredz, ka numura maiņu var veikt tikai transportlīdzeklim, kuram ir derīga valsts tehniskā apskate. </w:t>
            </w:r>
          </w:p>
          <w:p w:rsidR="00692791" w:rsidRPr="00D521B0" w:rsidRDefault="00692791" w:rsidP="00692791">
            <w:pPr>
              <w:spacing w:line="240" w:lineRule="auto"/>
              <w:ind w:firstLine="360"/>
              <w:rPr>
                <w:rFonts w:eastAsia="Times New Roman"/>
                <w:sz w:val="24"/>
                <w:szCs w:val="24"/>
                <w:lang w:eastAsia="lv-LV"/>
              </w:rPr>
            </w:pPr>
            <w:r w:rsidRPr="00D521B0">
              <w:rPr>
                <w:rFonts w:eastAsia="Times New Roman"/>
                <w:sz w:val="24"/>
                <w:szCs w:val="24"/>
                <w:lang w:eastAsia="lv-LV"/>
              </w:rPr>
              <w:t>Lai samazinātu administratīvo slogu,</w:t>
            </w:r>
            <w:r w:rsidR="009C295B" w:rsidRPr="00D521B0">
              <w:rPr>
                <w:rFonts w:eastAsia="Times New Roman"/>
                <w:sz w:val="24"/>
                <w:szCs w:val="24"/>
                <w:lang w:eastAsia="lv-LV"/>
              </w:rPr>
              <w:t xml:space="preserve"> paredzēts, ka transportlīdzekļi, kuriem ir zudušas valsts reģistrācijas numura zīmes, turpmāk nebūs jāuzrāda transportlīdzekļa agregātu numuru salīdzināšanai. Šobrīd numuru zudības gadījumā transportlīdzeklis </w:t>
            </w:r>
            <w:r w:rsidR="00B672F4">
              <w:rPr>
                <w:rFonts w:eastAsia="Times New Roman"/>
                <w:sz w:val="24"/>
                <w:szCs w:val="24"/>
                <w:lang w:eastAsia="lv-LV"/>
              </w:rPr>
              <w:t xml:space="preserve">piedalās </w:t>
            </w:r>
            <w:r w:rsidR="009C295B" w:rsidRPr="00D521B0">
              <w:rPr>
                <w:rFonts w:eastAsia="Times New Roman"/>
                <w:sz w:val="24"/>
                <w:szCs w:val="24"/>
                <w:lang w:eastAsia="lv-LV"/>
              </w:rPr>
              <w:t xml:space="preserve">ceļu satiksmē bez numura zīmēm vai arī jāveic izbraukuma agregātu numuru salīdzināšana, kas papildus sadārdzina numura atjaunošanu. </w:t>
            </w:r>
          </w:p>
          <w:p w:rsidR="009C295B" w:rsidRPr="00D521B0" w:rsidRDefault="009C295B" w:rsidP="00692791">
            <w:pPr>
              <w:spacing w:line="240" w:lineRule="auto"/>
              <w:ind w:firstLine="360"/>
              <w:rPr>
                <w:rFonts w:eastAsia="Times New Roman"/>
                <w:sz w:val="24"/>
                <w:szCs w:val="24"/>
                <w:lang w:eastAsia="lv-LV"/>
              </w:rPr>
            </w:pPr>
            <w:r w:rsidRPr="00D521B0">
              <w:rPr>
                <w:rFonts w:eastAsia="Times New Roman"/>
                <w:sz w:val="24"/>
                <w:szCs w:val="24"/>
                <w:lang w:eastAsia="lv-LV"/>
              </w:rPr>
              <w:t xml:space="preserve">Lai </w:t>
            </w:r>
            <w:r w:rsidR="0095094F" w:rsidRPr="00D521B0">
              <w:rPr>
                <w:rFonts w:eastAsia="Times New Roman"/>
                <w:sz w:val="24"/>
                <w:szCs w:val="24"/>
                <w:lang w:eastAsia="lv-LV"/>
              </w:rPr>
              <w:t>aiz</w:t>
            </w:r>
            <w:r w:rsidRPr="00D521B0">
              <w:rPr>
                <w:rFonts w:eastAsia="Times New Roman"/>
                <w:sz w:val="24"/>
                <w:szCs w:val="24"/>
                <w:lang w:eastAsia="lv-LV"/>
              </w:rPr>
              <w:t>sargātu reģistrētā turētāja intereses</w:t>
            </w:r>
            <w:r w:rsidR="0095094F" w:rsidRPr="00D521B0">
              <w:rPr>
                <w:rFonts w:eastAsia="Times New Roman"/>
                <w:sz w:val="24"/>
                <w:szCs w:val="24"/>
                <w:lang w:eastAsia="lv-LV"/>
              </w:rPr>
              <w:t xml:space="preserve"> </w:t>
            </w:r>
            <w:r w:rsidRPr="00D521B0">
              <w:rPr>
                <w:rFonts w:eastAsia="Times New Roman"/>
                <w:sz w:val="24"/>
                <w:szCs w:val="24"/>
                <w:lang w:eastAsia="lv-LV"/>
              </w:rPr>
              <w:t xml:space="preserve">gadījumos, kad transportlīdzekļa īpašnieks transportlīdzekli noņēmis no uzskaites atsavināšanai vai izvešanai no Latvijas, </w:t>
            </w:r>
            <w:r w:rsidR="00B71182" w:rsidRPr="00D521B0">
              <w:rPr>
                <w:rFonts w:eastAsia="Times New Roman"/>
                <w:sz w:val="24"/>
                <w:szCs w:val="24"/>
                <w:lang w:eastAsia="lv-LV"/>
              </w:rPr>
              <w:t>n</w:t>
            </w:r>
            <w:r w:rsidRPr="00D521B0">
              <w:rPr>
                <w:rFonts w:eastAsia="Times New Roman"/>
                <w:sz w:val="24"/>
                <w:szCs w:val="24"/>
                <w:lang w:eastAsia="lv-LV"/>
              </w:rPr>
              <w:t xml:space="preserve">oteikumu projektā paredzēts noteikt, ka </w:t>
            </w:r>
            <w:r w:rsidR="0095094F" w:rsidRPr="00D521B0">
              <w:rPr>
                <w:rFonts w:eastAsia="Times New Roman"/>
                <w:sz w:val="24"/>
                <w:szCs w:val="24"/>
                <w:lang w:eastAsia="lv-LV"/>
              </w:rPr>
              <w:t>reģistrētā turētāja atbildība par izdarītajiem pārkāpumiem ar transportlīdzekli ceļu satiksmē izbeidzas, veicot attiecīgo noņemšanas  no uzskaites darbību.</w:t>
            </w:r>
          </w:p>
          <w:p w:rsidR="00294F02" w:rsidRPr="00D521B0" w:rsidRDefault="0095094F" w:rsidP="009F0183">
            <w:pPr>
              <w:spacing w:line="240" w:lineRule="auto"/>
              <w:ind w:firstLine="360"/>
              <w:rPr>
                <w:rFonts w:eastAsia="Times New Roman"/>
                <w:sz w:val="24"/>
                <w:szCs w:val="24"/>
                <w:lang w:eastAsia="lv-LV"/>
              </w:rPr>
            </w:pPr>
            <w:r w:rsidRPr="00D521B0">
              <w:rPr>
                <w:rFonts w:eastAsia="Times New Roman"/>
                <w:sz w:val="24"/>
                <w:szCs w:val="24"/>
                <w:lang w:eastAsia="lv-LV"/>
              </w:rPr>
              <w:t>Sakarā ar paredzēto transportlīdzekļa noņemšanas no uzskaites atsavināšanai Latvijā</w:t>
            </w:r>
            <w:r w:rsidR="004A0803" w:rsidRPr="00D521B0">
              <w:rPr>
                <w:rFonts w:eastAsia="Times New Roman"/>
                <w:sz w:val="24"/>
                <w:szCs w:val="24"/>
                <w:lang w:eastAsia="lv-LV"/>
              </w:rPr>
              <w:t xml:space="preserve"> un izvešanai uz Eiropas Savienības dalībvalstīm</w:t>
            </w:r>
            <w:r w:rsidRPr="00D521B0">
              <w:rPr>
                <w:rFonts w:eastAsia="Times New Roman"/>
                <w:sz w:val="24"/>
                <w:szCs w:val="24"/>
                <w:lang w:eastAsia="lv-LV"/>
              </w:rPr>
              <w:t xml:space="preserve"> procesa vienkāršošanu un iespēju šo darbību veikt elektroniskā veidā, </w:t>
            </w:r>
            <w:r w:rsidR="00B71182" w:rsidRPr="00D521B0">
              <w:rPr>
                <w:rFonts w:eastAsia="Times New Roman"/>
                <w:sz w:val="24"/>
                <w:szCs w:val="24"/>
                <w:lang w:eastAsia="lv-LV"/>
              </w:rPr>
              <w:t>n</w:t>
            </w:r>
            <w:r w:rsidRPr="00D521B0">
              <w:rPr>
                <w:rFonts w:eastAsia="Times New Roman"/>
                <w:sz w:val="24"/>
                <w:szCs w:val="24"/>
                <w:lang w:eastAsia="lv-LV"/>
              </w:rPr>
              <w:t>oteikumu projektā noteikta šīs darbības veikšanas kārtība.</w:t>
            </w:r>
          </w:p>
          <w:p w:rsidR="0095094F" w:rsidRPr="00D521B0" w:rsidRDefault="00294F02" w:rsidP="009F0183">
            <w:pPr>
              <w:spacing w:line="240" w:lineRule="auto"/>
              <w:ind w:firstLine="360"/>
              <w:rPr>
                <w:rFonts w:eastAsia="Times New Roman"/>
                <w:sz w:val="24"/>
                <w:szCs w:val="24"/>
                <w:lang w:eastAsia="lv-LV"/>
              </w:rPr>
            </w:pPr>
            <w:r w:rsidRPr="00D521B0">
              <w:rPr>
                <w:rFonts w:eastAsia="Times New Roman"/>
                <w:sz w:val="24"/>
                <w:szCs w:val="24"/>
                <w:lang w:eastAsia="lv-LV"/>
              </w:rPr>
              <w:t xml:space="preserve">Administratīvā sloga samazināšanas nolūkos ir paredzēta arī ķīlā ņemto transportlīdzekļu atsavināšanai turpmāk neizsniegt aktu par ieķīlāta un neizpirkta transportlīdzekļa nodošanu īpašumā ieguvējam papīra dokumenta veidā, to aizstājot ar </w:t>
            </w:r>
            <w:r w:rsidR="00452AD8" w:rsidRPr="00D521B0">
              <w:rPr>
                <w:rFonts w:eastAsia="Times New Roman"/>
                <w:sz w:val="24"/>
                <w:szCs w:val="24"/>
                <w:lang w:eastAsia="lv-LV"/>
              </w:rPr>
              <w:t>atzīmes izdarīšanu transportlīdzekļu reģistrā par īpašuma tiesību nodošanu ieguvējam</w:t>
            </w:r>
            <w:r w:rsidRPr="00D521B0">
              <w:rPr>
                <w:rFonts w:eastAsia="Times New Roman"/>
                <w:sz w:val="24"/>
                <w:szCs w:val="24"/>
                <w:lang w:eastAsia="lv-LV"/>
              </w:rPr>
              <w:t>.</w:t>
            </w:r>
            <w:r w:rsidR="0095094F" w:rsidRPr="00D521B0">
              <w:rPr>
                <w:rFonts w:eastAsia="Times New Roman"/>
                <w:sz w:val="24"/>
                <w:szCs w:val="24"/>
                <w:lang w:eastAsia="lv-LV"/>
              </w:rPr>
              <w:t xml:space="preserve"> </w:t>
            </w:r>
          </w:p>
          <w:p w:rsidR="0095094F" w:rsidRPr="00D521B0" w:rsidRDefault="004A0803" w:rsidP="009F0183">
            <w:pPr>
              <w:spacing w:line="240" w:lineRule="auto"/>
              <w:ind w:firstLine="360"/>
              <w:rPr>
                <w:sz w:val="24"/>
                <w:szCs w:val="24"/>
              </w:rPr>
            </w:pPr>
            <w:r w:rsidRPr="00D521B0">
              <w:rPr>
                <w:rFonts w:eastAsia="Times New Roman"/>
                <w:sz w:val="24"/>
                <w:szCs w:val="24"/>
                <w:lang w:eastAsia="lv-LV"/>
              </w:rPr>
              <w:t xml:space="preserve">Lai nodrošinātu aktuālākas informācijas par ceļu satiksmē iesaistītajiem transportlīdzekļiem uzturēšanu reģistrā, </w:t>
            </w:r>
            <w:r w:rsidR="00B71182" w:rsidRPr="00D521B0">
              <w:rPr>
                <w:rFonts w:eastAsia="Times New Roman"/>
                <w:sz w:val="24"/>
                <w:szCs w:val="24"/>
                <w:lang w:eastAsia="lv-LV"/>
              </w:rPr>
              <w:t>n</w:t>
            </w:r>
            <w:r w:rsidRPr="00D521B0">
              <w:rPr>
                <w:rFonts w:eastAsia="Times New Roman"/>
                <w:sz w:val="24"/>
                <w:szCs w:val="24"/>
                <w:lang w:eastAsia="lv-LV"/>
              </w:rPr>
              <w:t>oteikumu projektā paredzēts samazināt tā perioda ilgumu</w:t>
            </w:r>
            <w:r w:rsidR="00B71182" w:rsidRPr="00D521B0">
              <w:rPr>
                <w:rFonts w:eastAsia="Times New Roman"/>
                <w:sz w:val="24"/>
                <w:szCs w:val="24"/>
                <w:lang w:eastAsia="lv-LV"/>
              </w:rPr>
              <w:t xml:space="preserve"> no pieciem uz trīs gadiem</w:t>
            </w:r>
            <w:r w:rsidRPr="00D521B0">
              <w:rPr>
                <w:rFonts w:eastAsia="Times New Roman"/>
                <w:sz w:val="24"/>
                <w:szCs w:val="24"/>
                <w:lang w:eastAsia="lv-LV"/>
              </w:rPr>
              <w:t>, pēc kura transportlīdzekļi, kuriem nav veikta tehnis</w:t>
            </w:r>
            <w:r w:rsidR="00ED5AD9" w:rsidRPr="00D521B0">
              <w:rPr>
                <w:rFonts w:eastAsia="Times New Roman"/>
                <w:sz w:val="24"/>
                <w:szCs w:val="24"/>
                <w:lang w:eastAsia="lv-LV"/>
              </w:rPr>
              <w:t>kā apskate, tiek izslēgti no reģistra, kā arī noteikt, ka izslēgt</w:t>
            </w:r>
            <w:r w:rsidR="00B71182" w:rsidRPr="00D521B0">
              <w:rPr>
                <w:rFonts w:eastAsia="Times New Roman"/>
                <w:sz w:val="24"/>
                <w:szCs w:val="24"/>
                <w:lang w:eastAsia="lv-LV"/>
              </w:rPr>
              <w:t>a</w:t>
            </w:r>
            <w:r w:rsidR="00ED5AD9" w:rsidRPr="00D521B0">
              <w:rPr>
                <w:rFonts w:eastAsia="Times New Roman"/>
                <w:sz w:val="24"/>
                <w:szCs w:val="24"/>
                <w:lang w:eastAsia="lv-LV"/>
              </w:rPr>
              <w:t xml:space="preserve"> transportlīdzekļ</w:t>
            </w:r>
            <w:r w:rsidR="00B71182" w:rsidRPr="00D521B0">
              <w:rPr>
                <w:rFonts w:eastAsia="Times New Roman"/>
                <w:sz w:val="24"/>
                <w:szCs w:val="24"/>
                <w:lang w:eastAsia="lv-LV"/>
              </w:rPr>
              <w:t>a</w:t>
            </w:r>
            <w:r w:rsidR="00ED5AD9" w:rsidRPr="00D521B0">
              <w:rPr>
                <w:rFonts w:eastAsia="Times New Roman"/>
                <w:sz w:val="24"/>
                <w:szCs w:val="24"/>
                <w:lang w:eastAsia="lv-LV"/>
              </w:rPr>
              <w:t xml:space="preserve"> valsts reģistrācijas numura zīme tiek anulēta. </w:t>
            </w:r>
            <w:r w:rsidR="00ED5AD9" w:rsidRPr="00D521B0">
              <w:rPr>
                <w:sz w:val="24"/>
                <w:szCs w:val="24"/>
              </w:rPr>
              <w:t>Ja transportlīdzeklis ir izslēgts no reģistra, tad Latvijai</w:t>
            </w:r>
            <w:r w:rsidR="00785FB2" w:rsidRPr="00D521B0">
              <w:rPr>
                <w:sz w:val="24"/>
                <w:szCs w:val="24"/>
              </w:rPr>
              <w:t xml:space="preserve"> atbilstoši </w:t>
            </w:r>
            <w:r w:rsidR="009A3274" w:rsidRPr="00D521B0">
              <w:rPr>
                <w:bCs/>
                <w:sz w:val="24"/>
                <w:szCs w:val="24"/>
              </w:rPr>
              <w:t xml:space="preserve">Eiropas Parlamenta un Padomes 2009.gada 16.septembra Direktīvai 2009/103/EK par </w:t>
            </w:r>
            <w:r w:rsidR="009A3274" w:rsidRPr="00D521B0">
              <w:rPr>
                <w:bCs/>
                <w:sz w:val="24"/>
                <w:szCs w:val="24"/>
              </w:rPr>
              <w:lastRenderedPageBreak/>
              <w:t>civiltiesiskās atbildības apdrošināšanu saistībā ar mehānisko transportlīdzekļu izmantošanu un kontroli saistībā ar pienākumu apdrošināt šādu atbildību</w:t>
            </w:r>
            <w:r w:rsidR="00ED5AD9" w:rsidRPr="00D521B0">
              <w:rPr>
                <w:sz w:val="24"/>
                <w:szCs w:val="24"/>
              </w:rPr>
              <w:t xml:space="preserve"> nav jāuzņemas atbildība par šādu transportlīdzekļu nodarītajiem zaudējumiem, izņemot gadījumu, ja negadījums ir noticis Latvijā, jo atbilstoši šīs direktīvas prasībām, ja transportlīdzeklis ir bez numura zīmes vai ja tam ir numura zīmes, kas neatbilst šim transportlīdzeklim, tad atbildīga ir tā dalībvalsts, kur notiek ceļu satiksmes negadījums.</w:t>
            </w:r>
          </w:p>
          <w:p w:rsidR="007347AE" w:rsidRPr="00D521B0" w:rsidRDefault="007347AE" w:rsidP="009F0183">
            <w:pPr>
              <w:spacing w:line="240" w:lineRule="auto"/>
              <w:ind w:firstLine="360"/>
              <w:rPr>
                <w:sz w:val="24"/>
                <w:szCs w:val="24"/>
              </w:rPr>
            </w:pPr>
            <w:r w:rsidRPr="00D521B0">
              <w:rPr>
                <w:sz w:val="24"/>
                <w:szCs w:val="24"/>
              </w:rPr>
              <w:t xml:space="preserve">Savukārt, lai radītu iespēju savlaicīgi veikt valsts tehnisko apskati vai pārreģistrāciju transportlīdzekļiem, kas netiek izmantoti Latvijā un neradītu negatīvas tiesiskās sekas, izslēdzot transportlīdzekli no reģistra un aizliedzot ar to piedalīties ceļu satiksmē, ir paredzēts pārejas periods attiecīgo </w:t>
            </w:r>
            <w:r w:rsidR="000C4C54" w:rsidRPr="00D521B0">
              <w:rPr>
                <w:sz w:val="24"/>
                <w:szCs w:val="24"/>
              </w:rPr>
              <w:t>darbību veikšanai.</w:t>
            </w:r>
            <w:r w:rsidRPr="00D521B0">
              <w:rPr>
                <w:sz w:val="24"/>
                <w:szCs w:val="24"/>
              </w:rPr>
              <w:t xml:space="preserve"> </w:t>
            </w:r>
          </w:p>
          <w:p w:rsidR="00065597" w:rsidRPr="00D521B0" w:rsidRDefault="000C4C54" w:rsidP="006C4580">
            <w:pPr>
              <w:spacing w:line="240" w:lineRule="auto"/>
              <w:ind w:firstLine="360"/>
              <w:rPr>
                <w:sz w:val="24"/>
                <w:szCs w:val="24"/>
              </w:rPr>
            </w:pPr>
            <w:r w:rsidRPr="00D521B0">
              <w:rPr>
                <w:sz w:val="24"/>
                <w:szCs w:val="24"/>
              </w:rPr>
              <w:t>Vienlaikus</w:t>
            </w:r>
            <w:r w:rsidR="00452AD8" w:rsidRPr="00D521B0">
              <w:rPr>
                <w:sz w:val="24"/>
                <w:szCs w:val="24"/>
              </w:rPr>
              <w:t>, lai neradītu lieku administratīvo slogu personām, kas kādu laiku nolēmuš</w:t>
            </w:r>
            <w:r w:rsidR="006E47BA" w:rsidRPr="00D521B0">
              <w:rPr>
                <w:sz w:val="24"/>
                <w:szCs w:val="24"/>
              </w:rPr>
              <w:t>as</w:t>
            </w:r>
            <w:r w:rsidR="00452AD8" w:rsidRPr="00D521B0">
              <w:rPr>
                <w:sz w:val="24"/>
                <w:szCs w:val="24"/>
              </w:rPr>
              <w:t xml:space="preserve"> neizmantot savus transportlīdzekļus, paredzēts, ka </w:t>
            </w:r>
            <w:r w:rsidR="006E47BA" w:rsidRPr="00D521B0">
              <w:rPr>
                <w:sz w:val="24"/>
                <w:szCs w:val="24"/>
              </w:rPr>
              <w:t>to izslēgšana no reģistra netiks veikta, ja noteiktajā kārtībā šo transportlīdzekļu reģistrācija būs pārtraukta, nododot numura zīmes.</w:t>
            </w:r>
            <w:r w:rsidR="007347AE" w:rsidRPr="00D521B0">
              <w:rPr>
                <w:sz w:val="24"/>
                <w:szCs w:val="24"/>
              </w:rPr>
              <w:t xml:space="preserve"> </w:t>
            </w:r>
          </w:p>
          <w:p w:rsidR="00BF1B85" w:rsidRPr="00D521B0" w:rsidRDefault="00062AC4" w:rsidP="006951CB">
            <w:pPr>
              <w:spacing w:line="240" w:lineRule="auto"/>
              <w:ind w:firstLine="360"/>
              <w:rPr>
                <w:rFonts w:eastAsia="Times New Roman"/>
                <w:sz w:val="24"/>
                <w:szCs w:val="24"/>
                <w:lang w:eastAsia="lv-LV"/>
              </w:rPr>
            </w:pPr>
            <w:r w:rsidRPr="00D521B0">
              <w:rPr>
                <w:rFonts w:eastAsia="Times New Roman"/>
                <w:sz w:val="24"/>
                <w:szCs w:val="24"/>
                <w:lang w:eastAsia="lv-LV"/>
              </w:rPr>
              <w:t xml:space="preserve">Lai nodrošinātu Padomes 1999.gada 29.aprīļa Direktīvas </w:t>
            </w:r>
            <w:hyperlink r:id="rId9" w:history="1">
              <w:r w:rsidRPr="00D521B0">
                <w:rPr>
                  <w:rFonts w:eastAsia="Times New Roman"/>
                  <w:sz w:val="24"/>
                  <w:szCs w:val="24"/>
                  <w:u w:val="single"/>
                  <w:lang w:eastAsia="lv-LV"/>
                </w:rPr>
                <w:t>1999/37/EK</w:t>
              </w:r>
            </w:hyperlink>
            <w:r w:rsidRPr="00D521B0">
              <w:rPr>
                <w:rFonts w:eastAsia="Times New Roman"/>
                <w:sz w:val="24"/>
                <w:szCs w:val="24"/>
                <w:lang w:eastAsia="lv-LV"/>
              </w:rPr>
              <w:t xml:space="preserve"> par transportlīdzekļu reģistrācijas dokumentiem prasības, nomainīts transportlīdzekļa reģistrācijas apliecības paraugs, iekļaujot tajā informāciju par visām Eiropas Savienības dalībvalstīm. Papildus precizēta reģistrētā turētāja adreses norādīšanas kārtība atbilsto</w:t>
            </w:r>
            <w:r w:rsidR="00D53693" w:rsidRPr="00D521B0">
              <w:rPr>
                <w:rFonts w:eastAsia="Times New Roman"/>
                <w:sz w:val="24"/>
                <w:szCs w:val="24"/>
                <w:lang w:eastAsia="lv-LV"/>
              </w:rPr>
              <w:t>ši minētās direktīvas prasībām.</w:t>
            </w:r>
          </w:p>
          <w:p w:rsidR="00D53693" w:rsidRDefault="00D53693" w:rsidP="008A3CFA">
            <w:pPr>
              <w:spacing w:line="240" w:lineRule="auto"/>
              <w:ind w:firstLine="360"/>
              <w:rPr>
                <w:rFonts w:eastAsia="Times New Roman"/>
                <w:sz w:val="24"/>
                <w:szCs w:val="24"/>
                <w:lang w:eastAsia="lv-LV"/>
              </w:rPr>
            </w:pPr>
            <w:r w:rsidRPr="00D521B0">
              <w:rPr>
                <w:rFonts w:eastAsia="Times New Roman"/>
                <w:sz w:val="24"/>
                <w:szCs w:val="24"/>
                <w:lang w:eastAsia="lv-LV"/>
              </w:rPr>
              <w:t xml:space="preserve">Savukārt, lai nodrošinātu numura zīmju izsniegšanu </w:t>
            </w:r>
            <w:r w:rsidR="005036C4" w:rsidRPr="00D521B0">
              <w:rPr>
                <w:rFonts w:eastAsia="Times New Roman"/>
                <w:sz w:val="24"/>
                <w:szCs w:val="24"/>
                <w:lang w:eastAsia="lv-LV"/>
              </w:rPr>
              <w:t xml:space="preserve">transportlīdzekļiem, kuru izgatavotājs ir paredzējis samazinātu vietu numura zīmju uzstādīšanai, noteikumu projektā ir paredzēts </w:t>
            </w:r>
            <w:r w:rsidR="008A3CFA" w:rsidRPr="00D521B0">
              <w:rPr>
                <w:rFonts w:eastAsia="Times New Roman"/>
                <w:sz w:val="24"/>
                <w:szCs w:val="24"/>
                <w:lang w:eastAsia="lv-LV"/>
              </w:rPr>
              <w:t xml:space="preserve">atteikties no ierobežojumiem vispārējās izmantošanas </w:t>
            </w:r>
            <w:r w:rsidR="005036C4" w:rsidRPr="00D521B0">
              <w:rPr>
                <w:rFonts w:eastAsia="Times New Roman"/>
                <w:sz w:val="24"/>
                <w:szCs w:val="24"/>
                <w:lang w:eastAsia="lv-LV"/>
              </w:rPr>
              <w:t xml:space="preserve">numura zīmēs izmantojamo simbolu </w:t>
            </w:r>
            <w:r w:rsidR="008A3CFA" w:rsidRPr="00D521B0">
              <w:rPr>
                <w:rFonts w:eastAsia="Times New Roman"/>
                <w:sz w:val="24"/>
                <w:szCs w:val="24"/>
                <w:lang w:eastAsia="lv-LV"/>
              </w:rPr>
              <w:t xml:space="preserve">lietošanā un izmantot visus saskaņā ar 1968.gada 8.novembra Vīnes konvencijas Par ceļu satiksmi atļautos simbolus, tādējādi paplašinot izsniedzamo numuru </w:t>
            </w:r>
            <w:r w:rsidR="005036C4" w:rsidRPr="00D521B0">
              <w:rPr>
                <w:rFonts w:eastAsia="Times New Roman"/>
                <w:sz w:val="24"/>
                <w:szCs w:val="24"/>
                <w:lang w:eastAsia="lv-LV"/>
              </w:rPr>
              <w:t>skaitu.</w:t>
            </w:r>
          </w:p>
          <w:p w:rsidR="007172BA" w:rsidRPr="00D521B0" w:rsidRDefault="007172BA" w:rsidP="0042304A">
            <w:pPr>
              <w:spacing w:line="240" w:lineRule="auto"/>
              <w:ind w:firstLine="360"/>
              <w:rPr>
                <w:rFonts w:eastAsia="Times New Roman"/>
                <w:sz w:val="24"/>
                <w:szCs w:val="24"/>
                <w:lang w:eastAsia="lv-LV"/>
              </w:rPr>
            </w:pPr>
            <w:r>
              <w:rPr>
                <w:rFonts w:eastAsia="Times New Roman"/>
                <w:sz w:val="24"/>
                <w:szCs w:val="24"/>
                <w:lang w:eastAsia="lv-LV"/>
              </w:rPr>
              <w:t xml:space="preserve">Nolūkā mazināt administratīvo slogu personām, kam ir tiesības atsavināt transportlīdzekļus noteikumos noteiktajos gadījumos, kā arī sakarā ar </w:t>
            </w:r>
            <w:r w:rsidR="006E38B5" w:rsidRPr="00D521B0">
              <w:rPr>
                <w:sz w:val="24"/>
                <w:szCs w:val="24"/>
              </w:rPr>
              <w:t>noteikumu projekt</w:t>
            </w:r>
            <w:r w:rsidR="006E38B5">
              <w:rPr>
                <w:sz w:val="24"/>
                <w:szCs w:val="24"/>
              </w:rPr>
              <w:t>ā</w:t>
            </w:r>
            <w:r w:rsidR="006E38B5" w:rsidRPr="00D521B0">
              <w:rPr>
                <w:sz w:val="24"/>
                <w:szCs w:val="24"/>
              </w:rPr>
              <w:t xml:space="preserve"> </w:t>
            </w:r>
            <w:r>
              <w:rPr>
                <w:rFonts w:eastAsia="Times New Roman"/>
                <w:sz w:val="24"/>
                <w:szCs w:val="24"/>
                <w:lang w:eastAsia="lv-LV"/>
              </w:rPr>
              <w:t>paredzētajām izmaiņām noņemšanas no uzskaites kārtībā, ir paredzēts atteikties no atzīmju izdarī</w:t>
            </w:r>
            <w:r w:rsidR="006E38B5">
              <w:rPr>
                <w:rFonts w:eastAsia="Times New Roman"/>
                <w:sz w:val="24"/>
                <w:szCs w:val="24"/>
                <w:lang w:eastAsia="lv-LV"/>
              </w:rPr>
              <w:t xml:space="preserve">šanas transportlīdzekļa </w:t>
            </w:r>
            <w:r>
              <w:rPr>
                <w:rFonts w:eastAsia="Times New Roman"/>
                <w:sz w:val="24"/>
                <w:szCs w:val="24"/>
                <w:lang w:eastAsia="lv-LV"/>
              </w:rPr>
              <w:t xml:space="preserve"> reģistrācijas apliecībā par transportlīdzekļa īpašnieka maiņu</w:t>
            </w:r>
            <w:r w:rsidR="006E38B5">
              <w:rPr>
                <w:rFonts w:eastAsia="Times New Roman"/>
                <w:sz w:val="24"/>
                <w:szCs w:val="24"/>
                <w:lang w:eastAsia="lv-LV"/>
              </w:rPr>
              <w:t xml:space="preserve">. </w:t>
            </w:r>
            <w:r w:rsidR="0042304A">
              <w:rPr>
                <w:rFonts w:eastAsia="Times New Roman"/>
                <w:sz w:val="24"/>
                <w:szCs w:val="24"/>
                <w:lang w:eastAsia="lv-LV"/>
              </w:rPr>
              <w:t>Taču, l</w:t>
            </w:r>
            <w:r w:rsidR="006E38B5">
              <w:rPr>
                <w:rFonts w:eastAsia="Times New Roman"/>
                <w:sz w:val="24"/>
                <w:szCs w:val="24"/>
                <w:lang w:eastAsia="lv-LV"/>
              </w:rPr>
              <w:t xml:space="preserve">ai nodrošinātu jau iepriekš pasūtīto un izgatavoto transportlīdzekļa reģistrācijas apliecību veidlapu izmantošanu, </w:t>
            </w:r>
            <w:r w:rsidR="006E38B5" w:rsidRPr="00D521B0">
              <w:rPr>
                <w:sz w:val="24"/>
                <w:szCs w:val="24"/>
              </w:rPr>
              <w:t>noteikumu projekt</w:t>
            </w:r>
            <w:r w:rsidR="006E38B5">
              <w:rPr>
                <w:sz w:val="24"/>
                <w:szCs w:val="24"/>
              </w:rPr>
              <w:t>ā</w:t>
            </w:r>
            <w:r w:rsidR="006E38B5">
              <w:rPr>
                <w:rFonts w:eastAsia="Times New Roman"/>
                <w:sz w:val="24"/>
                <w:szCs w:val="24"/>
                <w:lang w:eastAsia="lv-LV"/>
              </w:rPr>
              <w:t xml:space="preserve"> </w:t>
            </w:r>
            <w:r w:rsidR="0042304A">
              <w:rPr>
                <w:rFonts w:eastAsia="Times New Roman"/>
                <w:sz w:val="24"/>
                <w:szCs w:val="24"/>
                <w:lang w:eastAsia="lv-LV"/>
              </w:rPr>
              <w:t xml:space="preserve">pagaidām </w:t>
            </w:r>
            <w:r w:rsidR="006E38B5">
              <w:rPr>
                <w:rFonts w:eastAsia="Times New Roman"/>
                <w:sz w:val="24"/>
                <w:szCs w:val="24"/>
                <w:lang w:eastAsia="lv-LV"/>
              </w:rPr>
              <w:t xml:space="preserve">paredzēts </w:t>
            </w:r>
            <w:r w:rsidR="006E38B5">
              <w:rPr>
                <w:rFonts w:eastAsia="Times New Roman"/>
                <w:sz w:val="24"/>
                <w:szCs w:val="24"/>
                <w:lang w:eastAsia="lv-LV"/>
              </w:rPr>
              <w:lastRenderedPageBreak/>
              <w:t>saglabāt nemainīgu reģistrācijas apliecības reversa paraugu.</w:t>
            </w:r>
          </w:p>
        </w:tc>
      </w:tr>
      <w:tr w:rsidR="00D521B0" w:rsidRPr="00D521B0" w:rsidTr="00CB135A">
        <w:trPr>
          <w:gridAfter w:val="1"/>
          <w:wAfter w:w="139" w:type="dxa"/>
          <w:trHeight w:val="681"/>
          <w:tblCellSpacing w:w="0" w:type="dxa"/>
        </w:trPr>
        <w:tc>
          <w:tcPr>
            <w:tcW w:w="494" w:type="dxa"/>
            <w:gridSpan w:val="4"/>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3.</w:t>
            </w:r>
          </w:p>
        </w:tc>
        <w:tc>
          <w:tcPr>
            <w:tcW w:w="3668"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351" w:type="dxa"/>
            <w:gridSpan w:val="3"/>
            <w:tcBorders>
              <w:top w:val="outset" w:sz="6" w:space="0" w:color="auto"/>
              <w:left w:val="outset" w:sz="6" w:space="0" w:color="auto"/>
              <w:bottom w:val="outset" w:sz="6" w:space="0" w:color="auto"/>
              <w:right w:val="outset" w:sz="6" w:space="0" w:color="auto"/>
            </w:tcBorders>
          </w:tcPr>
          <w:p w:rsidR="00BF1B85" w:rsidRPr="00D521B0" w:rsidRDefault="00F356C7" w:rsidP="009F0183">
            <w:pPr>
              <w:spacing w:line="240" w:lineRule="auto"/>
              <w:ind w:firstLine="0"/>
              <w:jc w:val="left"/>
              <w:rPr>
                <w:rFonts w:eastAsia="Times New Roman"/>
                <w:sz w:val="24"/>
                <w:szCs w:val="24"/>
                <w:lang w:eastAsia="lv-LV"/>
              </w:rPr>
            </w:pPr>
            <w:r w:rsidRPr="00D521B0">
              <w:rPr>
                <w:rFonts w:eastAsia="Times New Roman"/>
                <w:sz w:val="24"/>
                <w:szCs w:val="24"/>
                <w:lang w:eastAsia="lv-LV"/>
              </w:rPr>
              <w:t>V</w:t>
            </w:r>
            <w:r w:rsidR="00BF1B85" w:rsidRPr="00D521B0">
              <w:rPr>
                <w:rFonts w:eastAsia="Times New Roman"/>
                <w:sz w:val="24"/>
                <w:szCs w:val="24"/>
                <w:lang w:eastAsia="lv-LV"/>
              </w:rPr>
              <w:t>alsts akciju sabiedrība „Ceļu satiksmes drošības direkcija”</w:t>
            </w:r>
          </w:p>
        </w:tc>
      </w:tr>
      <w:tr w:rsidR="00D521B0" w:rsidRPr="00D521B0" w:rsidTr="00CB135A">
        <w:trPr>
          <w:gridAfter w:val="1"/>
          <w:wAfter w:w="139" w:type="dxa"/>
          <w:trHeight w:val="380"/>
          <w:tblCellSpacing w:w="0" w:type="dxa"/>
        </w:trPr>
        <w:tc>
          <w:tcPr>
            <w:tcW w:w="494" w:type="dxa"/>
            <w:gridSpan w:val="4"/>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668"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351"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D521B0" w:rsidRPr="00D521B0" w:rsidTr="00CB135A">
        <w:trPr>
          <w:gridAfter w:val="1"/>
          <w:wAfter w:w="139" w:type="dxa"/>
          <w:tblCellSpacing w:w="0" w:type="dxa"/>
        </w:trPr>
        <w:tc>
          <w:tcPr>
            <w:tcW w:w="9513" w:type="dxa"/>
            <w:gridSpan w:val="14"/>
            <w:tcBorders>
              <w:top w:val="outset" w:sz="6" w:space="0" w:color="auto"/>
              <w:left w:val="outset" w:sz="6" w:space="0" w:color="auto"/>
              <w:bottom w:val="outset" w:sz="6" w:space="0" w:color="auto"/>
              <w:right w:val="outset" w:sz="6" w:space="0" w:color="auto"/>
            </w:tcBorders>
            <w:vAlign w:val="center"/>
          </w:tcPr>
          <w:p w:rsidR="00BF1B85" w:rsidRPr="00D521B0" w:rsidRDefault="00BF1B85" w:rsidP="009F0183">
            <w:pPr>
              <w:spacing w:before="100" w:beforeAutospacing="1" w:after="100" w:afterAutospacing="1" w:line="240" w:lineRule="auto"/>
              <w:ind w:firstLine="0"/>
              <w:jc w:val="center"/>
              <w:rPr>
                <w:rFonts w:eastAsia="Times New Roman"/>
                <w:b/>
                <w:sz w:val="24"/>
                <w:szCs w:val="24"/>
                <w:lang w:eastAsia="lv-LV"/>
              </w:rPr>
            </w:pPr>
            <w:r w:rsidRPr="00D521B0">
              <w:rPr>
                <w:rFonts w:eastAsia="Times New Roman"/>
                <w:sz w:val="24"/>
                <w:szCs w:val="24"/>
                <w:lang w:eastAsia="lv-LV"/>
              </w:rPr>
              <w:t> </w:t>
            </w:r>
            <w:r w:rsidRPr="00D521B0">
              <w:rPr>
                <w:rFonts w:eastAsia="Times New Roman"/>
                <w:b/>
                <w:bCs/>
                <w:sz w:val="24"/>
                <w:szCs w:val="24"/>
                <w:lang w:eastAsia="lv-LV"/>
              </w:rPr>
              <w:t>II. Tiesību akta projekta ietekme uz sabiedrību</w:t>
            </w:r>
            <w:r w:rsidRPr="00D521B0">
              <w:rPr>
                <w:b/>
                <w:bCs/>
                <w:sz w:val="24"/>
                <w:szCs w:val="24"/>
                <w:shd w:val="clear" w:color="auto" w:fill="FFFFFF"/>
              </w:rPr>
              <w:t>, tautsaimniecības attīstību un administratīvo slogu</w:t>
            </w:r>
          </w:p>
        </w:tc>
      </w:tr>
      <w:tr w:rsidR="00D521B0" w:rsidRPr="00D521B0" w:rsidTr="00CB135A">
        <w:trPr>
          <w:gridAfter w:val="1"/>
          <w:wAfter w:w="139" w:type="dxa"/>
          <w:trHeight w:val="467"/>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11"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 xml:space="preserve">Sabiedrības </w:t>
            </w:r>
            <w:proofErr w:type="spellStart"/>
            <w:r w:rsidRPr="00D521B0">
              <w:rPr>
                <w:sz w:val="24"/>
                <w:szCs w:val="24"/>
                <w:shd w:val="clear" w:color="auto" w:fill="FFFFFF"/>
              </w:rPr>
              <w:t>mērķgrupas</w:t>
            </w:r>
            <w:proofErr w:type="spellEnd"/>
            <w:r w:rsidRPr="00D521B0">
              <w:rPr>
                <w:sz w:val="24"/>
                <w:szCs w:val="24"/>
                <w:shd w:val="clear" w:color="auto" w:fill="FFFFFF"/>
              </w:rPr>
              <w:t>, kuras tiesiskais regulējums ietekmē vai varētu ietekmēt</w:t>
            </w:r>
          </w:p>
        </w:tc>
        <w:tc>
          <w:tcPr>
            <w:tcW w:w="5418" w:type="dxa"/>
            <w:gridSpan w:val="4"/>
            <w:tcBorders>
              <w:top w:val="outset" w:sz="6" w:space="0" w:color="auto"/>
              <w:left w:val="outset" w:sz="6" w:space="0" w:color="auto"/>
              <w:bottom w:val="outset" w:sz="6" w:space="0" w:color="auto"/>
              <w:right w:val="outset" w:sz="6" w:space="0" w:color="auto"/>
            </w:tcBorders>
          </w:tcPr>
          <w:p w:rsidR="00BF1B85" w:rsidRPr="00D521B0" w:rsidRDefault="00120A37" w:rsidP="00120A37">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xml:space="preserve">Noteikumu projekts attiecas uz transportlīdzekļu īpašniekiem (turētājiem, valdītājiem), kā arī uz </w:t>
            </w:r>
            <w:r w:rsidR="008C232F" w:rsidRPr="00D521B0">
              <w:rPr>
                <w:rFonts w:eastAsia="Times New Roman"/>
                <w:sz w:val="24"/>
                <w:szCs w:val="24"/>
                <w:lang w:eastAsia="lv-LV"/>
              </w:rPr>
              <w:t>komersantiem, kuri nodarbojas ar</w:t>
            </w:r>
            <w:r w:rsidRPr="00D521B0">
              <w:rPr>
                <w:rFonts w:eastAsia="Times New Roman"/>
                <w:sz w:val="24"/>
                <w:szCs w:val="24"/>
                <w:lang w:eastAsia="lv-LV"/>
              </w:rPr>
              <w:t xml:space="preserve"> transportlīdzekļu tirdzniecību</w:t>
            </w:r>
            <w:r w:rsidR="00BF1B85" w:rsidRPr="00D521B0">
              <w:rPr>
                <w:rFonts w:eastAsia="Times New Roman"/>
                <w:sz w:val="24"/>
                <w:szCs w:val="24"/>
                <w:lang w:eastAsia="lv-LV"/>
              </w:rPr>
              <w:t>.</w:t>
            </w:r>
          </w:p>
        </w:tc>
      </w:tr>
      <w:tr w:rsidR="00D521B0" w:rsidRPr="00D521B0" w:rsidTr="00CB135A">
        <w:trPr>
          <w:gridAfter w:val="1"/>
          <w:wAfter w:w="139" w:type="dxa"/>
          <w:trHeight w:val="523"/>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11"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Tiesiskā regulējuma ietekme uz tautsaimniecību un administratīvo slogu</w:t>
            </w:r>
          </w:p>
        </w:tc>
        <w:tc>
          <w:tcPr>
            <w:tcW w:w="5418" w:type="dxa"/>
            <w:gridSpan w:val="4"/>
            <w:tcBorders>
              <w:top w:val="outset" w:sz="6" w:space="0" w:color="auto"/>
              <w:left w:val="outset" w:sz="6" w:space="0" w:color="auto"/>
              <w:bottom w:val="outset" w:sz="6" w:space="0" w:color="auto"/>
              <w:right w:val="outset" w:sz="6" w:space="0" w:color="auto"/>
            </w:tcBorders>
          </w:tcPr>
          <w:p w:rsidR="00BF1B85" w:rsidRPr="00D521B0" w:rsidRDefault="00820D80" w:rsidP="00427590">
            <w:pPr>
              <w:ind w:firstLine="0"/>
            </w:pPr>
            <w:r w:rsidRPr="00D521B0">
              <w:rPr>
                <w:rFonts w:eastAsia="Times New Roman"/>
                <w:sz w:val="24"/>
                <w:szCs w:val="24"/>
                <w:lang w:eastAsia="lv-LV"/>
              </w:rPr>
              <w:t>Administratīvais slogs tiek samazināts</w:t>
            </w:r>
            <w:r w:rsidR="00BF1B85" w:rsidRPr="00D521B0">
              <w:rPr>
                <w:rFonts w:eastAsia="Times New Roman"/>
                <w:sz w:val="24"/>
                <w:szCs w:val="24"/>
                <w:lang w:eastAsia="lv-LV"/>
              </w:rPr>
              <w:t xml:space="preserve"> </w:t>
            </w:r>
            <w:r w:rsidR="00120A37" w:rsidRPr="00D521B0">
              <w:rPr>
                <w:rFonts w:eastAsia="Times New Roman"/>
                <w:sz w:val="24"/>
                <w:szCs w:val="24"/>
                <w:lang w:eastAsia="lv-LV"/>
              </w:rPr>
              <w:t xml:space="preserve">gan transportlīdzekļu īpašniekiem (turētājiem, valdītājiem), gan </w:t>
            </w:r>
            <w:r w:rsidRPr="00D521B0">
              <w:rPr>
                <w:rFonts w:eastAsia="Times New Roman"/>
                <w:sz w:val="24"/>
                <w:szCs w:val="24"/>
                <w:lang w:eastAsia="lv-LV"/>
              </w:rPr>
              <w:t xml:space="preserve">komersantiem, kuri nodarbojas ar transportlīdzekļu tirdzniecību, jo īpašumtiesību </w:t>
            </w:r>
            <w:r w:rsidR="00120A37" w:rsidRPr="00D521B0">
              <w:rPr>
                <w:rFonts w:eastAsia="Times New Roman"/>
                <w:sz w:val="24"/>
                <w:szCs w:val="24"/>
                <w:lang w:eastAsia="lv-LV"/>
              </w:rPr>
              <w:t xml:space="preserve">maiņas apliecinoši dokumenti </w:t>
            </w:r>
            <w:r w:rsidRPr="00D521B0">
              <w:rPr>
                <w:rFonts w:eastAsia="Times New Roman"/>
                <w:sz w:val="24"/>
                <w:szCs w:val="24"/>
                <w:lang w:eastAsia="lv-LV"/>
              </w:rPr>
              <w:t>un tirdzniecības numura kartes nav jānoformē uz speciālām veidlapām</w:t>
            </w:r>
            <w:r w:rsidR="00120A37" w:rsidRPr="00D521B0">
              <w:rPr>
                <w:rFonts w:eastAsia="Times New Roman"/>
                <w:sz w:val="24"/>
                <w:szCs w:val="24"/>
                <w:lang w:eastAsia="lv-LV"/>
              </w:rPr>
              <w:t xml:space="preserve"> vai papīra formā un</w:t>
            </w:r>
            <w:r w:rsidR="00F70FC4" w:rsidRPr="00D521B0">
              <w:rPr>
                <w:rFonts w:eastAsia="Times New Roman"/>
                <w:sz w:val="24"/>
                <w:szCs w:val="24"/>
                <w:lang w:eastAsia="lv-LV"/>
              </w:rPr>
              <w:t xml:space="preserve">, noformējot īpašumtiesību </w:t>
            </w:r>
            <w:r w:rsidR="00120A37" w:rsidRPr="00D521B0">
              <w:rPr>
                <w:rFonts w:eastAsia="Times New Roman"/>
                <w:sz w:val="24"/>
                <w:szCs w:val="24"/>
                <w:lang w:eastAsia="lv-LV"/>
              </w:rPr>
              <w:t>maiņu</w:t>
            </w:r>
            <w:r w:rsidR="00F70FC4" w:rsidRPr="00D521B0">
              <w:rPr>
                <w:rFonts w:eastAsia="Times New Roman"/>
                <w:sz w:val="24"/>
                <w:szCs w:val="24"/>
                <w:lang w:eastAsia="lv-LV"/>
              </w:rPr>
              <w:t xml:space="preserve">, reģistrā tiek </w:t>
            </w:r>
            <w:r w:rsidR="00F70FC4" w:rsidRPr="00D521B0">
              <w:rPr>
                <w:sz w:val="24"/>
                <w:szCs w:val="24"/>
              </w:rPr>
              <w:t>izdarīta</w:t>
            </w:r>
            <w:r w:rsidR="00120A37" w:rsidRPr="00D521B0">
              <w:rPr>
                <w:sz w:val="24"/>
                <w:szCs w:val="24"/>
              </w:rPr>
              <w:t>s</w:t>
            </w:r>
            <w:r w:rsidR="00F70FC4" w:rsidRPr="00D521B0">
              <w:rPr>
                <w:sz w:val="24"/>
                <w:szCs w:val="24"/>
              </w:rPr>
              <w:t xml:space="preserve"> atzīme</w:t>
            </w:r>
            <w:r w:rsidR="00120A37" w:rsidRPr="00D521B0">
              <w:rPr>
                <w:sz w:val="24"/>
                <w:szCs w:val="24"/>
              </w:rPr>
              <w:t>s</w:t>
            </w:r>
            <w:r w:rsidR="00F70FC4" w:rsidRPr="00D521B0">
              <w:rPr>
                <w:sz w:val="24"/>
                <w:szCs w:val="24"/>
              </w:rPr>
              <w:t xml:space="preserve"> par transportlīdzekļa īpašuma tiesību nodošanu.</w:t>
            </w:r>
            <w:r w:rsidR="00120A37" w:rsidRPr="00D521B0">
              <w:rPr>
                <w:sz w:val="24"/>
                <w:szCs w:val="24"/>
              </w:rPr>
              <w:t xml:space="preserve"> Tiek radīta iespēja paplašināt to ar transportlīdzekļu reģistrāciju saistīto darbību loku, kuras būs iespējams veikt elektroniskā veidā. </w:t>
            </w:r>
          </w:p>
        </w:tc>
      </w:tr>
      <w:tr w:rsidR="00D521B0" w:rsidRPr="00D521B0" w:rsidTr="00CB135A">
        <w:trPr>
          <w:gridAfter w:val="1"/>
          <w:wAfter w:w="139" w:type="dxa"/>
          <w:trHeight w:val="517"/>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611"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418" w:type="dxa"/>
            <w:gridSpan w:val="4"/>
            <w:tcBorders>
              <w:top w:val="outset" w:sz="6" w:space="0" w:color="auto"/>
              <w:left w:val="outset" w:sz="6" w:space="0" w:color="auto"/>
              <w:bottom w:val="outset" w:sz="6" w:space="0" w:color="auto"/>
              <w:right w:val="outset" w:sz="6" w:space="0" w:color="auto"/>
            </w:tcBorders>
          </w:tcPr>
          <w:p w:rsidR="00F46BF8" w:rsidRPr="00D521B0" w:rsidRDefault="00F46BF8" w:rsidP="00427590">
            <w:pPr>
              <w:ind w:firstLine="0"/>
              <w:rPr>
                <w:rFonts w:eastAsia="Times New Roman"/>
                <w:sz w:val="24"/>
                <w:szCs w:val="24"/>
                <w:lang w:eastAsia="lv-LV"/>
              </w:rPr>
            </w:pPr>
            <w:r w:rsidRPr="00D521B0">
              <w:rPr>
                <w:rFonts w:eastAsia="Times New Roman"/>
                <w:sz w:val="24"/>
                <w:szCs w:val="24"/>
                <w:lang w:eastAsia="lv-LV"/>
              </w:rPr>
              <w:t>I</w:t>
            </w:r>
            <w:r w:rsidR="003236B0" w:rsidRPr="00D521B0">
              <w:rPr>
                <w:rFonts w:eastAsia="Times New Roman"/>
                <w:sz w:val="24"/>
                <w:szCs w:val="24"/>
                <w:lang w:eastAsia="lv-LV"/>
              </w:rPr>
              <w:t xml:space="preserve">nformācijas pieņemšana, apkopošana, apstrāde un uzglabāšana tiks īstenota, izmantojot CSDD uzturēto </w:t>
            </w:r>
            <w:r w:rsidRPr="00D521B0">
              <w:rPr>
                <w:rFonts w:eastAsia="Times New Roman"/>
                <w:sz w:val="24"/>
                <w:szCs w:val="24"/>
                <w:lang w:eastAsia="lv-LV"/>
              </w:rPr>
              <w:t>reģistru.</w:t>
            </w:r>
          </w:p>
        </w:tc>
      </w:tr>
      <w:tr w:rsidR="00D521B0" w:rsidRPr="00D521B0" w:rsidTr="00CB135A">
        <w:trPr>
          <w:gridAfter w:val="1"/>
          <w:wAfter w:w="139" w:type="dxa"/>
          <w:trHeight w:val="366"/>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611" w:type="dxa"/>
            <w:gridSpan w:val="7"/>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418" w:type="dxa"/>
            <w:gridSpan w:val="4"/>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Nav</w:t>
            </w:r>
          </w:p>
        </w:tc>
      </w:tr>
      <w:tr w:rsidR="00D521B0" w:rsidRPr="00D521B0" w:rsidTr="00CB135A">
        <w:trPr>
          <w:gridAfter w:val="1"/>
          <w:wAfter w:w="139" w:type="dxa"/>
          <w:trHeight w:val="366"/>
          <w:tblCellSpacing w:w="0" w:type="dxa"/>
        </w:trPr>
        <w:tc>
          <w:tcPr>
            <w:tcW w:w="9513" w:type="dxa"/>
            <w:gridSpan w:val="14"/>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IV. Tiesību akta projekta ietekme uz spēkā esošo tiesību normu sistēmu</w:t>
            </w:r>
          </w:p>
        </w:tc>
      </w:tr>
      <w:tr w:rsidR="00D521B0" w:rsidRPr="00D521B0" w:rsidTr="00CB135A">
        <w:trPr>
          <w:gridAfter w:val="1"/>
          <w:wAfter w:w="139" w:type="dxa"/>
          <w:trHeight w:val="366"/>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11" w:type="dxa"/>
            <w:gridSpan w:val="7"/>
            <w:tcBorders>
              <w:top w:val="outset" w:sz="6" w:space="0" w:color="auto"/>
              <w:left w:val="outset" w:sz="6" w:space="0" w:color="auto"/>
              <w:bottom w:val="outset" w:sz="6" w:space="0" w:color="auto"/>
              <w:right w:val="outset" w:sz="6" w:space="0" w:color="auto"/>
            </w:tcBorders>
          </w:tcPr>
          <w:p w:rsidR="0094766E" w:rsidRPr="00D521B0" w:rsidRDefault="0094766E" w:rsidP="00D81B14">
            <w:pPr>
              <w:spacing w:line="240" w:lineRule="auto"/>
              <w:ind w:firstLine="0"/>
              <w:jc w:val="left"/>
              <w:rPr>
                <w:rFonts w:eastAsia="Times New Roman"/>
                <w:sz w:val="24"/>
                <w:szCs w:val="24"/>
                <w:lang w:eastAsia="lv-LV"/>
              </w:rPr>
            </w:pPr>
            <w:r w:rsidRPr="00D521B0">
              <w:rPr>
                <w:rFonts w:eastAsia="Times New Roman"/>
                <w:sz w:val="24"/>
                <w:szCs w:val="24"/>
                <w:lang w:eastAsia="lv-LV"/>
              </w:rPr>
              <w:t>Nepieciešamie saistītie tiesību aktu projekti</w:t>
            </w:r>
          </w:p>
        </w:tc>
        <w:tc>
          <w:tcPr>
            <w:tcW w:w="5418" w:type="dxa"/>
            <w:gridSpan w:val="4"/>
            <w:tcBorders>
              <w:top w:val="outset" w:sz="6" w:space="0" w:color="auto"/>
              <w:left w:val="outset" w:sz="6" w:space="0" w:color="auto"/>
              <w:bottom w:val="outset" w:sz="6" w:space="0" w:color="auto"/>
              <w:right w:val="outset" w:sz="6" w:space="0" w:color="auto"/>
            </w:tcBorders>
          </w:tcPr>
          <w:p w:rsidR="0094766E" w:rsidRPr="00D521B0" w:rsidRDefault="00D334EB" w:rsidP="00D81B14">
            <w:pPr>
              <w:spacing w:line="240" w:lineRule="auto"/>
              <w:ind w:firstLine="0"/>
              <w:jc w:val="left"/>
              <w:rPr>
                <w:sz w:val="24"/>
                <w:szCs w:val="24"/>
              </w:rPr>
            </w:pPr>
            <w:r w:rsidRPr="00D521B0">
              <w:rPr>
                <w:sz w:val="24"/>
                <w:szCs w:val="24"/>
              </w:rPr>
              <w:t>Likumprojekts  “Grozījumi Ceļu satiksmes likumā”</w:t>
            </w:r>
            <w:r w:rsidR="00F814F4" w:rsidRPr="00D521B0">
              <w:rPr>
                <w:sz w:val="24"/>
                <w:szCs w:val="24"/>
              </w:rPr>
              <w:t xml:space="preserve">, </w:t>
            </w:r>
            <w:r w:rsidR="00B672F4">
              <w:rPr>
                <w:sz w:val="24"/>
                <w:szCs w:val="24"/>
              </w:rPr>
              <w:t xml:space="preserve"> pieņemts 3.lasījumā 2015.gada 10.decembrī.</w:t>
            </w:r>
          </w:p>
          <w:p w:rsidR="00D334EB" w:rsidRPr="00D521B0" w:rsidRDefault="00D334EB" w:rsidP="00B672F4">
            <w:pPr>
              <w:spacing w:line="240" w:lineRule="auto"/>
              <w:ind w:firstLine="0"/>
              <w:jc w:val="left"/>
              <w:rPr>
                <w:rFonts w:eastAsia="Times New Roman"/>
                <w:sz w:val="24"/>
                <w:szCs w:val="24"/>
                <w:lang w:eastAsia="lv-LV"/>
              </w:rPr>
            </w:pPr>
            <w:r w:rsidRPr="00D521B0">
              <w:rPr>
                <w:sz w:val="24"/>
                <w:szCs w:val="24"/>
              </w:rPr>
              <w:t>Ministru kabineta noteikumu projekts „Grozījumi Ministru kabineta</w:t>
            </w:r>
            <w:r w:rsidRPr="00D521B0">
              <w:rPr>
                <w:b/>
                <w:sz w:val="24"/>
                <w:szCs w:val="24"/>
              </w:rPr>
              <w:t xml:space="preserve"> </w:t>
            </w:r>
            <w:r w:rsidRPr="00D521B0">
              <w:rPr>
                <w:sz w:val="24"/>
                <w:szCs w:val="24"/>
              </w:rPr>
              <w:t>2007.gada 18.decembra noteikumos Nr.876 „Transportlīdzekļu un to numurēto agregātu tirdzniecības noteikumi””</w:t>
            </w:r>
            <w:r w:rsidR="00F814F4" w:rsidRPr="00D521B0">
              <w:rPr>
                <w:sz w:val="24"/>
                <w:szCs w:val="24"/>
              </w:rPr>
              <w:t xml:space="preserve">, </w:t>
            </w:r>
            <w:r w:rsidR="00B672F4">
              <w:rPr>
                <w:sz w:val="24"/>
                <w:szCs w:val="24"/>
              </w:rPr>
              <w:t xml:space="preserve">ir pieņemti 2015.gada 3.novembrī un </w:t>
            </w:r>
            <w:r w:rsidR="00D521B0" w:rsidRPr="00D521B0">
              <w:rPr>
                <w:sz w:val="24"/>
                <w:szCs w:val="24"/>
              </w:rPr>
              <w:t xml:space="preserve">stāsies spēkā </w:t>
            </w:r>
            <w:r w:rsidR="00B672F4">
              <w:rPr>
                <w:sz w:val="24"/>
                <w:szCs w:val="24"/>
              </w:rPr>
              <w:t>2016.gada 1.janvārī.</w:t>
            </w:r>
            <w:r w:rsidR="00D521B0" w:rsidRPr="00D521B0">
              <w:rPr>
                <w:sz w:val="24"/>
                <w:szCs w:val="24"/>
              </w:rPr>
              <w:t xml:space="preserve"> </w:t>
            </w:r>
          </w:p>
        </w:tc>
      </w:tr>
      <w:tr w:rsidR="00D521B0" w:rsidRPr="00D521B0" w:rsidTr="00CB135A">
        <w:trPr>
          <w:gridAfter w:val="1"/>
          <w:wAfter w:w="139" w:type="dxa"/>
          <w:trHeight w:val="366"/>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11" w:type="dxa"/>
            <w:gridSpan w:val="7"/>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Atbildīgā institūcija</w:t>
            </w:r>
          </w:p>
        </w:tc>
        <w:tc>
          <w:tcPr>
            <w:tcW w:w="5418" w:type="dxa"/>
            <w:gridSpan w:val="4"/>
            <w:tcBorders>
              <w:top w:val="outset" w:sz="6" w:space="0" w:color="auto"/>
              <w:left w:val="outset" w:sz="6" w:space="0" w:color="auto"/>
              <w:bottom w:val="outset" w:sz="6" w:space="0" w:color="auto"/>
              <w:right w:val="outset" w:sz="6" w:space="0" w:color="auto"/>
            </w:tcBorders>
          </w:tcPr>
          <w:p w:rsidR="0094766E" w:rsidRPr="00D521B0" w:rsidRDefault="00F814F4"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Satiksmes ministrija</w:t>
            </w:r>
          </w:p>
        </w:tc>
      </w:tr>
      <w:tr w:rsidR="00D521B0" w:rsidRPr="00D521B0" w:rsidTr="00CB135A">
        <w:trPr>
          <w:gridAfter w:val="1"/>
          <w:wAfter w:w="139" w:type="dxa"/>
          <w:trHeight w:val="366"/>
          <w:tblCellSpacing w:w="0" w:type="dxa"/>
        </w:trPr>
        <w:tc>
          <w:tcPr>
            <w:tcW w:w="484" w:type="dxa"/>
            <w:gridSpan w:val="3"/>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611" w:type="dxa"/>
            <w:gridSpan w:val="7"/>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418" w:type="dxa"/>
            <w:gridSpan w:val="4"/>
            <w:tcBorders>
              <w:top w:val="outset" w:sz="6" w:space="0" w:color="auto"/>
              <w:left w:val="outset" w:sz="6" w:space="0" w:color="auto"/>
              <w:bottom w:val="outset" w:sz="6" w:space="0" w:color="auto"/>
              <w:right w:val="outset" w:sz="6" w:space="0" w:color="auto"/>
            </w:tcBorders>
          </w:tcPr>
          <w:p w:rsidR="0094766E" w:rsidRPr="00D521B0" w:rsidRDefault="0094766E" w:rsidP="0094766E">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r w:rsidR="00CB135A" w:rsidRPr="00E110B0" w:rsidTr="00CB13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9" w:type="dxa"/>
        </w:trPr>
        <w:tc>
          <w:tcPr>
            <w:tcW w:w="9513" w:type="dxa"/>
            <w:gridSpan w:val="14"/>
            <w:shd w:val="clear" w:color="auto" w:fill="auto"/>
          </w:tcPr>
          <w:p w:rsidR="00CB135A" w:rsidRPr="00E110B0" w:rsidRDefault="00CB135A" w:rsidP="00D67B3A">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V. Tiesību akta projekta atbilstība Latvijas Republikas starptautiskajām saistībām</w:t>
            </w:r>
          </w:p>
        </w:tc>
      </w:tr>
      <w:tr w:rsidR="00CB135A" w:rsidRPr="00E110B0" w:rsidTr="00CB13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9" w:type="dxa"/>
        </w:trPr>
        <w:tc>
          <w:tcPr>
            <w:tcW w:w="616" w:type="dxa"/>
            <w:gridSpan w:val="5"/>
            <w:shd w:val="clear" w:color="auto" w:fill="auto"/>
          </w:tcPr>
          <w:p w:rsidR="00CB135A" w:rsidRPr="00E110B0" w:rsidRDefault="00CB135A" w:rsidP="00D67B3A">
            <w:pPr>
              <w:spacing w:line="240" w:lineRule="auto"/>
              <w:rPr>
                <w:rFonts w:eastAsia="Times New Roman"/>
                <w:sz w:val="24"/>
                <w:szCs w:val="24"/>
                <w:lang w:eastAsia="lv-LV"/>
              </w:rPr>
            </w:pPr>
            <w:r w:rsidRPr="00E110B0">
              <w:rPr>
                <w:rFonts w:eastAsia="Times New Roman"/>
                <w:sz w:val="24"/>
                <w:szCs w:val="24"/>
                <w:lang w:eastAsia="lv-LV"/>
              </w:rPr>
              <w:t> 1.</w:t>
            </w:r>
          </w:p>
        </w:tc>
        <w:tc>
          <w:tcPr>
            <w:tcW w:w="3402" w:type="dxa"/>
            <w:gridSpan w:val="4"/>
            <w:shd w:val="clear" w:color="auto" w:fill="auto"/>
          </w:tcPr>
          <w:p w:rsidR="00CB135A" w:rsidRPr="00E110B0" w:rsidRDefault="00CB135A" w:rsidP="00CB135A">
            <w:pPr>
              <w:spacing w:line="240" w:lineRule="auto"/>
              <w:ind w:firstLine="0"/>
              <w:rPr>
                <w:rFonts w:eastAsia="Times New Roman"/>
                <w:sz w:val="24"/>
                <w:szCs w:val="24"/>
                <w:lang w:eastAsia="lv-LV"/>
              </w:rPr>
            </w:pPr>
            <w:r w:rsidRPr="00E110B0">
              <w:rPr>
                <w:rFonts w:eastAsia="Times New Roman"/>
                <w:sz w:val="24"/>
                <w:szCs w:val="24"/>
                <w:lang w:eastAsia="lv-LV"/>
              </w:rPr>
              <w:t>Saistības pret Eiropas Savienību</w:t>
            </w:r>
          </w:p>
        </w:tc>
        <w:tc>
          <w:tcPr>
            <w:tcW w:w="5495" w:type="dxa"/>
            <w:gridSpan w:val="5"/>
            <w:shd w:val="clear" w:color="auto" w:fill="auto"/>
          </w:tcPr>
          <w:p w:rsidR="00CB135A" w:rsidRPr="00E110B0" w:rsidRDefault="00D14393" w:rsidP="001745A7">
            <w:pPr>
              <w:spacing w:line="240" w:lineRule="auto"/>
              <w:ind w:hanging="15"/>
              <w:rPr>
                <w:sz w:val="24"/>
                <w:szCs w:val="24"/>
              </w:rPr>
            </w:pPr>
            <w:r w:rsidRPr="00D14393">
              <w:rPr>
                <w:sz w:val="24"/>
                <w:szCs w:val="24"/>
              </w:rPr>
              <w:t>Padomes</w:t>
            </w:r>
            <w:r w:rsidR="001745A7">
              <w:rPr>
                <w:sz w:val="24"/>
                <w:szCs w:val="24"/>
              </w:rPr>
              <w:t xml:space="preserve"> 2013.gada 13.maija</w:t>
            </w:r>
            <w:r>
              <w:rPr>
                <w:sz w:val="24"/>
                <w:szCs w:val="24"/>
              </w:rPr>
              <w:t xml:space="preserve"> </w:t>
            </w:r>
            <w:r w:rsidRPr="00D14393">
              <w:rPr>
                <w:sz w:val="24"/>
                <w:szCs w:val="24"/>
              </w:rPr>
              <w:t xml:space="preserve">Direktīva </w:t>
            </w:r>
            <w:r w:rsidR="001745A7" w:rsidRPr="001745A7">
              <w:rPr>
                <w:sz w:val="24"/>
                <w:szCs w:val="24"/>
              </w:rPr>
              <w:t>2013/22/ES ar ko pielāgo dažas direktīvas transporta politikas jomā saistībā ar Horvātijas Republikas pievienošanos</w:t>
            </w:r>
            <w:r w:rsidR="001745A7">
              <w:rPr>
                <w:sz w:val="24"/>
                <w:szCs w:val="24"/>
              </w:rPr>
              <w:t>.</w:t>
            </w:r>
            <w:r w:rsidR="001745A7" w:rsidRPr="001745A7">
              <w:rPr>
                <w:sz w:val="24"/>
                <w:szCs w:val="24"/>
              </w:rPr>
              <w:t xml:space="preserve"> </w:t>
            </w:r>
            <w:r w:rsidR="00CB135A">
              <w:rPr>
                <w:sz w:val="24"/>
                <w:szCs w:val="24"/>
              </w:rPr>
              <w:t>P</w:t>
            </w:r>
            <w:r w:rsidR="00CB135A" w:rsidRPr="001E06FE">
              <w:rPr>
                <w:sz w:val="24"/>
                <w:szCs w:val="24"/>
              </w:rPr>
              <w:t xml:space="preserve">ublicēta “Eiropas </w:t>
            </w:r>
            <w:r w:rsidR="00CB135A">
              <w:rPr>
                <w:sz w:val="24"/>
                <w:szCs w:val="24"/>
              </w:rPr>
              <w:t xml:space="preserve">Savienības Oficiālajā Vēstnesī” </w:t>
            </w:r>
            <w:r w:rsidR="001745A7">
              <w:rPr>
                <w:sz w:val="24"/>
                <w:szCs w:val="24"/>
              </w:rPr>
              <w:t xml:space="preserve">L 158, </w:t>
            </w:r>
            <w:r w:rsidR="001745A7" w:rsidRPr="001745A7">
              <w:rPr>
                <w:sz w:val="24"/>
                <w:szCs w:val="24"/>
              </w:rPr>
              <w:t>10.6.2013.</w:t>
            </w:r>
          </w:p>
        </w:tc>
      </w:tr>
      <w:tr w:rsidR="00CB135A" w:rsidRPr="00E110B0" w:rsidTr="00CB13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9" w:type="dxa"/>
        </w:trPr>
        <w:tc>
          <w:tcPr>
            <w:tcW w:w="616" w:type="dxa"/>
            <w:gridSpan w:val="5"/>
            <w:shd w:val="clear" w:color="auto" w:fill="auto"/>
          </w:tcPr>
          <w:p w:rsidR="00CB135A" w:rsidRPr="00E110B0" w:rsidRDefault="00CB135A" w:rsidP="00D67B3A">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t> </w:t>
            </w:r>
            <w:r w:rsidRPr="00E110B0">
              <w:rPr>
                <w:rFonts w:eastAsia="Times New Roman"/>
                <w:sz w:val="24"/>
                <w:szCs w:val="24"/>
                <w:lang w:eastAsia="lv-LV"/>
              </w:rPr>
              <w:lastRenderedPageBreak/>
              <w:t>2.</w:t>
            </w:r>
          </w:p>
        </w:tc>
        <w:tc>
          <w:tcPr>
            <w:tcW w:w="3402" w:type="dxa"/>
            <w:gridSpan w:val="4"/>
            <w:shd w:val="clear" w:color="auto" w:fill="auto"/>
          </w:tcPr>
          <w:p w:rsidR="00CB135A" w:rsidRPr="00E110B0" w:rsidRDefault="00CB135A" w:rsidP="00CB135A">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lastRenderedPageBreak/>
              <w:t> Citas starptautiskās saistības</w:t>
            </w:r>
          </w:p>
        </w:tc>
        <w:tc>
          <w:tcPr>
            <w:tcW w:w="5495" w:type="dxa"/>
            <w:gridSpan w:val="5"/>
            <w:shd w:val="clear" w:color="auto" w:fill="auto"/>
          </w:tcPr>
          <w:p w:rsidR="00CB135A" w:rsidRPr="00E110B0" w:rsidRDefault="00CB135A" w:rsidP="00CB135A">
            <w:pPr>
              <w:spacing w:before="100" w:beforeAutospacing="1" w:after="100" w:afterAutospacing="1" w:line="240" w:lineRule="auto"/>
              <w:ind w:hanging="15"/>
              <w:rPr>
                <w:rFonts w:eastAsia="Times New Roman"/>
                <w:sz w:val="24"/>
                <w:szCs w:val="24"/>
                <w:lang w:eastAsia="lv-LV"/>
              </w:rPr>
            </w:pPr>
            <w:r>
              <w:rPr>
                <w:rFonts w:eastAsia="Times New Roman"/>
                <w:sz w:val="24"/>
                <w:szCs w:val="24"/>
                <w:lang w:eastAsia="lv-LV"/>
              </w:rPr>
              <w:t>Nav</w:t>
            </w:r>
          </w:p>
        </w:tc>
      </w:tr>
      <w:tr w:rsidR="00CB135A" w:rsidRPr="00E110B0" w:rsidTr="00CB13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39" w:type="dxa"/>
        </w:trPr>
        <w:tc>
          <w:tcPr>
            <w:tcW w:w="616" w:type="dxa"/>
            <w:gridSpan w:val="5"/>
            <w:shd w:val="clear" w:color="auto" w:fill="auto"/>
          </w:tcPr>
          <w:p w:rsidR="00CB135A" w:rsidRPr="00E110B0" w:rsidRDefault="00CB135A" w:rsidP="00D67B3A">
            <w:pPr>
              <w:spacing w:before="100" w:beforeAutospacing="1" w:after="100" w:afterAutospacing="1" w:line="240" w:lineRule="auto"/>
              <w:rPr>
                <w:rFonts w:eastAsia="Times New Roman"/>
                <w:sz w:val="24"/>
                <w:szCs w:val="24"/>
                <w:lang w:eastAsia="lv-LV"/>
              </w:rPr>
            </w:pPr>
            <w:r w:rsidRPr="00E110B0">
              <w:rPr>
                <w:rFonts w:eastAsia="Times New Roman"/>
                <w:sz w:val="24"/>
                <w:szCs w:val="24"/>
                <w:lang w:eastAsia="lv-LV"/>
              </w:rPr>
              <w:lastRenderedPageBreak/>
              <w:t> 3.</w:t>
            </w:r>
          </w:p>
        </w:tc>
        <w:tc>
          <w:tcPr>
            <w:tcW w:w="3402" w:type="dxa"/>
            <w:gridSpan w:val="4"/>
            <w:shd w:val="clear" w:color="auto" w:fill="auto"/>
          </w:tcPr>
          <w:p w:rsidR="00CB135A" w:rsidRPr="00E110B0" w:rsidRDefault="00CB135A" w:rsidP="00CB135A">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 Cita informācija</w:t>
            </w:r>
          </w:p>
        </w:tc>
        <w:tc>
          <w:tcPr>
            <w:tcW w:w="5495" w:type="dxa"/>
            <w:gridSpan w:val="5"/>
            <w:shd w:val="clear" w:color="auto" w:fill="auto"/>
          </w:tcPr>
          <w:p w:rsidR="00CB135A" w:rsidRPr="00E110B0" w:rsidRDefault="00CB135A" w:rsidP="00CB135A">
            <w:pPr>
              <w:spacing w:before="100" w:beforeAutospacing="1" w:after="100" w:afterAutospacing="1" w:line="240" w:lineRule="auto"/>
              <w:ind w:hanging="15"/>
              <w:rPr>
                <w:rFonts w:eastAsia="Times New Roman"/>
                <w:sz w:val="24"/>
                <w:szCs w:val="24"/>
                <w:lang w:eastAsia="lv-LV"/>
              </w:rPr>
            </w:pPr>
            <w:r>
              <w:rPr>
                <w:rFonts w:eastAsia="Times New Roman"/>
                <w:sz w:val="24"/>
                <w:szCs w:val="24"/>
                <w:lang w:eastAsia="lv-LV"/>
              </w:rPr>
              <w:t>Nav</w:t>
            </w:r>
          </w:p>
        </w:tc>
      </w:tr>
      <w:tr w:rsidR="00CB135A" w:rsidRPr="00E110B0" w:rsidTr="00CB135A">
        <w:trPr>
          <w:gridAfter w:val="1"/>
          <w:wAfter w:w="139" w:type="dxa"/>
          <w:trHeight w:val="1181"/>
          <w:tblCellSpacing w:w="0" w:type="dxa"/>
        </w:trPr>
        <w:tc>
          <w:tcPr>
            <w:tcW w:w="9513" w:type="dxa"/>
            <w:gridSpan w:val="14"/>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67B3A">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1.tabula</w:t>
            </w:r>
          </w:p>
          <w:p w:rsidR="00CB135A" w:rsidRPr="00E110B0" w:rsidRDefault="00CB135A" w:rsidP="00D67B3A">
            <w:pPr>
              <w:spacing w:before="100" w:beforeAutospacing="1" w:after="100" w:afterAutospacing="1" w:line="240" w:lineRule="auto"/>
              <w:jc w:val="center"/>
              <w:rPr>
                <w:rFonts w:eastAsia="Times New Roman"/>
                <w:sz w:val="24"/>
                <w:szCs w:val="24"/>
                <w:lang w:eastAsia="lv-LV"/>
              </w:rPr>
            </w:pPr>
            <w:r w:rsidRPr="00E110B0">
              <w:rPr>
                <w:rFonts w:eastAsia="Times New Roman"/>
                <w:b/>
                <w:sz w:val="24"/>
                <w:szCs w:val="24"/>
                <w:lang w:eastAsia="lv-LV"/>
              </w:rPr>
              <w:t>Tiesību akta projekta atbilstība ES tiesību aktiem</w:t>
            </w:r>
          </w:p>
        </w:tc>
      </w:tr>
      <w:tr w:rsidR="00CB135A" w:rsidRPr="00E110B0" w:rsidTr="00CB135A">
        <w:trPr>
          <w:gridAfter w:val="1"/>
          <w:wAfter w:w="139" w:type="dxa"/>
          <w:trHeight w:val="1252"/>
          <w:tblCellSpacing w:w="0" w:type="dxa"/>
        </w:trPr>
        <w:tc>
          <w:tcPr>
            <w:tcW w:w="1889" w:type="dxa"/>
            <w:gridSpan w:val="6"/>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14393">
            <w:pPr>
              <w:spacing w:line="240" w:lineRule="auto"/>
              <w:ind w:firstLine="0"/>
              <w:rPr>
                <w:rFonts w:eastAsia="Times New Roman"/>
                <w:sz w:val="24"/>
                <w:szCs w:val="24"/>
                <w:lang w:eastAsia="lv-LV"/>
              </w:rPr>
            </w:pPr>
            <w:r w:rsidRPr="00E110B0">
              <w:rPr>
                <w:rFonts w:eastAsia="Times New Roman"/>
                <w:sz w:val="24"/>
                <w:szCs w:val="24"/>
                <w:lang w:eastAsia="lv-LV"/>
              </w:rPr>
              <w:t> Attiecīgā ES tiesību akta datums, numurs un nosaukums</w:t>
            </w:r>
          </w:p>
        </w:tc>
        <w:tc>
          <w:tcPr>
            <w:tcW w:w="7624" w:type="dxa"/>
            <w:gridSpan w:val="8"/>
            <w:tcBorders>
              <w:top w:val="single" w:sz="4" w:space="0" w:color="auto"/>
              <w:left w:val="single" w:sz="4" w:space="0" w:color="auto"/>
              <w:bottom w:val="single" w:sz="4" w:space="0" w:color="auto"/>
              <w:right w:val="single" w:sz="4" w:space="0" w:color="auto"/>
            </w:tcBorders>
            <w:vAlign w:val="center"/>
          </w:tcPr>
          <w:p w:rsidR="00CB135A" w:rsidRPr="00E110B0" w:rsidRDefault="001745A7" w:rsidP="00D14393">
            <w:pPr>
              <w:spacing w:line="240" w:lineRule="auto"/>
              <w:ind w:firstLine="0"/>
              <w:rPr>
                <w:rFonts w:eastAsia="Times New Roman"/>
                <w:sz w:val="24"/>
                <w:szCs w:val="24"/>
                <w:lang w:eastAsia="lv-LV"/>
              </w:rPr>
            </w:pPr>
            <w:r w:rsidRPr="00D14393">
              <w:rPr>
                <w:sz w:val="24"/>
                <w:szCs w:val="24"/>
              </w:rPr>
              <w:t>Padomes</w:t>
            </w:r>
            <w:r>
              <w:rPr>
                <w:sz w:val="24"/>
                <w:szCs w:val="24"/>
              </w:rPr>
              <w:t xml:space="preserve"> 2013.gada 13.maija </w:t>
            </w:r>
            <w:r w:rsidRPr="00D14393">
              <w:rPr>
                <w:sz w:val="24"/>
                <w:szCs w:val="24"/>
              </w:rPr>
              <w:t xml:space="preserve">Direktīva </w:t>
            </w:r>
            <w:r w:rsidRPr="001745A7">
              <w:rPr>
                <w:sz w:val="24"/>
                <w:szCs w:val="24"/>
              </w:rPr>
              <w:t>2013/22/ES ar ko pielāgo dažas direktīvas transporta politikas jomā saistībā ar Horvātijas Republikas pievienošanos</w:t>
            </w:r>
            <w:r>
              <w:rPr>
                <w:sz w:val="24"/>
                <w:szCs w:val="24"/>
              </w:rPr>
              <w:t>.</w:t>
            </w:r>
            <w:r w:rsidRPr="001745A7">
              <w:rPr>
                <w:sz w:val="24"/>
                <w:szCs w:val="24"/>
              </w:rPr>
              <w:t xml:space="preserve"> </w:t>
            </w:r>
            <w:r>
              <w:rPr>
                <w:sz w:val="24"/>
                <w:szCs w:val="24"/>
              </w:rPr>
              <w:t>P</w:t>
            </w:r>
            <w:r w:rsidRPr="001E06FE">
              <w:rPr>
                <w:sz w:val="24"/>
                <w:szCs w:val="24"/>
              </w:rPr>
              <w:t xml:space="preserve">ublicēta “Eiropas </w:t>
            </w:r>
            <w:r>
              <w:rPr>
                <w:sz w:val="24"/>
                <w:szCs w:val="24"/>
              </w:rPr>
              <w:t xml:space="preserve">Savienības Oficiālajā Vēstnesī” L 158, </w:t>
            </w:r>
            <w:r w:rsidRPr="001745A7">
              <w:rPr>
                <w:sz w:val="24"/>
                <w:szCs w:val="24"/>
              </w:rPr>
              <w:t>10.6.2013.</w:t>
            </w:r>
          </w:p>
        </w:tc>
      </w:tr>
      <w:tr w:rsidR="00CB135A" w:rsidRPr="00E110B0" w:rsidTr="00CB135A">
        <w:trPr>
          <w:gridAfter w:val="1"/>
          <w:wAfter w:w="139" w:type="dxa"/>
          <w:trHeight w:val="165"/>
          <w:tblCellSpacing w:w="0" w:type="dxa"/>
        </w:trPr>
        <w:tc>
          <w:tcPr>
            <w:tcW w:w="1889" w:type="dxa"/>
            <w:gridSpan w:val="6"/>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67B3A">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A</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67B3A">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B</w:t>
            </w:r>
          </w:p>
        </w:tc>
        <w:tc>
          <w:tcPr>
            <w:tcW w:w="2424" w:type="dxa"/>
            <w:gridSpan w:val="5"/>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67B3A">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C</w:t>
            </w:r>
          </w:p>
        </w:tc>
        <w:tc>
          <w:tcPr>
            <w:tcW w:w="3448" w:type="dxa"/>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67B3A">
            <w:pPr>
              <w:spacing w:before="100" w:beforeAutospacing="1" w:after="100" w:afterAutospacing="1" w:line="165" w:lineRule="atLeast"/>
              <w:rPr>
                <w:rFonts w:eastAsia="Times New Roman"/>
                <w:sz w:val="24"/>
                <w:szCs w:val="24"/>
                <w:lang w:eastAsia="lv-LV"/>
              </w:rPr>
            </w:pPr>
            <w:r w:rsidRPr="00E110B0">
              <w:rPr>
                <w:rFonts w:eastAsia="Times New Roman"/>
                <w:sz w:val="24"/>
                <w:szCs w:val="24"/>
                <w:lang w:eastAsia="lv-LV"/>
              </w:rPr>
              <w:t> D</w:t>
            </w:r>
          </w:p>
        </w:tc>
      </w:tr>
      <w:tr w:rsidR="00CB135A" w:rsidRPr="00E110B0" w:rsidTr="00CB135A">
        <w:trPr>
          <w:gridAfter w:val="1"/>
          <w:wAfter w:w="139" w:type="dxa"/>
          <w:trHeight w:val="165"/>
          <w:tblCellSpacing w:w="0" w:type="dxa"/>
        </w:trPr>
        <w:tc>
          <w:tcPr>
            <w:tcW w:w="1889" w:type="dxa"/>
            <w:gridSpan w:val="6"/>
            <w:tcBorders>
              <w:top w:val="single" w:sz="4" w:space="0" w:color="auto"/>
              <w:left w:val="single" w:sz="4" w:space="0" w:color="auto"/>
              <w:bottom w:val="single" w:sz="4" w:space="0" w:color="auto"/>
              <w:right w:val="single" w:sz="4" w:space="0" w:color="auto"/>
            </w:tcBorders>
          </w:tcPr>
          <w:p w:rsidR="00CB135A" w:rsidRPr="00E110B0" w:rsidRDefault="00CB135A" w:rsidP="00D14393">
            <w:pPr>
              <w:spacing w:line="240" w:lineRule="auto"/>
              <w:ind w:firstLine="0"/>
              <w:rPr>
                <w:sz w:val="24"/>
                <w:szCs w:val="24"/>
              </w:rPr>
            </w:pPr>
            <w:r w:rsidRPr="00E110B0">
              <w:rPr>
                <w:sz w:val="24"/>
                <w:szCs w:val="24"/>
              </w:rPr>
              <w:t>Attiecīgā ES tiesību akta panta numurs (uzskaitot katru tiesību akta vienību – pantu, daļu, punktu, apakšpunktu)</w:t>
            </w:r>
          </w:p>
        </w:tc>
        <w:tc>
          <w:tcPr>
            <w:tcW w:w="1752" w:type="dxa"/>
            <w:gridSpan w:val="2"/>
            <w:tcBorders>
              <w:top w:val="single" w:sz="4" w:space="0" w:color="auto"/>
              <w:left w:val="single" w:sz="4" w:space="0" w:color="auto"/>
              <w:bottom w:val="single" w:sz="4" w:space="0" w:color="auto"/>
              <w:right w:val="single" w:sz="4" w:space="0" w:color="auto"/>
            </w:tcBorders>
          </w:tcPr>
          <w:p w:rsidR="00CB135A" w:rsidRPr="00E110B0" w:rsidRDefault="00CB135A" w:rsidP="00D14393">
            <w:pPr>
              <w:spacing w:line="240" w:lineRule="auto"/>
              <w:ind w:firstLine="0"/>
              <w:rPr>
                <w:sz w:val="24"/>
                <w:szCs w:val="24"/>
              </w:rPr>
            </w:pPr>
            <w:r w:rsidRPr="00E110B0">
              <w:rPr>
                <w:sz w:val="24"/>
                <w:szCs w:val="24"/>
              </w:rPr>
              <w:t>Projekta vienība, kas pārņem vai ievieš katru šīs tabulas A ailē minēto ES tiesību akta vienību, vai tiesību akts, kur attiecīgā ES tiesību akta vienība pārņemta vai ieviesta</w:t>
            </w:r>
            <w:r>
              <w:rPr>
                <w:sz w:val="24"/>
                <w:szCs w:val="24"/>
              </w:rPr>
              <w:t>.</w:t>
            </w:r>
          </w:p>
        </w:tc>
        <w:tc>
          <w:tcPr>
            <w:tcW w:w="2424" w:type="dxa"/>
            <w:gridSpan w:val="5"/>
            <w:tcBorders>
              <w:top w:val="single" w:sz="4" w:space="0" w:color="auto"/>
              <w:left w:val="single" w:sz="4" w:space="0" w:color="auto"/>
              <w:bottom w:val="single" w:sz="4" w:space="0" w:color="auto"/>
              <w:right w:val="single" w:sz="4" w:space="0" w:color="auto"/>
            </w:tcBorders>
          </w:tcPr>
          <w:p w:rsidR="00CB135A" w:rsidRPr="00E110B0" w:rsidRDefault="00CB135A" w:rsidP="00D14393">
            <w:pPr>
              <w:spacing w:line="240" w:lineRule="auto"/>
              <w:ind w:firstLine="0"/>
              <w:rPr>
                <w:sz w:val="24"/>
                <w:szCs w:val="24"/>
              </w:rPr>
            </w:pPr>
            <w:r w:rsidRPr="00E110B0">
              <w:rPr>
                <w:sz w:val="24"/>
                <w:szCs w:val="24"/>
              </w:rPr>
              <w:t xml:space="preserve">Informācija par to, vai šīs tabulas A ailē minētās ES tiesību akta vienības tiek pārņemtas vai ieviestas pilnībā vai daļēji. </w:t>
            </w:r>
          </w:p>
          <w:p w:rsidR="00CB135A" w:rsidRPr="00E110B0" w:rsidRDefault="00CB135A" w:rsidP="00D14393">
            <w:pPr>
              <w:spacing w:line="240" w:lineRule="auto"/>
              <w:ind w:firstLine="0"/>
              <w:rPr>
                <w:rFonts w:eastAsia="Times New Roman"/>
                <w:sz w:val="24"/>
                <w:szCs w:val="24"/>
                <w:lang w:eastAsia="lv-LV"/>
              </w:rPr>
            </w:pPr>
            <w:r w:rsidRPr="00E110B0">
              <w:rPr>
                <w:rFonts w:eastAsia="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CB135A" w:rsidRPr="00E110B0" w:rsidRDefault="00CB135A" w:rsidP="00D14393">
            <w:pPr>
              <w:spacing w:line="240" w:lineRule="auto"/>
              <w:ind w:firstLine="0"/>
              <w:rPr>
                <w:rFonts w:eastAsia="Times New Roman"/>
                <w:sz w:val="24"/>
                <w:szCs w:val="24"/>
                <w:lang w:eastAsia="lv-LV"/>
              </w:rPr>
            </w:pPr>
            <w:r w:rsidRPr="00E110B0">
              <w:rPr>
                <w:rFonts w:eastAsia="Times New Roman"/>
                <w:sz w:val="24"/>
                <w:szCs w:val="24"/>
                <w:lang w:eastAsia="lv-LV"/>
              </w:rPr>
              <w:t>Norāda institūciju, kas ir atbildīga par šo saistību izpildi pilnībā</w:t>
            </w:r>
            <w:r>
              <w:rPr>
                <w:rFonts w:eastAsia="Times New Roman"/>
                <w:sz w:val="24"/>
                <w:szCs w:val="24"/>
                <w:lang w:eastAsia="lv-LV"/>
              </w:rPr>
              <w:t>.</w:t>
            </w:r>
          </w:p>
        </w:tc>
        <w:tc>
          <w:tcPr>
            <w:tcW w:w="3448" w:type="dxa"/>
            <w:tcBorders>
              <w:top w:val="single" w:sz="4" w:space="0" w:color="auto"/>
              <w:left w:val="single" w:sz="4" w:space="0" w:color="auto"/>
              <w:bottom w:val="single" w:sz="4" w:space="0" w:color="auto"/>
              <w:right w:val="single" w:sz="4" w:space="0" w:color="auto"/>
            </w:tcBorders>
          </w:tcPr>
          <w:p w:rsidR="00CB135A" w:rsidRPr="00E110B0" w:rsidRDefault="00CB135A" w:rsidP="00D14393">
            <w:pPr>
              <w:spacing w:line="240" w:lineRule="auto"/>
              <w:ind w:firstLine="0"/>
              <w:rPr>
                <w:sz w:val="24"/>
                <w:szCs w:val="24"/>
              </w:rPr>
            </w:pPr>
            <w:r w:rsidRPr="00E110B0">
              <w:rPr>
                <w:sz w:val="24"/>
                <w:szCs w:val="24"/>
              </w:rPr>
              <w:t xml:space="preserve">Informācija par to, vai šīs tabulas B ailē minētās projekta vienības paredz stingrākas prasības nekā šīs tabulas A ailē minētās ES tiesību akta vienības. </w:t>
            </w:r>
          </w:p>
          <w:p w:rsidR="00CB135A" w:rsidRPr="00E110B0" w:rsidRDefault="00CB135A" w:rsidP="00D14393">
            <w:pPr>
              <w:spacing w:line="240" w:lineRule="auto"/>
              <w:ind w:firstLine="0"/>
              <w:rPr>
                <w:rFonts w:eastAsia="Times New Roman"/>
                <w:sz w:val="24"/>
                <w:szCs w:val="24"/>
                <w:lang w:eastAsia="lv-LV"/>
              </w:rPr>
            </w:pPr>
            <w:r w:rsidRPr="00E110B0">
              <w:rPr>
                <w:rFonts w:eastAsia="Times New Roman"/>
                <w:sz w:val="24"/>
                <w:szCs w:val="24"/>
                <w:lang w:eastAsia="lv-LV"/>
              </w:rPr>
              <w:t>Ja projekts satur stingrākas prasības nekā attiecīgais ES tiesību akts, norāda pamatojumu un samērīgumu.</w:t>
            </w:r>
          </w:p>
          <w:p w:rsidR="00CB135A" w:rsidRPr="00E110B0" w:rsidRDefault="00CB135A" w:rsidP="00D14393">
            <w:pPr>
              <w:spacing w:line="240" w:lineRule="auto"/>
              <w:ind w:firstLine="0"/>
              <w:rPr>
                <w:rFonts w:eastAsia="Times New Roman"/>
                <w:sz w:val="24"/>
                <w:szCs w:val="24"/>
                <w:lang w:eastAsia="lv-LV"/>
              </w:rPr>
            </w:pPr>
            <w:r w:rsidRPr="00E110B0">
              <w:rPr>
                <w:rFonts w:eastAsia="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Pr>
                <w:rFonts w:eastAsia="Times New Roman"/>
                <w:sz w:val="24"/>
                <w:szCs w:val="24"/>
                <w:lang w:eastAsia="lv-LV"/>
              </w:rPr>
              <w:t>.</w:t>
            </w:r>
          </w:p>
        </w:tc>
      </w:tr>
      <w:tr w:rsidR="00CB135A" w:rsidRPr="00E110B0" w:rsidTr="00CB135A">
        <w:trPr>
          <w:gridAfter w:val="1"/>
          <w:wAfter w:w="139" w:type="dxa"/>
          <w:trHeight w:val="266"/>
          <w:tblCellSpacing w:w="0" w:type="dxa"/>
        </w:trPr>
        <w:tc>
          <w:tcPr>
            <w:tcW w:w="1889" w:type="dxa"/>
            <w:gridSpan w:val="6"/>
            <w:tcBorders>
              <w:top w:val="single" w:sz="4" w:space="0" w:color="auto"/>
              <w:left w:val="single" w:sz="4" w:space="0" w:color="auto"/>
              <w:bottom w:val="single" w:sz="4" w:space="0" w:color="auto"/>
              <w:right w:val="single" w:sz="4" w:space="0" w:color="auto"/>
            </w:tcBorders>
          </w:tcPr>
          <w:p w:rsidR="00CB135A" w:rsidRPr="00D14393" w:rsidRDefault="007836E7" w:rsidP="00D14393">
            <w:pPr>
              <w:ind w:firstLine="0"/>
              <w:rPr>
                <w:rFonts w:eastAsia="Times New Roman"/>
                <w:color w:val="000000"/>
                <w:sz w:val="24"/>
                <w:szCs w:val="24"/>
                <w:highlight w:val="yellow"/>
                <w:lang w:eastAsia="lv-LV"/>
              </w:rPr>
            </w:pPr>
            <w:r w:rsidRPr="00D14393">
              <w:rPr>
                <w:sz w:val="24"/>
                <w:szCs w:val="24"/>
              </w:rPr>
              <w:t xml:space="preserve">Direktīva </w:t>
            </w:r>
            <w:r w:rsidRPr="001745A7">
              <w:rPr>
                <w:sz w:val="24"/>
                <w:szCs w:val="24"/>
              </w:rPr>
              <w:t>2013/22/ES</w:t>
            </w:r>
            <w:r w:rsidR="001D3294">
              <w:rPr>
                <w:sz w:val="24"/>
                <w:szCs w:val="24"/>
              </w:rPr>
              <w:t xml:space="preserve"> pielikuma</w:t>
            </w:r>
            <w:r w:rsidR="00D81B14">
              <w:rPr>
                <w:sz w:val="24"/>
                <w:szCs w:val="24"/>
              </w:rPr>
              <w:t xml:space="preserve"> A daļas</w:t>
            </w:r>
            <w:r w:rsidR="001D3294">
              <w:rPr>
                <w:sz w:val="24"/>
                <w:szCs w:val="24"/>
              </w:rPr>
              <w:t xml:space="preserve"> 2.punkts</w:t>
            </w:r>
          </w:p>
        </w:tc>
        <w:tc>
          <w:tcPr>
            <w:tcW w:w="1752" w:type="dxa"/>
            <w:gridSpan w:val="2"/>
            <w:tcBorders>
              <w:top w:val="single" w:sz="4" w:space="0" w:color="auto"/>
              <w:left w:val="single" w:sz="4" w:space="0" w:color="auto"/>
              <w:bottom w:val="single" w:sz="4" w:space="0" w:color="auto"/>
              <w:right w:val="single" w:sz="4" w:space="0" w:color="auto"/>
            </w:tcBorders>
          </w:tcPr>
          <w:p w:rsidR="00CB135A" w:rsidRPr="001D3294" w:rsidRDefault="00CB135A" w:rsidP="00EA1D5C">
            <w:pPr>
              <w:ind w:firstLine="0"/>
              <w:rPr>
                <w:sz w:val="24"/>
                <w:szCs w:val="24"/>
                <w:lang w:eastAsia="lv-LV"/>
              </w:rPr>
            </w:pPr>
            <w:r w:rsidRPr="001D3294">
              <w:rPr>
                <w:sz w:val="24"/>
                <w:szCs w:val="24"/>
                <w:lang w:eastAsia="lv-LV"/>
              </w:rPr>
              <w:t xml:space="preserve">Noteikumu projekta </w:t>
            </w:r>
            <w:r w:rsidR="001D3294" w:rsidRPr="001D3294">
              <w:rPr>
                <w:sz w:val="24"/>
                <w:szCs w:val="24"/>
                <w:lang w:eastAsia="lv-LV"/>
              </w:rPr>
              <w:t>1.3</w:t>
            </w:r>
            <w:r w:rsidR="00A96C87">
              <w:rPr>
                <w:sz w:val="24"/>
                <w:szCs w:val="24"/>
                <w:lang w:eastAsia="lv-LV"/>
              </w:rPr>
              <w:t>0</w:t>
            </w:r>
            <w:r w:rsidR="001D3294" w:rsidRPr="001D3294">
              <w:rPr>
                <w:sz w:val="24"/>
                <w:szCs w:val="24"/>
                <w:lang w:eastAsia="lv-LV"/>
              </w:rPr>
              <w:t>.apakšpunkts</w:t>
            </w:r>
          </w:p>
        </w:tc>
        <w:tc>
          <w:tcPr>
            <w:tcW w:w="2424" w:type="dxa"/>
            <w:gridSpan w:val="5"/>
            <w:tcBorders>
              <w:top w:val="single" w:sz="4" w:space="0" w:color="auto"/>
              <w:left w:val="single" w:sz="4" w:space="0" w:color="auto"/>
              <w:bottom w:val="single" w:sz="4" w:space="0" w:color="auto"/>
              <w:right w:val="single" w:sz="4" w:space="0" w:color="auto"/>
            </w:tcBorders>
          </w:tcPr>
          <w:p w:rsidR="00CB135A" w:rsidRPr="001D3294" w:rsidRDefault="00CB135A" w:rsidP="00D14393">
            <w:pPr>
              <w:ind w:firstLine="0"/>
              <w:rPr>
                <w:sz w:val="24"/>
                <w:szCs w:val="24"/>
                <w:lang w:eastAsia="lv-LV"/>
              </w:rPr>
            </w:pPr>
            <w:r w:rsidRPr="001D3294">
              <w:rPr>
                <w:sz w:val="24"/>
                <w:szCs w:val="24"/>
                <w:lang w:eastAsia="lv-LV"/>
              </w:rPr>
              <w:t>Pārņemts pilnībā</w:t>
            </w:r>
          </w:p>
        </w:tc>
        <w:tc>
          <w:tcPr>
            <w:tcW w:w="3448" w:type="dxa"/>
            <w:tcBorders>
              <w:top w:val="single" w:sz="4" w:space="0" w:color="auto"/>
              <w:left w:val="single" w:sz="4" w:space="0" w:color="auto"/>
              <w:bottom w:val="single" w:sz="4" w:space="0" w:color="auto"/>
              <w:right w:val="single" w:sz="4" w:space="0" w:color="auto"/>
            </w:tcBorders>
          </w:tcPr>
          <w:p w:rsidR="00CB135A" w:rsidRPr="001D3294" w:rsidRDefault="00CB135A" w:rsidP="00D14393">
            <w:pPr>
              <w:ind w:firstLine="0"/>
              <w:rPr>
                <w:sz w:val="24"/>
                <w:szCs w:val="24"/>
                <w:lang w:eastAsia="lv-LV"/>
              </w:rPr>
            </w:pPr>
            <w:r w:rsidRPr="001D3294">
              <w:rPr>
                <w:sz w:val="24"/>
                <w:szCs w:val="24"/>
                <w:lang w:eastAsia="lv-LV"/>
              </w:rPr>
              <w:t>Stingrākas prasības neparedz</w:t>
            </w:r>
          </w:p>
        </w:tc>
      </w:tr>
      <w:tr w:rsidR="00CB135A" w:rsidRPr="00E110B0" w:rsidTr="00CB135A">
        <w:trPr>
          <w:gridAfter w:val="1"/>
          <w:wAfter w:w="139" w:type="dxa"/>
          <w:trHeight w:val="281"/>
          <w:tblCellSpacing w:w="0" w:type="dxa"/>
        </w:trPr>
        <w:tc>
          <w:tcPr>
            <w:tcW w:w="1889" w:type="dxa"/>
            <w:gridSpan w:val="6"/>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14393">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 xml:space="preserve"> Kā ir izmantota ES tiesību aktā paredzētā rīcības brīvība dalībvalstij pārņemt vai ieviest noteiktas ES tiesību akta normas.</w:t>
            </w:r>
          </w:p>
          <w:p w:rsidR="00CB135A" w:rsidRPr="00E110B0" w:rsidRDefault="00CB135A" w:rsidP="00D14393">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Kādēļ?</w:t>
            </w:r>
          </w:p>
        </w:tc>
        <w:tc>
          <w:tcPr>
            <w:tcW w:w="7624" w:type="dxa"/>
            <w:gridSpan w:val="8"/>
            <w:tcBorders>
              <w:top w:val="single" w:sz="4" w:space="0" w:color="auto"/>
              <w:left w:val="single" w:sz="4" w:space="0" w:color="auto"/>
              <w:bottom w:val="single" w:sz="4" w:space="0" w:color="auto"/>
              <w:right w:val="single" w:sz="4" w:space="0" w:color="auto"/>
            </w:tcBorders>
          </w:tcPr>
          <w:p w:rsidR="00CB135A" w:rsidRPr="00E110B0" w:rsidRDefault="00D81B14" w:rsidP="00D14393">
            <w:pPr>
              <w:ind w:firstLine="0"/>
              <w:rPr>
                <w:sz w:val="24"/>
                <w:szCs w:val="24"/>
              </w:rPr>
            </w:pPr>
            <w:r>
              <w:rPr>
                <w:sz w:val="24"/>
                <w:szCs w:val="24"/>
              </w:rPr>
              <w:t>Projekts šo jomu neskar</w:t>
            </w:r>
          </w:p>
        </w:tc>
      </w:tr>
      <w:tr w:rsidR="00CB135A" w:rsidRPr="00E110B0" w:rsidTr="00CB135A">
        <w:trPr>
          <w:gridAfter w:val="1"/>
          <w:wAfter w:w="139" w:type="dxa"/>
          <w:trHeight w:val="281"/>
          <w:tblCellSpacing w:w="0" w:type="dxa"/>
        </w:trPr>
        <w:tc>
          <w:tcPr>
            <w:tcW w:w="1889" w:type="dxa"/>
            <w:gridSpan w:val="6"/>
            <w:tcBorders>
              <w:top w:val="single" w:sz="4" w:space="0" w:color="auto"/>
              <w:left w:val="single" w:sz="4" w:space="0" w:color="auto"/>
              <w:bottom w:val="single" w:sz="4" w:space="0" w:color="auto"/>
              <w:right w:val="single" w:sz="4" w:space="0" w:color="auto"/>
            </w:tcBorders>
            <w:vAlign w:val="center"/>
          </w:tcPr>
          <w:p w:rsidR="00CB135A" w:rsidRPr="00E110B0" w:rsidRDefault="00CB135A" w:rsidP="00D14393">
            <w:pPr>
              <w:spacing w:before="100" w:beforeAutospacing="1" w:after="100" w:afterAutospacing="1" w:line="240" w:lineRule="auto"/>
              <w:ind w:firstLine="0"/>
              <w:rPr>
                <w:rFonts w:eastAsia="Times New Roman"/>
                <w:sz w:val="24"/>
                <w:szCs w:val="24"/>
                <w:lang w:eastAsia="lv-LV"/>
              </w:rPr>
            </w:pPr>
            <w:r w:rsidRPr="00E110B0">
              <w:rPr>
                <w:rFonts w:eastAsia="Times New Roman"/>
                <w:sz w:val="24"/>
                <w:szCs w:val="24"/>
                <w:lang w:eastAsia="lv-LV"/>
              </w:rPr>
              <w:t>Cita informācija</w:t>
            </w:r>
          </w:p>
        </w:tc>
        <w:tc>
          <w:tcPr>
            <w:tcW w:w="7624" w:type="dxa"/>
            <w:gridSpan w:val="8"/>
            <w:tcBorders>
              <w:top w:val="single" w:sz="4" w:space="0" w:color="auto"/>
              <w:left w:val="single" w:sz="4" w:space="0" w:color="auto"/>
              <w:bottom w:val="single" w:sz="4" w:space="0" w:color="auto"/>
              <w:right w:val="single" w:sz="4" w:space="0" w:color="auto"/>
            </w:tcBorders>
          </w:tcPr>
          <w:p w:rsidR="00CB135A" w:rsidRPr="00E110B0" w:rsidRDefault="00D14393" w:rsidP="00D14393">
            <w:pPr>
              <w:ind w:firstLine="0"/>
              <w:rPr>
                <w:sz w:val="24"/>
                <w:szCs w:val="24"/>
              </w:rPr>
            </w:pPr>
            <w:r>
              <w:rPr>
                <w:sz w:val="24"/>
                <w:szCs w:val="24"/>
              </w:rPr>
              <w:t>Nav</w:t>
            </w:r>
          </w:p>
        </w:tc>
      </w:tr>
      <w:tr w:rsidR="00CB135A" w:rsidRPr="00E110B0" w:rsidTr="00CB135A">
        <w:trPr>
          <w:gridAfter w:val="1"/>
          <w:wAfter w:w="139" w:type="dxa"/>
          <w:trHeight w:val="1372"/>
          <w:tblCellSpacing w:w="0" w:type="dxa"/>
        </w:trPr>
        <w:tc>
          <w:tcPr>
            <w:tcW w:w="9513" w:type="dxa"/>
            <w:gridSpan w:val="14"/>
            <w:tcBorders>
              <w:top w:val="single" w:sz="4" w:space="0" w:color="auto"/>
              <w:left w:val="single" w:sz="4" w:space="0" w:color="auto"/>
              <w:bottom w:val="single" w:sz="4" w:space="0" w:color="auto"/>
              <w:right w:val="single" w:sz="4" w:space="0" w:color="auto"/>
            </w:tcBorders>
            <w:vAlign w:val="center"/>
          </w:tcPr>
          <w:p w:rsidR="00CB135A" w:rsidRPr="00E110B0" w:rsidRDefault="00CB135A" w:rsidP="001D3294">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lastRenderedPageBreak/>
              <w:t>2.tabula</w:t>
            </w:r>
          </w:p>
          <w:p w:rsidR="00CB135A" w:rsidRPr="00E110B0" w:rsidRDefault="00CB135A" w:rsidP="001D3294">
            <w:pPr>
              <w:spacing w:before="100" w:beforeAutospacing="1" w:after="100" w:afterAutospacing="1" w:line="240" w:lineRule="auto"/>
              <w:jc w:val="center"/>
              <w:rPr>
                <w:rFonts w:eastAsia="Times New Roman"/>
                <w:b/>
                <w:sz w:val="24"/>
                <w:szCs w:val="24"/>
                <w:lang w:eastAsia="lv-LV"/>
              </w:rPr>
            </w:pPr>
            <w:r w:rsidRPr="00E110B0">
              <w:rPr>
                <w:rFonts w:eastAsia="Times New Roman"/>
                <w:b/>
                <w:sz w:val="24"/>
                <w:szCs w:val="24"/>
                <w:lang w:eastAsia="lv-LV"/>
              </w:rPr>
              <w:t xml:space="preserve">Ar tiesību akta projektu uzņemtās saistības, kas izriet no starptautiskajiem tiesību aktiem vai starptautiskas institūcijas vai organizācijas dokumentiem  </w:t>
            </w:r>
          </w:p>
          <w:p w:rsidR="00CB135A" w:rsidRPr="00E110B0" w:rsidRDefault="00CB135A" w:rsidP="001D3294">
            <w:pPr>
              <w:spacing w:line="240" w:lineRule="auto"/>
              <w:jc w:val="center"/>
              <w:rPr>
                <w:rFonts w:eastAsia="Times New Roman"/>
                <w:sz w:val="24"/>
                <w:szCs w:val="24"/>
                <w:lang w:eastAsia="lv-LV"/>
              </w:rPr>
            </w:pPr>
            <w:r w:rsidRPr="00E110B0">
              <w:rPr>
                <w:rFonts w:eastAsia="Times New Roman"/>
                <w:b/>
                <w:sz w:val="24"/>
                <w:szCs w:val="24"/>
                <w:lang w:eastAsia="lv-LV"/>
              </w:rPr>
              <w:t>Pasākumi šo saistību izpildei</w:t>
            </w:r>
          </w:p>
        </w:tc>
      </w:tr>
      <w:tr w:rsidR="00CB135A" w:rsidRPr="007D2C54" w:rsidTr="00CB135A">
        <w:tblPrEx>
          <w:jc w:val="center"/>
          <w:tblCellSpacing w:w="15" w:type="dxa"/>
          <w:tblCellMar>
            <w:top w:w="30" w:type="dxa"/>
            <w:left w:w="30" w:type="dxa"/>
            <w:bottom w:w="30" w:type="dxa"/>
            <w:right w:w="30" w:type="dxa"/>
          </w:tblCellMar>
        </w:tblPrEx>
        <w:trPr>
          <w:gridBefore w:val="1"/>
          <w:wBefore w:w="79" w:type="dxa"/>
          <w:tblCellSpacing w:w="15" w:type="dxa"/>
          <w:jc w:val="center"/>
        </w:trPr>
        <w:tc>
          <w:tcPr>
            <w:tcW w:w="2460" w:type="dxa"/>
            <w:gridSpan w:val="6"/>
            <w:tcBorders>
              <w:top w:val="single" w:sz="4" w:space="0" w:color="auto"/>
              <w:left w:val="single" w:sz="4" w:space="0" w:color="auto"/>
              <w:bottom w:val="single" w:sz="4" w:space="0" w:color="auto"/>
              <w:right w:val="single" w:sz="4" w:space="0" w:color="auto"/>
            </w:tcBorders>
            <w:vAlign w:val="center"/>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Attiecīgā starptautiskā tiesību akta vai starptautiskas institūcijas vai organizācijas dokumenta (turpmāk – starptautiskais dokuments) datums, numurs un nosaukums</w:t>
            </w:r>
          </w:p>
        </w:tc>
        <w:tc>
          <w:tcPr>
            <w:tcW w:w="7113" w:type="dxa"/>
            <w:gridSpan w:val="8"/>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tabs>
                <w:tab w:val="left" w:pos="1222"/>
              </w:tabs>
              <w:ind w:firstLine="0"/>
              <w:rPr>
                <w:rFonts w:eastAsia="Times New Roman"/>
                <w:sz w:val="24"/>
                <w:szCs w:val="24"/>
                <w:lang w:eastAsia="lv-LV"/>
              </w:rPr>
            </w:pPr>
            <w:r w:rsidRPr="007D2C54">
              <w:rPr>
                <w:rFonts w:eastAsia="Times New Roman"/>
                <w:sz w:val="24"/>
                <w:szCs w:val="24"/>
                <w:lang w:eastAsia="lv-LV"/>
              </w:rPr>
              <w:t>Projekts šo jomu neskar</w:t>
            </w:r>
          </w:p>
        </w:tc>
      </w:tr>
      <w:tr w:rsidR="00CB135A" w:rsidRPr="007D2C54" w:rsidTr="00CB135A">
        <w:tblPrEx>
          <w:jc w:val="center"/>
          <w:tblCellSpacing w:w="15" w:type="dxa"/>
          <w:tblCellMar>
            <w:top w:w="30" w:type="dxa"/>
            <w:left w:w="30" w:type="dxa"/>
            <w:bottom w:w="30" w:type="dxa"/>
            <w:right w:w="30" w:type="dxa"/>
          </w:tblCellMar>
        </w:tblPrEx>
        <w:trPr>
          <w:gridBefore w:val="1"/>
          <w:wBefore w:w="79" w:type="dxa"/>
          <w:tblCellSpacing w:w="15" w:type="dxa"/>
          <w:jc w:val="center"/>
        </w:trPr>
        <w:tc>
          <w:tcPr>
            <w:tcW w:w="2460" w:type="dxa"/>
            <w:gridSpan w:val="6"/>
            <w:tcBorders>
              <w:top w:val="single" w:sz="4" w:space="0" w:color="auto"/>
              <w:left w:val="single" w:sz="4" w:space="0" w:color="auto"/>
              <w:bottom w:val="single" w:sz="4" w:space="0" w:color="auto"/>
              <w:right w:val="single" w:sz="4" w:space="0" w:color="auto"/>
            </w:tcBorders>
            <w:vAlign w:val="center"/>
            <w:hideMark/>
          </w:tcPr>
          <w:p w:rsidR="00CB135A" w:rsidRPr="007D2C54" w:rsidRDefault="00CB135A" w:rsidP="001D3294">
            <w:pPr>
              <w:spacing w:before="100" w:beforeAutospacing="1" w:after="100" w:afterAutospacing="1" w:line="360" w:lineRule="auto"/>
              <w:jc w:val="center"/>
              <w:rPr>
                <w:rFonts w:eastAsia="Times New Roman"/>
                <w:sz w:val="24"/>
                <w:szCs w:val="24"/>
                <w:lang w:eastAsia="lv-LV"/>
              </w:rPr>
            </w:pPr>
            <w:r w:rsidRPr="007D2C54">
              <w:rPr>
                <w:rFonts w:eastAsia="Times New Roman"/>
                <w:sz w:val="24"/>
                <w:szCs w:val="24"/>
                <w:lang w:eastAsia="lv-LV"/>
              </w:rPr>
              <w:t>A</w:t>
            </w:r>
          </w:p>
        </w:tc>
        <w:tc>
          <w:tcPr>
            <w:tcW w:w="2830" w:type="dxa"/>
            <w:gridSpan w:val="5"/>
            <w:tcBorders>
              <w:top w:val="single" w:sz="4" w:space="0" w:color="auto"/>
              <w:left w:val="single" w:sz="4" w:space="0" w:color="auto"/>
              <w:bottom w:val="single" w:sz="4" w:space="0" w:color="auto"/>
              <w:right w:val="single" w:sz="4" w:space="0" w:color="auto"/>
            </w:tcBorders>
            <w:vAlign w:val="center"/>
            <w:hideMark/>
          </w:tcPr>
          <w:p w:rsidR="00CB135A" w:rsidRPr="007D2C54" w:rsidRDefault="00CB135A" w:rsidP="001D3294">
            <w:pPr>
              <w:spacing w:before="100" w:beforeAutospacing="1" w:after="100" w:afterAutospacing="1" w:line="360" w:lineRule="auto"/>
              <w:jc w:val="center"/>
              <w:rPr>
                <w:rFonts w:eastAsia="Times New Roman"/>
                <w:sz w:val="24"/>
                <w:szCs w:val="24"/>
                <w:lang w:eastAsia="lv-LV"/>
              </w:rPr>
            </w:pPr>
            <w:r w:rsidRPr="007D2C54">
              <w:rPr>
                <w:rFonts w:eastAsia="Times New Roman"/>
                <w:sz w:val="24"/>
                <w:szCs w:val="24"/>
                <w:lang w:eastAsia="lv-LV"/>
              </w:rPr>
              <w:t>B</w:t>
            </w:r>
          </w:p>
        </w:tc>
        <w:tc>
          <w:tcPr>
            <w:tcW w:w="4283" w:type="dxa"/>
            <w:gridSpan w:val="3"/>
            <w:tcBorders>
              <w:top w:val="single" w:sz="4" w:space="0" w:color="auto"/>
              <w:left w:val="single" w:sz="4" w:space="0" w:color="auto"/>
              <w:bottom w:val="single" w:sz="4" w:space="0" w:color="auto"/>
              <w:right w:val="single" w:sz="4" w:space="0" w:color="auto"/>
            </w:tcBorders>
            <w:vAlign w:val="center"/>
            <w:hideMark/>
          </w:tcPr>
          <w:p w:rsidR="00CB135A" w:rsidRPr="007D2C54" w:rsidRDefault="00CB135A" w:rsidP="00D67B3A">
            <w:pPr>
              <w:spacing w:before="100" w:beforeAutospacing="1" w:after="100" w:afterAutospacing="1" w:line="360" w:lineRule="auto"/>
              <w:ind w:firstLine="300"/>
              <w:jc w:val="center"/>
              <w:rPr>
                <w:rFonts w:eastAsia="Times New Roman"/>
                <w:sz w:val="24"/>
                <w:szCs w:val="24"/>
                <w:lang w:eastAsia="lv-LV"/>
              </w:rPr>
            </w:pPr>
            <w:r w:rsidRPr="007D2C54">
              <w:rPr>
                <w:rFonts w:eastAsia="Times New Roman"/>
                <w:sz w:val="24"/>
                <w:szCs w:val="24"/>
                <w:lang w:eastAsia="lv-LV"/>
              </w:rPr>
              <w:t>C</w:t>
            </w:r>
          </w:p>
        </w:tc>
      </w:tr>
      <w:tr w:rsidR="00CB135A" w:rsidRPr="007D2C54" w:rsidTr="00CB135A">
        <w:tblPrEx>
          <w:jc w:val="center"/>
          <w:tblCellSpacing w:w="15" w:type="dxa"/>
          <w:tblCellMar>
            <w:top w:w="30" w:type="dxa"/>
            <w:left w:w="30" w:type="dxa"/>
            <w:bottom w:w="30" w:type="dxa"/>
            <w:right w:w="30" w:type="dxa"/>
          </w:tblCellMar>
        </w:tblPrEx>
        <w:trPr>
          <w:gridBefore w:val="1"/>
          <w:wBefore w:w="79" w:type="dxa"/>
          <w:tblCellSpacing w:w="15" w:type="dxa"/>
          <w:jc w:val="center"/>
        </w:trPr>
        <w:tc>
          <w:tcPr>
            <w:tcW w:w="2460" w:type="dxa"/>
            <w:gridSpan w:val="6"/>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Starptautiskās saistības (pēc būtības), kas izriet no nor</w:t>
            </w:r>
            <w:r>
              <w:rPr>
                <w:rFonts w:eastAsia="Times New Roman"/>
                <w:sz w:val="24"/>
                <w:szCs w:val="24"/>
                <w:lang w:eastAsia="lv-LV"/>
              </w:rPr>
              <w:t xml:space="preserve">ādītā starptautiskā dokumenta. </w:t>
            </w:r>
            <w:r w:rsidRPr="007D2C54">
              <w:rPr>
                <w:rFonts w:eastAsia="Times New Roman"/>
                <w:sz w:val="24"/>
                <w:szCs w:val="24"/>
                <w:lang w:eastAsia="lv-LV"/>
              </w:rPr>
              <w:t>Konkrēti veicamie pasākumi vai uzdevumi, kas nepieciešami šo starptautisko saistību izpildei</w:t>
            </w:r>
          </w:p>
        </w:tc>
        <w:tc>
          <w:tcPr>
            <w:tcW w:w="2830" w:type="dxa"/>
            <w:gridSpan w:val="5"/>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eastAsia="Times New Roman"/>
                <w:sz w:val="24"/>
                <w:szCs w:val="24"/>
                <w:lang w:eastAsia="lv-LV"/>
              </w:rPr>
              <w:t>.</w:t>
            </w:r>
          </w:p>
        </w:tc>
        <w:tc>
          <w:tcPr>
            <w:tcW w:w="4283" w:type="dxa"/>
            <w:gridSpan w:val="3"/>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 xml:space="preserve">Informācija par to, vai starptautiskās saistības, kas minētas šīs tabulas A ailē, tiek izpildītas pilnībā vai daļēji. </w:t>
            </w:r>
          </w:p>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Ja attiecīgās starptautiskās saistības tiek izpildītas daļēji, sniedz skaidrojumu, kā arī precīzi norāda, kad un kādā veidā starptautiskās saistības tiks izpildītas pilnībā.</w:t>
            </w:r>
          </w:p>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Norāda institūciju, kas ir atbildīga par šo saistību izpildi pilnībā</w:t>
            </w:r>
            <w:r>
              <w:rPr>
                <w:rFonts w:eastAsia="Times New Roman"/>
                <w:sz w:val="24"/>
                <w:szCs w:val="24"/>
                <w:lang w:eastAsia="lv-LV"/>
              </w:rPr>
              <w:t>.</w:t>
            </w:r>
          </w:p>
        </w:tc>
      </w:tr>
      <w:tr w:rsidR="00CB135A" w:rsidRPr="007D2C54" w:rsidTr="00CB135A">
        <w:tblPrEx>
          <w:jc w:val="center"/>
          <w:tblCellSpacing w:w="15" w:type="dxa"/>
          <w:tblCellMar>
            <w:top w:w="30" w:type="dxa"/>
            <w:left w:w="30" w:type="dxa"/>
            <w:bottom w:w="30" w:type="dxa"/>
            <w:right w:w="30" w:type="dxa"/>
          </w:tblCellMar>
        </w:tblPrEx>
        <w:trPr>
          <w:gridBefore w:val="1"/>
          <w:wBefore w:w="79" w:type="dxa"/>
          <w:tblCellSpacing w:w="15" w:type="dxa"/>
          <w:jc w:val="center"/>
        </w:trPr>
        <w:tc>
          <w:tcPr>
            <w:tcW w:w="2460" w:type="dxa"/>
            <w:gridSpan w:val="6"/>
            <w:tcBorders>
              <w:top w:val="single" w:sz="4" w:space="0" w:color="auto"/>
              <w:left w:val="single" w:sz="4" w:space="0" w:color="auto"/>
              <w:bottom w:val="single" w:sz="4" w:space="0" w:color="auto"/>
              <w:right w:val="single" w:sz="4" w:space="0" w:color="auto"/>
            </w:tcBorders>
          </w:tcPr>
          <w:p w:rsidR="00CB135A" w:rsidRPr="007D2C54" w:rsidRDefault="00CB135A" w:rsidP="001D3294">
            <w:pPr>
              <w:ind w:firstLine="0"/>
            </w:pPr>
            <w:r w:rsidRPr="007D2C54">
              <w:rPr>
                <w:rFonts w:eastAsia="Times New Roman"/>
                <w:sz w:val="24"/>
                <w:szCs w:val="24"/>
                <w:lang w:eastAsia="lv-LV"/>
              </w:rPr>
              <w:t xml:space="preserve">Projekts šo jomu neskar </w:t>
            </w:r>
          </w:p>
        </w:tc>
        <w:tc>
          <w:tcPr>
            <w:tcW w:w="2830" w:type="dxa"/>
            <w:gridSpan w:val="5"/>
            <w:tcBorders>
              <w:top w:val="single" w:sz="4" w:space="0" w:color="auto"/>
              <w:left w:val="single" w:sz="4" w:space="0" w:color="auto"/>
              <w:bottom w:val="single" w:sz="4" w:space="0" w:color="auto"/>
              <w:right w:val="single" w:sz="4" w:space="0" w:color="auto"/>
            </w:tcBorders>
          </w:tcPr>
          <w:p w:rsidR="00CB135A" w:rsidRPr="007D2C54" w:rsidRDefault="00CB135A" w:rsidP="001D3294">
            <w:pPr>
              <w:ind w:firstLine="0"/>
            </w:pPr>
            <w:r>
              <w:rPr>
                <w:rFonts w:eastAsia="Times New Roman"/>
                <w:sz w:val="24"/>
                <w:szCs w:val="24"/>
                <w:lang w:eastAsia="lv-LV"/>
              </w:rPr>
              <w:t>Projekts šo jomu neskar</w:t>
            </w:r>
          </w:p>
        </w:tc>
        <w:tc>
          <w:tcPr>
            <w:tcW w:w="4283" w:type="dxa"/>
            <w:gridSpan w:val="3"/>
            <w:tcBorders>
              <w:top w:val="single" w:sz="4" w:space="0" w:color="auto"/>
              <w:left w:val="single" w:sz="4" w:space="0" w:color="auto"/>
              <w:bottom w:val="single" w:sz="4" w:space="0" w:color="auto"/>
              <w:right w:val="single" w:sz="4" w:space="0" w:color="auto"/>
            </w:tcBorders>
          </w:tcPr>
          <w:p w:rsidR="00CB135A" w:rsidRPr="007D2C54" w:rsidRDefault="00CB135A" w:rsidP="001D3294">
            <w:pPr>
              <w:ind w:firstLine="0"/>
            </w:pPr>
            <w:r w:rsidRPr="007D2C54">
              <w:rPr>
                <w:rFonts w:eastAsia="Times New Roman"/>
                <w:sz w:val="24"/>
                <w:szCs w:val="24"/>
                <w:lang w:eastAsia="lv-LV"/>
              </w:rPr>
              <w:t>Projekts šo jomu neskar</w:t>
            </w:r>
          </w:p>
        </w:tc>
      </w:tr>
      <w:tr w:rsidR="00CB135A" w:rsidRPr="007D2C54" w:rsidTr="00CB135A">
        <w:tblPrEx>
          <w:jc w:val="center"/>
          <w:tblCellSpacing w:w="15" w:type="dxa"/>
          <w:tblCellMar>
            <w:top w:w="30" w:type="dxa"/>
            <w:left w:w="30" w:type="dxa"/>
            <w:bottom w:w="30" w:type="dxa"/>
            <w:right w:w="30" w:type="dxa"/>
          </w:tblCellMar>
        </w:tblPrEx>
        <w:trPr>
          <w:gridBefore w:val="1"/>
          <w:wBefore w:w="79" w:type="dxa"/>
          <w:tblCellSpacing w:w="15" w:type="dxa"/>
          <w:jc w:val="center"/>
        </w:trPr>
        <w:tc>
          <w:tcPr>
            <w:tcW w:w="2460" w:type="dxa"/>
            <w:gridSpan w:val="6"/>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Vai starptautiskajā dokumentā paredzētās saistības nav pretrunā ar jau esošajām Latvijas Republikas starptautiskajām saistībām</w:t>
            </w:r>
          </w:p>
        </w:tc>
        <w:tc>
          <w:tcPr>
            <w:tcW w:w="7113" w:type="dxa"/>
            <w:gridSpan w:val="8"/>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Projekts šo jomu neskar</w:t>
            </w:r>
          </w:p>
        </w:tc>
      </w:tr>
      <w:tr w:rsidR="00CB135A" w:rsidRPr="007D2C54" w:rsidTr="00CB135A">
        <w:tblPrEx>
          <w:jc w:val="center"/>
          <w:tblCellSpacing w:w="15" w:type="dxa"/>
          <w:tblCellMar>
            <w:top w:w="30" w:type="dxa"/>
            <w:left w:w="30" w:type="dxa"/>
            <w:bottom w:w="30" w:type="dxa"/>
            <w:right w:w="30" w:type="dxa"/>
          </w:tblCellMar>
        </w:tblPrEx>
        <w:trPr>
          <w:gridBefore w:val="1"/>
          <w:wBefore w:w="79" w:type="dxa"/>
          <w:tblCellSpacing w:w="15" w:type="dxa"/>
          <w:jc w:val="center"/>
        </w:trPr>
        <w:tc>
          <w:tcPr>
            <w:tcW w:w="2460" w:type="dxa"/>
            <w:gridSpan w:val="6"/>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Cita informācija</w:t>
            </w:r>
          </w:p>
        </w:tc>
        <w:tc>
          <w:tcPr>
            <w:tcW w:w="7113" w:type="dxa"/>
            <w:gridSpan w:val="8"/>
            <w:tcBorders>
              <w:top w:val="single" w:sz="4" w:space="0" w:color="auto"/>
              <w:left w:val="single" w:sz="4" w:space="0" w:color="auto"/>
              <w:bottom w:val="single" w:sz="4" w:space="0" w:color="auto"/>
              <w:right w:val="single" w:sz="4" w:space="0" w:color="auto"/>
            </w:tcBorders>
            <w:hideMark/>
          </w:tcPr>
          <w:p w:rsidR="00CB135A" w:rsidRPr="007D2C54" w:rsidRDefault="00CB135A" w:rsidP="001D3294">
            <w:pPr>
              <w:spacing w:line="240" w:lineRule="auto"/>
              <w:ind w:firstLine="0"/>
              <w:rPr>
                <w:rFonts w:eastAsia="Times New Roman"/>
                <w:sz w:val="24"/>
                <w:szCs w:val="24"/>
                <w:lang w:eastAsia="lv-LV"/>
              </w:rPr>
            </w:pPr>
            <w:r w:rsidRPr="007D2C54">
              <w:rPr>
                <w:rFonts w:eastAsia="Times New Roman"/>
                <w:sz w:val="24"/>
                <w:szCs w:val="24"/>
                <w:lang w:eastAsia="lv-LV"/>
              </w:rPr>
              <w:t>Nav</w:t>
            </w:r>
          </w:p>
        </w:tc>
      </w:tr>
      <w:tr w:rsidR="00D521B0" w:rsidRPr="00D521B0" w:rsidTr="00CB135A">
        <w:trPr>
          <w:gridAfter w:val="1"/>
          <w:wAfter w:w="139" w:type="dxa"/>
          <w:tblCellSpacing w:w="0" w:type="dxa"/>
        </w:trPr>
        <w:tc>
          <w:tcPr>
            <w:tcW w:w="9513" w:type="dxa"/>
            <w:gridSpan w:val="14"/>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sz w:val="24"/>
                <w:szCs w:val="24"/>
                <w:lang w:eastAsia="lv-LV"/>
              </w:rPr>
              <w:t>VI. Sabiedrības līdzdalība un komunikācijas aktivitātes</w:t>
            </w:r>
          </w:p>
        </w:tc>
      </w:tr>
      <w:tr w:rsidR="00D521B0" w:rsidRPr="00D521B0" w:rsidTr="00CB135A">
        <w:trPr>
          <w:gridAfter w:val="1"/>
          <w:wAfter w:w="139" w:type="dxa"/>
          <w:trHeight w:val="771"/>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19" w:type="dxa"/>
            <w:gridSpan w:val="8"/>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Plānotās sabiedrības līdzdalības un komunikācijas aktivitātes saistībā ar projektu</w:t>
            </w:r>
          </w:p>
        </w:tc>
        <w:tc>
          <w:tcPr>
            <w:tcW w:w="5418" w:type="dxa"/>
            <w:gridSpan w:val="4"/>
            <w:tcBorders>
              <w:top w:val="outset" w:sz="6" w:space="0" w:color="auto"/>
              <w:left w:val="outset" w:sz="6" w:space="0" w:color="auto"/>
              <w:bottom w:val="outset" w:sz="6" w:space="0" w:color="auto"/>
              <w:right w:val="outset" w:sz="6" w:space="0" w:color="auto"/>
            </w:tcBorders>
          </w:tcPr>
          <w:p w:rsidR="00505323" w:rsidRPr="00D521B0" w:rsidRDefault="001A6C87" w:rsidP="00427590">
            <w:pPr>
              <w:spacing w:before="100" w:beforeAutospacing="1" w:after="100" w:afterAutospacing="1" w:line="240" w:lineRule="auto"/>
              <w:ind w:firstLine="0"/>
              <w:rPr>
                <w:rFonts w:eastAsia="Times New Roman"/>
                <w:sz w:val="24"/>
                <w:szCs w:val="24"/>
                <w:lang w:eastAsia="lv-LV"/>
              </w:rPr>
            </w:pPr>
            <w:r w:rsidRPr="00D521B0">
              <w:rPr>
                <w:sz w:val="24"/>
                <w:szCs w:val="24"/>
              </w:rPr>
              <w:t>Lai nodrošinātu sabiedrības līdzdalību noteikumu projekta izstrādē,</w:t>
            </w:r>
            <w:r w:rsidRPr="00D521B0">
              <w:rPr>
                <w:rFonts w:eastAsia="Times New Roman"/>
                <w:sz w:val="24"/>
                <w:szCs w:val="24"/>
                <w:lang w:eastAsia="lv-LV"/>
              </w:rPr>
              <w:t xml:space="preserve"> p</w:t>
            </w:r>
            <w:r w:rsidR="007040D8" w:rsidRPr="00D521B0">
              <w:rPr>
                <w:rFonts w:eastAsia="Times New Roman"/>
                <w:sz w:val="24"/>
                <w:szCs w:val="24"/>
                <w:lang w:eastAsia="lv-LV"/>
              </w:rPr>
              <w:t>rojekta izstrādes laikā notikušas vairākas diskusijas, kurās piedalījās biedrības "Auto Asociācija"</w:t>
            </w:r>
            <w:r w:rsidR="00440F04" w:rsidRPr="00D521B0">
              <w:rPr>
                <w:rFonts w:eastAsia="Times New Roman"/>
                <w:sz w:val="24"/>
                <w:szCs w:val="24"/>
                <w:lang w:eastAsia="lv-LV"/>
              </w:rPr>
              <w:t xml:space="preserve"> un Latvijas Transportlīdzekļu apdrošinātāju biroja</w:t>
            </w:r>
            <w:r w:rsidR="007040D8" w:rsidRPr="00D521B0">
              <w:rPr>
                <w:rFonts w:eastAsia="Times New Roman"/>
                <w:sz w:val="24"/>
                <w:szCs w:val="24"/>
                <w:lang w:eastAsia="lv-LV"/>
              </w:rPr>
              <w:t xml:space="preserve"> pārstāvji. </w:t>
            </w:r>
            <w:r w:rsidR="00F75F5C" w:rsidRPr="00D521B0">
              <w:rPr>
                <w:rFonts w:eastAsia="Times New Roman"/>
                <w:sz w:val="24"/>
                <w:szCs w:val="24"/>
                <w:lang w:eastAsia="lv-LV"/>
              </w:rPr>
              <w:t xml:space="preserve">Informācija par līdzdalības iespējām tiesību akta izstrādes procesā 2015. gada </w:t>
            </w:r>
            <w:r w:rsidR="00440F04" w:rsidRPr="00D521B0">
              <w:rPr>
                <w:rFonts w:eastAsia="Times New Roman"/>
                <w:sz w:val="24"/>
                <w:szCs w:val="24"/>
                <w:lang w:eastAsia="lv-LV"/>
              </w:rPr>
              <w:t>1</w:t>
            </w:r>
            <w:r w:rsidR="001926F0" w:rsidRPr="00D521B0">
              <w:rPr>
                <w:rFonts w:eastAsia="Times New Roman"/>
                <w:sz w:val="24"/>
                <w:szCs w:val="24"/>
                <w:lang w:eastAsia="lv-LV"/>
              </w:rPr>
              <w:t>4</w:t>
            </w:r>
            <w:r w:rsidR="00440F04" w:rsidRPr="00D521B0">
              <w:rPr>
                <w:rFonts w:eastAsia="Times New Roman"/>
                <w:sz w:val="24"/>
                <w:szCs w:val="24"/>
                <w:lang w:eastAsia="lv-LV"/>
              </w:rPr>
              <w:t>.septembrī</w:t>
            </w:r>
            <w:r w:rsidR="00F75F5C" w:rsidRPr="00D521B0">
              <w:rPr>
                <w:rFonts w:eastAsia="Times New Roman"/>
                <w:sz w:val="24"/>
                <w:szCs w:val="24"/>
                <w:lang w:eastAsia="lv-LV"/>
              </w:rPr>
              <w:t xml:space="preserve"> ievietota CSDD </w:t>
            </w:r>
            <w:r w:rsidR="00427590" w:rsidRPr="00D521B0">
              <w:rPr>
                <w:rFonts w:eastAsia="Times New Roman"/>
                <w:sz w:val="24"/>
                <w:szCs w:val="24"/>
                <w:lang w:eastAsia="lv-LV"/>
              </w:rPr>
              <w:t>tīmekļa vietnē un 2015. gada 25.septembrī ievietota Satiksmes ministrijas tīmekļa vietnē</w:t>
            </w:r>
            <w:r w:rsidR="00F75F5C" w:rsidRPr="00D521B0">
              <w:rPr>
                <w:rFonts w:eastAsia="Times New Roman"/>
                <w:sz w:val="24"/>
                <w:szCs w:val="24"/>
                <w:lang w:eastAsia="lv-LV"/>
              </w:rPr>
              <w:t xml:space="preserve">. </w:t>
            </w:r>
          </w:p>
        </w:tc>
      </w:tr>
      <w:tr w:rsidR="00D521B0" w:rsidRPr="00D521B0" w:rsidTr="00CB135A">
        <w:trPr>
          <w:gridAfter w:val="1"/>
          <w:wAfter w:w="139" w:type="dxa"/>
          <w:trHeight w:val="463"/>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19" w:type="dxa"/>
            <w:gridSpan w:val="8"/>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 projekta izstrādē</w:t>
            </w:r>
          </w:p>
        </w:tc>
        <w:tc>
          <w:tcPr>
            <w:tcW w:w="5418" w:type="dxa"/>
            <w:gridSpan w:val="4"/>
            <w:tcBorders>
              <w:top w:val="outset" w:sz="6" w:space="0" w:color="auto"/>
              <w:left w:val="outset" w:sz="6" w:space="0" w:color="auto"/>
              <w:bottom w:val="outset" w:sz="6" w:space="0" w:color="auto"/>
              <w:right w:val="outset" w:sz="6" w:space="0" w:color="auto"/>
            </w:tcBorders>
          </w:tcPr>
          <w:p w:rsidR="00505323" w:rsidRPr="00D521B0" w:rsidRDefault="007C2065" w:rsidP="00427590">
            <w:pPr>
              <w:ind w:firstLine="0"/>
              <w:rPr>
                <w:sz w:val="24"/>
                <w:szCs w:val="24"/>
              </w:rPr>
            </w:pPr>
            <w:r w:rsidRPr="00D521B0">
              <w:rPr>
                <w:sz w:val="24"/>
                <w:szCs w:val="24"/>
              </w:rPr>
              <w:t xml:space="preserve"> </w:t>
            </w:r>
            <w:r w:rsidR="00C80971" w:rsidRPr="00D521B0">
              <w:rPr>
                <w:sz w:val="24"/>
                <w:szCs w:val="24"/>
              </w:rPr>
              <w:t>Atbilstoši Ministru kabineta 25.08.2009. noteikumu Nr</w:t>
            </w:r>
            <w:r w:rsidR="0034013D" w:rsidRPr="00D521B0">
              <w:rPr>
                <w:sz w:val="24"/>
                <w:szCs w:val="24"/>
              </w:rPr>
              <w:t xml:space="preserve">. </w:t>
            </w:r>
            <w:r w:rsidR="00C80971" w:rsidRPr="00D521B0">
              <w:rPr>
                <w:sz w:val="24"/>
                <w:szCs w:val="24"/>
              </w:rPr>
              <w:t xml:space="preserve">970 “Sabiedrības līdzdalības kārtība attīstības </w:t>
            </w:r>
            <w:r w:rsidR="00C80971" w:rsidRPr="00D521B0">
              <w:rPr>
                <w:sz w:val="24"/>
                <w:szCs w:val="24"/>
              </w:rPr>
              <w:lastRenderedPageBreak/>
              <w:t>plānošanas procesā</w:t>
            </w:r>
            <w:r w:rsidR="00F46BF8" w:rsidRPr="00D521B0">
              <w:rPr>
                <w:sz w:val="24"/>
                <w:szCs w:val="24"/>
              </w:rPr>
              <w:t>” 7.4.</w:t>
            </w:r>
            <w:r w:rsidR="00C80971" w:rsidRPr="00D521B0">
              <w:rPr>
                <w:sz w:val="24"/>
                <w:szCs w:val="24"/>
              </w:rPr>
              <w:t>apakšpunktam, iesaistoties diskusiju grupās, sabiedrībai tika dota iespēja</w:t>
            </w:r>
            <w:r w:rsidR="00EB6441" w:rsidRPr="00D521B0">
              <w:rPr>
                <w:sz w:val="24"/>
                <w:szCs w:val="24"/>
              </w:rPr>
              <w:t xml:space="preserve"> izteikt viedokli par noteikumu projektu tā izstrādes stadijā.</w:t>
            </w:r>
            <w:r w:rsidR="00C80971" w:rsidRPr="00D521B0">
              <w:rPr>
                <w:sz w:val="24"/>
                <w:szCs w:val="24"/>
              </w:rPr>
              <w:t xml:space="preserve"> </w:t>
            </w:r>
          </w:p>
        </w:tc>
      </w:tr>
      <w:tr w:rsidR="00D521B0" w:rsidRPr="00D521B0" w:rsidTr="00CB135A">
        <w:trPr>
          <w:gridAfter w:val="1"/>
          <w:wAfter w:w="139" w:type="dxa"/>
          <w:trHeight w:val="476"/>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505323" w:rsidRPr="00D521B0" w:rsidRDefault="00505323" w:rsidP="007C2065">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lastRenderedPageBreak/>
              <w:t> 3.</w:t>
            </w:r>
          </w:p>
        </w:tc>
        <w:tc>
          <w:tcPr>
            <w:tcW w:w="3619" w:type="dxa"/>
            <w:gridSpan w:val="8"/>
            <w:tcBorders>
              <w:top w:val="outset" w:sz="6" w:space="0" w:color="auto"/>
              <w:left w:val="outset" w:sz="6" w:space="0" w:color="auto"/>
              <w:bottom w:val="outset" w:sz="6" w:space="0" w:color="auto"/>
              <w:right w:val="outset" w:sz="6" w:space="0" w:color="auto"/>
            </w:tcBorders>
          </w:tcPr>
          <w:p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līdzdalības rezultāti</w:t>
            </w:r>
          </w:p>
        </w:tc>
        <w:tc>
          <w:tcPr>
            <w:tcW w:w="5418" w:type="dxa"/>
            <w:gridSpan w:val="4"/>
            <w:tcBorders>
              <w:top w:val="outset" w:sz="6" w:space="0" w:color="auto"/>
              <w:left w:val="outset" w:sz="6" w:space="0" w:color="auto"/>
              <w:bottom w:val="outset" w:sz="6" w:space="0" w:color="auto"/>
              <w:right w:val="outset" w:sz="6" w:space="0" w:color="auto"/>
            </w:tcBorders>
          </w:tcPr>
          <w:p w:rsidR="00505323" w:rsidRPr="00D521B0" w:rsidRDefault="00505323" w:rsidP="00553F4A">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w:t>
            </w:r>
            <w:r w:rsidR="009977D7" w:rsidRPr="00D521B0">
              <w:rPr>
                <w:rFonts w:eastAsia="Times New Roman"/>
                <w:sz w:val="24"/>
                <w:szCs w:val="24"/>
                <w:lang w:eastAsia="lv-LV"/>
              </w:rPr>
              <w:t xml:space="preserve">Biedrība "Auto Asociācija" atbalsta </w:t>
            </w:r>
            <w:r w:rsidR="00763372" w:rsidRPr="00D521B0">
              <w:rPr>
                <w:rFonts w:eastAsia="Times New Roman"/>
                <w:sz w:val="24"/>
                <w:szCs w:val="24"/>
                <w:lang w:eastAsia="lv-LV"/>
              </w:rPr>
              <w:t>noteikumu projektu.</w:t>
            </w:r>
            <w:r w:rsidR="009977D7" w:rsidRPr="00D521B0">
              <w:rPr>
                <w:rFonts w:eastAsia="Times New Roman"/>
                <w:sz w:val="24"/>
                <w:szCs w:val="24"/>
                <w:lang w:eastAsia="lv-LV"/>
              </w:rPr>
              <w:t xml:space="preserve"> </w:t>
            </w:r>
            <w:r w:rsidR="00FB66F1" w:rsidRPr="00D521B0">
              <w:rPr>
                <w:rFonts w:eastAsia="Times New Roman"/>
                <w:sz w:val="24"/>
                <w:szCs w:val="24"/>
                <w:lang w:eastAsia="lv-LV"/>
              </w:rPr>
              <w:t xml:space="preserve">Latvijas Transportlīdzekļu apdrošinātāju biroja </w:t>
            </w:r>
            <w:r w:rsidR="00763372" w:rsidRPr="00D521B0">
              <w:rPr>
                <w:rFonts w:eastAsia="Times New Roman"/>
                <w:sz w:val="24"/>
                <w:szCs w:val="24"/>
                <w:lang w:eastAsia="lv-LV"/>
              </w:rPr>
              <w:t>izteiktie priekšlikumi ir</w:t>
            </w:r>
            <w:r w:rsidR="007D0B71" w:rsidRPr="00D521B0">
              <w:rPr>
                <w:sz w:val="24"/>
                <w:szCs w:val="24"/>
              </w:rPr>
              <w:t xml:space="preserve"> </w:t>
            </w:r>
            <w:r w:rsidR="00427590" w:rsidRPr="00D521B0">
              <w:rPr>
                <w:sz w:val="24"/>
                <w:szCs w:val="24"/>
              </w:rPr>
              <w:t xml:space="preserve">ņemti vērā izstrādājot </w:t>
            </w:r>
            <w:r w:rsidR="00785FB2" w:rsidRPr="00D521B0">
              <w:rPr>
                <w:sz w:val="24"/>
                <w:szCs w:val="24"/>
              </w:rPr>
              <w:t>n</w:t>
            </w:r>
            <w:r w:rsidR="007D0B71" w:rsidRPr="00D521B0">
              <w:rPr>
                <w:sz w:val="24"/>
                <w:szCs w:val="24"/>
              </w:rPr>
              <w:t>oteikumu projekt</w:t>
            </w:r>
            <w:r w:rsidR="00427590" w:rsidRPr="00D521B0">
              <w:rPr>
                <w:sz w:val="24"/>
                <w:szCs w:val="24"/>
              </w:rPr>
              <w:t>u</w:t>
            </w:r>
            <w:r w:rsidR="007D0B71" w:rsidRPr="00D521B0">
              <w:rPr>
                <w:sz w:val="24"/>
                <w:szCs w:val="24"/>
              </w:rPr>
              <w:t>.</w:t>
            </w:r>
          </w:p>
        </w:tc>
      </w:tr>
      <w:tr w:rsidR="00D521B0" w:rsidRPr="00D521B0" w:rsidTr="00CB135A">
        <w:trPr>
          <w:gridAfter w:val="1"/>
          <w:wAfter w:w="139" w:type="dxa"/>
          <w:trHeight w:val="351"/>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505323" w:rsidRPr="00D521B0" w:rsidRDefault="007C2065"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4.</w:t>
            </w:r>
          </w:p>
        </w:tc>
        <w:tc>
          <w:tcPr>
            <w:tcW w:w="3619" w:type="dxa"/>
            <w:gridSpan w:val="8"/>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w:t>
            </w:r>
            <w:r w:rsidRPr="00D521B0">
              <w:rPr>
                <w:sz w:val="24"/>
                <w:szCs w:val="24"/>
              </w:rPr>
              <w:t>Cita informācija</w:t>
            </w:r>
          </w:p>
        </w:tc>
        <w:tc>
          <w:tcPr>
            <w:tcW w:w="5418" w:type="dxa"/>
            <w:gridSpan w:val="4"/>
            <w:tcBorders>
              <w:top w:val="outset" w:sz="6" w:space="0" w:color="auto"/>
              <w:left w:val="outset" w:sz="6" w:space="0" w:color="auto"/>
              <w:bottom w:val="outset" w:sz="6" w:space="0" w:color="auto"/>
              <w:right w:val="outset" w:sz="6" w:space="0" w:color="auto"/>
            </w:tcBorders>
          </w:tcPr>
          <w:p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Nav</w:t>
            </w:r>
          </w:p>
        </w:tc>
      </w:tr>
      <w:tr w:rsidR="00D521B0" w:rsidRPr="00D521B0" w:rsidTr="00CB135A">
        <w:trPr>
          <w:gridAfter w:val="1"/>
          <w:wAfter w:w="139" w:type="dxa"/>
          <w:trHeight w:val="351"/>
          <w:tblCellSpacing w:w="0" w:type="dxa"/>
        </w:trPr>
        <w:tc>
          <w:tcPr>
            <w:tcW w:w="9513" w:type="dxa"/>
            <w:gridSpan w:val="14"/>
            <w:tcBorders>
              <w:top w:val="outset" w:sz="6" w:space="0" w:color="auto"/>
              <w:left w:val="outset" w:sz="6" w:space="0" w:color="auto"/>
              <w:bottom w:val="outset" w:sz="6" w:space="0" w:color="auto"/>
              <w:right w:val="outset" w:sz="6" w:space="0" w:color="auto"/>
            </w:tcBorders>
          </w:tcPr>
          <w:p w:rsidR="006951CB" w:rsidRPr="00D521B0" w:rsidRDefault="006951CB" w:rsidP="006951CB">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VII. Tiesību akta projekta izpildes nodrošināšana un tās ietekme uz institūcijām</w:t>
            </w:r>
          </w:p>
        </w:tc>
      </w:tr>
      <w:tr w:rsidR="00D521B0" w:rsidRPr="00D521B0" w:rsidTr="00CB135A">
        <w:trPr>
          <w:gridAfter w:val="1"/>
          <w:wAfter w:w="139" w:type="dxa"/>
          <w:trHeight w:val="351"/>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619" w:type="dxa"/>
            <w:gridSpan w:val="8"/>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418"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Valsts akciju sabiedrība „Ceļu satiksmes drošības direkcija”, Latvijas Transportlīdzekļu apdrošinātāju birojs, Valsts ieņēmumu dienests, Valsts policija.</w:t>
            </w:r>
          </w:p>
        </w:tc>
      </w:tr>
      <w:tr w:rsidR="00D521B0" w:rsidRPr="00D521B0" w:rsidTr="00CB135A">
        <w:trPr>
          <w:gridAfter w:val="1"/>
          <w:wAfter w:w="139" w:type="dxa"/>
          <w:trHeight w:val="351"/>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2.</w:t>
            </w:r>
          </w:p>
        </w:tc>
        <w:tc>
          <w:tcPr>
            <w:tcW w:w="3619" w:type="dxa"/>
            <w:gridSpan w:val="8"/>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418"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1" w:firstLine="0"/>
              <w:rPr>
                <w:rFonts w:eastAsia="Times New Roman"/>
                <w:sz w:val="24"/>
                <w:szCs w:val="24"/>
                <w:lang w:eastAsia="lv-LV"/>
              </w:rPr>
            </w:pPr>
            <w:r w:rsidRPr="00D521B0">
              <w:rPr>
                <w:rFonts w:eastAsia="Times New Roman"/>
                <w:sz w:val="24"/>
                <w:szCs w:val="24"/>
                <w:lang w:eastAsia="lv-LV"/>
              </w:rPr>
              <w:t xml:space="preserve">Projekta izpilde tiks nodrošināta anotācijas </w:t>
            </w:r>
            <w:proofErr w:type="spellStart"/>
            <w:r w:rsidRPr="00D521B0">
              <w:rPr>
                <w:rFonts w:eastAsia="Times New Roman"/>
                <w:bCs/>
                <w:sz w:val="24"/>
                <w:szCs w:val="24"/>
                <w:lang w:eastAsia="lv-LV"/>
              </w:rPr>
              <w:t>VII.sadaļas</w:t>
            </w:r>
            <w:proofErr w:type="spellEnd"/>
            <w:r w:rsidRPr="00D521B0">
              <w:rPr>
                <w:rFonts w:eastAsia="Times New Roman"/>
                <w:bCs/>
                <w:sz w:val="24"/>
                <w:szCs w:val="24"/>
                <w:lang w:eastAsia="lv-LV"/>
              </w:rPr>
              <w:t xml:space="preserve"> 1.punktā minēto institūciju līdzšinējo funkciju ietvaros un institūciju cilvēkresursus neietekmēs.</w:t>
            </w:r>
          </w:p>
        </w:tc>
      </w:tr>
      <w:tr w:rsidR="00D521B0" w:rsidRPr="00D521B0" w:rsidTr="00CB135A">
        <w:trPr>
          <w:gridAfter w:val="1"/>
          <w:wAfter w:w="139" w:type="dxa"/>
          <w:trHeight w:val="351"/>
          <w:tblCellSpacing w:w="0" w:type="dxa"/>
        </w:trPr>
        <w:tc>
          <w:tcPr>
            <w:tcW w:w="476" w:type="dxa"/>
            <w:gridSpan w:val="2"/>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3.</w:t>
            </w:r>
          </w:p>
        </w:tc>
        <w:tc>
          <w:tcPr>
            <w:tcW w:w="3619" w:type="dxa"/>
            <w:gridSpan w:val="8"/>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418" w:type="dxa"/>
            <w:gridSpan w:val="4"/>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bl>
    <w:p w:rsidR="0077138F" w:rsidRPr="00D521B0" w:rsidRDefault="0077138F" w:rsidP="00994762">
      <w:pPr>
        <w:pBdr>
          <w:between w:val="single" w:sz="4" w:space="1" w:color="auto"/>
        </w:pBdr>
        <w:spacing w:line="240" w:lineRule="auto"/>
        <w:ind w:firstLine="0"/>
        <w:rPr>
          <w:rFonts w:eastAsia="Times New Roman"/>
          <w:szCs w:val="28"/>
          <w:lang w:eastAsia="lv-LV"/>
        </w:rPr>
      </w:pPr>
    </w:p>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CB135A">
        <w:rPr>
          <w:rFonts w:eastAsia="Times New Roman"/>
          <w:sz w:val="24"/>
          <w:szCs w:val="24"/>
          <w:lang w:eastAsia="lv-LV"/>
        </w:rPr>
        <w:t xml:space="preserve"> sadaļa – projekts šo jomu</w:t>
      </w:r>
      <w:r w:rsidR="003373D7" w:rsidRPr="00D521B0">
        <w:rPr>
          <w:rFonts w:eastAsia="Times New Roman"/>
          <w:sz w:val="24"/>
          <w:szCs w:val="24"/>
          <w:lang w:eastAsia="lv-LV"/>
        </w:rPr>
        <w:t xml:space="preserve"> neskar.</w:t>
      </w:r>
    </w:p>
    <w:p w:rsidR="003373D7" w:rsidRPr="00D521B0" w:rsidRDefault="003373D7" w:rsidP="0077138F">
      <w:pPr>
        <w:spacing w:line="240" w:lineRule="auto"/>
        <w:ind w:firstLine="0"/>
        <w:rPr>
          <w:rFonts w:eastAsia="Times New Roman"/>
          <w:szCs w:val="28"/>
          <w:lang w:eastAsia="lv-LV"/>
        </w:rPr>
      </w:pPr>
    </w:p>
    <w:p w:rsidR="003373D7" w:rsidRPr="00D521B0" w:rsidRDefault="003373D7" w:rsidP="00743A0F">
      <w:pPr>
        <w:spacing w:line="240" w:lineRule="auto"/>
        <w:ind w:firstLine="0"/>
        <w:rPr>
          <w:rFonts w:eastAsia="Times New Roman"/>
          <w:szCs w:val="28"/>
          <w:lang w:eastAsia="lv-LV"/>
        </w:rPr>
      </w:pPr>
    </w:p>
    <w:p w:rsidR="00743A0F" w:rsidRDefault="00772142" w:rsidP="00743A0F">
      <w:pPr>
        <w:ind w:right="-341" w:firstLine="0"/>
        <w:rPr>
          <w:sz w:val="24"/>
          <w:szCs w:val="24"/>
        </w:rPr>
      </w:pPr>
      <w:r>
        <w:rPr>
          <w:sz w:val="24"/>
          <w:szCs w:val="24"/>
        </w:rPr>
        <w:t xml:space="preserve">Satiksmes ministra </w:t>
      </w:r>
      <w:proofErr w:type="spellStart"/>
      <w:r>
        <w:rPr>
          <w:sz w:val="24"/>
          <w:szCs w:val="24"/>
        </w:rPr>
        <w:t>p.i</w:t>
      </w:r>
      <w:proofErr w:type="spellEnd"/>
      <w:r>
        <w:rPr>
          <w:sz w:val="24"/>
          <w:szCs w:val="24"/>
        </w:rPr>
        <w:t>.</w:t>
      </w:r>
    </w:p>
    <w:p w:rsidR="00D87D2E" w:rsidRPr="00D521B0" w:rsidRDefault="00743A0F" w:rsidP="00743A0F">
      <w:pPr>
        <w:ind w:right="-341" w:firstLine="0"/>
        <w:rPr>
          <w:sz w:val="24"/>
          <w:szCs w:val="24"/>
        </w:rPr>
      </w:pPr>
      <w:r>
        <w:rPr>
          <w:sz w:val="24"/>
          <w:szCs w:val="24"/>
        </w:rPr>
        <w:t xml:space="preserve">labklājības ministrs </w:t>
      </w:r>
      <w:r w:rsidR="00772142">
        <w:rPr>
          <w:sz w:val="24"/>
          <w:szCs w:val="24"/>
        </w:rPr>
        <w:tab/>
      </w:r>
      <w:r w:rsidR="00772142">
        <w:rPr>
          <w:sz w:val="24"/>
          <w:szCs w:val="24"/>
        </w:rPr>
        <w:tab/>
      </w:r>
      <w:r w:rsidR="00772142">
        <w:rPr>
          <w:sz w:val="24"/>
          <w:szCs w:val="24"/>
        </w:rPr>
        <w:tab/>
      </w:r>
      <w:r w:rsidR="00772142">
        <w:rPr>
          <w:sz w:val="24"/>
          <w:szCs w:val="24"/>
        </w:rPr>
        <w:tab/>
      </w:r>
      <w:r w:rsidR="00772142">
        <w:rPr>
          <w:sz w:val="24"/>
          <w:szCs w:val="24"/>
        </w:rPr>
        <w:tab/>
      </w:r>
      <w:r w:rsidR="00772142">
        <w:rPr>
          <w:sz w:val="24"/>
          <w:szCs w:val="24"/>
        </w:rPr>
        <w:tab/>
      </w:r>
      <w:r w:rsidR="00772142">
        <w:rPr>
          <w:sz w:val="24"/>
          <w:szCs w:val="24"/>
        </w:rPr>
        <w:tab/>
      </w:r>
      <w:r w:rsidR="00772142">
        <w:rPr>
          <w:sz w:val="24"/>
          <w:szCs w:val="24"/>
        </w:rPr>
        <w:tab/>
      </w:r>
      <w:r>
        <w:rPr>
          <w:sz w:val="24"/>
          <w:szCs w:val="24"/>
        </w:rPr>
        <w:tab/>
      </w:r>
      <w:r w:rsidR="00C56AB6">
        <w:rPr>
          <w:sz w:val="24"/>
          <w:szCs w:val="24"/>
        </w:rPr>
        <w:t>U</w:t>
      </w:r>
      <w:r w:rsidR="00D87D2E" w:rsidRPr="00D521B0">
        <w:rPr>
          <w:sz w:val="24"/>
          <w:szCs w:val="24"/>
        </w:rPr>
        <w:t>.</w:t>
      </w:r>
      <w:r w:rsidR="00C56AB6">
        <w:rPr>
          <w:sz w:val="24"/>
          <w:szCs w:val="24"/>
        </w:rPr>
        <w:t xml:space="preserve"> </w:t>
      </w:r>
      <w:proofErr w:type="spellStart"/>
      <w:r w:rsidR="00C56AB6">
        <w:rPr>
          <w:sz w:val="24"/>
          <w:szCs w:val="24"/>
        </w:rPr>
        <w:t>Augulis</w:t>
      </w:r>
      <w:proofErr w:type="spellEnd"/>
    </w:p>
    <w:p w:rsidR="005F6670" w:rsidRDefault="005F6670" w:rsidP="00D87D2E">
      <w:pPr>
        <w:spacing w:before="58" w:after="58"/>
        <w:ind w:right="-341" w:firstLine="709"/>
        <w:rPr>
          <w:sz w:val="24"/>
          <w:szCs w:val="24"/>
        </w:rPr>
      </w:pPr>
    </w:p>
    <w:p w:rsidR="00E85682" w:rsidRPr="00D521B0" w:rsidRDefault="00E85682" w:rsidP="00D87D2E">
      <w:pPr>
        <w:spacing w:before="58" w:after="58"/>
        <w:ind w:right="-341" w:firstLine="709"/>
        <w:rPr>
          <w:sz w:val="24"/>
          <w:szCs w:val="24"/>
        </w:rPr>
      </w:pPr>
    </w:p>
    <w:p w:rsidR="00BF1B85" w:rsidRPr="00D521B0" w:rsidRDefault="005F6670" w:rsidP="005F6670">
      <w:pPr>
        <w:ind w:right="-516" w:firstLine="0"/>
        <w:rPr>
          <w:sz w:val="24"/>
          <w:szCs w:val="24"/>
        </w:rPr>
      </w:pPr>
      <w:r w:rsidRPr="00D521B0">
        <w:rPr>
          <w:sz w:val="24"/>
          <w:szCs w:val="24"/>
        </w:rPr>
        <w:t xml:space="preserve">Vīza: </w:t>
      </w:r>
      <w:r w:rsidR="00EA1D5C">
        <w:rPr>
          <w:sz w:val="24"/>
          <w:szCs w:val="24"/>
        </w:rPr>
        <w:t>v</w:t>
      </w:r>
      <w:r w:rsidR="00EA1D5C" w:rsidRPr="00D521B0">
        <w:rPr>
          <w:sz w:val="24"/>
          <w:szCs w:val="24"/>
        </w:rPr>
        <w:t xml:space="preserve">alsts </w:t>
      </w:r>
      <w:r w:rsidRPr="00D521B0">
        <w:rPr>
          <w:sz w:val="24"/>
          <w:szCs w:val="24"/>
        </w:rPr>
        <w:t>sekretār</w:t>
      </w:r>
      <w:r w:rsidR="00FB66F1" w:rsidRPr="00D521B0">
        <w:rPr>
          <w:sz w:val="24"/>
          <w:szCs w:val="24"/>
        </w:rPr>
        <w:t>s</w:t>
      </w:r>
      <w:r w:rsidR="00FB66F1" w:rsidRPr="00D521B0">
        <w:rPr>
          <w:sz w:val="24"/>
          <w:szCs w:val="24"/>
        </w:rPr>
        <w:tab/>
      </w:r>
      <w:r w:rsidR="00FB66F1" w:rsidRPr="00D521B0">
        <w:rPr>
          <w:sz w:val="24"/>
          <w:szCs w:val="24"/>
        </w:rPr>
        <w:tab/>
      </w:r>
      <w:r w:rsidRPr="00D521B0">
        <w:rPr>
          <w:sz w:val="24"/>
          <w:szCs w:val="24"/>
        </w:rPr>
        <w:tab/>
      </w:r>
      <w:r w:rsidRPr="00D521B0">
        <w:rPr>
          <w:sz w:val="24"/>
          <w:szCs w:val="24"/>
        </w:rPr>
        <w:tab/>
      </w:r>
      <w:r w:rsidRPr="00D521B0">
        <w:rPr>
          <w:sz w:val="24"/>
          <w:szCs w:val="24"/>
        </w:rPr>
        <w:tab/>
      </w:r>
      <w:r w:rsidRPr="00D521B0">
        <w:rPr>
          <w:sz w:val="24"/>
          <w:szCs w:val="24"/>
        </w:rPr>
        <w:tab/>
      </w:r>
      <w:r w:rsidRPr="00D521B0">
        <w:rPr>
          <w:sz w:val="24"/>
          <w:szCs w:val="24"/>
        </w:rPr>
        <w:tab/>
      </w:r>
      <w:r w:rsidRPr="00D521B0">
        <w:rPr>
          <w:sz w:val="24"/>
          <w:szCs w:val="24"/>
        </w:rPr>
        <w:tab/>
      </w:r>
      <w:r w:rsidRPr="00D521B0">
        <w:rPr>
          <w:sz w:val="24"/>
          <w:szCs w:val="24"/>
        </w:rPr>
        <w:tab/>
      </w:r>
      <w:r w:rsidR="00FB66F1" w:rsidRPr="00D521B0">
        <w:rPr>
          <w:sz w:val="24"/>
          <w:szCs w:val="24"/>
        </w:rPr>
        <w:t>K.Ozoliņš</w:t>
      </w:r>
    </w:p>
    <w:p w:rsidR="0077138F" w:rsidRPr="00D521B0" w:rsidRDefault="0077138F" w:rsidP="00BF1B85">
      <w:pPr>
        <w:pStyle w:val="Header"/>
        <w:ind w:firstLine="0"/>
        <w:rPr>
          <w:sz w:val="22"/>
          <w:lang w:val="lv-LV"/>
        </w:rPr>
      </w:pPr>
    </w:p>
    <w:p w:rsidR="005F6670" w:rsidRPr="00D521B0" w:rsidRDefault="005F6670" w:rsidP="00BF1B85">
      <w:pPr>
        <w:pStyle w:val="Header"/>
        <w:ind w:firstLine="0"/>
        <w:rPr>
          <w:sz w:val="22"/>
          <w:lang w:val="lv-LV"/>
        </w:rPr>
      </w:pPr>
    </w:p>
    <w:p w:rsidR="00BF1B85" w:rsidRPr="00D521B0" w:rsidRDefault="00E85682" w:rsidP="00BF1B85">
      <w:pPr>
        <w:spacing w:line="240" w:lineRule="auto"/>
        <w:ind w:firstLine="0"/>
        <w:rPr>
          <w:sz w:val="20"/>
          <w:szCs w:val="20"/>
        </w:rPr>
      </w:pPr>
      <w:r>
        <w:rPr>
          <w:sz w:val="20"/>
          <w:szCs w:val="20"/>
        </w:rPr>
        <w:t>09</w:t>
      </w:r>
      <w:r w:rsidR="00553F4A" w:rsidRPr="00D521B0">
        <w:rPr>
          <w:sz w:val="20"/>
          <w:szCs w:val="20"/>
        </w:rPr>
        <w:t>.1</w:t>
      </w:r>
      <w:r w:rsidR="0042304A">
        <w:rPr>
          <w:sz w:val="20"/>
          <w:szCs w:val="20"/>
        </w:rPr>
        <w:t>2</w:t>
      </w:r>
      <w:r w:rsidR="009111D1" w:rsidRPr="00D521B0">
        <w:rPr>
          <w:sz w:val="20"/>
          <w:szCs w:val="20"/>
        </w:rPr>
        <w:t>.2015</w:t>
      </w:r>
      <w:r w:rsidR="00BF1B85" w:rsidRPr="00D521B0">
        <w:rPr>
          <w:sz w:val="20"/>
          <w:szCs w:val="20"/>
        </w:rPr>
        <w:t xml:space="preserve"> 1</w:t>
      </w:r>
      <w:r w:rsidR="0042304A">
        <w:rPr>
          <w:sz w:val="20"/>
          <w:szCs w:val="20"/>
        </w:rPr>
        <w:t>6</w:t>
      </w:r>
      <w:r w:rsidR="00C81BC4" w:rsidRPr="00D521B0">
        <w:rPr>
          <w:sz w:val="20"/>
          <w:szCs w:val="20"/>
        </w:rPr>
        <w:t>:</w:t>
      </w:r>
      <w:r w:rsidR="0042304A">
        <w:rPr>
          <w:sz w:val="20"/>
          <w:szCs w:val="20"/>
        </w:rPr>
        <w:t>48</w:t>
      </w:r>
    </w:p>
    <w:p w:rsidR="00BF1B85" w:rsidRPr="00D521B0" w:rsidRDefault="00743A0F" w:rsidP="00BF1B85">
      <w:pPr>
        <w:spacing w:line="240" w:lineRule="auto"/>
        <w:ind w:firstLine="0"/>
        <w:rPr>
          <w:sz w:val="20"/>
          <w:szCs w:val="20"/>
        </w:rPr>
      </w:pPr>
      <w:r>
        <w:rPr>
          <w:sz w:val="20"/>
          <w:szCs w:val="20"/>
        </w:rPr>
        <w:t>2285</w:t>
      </w:r>
    </w:p>
    <w:p w:rsidR="00BF1B85" w:rsidRPr="00D521B0" w:rsidRDefault="00BF1B85" w:rsidP="00BF1B85">
      <w:pPr>
        <w:spacing w:line="240" w:lineRule="auto"/>
        <w:ind w:firstLine="0"/>
        <w:rPr>
          <w:sz w:val="20"/>
          <w:szCs w:val="20"/>
        </w:rPr>
      </w:pPr>
      <w:r w:rsidRPr="00D521B0">
        <w:rPr>
          <w:sz w:val="20"/>
          <w:szCs w:val="20"/>
        </w:rPr>
        <w:t>Edgars Ošenieks</w:t>
      </w:r>
    </w:p>
    <w:p w:rsidR="00BF1B85" w:rsidRPr="00D521B0" w:rsidRDefault="00BF1B85" w:rsidP="00BF1B85">
      <w:pPr>
        <w:spacing w:line="240" w:lineRule="auto"/>
        <w:ind w:firstLine="0"/>
        <w:rPr>
          <w:sz w:val="20"/>
          <w:szCs w:val="20"/>
        </w:rPr>
      </w:pPr>
      <w:r w:rsidRPr="00D521B0">
        <w:rPr>
          <w:sz w:val="20"/>
          <w:szCs w:val="20"/>
        </w:rPr>
        <w:t>67025723</w:t>
      </w:r>
    </w:p>
    <w:p w:rsidR="00281070" w:rsidRPr="00D521B0" w:rsidRDefault="00BF1B85" w:rsidP="00FB66F1">
      <w:pPr>
        <w:spacing w:line="240" w:lineRule="auto"/>
        <w:ind w:firstLine="0"/>
      </w:pPr>
      <w:r w:rsidRPr="00D521B0">
        <w:rPr>
          <w:sz w:val="20"/>
          <w:szCs w:val="20"/>
        </w:rPr>
        <w:t>Edgars.Osenieks@csdd.gov.lv</w:t>
      </w:r>
    </w:p>
    <w:sectPr w:rsidR="00281070" w:rsidRPr="00D521B0" w:rsidSect="00C56AB6">
      <w:headerReference w:type="default" r:id="rId10"/>
      <w:footerReference w:type="default" r:id="rId11"/>
      <w:footerReference w:type="first" r:id="rId12"/>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5B" w:rsidRDefault="00702F5B">
      <w:pPr>
        <w:spacing w:line="240" w:lineRule="auto"/>
      </w:pPr>
      <w:r>
        <w:separator/>
      </w:r>
    </w:p>
  </w:endnote>
  <w:endnote w:type="continuationSeparator" w:id="0">
    <w:p w:rsidR="00702F5B" w:rsidRDefault="00702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Pr="0077138F" w:rsidRDefault="00E85682" w:rsidP="0077138F">
    <w:pPr>
      <w:tabs>
        <w:tab w:val="center" w:pos="4153"/>
        <w:tab w:val="right" w:pos="8306"/>
      </w:tabs>
      <w:ind w:firstLine="0"/>
      <w:rPr>
        <w:lang w:val="x-none"/>
      </w:rPr>
    </w:pPr>
    <w:r>
      <w:rPr>
        <w:sz w:val="20"/>
        <w:szCs w:val="20"/>
      </w:rPr>
      <w:t>SAMAnot_0912</w:t>
    </w:r>
    <w:r w:rsidR="004A0803">
      <w:rPr>
        <w:sz w:val="20"/>
        <w:szCs w:val="20"/>
      </w:rPr>
      <w:t>15_reg</w:t>
    </w:r>
    <w:r w:rsidR="004A0803" w:rsidRPr="00281070">
      <w:rPr>
        <w:sz w:val="20"/>
        <w:szCs w:val="20"/>
      </w:rPr>
      <w:t>not; Ministru kabineta noteikumu projekta “Grozījumi Ministru kabineta 20</w:t>
    </w:r>
    <w:r w:rsidR="004A0803">
      <w:rPr>
        <w:sz w:val="20"/>
        <w:szCs w:val="20"/>
      </w:rPr>
      <w:t>10</w:t>
    </w:r>
    <w:r w:rsidR="004A0803" w:rsidRPr="00281070">
      <w:rPr>
        <w:sz w:val="20"/>
        <w:szCs w:val="20"/>
      </w:rPr>
      <w:t xml:space="preserve">.gada </w:t>
    </w:r>
    <w:r w:rsidR="004A0803">
      <w:rPr>
        <w:sz w:val="20"/>
        <w:szCs w:val="20"/>
      </w:rPr>
      <w:t>30</w:t>
    </w:r>
    <w:r w:rsidR="004A0803" w:rsidRPr="00281070">
      <w:rPr>
        <w:sz w:val="20"/>
        <w:szCs w:val="20"/>
      </w:rPr>
      <w:t>.</w:t>
    </w:r>
    <w:r w:rsidR="004A0803">
      <w:rPr>
        <w:sz w:val="20"/>
        <w:szCs w:val="20"/>
      </w:rPr>
      <w:t>nov</w:t>
    </w:r>
    <w:r w:rsidR="004A0803" w:rsidRPr="00281070">
      <w:rPr>
        <w:sz w:val="20"/>
        <w:szCs w:val="20"/>
      </w:rPr>
      <w:t>embra noteikumos Nr.</w:t>
    </w:r>
    <w:r w:rsidR="004A0803">
      <w:rPr>
        <w:sz w:val="20"/>
        <w:szCs w:val="20"/>
      </w:rPr>
      <w:t>1080</w:t>
    </w:r>
    <w:r w:rsidR="004A0803" w:rsidRPr="00281070">
      <w:rPr>
        <w:sz w:val="20"/>
        <w:szCs w:val="20"/>
      </w:rPr>
      <w:t xml:space="preserve"> „Transportlīdzekļu </w:t>
    </w:r>
    <w:r w:rsidR="004A0803">
      <w:rPr>
        <w:sz w:val="20"/>
        <w:szCs w:val="20"/>
      </w:rPr>
      <w:t>reģistrācij</w:t>
    </w:r>
    <w:r w:rsidR="004A0803" w:rsidRPr="00281070">
      <w:rPr>
        <w:sz w:val="20"/>
        <w:szCs w:val="20"/>
      </w:rPr>
      <w:t>as noteikumi”” sākotnējās ietekmes novērtējuma ziņojums (anotācija)</w:t>
    </w:r>
  </w:p>
  <w:p w:rsidR="004A0803" w:rsidRDefault="004A0803"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Default="00E85682" w:rsidP="00E85682">
    <w:pPr>
      <w:pStyle w:val="Footer"/>
      <w:spacing w:line="240" w:lineRule="auto"/>
      <w:ind w:firstLine="0"/>
    </w:pPr>
    <w:r>
      <w:rPr>
        <w:sz w:val="20"/>
        <w:szCs w:val="20"/>
        <w:lang w:val="lv-LV"/>
      </w:rPr>
      <w:t>SAMAnot_0912</w:t>
    </w:r>
    <w:r w:rsidR="004A0803">
      <w:rPr>
        <w:sz w:val="20"/>
        <w:szCs w:val="20"/>
        <w:lang w:val="lv-LV"/>
      </w:rPr>
      <w:t>15_reg</w:t>
    </w:r>
    <w:r w:rsidR="004A0803" w:rsidRPr="00281070">
      <w:rPr>
        <w:sz w:val="20"/>
        <w:szCs w:val="20"/>
        <w:lang w:val="lv-LV"/>
      </w:rPr>
      <w:t>not; Ministru kabineta noteikumu projekta “Grozījumi Ministru kabineta 20</w:t>
    </w:r>
    <w:r w:rsidR="004A0803">
      <w:rPr>
        <w:sz w:val="20"/>
        <w:szCs w:val="20"/>
        <w:lang w:val="lv-LV"/>
      </w:rPr>
      <w:t>10</w:t>
    </w:r>
    <w:r w:rsidR="004A0803" w:rsidRPr="00281070">
      <w:rPr>
        <w:sz w:val="20"/>
        <w:szCs w:val="20"/>
        <w:lang w:val="lv-LV"/>
      </w:rPr>
      <w:t xml:space="preserve">.gada </w:t>
    </w:r>
    <w:r w:rsidR="004A0803">
      <w:rPr>
        <w:sz w:val="20"/>
        <w:szCs w:val="20"/>
        <w:lang w:val="lv-LV"/>
      </w:rPr>
      <w:t>30</w:t>
    </w:r>
    <w:r w:rsidR="004A0803" w:rsidRPr="00281070">
      <w:rPr>
        <w:sz w:val="20"/>
        <w:szCs w:val="20"/>
        <w:lang w:val="lv-LV"/>
      </w:rPr>
      <w:t>.</w:t>
    </w:r>
    <w:r w:rsidR="004A0803">
      <w:rPr>
        <w:sz w:val="20"/>
        <w:szCs w:val="20"/>
        <w:lang w:val="lv-LV"/>
      </w:rPr>
      <w:t>nov</w:t>
    </w:r>
    <w:r w:rsidR="004A0803" w:rsidRPr="00281070">
      <w:rPr>
        <w:sz w:val="20"/>
        <w:szCs w:val="20"/>
        <w:lang w:val="lv-LV"/>
      </w:rPr>
      <w:t>embra noteikumos Nr.</w:t>
    </w:r>
    <w:r w:rsidR="004A0803">
      <w:rPr>
        <w:sz w:val="20"/>
        <w:szCs w:val="20"/>
        <w:lang w:val="lv-LV"/>
      </w:rPr>
      <w:t>1080</w:t>
    </w:r>
    <w:r w:rsidR="004A0803" w:rsidRPr="00281070">
      <w:rPr>
        <w:sz w:val="20"/>
        <w:szCs w:val="20"/>
        <w:lang w:val="lv-LV"/>
      </w:rPr>
      <w:t xml:space="preserve"> „Transportlīdzekļu </w:t>
    </w:r>
    <w:r w:rsidR="004A0803">
      <w:rPr>
        <w:sz w:val="20"/>
        <w:szCs w:val="20"/>
        <w:lang w:val="lv-LV"/>
      </w:rPr>
      <w:t>reģistrācij</w:t>
    </w:r>
    <w:r w:rsidR="004A0803" w:rsidRPr="00281070">
      <w:rPr>
        <w:sz w:val="20"/>
        <w:szCs w:val="20"/>
        <w:lang w:val="lv-LV"/>
      </w:rPr>
      <w:t>as noteikumi”” sākotnējās ietekmes novērtējuma ziņojums (anotācija)</w:t>
    </w:r>
  </w:p>
  <w:p w:rsidR="00E85682" w:rsidRDefault="00E856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5B" w:rsidRDefault="00702F5B">
      <w:pPr>
        <w:spacing w:line="240" w:lineRule="auto"/>
      </w:pPr>
      <w:r>
        <w:separator/>
      </w:r>
    </w:p>
  </w:footnote>
  <w:footnote w:type="continuationSeparator" w:id="0">
    <w:p w:rsidR="00702F5B" w:rsidRDefault="00702F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Default="004A0803" w:rsidP="009F0183">
    <w:pPr>
      <w:pStyle w:val="Header"/>
      <w:ind w:firstLine="0"/>
      <w:jc w:val="center"/>
    </w:pPr>
    <w:r>
      <w:fldChar w:fldCharType="begin"/>
    </w:r>
    <w:r>
      <w:instrText xml:space="preserve"> PAGE   \* MERGEFORMAT </w:instrText>
    </w:r>
    <w:r>
      <w:fldChar w:fldCharType="separate"/>
    </w:r>
    <w:r w:rsidR="00394503">
      <w:rPr>
        <w:noProof/>
      </w:rPr>
      <w:t>9</w:t>
    </w:r>
    <w:r>
      <w:fldChar w:fldCharType="end"/>
    </w:r>
  </w:p>
  <w:p w:rsidR="004A0803" w:rsidRDefault="004A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357BE"/>
    <w:rsid w:val="00042CBD"/>
    <w:rsid w:val="00057FA2"/>
    <w:rsid w:val="00061DCB"/>
    <w:rsid w:val="00062AC4"/>
    <w:rsid w:val="00065597"/>
    <w:rsid w:val="000A445E"/>
    <w:rsid w:val="000A6878"/>
    <w:rsid w:val="000C4C54"/>
    <w:rsid w:val="000D7548"/>
    <w:rsid w:val="000E384E"/>
    <w:rsid w:val="000E6D08"/>
    <w:rsid w:val="0010204A"/>
    <w:rsid w:val="00120A37"/>
    <w:rsid w:val="00126C4C"/>
    <w:rsid w:val="00160DB4"/>
    <w:rsid w:val="001745A7"/>
    <w:rsid w:val="00180736"/>
    <w:rsid w:val="001926F0"/>
    <w:rsid w:val="001A0521"/>
    <w:rsid w:val="001A6C87"/>
    <w:rsid w:val="001D3294"/>
    <w:rsid w:val="00205C2C"/>
    <w:rsid w:val="00206644"/>
    <w:rsid w:val="00213407"/>
    <w:rsid w:val="002171D5"/>
    <w:rsid w:val="00233F4B"/>
    <w:rsid w:val="00234ABE"/>
    <w:rsid w:val="0023776E"/>
    <w:rsid w:val="00281070"/>
    <w:rsid w:val="00294F02"/>
    <w:rsid w:val="002D32E1"/>
    <w:rsid w:val="00314A78"/>
    <w:rsid w:val="003236B0"/>
    <w:rsid w:val="00325C8C"/>
    <w:rsid w:val="003373D7"/>
    <w:rsid w:val="003375B1"/>
    <w:rsid w:val="0034013D"/>
    <w:rsid w:val="003576C3"/>
    <w:rsid w:val="00382AC4"/>
    <w:rsid w:val="00394503"/>
    <w:rsid w:val="003B3FCD"/>
    <w:rsid w:val="003C1081"/>
    <w:rsid w:val="003D6E53"/>
    <w:rsid w:val="003F5FBD"/>
    <w:rsid w:val="003F6EC1"/>
    <w:rsid w:val="0040323E"/>
    <w:rsid w:val="0042304A"/>
    <w:rsid w:val="00427590"/>
    <w:rsid w:val="00440F04"/>
    <w:rsid w:val="00450330"/>
    <w:rsid w:val="00452AD8"/>
    <w:rsid w:val="00477756"/>
    <w:rsid w:val="00493641"/>
    <w:rsid w:val="00496CAA"/>
    <w:rsid w:val="004A0803"/>
    <w:rsid w:val="004D4F2E"/>
    <w:rsid w:val="004E6D57"/>
    <w:rsid w:val="005036C4"/>
    <w:rsid w:val="00505323"/>
    <w:rsid w:val="00515704"/>
    <w:rsid w:val="0053418C"/>
    <w:rsid w:val="00537673"/>
    <w:rsid w:val="00553F4A"/>
    <w:rsid w:val="00573443"/>
    <w:rsid w:val="00583189"/>
    <w:rsid w:val="0059046E"/>
    <w:rsid w:val="005924F2"/>
    <w:rsid w:val="005D17D2"/>
    <w:rsid w:val="005F6670"/>
    <w:rsid w:val="006147E3"/>
    <w:rsid w:val="00624909"/>
    <w:rsid w:val="00642717"/>
    <w:rsid w:val="006466C7"/>
    <w:rsid w:val="00665FBA"/>
    <w:rsid w:val="00682737"/>
    <w:rsid w:val="00687344"/>
    <w:rsid w:val="00691184"/>
    <w:rsid w:val="00691D00"/>
    <w:rsid w:val="00692791"/>
    <w:rsid w:val="006951CB"/>
    <w:rsid w:val="006A6D37"/>
    <w:rsid w:val="006C4580"/>
    <w:rsid w:val="006E06E3"/>
    <w:rsid w:val="006E38B5"/>
    <w:rsid w:val="006E47BA"/>
    <w:rsid w:val="00700EF1"/>
    <w:rsid w:val="00702F5B"/>
    <w:rsid w:val="007040D8"/>
    <w:rsid w:val="00706ABE"/>
    <w:rsid w:val="007172BA"/>
    <w:rsid w:val="007347AE"/>
    <w:rsid w:val="00742C40"/>
    <w:rsid w:val="00743A0F"/>
    <w:rsid w:val="00763372"/>
    <w:rsid w:val="0077138F"/>
    <w:rsid w:val="007719E4"/>
    <w:rsid w:val="00772142"/>
    <w:rsid w:val="007814DE"/>
    <w:rsid w:val="007836E7"/>
    <w:rsid w:val="00785FB2"/>
    <w:rsid w:val="0079035A"/>
    <w:rsid w:val="007931AC"/>
    <w:rsid w:val="007C2065"/>
    <w:rsid w:val="007C57A4"/>
    <w:rsid w:val="007D0B71"/>
    <w:rsid w:val="00820D80"/>
    <w:rsid w:val="008666E4"/>
    <w:rsid w:val="00884C8C"/>
    <w:rsid w:val="008A3CFA"/>
    <w:rsid w:val="008C232F"/>
    <w:rsid w:val="008E78FD"/>
    <w:rsid w:val="009111D1"/>
    <w:rsid w:val="0094766E"/>
    <w:rsid w:val="0095094F"/>
    <w:rsid w:val="009676FF"/>
    <w:rsid w:val="00973E8A"/>
    <w:rsid w:val="00977481"/>
    <w:rsid w:val="00994762"/>
    <w:rsid w:val="00997156"/>
    <w:rsid w:val="009977D7"/>
    <w:rsid w:val="009A3274"/>
    <w:rsid w:val="009A3CF9"/>
    <w:rsid w:val="009A426C"/>
    <w:rsid w:val="009C295B"/>
    <w:rsid w:val="009E4FE9"/>
    <w:rsid w:val="009F0183"/>
    <w:rsid w:val="00A176F1"/>
    <w:rsid w:val="00A215E7"/>
    <w:rsid w:val="00A235B5"/>
    <w:rsid w:val="00A2617A"/>
    <w:rsid w:val="00A2667C"/>
    <w:rsid w:val="00A47454"/>
    <w:rsid w:val="00A71C2B"/>
    <w:rsid w:val="00A81D9B"/>
    <w:rsid w:val="00A90019"/>
    <w:rsid w:val="00A96C87"/>
    <w:rsid w:val="00AA42CB"/>
    <w:rsid w:val="00AE1869"/>
    <w:rsid w:val="00AF1857"/>
    <w:rsid w:val="00AF7786"/>
    <w:rsid w:val="00B24250"/>
    <w:rsid w:val="00B32EED"/>
    <w:rsid w:val="00B37009"/>
    <w:rsid w:val="00B672F4"/>
    <w:rsid w:val="00B704E7"/>
    <w:rsid w:val="00B71182"/>
    <w:rsid w:val="00BA60D6"/>
    <w:rsid w:val="00BB79C7"/>
    <w:rsid w:val="00BD5B7A"/>
    <w:rsid w:val="00BF1B85"/>
    <w:rsid w:val="00C31818"/>
    <w:rsid w:val="00C56AB6"/>
    <w:rsid w:val="00C80971"/>
    <w:rsid w:val="00C81BC4"/>
    <w:rsid w:val="00C90696"/>
    <w:rsid w:val="00C912D0"/>
    <w:rsid w:val="00CB135A"/>
    <w:rsid w:val="00CB2D16"/>
    <w:rsid w:val="00CC3C15"/>
    <w:rsid w:val="00D05D98"/>
    <w:rsid w:val="00D14393"/>
    <w:rsid w:val="00D27C1C"/>
    <w:rsid w:val="00D334EB"/>
    <w:rsid w:val="00D37FB5"/>
    <w:rsid w:val="00D4560C"/>
    <w:rsid w:val="00D46612"/>
    <w:rsid w:val="00D521B0"/>
    <w:rsid w:val="00D53693"/>
    <w:rsid w:val="00D55FE8"/>
    <w:rsid w:val="00D707FC"/>
    <w:rsid w:val="00D81B14"/>
    <w:rsid w:val="00D87D2E"/>
    <w:rsid w:val="00D93F71"/>
    <w:rsid w:val="00DA66A7"/>
    <w:rsid w:val="00DA73A7"/>
    <w:rsid w:val="00DC4A8C"/>
    <w:rsid w:val="00DD7F3B"/>
    <w:rsid w:val="00DE5DF0"/>
    <w:rsid w:val="00DF5236"/>
    <w:rsid w:val="00DF5C49"/>
    <w:rsid w:val="00DF5F4F"/>
    <w:rsid w:val="00E04958"/>
    <w:rsid w:val="00E17C25"/>
    <w:rsid w:val="00E321F9"/>
    <w:rsid w:val="00E749E8"/>
    <w:rsid w:val="00E85682"/>
    <w:rsid w:val="00E95E0E"/>
    <w:rsid w:val="00E966E7"/>
    <w:rsid w:val="00EA1D5C"/>
    <w:rsid w:val="00EB6441"/>
    <w:rsid w:val="00ED5AD9"/>
    <w:rsid w:val="00EE57CA"/>
    <w:rsid w:val="00F07E95"/>
    <w:rsid w:val="00F356C7"/>
    <w:rsid w:val="00F45EC7"/>
    <w:rsid w:val="00F46BF8"/>
    <w:rsid w:val="00F53691"/>
    <w:rsid w:val="00F56F5B"/>
    <w:rsid w:val="00F70FC4"/>
    <w:rsid w:val="00F72986"/>
    <w:rsid w:val="00F75F5C"/>
    <w:rsid w:val="00F814F4"/>
    <w:rsid w:val="00FB09FC"/>
    <w:rsid w:val="00FB66F1"/>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CommentReference">
    <w:name w:val="annotation reference"/>
    <w:basedOn w:val="DefaultParagraphFont"/>
    <w:uiPriority w:val="99"/>
    <w:semiHidden/>
    <w:unhideWhenUsed/>
    <w:rsid w:val="00EA1D5C"/>
    <w:rPr>
      <w:sz w:val="16"/>
      <w:szCs w:val="16"/>
    </w:rPr>
  </w:style>
  <w:style w:type="paragraph" w:styleId="CommentText">
    <w:name w:val="annotation text"/>
    <w:basedOn w:val="Normal"/>
    <w:link w:val="CommentTextChar"/>
    <w:uiPriority w:val="99"/>
    <w:semiHidden/>
    <w:unhideWhenUsed/>
    <w:rsid w:val="00EA1D5C"/>
    <w:pPr>
      <w:spacing w:line="240" w:lineRule="auto"/>
    </w:pPr>
    <w:rPr>
      <w:sz w:val="20"/>
      <w:szCs w:val="20"/>
    </w:rPr>
  </w:style>
  <w:style w:type="character" w:customStyle="1" w:styleId="CommentTextChar">
    <w:name w:val="Comment Text Char"/>
    <w:basedOn w:val="DefaultParagraphFont"/>
    <w:link w:val="CommentText"/>
    <w:uiPriority w:val="99"/>
    <w:semiHidden/>
    <w:rsid w:val="00EA1D5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1D5C"/>
    <w:rPr>
      <w:b/>
      <w:bCs/>
    </w:rPr>
  </w:style>
  <w:style w:type="character" w:customStyle="1" w:styleId="CommentSubjectChar">
    <w:name w:val="Comment Subject Char"/>
    <w:basedOn w:val="CommentTextChar"/>
    <w:link w:val="CommentSubject"/>
    <w:uiPriority w:val="99"/>
    <w:semiHidden/>
    <w:rsid w:val="00EA1D5C"/>
    <w:rPr>
      <w:rFonts w:ascii="Times New Roman" w:hAnsi="Times New Roman"/>
      <w:b/>
      <w:bCs/>
      <w:lang w:eastAsia="en-US"/>
    </w:rPr>
  </w:style>
  <w:style w:type="paragraph" w:styleId="BalloonText">
    <w:name w:val="Balloon Text"/>
    <w:basedOn w:val="Normal"/>
    <w:link w:val="BalloonTextChar"/>
    <w:uiPriority w:val="99"/>
    <w:semiHidden/>
    <w:unhideWhenUsed/>
    <w:rsid w:val="00EA1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CommentReference">
    <w:name w:val="annotation reference"/>
    <w:basedOn w:val="DefaultParagraphFont"/>
    <w:uiPriority w:val="99"/>
    <w:semiHidden/>
    <w:unhideWhenUsed/>
    <w:rsid w:val="00EA1D5C"/>
    <w:rPr>
      <w:sz w:val="16"/>
      <w:szCs w:val="16"/>
    </w:rPr>
  </w:style>
  <w:style w:type="paragraph" w:styleId="CommentText">
    <w:name w:val="annotation text"/>
    <w:basedOn w:val="Normal"/>
    <w:link w:val="CommentTextChar"/>
    <w:uiPriority w:val="99"/>
    <w:semiHidden/>
    <w:unhideWhenUsed/>
    <w:rsid w:val="00EA1D5C"/>
    <w:pPr>
      <w:spacing w:line="240" w:lineRule="auto"/>
    </w:pPr>
    <w:rPr>
      <w:sz w:val="20"/>
      <w:szCs w:val="20"/>
    </w:rPr>
  </w:style>
  <w:style w:type="character" w:customStyle="1" w:styleId="CommentTextChar">
    <w:name w:val="Comment Text Char"/>
    <w:basedOn w:val="DefaultParagraphFont"/>
    <w:link w:val="CommentText"/>
    <w:uiPriority w:val="99"/>
    <w:semiHidden/>
    <w:rsid w:val="00EA1D5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1D5C"/>
    <w:rPr>
      <w:b/>
      <w:bCs/>
    </w:rPr>
  </w:style>
  <w:style w:type="character" w:customStyle="1" w:styleId="CommentSubjectChar">
    <w:name w:val="Comment Subject Char"/>
    <w:basedOn w:val="CommentTextChar"/>
    <w:link w:val="CommentSubject"/>
    <w:uiPriority w:val="99"/>
    <w:semiHidden/>
    <w:rsid w:val="00EA1D5C"/>
    <w:rPr>
      <w:rFonts w:ascii="Times New Roman" w:hAnsi="Times New Roman"/>
      <w:b/>
      <w:bCs/>
      <w:lang w:eastAsia="en-US"/>
    </w:rPr>
  </w:style>
  <w:style w:type="paragraph" w:styleId="BalloonText">
    <w:name w:val="Balloon Text"/>
    <w:basedOn w:val="Normal"/>
    <w:link w:val="BalloonTextChar"/>
    <w:uiPriority w:val="99"/>
    <w:semiHidden/>
    <w:unhideWhenUsed/>
    <w:rsid w:val="00EA1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lv/naiser/loginWindow.cfm?ltype=1&amp;rnd=4EC74894A5E4E2AFBC961AC15F9A4EE5B718D1BDAB8C5F8ABEB0A9BDAB5C9A3744F911CD96488697602C5FDC2054A7C9175DCC&amp;lk=http://pro.nais.lv/naiser/esdoc.cfm?esid=31999L0037&amp;keepThis=true&amp;TB_iframe=true&amp;height=515&amp;width=6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3F06-4B7D-4AB6-B708-42204954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12610</Words>
  <Characters>7189</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CSDD</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Nr.1080 „Transportlīdzekļu reģistrācijas noteikumi</dc:title>
  <dc:creator>Aivis.O</dc:creator>
  <cp:lastModifiedBy>Baiba Šterna</cp:lastModifiedBy>
  <cp:revision>6</cp:revision>
  <dcterms:created xsi:type="dcterms:W3CDTF">2015-12-15T07:54:00Z</dcterms:created>
  <dcterms:modified xsi:type="dcterms:W3CDTF">2015-12-17T15:15:00Z</dcterms:modified>
</cp:coreProperties>
</file>