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99" w:rsidRPr="00673BCA" w:rsidRDefault="001B5AD2" w:rsidP="00074799">
      <w:pPr>
        <w:spacing w:after="0" w:line="240" w:lineRule="auto"/>
        <w:jc w:val="center"/>
        <w:rPr>
          <w:rFonts w:ascii="Times New Roman" w:eastAsia="Times New Roman" w:hAnsi="Times New Roman" w:cs="Times New Roman"/>
          <w:b/>
          <w:bCs/>
          <w:color w:val="414142"/>
          <w:sz w:val="24"/>
          <w:szCs w:val="24"/>
        </w:rPr>
      </w:pPr>
      <w:bookmarkStart w:id="0" w:name="468683"/>
      <w:bookmarkEnd w:id="0"/>
      <w:proofErr w:type="spellStart"/>
      <w:r>
        <w:rPr>
          <w:rFonts w:ascii="Times New Roman" w:eastAsia="Times New Roman" w:hAnsi="Times New Roman" w:cs="Times New Roman"/>
          <w:b/>
          <w:bCs/>
          <w:color w:val="414142"/>
          <w:sz w:val="28"/>
          <w:szCs w:val="28"/>
        </w:rPr>
        <w:t>Likumprojekta</w:t>
      </w:r>
      <w:proofErr w:type="spellEnd"/>
      <w:r>
        <w:rPr>
          <w:rFonts w:ascii="Times New Roman" w:eastAsia="Times New Roman" w:hAnsi="Times New Roman" w:cs="Times New Roman"/>
          <w:b/>
          <w:bCs/>
          <w:color w:val="414142"/>
          <w:sz w:val="28"/>
          <w:szCs w:val="28"/>
        </w:rPr>
        <w:t xml:space="preserve"> “</w:t>
      </w:r>
      <w:proofErr w:type="spellStart"/>
      <w:r>
        <w:rPr>
          <w:rFonts w:ascii="Times New Roman" w:eastAsia="Times New Roman" w:hAnsi="Times New Roman" w:cs="Times New Roman"/>
          <w:b/>
          <w:bCs/>
          <w:color w:val="414142"/>
          <w:sz w:val="28"/>
          <w:szCs w:val="28"/>
        </w:rPr>
        <w:t>Grozījumi</w:t>
      </w:r>
      <w:proofErr w:type="spellEnd"/>
      <w:r>
        <w:rPr>
          <w:rFonts w:ascii="Times New Roman" w:eastAsia="Times New Roman" w:hAnsi="Times New Roman" w:cs="Times New Roman"/>
          <w:b/>
          <w:bCs/>
          <w:color w:val="414142"/>
          <w:sz w:val="28"/>
          <w:szCs w:val="28"/>
        </w:rPr>
        <w:t xml:space="preserve"> </w:t>
      </w:r>
      <w:proofErr w:type="spellStart"/>
      <w:r>
        <w:rPr>
          <w:rFonts w:ascii="Times New Roman" w:eastAsia="Times New Roman" w:hAnsi="Times New Roman" w:cs="Times New Roman"/>
          <w:b/>
          <w:bCs/>
          <w:color w:val="414142"/>
          <w:sz w:val="28"/>
          <w:szCs w:val="28"/>
        </w:rPr>
        <w:t>Jūras</w:t>
      </w:r>
      <w:proofErr w:type="spellEnd"/>
      <w:r>
        <w:rPr>
          <w:rFonts w:ascii="Times New Roman" w:eastAsia="Times New Roman" w:hAnsi="Times New Roman" w:cs="Times New Roman"/>
          <w:b/>
          <w:bCs/>
          <w:color w:val="414142"/>
          <w:sz w:val="28"/>
          <w:szCs w:val="28"/>
        </w:rPr>
        <w:t xml:space="preserve"> </w:t>
      </w:r>
      <w:proofErr w:type="spellStart"/>
      <w:r>
        <w:rPr>
          <w:rFonts w:ascii="Times New Roman" w:eastAsia="Times New Roman" w:hAnsi="Times New Roman" w:cs="Times New Roman"/>
          <w:b/>
          <w:bCs/>
          <w:color w:val="414142"/>
          <w:sz w:val="28"/>
          <w:szCs w:val="28"/>
        </w:rPr>
        <w:t>kodeksā</w:t>
      </w:r>
      <w:proofErr w:type="spellEnd"/>
      <w:r>
        <w:rPr>
          <w:rFonts w:ascii="Times New Roman" w:eastAsia="Times New Roman" w:hAnsi="Times New Roman" w:cs="Times New Roman"/>
          <w:b/>
          <w:bCs/>
          <w:color w:val="414142"/>
          <w:sz w:val="28"/>
          <w:szCs w:val="28"/>
        </w:rPr>
        <w:t xml:space="preserve">” </w:t>
      </w:r>
      <w:proofErr w:type="spellStart"/>
      <w:r w:rsidR="00074799" w:rsidRPr="00673BCA">
        <w:rPr>
          <w:rFonts w:ascii="Times New Roman" w:eastAsia="Times New Roman" w:hAnsi="Times New Roman" w:cs="Times New Roman"/>
          <w:b/>
          <w:bCs/>
          <w:color w:val="414142"/>
          <w:sz w:val="28"/>
          <w:szCs w:val="28"/>
        </w:rPr>
        <w:t>sākotnējās</w:t>
      </w:r>
      <w:proofErr w:type="spellEnd"/>
      <w:r w:rsidR="00074799" w:rsidRPr="00673BCA">
        <w:rPr>
          <w:rFonts w:ascii="Times New Roman" w:eastAsia="Times New Roman" w:hAnsi="Times New Roman" w:cs="Times New Roman"/>
          <w:b/>
          <w:bCs/>
          <w:color w:val="414142"/>
          <w:sz w:val="28"/>
          <w:szCs w:val="28"/>
        </w:rPr>
        <w:t xml:space="preserve"> </w:t>
      </w:r>
      <w:proofErr w:type="spellStart"/>
      <w:r w:rsidR="00074799" w:rsidRPr="00673BCA">
        <w:rPr>
          <w:rFonts w:ascii="Times New Roman" w:eastAsia="Times New Roman" w:hAnsi="Times New Roman" w:cs="Times New Roman"/>
          <w:b/>
          <w:bCs/>
          <w:color w:val="414142"/>
          <w:sz w:val="28"/>
          <w:szCs w:val="28"/>
        </w:rPr>
        <w:t>ietekmes</w:t>
      </w:r>
      <w:proofErr w:type="spellEnd"/>
      <w:r w:rsidR="00074799" w:rsidRPr="00673BCA">
        <w:rPr>
          <w:rFonts w:ascii="Times New Roman" w:eastAsia="Times New Roman" w:hAnsi="Times New Roman" w:cs="Times New Roman"/>
          <w:b/>
          <w:bCs/>
          <w:color w:val="414142"/>
          <w:sz w:val="28"/>
          <w:szCs w:val="28"/>
        </w:rPr>
        <w:t xml:space="preserve"> </w:t>
      </w:r>
      <w:proofErr w:type="spellStart"/>
      <w:r w:rsidR="00074799" w:rsidRPr="00673BCA">
        <w:rPr>
          <w:rFonts w:ascii="Times New Roman" w:eastAsia="Times New Roman" w:hAnsi="Times New Roman" w:cs="Times New Roman"/>
          <w:b/>
          <w:bCs/>
          <w:color w:val="414142"/>
          <w:sz w:val="28"/>
          <w:szCs w:val="28"/>
        </w:rPr>
        <w:t>novērtējuma</w:t>
      </w:r>
      <w:proofErr w:type="spellEnd"/>
      <w:r w:rsidR="00074799" w:rsidRPr="00673BCA">
        <w:rPr>
          <w:rFonts w:ascii="Times New Roman" w:eastAsia="Times New Roman" w:hAnsi="Times New Roman" w:cs="Times New Roman"/>
          <w:b/>
          <w:bCs/>
          <w:color w:val="414142"/>
          <w:sz w:val="28"/>
          <w:szCs w:val="28"/>
        </w:rPr>
        <w:t xml:space="preserve"> </w:t>
      </w:r>
      <w:proofErr w:type="spellStart"/>
      <w:r w:rsidR="00074799" w:rsidRPr="00673BCA">
        <w:rPr>
          <w:rFonts w:ascii="Times New Roman" w:eastAsia="Times New Roman" w:hAnsi="Times New Roman" w:cs="Times New Roman"/>
          <w:b/>
          <w:bCs/>
          <w:color w:val="414142"/>
          <w:sz w:val="28"/>
          <w:szCs w:val="28"/>
        </w:rPr>
        <w:t>ziņojums</w:t>
      </w:r>
      <w:proofErr w:type="spellEnd"/>
      <w:r w:rsidR="00074799" w:rsidRPr="00673BCA">
        <w:rPr>
          <w:rFonts w:ascii="Times New Roman" w:eastAsia="Times New Roman" w:hAnsi="Times New Roman" w:cs="Times New Roman"/>
          <w:b/>
          <w:bCs/>
          <w:color w:val="414142"/>
          <w:sz w:val="28"/>
          <w:szCs w:val="28"/>
        </w:rPr>
        <w:t xml:space="preserve"> (</w:t>
      </w:r>
      <w:proofErr w:type="spellStart"/>
      <w:r w:rsidR="00074799" w:rsidRPr="00673BCA">
        <w:rPr>
          <w:rFonts w:ascii="Times New Roman" w:eastAsia="Times New Roman" w:hAnsi="Times New Roman" w:cs="Times New Roman"/>
          <w:b/>
          <w:bCs/>
          <w:color w:val="414142"/>
          <w:sz w:val="28"/>
          <w:szCs w:val="28"/>
        </w:rPr>
        <w:t>anotācija</w:t>
      </w:r>
      <w:proofErr w:type="spellEnd"/>
      <w:r w:rsidR="00074799" w:rsidRPr="00673BCA">
        <w:rPr>
          <w:rFonts w:ascii="Times New Roman" w:eastAsia="Times New Roman" w:hAnsi="Times New Roman" w:cs="Times New Roman"/>
          <w:b/>
          <w:bCs/>
          <w:color w:val="414142"/>
          <w:sz w:val="24"/>
          <w:szCs w:val="24"/>
        </w:rPr>
        <w:t>)</w:t>
      </w:r>
    </w:p>
    <w:p w:rsidR="00074799" w:rsidRPr="00673BCA" w:rsidRDefault="00074799" w:rsidP="00074799">
      <w:pPr>
        <w:spacing w:before="45" w:after="0" w:line="360" w:lineRule="auto"/>
        <w:ind w:firstLine="300"/>
        <w:jc w:val="center"/>
        <w:rPr>
          <w:rFonts w:ascii="Times New Roman" w:eastAsia="Times New Roman" w:hAnsi="Times New Roman" w:cs="Times New Roman"/>
          <w:i/>
          <w:iCs/>
          <w:color w:val="414142"/>
          <w:sz w:val="24"/>
          <w:szCs w:val="24"/>
        </w:rPr>
      </w:pPr>
    </w:p>
    <w:tbl>
      <w:tblPr>
        <w:tblStyle w:val="TableGrid"/>
        <w:tblW w:w="5000" w:type="pct"/>
        <w:tblLook w:val="04A0" w:firstRow="1" w:lastRow="0" w:firstColumn="1" w:lastColumn="0" w:noHBand="0" w:noVBand="1"/>
      </w:tblPr>
      <w:tblGrid>
        <w:gridCol w:w="577"/>
        <w:gridCol w:w="2918"/>
        <w:gridCol w:w="6081"/>
      </w:tblGrid>
      <w:tr w:rsidR="00074799" w:rsidRPr="00CA3354" w:rsidTr="002356E4">
        <w:trPr>
          <w:trHeight w:val="405"/>
        </w:trPr>
        <w:tc>
          <w:tcPr>
            <w:tcW w:w="0" w:type="auto"/>
            <w:gridSpan w:val="3"/>
            <w:hideMark/>
          </w:tcPr>
          <w:p w:rsidR="00074799" w:rsidRPr="00CA3354" w:rsidRDefault="00074799" w:rsidP="00074799">
            <w:pPr>
              <w:spacing w:before="100" w:beforeAutospacing="1" w:after="100" w:afterAutospacing="1" w:line="360" w:lineRule="auto"/>
              <w:ind w:firstLine="300"/>
              <w:jc w:val="center"/>
              <w:rPr>
                <w:rFonts w:ascii="Times New Roman" w:eastAsia="Times New Roman" w:hAnsi="Times New Roman" w:cs="Times New Roman"/>
                <w:b/>
                <w:bCs/>
                <w:color w:val="414142"/>
                <w:sz w:val="26"/>
                <w:szCs w:val="26"/>
              </w:rPr>
            </w:pPr>
            <w:r w:rsidRPr="00CA3354">
              <w:rPr>
                <w:rFonts w:ascii="Times New Roman" w:eastAsia="Times New Roman" w:hAnsi="Times New Roman" w:cs="Times New Roman"/>
                <w:b/>
                <w:bCs/>
                <w:color w:val="414142"/>
                <w:sz w:val="26"/>
                <w:szCs w:val="26"/>
              </w:rPr>
              <w:t xml:space="preserve">I. </w:t>
            </w:r>
            <w:proofErr w:type="spellStart"/>
            <w:r w:rsidRPr="00CA3354">
              <w:rPr>
                <w:rFonts w:ascii="Times New Roman" w:eastAsia="Times New Roman" w:hAnsi="Times New Roman" w:cs="Times New Roman"/>
                <w:b/>
                <w:bCs/>
                <w:color w:val="414142"/>
                <w:sz w:val="26"/>
                <w:szCs w:val="26"/>
              </w:rPr>
              <w:t>Tiesību</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akta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projekta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izstrādes</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nepieciešamība</w:t>
            </w:r>
            <w:proofErr w:type="spellEnd"/>
          </w:p>
        </w:tc>
      </w:tr>
      <w:tr w:rsidR="00074799" w:rsidRPr="007B206E" w:rsidTr="002356E4">
        <w:trPr>
          <w:trHeight w:val="405"/>
        </w:trPr>
        <w:tc>
          <w:tcPr>
            <w:tcW w:w="298" w:type="pct"/>
            <w:hideMark/>
          </w:tcPr>
          <w:p w:rsidR="00074799" w:rsidRPr="00CA3354" w:rsidRDefault="00074799" w:rsidP="006F24EC">
            <w:pPr>
              <w:spacing w:before="100" w:beforeAutospacing="1" w:after="100" w:afterAutospacing="1" w:line="360" w:lineRule="auto"/>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1.</w:t>
            </w:r>
          </w:p>
        </w:tc>
        <w:tc>
          <w:tcPr>
            <w:tcW w:w="1504"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Pamatojums</w:t>
            </w:r>
            <w:proofErr w:type="spellEnd"/>
          </w:p>
        </w:tc>
        <w:tc>
          <w:tcPr>
            <w:tcW w:w="3134" w:type="pct"/>
            <w:hideMark/>
          </w:tcPr>
          <w:p w:rsidR="00673BCA" w:rsidRPr="00CA3354" w:rsidRDefault="00673BCA" w:rsidP="004817A2">
            <w:pPr>
              <w:pStyle w:val="NoSpacing"/>
              <w:jc w:val="both"/>
              <w:rPr>
                <w:rFonts w:ascii="Times New Roman" w:hAnsi="Times New Roman"/>
                <w:sz w:val="26"/>
                <w:szCs w:val="26"/>
              </w:rPr>
            </w:pPr>
            <w:r w:rsidRPr="00CA3354">
              <w:rPr>
                <w:rFonts w:ascii="Times New Roman" w:hAnsi="Times New Roman"/>
                <w:sz w:val="26"/>
                <w:szCs w:val="26"/>
              </w:rPr>
              <w:t>1) Ministru prezidentes 2015.gada 14.aprīļa rezolūcija Nr. 12/2015-JUR -50;</w:t>
            </w:r>
          </w:p>
          <w:p w:rsidR="00673BCA" w:rsidRPr="00CA3354" w:rsidRDefault="00673BCA" w:rsidP="004817A2">
            <w:pPr>
              <w:pStyle w:val="NoSpacing"/>
              <w:jc w:val="both"/>
              <w:rPr>
                <w:rFonts w:ascii="Times New Roman" w:hAnsi="Times New Roman"/>
                <w:sz w:val="26"/>
                <w:szCs w:val="26"/>
              </w:rPr>
            </w:pPr>
            <w:r w:rsidRPr="00CA3354">
              <w:rPr>
                <w:rFonts w:ascii="Times New Roman" w:hAnsi="Times New Roman"/>
                <w:sz w:val="26"/>
                <w:szCs w:val="26"/>
              </w:rPr>
              <w:t>2) Grozījumi likumā “Par nodokļiem un nodevām” (26.03.2015. likums);</w:t>
            </w:r>
          </w:p>
          <w:p w:rsidR="00074799" w:rsidRPr="00CA3354" w:rsidRDefault="00673BCA" w:rsidP="004817A2">
            <w:pPr>
              <w:jc w:val="both"/>
              <w:rPr>
                <w:rFonts w:ascii="Times New Roman" w:hAnsi="Times New Roman" w:cs="Times New Roman"/>
                <w:sz w:val="26"/>
                <w:szCs w:val="26"/>
                <w:lang w:val="lv-LV"/>
              </w:rPr>
            </w:pPr>
            <w:r w:rsidRPr="00CA3354">
              <w:rPr>
                <w:rFonts w:ascii="Times New Roman" w:hAnsi="Times New Roman" w:cs="Times New Roman"/>
                <w:sz w:val="26"/>
                <w:szCs w:val="26"/>
                <w:lang w:val="lv-LV"/>
              </w:rPr>
              <w:t>3) Grozījumi Jūrlietu pārvaldes un jūras drošības likumā (30.04.2015. likums).</w:t>
            </w:r>
          </w:p>
          <w:p w:rsidR="001B5AD2" w:rsidRPr="00CA3354" w:rsidRDefault="001B5AD2" w:rsidP="004817A2">
            <w:pPr>
              <w:jc w:val="both"/>
              <w:rPr>
                <w:rFonts w:ascii="Times New Roman" w:eastAsia="Times New Roman" w:hAnsi="Times New Roman" w:cs="Times New Roman"/>
                <w:color w:val="414142"/>
                <w:sz w:val="26"/>
                <w:szCs w:val="26"/>
                <w:lang w:val="lv-LV"/>
              </w:rPr>
            </w:pPr>
          </w:p>
        </w:tc>
      </w:tr>
      <w:tr w:rsidR="00074799" w:rsidRPr="007B206E" w:rsidTr="002356E4">
        <w:trPr>
          <w:trHeight w:val="465"/>
        </w:trPr>
        <w:tc>
          <w:tcPr>
            <w:tcW w:w="298" w:type="pct"/>
            <w:hideMark/>
          </w:tcPr>
          <w:p w:rsidR="00074799" w:rsidRPr="00CA3354" w:rsidRDefault="00074799" w:rsidP="006F24EC">
            <w:pPr>
              <w:spacing w:before="100" w:beforeAutospacing="1" w:after="100" w:afterAutospacing="1" w:line="360" w:lineRule="auto"/>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2.</w:t>
            </w:r>
          </w:p>
        </w:tc>
        <w:tc>
          <w:tcPr>
            <w:tcW w:w="1504"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Pašreizējā</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situācija</w:t>
            </w:r>
            <w:proofErr w:type="spellEnd"/>
            <w:r w:rsidRPr="00CA3354">
              <w:rPr>
                <w:rFonts w:ascii="Times New Roman" w:eastAsia="Times New Roman" w:hAnsi="Times New Roman" w:cs="Times New Roman"/>
                <w:color w:val="414142"/>
                <w:sz w:val="26"/>
                <w:szCs w:val="26"/>
              </w:rPr>
              <w:t xml:space="preserve"> un </w:t>
            </w:r>
            <w:proofErr w:type="spellStart"/>
            <w:r w:rsidRPr="00CA3354">
              <w:rPr>
                <w:rFonts w:ascii="Times New Roman" w:eastAsia="Times New Roman" w:hAnsi="Times New Roman" w:cs="Times New Roman"/>
                <w:color w:val="414142"/>
                <w:sz w:val="26"/>
                <w:szCs w:val="26"/>
              </w:rPr>
              <w:t>problēmas</w:t>
            </w:r>
            <w:proofErr w:type="spellEnd"/>
            <w:r w:rsidRPr="00CA3354">
              <w:rPr>
                <w:rFonts w:ascii="Times New Roman" w:eastAsia="Times New Roman" w:hAnsi="Times New Roman" w:cs="Times New Roman"/>
                <w:color w:val="414142"/>
                <w:sz w:val="26"/>
                <w:szCs w:val="26"/>
              </w:rPr>
              <w:t xml:space="preserve">, kuru </w:t>
            </w:r>
            <w:proofErr w:type="spellStart"/>
            <w:r w:rsidRPr="00CA3354">
              <w:rPr>
                <w:rFonts w:ascii="Times New Roman" w:eastAsia="Times New Roman" w:hAnsi="Times New Roman" w:cs="Times New Roman"/>
                <w:color w:val="414142"/>
                <w:sz w:val="26"/>
                <w:szCs w:val="26"/>
              </w:rPr>
              <w:t>risināšanai</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tiesību</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akta</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projekts</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izstrādāts</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tiesiskā</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regulējuma</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mērķis</w:t>
            </w:r>
            <w:proofErr w:type="spellEnd"/>
            <w:r w:rsidRPr="00CA3354">
              <w:rPr>
                <w:rFonts w:ascii="Times New Roman" w:eastAsia="Times New Roman" w:hAnsi="Times New Roman" w:cs="Times New Roman"/>
                <w:color w:val="414142"/>
                <w:sz w:val="26"/>
                <w:szCs w:val="26"/>
              </w:rPr>
              <w:t xml:space="preserve"> un </w:t>
            </w:r>
            <w:proofErr w:type="spellStart"/>
            <w:r w:rsidRPr="00CA3354">
              <w:rPr>
                <w:rFonts w:ascii="Times New Roman" w:eastAsia="Times New Roman" w:hAnsi="Times New Roman" w:cs="Times New Roman"/>
                <w:color w:val="414142"/>
                <w:sz w:val="26"/>
                <w:szCs w:val="26"/>
              </w:rPr>
              <w:t>būtība</w:t>
            </w:r>
            <w:proofErr w:type="spellEnd"/>
          </w:p>
        </w:tc>
        <w:tc>
          <w:tcPr>
            <w:tcW w:w="3134" w:type="pct"/>
            <w:hideMark/>
          </w:tcPr>
          <w:p w:rsidR="0038710B" w:rsidRPr="00CA3354" w:rsidRDefault="007B206E" w:rsidP="0038710B">
            <w:pPr>
              <w:pStyle w:val="NoSpacing"/>
              <w:jc w:val="both"/>
              <w:rPr>
                <w:rFonts w:ascii="Times New Roman" w:hAnsi="Times New Roman"/>
                <w:color w:val="000000"/>
                <w:sz w:val="26"/>
                <w:szCs w:val="26"/>
              </w:rPr>
            </w:pPr>
            <w:r>
              <w:rPr>
                <w:rFonts w:ascii="Times New Roman" w:hAnsi="Times New Roman"/>
                <w:sz w:val="26"/>
                <w:szCs w:val="26"/>
              </w:rPr>
              <w:t>1</w:t>
            </w:r>
            <w:r w:rsidR="0038710B" w:rsidRPr="00CA3354">
              <w:rPr>
                <w:rFonts w:ascii="Times New Roman" w:hAnsi="Times New Roman"/>
                <w:sz w:val="26"/>
                <w:szCs w:val="26"/>
              </w:rPr>
              <w:t xml:space="preserve">. Jūras kodeksa 8.panta trešajā daļā ir noteikts, ka Ministru kabinets izdod </w:t>
            </w:r>
            <w:r w:rsidR="0038710B" w:rsidRPr="00CA3354">
              <w:rPr>
                <w:rFonts w:ascii="Times New Roman" w:hAnsi="Times New Roman"/>
                <w:color w:val="000000"/>
                <w:sz w:val="26"/>
                <w:szCs w:val="26"/>
              </w:rPr>
              <w:t xml:space="preserve">noteikumus par visu kuģošanas līdzekļu satiksmi iekšējos ūdeņos. Uz šā deleģējuma pamata ir izdoti </w:t>
            </w:r>
            <w:r w:rsidR="0038710B" w:rsidRPr="00CA3354">
              <w:rPr>
                <w:rFonts w:ascii="Times New Roman" w:hAnsi="Times New Roman"/>
                <w:sz w:val="26"/>
                <w:szCs w:val="26"/>
              </w:rPr>
              <w:t>Ministru kabineta 2005.gada 1.marta noteikumi Nr. 158 „Noteikumi par kuģošanas līdzekļu satiksmi iekšējos ūdeņos”.</w:t>
            </w:r>
          </w:p>
          <w:p w:rsidR="0038710B" w:rsidRPr="00CA3354" w:rsidRDefault="0038710B" w:rsidP="0038710B">
            <w:pPr>
              <w:pStyle w:val="naiskr"/>
              <w:spacing w:before="0" w:after="0"/>
              <w:jc w:val="both"/>
              <w:rPr>
                <w:sz w:val="26"/>
                <w:szCs w:val="26"/>
              </w:rPr>
            </w:pPr>
            <w:r w:rsidRPr="00CA3354">
              <w:rPr>
                <w:sz w:val="26"/>
                <w:szCs w:val="26"/>
              </w:rPr>
              <w:t xml:space="preserve">Secinot, ka no juridiskās tehnikas viedokļa attiecīgajiem noteikumiem piemērotāks būtu atbilstošs deleģējums Jūrlietu pārvaldes un jūras drošības likumā (turpmāk-JPJDL), tika veikti grozījumi JPJDL, kas spēkā stājās 2015.gada 3.jūnijā. Ar minētajiem grozījumiem JPJDL tika ietverts deleģējums Ministru kabinetam izdot noteikumus par kuģošanas līdzekļu satiksmi Latvijas iekšējos ūdeņos. Attiecīgi tiks </w:t>
            </w:r>
            <w:proofErr w:type="spellStart"/>
            <w:r w:rsidRPr="00CA3354">
              <w:rPr>
                <w:sz w:val="26"/>
                <w:szCs w:val="26"/>
              </w:rPr>
              <w:t>pārizdoti</w:t>
            </w:r>
            <w:proofErr w:type="spellEnd"/>
            <w:r w:rsidRPr="00CA3354">
              <w:rPr>
                <w:sz w:val="26"/>
                <w:szCs w:val="26"/>
              </w:rPr>
              <w:t xml:space="preserve"> arī pašreiz spēkā esošie Ministru kabineta 2005.gada 1.marta noteikumi Nr. 158 „Noteikumi par kuģošanas līdzekļu satiksmi iekšējos ūdeņos”.</w:t>
            </w:r>
          </w:p>
          <w:p w:rsidR="0038710B" w:rsidRPr="00CA3354" w:rsidRDefault="0038710B" w:rsidP="0038710B">
            <w:pPr>
              <w:pStyle w:val="NoSpacing"/>
              <w:jc w:val="both"/>
              <w:rPr>
                <w:rFonts w:ascii="Times New Roman" w:hAnsi="Times New Roman"/>
                <w:color w:val="000000"/>
                <w:sz w:val="26"/>
                <w:szCs w:val="26"/>
              </w:rPr>
            </w:pPr>
            <w:r w:rsidRPr="00CA3354">
              <w:rPr>
                <w:rFonts w:ascii="Times New Roman" w:hAnsi="Times New Roman"/>
                <w:color w:val="000000"/>
                <w:sz w:val="26"/>
                <w:szCs w:val="26"/>
              </w:rPr>
              <w:t>Ar grozījumiem Jūras kodeksā tiks izslēgts no Jūras kodeksa 8.panta trešās daļas deleģējums Ministru kabinetam izdot noteikumus par visu kuģošanas līdzekļu satiksmi iekšējos ūdeņos.</w:t>
            </w:r>
          </w:p>
          <w:p w:rsidR="0038710B" w:rsidRPr="00CA3354" w:rsidRDefault="007B206E" w:rsidP="0038710B">
            <w:pPr>
              <w:jc w:val="both"/>
              <w:rPr>
                <w:rFonts w:ascii="Times New Roman" w:hAnsi="Times New Roman"/>
                <w:sz w:val="26"/>
                <w:szCs w:val="26"/>
                <w:lang w:val="lv-LV"/>
              </w:rPr>
            </w:pPr>
            <w:r>
              <w:rPr>
                <w:rFonts w:ascii="Times New Roman" w:hAnsi="Times New Roman"/>
                <w:sz w:val="26"/>
                <w:szCs w:val="26"/>
                <w:lang w:val="lv-LV"/>
              </w:rPr>
              <w:t>2</w:t>
            </w:r>
            <w:r w:rsidR="0038710B" w:rsidRPr="00CA3354">
              <w:rPr>
                <w:rFonts w:ascii="Times New Roman" w:hAnsi="Times New Roman"/>
                <w:sz w:val="26"/>
                <w:szCs w:val="26"/>
                <w:lang w:val="lv-LV"/>
              </w:rPr>
              <w:t xml:space="preserve">. Saskaņā ar grozījumiem likumā „Par nodokļiem un nodevām”, kas stājās spēkā 2015.gada 1.jūlijā, tika svītrots likuma „Par nodokļiem un nodevām” 11.panta otrās daļas 29.punkts. Minētais punkts noteica, ka par gaisa kuģu, Jūras kodeksa 8.panta otrajā daļā noteikto reģistrējamo kuģu un kuģošanas līdzekļu, kā arī par Valsts tehniskās uzraudzības aģentūrā reģistrējamu transportlīdzekļu reģistrāciju ir maksājama valsts </w:t>
            </w:r>
            <w:r w:rsidR="0038710B" w:rsidRPr="00CA3354">
              <w:rPr>
                <w:rFonts w:ascii="Times New Roman" w:hAnsi="Times New Roman"/>
                <w:sz w:val="26"/>
                <w:szCs w:val="26"/>
                <w:lang w:val="lv-LV"/>
              </w:rPr>
              <w:lastRenderedPageBreak/>
              <w:t>nodeva.</w:t>
            </w:r>
          </w:p>
          <w:p w:rsidR="0038710B" w:rsidRPr="00CA3354" w:rsidRDefault="0038710B" w:rsidP="0038710B">
            <w:pPr>
              <w:jc w:val="both"/>
              <w:rPr>
                <w:rFonts w:ascii="Times New Roman" w:hAnsi="Times New Roman"/>
                <w:sz w:val="26"/>
                <w:szCs w:val="26"/>
                <w:lang w:val="lv-LV"/>
              </w:rPr>
            </w:pPr>
            <w:r w:rsidRPr="00CA3354">
              <w:rPr>
                <w:rFonts w:ascii="Times New Roman" w:hAnsi="Times New Roman"/>
                <w:sz w:val="26"/>
                <w:szCs w:val="26"/>
                <w:lang w:val="lv-LV"/>
              </w:rPr>
              <w:t>Kuģu reģistrācijas valsts nodevas apmērs un iekasēšanas kārtība bija noteikta Ministru kabineta 2013.gada 24.septembra noteikumos Nr.952 „Noteikumi par gaisa kuģu, kuģu, mazo kuģu un jahtu reģistrācijas valsts nodevu” (turpmāk – MK noteikumi Nr. 952). 2015.gada 1.septembrī MK noteikumi Nr. 952 zaudēja spēku, pamatojoties uz Ministru kabineta 2015.gada 25.augusta noteikumiem Nr. 483 “Par Ministru kabineta 2013.gada 24.septembra noteikumu Nr. 952 “Noteikumi par gaisa kuģu, kuģu, mazo kuģu un jahtu reģistrācijas valsts nodevu” atzīšanu par spēku zaudējušiem”.</w:t>
            </w:r>
          </w:p>
          <w:p w:rsidR="0038710B" w:rsidRPr="00CA3354" w:rsidRDefault="0038710B" w:rsidP="0038710B">
            <w:pPr>
              <w:jc w:val="both"/>
              <w:rPr>
                <w:rFonts w:ascii="Times New Roman" w:hAnsi="Times New Roman"/>
                <w:sz w:val="26"/>
                <w:szCs w:val="26"/>
                <w:lang w:val="lv-LV"/>
              </w:rPr>
            </w:pPr>
            <w:r w:rsidRPr="00CA3354">
              <w:rPr>
                <w:rFonts w:ascii="Times New Roman" w:hAnsi="Times New Roman"/>
                <w:sz w:val="26"/>
                <w:szCs w:val="26"/>
                <w:lang w:val="lv-LV"/>
              </w:rPr>
              <w:t>MK noteikumi Nr. 952 bija izdoti, pamatojoties uz likuma „Par nodokļiem un nodevām” 10.panta otro daļu. Taču deleģējums Ministru kabinetam noteikt kuģu reģistrācijas Kuģu reģistrā valsts nodevas apmēru un tās iekasēšanas kārtību ir ietverts arī Jūras kodeksa 10.panta pirmajā daļā. Šis deleģējums praksē kopš tā pieņemšanas (22.12.2005.) nav nekad izmantots un valsts nodevas par kuģu reģistrāciju Kuģu reģistrā, pamatojoties uz šo tiesību normu, nav noteiktas. Līdz ar to nepieciešams precizēt minēto Jūras kodeksa pantu, svītrojot normu par deleģējumu Ministru kabinetam noteikt kuģu reģistrācijas valsts nodevas apmēru un tās iekasēšanas kārtību.</w:t>
            </w:r>
          </w:p>
          <w:p w:rsidR="0038710B" w:rsidRPr="00CA3354" w:rsidRDefault="007B206E" w:rsidP="0038710B">
            <w:pPr>
              <w:pStyle w:val="NoSpacing"/>
              <w:jc w:val="both"/>
              <w:rPr>
                <w:rFonts w:ascii="Times New Roman" w:hAnsi="Times New Roman"/>
                <w:kern w:val="1"/>
                <w:sz w:val="26"/>
                <w:szCs w:val="26"/>
              </w:rPr>
            </w:pPr>
            <w:r>
              <w:rPr>
                <w:rFonts w:ascii="Times New Roman" w:hAnsi="Times New Roman"/>
                <w:sz w:val="26"/>
                <w:szCs w:val="26"/>
              </w:rPr>
              <w:t>3</w:t>
            </w:r>
            <w:r w:rsidR="0038710B" w:rsidRPr="00CA3354">
              <w:rPr>
                <w:rFonts w:ascii="Times New Roman" w:hAnsi="Times New Roman"/>
                <w:sz w:val="26"/>
                <w:szCs w:val="26"/>
              </w:rPr>
              <w:t>. Jūras kodeksa XXX.</w:t>
            </w:r>
            <w:r w:rsidR="0038710B" w:rsidRPr="00CA3354">
              <w:rPr>
                <w:rFonts w:ascii="Times New Roman" w:hAnsi="Times New Roman"/>
                <w:sz w:val="26"/>
                <w:szCs w:val="26"/>
                <w:vertAlign w:val="superscript"/>
              </w:rPr>
              <w:t xml:space="preserve">2 </w:t>
            </w:r>
            <w:r w:rsidR="0038710B" w:rsidRPr="00CA3354">
              <w:rPr>
                <w:rFonts w:ascii="Times New Roman" w:hAnsi="Times New Roman"/>
                <w:sz w:val="26"/>
                <w:szCs w:val="26"/>
              </w:rPr>
              <w:t>pantā ir ietvertas tiesību normas par jūrnieku repatriāciju. Saskaņā ar Jūras kodeksa 303.panta piekto daļu, Latvijas Republikas diplomātiskās vai konsulārās pārstāvniecības konsulārā amatpersona uzrauga, lai kuģa īpašnieks pienācīgi izpildītu šajā pantā minētos pienākumus. No Ārlietu ministrijas tika saņemti ierosinājumi šā panta precizēšanai. Ārlietu ministrija norāda, ka</w:t>
            </w:r>
            <w:r w:rsidR="0038710B" w:rsidRPr="00CA3354">
              <w:rPr>
                <w:rFonts w:ascii="Times New Roman" w:eastAsia="Arial" w:hAnsi="Times New Roman"/>
                <w:kern w:val="1"/>
                <w:sz w:val="26"/>
                <w:szCs w:val="26"/>
              </w:rPr>
              <w:t xml:space="preserve">, ievērojot </w:t>
            </w:r>
            <w:r w:rsidR="0038710B" w:rsidRPr="00CA3354">
              <w:rPr>
                <w:rFonts w:ascii="Times New Roman" w:hAnsi="Times New Roman"/>
                <w:kern w:val="1"/>
                <w:sz w:val="26"/>
                <w:szCs w:val="26"/>
              </w:rPr>
              <w:t xml:space="preserve">Latvijas nelielo diplomātisko un konsulāro pārstāvniecību tīklu, Jūras kodeksa 303.panta piektā daļa ir praktiski neizpildāma. Konsulārā amatpersona varētu uzraudzīt, lai kuģa īpašnieks pienācīgi veiktu jūrnieka repatriāciju, tikai atrazdamies attiecīgajā valstī un arī tikai tādā gadījumā, ja tai ir zināma jūrnieka darba līgumā ietvertā informācija. Ievērojot Ārlietu ministrijas ierosinājumus, ar likumprojektu svītrota </w:t>
            </w:r>
            <w:r w:rsidR="0038710B" w:rsidRPr="00CA3354">
              <w:rPr>
                <w:rFonts w:ascii="Times New Roman" w:hAnsi="Times New Roman"/>
                <w:kern w:val="1"/>
                <w:sz w:val="26"/>
                <w:szCs w:val="26"/>
              </w:rPr>
              <w:lastRenderedPageBreak/>
              <w:t>Jūras kodeksa 303. panta piektās daļas redakcija.</w:t>
            </w:r>
          </w:p>
          <w:p w:rsidR="00C60E42" w:rsidRPr="001A74ED" w:rsidRDefault="0038710B" w:rsidP="007A78B7">
            <w:pPr>
              <w:jc w:val="both"/>
              <w:rPr>
                <w:rFonts w:ascii="Times New Roman" w:hAnsi="Times New Roman"/>
                <w:kern w:val="1"/>
                <w:sz w:val="26"/>
                <w:szCs w:val="26"/>
                <w:lang w:val="lv-LV"/>
              </w:rPr>
            </w:pPr>
            <w:r w:rsidRPr="00CA3354">
              <w:rPr>
                <w:rFonts w:ascii="Times New Roman" w:hAnsi="Times New Roman"/>
                <w:kern w:val="1"/>
                <w:sz w:val="26"/>
                <w:szCs w:val="26"/>
                <w:lang w:val="lv-LV"/>
              </w:rPr>
              <w:t>Ar likumprojektu jaunā redakcijā tiek izteikts Jūras kodeksa 308.pants. Tiek precizēta kārtība, kādā tiek atgūti jūrnieka repatriācijai izli</w:t>
            </w:r>
            <w:r w:rsidR="00040088">
              <w:rPr>
                <w:rFonts w:ascii="Times New Roman" w:hAnsi="Times New Roman"/>
                <w:kern w:val="1"/>
                <w:sz w:val="26"/>
                <w:szCs w:val="26"/>
                <w:lang w:val="lv-LV"/>
              </w:rPr>
              <w:t xml:space="preserve">etotie valsts budžeta </w:t>
            </w:r>
            <w:r w:rsidR="00040088" w:rsidRPr="001A74ED">
              <w:rPr>
                <w:rFonts w:ascii="Times New Roman" w:hAnsi="Times New Roman"/>
                <w:kern w:val="1"/>
                <w:sz w:val="26"/>
                <w:szCs w:val="26"/>
                <w:lang w:val="lv-LV"/>
              </w:rPr>
              <w:t xml:space="preserve">līdzekļi gadījumos, kad kuģa īpašnieks nav ievērojis jūrnieka repatriēšanas pienākumu un </w:t>
            </w:r>
            <w:r w:rsidR="00465E2E" w:rsidRPr="001A74ED">
              <w:rPr>
                <w:rFonts w:ascii="Times New Roman" w:hAnsi="Times New Roman"/>
                <w:kern w:val="1"/>
                <w:sz w:val="26"/>
                <w:szCs w:val="26"/>
                <w:lang w:val="lv-LV"/>
              </w:rPr>
              <w:t xml:space="preserve">jūrnieka repatriāciju ir veikusi </w:t>
            </w:r>
            <w:r w:rsidR="00040088" w:rsidRPr="001A74ED">
              <w:rPr>
                <w:rFonts w:ascii="Times New Roman" w:hAnsi="Times New Roman"/>
                <w:kern w:val="1"/>
                <w:sz w:val="26"/>
                <w:szCs w:val="26"/>
                <w:lang w:val="lv-LV"/>
              </w:rPr>
              <w:t>Ārlietu ministrija</w:t>
            </w:r>
            <w:r w:rsidR="00C60E42" w:rsidRPr="001A74ED">
              <w:rPr>
                <w:rFonts w:ascii="Times New Roman" w:hAnsi="Times New Roman"/>
                <w:kern w:val="1"/>
                <w:sz w:val="26"/>
                <w:szCs w:val="26"/>
                <w:lang w:val="lv-LV"/>
              </w:rPr>
              <w:t>:</w:t>
            </w:r>
          </w:p>
          <w:p w:rsidR="0030336F" w:rsidRPr="001A74ED" w:rsidRDefault="00C60E42" w:rsidP="007A78B7">
            <w:pPr>
              <w:jc w:val="both"/>
              <w:rPr>
                <w:rFonts w:ascii="Times New Roman" w:hAnsi="Times New Roman"/>
                <w:kern w:val="1"/>
                <w:sz w:val="26"/>
                <w:szCs w:val="26"/>
                <w:lang w:val="lv-LV"/>
              </w:rPr>
            </w:pPr>
            <w:r w:rsidRPr="001A74ED">
              <w:rPr>
                <w:rFonts w:ascii="Times New Roman" w:hAnsi="Times New Roman"/>
                <w:kern w:val="1"/>
                <w:sz w:val="26"/>
                <w:szCs w:val="26"/>
                <w:lang w:val="lv-LV"/>
              </w:rPr>
              <w:t>-</w:t>
            </w:r>
            <w:r w:rsidR="0030336F" w:rsidRPr="001A74ED">
              <w:rPr>
                <w:rFonts w:ascii="Times New Roman" w:hAnsi="Times New Roman"/>
                <w:kern w:val="1"/>
                <w:sz w:val="26"/>
                <w:szCs w:val="26"/>
                <w:lang w:val="lv-LV"/>
              </w:rPr>
              <w:t>J</w:t>
            </w:r>
            <w:r w:rsidR="00B4399C" w:rsidRPr="001A74ED">
              <w:rPr>
                <w:rFonts w:ascii="Times New Roman" w:hAnsi="Times New Roman"/>
                <w:kern w:val="1"/>
                <w:sz w:val="26"/>
                <w:szCs w:val="26"/>
                <w:lang w:val="lv-LV"/>
              </w:rPr>
              <w:t xml:space="preserve">a jūrnieka repatriācija </w:t>
            </w:r>
            <w:r w:rsidR="0030336F" w:rsidRPr="001A74ED">
              <w:rPr>
                <w:rFonts w:ascii="Times New Roman" w:hAnsi="Times New Roman"/>
                <w:kern w:val="1"/>
                <w:sz w:val="26"/>
                <w:szCs w:val="26"/>
                <w:lang w:val="lv-LV"/>
              </w:rPr>
              <w:t xml:space="preserve">tiks </w:t>
            </w:r>
            <w:r w:rsidR="00B4399C" w:rsidRPr="001A74ED">
              <w:rPr>
                <w:rFonts w:ascii="Times New Roman" w:hAnsi="Times New Roman"/>
                <w:kern w:val="1"/>
                <w:sz w:val="26"/>
                <w:szCs w:val="26"/>
                <w:lang w:val="lv-LV"/>
              </w:rPr>
              <w:t>veikta no Latvijas karoga kuģa, tad kuģa īpašnieks atmaksā</w:t>
            </w:r>
            <w:r w:rsidR="0030336F" w:rsidRPr="001A74ED">
              <w:rPr>
                <w:rFonts w:ascii="Times New Roman" w:hAnsi="Times New Roman"/>
                <w:kern w:val="1"/>
                <w:sz w:val="26"/>
                <w:szCs w:val="26"/>
                <w:lang w:val="lv-LV"/>
              </w:rPr>
              <w:t>s</w:t>
            </w:r>
            <w:r w:rsidR="00B4399C" w:rsidRPr="001A74ED">
              <w:rPr>
                <w:rFonts w:ascii="Times New Roman" w:hAnsi="Times New Roman"/>
                <w:kern w:val="1"/>
                <w:sz w:val="26"/>
                <w:szCs w:val="26"/>
                <w:lang w:val="lv-LV"/>
              </w:rPr>
              <w:t xml:space="preserve"> valsts budžetā repatriācijas izdevumus. </w:t>
            </w:r>
            <w:r w:rsidR="006B566E" w:rsidRPr="001A74ED">
              <w:rPr>
                <w:rFonts w:ascii="Times New Roman" w:hAnsi="Times New Roman"/>
                <w:kern w:val="1"/>
                <w:sz w:val="26"/>
                <w:szCs w:val="26"/>
                <w:lang w:val="lv-LV"/>
              </w:rPr>
              <w:t xml:space="preserve">Ievērojot, ka Jūras kodeksa 304.panta otrā daļa nosaka </w:t>
            </w:r>
            <w:r w:rsidR="000846FE" w:rsidRPr="001A74ED">
              <w:rPr>
                <w:rFonts w:ascii="Times New Roman" w:hAnsi="Times New Roman"/>
                <w:kern w:val="1"/>
                <w:sz w:val="26"/>
                <w:szCs w:val="26"/>
                <w:lang w:val="lv-LV"/>
              </w:rPr>
              <w:t xml:space="preserve">Latvijas </w:t>
            </w:r>
            <w:r w:rsidR="006B566E" w:rsidRPr="001A74ED">
              <w:rPr>
                <w:rFonts w:ascii="Times New Roman" w:hAnsi="Times New Roman"/>
                <w:kern w:val="1"/>
                <w:sz w:val="26"/>
                <w:szCs w:val="26"/>
                <w:lang w:val="lv-LV"/>
              </w:rPr>
              <w:t xml:space="preserve">kuģa īpašnieka pienākumu apdrošināt savu atbildību attiecībā uz jūrnieku repatriāciju, tad </w:t>
            </w:r>
            <w:r w:rsidR="0030336F" w:rsidRPr="001A74ED">
              <w:rPr>
                <w:rFonts w:ascii="Times New Roman" w:hAnsi="Times New Roman"/>
                <w:kern w:val="1"/>
                <w:sz w:val="26"/>
                <w:szCs w:val="26"/>
                <w:lang w:val="lv-LV"/>
              </w:rPr>
              <w:t>iespējamība, ka</w:t>
            </w:r>
            <w:r w:rsidR="000846FE" w:rsidRPr="001A74ED">
              <w:rPr>
                <w:rFonts w:ascii="Times New Roman" w:hAnsi="Times New Roman"/>
                <w:kern w:val="1"/>
                <w:sz w:val="26"/>
                <w:szCs w:val="26"/>
                <w:lang w:val="lv-LV"/>
              </w:rPr>
              <w:t xml:space="preserve"> jūrnieka repatriāciju būtu </w:t>
            </w:r>
            <w:r w:rsidR="00C048D3" w:rsidRPr="001A74ED">
              <w:rPr>
                <w:rFonts w:ascii="Times New Roman" w:hAnsi="Times New Roman"/>
                <w:kern w:val="1"/>
                <w:sz w:val="26"/>
                <w:szCs w:val="26"/>
                <w:lang w:val="lv-LV"/>
              </w:rPr>
              <w:t>jāveic</w:t>
            </w:r>
            <w:r w:rsidR="000846FE" w:rsidRPr="001A74ED">
              <w:rPr>
                <w:rFonts w:ascii="Times New Roman" w:hAnsi="Times New Roman"/>
                <w:kern w:val="1"/>
                <w:sz w:val="26"/>
                <w:szCs w:val="26"/>
                <w:lang w:val="lv-LV"/>
              </w:rPr>
              <w:t xml:space="preserve"> Ārlietu ministrijai,</w:t>
            </w:r>
            <w:r w:rsidR="000849F5" w:rsidRPr="001A74ED">
              <w:rPr>
                <w:rFonts w:ascii="Times New Roman" w:hAnsi="Times New Roman"/>
                <w:kern w:val="1"/>
                <w:sz w:val="26"/>
                <w:szCs w:val="26"/>
                <w:lang w:val="lv-LV"/>
              </w:rPr>
              <w:t xml:space="preserve"> ir neliela</w:t>
            </w:r>
            <w:r w:rsidR="000F7E14" w:rsidRPr="001A74ED">
              <w:rPr>
                <w:rFonts w:ascii="Times New Roman" w:hAnsi="Times New Roman"/>
                <w:kern w:val="1"/>
                <w:sz w:val="26"/>
                <w:szCs w:val="26"/>
                <w:lang w:val="lv-LV"/>
              </w:rPr>
              <w:t>;</w:t>
            </w:r>
          </w:p>
          <w:p w:rsidR="00885C28" w:rsidRPr="001A74ED" w:rsidRDefault="00885C28" w:rsidP="00885C28">
            <w:pPr>
              <w:jc w:val="both"/>
              <w:rPr>
                <w:rFonts w:ascii="Times New Roman" w:hAnsi="Times New Roman"/>
                <w:kern w:val="1"/>
                <w:sz w:val="26"/>
                <w:szCs w:val="26"/>
                <w:lang w:val="lv-LV"/>
              </w:rPr>
            </w:pPr>
            <w:r w:rsidRPr="001A74ED">
              <w:rPr>
                <w:rFonts w:ascii="Times New Roman" w:hAnsi="Times New Roman"/>
                <w:kern w:val="1"/>
                <w:sz w:val="26"/>
                <w:szCs w:val="26"/>
                <w:lang w:val="lv-LV"/>
              </w:rPr>
              <w:t>-Ja jūrnieks būs jārepatriē no ārvalsts karoga kuģa, kura ir 2006.gada Konvencijas par darbu jūrniecībā (MLC konvencija) dalībvalsts, tiks piemērota MLC konvencijā noteiktā kārtība par jūrnieka repatriācijas veicējiem un repatriācijai izlietoto līdzekļu atgūšanu. Jūrnieka repatriāciju veiks kuģa karoga valsts kompetentā iestāde. Gadījumā, ja iepriekš minētā iestāde to nebūs veikusi, tad jūrnieka repatriāciju veiks Ārlietu ministrija un diplomātiskā ceļā pieprasīs jūrnieka repatriācijai izlietotos līdzekļus no valsts, no kuras karoga kuģa jūrnieks ticis repatriēts.</w:t>
            </w:r>
          </w:p>
          <w:p w:rsidR="009C4E25" w:rsidRPr="001A74ED" w:rsidRDefault="00885C28" w:rsidP="007A78B7">
            <w:pPr>
              <w:jc w:val="both"/>
              <w:rPr>
                <w:rFonts w:ascii="Times New Roman" w:eastAsia="Times New Roman" w:hAnsi="Times New Roman" w:cs="Times New Roman"/>
                <w:color w:val="414142"/>
                <w:sz w:val="26"/>
                <w:szCs w:val="26"/>
                <w:lang w:val="lv-LV"/>
              </w:rPr>
            </w:pPr>
            <w:r w:rsidRPr="001A74ED">
              <w:rPr>
                <w:rFonts w:ascii="Times New Roman" w:hAnsi="Times New Roman"/>
                <w:kern w:val="1"/>
                <w:sz w:val="26"/>
                <w:szCs w:val="26"/>
                <w:lang w:val="lv-LV"/>
              </w:rPr>
              <w:t>-Ja jūrnieks būs jārepatriē no ārvalsts karoga kuģa, kura nav MLC konvencijas dalībvalsts, repatriāciju veiks Ārlietu ministrija un izlietotos valsts budžeta līdzekļus no ārvalsts pieprasīs atbilstoši starptautiskajai praksei.</w:t>
            </w:r>
          </w:p>
          <w:p w:rsidR="0007226D" w:rsidRPr="00CA3354" w:rsidRDefault="0007226D" w:rsidP="007A78B7">
            <w:pPr>
              <w:jc w:val="both"/>
              <w:rPr>
                <w:rFonts w:ascii="Times New Roman" w:eastAsia="Times New Roman" w:hAnsi="Times New Roman" w:cs="Times New Roman"/>
                <w:color w:val="414142"/>
                <w:sz w:val="26"/>
                <w:szCs w:val="26"/>
                <w:lang w:val="lv-LV"/>
              </w:rPr>
            </w:pPr>
          </w:p>
        </w:tc>
      </w:tr>
      <w:tr w:rsidR="00074799" w:rsidRPr="00CA3354" w:rsidTr="002356E4">
        <w:trPr>
          <w:trHeight w:val="465"/>
        </w:trPr>
        <w:tc>
          <w:tcPr>
            <w:tcW w:w="298" w:type="pct"/>
            <w:hideMark/>
          </w:tcPr>
          <w:p w:rsidR="00074799" w:rsidRPr="00CA3354" w:rsidRDefault="00074799" w:rsidP="00574897">
            <w:pPr>
              <w:spacing w:before="100" w:beforeAutospacing="1" w:after="100" w:afterAutospacing="1" w:line="360" w:lineRule="auto"/>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lastRenderedPageBreak/>
              <w:t>3.</w:t>
            </w:r>
          </w:p>
        </w:tc>
        <w:tc>
          <w:tcPr>
            <w:tcW w:w="1504"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Projekta</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izstrādē</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iesaistītās</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institūcijas</w:t>
            </w:r>
            <w:proofErr w:type="spellEnd"/>
          </w:p>
        </w:tc>
        <w:tc>
          <w:tcPr>
            <w:tcW w:w="3134" w:type="pct"/>
            <w:hideMark/>
          </w:tcPr>
          <w:p w:rsidR="00E52BC3" w:rsidRPr="00CA3354" w:rsidRDefault="00E52BC3" w:rsidP="00E52BC3">
            <w:pPr>
              <w:jc w:val="both"/>
              <w:rPr>
                <w:rFonts w:ascii="Times New Roman" w:hAnsi="Times New Roman"/>
                <w:sz w:val="26"/>
                <w:szCs w:val="26"/>
              </w:rPr>
            </w:pPr>
            <w:r w:rsidRPr="00CA3354">
              <w:rPr>
                <w:rFonts w:ascii="Times New Roman" w:hAnsi="Times New Roman"/>
                <w:sz w:val="26"/>
                <w:szCs w:val="26"/>
              </w:rPr>
              <w:t>VAS “</w:t>
            </w:r>
            <w:proofErr w:type="spellStart"/>
            <w:r w:rsidRPr="00CA3354">
              <w:rPr>
                <w:rFonts w:ascii="Times New Roman" w:hAnsi="Times New Roman"/>
                <w:sz w:val="26"/>
                <w:szCs w:val="26"/>
              </w:rPr>
              <w:t>Latvijas</w:t>
            </w:r>
            <w:proofErr w:type="spellEnd"/>
            <w:r w:rsidRPr="00CA3354">
              <w:rPr>
                <w:rFonts w:ascii="Times New Roman" w:hAnsi="Times New Roman"/>
                <w:sz w:val="26"/>
                <w:szCs w:val="26"/>
              </w:rPr>
              <w:t xml:space="preserve"> </w:t>
            </w:r>
            <w:proofErr w:type="spellStart"/>
            <w:r w:rsidRPr="00CA3354">
              <w:rPr>
                <w:rFonts w:ascii="Times New Roman" w:hAnsi="Times New Roman"/>
                <w:sz w:val="26"/>
                <w:szCs w:val="26"/>
              </w:rPr>
              <w:t>Jūras</w:t>
            </w:r>
            <w:proofErr w:type="spellEnd"/>
            <w:r w:rsidRPr="00CA3354">
              <w:rPr>
                <w:rFonts w:ascii="Times New Roman" w:hAnsi="Times New Roman"/>
                <w:sz w:val="26"/>
                <w:szCs w:val="26"/>
              </w:rPr>
              <w:t xml:space="preserve"> </w:t>
            </w:r>
            <w:proofErr w:type="spellStart"/>
            <w:r w:rsidRPr="00CA3354">
              <w:rPr>
                <w:rFonts w:ascii="Times New Roman" w:hAnsi="Times New Roman"/>
                <w:sz w:val="26"/>
                <w:szCs w:val="26"/>
              </w:rPr>
              <w:t>administrācija</w:t>
            </w:r>
            <w:proofErr w:type="spellEnd"/>
            <w:r w:rsidRPr="00CA3354">
              <w:rPr>
                <w:rFonts w:ascii="Times New Roman" w:hAnsi="Times New Roman"/>
                <w:sz w:val="26"/>
                <w:szCs w:val="26"/>
              </w:rPr>
              <w:t xml:space="preserve">”, </w:t>
            </w:r>
            <w:proofErr w:type="spellStart"/>
            <w:r w:rsidRPr="00CA3354">
              <w:rPr>
                <w:rFonts w:ascii="Times New Roman" w:hAnsi="Times New Roman"/>
                <w:sz w:val="26"/>
                <w:szCs w:val="26"/>
              </w:rPr>
              <w:t>Ārlietu</w:t>
            </w:r>
            <w:proofErr w:type="spellEnd"/>
            <w:r w:rsidRPr="00CA3354">
              <w:rPr>
                <w:rFonts w:ascii="Times New Roman" w:hAnsi="Times New Roman"/>
                <w:sz w:val="26"/>
                <w:szCs w:val="26"/>
              </w:rPr>
              <w:t xml:space="preserve"> ministrija.</w:t>
            </w:r>
          </w:p>
          <w:p w:rsidR="00A90666" w:rsidRPr="00CA3354" w:rsidRDefault="00A90666" w:rsidP="00074799">
            <w:pPr>
              <w:rPr>
                <w:rFonts w:ascii="Times New Roman" w:eastAsia="Times New Roman" w:hAnsi="Times New Roman" w:cs="Times New Roman"/>
                <w:color w:val="414142"/>
                <w:sz w:val="26"/>
                <w:szCs w:val="26"/>
              </w:rPr>
            </w:pPr>
          </w:p>
        </w:tc>
      </w:tr>
      <w:tr w:rsidR="00074799" w:rsidRPr="00CA3354" w:rsidTr="002356E4">
        <w:tc>
          <w:tcPr>
            <w:tcW w:w="298" w:type="pct"/>
            <w:hideMark/>
          </w:tcPr>
          <w:p w:rsidR="00074799" w:rsidRPr="00CA3354" w:rsidRDefault="00574897" w:rsidP="00574897">
            <w:pPr>
              <w:spacing w:before="100" w:beforeAutospacing="1" w:after="100" w:afterAutospacing="1" w:line="360" w:lineRule="auto"/>
              <w:rPr>
                <w:rFonts w:ascii="Times New Roman" w:eastAsia="Times New Roman" w:hAnsi="Times New Roman" w:cs="Times New Roman"/>
                <w:color w:val="414142"/>
                <w:sz w:val="26"/>
                <w:szCs w:val="26"/>
              </w:rPr>
            </w:pPr>
            <w:r>
              <w:rPr>
                <w:rFonts w:ascii="Times New Roman" w:eastAsia="Times New Roman" w:hAnsi="Times New Roman" w:cs="Times New Roman"/>
                <w:color w:val="414142"/>
                <w:sz w:val="26"/>
                <w:szCs w:val="26"/>
              </w:rPr>
              <w:t>4</w:t>
            </w:r>
            <w:r w:rsidR="00074799" w:rsidRPr="00CA3354">
              <w:rPr>
                <w:rFonts w:ascii="Times New Roman" w:eastAsia="Times New Roman" w:hAnsi="Times New Roman" w:cs="Times New Roman"/>
                <w:color w:val="414142"/>
                <w:sz w:val="26"/>
                <w:szCs w:val="26"/>
              </w:rPr>
              <w:t>.</w:t>
            </w:r>
          </w:p>
        </w:tc>
        <w:tc>
          <w:tcPr>
            <w:tcW w:w="1504"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Cita</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informācija</w:t>
            </w:r>
            <w:proofErr w:type="spellEnd"/>
          </w:p>
        </w:tc>
        <w:tc>
          <w:tcPr>
            <w:tcW w:w="3134" w:type="pct"/>
            <w:hideMark/>
          </w:tcPr>
          <w:p w:rsidR="0007226D" w:rsidRDefault="00E52BC3" w:rsidP="00E52BC3">
            <w:pPr>
              <w:rPr>
                <w:rFonts w:ascii="Times New Roman" w:hAnsi="Times New Roman"/>
                <w:sz w:val="26"/>
                <w:szCs w:val="26"/>
              </w:rPr>
            </w:pPr>
            <w:r w:rsidRPr="00CA3354">
              <w:rPr>
                <w:rFonts w:ascii="Times New Roman" w:hAnsi="Times New Roman"/>
                <w:sz w:val="26"/>
                <w:szCs w:val="26"/>
              </w:rPr>
              <w:t>Nav.</w:t>
            </w:r>
          </w:p>
          <w:p w:rsidR="00A41B96" w:rsidRDefault="00A41B96" w:rsidP="00E52BC3">
            <w:pPr>
              <w:rPr>
                <w:rFonts w:ascii="Times New Roman" w:hAnsi="Times New Roman"/>
                <w:sz w:val="26"/>
                <w:szCs w:val="26"/>
              </w:rPr>
            </w:pPr>
          </w:p>
          <w:p w:rsidR="00A41B96" w:rsidRDefault="00A41B96" w:rsidP="00E52BC3">
            <w:pPr>
              <w:rPr>
                <w:rFonts w:ascii="Times New Roman" w:hAnsi="Times New Roman"/>
                <w:sz w:val="26"/>
                <w:szCs w:val="26"/>
              </w:rPr>
            </w:pPr>
          </w:p>
          <w:p w:rsidR="007B206E" w:rsidRDefault="007B206E" w:rsidP="00E52BC3">
            <w:pPr>
              <w:rPr>
                <w:rFonts w:ascii="Times New Roman" w:hAnsi="Times New Roman"/>
                <w:sz w:val="26"/>
                <w:szCs w:val="26"/>
              </w:rPr>
            </w:pPr>
          </w:p>
          <w:p w:rsidR="007B206E" w:rsidRDefault="007B206E" w:rsidP="00E52BC3">
            <w:pPr>
              <w:rPr>
                <w:rFonts w:ascii="Times New Roman" w:hAnsi="Times New Roman"/>
                <w:sz w:val="26"/>
                <w:szCs w:val="26"/>
              </w:rPr>
            </w:pPr>
          </w:p>
          <w:p w:rsidR="007B206E" w:rsidRDefault="007B206E" w:rsidP="00E52BC3">
            <w:pPr>
              <w:rPr>
                <w:rFonts w:ascii="Times New Roman" w:hAnsi="Times New Roman"/>
                <w:sz w:val="26"/>
                <w:szCs w:val="26"/>
              </w:rPr>
            </w:pPr>
          </w:p>
          <w:p w:rsidR="007B206E" w:rsidRDefault="007B206E" w:rsidP="00E52BC3">
            <w:pPr>
              <w:rPr>
                <w:rFonts w:ascii="Times New Roman" w:hAnsi="Times New Roman"/>
                <w:sz w:val="26"/>
                <w:szCs w:val="26"/>
              </w:rPr>
            </w:pPr>
          </w:p>
          <w:p w:rsidR="0007226D" w:rsidRPr="00CA3354" w:rsidRDefault="0007226D" w:rsidP="00E52BC3">
            <w:pPr>
              <w:rPr>
                <w:rFonts w:ascii="Times New Roman" w:eastAsia="Times New Roman" w:hAnsi="Times New Roman" w:cs="Times New Roman"/>
                <w:color w:val="414142"/>
                <w:sz w:val="26"/>
                <w:szCs w:val="26"/>
              </w:rPr>
            </w:pPr>
          </w:p>
        </w:tc>
      </w:tr>
    </w:tbl>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5419"/>
      </w:tblGrid>
      <w:tr w:rsidR="0072057D" w:rsidRPr="00D407F1" w:rsidTr="0072057D">
        <w:tc>
          <w:tcPr>
            <w:tcW w:w="9355" w:type="dxa"/>
            <w:gridSpan w:val="3"/>
            <w:shd w:val="clear" w:color="auto" w:fill="auto"/>
          </w:tcPr>
          <w:p w:rsidR="0072057D" w:rsidRPr="006A277B" w:rsidRDefault="0072057D" w:rsidP="00B408E0">
            <w:pPr>
              <w:pStyle w:val="ListParagraph"/>
              <w:spacing w:after="0" w:line="240" w:lineRule="auto"/>
              <w:ind w:left="1080"/>
              <w:jc w:val="center"/>
              <w:rPr>
                <w:rFonts w:ascii="Times New Roman" w:hAnsi="Times New Roman"/>
                <w:b/>
                <w:sz w:val="26"/>
                <w:szCs w:val="26"/>
              </w:rPr>
            </w:pPr>
            <w:r w:rsidRPr="006A277B">
              <w:rPr>
                <w:rFonts w:ascii="Times New Roman" w:hAnsi="Times New Roman"/>
                <w:b/>
                <w:sz w:val="26"/>
                <w:szCs w:val="26"/>
              </w:rPr>
              <w:lastRenderedPageBreak/>
              <w:t>II. Tiesību akta projekta ietekme uz sabiedrību, tautsaimniecības attīstību un administratīvo slogu</w:t>
            </w:r>
          </w:p>
          <w:p w:rsidR="0072057D" w:rsidRPr="006A277B" w:rsidRDefault="0072057D" w:rsidP="00B408E0">
            <w:pPr>
              <w:pStyle w:val="ListParagraph"/>
              <w:spacing w:after="0" w:line="240" w:lineRule="auto"/>
              <w:ind w:left="1080"/>
              <w:jc w:val="center"/>
              <w:rPr>
                <w:rFonts w:ascii="Times New Roman" w:hAnsi="Times New Roman"/>
                <w:b/>
                <w:sz w:val="26"/>
                <w:szCs w:val="26"/>
              </w:rPr>
            </w:pPr>
          </w:p>
        </w:tc>
      </w:tr>
      <w:tr w:rsidR="0072057D" w:rsidRPr="007B206E" w:rsidTr="0072057D">
        <w:tc>
          <w:tcPr>
            <w:tcW w:w="675" w:type="dxa"/>
            <w:shd w:val="clear" w:color="auto" w:fill="auto"/>
          </w:tcPr>
          <w:p w:rsidR="0072057D" w:rsidRPr="006F24EC" w:rsidRDefault="0072057D" w:rsidP="00B408E0">
            <w:pPr>
              <w:pStyle w:val="ListParagraph"/>
              <w:numPr>
                <w:ilvl w:val="0"/>
                <w:numId w:val="1"/>
              </w:numPr>
              <w:spacing w:after="0" w:line="240" w:lineRule="auto"/>
              <w:rPr>
                <w:rFonts w:ascii="Times New Roman" w:hAnsi="Times New Roman"/>
                <w:sz w:val="26"/>
                <w:szCs w:val="26"/>
              </w:rPr>
            </w:pPr>
          </w:p>
        </w:tc>
        <w:tc>
          <w:tcPr>
            <w:tcW w:w="3261" w:type="dxa"/>
            <w:shd w:val="clear" w:color="auto" w:fill="auto"/>
          </w:tcPr>
          <w:p w:rsidR="0072057D" w:rsidRPr="006F24EC" w:rsidRDefault="0072057D" w:rsidP="00B408E0">
            <w:pPr>
              <w:spacing w:after="0" w:line="240" w:lineRule="auto"/>
              <w:rPr>
                <w:rFonts w:ascii="Times New Roman" w:hAnsi="Times New Roman"/>
                <w:sz w:val="26"/>
                <w:szCs w:val="26"/>
                <w:lang w:val="lv-LV"/>
              </w:rPr>
            </w:pPr>
            <w:r w:rsidRPr="006F24EC">
              <w:rPr>
                <w:rFonts w:ascii="Times New Roman" w:hAnsi="Times New Roman"/>
                <w:sz w:val="26"/>
                <w:szCs w:val="26"/>
                <w:lang w:val="lv-LV"/>
              </w:rPr>
              <w:t xml:space="preserve">Sabiedrības </w:t>
            </w:r>
            <w:proofErr w:type="spellStart"/>
            <w:r w:rsidRPr="006F24EC">
              <w:rPr>
                <w:rFonts w:ascii="Times New Roman" w:hAnsi="Times New Roman"/>
                <w:sz w:val="26"/>
                <w:szCs w:val="26"/>
                <w:lang w:val="lv-LV"/>
              </w:rPr>
              <w:t>mērķgrupas</w:t>
            </w:r>
            <w:proofErr w:type="spellEnd"/>
            <w:r w:rsidRPr="006F24EC">
              <w:rPr>
                <w:rFonts w:ascii="Times New Roman" w:hAnsi="Times New Roman"/>
                <w:sz w:val="26"/>
                <w:szCs w:val="26"/>
                <w:lang w:val="lv-LV"/>
              </w:rPr>
              <w:t>, kuras tiesiskais regulējums ietekmē vai varētu ietekmēt</w:t>
            </w:r>
          </w:p>
        </w:tc>
        <w:tc>
          <w:tcPr>
            <w:tcW w:w="5419" w:type="dxa"/>
            <w:shd w:val="clear" w:color="auto" w:fill="auto"/>
          </w:tcPr>
          <w:p w:rsidR="0072057D" w:rsidRPr="00E74904" w:rsidRDefault="00702E61" w:rsidP="0072057D">
            <w:pPr>
              <w:spacing w:after="0" w:line="240" w:lineRule="auto"/>
              <w:jc w:val="both"/>
              <w:rPr>
                <w:rFonts w:ascii="Times New Roman" w:hAnsi="Times New Roman"/>
                <w:iCs/>
                <w:sz w:val="26"/>
                <w:szCs w:val="26"/>
                <w:lang w:val="lv-LV"/>
              </w:rPr>
            </w:pPr>
            <w:r w:rsidRPr="00E74904">
              <w:rPr>
                <w:rFonts w:ascii="Times New Roman" w:hAnsi="Times New Roman"/>
                <w:iCs/>
                <w:sz w:val="26"/>
                <w:szCs w:val="26"/>
                <w:lang w:val="lv-LV"/>
              </w:rPr>
              <w:t xml:space="preserve">Latvijas </w:t>
            </w:r>
            <w:proofErr w:type="spellStart"/>
            <w:r w:rsidRPr="00E74904">
              <w:rPr>
                <w:rFonts w:ascii="Times New Roman" w:hAnsi="Times New Roman"/>
                <w:iCs/>
                <w:sz w:val="26"/>
                <w:szCs w:val="26"/>
                <w:lang w:val="lv-LV"/>
              </w:rPr>
              <w:t>valstspiederīgie</w:t>
            </w:r>
            <w:proofErr w:type="spellEnd"/>
            <w:r w:rsidRPr="00E74904">
              <w:rPr>
                <w:rFonts w:ascii="Times New Roman" w:hAnsi="Times New Roman"/>
                <w:iCs/>
                <w:sz w:val="26"/>
                <w:szCs w:val="26"/>
                <w:lang w:val="lv-LV"/>
              </w:rPr>
              <w:t xml:space="preserve"> jūrnieki un jūrnieki, kas ir nodarbināti uz Latvijas karoga kuģiem.</w:t>
            </w:r>
          </w:p>
        </w:tc>
      </w:tr>
      <w:tr w:rsidR="0072057D" w:rsidRPr="006A277B" w:rsidTr="0072057D">
        <w:tc>
          <w:tcPr>
            <w:tcW w:w="675" w:type="dxa"/>
            <w:shd w:val="clear" w:color="auto" w:fill="auto"/>
          </w:tcPr>
          <w:p w:rsidR="0072057D" w:rsidRPr="006F24EC" w:rsidRDefault="0072057D" w:rsidP="00B408E0">
            <w:pPr>
              <w:spacing w:after="0" w:line="240" w:lineRule="auto"/>
              <w:rPr>
                <w:rFonts w:ascii="Times New Roman" w:hAnsi="Times New Roman"/>
                <w:sz w:val="26"/>
                <w:szCs w:val="26"/>
              </w:rPr>
            </w:pPr>
            <w:r w:rsidRPr="006F24EC">
              <w:rPr>
                <w:rFonts w:ascii="Times New Roman" w:hAnsi="Times New Roman"/>
                <w:sz w:val="26"/>
                <w:szCs w:val="26"/>
              </w:rPr>
              <w:t>2.</w:t>
            </w:r>
          </w:p>
        </w:tc>
        <w:tc>
          <w:tcPr>
            <w:tcW w:w="3261" w:type="dxa"/>
            <w:shd w:val="clear" w:color="auto" w:fill="auto"/>
          </w:tcPr>
          <w:p w:rsidR="0072057D" w:rsidRPr="006F24EC" w:rsidRDefault="0072057D" w:rsidP="00B408E0">
            <w:pPr>
              <w:spacing w:after="0" w:line="240" w:lineRule="auto"/>
              <w:rPr>
                <w:rFonts w:ascii="Times New Roman" w:hAnsi="Times New Roman"/>
                <w:sz w:val="26"/>
                <w:szCs w:val="26"/>
              </w:rPr>
            </w:pPr>
            <w:proofErr w:type="spellStart"/>
            <w:r w:rsidRPr="006F24EC">
              <w:rPr>
                <w:rFonts w:ascii="Times New Roman" w:hAnsi="Times New Roman"/>
                <w:sz w:val="26"/>
                <w:szCs w:val="26"/>
              </w:rPr>
              <w:t>Tiesiskā</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regulējuma</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ietekme</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uz</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tautsaimniecību</w:t>
            </w:r>
            <w:proofErr w:type="spellEnd"/>
            <w:r w:rsidRPr="006F24EC">
              <w:rPr>
                <w:rFonts w:ascii="Times New Roman" w:hAnsi="Times New Roman"/>
                <w:sz w:val="26"/>
                <w:szCs w:val="26"/>
              </w:rPr>
              <w:t xml:space="preserve"> un </w:t>
            </w:r>
            <w:proofErr w:type="spellStart"/>
            <w:r w:rsidRPr="006F24EC">
              <w:rPr>
                <w:rFonts w:ascii="Times New Roman" w:hAnsi="Times New Roman"/>
                <w:sz w:val="26"/>
                <w:szCs w:val="26"/>
              </w:rPr>
              <w:t>administratīvo</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slogu</w:t>
            </w:r>
            <w:proofErr w:type="spellEnd"/>
          </w:p>
        </w:tc>
        <w:tc>
          <w:tcPr>
            <w:tcW w:w="5419" w:type="dxa"/>
            <w:shd w:val="clear" w:color="auto" w:fill="auto"/>
          </w:tcPr>
          <w:p w:rsidR="0072057D" w:rsidRPr="00E74904" w:rsidRDefault="0072057D" w:rsidP="00B408E0">
            <w:pPr>
              <w:spacing w:after="0" w:line="240" w:lineRule="auto"/>
              <w:jc w:val="both"/>
              <w:rPr>
                <w:rFonts w:ascii="Times New Roman" w:hAnsi="Times New Roman"/>
                <w:sz w:val="26"/>
                <w:szCs w:val="26"/>
              </w:rPr>
            </w:pPr>
            <w:proofErr w:type="spellStart"/>
            <w:r w:rsidRPr="00E74904">
              <w:rPr>
                <w:rFonts w:ascii="Times New Roman" w:hAnsi="Times New Roman"/>
                <w:sz w:val="26"/>
                <w:szCs w:val="26"/>
              </w:rPr>
              <w:t>Ar</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projektu</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netiek</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mainīts</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mērķgrupu</w:t>
            </w:r>
            <w:proofErr w:type="spellEnd"/>
            <w:r w:rsidRPr="00E74904">
              <w:rPr>
                <w:rFonts w:ascii="Times New Roman" w:hAnsi="Times New Roman"/>
                <w:sz w:val="26"/>
                <w:szCs w:val="26"/>
              </w:rPr>
              <w:t xml:space="preserve"> un </w:t>
            </w:r>
            <w:proofErr w:type="spellStart"/>
            <w:r w:rsidRPr="00E74904">
              <w:rPr>
                <w:rFonts w:ascii="Times New Roman" w:hAnsi="Times New Roman"/>
                <w:sz w:val="26"/>
                <w:szCs w:val="26"/>
              </w:rPr>
              <w:t>institūciju</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administratīvais</w:t>
            </w:r>
            <w:proofErr w:type="spellEnd"/>
            <w:r w:rsidRPr="00E74904">
              <w:rPr>
                <w:rFonts w:ascii="Times New Roman" w:hAnsi="Times New Roman"/>
                <w:sz w:val="26"/>
                <w:szCs w:val="26"/>
              </w:rPr>
              <w:t xml:space="preserve"> slogs.</w:t>
            </w:r>
          </w:p>
          <w:p w:rsidR="0072057D" w:rsidRPr="00E74904" w:rsidRDefault="0072057D" w:rsidP="00B408E0">
            <w:pPr>
              <w:spacing w:after="0" w:line="240" w:lineRule="auto"/>
              <w:jc w:val="both"/>
              <w:rPr>
                <w:rFonts w:ascii="Times New Roman" w:hAnsi="Times New Roman"/>
                <w:sz w:val="26"/>
                <w:szCs w:val="26"/>
              </w:rPr>
            </w:pPr>
          </w:p>
        </w:tc>
      </w:tr>
      <w:tr w:rsidR="0072057D" w:rsidRPr="006A277B" w:rsidTr="0072057D">
        <w:tc>
          <w:tcPr>
            <w:tcW w:w="675" w:type="dxa"/>
            <w:shd w:val="clear" w:color="auto" w:fill="auto"/>
          </w:tcPr>
          <w:p w:rsidR="0072057D" w:rsidRPr="006F24EC" w:rsidRDefault="0072057D" w:rsidP="00B408E0">
            <w:pPr>
              <w:spacing w:after="0" w:line="240" w:lineRule="auto"/>
              <w:rPr>
                <w:rFonts w:ascii="Times New Roman" w:hAnsi="Times New Roman"/>
                <w:sz w:val="26"/>
                <w:szCs w:val="26"/>
              </w:rPr>
            </w:pPr>
            <w:r w:rsidRPr="006F24EC">
              <w:rPr>
                <w:rFonts w:ascii="Times New Roman" w:hAnsi="Times New Roman"/>
                <w:sz w:val="26"/>
                <w:szCs w:val="26"/>
              </w:rPr>
              <w:t>3.</w:t>
            </w:r>
          </w:p>
        </w:tc>
        <w:tc>
          <w:tcPr>
            <w:tcW w:w="3261" w:type="dxa"/>
            <w:shd w:val="clear" w:color="auto" w:fill="auto"/>
          </w:tcPr>
          <w:p w:rsidR="0072057D" w:rsidRPr="006F24EC" w:rsidRDefault="0072057D" w:rsidP="00B408E0">
            <w:pPr>
              <w:spacing w:after="0" w:line="240" w:lineRule="auto"/>
              <w:rPr>
                <w:rFonts w:ascii="Times New Roman" w:hAnsi="Times New Roman"/>
                <w:sz w:val="26"/>
                <w:szCs w:val="26"/>
              </w:rPr>
            </w:pPr>
            <w:proofErr w:type="spellStart"/>
            <w:r w:rsidRPr="006F24EC">
              <w:rPr>
                <w:rFonts w:ascii="Times New Roman" w:hAnsi="Times New Roman"/>
                <w:sz w:val="26"/>
                <w:szCs w:val="26"/>
              </w:rPr>
              <w:t>Administratīvo</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izmaksu</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monetārs</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novērtējums</w:t>
            </w:r>
            <w:proofErr w:type="spellEnd"/>
          </w:p>
        </w:tc>
        <w:tc>
          <w:tcPr>
            <w:tcW w:w="5419" w:type="dxa"/>
            <w:shd w:val="clear" w:color="auto" w:fill="auto"/>
          </w:tcPr>
          <w:p w:rsidR="0072057D" w:rsidRPr="00E74904" w:rsidRDefault="005118F8" w:rsidP="00135C9D">
            <w:pPr>
              <w:spacing w:after="0" w:line="240" w:lineRule="auto"/>
              <w:jc w:val="both"/>
              <w:rPr>
                <w:rFonts w:ascii="Times New Roman" w:hAnsi="Times New Roman"/>
                <w:sz w:val="26"/>
                <w:szCs w:val="26"/>
              </w:rPr>
            </w:pPr>
            <w:proofErr w:type="spellStart"/>
            <w:r w:rsidRPr="00E74904">
              <w:rPr>
                <w:rFonts w:ascii="Times New Roman" w:hAnsi="Times New Roman"/>
                <w:sz w:val="26"/>
                <w:szCs w:val="26"/>
              </w:rPr>
              <w:t>Projekts</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šo</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jomu</w:t>
            </w:r>
            <w:proofErr w:type="spellEnd"/>
            <w:r w:rsidRPr="00E74904">
              <w:rPr>
                <w:rFonts w:ascii="Times New Roman" w:hAnsi="Times New Roman"/>
                <w:sz w:val="26"/>
                <w:szCs w:val="26"/>
              </w:rPr>
              <w:t xml:space="preserve"> </w:t>
            </w:r>
            <w:proofErr w:type="spellStart"/>
            <w:r w:rsidRPr="00E74904">
              <w:rPr>
                <w:rFonts w:ascii="Times New Roman" w:hAnsi="Times New Roman"/>
                <w:sz w:val="26"/>
                <w:szCs w:val="26"/>
              </w:rPr>
              <w:t>neskar</w:t>
            </w:r>
            <w:proofErr w:type="spellEnd"/>
            <w:r w:rsidRPr="00E74904">
              <w:rPr>
                <w:rFonts w:ascii="Times New Roman" w:hAnsi="Times New Roman"/>
                <w:sz w:val="26"/>
                <w:szCs w:val="26"/>
              </w:rPr>
              <w:t>.</w:t>
            </w:r>
          </w:p>
        </w:tc>
      </w:tr>
      <w:tr w:rsidR="0072057D" w:rsidRPr="006A277B" w:rsidTr="0072057D">
        <w:tc>
          <w:tcPr>
            <w:tcW w:w="675" w:type="dxa"/>
            <w:shd w:val="clear" w:color="auto" w:fill="auto"/>
          </w:tcPr>
          <w:p w:rsidR="0072057D" w:rsidRPr="006F24EC" w:rsidRDefault="0072057D" w:rsidP="00B408E0">
            <w:pPr>
              <w:spacing w:after="0" w:line="240" w:lineRule="auto"/>
              <w:rPr>
                <w:rFonts w:ascii="Times New Roman" w:hAnsi="Times New Roman"/>
                <w:sz w:val="26"/>
                <w:szCs w:val="26"/>
              </w:rPr>
            </w:pPr>
            <w:r w:rsidRPr="006F24EC">
              <w:rPr>
                <w:rFonts w:ascii="Times New Roman" w:hAnsi="Times New Roman"/>
                <w:sz w:val="26"/>
                <w:szCs w:val="26"/>
              </w:rPr>
              <w:t>4.</w:t>
            </w:r>
          </w:p>
        </w:tc>
        <w:tc>
          <w:tcPr>
            <w:tcW w:w="3261" w:type="dxa"/>
            <w:shd w:val="clear" w:color="auto" w:fill="auto"/>
          </w:tcPr>
          <w:p w:rsidR="0072057D" w:rsidRPr="006F24EC" w:rsidRDefault="0072057D" w:rsidP="00B408E0">
            <w:pPr>
              <w:spacing w:after="0" w:line="240" w:lineRule="auto"/>
              <w:rPr>
                <w:rFonts w:ascii="Times New Roman" w:hAnsi="Times New Roman"/>
                <w:sz w:val="26"/>
                <w:szCs w:val="26"/>
              </w:rPr>
            </w:pPr>
            <w:proofErr w:type="spellStart"/>
            <w:r w:rsidRPr="006F24EC">
              <w:rPr>
                <w:rFonts w:ascii="Times New Roman" w:hAnsi="Times New Roman"/>
                <w:sz w:val="26"/>
                <w:szCs w:val="26"/>
              </w:rPr>
              <w:t>Cita</w:t>
            </w:r>
            <w:proofErr w:type="spellEnd"/>
            <w:r w:rsidRPr="006F24EC">
              <w:rPr>
                <w:rFonts w:ascii="Times New Roman" w:hAnsi="Times New Roman"/>
                <w:sz w:val="26"/>
                <w:szCs w:val="26"/>
              </w:rPr>
              <w:t xml:space="preserve"> </w:t>
            </w:r>
            <w:proofErr w:type="spellStart"/>
            <w:r w:rsidRPr="006F24EC">
              <w:rPr>
                <w:rFonts w:ascii="Times New Roman" w:hAnsi="Times New Roman"/>
                <w:sz w:val="26"/>
                <w:szCs w:val="26"/>
              </w:rPr>
              <w:t>informācija</w:t>
            </w:r>
            <w:proofErr w:type="spellEnd"/>
          </w:p>
        </w:tc>
        <w:tc>
          <w:tcPr>
            <w:tcW w:w="5419" w:type="dxa"/>
            <w:shd w:val="clear" w:color="auto" w:fill="auto"/>
          </w:tcPr>
          <w:p w:rsidR="0072057D" w:rsidRPr="00E74904" w:rsidRDefault="0072057D" w:rsidP="00B408E0">
            <w:pPr>
              <w:spacing w:after="0" w:line="240" w:lineRule="auto"/>
              <w:rPr>
                <w:rFonts w:ascii="Times New Roman" w:hAnsi="Times New Roman"/>
                <w:sz w:val="26"/>
                <w:szCs w:val="26"/>
              </w:rPr>
            </w:pPr>
            <w:r w:rsidRPr="00E74904">
              <w:rPr>
                <w:rFonts w:ascii="Times New Roman" w:hAnsi="Times New Roman"/>
                <w:sz w:val="26"/>
                <w:szCs w:val="26"/>
              </w:rPr>
              <w:t>Nav.</w:t>
            </w:r>
          </w:p>
          <w:p w:rsidR="0072057D" w:rsidRPr="00E74904" w:rsidRDefault="0072057D" w:rsidP="00B408E0">
            <w:pPr>
              <w:spacing w:after="0" w:line="240" w:lineRule="auto"/>
              <w:rPr>
                <w:rFonts w:ascii="Times New Roman" w:hAnsi="Times New Roman"/>
                <w:sz w:val="26"/>
                <w:szCs w:val="26"/>
              </w:rPr>
            </w:pPr>
          </w:p>
          <w:p w:rsidR="0072057D" w:rsidRPr="00E74904" w:rsidRDefault="0072057D" w:rsidP="00B408E0">
            <w:pPr>
              <w:spacing w:after="0" w:line="240" w:lineRule="auto"/>
              <w:rPr>
                <w:rFonts w:ascii="Times New Roman" w:hAnsi="Times New Roman"/>
                <w:sz w:val="26"/>
                <w:szCs w:val="26"/>
              </w:rPr>
            </w:pPr>
          </w:p>
        </w:tc>
      </w:tr>
    </w:tbl>
    <w:p w:rsidR="0072057D" w:rsidRPr="00074799" w:rsidRDefault="0072057D" w:rsidP="00074799">
      <w:pPr>
        <w:spacing w:before="100" w:beforeAutospacing="1" w:after="100" w:afterAutospacing="1" w:line="360" w:lineRule="auto"/>
        <w:ind w:firstLine="300"/>
        <w:rPr>
          <w:rFonts w:ascii="Arial" w:eastAsia="Times New Roman" w:hAnsi="Arial" w:cs="Arial"/>
          <w:color w:val="414142"/>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1323"/>
        <w:gridCol w:w="1348"/>
        <w:gridCol w:w="1434"/>
        <w:gridCol w:w="1434"/>
        <w:gridCol w:w="1683"/>
      </w:tblGrid>
      <w:tr w:rsidR="00E03269" w:rsidRPr="00CA3354" w:rsidTr="00FC6EC6">
        <w:trPr>
          <w:trHeight w:val="652"/>
        </w:trPr>
        <w:tc>
          <w:tcPr>
            <w:tcW w:w="5000" w:type="pct"/>
            <w:gridSpan w:val="6"/>
            <w:tcBorders>
              <w:top w:val="single" w:sz="4" w:space="0" w:color="auto"/>
              <w:left w:val="single" w:sz="4" w:space="0" w:color="auto"/>
              <w:bottom w:val="single" w:sz="4" w:space="0" w:color="auto"/>
              <w:right w:val="single" w:sz="4" w:space="0" w:color="auto"/>
            </w:tcBorders>
            <w:hideMark/>
          </w:tcPr>
          <w:p w:rsidR="00E03269" w:rsidRPr="00CA3354" w:rsidRDefault="00E03269" w:rsidP="00FC6EC6">
            <w:pPr>
              <w:spacing w:after="0" w:line="240" w:lineRule="auto"/>
              <w:jc w:val="center"/>
              <w:rPr>
                <w:rFonts w:ascii="Times New Roman" w:eastAsia="Times New Roman" w:hAnsi="Times New Roman"/>
                <w:b/>
                <w:bCs/>
                <w:color w:val="000000"/>
                <w:sz w:val="26"/>
                <w:szCs w:val="26"/>
              </w:rPr>
            </w:pPr>
            <w:r w:rsidRPr="00CA3354">
              <w:rPr>
                <w:rFonts w:ascii="Times New Roman" w:eastAsia="Times New Roman" w:hAnsi="Times New Roman"/>
                <w:b/>
                <w:color w:val="000000"/>
                <w:sz w:val="26"/>
                <w:szCs w:val="26"/>
              </w:rPr>
              <w:br w:type="page"/>
            </w:r>
            <w:r w:rsidRPr="00CA3354">
              <w:rPr>
                <w:rFonts w:ascii="Times New Roman" w:eastAsia="Times New Roman" w:hAnsi="Times New Roman"/>
                <w:b/>
                <w:bCs/>
                <w:color w:val="000000"/>
                <w:sz w:val="26"/>
                <w:szCs w:val="26"/>
              </w:rPr>
              <w:t xml:space="preserve">III. </w:t>
            </w:r>
            <w:proofErr w:type="spellStart"/>
            <w:r w:rsidRPr="00CA3354">
              <w:rPr>
                <w:rFonts w:ascii="Times New Roman" w:eastAsia="Times New Roman" w:hAnsi="Times New Roman"/>
                <w:b/>
                <w:bCs/>
                <w:color w:val="000000"/>
                <w:sz w:val="26"/>
                <w:szCs w:val="26"/>
              </w:rPr>
              <w:t>Tiesību</w:t>
            </w:r>
            <w:proofErr w:type="spellEnd"/>
            <w:r w:rsidRPr="00CA3354">
              <w:rPr>
                <w:rFonts w:ascii="Times New Roman" w:eastAsia="Times New Roman" w:hAnsi="Times New Roman"/>
                <w:b/>
                <w:bCs/>
                <w:color w:val="000000"/>
                <w:sz w:val="26"/>
                <w:szCs w:val="26"/>
              </w:rPr>
              <w:t xml:space="preserve"> </w:t>
            </w:r>
            <w:proofErr w:type="spellStart"/>
            <w:r w:rsidRPr="00CA3354">
              <w:rPr>
                <w:rFonts w:ascii="Times New Roman" w:eastAsia="Times New Roman" w:hAnsi="Times New Roman"/>
                <w:b/>
                <w:bCs/>
                <w:color w:val="000000"/>
                <w:sz w:val="26"/>
                <w:szCs w:val="26"/>
              </w:rPr>
              <w:t>akta</w:t>
            </w:r>
            <w:proofErr w:type="spellEnd"/>
            <w:r w:rsidRPr="00CA3354">
              <w:rPr>
                <w:rFonts w:ascii="Times New Roman" w:eastAsia="Times New Roman" w:hAnsi="Times New Roman"/>
                <w:b/>
                <w:bCs/>
                <w:color w:val="000000"/>
                <w:sz w:val="26"/>
                <w:szCs w:val="26"/>
              </w:rPr>
              <w:t xml:space="preserve"> </w:t>
            </w:r>
            <w:proofErr w:type="spellStart"/>
            <w:r w:rsidRPr="00CA3354">
              <w:rPr>
                <w:rFonts w:ascii="Times New Roman" w:eastAsia="Times New Roman" w:hAnsi="Times New Roman"/>
                <w:b/>
                <w:bCs/>
                <w:color w:val="000000"/>
                <w:sz w:val="26"/>
                <w:szCs w:val="26"/>
              </w:rPr>
              <w:t>projekta</w:t>
            </w:r>
            <w:proofErr w:type="spellEnd"/>
            <w:r w:rsidRPr="00CA3354">
              <w:rPr>
                <w:rFonts w:ascii="Times New Roman" w:eastAsia="Times New Roman" w:hAnsi="Times New Roman"/>
                <w:b/>
                <w:bCs/>
                <w:color w:val="000000"/>
                <w:sz w:val="26"/>
                <w:szCs w:val="26"/>
              </w:rPr>
              <w:t xml:space="preserve"> </w:t>
            </w:r>
            <w:proofErr w:type="spellStart"/>
            <w:r w:rsidRPr="00CA3354">
              <w:rPr>
                <w:rFonts w:ascii="Times New Roman" w:eastAsia="Times New Roman" w:hAnsi="Times New Roman"/>
                <w:b/>
                <w:bCs/>
                <w:color w:val="000000"/>
                <w:sz w:val="26"/>
                <w:szCs w:val="26"/>
              </w:rPr>
              <w:t>ietekme</w:t>
            </w:r>
            <w:proofErr w:type="spellEnd"/>
            <w:r w:rsidRPr="00CA3354">
              <w:rPr>
                <w:rFonts w:ascii="Times New Roman" w:eastAsia="Times New Roman" w:hAnsi="Times New Roman"/>
                <w:b/>
                <w:bCs/>
                <w:color w:val="000000"/>
                <w:sz w:val="26"/>
                <w:szCs w:val="26"/>
              </w:rPr>
              <w:t xml:space="preserve"> </w:t>
            </w:r>
            <w:proofErr w:type="spellStart"/>
            <w:r w:rsidRPr="00CA3354">
              <w:rPr>
                <w:rFonts w:ascii="Times New Roman" w:eastAsia="Times New Roman" w:hAnsi="Times New Roman"/>
                <w:b/>
                <w:bCs/>
                <w:color w:val="000000"/>
                <w:sz w:val="26"/>
                <w:szCs w:val="26"/>
              </w:rPr>
              <w:t>uz</w:t>
            </w:r>
            <w:proofErr w:type="spellEnd"/>
            <w:r w:rsidRPr="00CA3354">
              <w:rPr>
                <w:rFonts w:ascii="Times New Roman" w:eastAsia="Times New Roman" w:hAnsi="Times New Roman"/>
                <w:b/>
                <w:bCs/>
                <w:color w:val="000000"/>
                <w:sz w:val="26"/>
                <w:szCs w:val="26"/>
              </w:rPr>
              <w:t xml:space="preserve"> </w:t>
            </w:r>
            <w:proofErr w:type="spellStart"/>
            <w:r w:rsidRPr="00CA3354">
              <w:rPr>
                <w:rFonts w:ascii="Times New Roman" w:eastAsia="Times New Roman" w:hAnsi="Times New Roman"/>
                <w:b/>
                <w:bCs/>
                <w:color w:val="000000"/>
                <w:sz w:val="26"/>
                <w:szCs w:val="26"/>
              </w:rPr>
              <w:t>valsts</w:t>
            </w:r>
            <w:proofErr w:type="spellEnd"/>
            <w:r w:rsidRPr="00CA3354">
              <w:rPr>
                <w:rFonts w:ascii="Times New Roman" w:eastAsia="Times New Roman" w:hAnsi="Times New Roman"/>
                <w:b/>
                <w:bCs/>
                <w:color w:val="000000"/>
                <w:sz w:val="26"/>
                <w:szCs w:val="26"/>
              </w:rPr>
              <w:t xml:space="preserve"> </w:t>
            </w:r>
            <w:proofErr w:type="spellStart"/>
            <w:r w:rsidRPr="00CA3354">
              <w:rPr>
                <w:rFonts w:ascii="Times New Roman" w:eastAsia="Times New Roman" w:hAnsi="Times New Roman"/>
                <w:b/>
                <w:bCs/>
                <w:color w:val="000000"/>
                <w:sz w:val="26"/>
                <w:szCs w:val="26"/>
              </w:rPr>
              <w:t>budžetu</w:t>
            </w:r>
            <w:proofErr w:type="spellEnd"/>
            <w:r w:rsidRPr="00CA3354">
              <w:rPr>
                <w:rFonts w:ascii="Times New Roman" w:eastAsia="Times New Roman" w:hAnsi="Times New Roman"/>
                <w:b/>
                <w:bCs/>
                <w:color w:val="000000"/>
                <w:sz w:val="26"/>
                <w:szCs w:val="26"/>
              </w:rPr>
              <w:t xml:space="preserve"> un </w:t>
            </w:r>
            <w:proofErr w:type="spellStart"/>
            <w:r w:rsidRPr="00CA3354">
              <w:rPr>
                <w:rFonts w:ascii="Times New Roman" w:eastAsia="Times New Roman" w:hAnsi="Times New Roman"/>
                <w:b/>
                <w:bCs/>
                <w:color w:val="000000"/>
                <w:sz w:val="26"/>
                <w:szCs w:val="26"/>
              </w:rPr>
              <w:t>pašvaldību</w:t>
            </w:r>
            <w:proofErr w:type="spellEnd"/>
            <w:r w:rsidRPr="00CA3354">
              <w:rPr>
                <w:rFonts w:ascii="Times New Roman" w:eastAsia="Times New Roman" w:hAnsi="Times New Roman"/>
                <w:b/>
                <w:bCs/>
                <w:color w:val="000000"/>
                <w:sz w:val="26"/>
                <w:szCs w:val="26"/>
              </w:rPr>
              <w:t xml:space="preserve"> </w:t>
            </w:r>
            <w:proofErr w:type="spellStart"/>
            <w:r w:rsidRPr="00CA3354">
              <w:rPr>
                <w:rFonts w:ascii="Times New Roman" w:eastAsia="Times New Roman" w:hAnsi="Times New Roman"/>
                <w:b/>
                <w:bCs/>
                <w:color w:val="000000"/>
                <w:sz w:val="26"/>
                <w:szCs w:val="26"/>
              </w:rPr>
              <w:t>budžetiem</w:t>
            </w:r>
            <w:proofErr w:type="spellEnd"/>
          </w:p>
          <w:p w:rsidR="00E03269" w:rsidRPr="00CA3354" w:rsidRDefault="00E03269" w:rsidP="00FC6EC6">
            <w:pPr>
              <w:spacing w:after="0" w:line="240" w:lineRule="auto"/>
              <w:jc w:val="center"/>
              <w:rPr>
                <w:rFonts w:ascii="Times New Roman" w:eastAsia="Times New Roman" w:hAnsi="Times New Roman"/>
                <w:b/>
                <w:bCs/>
                <w:i/>
                <w:color w:val="000000"/>
                <w:sz w:val="26"/>
                <w:szCs w:val="26"/>
              </w:rPr>
            </w:pPr>
          </w:p>
        </w:tc>
      </w:tr>
      <w:tr w:rsidR="00E03269" w:rsidRPr="00CA3354" w:rsidTr="00BC4CF8">
        <w:tc>
          <w:tcPr>
            <w:tcW w:w="1228" w:type="pct"/>
            <w:vMerge w:val="restar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color w:val="000000"/>
                <w:sz w:val="26"/>
                <w:szCs w:val="26"/>
              </w:rPr>
            </w:pPr>
            <w:proofErr w:type="spellStart"/>
            <w:r w:rsidRPr="006F24EC">
              <w:rPr>
                <w:rFonts w:ascii="Times New Roman" w:eastAsia="Times New Roman" w:hAnsi="Times New Roman"/>
                <w:color w:val="000000"/>
                <w:sz w:val="26"/>
                <w:szCs w:val="26"/>
              </w:rPr>
              <w:t>Rādītāji</w:t>
            </w:r>
            <w:proofErr w:type="spellEnd"/>
          </w:p>
        </w:tc>
        <w:tc>
          <w:tcPr>
            <w:tcW w:w="139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03269" w:rsidRPr="006F24EC" w:rsidRDefault="00123156"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2015</w:t>
            </w:r>
            <w:r w:rsidR="00E03269" w:rsidRPr="006F24EC">
              <w:rPr>
                <w:rFonts w:ascii="Times New Roman" w:eastAsia="Times New Roman" w:hAnsi="Times New Roman"/>
                <w:color w:val="000000"/>
                <w:sz w:val="26"/>
                <w:szCs w:val="26"/>
              </w:rPr>
              <w:t>. gads</w:t>
            </w:r>
          </w:p>
        </w:tc>
        <w:tc>
          <w:tcPr>
            <w:tcW w:w="2378" w:type="pct"/>
            <w:gridSpan w:val="3"/>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i/>
                <w:color w:val="000000"/>
                <w:sz w:val="26"/>
                <w:szCs w:val="26"/>
              </w:rPr>
            </w:pPr>
            <w:proofErr w:type="spellStart"/>
            <w:r w:rsidRPr="006F24EC">
              <w:rPr>
                <w:rFonts w:ascii="Times New Roman" w:eastAsia="Times New Roman" w:hAnsi="Times New Roman"/>
                <w:color w:val="000000"/>
                <w:sz w:val="26"/>
                <w:szCs w:val="26"/>
              </w:rPr>
              <w:t>Turpmākie</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trīs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gadi</w:t>
            </w:r>
            <w:proofErr w:type="spellEnd"/>
            <w:r w:rsidRPr="006F24EC">
              <w:rPr>
                <w:rFonts w:ascii="Times New Roman" w:eastAsia="Times New Roman" w:hAnsi="Times New Roman"/>
                <w:color w:val="000000"/>
                <w:sz w:val="26"/>
                <w:szCs w:val="26"/>
              </w:rPr>
              <w:t xml:space="preserve"> </w:t>
            </w:r>
            <w:r w:rsidRPr="006F24EC">
              <w:rPr>
                <w:rFonts w:ascii="Times New Roman" w:hAnsi="Times New Roman"/>
                <w:color w:val="414142"/>
                <w:sz w:val="26"/>
                <w:szCs w:val="26"/>
              </w:rPr>
              <w:t>(</w:t>
            </w:r>
            <w:r w:rsidRPr="006F24EC">
              <w:rPr>
                <w:rFonts w:ascii="Times New Roman" w:hAnsi="Times New Roman"/>
                <w:i/>
                <w:iCs/>
                <w:color w:val="414142"/>
                <w:sz w:val="26"/>
                <w:szCs w:val="26"/>
              </w:rPr>
              <w:t>euro</w:t>
            </w:r>
            <w:r w:rsidRPr="006F24EC">
              <w:rPr>
                <w:rFonts w:ascii="Times New Roman" w:hAnsi="Times New Roman"/>
                <w:color w:val="414142"/>
                <w:sz w:val="26"/>
                <w:szCs w:val="26"/>
              </w:rPr>
              <w:t>)</w:t>
            </w:r>
          </w:p>
        </w:tc>
      </w:tr>
      <w:tr w:rsidR="00E03269" w:rsidRPr="00CA3354" w:rsidTr="00BC4CF8">
        <w:tc>
          <w:tcPr>
            <w:tcW w:w="1228" w:type="pct"/>
            <w:vMerge/>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rPr>
                <w:rFonts w:ascii="Times New Roman" w:eastAsia="Times New Roman" w:hAnsi="Times New Roman"/>
                <w:color w:val="000000"/>
                <w:sz w:val="26"/>
                <w:szCs w:val="26"/>
              </w:rPr>
            </w:pPr>
          </w:p>
        </w:tc>
        <w:tc>
          <w:tcPr>
            <w:tcW w:w="1394" w:type="pct"/>
            <w:gridSpan w:val="2"/>
            <w:vMerge/>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rPr>
                <w:rFonts w:ascii="Times New Roman" w:eastAsia="Times New Roman" w:hAnsi="Times New Roman"/>
                <w:color w:val="000000"/>
                <w:sz w:val="26"/>
                <w:szCs w:val="26"/>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123156"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2016</w:t>
            </w:r>
          </w:p>
        </w:tc>
        <w:tc>
          <w:tcPr>
            <w:tcW w:w="749"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123156"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2017</w:t>
            </w:r>
          </w:p>
        </w:tc>
        <w:tc>
          <w:tcPr>
            <w:tcW w:w="880"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123156"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2018</w:t>
            </w:r>
          </w:p>
        </w:tc>
      </w:tr>
      <w:tr w:rsidR="00E03269" w:rsidRPr="00CA3354" w:rsidTr="00BC4CF8">
        <w:tc>
          <w:tcPr>
            <w:tcW w:w="1228" w:type="pct"/>
            <w:vMerge/>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rPr>
                <w:rFonts w:ascii="Times New Roman" w:eastAsia="Times New Roman" w:hAnsi="Times New Roman"/>
                <w:color w:val="000000"/>
                <w:sz w:val="26"/>
                <w:szCs w:val="26"/>
              </w:rPr>
            </w:pPr>
          </w:p>
        </w:tc>
        <w:tc>
          <w:tcPr>
            <w:tcW w:w="691"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i/>
                <w:color w:val="000000"/>
                <w:sz w:val="26"/>
                <w:szCs w:val="26"/>
              </w:rPr>
            </w:pPr>
            <w:proofErr w:type="spellStart"/>
            <w:r w:rsidRPr="006F24EC">
              <w:rPr>
                <w:rFonts w:ascii="Times New Roman" w:eastAsia="Times New Roman" w:hAnsi="Times New Roman"/>
                <w:color w:val="000000"/>
                <w:sz w:val="26"/>
                <w:szCs w:val="26"/>
              </w:rPr>
              <w:t>Saskaņā</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ar</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valsts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kārtējam</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gadam</w:t>
            </w:r>
            <w:proofErr w:type="spellEnd"/>
          </w:p>
        </w:tc>
        <w:tc>
          <w:tcPr>
            <w:tcW w:w="704"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i/>
                <w:color w:val="000000"/>
                <w:sz w:val="26"/>
                <w:szCs w:val="26"/>
              </w:rPr>
            </w:pPr>
            <w:proofErr w:type="spellStart"/>
            <w:r w:rsidRPr="006F24EC">
              <w:rPr>
                <w:rFonts w:ascii="Times New Roman" w:eastAsia="Times New Roman" w:hAnsi="Times New Roman"/>
                <w:color w:val="000000"/>
                <w:sz w:val="26"/>
                <w:szCs w:val="26"/>
              </w:rPr>
              <w:t>Izmaiņas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kārtējā</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gadā</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salīdzinot</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ar</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kārtējam</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gadam</w:t>
            </w:r>
            <w:proofErr w:type="spellEnd"/>
          </w:p>
        </w:tc>
        <w:tc>
          <w:tcPr>
            <w:tcW w:w="749"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i/>
                <w:color w:val="000000"/>
                <w:sz w:val="26"/>
                <w:szCs w:val="26"/>
              </w:rPr>
            </w:pPr>
            <w:proofErr w:type="spellStart"/>
            <w:r w:rsidRPr="006F24EC">
              <w:rPr>
                <w:rFonts w:ascii="Times New Roman" w:eastAsia="Times New Roman" w:hAnsi="Times New Roman"/>
                <w:color w:val="000000"/>
                <w:sz w:val="26"/>
                <w:szCs w:val="26"/>
              </w:rPr>
              <w:t>Izmaiņas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salīdzinot</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ar</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kārtējo</w:t>
            </w:r>
            <w:proofErr w:type="spellEnd"/>
            <w:r w:rsidRPr="006F24EC">
              <w:rPr>
                <w:rFonts w:ascii="Times New Roman" w:eastAsia="Times New Roman" w:hAnsi="Times New Roman"/>
                <w:color w:val="000000"/>
                <w:sz w:val="26"/>
                <w:szCs w:val="26"/>
              </w:rPr>
              <w:t xml:space="preserve"> (</w:t>
            </w:r>
            <w:r w:rsidR="00123156" w:rsidRPr="006F24EC">
              <w:rPr>
                <w:rFonts w:ascii="Times New Roman" w:eastAsia="Times New Roman" w:hAnsi="Times New Roman"/>
                <w:color w:val="000000"/>
                <w:sz w:val="26"/>
                <w:szCs w:val="26"/>
              </w:rPr>
              <w:t>2015</w:t>
            </w:r>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gadu</w:t>
            </w:r>
            <w:proofErr w:type="spellEnd"/>
          </w:p>
        </w:tc>
        <w:tc>
          <w:tcPr>
            <w:tcW w:w="749"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i/>
                <w:color w:val="000000"/>
                <w:sz w:val="26"/>
                <w:szCs w:val="26"/>
              </w:rPr>
            </w:pPr>
            <w:proofErr w:type="spellStart"/>
            <w:r w:rsidRPr="006F24EC">
              <w:rPr>
                <w:rFonts w:ascii="Times New Roman" w:eastAsia="Times New Roman" w:hAnsi="Times New Roman"/>
                <w:color w:val="000000"/>
                <w:sz w:val="26"/>
                <w:szCs w:val="26"/>
              </w:rPr>
              <w:t>Izmaiņas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salīdzinot</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ar</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kārtējo</w:t>
            </w:r>
            <w:proofErr w:type="spellEnd"/>
            <w:r w:rsidRPr="006F24EC">
              <w:rPr>
                <w:rFonts w:ascii="Times New Roman" w:eastAsia="Times New Roman" w:hAnsi="Times New Roman"/>
                <w:color w:val="000000"/>
                <w:sz w:val="26"/>
                <w:szCs w:val="26"/>
              </w:rPr>
              <w:t xml:space="preserve"> (</w:t>
            </w:r>
            <w:r w:rsidR="00123156" w:rsidRPr="006F24EC">
              <w:rPr>
                <w:rFonts w:ascii="Times New Roman" w:eastAsia="Times New Roman" w:hAnsi="Times New Roman"/>
                <w:color w:val="000000"/>
                <w:sz w:val="26"/>
                <w:szCs w:val="26"/>
              </w:rPr>
              <w:t>2016</w:t>
            </w:r>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gadu</w:t>
            </w:r>
            <w:proofErr w:type="spellEnd"/>
          </w:p>
        </w:tc>
        <w:tc>
          <w:tcPr>
            <w:tcW w:w="880"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i/>
                <w:color w:val="000000"/>
                <w:sz w:val="26"/>
                <w:szCs w:val="26"/>
              </w:rPr>
            </w:pPr>
            <w:proofErr w:type="spellStart"/>
            <w:r w:rsidRPr="006F24EC">
              <w:rPr>
                <w:rFonts w:ascii="Times New Roman" w:eastAsia="Times New Roman" w:hAnsi="Times New Roman"/>
                <w:color w:val="000000"/>
                <w:sz w:val="26"/>
                <w:szCs w:val="26"/>
              </w:rPr>
              <w:t>Izmaiņas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salīdzinot</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ar</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kārtējo</w:t>
            </w:r>
            <w:proofErr w:type="spellEnd"/>
            <w:r w:rsidRPr="006F24EC">
              <w:rPr>
                <w:rFonts w:ascii="Times New Roman" w:eastAsia="Times New Roman" w:hAnsi="Times New Roman"/>
                <w:color w:val="000000"/>
                <w:sz w:val="26"/>
                <w:szCs w:val="26"/>
              </w:rPr>
              <w:t xml:space="preserve"> (</w:t>
            </w:r>
            <w:r w:rsidR="00123156" w:rsidRPr="006F24EC">
              <w:rPr>
                <w:rFonts w:ascii="Times New Roman" w:eastAsia="Times New Roman" w:hAnsi="Times New Roman"/>
                <w:color w:val="000000"/>
                <w:sz w:val="26"/>
                <w:szCs w:val="26"/>
              </w:rPr>
              <w:t>2017</w:t>
            </w:r>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gadu</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bCs/>
                <w:color w:val="000000"/>
                <w:sz w:val="26"/>
                <w:szCs w:val="26"/>
              </w:rPr>
            </w:pPr>
            <w:r w:rsidRPr="006F24EC">
              <w:rPr>
                <w:rFonts w:ascii="Times New Roman" w:eastAsia="Times New Roman" w:hAnsi="Times New Roman"/>
                <w:bCs/>
                <w:color w:val="000000"/>
                <w:sz w:val="26"/>
                <w:szCs w:val="26"/>
              </w:rPr>
              <w:t>1</w:t>
            </w:r>
          </w:p>
        </w:tc>
        <w:tc>
          <w:tcPr>
            <w:tcW w:w="691" w:type="pct"/>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jc w:val="center"/>
              <w:rPr>
                <w:rFonts w:ascii="Times New Roman" w:eastAsia="Times New Roman" w:hAnsi="Times New Roman"/>
                <w:bCs/>
                <w:color w:val="000000"/>
                <w:sz w:val="26"/>
                <w:szCs w:val="26"/>
              </w:rPr>
            </w:pPr>
            <w:r w:rsidRPr="006F24EC">
              <w:rPr>
                <w:rFonts w:ascii="Times New Roman" w:eastAsia="Times New Roman" w:hAnsi="Times New Roman"/>
                <w:bCs/>
                <w:color w:val="000000"/>
                <w:sz w:val="26"/>
                <w:szCs w:val="26"/>
              </w:rPr>
              <w:t>2</w:t>
            </w:r>
          </w:p>
        </w:tc>
        <w:tc>
          <w:tcPr>
            <w:tcW w:w="704" w:type="pct"/>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jc w:val="center"/>
              <w:rPr>
                <w:rFonts w:ascii="Times New Roman" w:eastAsia="Times New Roman" w:hAnsi="Times New Roman"/>
                <w:bCs/>
                <w:color w:val="000000"/>
                <w:sz w:val="26"/>
                <w:szCs w:val="26"/>
              </w:rPr>
            </w:pPr>
            <w:r w:rsidRPr="00EE2826">
              <w:rPr>
                <w:rFonts w:ascii="Times New Roman" w:eastAsia="Times New Roman" w:hAnsi="Times New Roman"/>
                <w:bCs/>
                <w:color w:val="000000"/>
                <w:sz w:val="26"/>
                <w:szCs w:val="26"/>
              </w:rPr>
              <w:t>3</w:t>
            </w:r>
          </w:p>
        </w:tc>
        <w:tc>
          <w:tcPr>
            <w:tcW w:w="749" w:type="pct"/>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jc w:val="center"/>
              <w:rPr>
                <w:rFonts w:ascii="Times New Roman" w:eastAsia="Times New Roman" w:hAnsi="Times New Roman"/>
                <w:bCs/>
                <w:color w:val="000000"/>
                <w:sz w:val="26"/>
                <w:szCs w:val="26"/>
              </w:rPr>
            </w:pPr>
            <w:r w:rsidRPr="00EE2826">
              <w:rPr>
                <w:rFonts w:ascii="Times New Roman" w:eastAsia="Times New Roman" w:hAnsi="Times New Roman"/>
                <w:bCs/>
                <w:color w:val="000000"/>
                <w:sz w:val="26"/>
                <w:szCs w:val="26"/>
              </w:rPr>
              <w:t>4</w:t>
            </w:r>
          </w:p>
        </w:tc>
        <w:tc>
          <w:tcPr>
            <w:tcW w:w="749" w:type="pct"/>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jc w:val="center"/>
              <w:rPr>
                <w:rFonts w:ascii="Times New Roman" w:eastAsia="Times New Roman" w:hAnsi="Times New Roman"/>
                <w:bCs/>
                <w:color w:val="000000"/>
                <w:sz w:val="26"/>
                <w:szCs w:val="26"/>
              </w:rPr>
            </w:pPr>
            <w:r w:rsidRPr="00EE2826">
              <w:rPr>
                <w:rFonts w:ascii="Times New Roman" w:eastAsia="Times New Roman" w:hAnsi="Times New Roman"/>
                <w:bCs/>
                <w:color w:val="000000"/>
                <w:sz w:val="26"/>
                <w:szCs w:val="26"/>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jc w:val="center"/>
              <w:rPr>
                <w:rFonts w:ascii="Times New Roman" w:eastAsia="Times New Roman" w:hAnsi="Times New Roman"/>
                <w:bCs/>
                <w:color w:val="000000"/>
                <w:sz w:val="26"/>
                <w:szCs w:val="26"/>
              </w:rPr>
            </w:pPr>
            <w:r w:rsidRPr="00EE2826">
              <w:rPr>
                <w:rFonts w:ascii="Times New Roman" w:eastAsia="Times New Roman" w:hAnsi="Times New Roman"/>
                <w:bCs/>
                <w:color w:val="000000"/>
                <w:sz w:val="26"/>
                <w:szCs w:val="26"/>
              </w:rPr>
              <w:t>6</w:t>
            </w:r>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i/>
                <w:color w:val="000000"/>
                <w:sz w:val="26"/>
                <w:szCs w:val="26"/>
              </w:rPr>
            </w:pPr>
            <w:r w:rsidRPr="006F24EC">
              <w:rPr>
                <w:rFonts w:ascii="Times New Roman" w:eastAsia="Times New Roman" w:hAnsi="Times New Roman"/>
                <w:color w:val="000000"/>
                <w:sz w:val="26"/>
                <w:szCs w:val="26"/>
              </w:rPr>
              <w:t xml:space="preserve">1. </w:t>
            </w:r>
            <w:proofErr w:type="spellStart"/>
            <w:r w:rsidRPr="006F24EC">
              <w:rPr>
                <w:rFonts w:ascii="Times New Roman" w:eastAsia="Times New Roman" w:hAnsi="Times New Roman"/>
                <w:color w:val="000000"/>
                <w:sz w:val="26"/>
                <w:szCs w:val="26"/>
              </w:rPr>
              <w:t>Budžeta</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ieņēmumi</w:t>
            </w:r>
            <w:proofErr w:type="spellEnd"/>
            <w:r w:rsidRPr="006F24EC">
              <w:rPr>
                <w:rFonts w:ascii="Times New Roman" w:eastAsia="Times New Roman" w:hAnsi="Times New Roman"/>
                <w:color w:val="000000"/>
                <w:sz w:val="26"/>
                <w:szCs w:val="26"/>
              </w:rPr>
              <w:t>:</w:t>
            </w:r>
          </w:p>
        </w:tc>
        <w:tc>
          <w:tcPr>
            <w:tcW w:w="691"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i/>
                <w:color w:val="000000"/>
                <w:sz w:val="26"/>
                <w:szCs w:val="26"/>
              </w:rPr>
            </w:pPr>
            <w:r w:rsidRPr="006F24EC">
              <w:rPr>
                <w:rFonts w:ascii="Times New Roman" w:eastAsia="Times New Roman" w:hAnsi="Times New Roman"/>
                <w:color w:val="000000"/>
                <w:sz w:val="26"/>
                <w:szCs w:val="26"/>
              </w:rPr>
              <w:t xml:space="preserve">1.1. </w:t>
            </w:r>
            <w:proofErr w:type="spellStart"/>
            <w:r w:rsidRPr="006F24EC">
              <w:rPr>
                <w:rFonts w:ascii="Times New Roman" w:eastAsia="Times New Roman" w:hAnsi="Times New Roman"/>
                <w:color w:val="000000"/>
                <w:sz w:val="26"/>
                <w:szCs w:val="26"/>
              </w:rPr>
              <w:t>valsts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pamatbudžets</w:t>
            </w:r>
            <w:proofErr w:type="spellEnd"/>
            <w:r w:rsidRPr="006F24EC">
              <w:rPr>
                <w:rFonts w:ascii="Times New Roman" w:eastAsia="Times New Roman" w:hAnsi="Times New Roman"/>
                <w:color w:val="000000"/>
                <w:sz w:val="26"/>
                <w:szCs w:val="26"/>
              </w:rPr>
              <w:t xml:space="preserve">, tai </w:t>
            </w:r>
            <w:proofErr w:type="spellStart"/>
            <w:r w:rsidRPr="006F24EC">
              <w:rPr>
                <w:rFonts w:ascii="Times New Roman" w:eastAsia="Times New Roman" w:hAnsi="Times New Roman"/>
                <w:color w:val="000000"/>
                <w:sz w:val="26"/>
                <w:szCs w:val="26"/>
              </w:rPr>
              <w:t>skaitā</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ieņēmumi</w:t>
            </w:r>
            <w:proofErr w:type="spellEnd"/>
            <w:r w:rsidRPr="006F24EC">
              <w:rPr>
                <w:rFonts w:ascii="Times New Roman" w:eastAsia="Times New Roman" w:hAnsi="Times New Roman"/>
                <w:color w:val="000000"/>
                <w:sz w:val="26"/>
                <w:szCs w:val="26"/>
              </w:rPr>
              <w:t xml:space="preserve"> no </w:t>
            </w:r>
            <w:proofErr w:type="spellStart"/>
            <w:r w:rsidRPr="006F24EC">
              <w:rPr>
                <w:rFonts w:ascii="Times New Roman" w:eastAsia="Times New Roman" w:hAnsi="Times New Roman"/>
                <w:color w:val="000000"/>
                <w:sz w:val="26"/>
                <w:szCs w:val="26"/>
              </w:rPr>
              <w:t>maksas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pakalpojumiem</w:t>
            </w:r>
            <w:proofErr w:type="spellEnd"/>
            <w:r w:rsidRPr="006F24EC">
              <w:rPr>
                <w:rFonts w:ascii="Times New Roman" w:eastAsia="Times New Roman" w:hAnsi="Times New Roman"/>
                <w:color w:val="000000"/>
                <w:sz w:val="26"/>
                <w:szCs w:val="26"/>
              </w:rPr>
              <w:t xml:space="preserve"> un </w:t>
            </w:r>
            <w:proofErr w:type="spellStart"/>
            <w:r w:rsidRPr="006F24EC">
              <w:rPr>
                <w:rFonts w:ascii="Times New Roman" w:eastAsia="Times New Roman" w:hAnsi="Times New Roman"/>
                <w:color w:val="000000"/>
                <w:sz w:val="26"/>
                <w:szCs w:val="26"/>
              </w:rPr>
              <w:t>citi</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pašu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ieņēmumi</w:t>
            </w:r>
            <w:proofErr w:type="spellEnd"/>
          </w:p>
        </w:tc>
        <w:tc>
          <w:tcPr>
            <w:tcW w:w="691"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i/>
                <w:color w:val="000000"/>
                <w:sz w:val="26"/>
                <w:szCs w:val="26"/>
              </w:rPr>
            </w:pPr>
            <w:r w:rsidRPr="006F24EC">
              <w:rPr>
                <w:rFonts w:ascii="Times New Roman" w:eastAsia="Times New Roman" w:hAnsi="Times New Roman"/>
                <w:color w:val="000000"/>
                <w:sz w:val="26"/>
                <w:szCs w:val="26"/>
              </w:rPr>
              <w:t xml:space="preserve">1.2. </w:t>
            </w:r>
            <w:proofErr w:type="spellStart"/>
            <w:r w:rsidRPr="006F24EC">
              <w:rPr>
                <w:rFonts w:ascii="Times New Roman" w:eastAsia="Times New Roman" w:hAnsi="Times New Roman"/>
                <w:color w:val="000000"/>
                <w:sz w:val="26"/>
                <w:szCs w:val="26"/>
              </w:rPr>
              <w:t>valsts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speciālais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p>
        </w:tc>
        <w:tc>
          <w:tcPr>
            <w:tcW w:w="691"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i/>
                <w:color w:val="000000"/>
                <w:sz w:val="26"/>
                <w:szCs w:val="26"/>
              </w:rPr>
            </w:pPr>
            <w:r w:rsidRPr="006F24EC">
              <w:rPr>
                <w:rFonts w:ascii="Times New Roman" w:eastAsia="Times New Roman" w:hAnsi="Times New Roman"/>
                <w:color w:val="000000"/>
                <w:sz w:val="26"/>
                <w:szCs w:val="26"/>
              </w:rPr>
              <w:t xml:space="preserve">1.3. </w:t>
            </w:r>
            <w:proofErr w:type="spellStart"/>
            <w:r w:rsidRPr="006F24EC">
              <w:rPr>
                <w:rFonts w:ascii="Times New Roman" w:eastAsia="Times New Roman" w:hAnsi="Times New Roman"/>
                <w:color w:val="000000"/>
                <w:sz w:val="26"/>
                <w:szCs w:val="26"/>
              </w:rPr>
              <w:t>pašvaldību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p>
        </w:tc>
        <w:tc>
          <w:tcPr>
            <w:tcW w:w="691"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lastRenderedPageBreak/>
              <w:t xml:space="preserve">2. </w:t>
            </w:r>
            <w:proofErr w:type="spellStart"/>
            <w:r w:rsidRPr="006F24EC">
              <w:rPr>
                <w:rFonts w:ascii="Times New Roman" w:eastAsia="Times New Roman" w:hAnsi="Times New Roman"/>
                <w:color w:val="000000"/>
                <w:sz w:val="26"/>
                <w:szCs w:val="26"/>
              </w:rPr>
              <w:t>Budžeta</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izdevumi</w:t>
            </w:r>
            <w:proofErr w:type="spellEnd"/>
            <w:r w:rsidRPr="006F24EC">
              <w:rPr>
                <w:rFonts w:ascii="Times New Roman" w:eastAsia="Times New Roman" w:hAnsi="Times New Roman"/>
                <w:color w:val="000000"/>
                <w:sz w:val="26"/>
                <w:szCs w:val="26"/>
              </w:rPr>
              <w:t>:</w:t>
            </w:r>
          </w:p>
        </w:tc>
        <w:tc>
          <w:tcPr>
            <w:tcW w:w="691"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jc w:val="center"/>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2.1. </w:t>
            </w:r>
            <w:proofErr w:type="spellStart"/>
            <w:r w:rsidRPr="006F24EC">
              <w:rPr>
                <w:rFonts w:ascii="Times New Roman" w:eastAsia="Times New Roman" w:hAnsi="Times New Roman"/>
                <w:color w:val="000000"/>
                <w:sz w:val="26"/>
                <w:szCs w:val="26"/>
              </w:rPr>
              <w:t>valsts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pamatbudžets</w:t>
            </w:r>
            <w:proofErr w:type="spellEnd"/>
          </w:p>
        </w:tc>
        <w:tc>
          <w:tcPr>
            <w:tcW w:w="691"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2.2. </w:t>
            </w:r>
            <w:proofErr w:type="spellStart"/>
            <w:r w:rsidRPr="006F24EC">
              <w:rPr>
                <w:rFonts w:ascii="Times New Roman" w:eastAsia="Times New Roman" w:hAnsi="Times New Roman"/>
                <w:color w:val="000000"/>
                <w:sz w:val="26"/>
                <w:szCs w:val="26"/>
              </w:rPr>
              <w:t>valsts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speciālais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p>
        </w:tc>
        <w:tc>
          <w:tcPr>
            <w:tcW w:w="691"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2.3. </w:t>
            </w:r>
            <w:proofErr w:type="spellStart"/>
            <w:r w:rsidRPr="006F24EC">
              <w:rPr>
                <w:rFonts w:ascii="Times New Roman" w:eastAsia="Times New Roman" w:hAnsi="Times New Roman"/>
                <w:color w:val="000000"/>
                <w:sz w:val="26"/>
                <w:szCs w:val="26"/>
              </w:rPr>
              <w:t>pašvaldību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r w:rsidRPr="006F24EC">
              <w:rPr>
                <w:rFonts w:ascii="Times New Roman" w:eastAsia="Times New Roman" w:hAnsi="Times New Roman"/>
                <w:color w:val="000000"/>
                <w:sz w:val="26"/>
                <w:szCs w:val="26"/>
              </w:rPr>
              <w:t xml:space="preserve"> </w:t>
            </w:r>
          </w:p>
        </w:tc>
        <w:tc>
          <w:tcPr>
            <w:tcW w:w="691"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3. </w:t>
            </w:r>
            <w:proofErr w:type="spellStart"/>
            <w:r w:rsidRPr="006F24EC">
              <w:rPr>
                <w:rFonts w:ascii="Times New Roman" w:eastAsia="Times New Roman" w:hAnsi="Times New Roman"/>
                <w:color w:val="000000"/>
                <w:sz w:val="26"/>
                <w:szCs w:val="26"/>
              </w:rPr>
              <w:t>Finansiālā</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ietekme</w:t>
            </w:r>
            <w:proofErr w:type="spellEnd"/>
            <w:r w:rsidRPr="006F24EC">
              <w:rPr>
                <w:rFonts w:ascii="Times New Roman" w:eastAsia="Times New Roman" w:hAnsi="Times New Roman"/>
                <w:color w:val="000000"/>
                <w:sz w:val="26"/>
                <w:szCs w:val="26"/>
              </w:rPr>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3.1. </w:t>
            </w:r>
            <w:proofErr w:type="spellStart"/>
            <w:r w:rsidRPr="006F24EC">
              <w:rPr>
                <w:rFonts w:ascii="Times New Roman" w:eastAsia="Times New Roman" w:hAnsi="Times New Roman"/>
                <w:color w:val="000000"/>
                <w:sz w:val="26"/>
                <w:szCs w:val="26"/>
              </w:rPr>
              <w:t>valsts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pamatbudžets</w:t>
            </w:r>
            <w:proofErr w:type="spellEnd"/>
          </w:p>
        </w:tc>
        <w:tc>
          <w:tcPr>
            <w:tcW w:w="691"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3.2. </w:t>
            </w:r>
            <w:proofErr w:type="spellStart"/>
            <w:r w:rsidRPr="006F24EC">
              <w:rPr>
                <w:rFonts w:ascii="Times New Roman" w:eastAsia="Times New Roman" w:hAnsi="Times New Roman"/>
                <w:color w:val="000000"/>
                <w:sz w:val="26"/>
                <w:szCs w:val="26"/>
              </w:rPr>
              <w:t>speciālais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p>
        </w:tc>
        <w:tc>
          <w:tcPr>
            <w:tcW w:w="691"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3.3. </w:t>
            </w:r>
            <w:proofErr w:type="spellStart"/>
            <w:r w:rsidRPr="006F24EC">
              <w:rPr>
                <w:rFonts w:ascii="Times New Roman" w:eastAsia="Times New Roman" w:hAnsi="Times New Roman"/>
                <w:color w:val="000000"/>
                <w:sz w:val="26"/>
                <w:szCs w:val="26"/>
              </w:rPr>
              <w:t>pašvaldību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r w:rsidRPr="006F24EC">
              <w:rPr>
                <w:rFonts w:ascii="Times New Roman" w:eastAsia="Times New Roman" w:hAnsi="Times New Roman"/>
                <w:color w:val="000000"/>
                <w:sz w:val="26"/>
                <w:szCs w:val="26"/>
              </w:rPr>
              <w:t xml:space="preserve"> </w:t>
            </w:r>
          </w:p>
        </w:tc>
        <w:tc>
          <w:tcPr>
            <w:tcW w:w="691"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vMerge w:val="restar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4. </w:t>
            </w:r>
            <w:proofErr w:type="spellStart"/>
            <w:r w:rsidRPr="006F24EC">
              <w:rPr>
                <w:rFonts w:ascii="Times New Roman" w:eastAsia="Times New Roman" w:hAnsi="Times New Roman"/>
                <w:color w:val="000000"/>
                <w:sz w:val="26"/>
                <w:szCs w:val="26"/>
              </w:rPr>
              <w:t>Finanšu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līdzekļi</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papildu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izde</w:t>
            </w:r>
            <w:r w:rsidRPr="006F24EC">
              <w:rPr>
                <w:rFonts w:ascii="Times New Roman" w:eastAsia="Times New Roman" w:hAnsi="Times New Roman"/>
                <w:color w:val="000000"/>
                <w:sz w:val="26"/>
                <w:szCs w:val="26"/>
              </w:rPr>
              <w:softHyphen/>
              <w:t>vumu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finansēšanai</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kompensējošu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izdevumu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samazinājumu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norāda</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ar</w:t>
            </w:r>
            <w:proofErr w:type="spellEnd"/>
            <w:r w:rsidRPr="006F24EC">
              <w:rPr>
                <w:rFonts w:ascii="Times New Roman" w:eastAsia="Times New Roman" w:hAnsi="Times New Roman"/>
                <w:color w:val="000000"/>
                <w:sz w:val="26"/>
                <w:szCs w:val="26"/>
              </w:rPr>
              <w:t xml:space="preserve"> "+" </w:t>
            </w:r>
            <w:proofErr w:type="spellStart"/>
            <w:r w:rsidRPr="006F24EC">
              <w:rPr>
                <w:rFonts w:ascii="Times New Roman" w:eastAsia="Times New Roman" w:hAnsi="Times New Roman"/>
                <w:color w:val="000000"/>
                <w:sz w:val="26"/>
                <w:szCs w:val="26"/>
              </w:rPr>
              <w:t>zīmi</w:t>
            </w:r>
            <w:proofErr w:type="spellEnd"/>
            <w:r w:rsidRPr="006F24EC">
              <w:rPr>
                <w:rFonts w:ascii="Times New Roman" w:eastAsia="Times New Roman" w:hAnsi="Times New Roman"/>
                <w:color w:val="000000"/>
                <w:sz w:val="26"/>
                <w:szCs w:val="26"/>
              </w:rPr>
              <w:t>)</w:t>
            </w:r>
          </w:p>
        </w:tc>
        <w:tc>
          <w:tcPr>
            <w:tcW w:w="691" w:type="pct"/>
            <w:vMerge w:val="restar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X</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vMerge/>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rPr>
                <w:rFonts w:ascii="Times New Roman" w:eastAsia="Times New Roman" w:hAnsi="Times New Roman"/>
                <w:color w:val="000000"/>
                <w:sz w:val="26"/>
                <w:szCs w:val="26"/>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rPr>
                <w:rFonts w:ascii="Times New Roman" w:eastAsia="Times New Roman" w:hAnsi="Times New Roman"/>
                <w:color w:val="000000"/>
                <w:sz w:val="26"/>
                <w:szCs w:val="26"/>
              </w:rPr>
            </w:pP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vMerge/>
            <w:tcBorders>
              <w:top w:val="single" w:sz="4" w:space="0" w:color="auto"/>
              <w:left w:val="single" w:sz="4" w:space="0" w:color="auto"/>
              <w:bottom w:val="single" w:sz="4" w:space="0" w:color="auto"/>
              <w:right w:val="single" w:sz="4" w:space="0" w:color="auto"/>
            </w:tcBorders>
            <w:vAlign w:val="center"/>
            <w:hideMark/>
          </w:tcPr>
          <w:p w:rsidR="00E03269" w:rsidRPr="006F24EC" w:rsidRDefault="00E03269" w:rsidP="00FC6EC6">
            <w:pPr>
              <w:spacing w:after="0" w:line="240" w:lineRule="auto"/>
              <w:rPr>
                <w:rFonts w:ascii="Times New Roman" w:eastAsia="Times New Roman" w:hAnsi="Times New Roman"/>
                <w:color w:val="000000"/>
                <w:sz w:val="26"/>
                <w:szCs w:val="26"/>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rPr>
                <w:rFonts w:ascii="Times New Roman" w:eastAsia="Times New Roman" w:hAnsi="Times New Roman"/>
                <w:color w:val="000000"/>
                <w:sz w:val="26"/>
                <w:szCs w:val="26"/>
              </w:rPr>
            </w:pP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5. </w:t>
            </w:r>
            <w:proofErr w:type="spellStart"/>
            <w:r w:rsidRPr="006F24EC">
              <w:rPr>
                <w:rFonts w:ascii="Times New Roman" w:eastAsia="Times New Roman" w:hAnsi="Times New Roman"/>
                <w:color w:val="000000"/>
                <w:sz w:val="26"/>
                <w:szCs w:val="26"/>
              </w:rPr>
              <w:t>Precizēta</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finansiālā</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ietekme</w:t>
            </w:r>
            <w:proofErr w:type="spellEnd"/>
            <w:r w:rsidRPr="006F24EC">
              <w:rPr>
                <w:rFonts w:ascii="Times New Roman" w:eastAsia="Times New Roman" w:hAnsi="Times New Roman"/>
                <w:color w:val="000000"/>
                <w:sz w:val="26"/>
                <w:szCs w:val="26"/>
              </w:rPr>
              <w:t>:</w:t>
            </w:r>
          </w:p>
        </w:tc>
        <w:tc>
          <w:tcPr>
            <w:tcW w:w="691" w:type="pct"/>
            <w:vMerge w:val="restar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X</w:t>
            </w: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r w:rsidRPr="00EE2826">
              <w:rPr>
                <w:rFonts w:ascii="Times New Roman" w:eastAsia="Times New Roman" w:hAnsi="Times New Roman"/>
                <w:color w:val="000000"/>
                <w:sz w:val="26"/>
                <w:szCs w:val="26"/>
              </w:rPr>
              <w:t>0</w:t>
            </w: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5.1. </w:t>
            </w:r>
            <w:proofErr w:type="spellStart"/>
            <w:r w:rsidRPr="006F24EC">
              <w:rPr>
                <w:rFonts w:ascii="Times New Roman" w:eastAsia="Times New Roman" w:hAnsi="Times New Roman"/>
                <w:color w:val="000000"/>
                <w:sz w:val="26"/>
                <w:szCs w:val="26"/>
              </w:rPr>
              <w:t>valsts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pamatbudžets</w:t>
            </w:r>
            <w:proofErr w:type="spellEnd"/>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rPr>
                <w:rFonts w:ascii="Times New Roman" w:eastAsia="Times New Roman" w:hAnsi="Times New Roman"/>
                <w:color w:val="000000"/>
                <w:sz w:val="26"/>
                <w:szCs w:val="26"/>
              </w:rPr>
            </w:pP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i/>
                <w:color w:val="000000"/>
                <w:sz w:val="26"/>
                <w:szCs w:val="26"/>
              </w:rPr>
            </w:pP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5.2. </w:t>
            </w:r>
            <w:proofErr w:type="spellStart"/>
            <w:r w:rsidRPr="006F24EC">
              <w:rPr>
                <w:rFonts w:ascii="Times New Roman" w:eastAsia="Times New Roman" w:hAnsi="Times New Roman"/>
                <w:color w:val="000000"/>
                <w:sz w:val="26"/>
                <w:szCs w:val="26"/>
              </w:rPr>
              <w:t>speciālais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rPr>
                <w:rFonts w:ascii="Times New Roman" w:eastAsia="Times New Roman" w:hAnsi="Times New Roman"/>
                <w:color w:val="000000"/>
                <w:sz w:val="26"/>
                <w:szCs w:val="26"/>
              </w:rPr>
            </w:pP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i/>
                <w:color w:val="000000"/>
                <w:sz w:val="26"/>
                <w:szCs w:val="26"/>
              </w:rPr>
            </w:pP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5.3. </w:t>
            </w:r>
            <w:proofErr w:type="spellStart"/>
            <w:r w:rsidRPr="006F24EC">
              <w:rPr>
                <w:rFonts w:ascii="Times New Roman" w:eastAsia="Times New Roman" w:hAnsi="Times New Roman"/>
                <w:color w:val="000000"/>
                <w:sz w:val="26"/>
                <w:szCs w:val="26"/>
              </w:rPr>
              <w:t>pašvaldību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budžets</w:t>
            </w:r>
            <w:proofErr w:type="spellEnd"/>
            <w:r w:rsidRPr="006F24EC">
              <w:rPr>
                <w:rFonts w:ascii="Times New Roman" w:eastAsia="Times New Roman" w:hAnsi="Times New Roman"/>
                <w:color w:val="000000"/>
                <w:sz w:val="26"/>
                <w:szCs w:val="26"/>
              </w:rPr>
              <w:t xml:space="preserve"> </w:t>
            </w: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rPr>
                <w:rFonts w:ascii="Times New Roman" w:eastAsia="Times New Roman" w:hAnsi="Times New Roman"/>
                <w:color w:val="000000"/>
                <w:sz w:val="26"/>
                <w:szCs w:val="26"/>
              </w:rPr>
            </w:pPr>
          </w:p>
        </w:tc>
        <w:tc>
          <w:tcPr>
            <w:tcW w:w="704"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i/>
                <w:color w:val="000000"/>
                <w:sz w:val="26"/>
                <w:szCs w:val="26"/>
              </w:rPr>
            </w:pPr>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c>
          <w:tcPr>
            <w:tcW w:w="880" w:type="pct"/>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0" w:line="240" w:lineRule="auto"/>
              <w:jc w:val="center"/>
              <w:rPr>
                <w:rFonts w:ascii="Times New Roman" w:eastAsia="Times New Roman" w:hAnsi="Times New Roman"/>
                <w:color w:val="000000"/>
                <w:sz w:val="26"/>
                <w:szCs w:val="26"/>
              </w:rPr>
            </w:pPr>
            <w:proofErr w:type="spellStart"/>
            <w:r w:rsidRPr="00EE2826">
              <w:rPr>
                <w:rFonts w:ascii="Times New Roman" w:eastAsia="Times New Roman" w:hAnsi="Times New Roman"/>
                <w:color w:val="000000"/>
                <w:sz w:val="26"/>
                <w:szCs w:val="26"/>
              </w:rPr>
              <w:t>Nav</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attiecināms</w:t>
            </w:r>
            <w:proofErr w:type="spellEnd"/>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6. </w:t>
            </w:r>
            <w:proofErr w:type="spellStart"/>
            <w:r w:rsidRPr="006F24EC">
              <w:rPr>
                <w:rFonts w:ascii="Times New Roman" w:eastAsia="Times New Roman" w:hAnsi="Times New Roman"/>
                <w:color w:val="000000"/>
                <w:sz w:val="26"/>
                <w:szCs w:val="26"/>
              </w:rPr>
              <w:t>Detalizēts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ieņēmumu</w:t>
            </w:r>
            <w:proofErr w:type="spellEnd"/>
            <w:r w:rsidRPr="006F24EC">
              <w:rPr>
                <w:rFonts w:ascii="Times New Roman" w:eastAsia="Times New Roman" w:hAnsi="Times New Roman"/>
                <w:color w:val="000000"/>
                <w:sz w:val="26"/>
                <w:szCs w:val="26"/>
              </w:rPr>
              <w:t xml:space="preserve"> un </w:t>
            </w:r>
            <w:proofErr w:type="spellStart"/>
            <w:r w:rsidRPr="006F24EC">
              <w:rPr>
                <w:rFonts w:ascii="Times New Roman" w:eastAsia="Times New Roman" w:hAnsi="Times New Roman"/>
                <w:color w:val="000000"/>
                <w:sz w:val="26"/>
                <w:szCs w:val="26"/>
              </w:rPr>
              <w:t>izdevu</w:t>
            </w:r>
            <w:r w:rsidRPr="006F24EC">
              <w:rPr>
                <w:rFonts w:ascii="Times New Roman" w:eastAsia="Times New Roman" w:hAnsi="Times New Roman"/>
                <w:color w:val="000000"/>
                <w:sz w:val="26"/>
                <w:szCs w:val="26"/>
              </w:rPr>
              <w:softHyphen/>
              <w:t>mu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aprēķins</w:t>
            </w:r>
            <w:proofErr w:type="spellEnd"/>
            <w:r w:rsidRPr="006F24EC">
              <w:rPr>
                <w:rFonts w:ascii="Times New Roman" w:eastAsia="Times New Roman" w:hAnsi="Times New Roman"/>
                <w:color w:val="000000"/>
                <w:sz w:val="26"/>
                <w:szCs w:val="26"/>
              </w:rPr>
              <w:t xml:space="preserve"> (ja </w:t>
            </w:r>
            <w:proofErr w:type="spellStart"/>
            <w:r w:rsidRPr="006F24EC">
              <w:rPr>
                <w:rFonts w:ascii="Times New Roman" w:eastAsia="Times New Roman" w:hAnsi="Times New Roman"/>
                <w:color w:val="000000"/>
                <w:sz w:val="26"/>
                <w:szCs w:val="26"/>
              </w:rPr>
              <w:t>nepieciešams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detalizētu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ieņēmumu</w:t>
            </w:r>
            <w:proofErr w:type="spellEnd"/>
            <w:r w:rsidRPr="006F24EC">
              <w:rPr>
                <w:rFonts w:ascii="Times New Roman" w:eastAsia="Times New Roman" w:hAnsi="Times New Roman"/>
                <w:color w:val="000000"/>
                <w:sz w:val="26"/>
                <w:szCs w:val="26"/>
              </w:rPr>
              <w:t xml:space="preserve"> un </w:t>
            </w:r>
            <w:proofErr w:type="spellStart"/>
            <w:r w:rsidRPr="006F24EC">
              <w:rPr>
                <w:rFonts w:ascii="Times New Roman" w:eastAsia="Times New Roman" w:hAnsi="Times New Roman"/>
                <w:color w:val="000000"/>
                <w:sz w:val="26"/>
                <w:szCs w:val="26"/>
              </w:rPr>
              <w:t>izdevumu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aprēķinu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var</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pievienot</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anotācijas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lastRenderedPageBreak/>
              <w:t>pielikumā</w:t>
            </w:r>
            <w:proofErr w:type="spellEnd"/>
            <w:r w:rsidRPr="006F24EC">
              <w:rPr>
                <w:rFonts w:ascii="Times New Roman" w:eastAsia="Times New Roman" w:hAnsi="Times New Roman"/>
                <w:color w:val="000000"/>
                <w:sz w:val="26"/>
                <w:szCs w:val="26"/>
              </w:rPr>
              <w:t>):</w:t>
            </w:r>
          </w:p>
        </w:tc>
        <w:tc>
          <w:tcPr>
            <w:tcW w:w="3772"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E03269" w:rsidRPr="00EE2826" w:rsidRDefault="00E03269" w:rsidP="00FC6EC6">
            <w:pPr>
              <w:spacing w:after="0" w:line="240" w:lineRule="auto"/>
              <w:jc w:val="center"/>
              <w:rPr>
                <w:rFonts w:ascii="Times New Roman" w:eastAsia="Times New Roman" w:hAnsi="Times New Roman"/>
                <w:i/>
                <w:color w:val="000000"/>
                <w:sz w:val="26"/>
                <w:szCs w:val="26"/>
              </w:rPr>
            </w:pPr>
            <w:proofErr w:type="spellStart"/>
            <w:r w:rsidRPr="00EE2826">
              <w:rPr>
                <w:rFonts w:ascii="Times New Roman" w:eastAsia="Times New Roman" w:hAnsi="Times New Roman"/>
                <w:color w:val="000000"/>
                <w:sz w:val="26"/>
                <w:szCs w:val="26"/>
              </w:rPr>
              <w:lastRenderedPageBreak/>
              <w:t>Projekts</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šo</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jomu</w:t>
            </w:r>
            <w:proofErr w:type="spellEnd"/>
            <w:r w:rsidRPr="00EE2826">
              <w:rPr>
                <w:rFonts w:ascii="Times New Roman" w:eastAsia="Times New Roman" w:hAnsi="Times New Roman"/>
                <w:color w:val="000000"/>
                <w:sz w:val="26"/>
                <w:szCs w:val="26"/>
              </w:rPr>
              <w:t xml:space="preserve"> </w:t>
            </w:r>
            <w:proofErr w:type="spellStart"/>
            <w:r w:rsidRPr="00EE2826">
              <w:rPr>
                <w:rFonts w:ascii="Times New Roman" w:eastAsia="Times New Roman" w:hAnsi="Times New Roman"/>
                <w:color w:val="000000"/>
                <w:sz w:val="26"/>
                <w:szCs w:val="26"/>
              </w:rPr>
              <w:t>neskar</w:t>
            </w:r>
            <w:proofErr w:type="spellEnd"/>
            <w:r w:rsidRPr="00EE2826">
              <w:rPr>
                <w:rFonts w:ascii="Times New Roman" w:eastAsia="Times New Roman" w:hAnsi="Times New Roman"/>
                <w:color w:val="000000"/>
                <w:sz w:val="26"/>
                <w:szCs w:val="26"/>
              </w:rPr>
              <w:t>.</w:t>
            </w:r>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lastRenderedPageBreak/>
              <w:t xml:space="preserve">6.1. </w:t>
            </w:r>
            <w:proofErr w:type="spellStart"/>
            <w:r w:rsidRPr="006F24EC">
              <w:rPr>
                <w:rFonts w:ascii="Times New Roman" w:eastAsia="Times New Roman" w:hAnsi="Times New Roman"/>
                <w:color w:val="000000"/>
                <w:sz w:val="26"/>
                <w:szCs w:val="26"/>
              </w:rPr>
              <w:t>detalizēts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ieņēmumu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aprēķins</w:t>
            </w:r>
            <w:proofErr w:type="spellEnd"/>
          </w:p>
        </w:tc>
        <w:tc>
          <w:tcPr>
            <w:tcW w:w="3772" w:type="pct"/>
            <w:gridSpan w:val="5"/>
            <w:vMerge/>
            <w:tcBorders>
              <w:top w:val="single" w:sz="4" w:space="0" w:color="auto"/>
              <w:left w:val="single" w:sz="4" w:space="0" w:color="auto"/>
              <w:bottom w:val="single" w:sz="4" w:space="0" w:color="auto"/>
              <w:right w:val="single" w:sz="4" w:space="0" w:color="auto"/>
            </w:tcBorders>
            <w:vAlign w:val="center"/>
            <w:hideMark/>
          </w:tcPr>
          <w:p w:rsidR="00E03269" w:rsidRPr="00CA3354" w:rsidRDefault="00E03269" w:rsidP="00FC6EC6">
            <w:pPr>
              <w:spacing w:after="0" w:line="240" w:lineRule="auto"/>
              <w:rPr>
                <w:rFonts w:ascii="Times New Roman" w:eastAsia="Times New Roman" w:hAnsi="Times New Roman"/>
                <w:b/>
                <w:i/>
                <w:color w:val="000000"/>
                <w:sz w:val="26"/>
                <w:szCs w:val="26"/>
              </w:rPr>
            </w:pPr>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6.2. </w:t>
            </w:r>
            <w:proofErr w:type="spellStart"/>
            <w:r w:rsidRPr="006F24EC">
              <w:rPr>
                <w:rFonts w:ascii="Times New Roman" w:eastAsia="Times New Roman" w:hAnsi="Times New Roman"/>
                <w:color w:val="000000"/>
                <w:sz w:val="26"/>
                <w:szCs w:val="26"/>
              </w:rPr>
              <w:t>detalizēts</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izdevumu</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aprēķins</w:t>
            </w:r>
            <w:proofErr w:type="spellEnd"/>
          </w:p>
        </w:tc>
        <w:tc>
          <w:tcPr>
            <w:tcW w:w="3772" w:type="pct"/>
            <w:gridSpan w:val="5"/>
            <w:vMerge/>
            <w:tcBorders>
              <w:top w:val="single" w:sz="4" w:space="0" w:color="auto"/>
              <w:left w:val="single" w:sz="4" w:space="0" w:color="auto"/>
              <w:bottom w:val="single" w:sz="4" w:space="0" w:color="auto"/>
              <w:right w:val="single" w:sz="4" w:space="0" w:color="auto"/>
            </w:tcBorders>
            <w:vAlign w:val="center"/>
            <w:hideMark/>
          </w:tcPr>
          <w:p w:rsidR="00E03269" w:rsidRPr="00CA3354" w:rsidRDefault="00E03269" w:rsidP="00FC6EC6">
            <w:pPr>
              <w:spacing w:after="0" w:line="240" w:lineRule="auto"/>
              <w:rPr>
                <w:rFonts w:ascii="Times New Roman" w:eastAsia="Times New Roman" w:hAnsi="Times New Roman"/>
                <w:b/>
                <w:i/>
                <w:color w:val="000000"/>
                <w:sz w:val="26"/>
                <w:szCs w:val="26"/>
              </w:rPr>
            </w:pPr>
          </w:p>
        </w:tc>
      </w:tr>
      <w:tr w:rsidR="00E03269" w:rsidRPr="00CA3354" w:rsidTr="00BC4CF8">
        <w:tc>
          <w:tcPr>
            <w:tcW w:w="1228" w:type="pct"/>
            <w:tcBorders>
              <w:top w:val="single" w:sz="4" w:space="0" w:color="auto"/>
              <w:left w:val="single" w:sz="4" w:space="0" w:color="auto"/>
              <w:bottom w:val="single" w:sz="4" w:space="0" w:color="auto"/>
              <w:right w:val="single" w:sz="4" w:space="0" w:color="auto"/>
            </w:tcBorders>
            <w:hideMark/>
          </w:tcPr>
          <w:p w:rsidR="00E03269" w:rsidRPr="006F24EC" w:rsidRDefault="00E03269" w:rsidP="00FC6EC6">
            <w:pPr>
              <w:spacing w:after="0" w:line="240" w:lineRule="auto"/>
              <w:rPr>
                <w:rFonts w:ascii="Times New Roman" w:eastAsia="Times New Roman" w:hAnsi="Times New Roman"/>
                <w:color w:val="000000"/>
                <w:sz w:val="26"/>
                <w:szCs w:val="26"/>
              </w:rPr>
            </w:pPr>
            <w:r w:rsidRPr="006F24EC">
              <w:rPr>
                <w:rFonts w:ascii="Times New Roman" w:eastAsia="Times New Roman" w:hAnsi="Times New Roman"/>
                <w:color w:val="000000"/>
                <w:sz w:val="26"/>
                <w:szCs w:val="26"/>
              </w:rPr>
              <w:t xml:space="preserve">7. </w:t>
            </w:r>
            <w:proofErr w:type="spellStart"/>
            <w:r w:rsidRPr="006F24EC">
              <w:rPr>
                <w:rFonts w:ascii="Times New Roman" w:eastAsia="Times New Roman" w:hAnsi="Times New Roman"/>
                <w:color w:val="000000"/>
                <w:sz w:val="26"/>
                <w:szCs w:val="26"/>
              </w:rPr>
              <w:t>Cita</w:t>
            </w:r>
            <w:proofErr w:type="spellEnd"/>
            <w:r w:rsidRPr="006F24EC">
              <w:rPr>
                <w:rFonts w:ascii="Times New Roman" w:eastAsia="Times New Roman" w:hAnsi="Times New Roman"/>
                <w:color w:val="000000"/>
                <w:sz w:val="26"/>
                <w:szCs w:val="26"/>
              </w:rPr>
              <w:t xml:space="preserve"> </w:t>
            </w:r>
            <w:proofErr w:type="spellStart"/>
            <w:r w:rsidRPr="006F24EC">
              <w:rPr>
                <w:rFonts w:ascii="Times New Roman" w:eastAsia="Times New Roman" w:hAnsi="Times New Roman"/>
                <w:color w:val="000000"/>
                <w:sz w:val="26"/>
                <w:szCs w:val="26"/>
              </w:rPr>
              <w:t>informācija</w:t>
            </w:r>
            <w:proofErr w:type="spellEnd"/>
          </w:p>
        </w:tc>
        <w:tc>
          <w:tcPr>
            <w:tcW w:w="3772" w:type="pct"/>
            <w:gridSpan w:val="5"/>
            <w:tcBorders>
              <w:top w:val="single" w:sz="4" w:space="0" w:color="auto"/>
              <w:left w:val="single" w:sz="4" w:space="0" w:color="auto"/>
              <w:bottom w:val="single" w:sz="4" w:space="0" w:color="auto"/>
              <w:right w:val="single" w:sz="4" w:space="0" w:color="auto"/>
            </w:tcBorders>
            <w:hideMark/>
          </w:tcPr>
          <w:p w:rsidR="00E03269" w:rsidRPr="00EE2826" w:rsidRDefault="00E03269" w:rsidP="00FC6EC6">
            <w:pPr>
              <w:spacing w:after="80" w:line="240" w:lineRule="auto"/>
              <w:jc w:val="both"/>
              <w:rPr>
                <w:rFonts w:ascii="Times New Roman" w:eastAsia="Times New Roman" w:hAnsi="Times New Roman"/>
                <w:bCs/>
                <w:color w:val="000000"/>
                <w:sz w:val="26"/>
                <w:szCs w:val="26"/>
              </w:rPr>
            </w:pPr>
            <w:proofErr w:type="spellStart"/>
            <w:r w:rsidRPr="00EE2826">
              <w:rPr>
                <w:rFonts w:ascii="Times New Roman" w:eastAsia="Times New Roman" w:hAnsi="Times New Roman"/>
                <w:bCs/>
                <w:color w:val="000000"/>
                <w:sz w:val="26"/>
                <w:szCs w:val="26"/>
              </w:rPr>
              <w:t>Pašlaik</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valsts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budžeta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līdzekļi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tiesību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akta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izpildei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nav</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nepieciešami</w:t>
            </w:r>
            <w:proofErr w:type="spellEnd"/>
            <w:r w:rsidRPr="00EE2826">
              <w:rPr>
                <w:rFonts w:ascii="Times New Roman" w:eastAsia="Times New Roman" w:hAnsi="Times New Roman"/>
                <w:bCs/>
                <w:color w:val="000000"/>
                <w:sz w:val="26"/>
                <w:szCs w:val="26"/>
              </w:rPr>
              <w:t xml:space="preserve">, jo </w:t>
            </w:r>
            <w:proofErr w:type="spellStart"/>
            <w:r w:rsidRPr="00EE2826">
              <w:rPr>
                <w:rFonts w:ascii="Times New Roman" w:eastAsia="Times New Roman" w:hAnsi="Times New Roman"/>
                <w:bCs/>
                <w:color w:val="000000"/>
                <w:sz w:val="26"/>
                <w:szCs w:val="26"/>
              </w:rPr>
              <w:t>gadījumi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kad</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kuģa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īpašnieks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nepilda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jūrnieka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repatriācijas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pienākumu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ir</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ārkārtēji</w:t>
            </w:r>
            <w:proofErr w:type="spellEnd"/>
            <w:r w:rsidRPr="00EE2826">
              <w:rPr>
                <w:rFonts w:ascii="Times New Roman" w:eastAsia="Times New Roman" w:hAnsi="Times New Roman"/>
                <w:bCs/>
                <w:color w:val="000000"/>
                <w:sz w:val="26"/>
                <w:szCs w:val="26"/>
              </w:rPr>
              <w:t xml:space="preserve"> un </w:t>
            </w:r>
            <w:proofErr w:type="spellStart"/>
            <w:r w:rsidRPr="00EE2826">
              <w:rPr>
                <w:rFonts w:ascii="Times New Roman" w:eastAsia="Times New Roman" w:hAnsi="Times New Roman"/>
                <w:bCs/>
                <w:color w:val="000000"/>
                <w:sz w:val="26"/>
                <w:szCs w:val="26"/>
              </w:rPr>
              <w:t>nav</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iepriekš</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paredzami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Līdz</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šim</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Ārlietu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ministrija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nav</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saņēmusi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lūgumus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segt</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jūrnieku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repatriācijas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izmaksas</w:t>
            </w:r>
            <w:proofErr w:type="spellEnd"/>
            <w:r w:rsidRPr="00EE2826">
              <w:rPr>
                <w:rFonts w:ascii="Times New Roman" w:eastAsia="Times New Roman" w:hAnsi="Times New Roman"/>
                <w:bCs/>
                <w:color w:val="000000"/>
                <w:sz w:val="26"/>
                <w:szCs w:val="26"/>
              </w:rPr>
              <w:t xml:space="preserve"> no </w:t>
            </w:r>
            <w:proofErr w:type="spellStart"/>
            <w:r w:rsidRPr="00EE2826">
              <w:rPr>
                <w:rFonts w:ascii="Times New Roman" w:eastAsia="Times New Roman" w:hAnsi="Times New Roman"/>
                <w:bCs/>
                <w:color w:val="000000"/>
                <w:sz w:val="26"/>
                <w:szCs w:val="26"/>
              </w:rPr>
              <w:t>valsts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budžeta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līdzekļiem</w:t>
            </w:r>
            <w:proofErr w:type="spellEnd"/>
            <w:r w:rsidRPr="00EE2826">
              <w:rPr>
                <w:rFonts w:ascii="Times New Roman" w:eastAsia="Times New Roman" w:hAnsi="Times New Roman"/>
                <w:bCs/>
                <w:color w:val="000000"/>
                <w:sz w:val="26"/>
                <w:szCs w:val="26"/>
              </w:rPr>
              <w:t>.</w:t>
            </w:r>
          </w:p>
          <w:p w:rsidR="00E03269" w:rsidRPr="00EE2826" w:rsidRDefault="00E03269" w:rsidP="00FC6EC6">
            <w:pPr>
              <w:spacing w:after="80" w:line="240" w:lineRule="auto"/>
              <w:jc w:val="both"/>
              <w:rPr>
                <w:rFonts w:ascii="Times New Roman" w:eastAsia="Times New Roman" w:hAnsi="Times New Roman"/>
                <w:bCs/>
                <w:color w:val="000000"/>
                <w:sz w:val="26"/>
                <w:szCs w:val="26"/>
              </w:rPr>
            </w:pPr>
            <w:proofErr w:type="spellStart"/>
            <w:r w:rsidRPr="00EE2826">
              <w:rPr>
                <w:rFonts w:ascii="Times New Roman" w:eastAsia="Times New Roman" w:hAnsi="Times New Roman"/>
                <w:bCs/>
                <w:color w:val="000000"/>
                <w:sz w:val="26"/>
                <w:szCs w:val="26"/>
              </w:rPr>
              <w:t>Ņemot</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vērā</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repatriācijas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izdevumu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ārkārtējo</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raksturu</w:t>
            </w:r>
            <w:proofErr w:type="spellEnd"/>
            <w:r w:rsidRPr="00EE2826">
              <w:rPr>
                <w:rFonts w:ascii="Times New Roman" w:eastAsia="Times New Roman" w:hAnsi="Times New Roman"/>
                <w:bCs/>
                <w:color w:val="000000"/>
                <w:sz w:val="26"/>
                <w:szCs w:val="26"/>
              </w:rPr>
              <w:t xml:space="preserve">, tie </w:t>
            </w:r>
            <w:proofErr w:type="spellStart"/>
            <w:r w:rsidRPr="00EE2826">
              <w:rPr>
                <w:rFonts w:ascii="Times New Roman" w:eastAsia="Times New Roman" w:hAnsi="Times New Roman"/>
                <w:bCs/>
                <w:color w:val="000000"/>
                <w:sz w:val="26"/>
                <w:szCs w:val="26"/>
              </w:rPr>
              <w:t>būtu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sedzami</w:t>
            </w:r>
            <w:proofErr w:type="spellEnd"/>
            <w:r w:rsidRPr="00EE2826">
              <w:rPr>
                <w:rFonts w:ascii="Times New Roman" w:eastAsia="Times New Roman" w:hAnsi="Times New Roman"/>
                <w:bCs/>
                <w:color w:val="000000"/>
                <w:sz w:val="26"/>
                <w:szCs w:val="26"/>
              </w:rPr>
              <w:t xml:space="preserve"> no </w:t>
            </w:r>
            <w:proofErr w:type="spellStart"/>
            <w:r w:rsidRPr="00EE2826">
              <w:rPr>
                <w:rFonts w:ascii="Times New Roman" w:eastAsia="Times New Roman" w:hAnsi="Times New Roman"/>
                <w:bCs/>
                <w:color w:val="000000"/>
                <w:sz w:val="26"/>
                <w:szCs w:val="26"/>
              </w:rPr>
              <w:t>līdzekļiem</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neparedzētiem</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gadījumiem</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saskaņā</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ar</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Ministru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kabineta</w:t>
            </w:r>
            <w:proofErr w:type="spellEnd"/>
            <w:r w:rsidRPr="00EE2826">
              <w:rPr>
                <w:rFonts w:ascii="Times New Roman" w:eastAsia="Times New Roman" w:hAnsi="Times New Roman"/>
                <w:bCs/>
                <w:color w:val="000000"/>
                <w:sz w:val="26"/>
                <w:szCs w:val="26"/>
              </w:rPr>
              <w:t xml:space="preserve"> 2009.gada 22.decembra </w:t>
            </w:r>
            <w:proofErr w:type="spellStart"/>
            <w:r w:rsidRPr="00EE2826">
              <w:rPr>
                <w:rFonts w:ascii="Times New Roman" w:eastAsia="Times New Roman" w:hAnsi="Times New Roman"/>
                <w:bCs/>
                <w:color w:val="000000"/>
                <w:sz w:val="26"/>
                <w:szCs w:val="26"/>
              </w:rPr>
              <w:t>noteikumiem</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Nr</w:t>
            </w:r>
            <w:proofErr w:type="spellEnd"/>
            <w:r w:rsidRPr="00EE2826">
              <w:rPr>
                <w:rFonts w:ascii="Times New Roman" w:eastAsia="Times New Roman" w:hAnsi="Times New Roman"/>
                <w:bCs/>
                <w:color w:val="000000"/>
                <w:sz w:val="26"/>
                <w:szCs w:val="26"/>
              </w:rPr>
              <w:t>. 1644 „</w:t>
            </w:r>
            <w:proofErr w:type="spellStart"/>
            <w:r w:rsidRPr="00EE2826">
              <w:rPr>
                <w:rFonts w:ascii="Times New Roman" w:eastAsia="Times New Roman" w:hAnsi="Times New Roman"/>
                <w:bCs/>
                <w:color w:val="000000"/>
                <w:sz w:val="26"/>
                <w:szCs w:val="26"/>
              </w:rPr>
              <w:t>Kārtība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kādā</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pieprasa</w:t>
            </w:r>
            <w:proofErr w:type="spellEnd"/>
            <w:r w:rsidRPr="00EE2826">
              <w:rPr>
                <w:rFonts w:ascii="Times New Roman" w:eastAsia="Times New Roman" w:hAnsi="Times New Roman"/>
                <w:bCs/>
                <w:color w:val="000000"/>
                <w:sz w:val="26"/>
                <w:szCs w:val="26"/>
              </w:rPr>
              <w:t xml:space="preserve"> un </w:t>
            </w:r>
            <w:proofErr w:type="spellStart"/>
            <w:r w:rsidRPr="00EE2826">
              <w:rPr>
                <w:rFonts w:ascii="Times New Roman" w:eastAsia="Times New Roman" w:hAnsi="Times New Roman"/>
                <w:bCs/>
                <w:color w:val="000000"/>
                <w:sz w:val="26"/>
                <w:szCs w:val="26"/>
              </w:rPr>
              <w:t>izlieto</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budžeta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programmas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Līdzekļi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neparedzēt</w:t>
            </w:r>
            <w:r w:rsidR="00F25170" w:rsidRPr="00EE2826">
              <w:rPr>
                <w:rFonts w:ascii="Times New Roman" w:eastAsia="Times New Roman" w:hAnsi="Times New Roman"/>
                <w:bCs/>
                <w:color w:val="000000"/>
                <w:sz w:val="26"/>
                <w:szCs w:val="26"/>
              </w:rPr>
              <w:t>iem</w:t>
            </w:r>
            <w:proofErr w:type="spellEnd"/>
            <w:r w:rsidR="00F25170" w:rsidRPr="00EE2826">
              <w:rPr>
                <w:rFonts w:ascii="Times New Roman" w:eastAsia="Times New Roman" w:hAnsi="Times New Roman"/>
                <w:bCs/>
                <w:color w:val="000000"/>
                <w:sz w:val="26"/>
                <w:szCs w:val="26"/>
              </w:rPr>
              <w:t xml:space="preserve"> </w:t>
            </w:r>
            <w:proofErr w:type="spellStart"/>
            <w:r w:rsidR="00F25170" w:rsidRPr="00EE2826">
              <w:rPr>
                <w:rFonts w:ascii="Times New Roman" w:eastAsia="Times New Roman" w:hAnsi="Times New Roman"/>
                <w:bCs/>
                <w:color w:val="000000"/>
                <w:sz w:val="26"/>
                <w:szCs w:val="26"/>
              </w:rPr>
              <w:t>gadījumiem</w:t>
            </w:r>
            <w:proofErr w:type="spellEnd"/>
            <w:r w:rsidR="00F25170" w:rsidRPr="00EE2826">
              <w:rPr>
                <w:rFonts w:ascii="Times New Roman" w:eastAsia="Times New Roman" w:hAnsi="Times New Roman"/>
                <w:bCs/>
                <w:color w:val="000000"/>
                <w:sz w:val="26"/>
                <w:szCs w:val="26"/>
              </w:rPr>
              <w:t xml:space="preserve">” </w:t>
            </w:r>
            <w:proofErr w:type="spellStart"/>
            <w:r w:rsidR="00F25170" w:rsidRPr="00EE2826">
              <w:rPr>
                <w:rFonts w:ascii="Times New Roman" w:eastAsia="Times New Roman" w:hAnsi="Times New Roman"/>
                <w:bCs/>
                <w:color w:val="000000"/>
                <w:sz w:val="26"/>
                <w:szCs w:val="26"/>
              </w:rPr>
              <w:t>līdzekļus</w:t>
            </w:r>
            <w:proofErr w:type="spellEnd"/>
            <w:r w:rsidR="00F25170" w:rsidRPr="00EE2826">
              <w:rPr>
                <w:rFonts w:ascii="Times New Roman" w:eastAsia="Times New Roman" w:hAnsi="Times New Roman"/>
                <w:bCs/>
                <w:color w:val="000000"/>
                <w:sz w:val="26"/>
                <w:szCs w:val="26"/>
              </w:rPr>
              <w:t>”.</w:t>
            </w:r>
          </w:p>
          <w:p w:rsidR="00E03269" w:rsidRPr="00EE2826" w:rsidRDefault="00F25170" w:rsidP="00FC6EC6">
            <w:pPr>
              <w:spacing w:after="80" w:line="240" w:lineRule="auto"/>
              <w:jc w:val="both"/>
              <w:rPr>
                <w:rFonts w:ascii="Times New Roman" w:eastAsia="Times New Roman" w:hAnsi="Times New Roman"/>
                <w:bCs/>
                <w:color w:val="000000"/>
                <w:sz w:val="26"/>
                <w:szCs w:val="26"/>
              </w:rPr>
            </w:pPr>
            <w:proofErr w:type="spellStart"/>
            <w:r w:rsidRPr="00EE2826">
              <w:rPr>
                <w:rFonts w:ascii="Times New Roman" w:eastAsia="Times New Roman" w:hAnsi="Times New Roman"/>
                <w:bCs/>
                <w:color w:val="000000"/>
                <w:sz w:val="26"/>
                <w:szCs w:val="26"/>
              </w:rPr>
              <w:t>J</w:t>
            </w:r>
            <w:r w:rsidR="00E03269" w:rsidRPr="00EE2826">
              <w:rPr>
                <w:rFonts w:ascii="Times New Roman" w:eastAsia="Times New Roman" w:hAnsi="Times New Roman"/>
                <w:bCs/>
                <w:color w:val="000000"/>
                <w:sz w:val="26"/>
                <w:szCs w:val="26"/>
              </w:rPr>
              <w:t>ūrnieka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repatriācijai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nepieciešamie</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izdevumi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sākotnēji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tiks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segti</w:t>
            </w:r>
            <w:proofErr w:type="spellEnd"/>
            <w:r w:rsidR="00E03269" w:rsidRPr="00EE2826">
              <w:rPr>
                <w:rFonts w:ascii="Times New Roman" w:eastAsia="Times New Roman" w:hAnsi="Times New Roman"/>
                <w:bCs/>
                <w:color w:val="000000"/>
                <w:sz w:val="26"/>
                <w:szCs w:val="26"/>
              </w:rPr>
              <w:t xml:space="preserve"> no </w:t>
            </w:r>
            <w:proofErr w:type="spellStart"/>
            <w:r w:rsidR="00E03269" w:rsidRPr="00EE2826">
              <w:rPr>
                <w:rFonts w:ascii="Times New Roman" w:eastAsia="Times New Roman" w:hAnsi="Times New Roman"/>
                <w:bCs/>
                <w:color w:val="000000"/>
                <w:sz w:val="26"/>
                <w:szCs w:val="26"/>
              </w:rPr>
              <w:t>Ārlietu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ministrijas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rīcībā</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esošajiem</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valsts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budžeta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līdzekļiem</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Pēc</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informācijas</w:t>
            </w:r>
            <w:proofErr w:type="spellEnd"/>
            <w:r w:rsidR="00E03269" w:rsidRPr="00EE2826">
              <w:rPr>
                <w:rFonts w:ascii="Times New Roman" w:eastAsia="Times New Roman" w:hAnsi="Times New Roman"/>
                <w:bCs/>
                <w:color w:val="000000"/>
                <w:sz w:val="26"/>
                <w:szCs w:val="26"/>
              </w:rPr>
              <w:t xml:space="preserve"> par </w:t>
            </w:r>
            <w:proofErr w:type="spellStart"/>
            <w:r w:rsidR="00E03269" w:rsidRPr="00EE2826">
              <w:rPr>
                <w:rFonts w:ascii="Times New Roman" w:eastAsia="Times New Roman" w:hAnsi="Times New Roman"/>
                <w:bCs/>
                <w:color w:val="000000"/>
                <w:sz w:val="26"/>
                <w:szCs w:val="26"/>
              </w:rPr>
              <w:t>jūrnieka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repatriācijai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izmantotajiem</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naudas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līdzekļiem</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apkopošanas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Ārlietu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ministrija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sagatavos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pieprasījumu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tiesību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akta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projektu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iesniegšanai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Ministru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kabinetā</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lai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lemtu</w:t>
            </w:r>
            <w:proofErr w:type="spellEnd"/>
            <w:r w:rsidR="00E03269" w:rsidRPr="00EE2826">
              <w:rPr>
                <w:rFonts w:ascii="Times New Roman" w:eastAsia="Times New Roman" w:hAnsi="Times New Roman"/>
                <w:bCs/>
                <w:color w:val="000000"/>
                <w:sz w:val="26"/>
                <w:szCs w:val="26"/>
              </w:rPr>
              <w:t xml:space="preserve"> par </w:t>
            </w:r>
            <w:proofErr w:type="spellStart"/>
            <w:r w:rsidR="00E03269" w:rsidRPr="00EE2826">
              <w:rPr>
                <w:rFonts w:ascii="Times New Roman" w:eastAsia="Times New Roman" w:hAnsi="Times New Roman"/>
                <w:bCs/>
                <w:color w:val="000000"/>
                <w:sz w:val="26"/>
                <w:szCs w:val="26"/>
              </w:rPr>
              <w:t>līdzekļu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piešķiršanu</w:t>
            </w:r>
            <w:proofErr w:type="spellEnd"/>
            <w:r w:rsidR="00E03269" w:rsidRPr="00EE2826">
              <w:rPr>
                <w:rFonts w:ascii="Times New Roman" w:eastAsia="Times New Roman" w:hAnsi="Times New Roman"/>
                <w:bCs/>
                <w:color w:val="000000"/>
                <w:sz w:val="26"/>
                <w:szCs w:val="26"/>
              </w:rPr>
              <w:t xml:space="preserve"> no </w:t>
            </w:r>
            <w:proofErr w:type="spellStart"/>
            <w:r w:rsidR="00E03269" w:rsidRPr="00EE2826">
              <w:rPr>
                <w:rFonts w:ascii="Times New Roman" w:eastAsia="Times New Roman" w:hAnsi="Times New Roman"/>
                <w:bCs/>
                <w:color w:val="000000"/>
                <w:sz w:val="26"/>
                <w:szCs w:val="26"/>
              </w:rPr>
              <w:t>valsts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budžeta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programmas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Līdzekļi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neparedzētiem</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gadījumiem</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ar</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mērķi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kompensēt</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jūrnieka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repat</w:t>
            </w:r>
            <w:r w:rsidR="0019022C" w:rsidRPr="00EE2826">
              <w:rPr>
                <w:rFonts w:ascii="Times New Roman" w:eastAsia="Times New Roman" w:hAnsi="Times New Roman"/>
                <w:bCs/>
                <w:color w:val="000000"/>
                <w:sz w:val="26"/>
                <w:szCs w:val="26"/>
              </w:rPr>
              <w:t>riācijas</w:t>
            </w:r>
            <w:proofErr w:type="spellEnd"/>
            <w:r w:rsidR="0019022C" w:rsidRPr="00EE2826">
              <w:rPr>
                <w:rFonts w:ascii="Times New Roman" w:eastAsia="Times New Roman" w:hAnsi="Times New Roman"/>
                <w:bCs/>
                <w:color w:val="000000"/>
                <w:sz w:val="26"/>
                <w:szCs w:val="26"/>
              </w:rPr>
              <w:t xml:space="preserve"> </w:t>
            </w:r>
            <w:proofErr w:type="spellStart"/>
            <w:r w:rsidR="0019022C" w:rsidRPr="00EE2826">
              <w:rPr>
                <w:rFonts w:ascii="Times New Roman" w:eastAsia="Times New Roman" w:hAnsi="Times New Roman"/>
                <w:bCs/>
                <w:color w:val="000000"/>
                <w:sz w:val="26"/>
                <w:szCs w:val="26"/>
              </w:rPr>
              <w:t>izdevumus</w:t>
            </w:r>
            <w:proofErr w:type="spellEnd"/>
            <w:r w:rsidR="0019022C" w:rsidRPr="00EE2826">
              <w:rPr>
                <w:rFonts w:ascii="Times New Roman" w:eastAsia="Times New Roman" w:hAnsi="Times New Roman"/>
                <w:bCs/>
                <w:color w:val="000000"/>
                <w:sz w:val="26"/>
                <w:szCs w:val="26"/>
              </w:rPr>
              <w:t>.</w:t>
            </w:r>
          </w:p>
          <w:p w:rsidR="00E03269" w:rsidRPr="00EE2826" w:rsidRDefault="00E03269" w:rsidP="00FC6EC6">
            <w:pPr>
              <w:spacing w:after="80" w:line="240" w:lineRule="auto"/>
              <w:jc w:val="both"/>
              <w:rPr>
                <w:rFonts w:ascii="Times New Roman" w:eastAsia="Times New Roman" w:hAnsi="Times New Roman"/>
                <w:bCs/>
                <w:color w:val="000000"/>
                <w:sz w:val="26"/>
                <w:szCs w:val="26"/>
              </w:rPr>
            </w:pPr>
            <w:r w:rsidRPr="00EE2826">
              <w:rPr>
                <w:rFonts w:ascii="Times New Roman" w:eastAsia="Times New Roman" w:hAnsi="Times New Roman"/>
                <w:bCs/>
                <w:color w:val="000000"/>
                <w:sz w:val="26"/>
                <w:szCs w:val="26"/>
              </w:rPr>
              <w:t xml:space="preserve">Ja </w:t>
            </w:r>
            <w:proofErr w:type="spellStart"/>
            <w:r w:rsidRPr="00EE2826">
              <w:rPr>
                <w:rFonts w:ascii="Times New Roman" w:eastAsia="Times New Roman" w:hAnsi="Times New Roman"/>
                <w:bCs/>
                <w:color w:val="000000"/>
                <w:sz w:val="26"/>
                <w:szCs w:val="26"/>
              </w:rPr>
              <w:t>Ārlietu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ministrijas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rīcībā</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nebūs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pietiekamu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valsts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budžeta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līdzekļu</w:t>
            </w:r>
            <w:proofErr w:type="spellEnd"/>
            <w:r w:rsidRPr="00EE2826">
              <w:rPr>
                <w:rFonts w:ascii="Times New Roman" w:eastAsia="Times New Roman" w:hAnsi="Times New Roman"/>
                <w:bCs/>
                <w:color w:val="000000"/>
                <w:sz w:val="26"/>
                <w:szCs w:val="26"/>
              </w:rPr>
              <w:t xml:space="preserve">, tad </w:t>
            </w:r>
            <w:proofErr w:type="spellStart"/>
            <w:r w:rsidRPr="00EE2826">
              <w:rPr>
                <w:rFonts w:ascii="Times New Roman" w:eastAsia="Times New Roman" w:hAnsi="Times New Roman"/>
                <w:bCs/>
                <w:color w:val="000000"/>
                <w:sz w:val="26"/>
                <w:szCs w:val="26"/>
              </w:rPr>
              <w:t>Ārlietu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ministrija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uzreiz</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vērsīsies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ar</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pieprasījumu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tiesību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akta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projektu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Ministru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kabinetā</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lai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steidzamības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kārtā</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lemtu</w:t>
            </w:r>
            <w:proofErr w:type="spellEnd"/>
            <w:r w:rsidRPr="00EE2826">
              <w:rPr>
                <w:rFonts w:ascii="Times New Roman" w:eastAsia="Times New Roman" w:hAnsi="Times New Roman"/>
                <w:bCs/>
                <w:color w:val="000000"/>
                <w:sz w:val="26"/>
                <w:szCs w:val="26"/>
              </w:rPr>
              <w:t xml:space="preserve"> par </w:t>
            </w:r>
            <w:proofErr w:type="spellStart"/>
            <w:r w:rsidRPr="00EE2826">
              <w:rPr>
                <w:rFonts w:ascii="Times New Roman" w:eastAsia="Times New Roman" w:hAnsi="Times New Roman"/>
                <w:bCs/>
                <w:color w:val="000000"/>
                <w:sz w:val="26"/>
                <w:szCs w:val="26"/>
              </w:rPr>
              <w:t>līdzekļu</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piešķiršanu</w:t>
            </w:r>
            <w:proofErr w:type="spellEnd"/>
            <w:r w:rsidRPr="00EE2826">
              <w:rPr>
                <w:rFonts w:ascii="Times New Roman" w:eastAsia="Times New Roman" w:hAnsi="Times New Roman"/>
                <w:bCs/>
                <w:color w:val="000000"/>
                <w:sz w:val="26"/>
                <w:szCs w:val="26"/>
              </w:rPr>
              <w:t xml:space="preserve"> no </w:t>
            </w:r>
            <w:proofErr w:type="spellStart"/>
            <w:r w:rsidRPr="00EE2826">
              <w:rPr>
                <w:rFonts w:ascii="Times New Roman" w:eastAsia="Times New Roman" w:hAnsi="Times New Roman"/>
                <w:bCs/>
                <w:color w:val="000000"/>
                <w:sz w:val="26"/>
                <w:szCs w:val="26"/>
              </w:rPr>
              <w:t>valsts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budžeta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programmas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Līdzekļi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neparedzētiem</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gadījumiem</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ar</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mērķi</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segt</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jūrnieka</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repatriācijas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izdevumus</w:t>
            </w:r>
            <w:proofErr w:type="spellEnd"/>
            <w:r w:rsidRPr="00EE2826">
              <w:rPr>
                <w:rFonts w:ascii="Times New Roman" w:eastAsia="Times New Roman" w:hAnsi="Times New Roman"/>
                <w:bCs/>
                <w:color w:val="000000"/>
                <w:sz w:val="26"/>
                <w:szCs w:val="26"/>
              </w:rPr>
              <w:t>.</w:t>
            </w:r>
          </w:p>
          <w:p w:rsidR="00E03269" w:rsidRPr="00CA3354" w:rsidRDefault="001E4168" w:rsidP="00416BA1">
            <w:pPr>
              <w:spacing w:after="80" w:line="240" w:lineRule="auto"/>
              <w:jc w:val="both"/>
              <w:rPr>
                <w:rFonts w:ascii="Times New Roman" w:eastAsia="Times New Roman" w:hAnsi="Times New Roman"/>
                <w:b/>
                <w:bCs/>
                <w:color w:val="000000"/>
                <w:sz w:val="26"/>
                <w:szCs w:val="26"/>
              </w:rPr>
            </w:pPr>
            <w:proofErr w:type="spellStart"/>
            <w:r w:rsidRPr="00EE2826">
              <w:rPr>
                <w:rFonts w:ascii="Times New Roman" w:eastAsia="Times New Roman" w:hAnsi="Times New Roman"/>
                <w:bCs/>
                <w:color w:val="000000"/>
                <w:sz w:val="26"/>
                <w:szCs w:val="26"/>
              </w:rPr>
              <w:t>J</w:t>
            </w:r>
            <w:r w:rsidR="003F7803" w:rsidRPr="00EE2826">
              <w:rPr>
                <w:rFonts w:ascii="Times New Roman" w:eastAsia="Times New Roman" w:hAnsi="Times New Roman"/>
                <w:bCs/>
                <w:color w:val="000000"/>
                <w:sz w:val="26"/>
                <w:szCs w:val="26"/>
              </w:rPr>
              <w:t>ūrnieka</w:t>
            </w:r>
            <w:proofErr w:type="spellEnd"/>
            <w:r w:rsidR="003F7803" w:rsidRPr="00EE2826">
              <w:rPr>
                <w:rFonts w:ascii="Times New Roman" w:eastAsia="Times New Roman" w:hAnsi="Times New Roman"/>
                <w:bCs/>
                <w:color w:val="000000"/>
                <w:sz w:val="26"/>
                <w:szCs w:val="26"/>
              </w:rPr>
              <w:t xml:space="preserve"> </w:t>
            </w:r>
            <w:proofErr w:type="spellStart"/>
            <w:r w:rsidR="003F7803" w:rsidRPr="00EE2826">
              <w:rPr>
                <w:rFonts w:ascii="Times New Roman" w:eastAsia="Times New Roman" w:hAnsi="Times New Roman"/>
                <w:bCs/>
                <w:color w:val="000000"/>
                <w:sz w:val="26"/>
                <w:szCs w:val="26"/>
              </w:rPr>
              <w:t>repatriācijai</w:t>
            </w:r>
            <w:proofErr w:type="spellEnd"/>
            <w:r w:rsidR="003F7803"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izlietotie</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valsts</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budžeta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finanšu</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līdzekļi</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regresa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kārtībā</w:t>
            </w:r>
            <w:proofErr w:type="spellEnd"/>
            <w:r w:rsidR="00E03269" w:rsidRPr="00EE2826">
              <w:rPr>
                <w:rFonts w:ascii="Times New Roman" w:eastAsia="Times New Roman" w:hAnsi="Times New Roman"/>
                <w:bCs/>
                <w:color w:val="000000"/>
                <w:sz w:val="26"/>
                <w:szCs w:val="26"/>
              </w:rPr>
              <w:t xml:space="preserve"> </w:t>
            </w:r>
            <w:proofErr w:type="spellStart"/>
            <w:r w:rsidR="00E06C11" w:rsidRPr="00EE2826">
              <w:rPr>
                <w:rFonts w:ascii="Times New Roman" w:eastAsia="Times New Roman" w:hAnsi="Times New Roman"/>
                <w:bCs/>
                <w:color w:val="000000"/>
                <w:sz w:val="26"/>
                <w:szCs w:val="26"/>
              </w:rPr>
              <w:t>būs</w:t>
            </w:r>
            <w:proofErr w:type="spellEnd"/>
            <w:r w:rsidR="00E06C11"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piedzenami</w:t>
            </w:r>
            <w:proofErr w:type="spellEnd"/>
            <w:r w:rsidR="00E03269" w:rsidRPr="00EE2826">
              <w:rPr>
                <w:rFonts w:ascii="Times New Roman" w:eastAsia="Times New Roman" w:hAnsi="Times New Roman"/>
                <w:bCs/>
                <w:color w:val="000000"/>
                <w:sz w:val="26"/>
                <w:szCs w:val="26"/>
              </w:rPr>
              <w:t xml:space="preserve"> no </w:t>
            </w:r>
            <w:proofErr w:type="spellStart"/>
            <w:r w:rsidR="00E03269" w:rsidRPr="00EE2826">
              <w:rPr>
                <w:rFonts w:ascii="Times New Roman" w:eastAsia="Times New Roman" w:hAnsi="Times New Roman"/>
                <w:bCs/>
                <w:color w:val="000000"/>
                <w:sz w:val="26"/>
                <w:szCs w:val="26"/>
              </w:rPr>
              <w:t>kuģa</w:t>
            </w:r>
            <w:proofErr w:type="spellEnd"/>
            <w:r w:rsidR="00E03269" w:rsidRPr="00EE2826">
              <w:rPr>
                <w:rFonts w:ascii="Times New Roman" w:eastAsia="Times New Roman" w:hAnsi="Times New Roman"/>
                <w:bCs/>
                <w:color w:val="000000"/>
                <w:sz w:val="26"/>
                <w:szCs w:val="26"/>
              </w:rPr>
              <w:t xml:space="preserve"> </w:t>
            </w:r>
            <w:proofErr w:type="spellStart"/>
            <w:r w:rsidR="00E03269" w:rsidRPr="00EE2826">
              <w:rPr>
                <w:rFonts w:ascii="Times New Roman" w:eastAsia="Times New Roman" w:hAnsi="Times New Roman"/>
                <w:bCs/>
                <w:color w:val="000000"/>
                <w:sz w:val="26"/>
                <w:szCs w:val="26"/>
              </w:rPr>
              <w:t>īpašnieka</w:t>
            </w:r>
            <w:proofErr w:type="spellEnd"/>
            <w:r w:rsidR="00E03269" w:rsidRPr="00EE2826">
              <w:rPr>
                <w:rFonts w:ascii="Times New Roman" w:eastAsia="Times New Roman" w:hAnsi="Times New Roman"/>
                <w:bCs/>
                <w:color w:val="000000"/>
                <w:sz w:val="26"/>
                <w:szCs w:val="26"/>
              </w:rPr>
              <w:t xml:space="preserve"> un </w:t>
            </w:r>
            <w:proofErr w:type="spellStart"/>
            <w:r w:rsidR="00E03269" w:rsidRPr="00EE2826">
              <w:rPr>
                <w:rFonts w:ascii="Times New Roman" w:eastAsia="Times New Roman" w:hAnsi="Times New Roman"/>
                <w:bCs/>
                <w:color w:val="000000"/>
                <w:sz w:val="26"/>
                <w:szCs w:val="26"/>
              </w:rPr>
              <w:t>atmaksājam</w:t>
            </w:r>
            <w:r w:rsidR="00416BA1" w:rsidRPr="00EE2826">
              <w:rPr>
                <w:rFonts w:ascii="Times New Roman" w:eastAsia="Times New Roman" w:hAnsi="Times New Roman"/>
                <w:bCs/>
                <w:color w:val="000000"/>
                <w:sz w:val="26"/>
                <w:szCs w:val="26"/>
              </w:rPr>
              <w:t>i</w:t>
            </w:r>
            <w:proofErr w:type="spellEnd"/>
            <w:r w:rsidR="00416BA1" w:rsidRPr="00EE2826">
              <w:rPr>
                <w:rFonts w:ascii="Times New Roman" w:eastAsia="Times New Roman" w:hAnsi="Times New Roman"/>
                <w:bCs/>
                <w:color w:val="000000"/>
                <w:sz w:val="26"/>
                <w:szCs w:val="26"/>
              </w:rPr>
              <w:t xml:space="preserve"> </w:t>
            </w:r>
            <w:proofErr w:type="spellStart"/>
            <w:r w:rsidR="00416BA1" w:rsidRPr="00EE2826">
              <w:rPr>
                <w:rFonts w:ascii="Times New Roman" w:eastAsia="Times New Roman" w:hAnsi="Times New Roman"/>
                <w:bCs/>
                <w:color w:val="000000"/>
                <w:sz w:val="26"/>
                <w:szCs w:val="26"/>
              </w:rPr>
              <w:t>valsts</w:t>
            </w:r>
            <w:proofErr w:type="spellEnd"/>
            <w:r w:rsidR="00416BA1" w:rsidRPr="00EE2826">
              <w:rPr>
                <w:rFonts w:ascii="Times New Roman" w:eastAsia="Times New Roman" w:hAnsi="Times New Roman"/>
                <w:bCs/>
                <w:color w:val="000000"/>
                <w:sz w:val="26"/>
                <w:szCs w:val="26"/>
              </w:rPr>
              <w:t xml:space="preserve"> </w:t>
            </w:r>
            <w:proofErr w:type="spellStart"/>
            <w:r w:rsidR="00416BA1" w:rsidRPr="00EE2826">
              <w:rPr>
                <w:rFonts w:ascii="Times New Roman" w:eastAsia="Times New Roman" w:hAnsi="Times New Roman"/>
                <w:bCs/>
                <w:color w:val="000000"/>
                <w:sz w:val="26"/>
                <w:szCs w:val="26"/>
              </w:rPr>
              <w:t>pamatbudžeta</w:t>
            </w:r>
            <w:proofErr w:type="spellEnd"/>
            <w:r w:rsidR="00416BA1" w:rsidRPr="00EE2826">
              <w:rPr>
                <w:rFonts w:ascii="Times New Roman" w:eastAsia="Times New Roman" w:hAnsi="Times New Roman"/>
                <w:bCs/>
                <w:color w:val="000000"/>
                <w:sz w:val="26"/>
                <w:szCs w:val="26"/>
              </w:rPr>
              <w:t xml:space="preserve"> </w:t>
            </w:r>
            <w:proofErr w:type="spellStart"/>
            <w:r w:rsidR="00416BA1" w:rsidRPr="00EE2826">
              <w:rPr>
                <w:rFonts w:ascii="Times New Roman" w:eastAsia="Times New Roman" w:hAnsi="Times New Roman"/>
                <w:bCs/>
                <w:color w:val="000000"/>
                <w:sz w:val="26"/>
                <w:szCs w:val="26"/>
              </w:rPr>
              <w:t>ieņēmumos</w:t>
            </w:r>
            <w:proofErr w:type="spellEnd"/>
            <w:r w:rsidR="00416BA1" w:rsidRPr="00EE2826">
              <w:rPr>
                <w:rFonts w:ascii="Times New Roman" w:eastAsia="Times New Roman" w:hAnsi="Times New Roman"/>
                <w:bCs/>
                <w:color w:val="000000"/>
                <w:sz w:val="26"/>
                <w:szCs w:val="26"/>
              </w:rPr>
              <w:t>.</w:t>
            </w:r>
            <w:r w:rsidR="00E03269"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Attiecībā</w:t>
            </w:r>
            <w:proofErr w:type="spellEnd"/>
            <w:r w:rsidR="00523772" w:rsidRPr="00EE2826">
              <w:rPr>
                <w:rFonts w:ascii="Times New Roman" w:eastAsia="Times New Roman" w:hAnsi="Times New Roman"/>
                <w:bCs/>
                <w:color w:val="000000"/>
                <w:sz w:val="26"/>
                <w:szCs w:val="26"/>
              </w:rPr>
              <w:t xml:space="preserve"> par </w:t>
            </w:r>
            <w:proofErr w:type="spellStart"/>
            <w:r w:rsidR="00870FB9" w:rsidRPr="00EE2826">
              <w:rPr>
                <w:rFonts w:ascii="Times New Roman" w:eastAsia="Times New Roman" w:hAnsi="Times New Roman"/>
                <w:bCs/>
                <w:color w:val="000000"/>
                <w:sz w:val="26"/>
                <w:szCs w:val="26"/>
              </w:rPr>
              <w:t>jūrnieku</w:t>
            </w:r>
            <w:proofErr w:type="spellEnd"/>
            <w:r w:rsidR="00870FB9" w:rsidRPr="00EE2826">
              <w:rPr>
                <w:rFonts w:ascii="Times New Roman" w:eastAsia="Times New Roman" w:hAnsi="Times New Roman"/>
                <w:bCs/>
                <w:color w:val="000000"/>
                <w:sz w:val="26"/>
                <w:szCs w:val="26"/>
              </w:rPr>
              <w:t xml:space="preserve"> </w:t>
            </w:r>
            <w:proofErr w:type="spellStart"/>
            <w:r w:rsidR="00870FB9" w:rsidRPr="00EE2826">
              <w:rPr>
                <w:rFonts w:ascii="Times New Roman" w:eastAsia="Times New Roman" w:hAnsi="Times New Roman"/>
                <w:bCs/>
                <w:color w:val="000000"/>
                <w:sz w:val="26"/>
                <w:szCs w:val="26"/>
              </w:rPr>
              <w:t>repatriāciju</w:t>
            </w:r>
            <w:proofErr w:type="spellEnd"/>
            <w:r w:rsidR="003F7803" w:rsidRPr="00EE2826">
              <w:rPr>
                <w:rFonts w:ascii="Times New Roman" w:eastAsia="Times New Roman" w:hAnsi="Times New Roman"/>
                <w:bCs/>
                <w:color w:val="000000"/>
                <w:sz w:val="26"/>
                <w:szCs w:val="26"/>
              </w:rPr>
              <w:t xml:space="preserve">, </w:t>
            </w:r>
            <w:proofErr w:type="spellStart"/>
            <w:r w:rsidR="003F7803" w:rsidRPr="00EE2826">
              <w:rPr>
                <w:rFonts w:ascii="Times New Roman" w:eastAsia="Times New Roman" w:hAnsi="Times New Roman"/>
                <w:bCs/>
                <w:color w:val="000000"/>
                <w:sz w:val="26"/>
                <w:szCs w:val="26"/>
              </w:rPr>
              <w:t>kas</w:t>
            </w:r>
            <w:proofErr w:type="spellEnd"/>
            <w:r w:rsidR="003F7803" w:rsidRPr="00EE2826">
              <w:rPr>
                <w:rFonts w:ascii="Times New Roman" w:eastAsia="Times New Roman" w:hAnsi="Times New Roman"/>
                <w:bCs/>
                <w:color w:val="000000"/>
                <w:sz w:val="26"/>
                <w:szCs w:val="26"/>
              </w:rPr>
              <w:t xml:space="preserve"> </w:t>
            </w:r>
            <w:proofErr w:type="spellStart"/>
            <w:r w:rsidR="00940F83" w:rsidRPr="00EE2826">
              <w:rPr>
                <w:rFonts w:ascii="Times New Roman" w:eastAsia="Times New Roman" w:hAnsi="Times New Roman"/>
                <w:bCs/>
                <w:color w:val="000000"/>
                <w:sz w:val="26"/>
                <w:szCs w:val="26"/>
              </w:rPr>
              <w:t>bijis</w:t>
            </w:r>
            <w:proofErr w:type="spellEnd"/>
            <w:r w:rsidR="00940F83" w:rsidRPr="00EE2826">
              <w:rPr>
                <w:rFonts w:ascii="Times New Roman" w:eastAsia="Times New Roman" w:hAnsi="Times New Roman"/>
                <w:bCs/>
                <w:color w:val="000000"/>
                <w:sz w:val="26"/>
                <w:szCs w:val="26"/>
              </w:rPr>
              <w:t xml:space="preserve"> </w:t>
            </w:r>
            <w:proofErr w:type="spellStart"/>
            <w:r w:rsidR="00940F83" w:rsidRPr="00EE2826">
              <w:rPr>
                <w:rFonts w:ascii="Times New Roman" w:eastAsia="Times New Roman" w:hAnsi="Times New Roman"/>
                <w:bCs/>
                <w:color w:val="000000"/>
                <w:sz w:val="26"/>
                <w:szCs w:val="26"/>
              </w:rPr>
              <w:t>nodarbināts</w:t>
            </w:r>
            <w:proofErr w:type="spellEnd"/>
            <w:r w:rsidR="003F7803" w:rsidRPr="00EE2826">
              <w:rPr>
                <w:rFonts w:ascii="Times New Roman" w:eastAsia="Times New Roman" w:hAnsi="Times New Roman"/>
                <w:bCs/>
                <w:color w:val="000000"/>
                <w:sz w:val="26"/>
                <w:szCs w:val="26"/>
              </w:rPr>
              <w:t xml:space="preserve"> </w:t>
            </w:r>
            <w:proofErr w:type="spellStart"/>
            <w:r w:rsidR="003F7803" w:rsidRPr="00EE2826">
              <w:rPr>
                <w:rFonts w:ascii="Times New Roman" w:eastAsia="Times New Roman" w:hAnsi="Times New Roman"/>
                <w:bCs/>
                <w:color w:val="000000"/>
                <w:sz w:val="26"/>
                <w:szCs w:val="26"/>
              </w:rPr>
              <w:t>uz</w:t>
            </w:r>
            <w:proofErr w:type="spellEnd"/>
            <w:r w:rsidR="00870FB9"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ārvalsts</w:t>
            </w:r>
            <w:proofErr w:type="spellEnd"/>
            <w:r w:rsidRPr="00EE2826">
              <w:rPr>
                <w:rFonts w:ascii="Times New Roman" w:eastAsia="Times New Roman" w:hAnsi="Times New Roman"/>
                <w:bCs/>
                <w:color w:val="000000"/>
                <w:sz w:val="26"/>
                <w:szCs w:val="26"/>
              </w:rPr>
              <w:t xml:space="preserve"> </w:t>
            </w:r>
            <w:proofErr w:type="spellStart"/>
            <w:r w:rsidRPr="00EE2826">
              <w:rPr>
                <w:rFonts w:ascii="Times New Roman" w:eastAsia="Times New Roman" w:hAnsi="Times New Roman"/>
                <w:bCs/>
                <w:color w:val="000000"/>
                <w:sz w:val="26"/>
                <w:szCs w:val="26"/>
              </w:rPr>
              <w:t>karoga</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ku</w:t>
            </w:r>
            <w:r w:rsidR="00870FB9" w:rsidRPr="00EE2826">
              <w:rPr>
                <w:rFonts w:ascii="Times New Roman" w:eastAsia="Times New Roman" w:hAnsi="Times New Roman"/>
                <w:bCs/>
                <w:color w:val="000000"/>
                <w:sz w:val="26"/>
                <w:szCs w:val="26"/>
              </w:rPr>
              <w:t>ģa</w:t>
            </w:r>
            <w:proofErr w:type="spellEnd"/>
            <w:r w:rsidR="00E06C11" w:rsidRPr="00EE2826">
              <w:rPr>
                <w:rFonts w:ascii="Times New Roman" w:eastAsia="Times New Roman" w:hAnsi="Times New Roman"/>
                <w:bCs/>
                <w:color w:val="000000"/>
                <w:sz w:val="26"/>
                <w:szCs w:val="26"/>
              </w:rPr>
              <w:t>,</w:t>
            </w:r>
            <w:r w:rsidRPr="00EE2826">
              <w:rPr>
                <w:rFonts w:ascii="Times New Roman" w:eastAsia="Times New Roman" w:hAnsi="Times New Roman"/>
                <w:bCs/>
                <w:color w:val="000000"/>
                <w:sz w:val="26"/>
                <w:szCs w:val="26"/>
              </w:rPr>
              <w:t xml:space="preserve"> </w:t>
            </w:r>
            <w:proofErr w:type="spellStart"/>
            <w:r w:rsidR="00E06C11" w:rsidRPr="00EE2826">
              <w:rPr>
                <w:rFonts w:ascii="Times New Roman" w:eastAsia="Times New Roman" w:hAnsi="Times New Roman"/>
                <w:bCs/>
                <w:color w:val="000000"/>
                <w:sz w:val="26"/>
                <w:szCs w:val="26"/>
              </w:rPr>
              <w:t>repatriācijai</w:t>
            </w:r>
            <w:proofErr w:type="spellEnd"/>
            <w:r w:rsidR="00E06C11" w:rsidRPr="00EE2826">
              <w:rPr>
                <w:rFonts w:ascii="Times New Roman" w:eastAsia="Times New Roman" w:hAnsi="Times New Roman"/>
                <w:bCs/>
                <w:color w:val="000000"/>
                <w:sz w:val="26"/>
                <w:szCs w:val="26"/>
              </w:rPr>
              <w:t xml:space="preserve"> </w:t>
            </w:r>
            <w:proofErr w:type="spellStart"/>
            <w:r w:rsidR="00E06C11" w:rsidRPr="00EE2826">
              <w:rPr>
                <w:rFonts w:ascii="Times New Roman" w:eastAsia="Times New Roman" w:hAnsi="Times New Roman"/>
                <w:bCs/>
                <w:color w:val="000000"/>
                <w:sz w:val="26"/>
                <w:szCs w:val="26"/>
              </w:rPr>
              <w:t>izlietotie</w:t>
            </w:r>
            <w:proofErr w:type="spellEnd"/>
            <w:r w:rsidR="00E06C11"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valsts</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budžeta</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līdzek</w:t>
            </w:r>
            <w:r w:rsidR="00E06C11" w:rsidRPr="00EE2826">
              <w:rPr>
                <w:rFonts w:ascii="Times New Roman" w:eastAsia="Times New Roman" w:hAnsi="Times New Roman"/>
                <w:bCs/>
                <w:color w:val="000000"/>
                <w:sz w:val="26"/>
                <w:szCs w:val="26"/>
              </w:rPr>
              <w:t>ļi</w:t>
            </w:r>
            <w:proofErr w:type="spellEnd"/>
            <w:r w:rsidR="00E06C11" w:rsidRPr="00EE2826">
              <w:rPr>
                <w:rFonts w:ascii="Times New Roman" w:eastAsia="Times New Roman" w:hAnsi="Times New Roman"/>
                <w:bCs/>
                <w:color w:val="000000"/>
                <w:sz w:val="26"/>
                <w:szCs w:val="26"/>
              </w:rPr>
              <w:t xml:space="preserve"> </w:t>
            </w:r>
            <w:proofErr w:type="spellStart"/>
            <w:r w:rsidR="00416BA1" w:rsidRPr="00EE2826">
              <w:rPr>
                <w:rFonts w:ascii="Times New Roman" w:eastAsia="Times New Roman" w:hAnsi="Times New Roman"/>
                <w:bCs/>
                <w:color w:val="000000"/>
                <w:sz w:val="26"/>
                <w:szCs w:val="26"/>
              </w:rPr>
              <w:t>atbilstoši</w:t>
            </w:r>
            <w:proofErr w:type="spellEnd"/>
            <w:r w:rsidR="00416BA1" w:rsidRPr="00EE2826">
              <w:rPr>
                <w:rFonts w:ascii="Times New Roman" w:eastAsia="Times New Roman" w:hAnsi="Times New Roman"/>
                <w:bCs/>
                <w:color w:val="000000"/>
                <w:sz w:val="26"/>
                <w:szCs w:val="26"/>
              </w:rPr>
              <w:t xml:space="preserve"> MLC </w:t>
            </w:r>
            <w:proofErr w:type="spellStart"/>
            <w:r w:rsidR="00416BA1" w:rsidRPr="00EE2826">
              <w:rPr>
                <w:rFonts w:ascii="Times New Roman" w:eastAsia="Times New Roman" w:hAnsi="Times New Roman"/>
                <w:bCs/>
                <w:color w:val="000000"/>
                <w:sz w:val="26"/>
                <w:szCs w:val="26"/>
              </w:rPr>
              <w:t>konvencijai</w:t>
            </w:r>
            <w:proofErr w:type="spellEnd"/>
            <w:r w:rsidR="00416BA1"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tiks</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pieprasīti</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diplomātiskā</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ceļā</w:t>
            </w:r>
            <w:proofErr w:type="spellEnd"/>
            <w:r w:rsidR="00523772" w:rsidRPr="00EE2826">
              <w:rPr>
                <w:rFonts w:ascii="Times New Roman" w:eastAsia="Times New Roman" w:hAnsi="Times New Roman"/>
                <w:bCs/>
                <w:color w:val="000000"/>
                <w:sz w:val="26"/>
                <w:szCs w:val="26"/>
              </w:rPr>
              <w:t xml:space="preserve"> no </w:t>
            </w:r>
            <w:proofErr w:type="spellStart"/>
            <w:r w:rsidR="00523772" w:rsidRPr="00EE2826">
              <w:rPr>
                <w:rFonts w:ascii="Times New Roman" w:eastAsia="Times New Roman" w:hAnsi="Times New Roman"/>
                <w:bCs/>
                <w:color w:val="000000"/>
                <w:sz w:val="26"/>
                <w:szCs w:val="26"/>
              </w:rPr>
              <w:t>valsts</w:t>
            </w:r>
            <w:proofErr w:type="spellEnd"/>
            <w:r w:rsidR="00523772" w:rsidRPr="00EE2826">
              <w:rPr>
                <w:rFonts w:ascii="Times New Roman" w:eastAsia="Times New Roman" w:hAnsi="Times New Roman"/>
                <w:bCs/>
                <w:color w:val="000000"/>
                <w:sz w:val="26"/>
                <w:szCs w:val="26"/>
              </w:rPr>
              <w:t xml:space="preserve">, no </w:t>
            </w:r>
            <w:proofErr w:type="spellStart"/>
            <w:r w:rsidR="00523772" w:rsidRPr="00EE2826">
              <w:rPr>
                <w:rFonts w:ascii="Times New Roman" w:eastAsia="Times New Roman" w:hAnsi="Times New Roman"/>
                <w:bCs/>
                <w:color w:val="000000"/>
                <w:sz w:val="26"/>
                <w:szCs w:val="26"/>
              </w:rPr>
              <w:t>kuras</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karoga</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kuģa</w:t>
            </w:r>
            <w:proofErr w:type="spellEnd"/>
            <w:r w:rsidR="00523772" w:rsidRPr="00EE2826">
              <w:rPr>
                <w:rFonts w:ascii="Times New Roman" w:eastAsia="Times New Roman" w:hAnsi="Times New Roman"/>
                <w:bCs/>
                <w:color w:val="000000"/>
                <w:sz w:val="26"/>
                <w:szCs w:val="26"/>
              </w:rPr>
              <w:t xml:space="preserve"> </w:t>
            </w:r>
            <w:proofErr w:type="spellStart"/>
            <w:r w:rsidR="00523772" w:rsidRPr="00EE2826">
              <w:rPr>
                <w:rFonts w:ascii="Times New Roman" w:eastAsia="Times New Roman" w:hAnsi="Times New Roman"/>
                <w:bCs/>
                <w:color w:val="000000"/>
                <w:sz w:val="26"/>
                <w:szCs w:val="26"/>
              </w:rPr>
              <w:t>j</w:t>
            </w:r>
            <w:r w:rsidR="00870FB9" w:rsidRPr="00EE2826">
              <w:rPr>
                <w:rFonts w:ascii="Times New Roman" w:eastAsia="Times New Roman" w:hAnsi="Times New Roman"/>
                <w:bCs/>
                <w:color w:val="000000"/>
                <w:sz w:val="26"/>
                <w:szCs w:val="26"/>
              </w:rPr>
              <w:t>ūrnieks</w:t>
            </w:r>
            <w:proofErr w:type="spellEnd"/>
            <w:r w:rsidR="00870FB9" w:rsidRPr="00EE2826">
              <w:rPr>
                <w:rFonts w:ascii="Times New Roman" w:eastAsia="Times New Roman" w:hAnsi="Times New Roman"/>
                <w:bCs/>
                <w:color w:val="000000"/>
                <w:sz w:val="26"/>
                <w:szCs w:val="26"/>
              </w:rPr>
              <w:t xml:space="preserve"> </w:t>
            </w:r>
            <w:proofErr w:type="spellStart"/>
            <w:r w:rsidR="00870FB9" w:rsidRPr="00EE2826">
              <w:rPr>
                <w:rFonts w:ascii="Times New Roman" w:eastAsia="Times New Roman" w:hAnsi="Times New Roman"/>
                <w:bCs/>
                <w:color w:val="000000"/>
                <w:sz w:val="26"/>
                <w:szCs w:val="26"/>
              </w:rPr>
              <w:t>ticis</w:t>
            </w:r>
            <w:proofErr w:type="spellEnd"/>
            <w:r w:rsidR="00870FB9" w:rsidRPr="00EE2826">
              <w:rPr>
                <w:rFonts w:ascii="Times New Roman" w:eastAsia="Times New Roman" w:hAnsi="Times New Roman"/>
                <w:bCs/>
                <w:color w:val="000000"/>
                <w:sz w:val="26"/>
                <w:szCs w:val="26"/>
              </w:rPr>
              <w:t xml:space="preserve"> </w:t>
            </w:r>
            <w:proofErr w:type="spellStart"/>
            <w:r w:rsidR="00870FB9" w:rsidRPr="00EE2826">
              <w:rPr>
                <w:rFonts w:ascii="Times New Roman" w:eastAsia="Times New Roman" w:hAnsi="Times New Roman"/>
                <w:bCs/>
                <w:color w:val="000000"/>
                <w:sz w:val="26"/>
                <w:szCs w:val="26"/>
              </w:rPr>
              <w:t>repatriēts</w:t>
            </w:r>
            <w:proofErr w:type="spellEnd"/>
            <w:r w:rsidR="00870FB9" w:rsidRPr="00EE2826">
              <w:rPr>
                <w:rFonts w:ascii="Times New Roman" w:eastAsia="Times New Roman" w:hAnsi="Times New Roman"/>
                <w:bCs/>
                <w:color w:val="000000"/>
                <w:sz w:val="26"/>
                <w:szCs w:val="26"/>
              </w:rPr>
              <w:t>.</w:t>
            </w:r>
          </w:p>
        </w:tc>
      </w:tr>
    </w:tbl>
    <w:p w:rsidR="00074799" w:rsidRDefault="00074799" w:rsidP="00074799">
      <w:pPr>
        <w:spacing w:before="100" w:beforeAutospacing="1" w:after="100" w:afterAutospacing="1" w:line="360" w:lineRule="auto"/>
        <w:ind w:firstLine="300"/>
        <w:rPr>
          <w:rFonts w:ascii="Arial" w:eastAsia="Times New Roman" w:hAnsi="Arial" w:cs="Arial"/>
          <w:color w:val="414142"/>
          <w:sz w:val="20"/>
          <w:szCs w:val="20"/>
        </w:rPr>
      </w:pPr>
    </w:p>
    <w:p w:rsidR="00D13A97" w:rsidRPr="00074799" w:rsidRDefault="00D13A97" w:rsidP="00074799">
      <w:pPr>
        <w:spacing w:before="100" w:beforeAutospacing="1" w:after="100" w:afterAutospacing="1" w:line="360" w:lineRule="auto"/>
        <w:ind w:firstLine="300"/>
        <w:rPr>
          <w:rFonts w:ascii="Arial" w:eastAsia="Times New Roman" w:hAnsi="Arial" w:cs="Arial"/>
          <w:color w:val="414142"/>
          <w:sz w:val="20"/>
          <w:szCs w:val="20"/>
        </w:rPr>
      </w:pPr>
    </w:p>
    <w:tbl>
      <w:tblPr>
        <w:tblStyle w:val="TableGrid"/>
        <w:tblW w:w="5000" w:type="pct"/>
        <w:tblLook w:val="04A0" w:firstRow="1" w:lastRow="0" w:firstColumn="1" w:lastColumn="0" w:noHBand="0" w:noVBand="1"/>
      </w:tblPr>
      <w:tblGrid>
        <w:gridCol w:w="479"/>
        <w:gridCol w:w="2777"/>
        <w:gridCol w:w="6320"/>
      </w:tblGrid>
      <w:tr w:rsidR="00074799" w:rsidRPr="00CA3354" w:rsidTr="002356E4">
        <w:trPr>
          <w:trHeight w:val="450"/>
        </w:trPr>
        <w:tc>
          <w:tcPr>
            <w:tcW w:w="0" w:type="auto"/>
            <w:gridSpan w:val="3"/>
            <w:hideMark/>
          </w:tcPr>
          <w:p w:rsidR="00074799" w:rsidRPr="00CA3354" w:rsidRDefault="00074799" w:rsidP="00074799">
            <w:pPr>
              <w:spacing w:before="100" w:beforeAutospacing="1" w:after="100" w:afterAutospacing="1" w:line="360" w:lineRule="auto"/>
              <w:ind w:firstLine="300"/>
              <w:jc w:val="center"/>
              <w:rPr>
                <w:rFonts w:ascii="Times New Roman" w:eastAsia="Times New Roman" w:hAnsi="Times New Roman" w:cs="Times New Roman"/>
                <w:b/>
                <w:bCs/>
                <w:color w:val="414142"/>
                <w:sz w:val="26"/>
                <w:szCs w:val="26"/>
              </w:rPr>
            </w:pPr>
            <w:r w:rsidRPr="00CA3354">
              <w:rPr>
                <w:rFonts w:ascii="Times New Roman" w:eastAsia="Times New Roman" w:hAnsi="Times New Roman" w:cs="Times New Roman"/>
                <w:b/>
                <w:bCs/>
                <w:color w:val="414142"/>
                <w:sz w:val="26"/>
                <w:szCs w:val="26"/>
              </w:rPr>
              <w:lastRenderedPageBreak/>
              <w:t xml:space="preserve">IV. </w:t>
            </w:r>
            <w:proofErr w:type="spellStart"/>
            <w:r w:rsidRPr="00CA3354">
              <w:rPr>
                <w:rFonts w:ascii="Times New Roman" w:eastAsia="Times New Roman" w:hAnsi="Times New Roman" w:cs="Times New Roman"/>
                <w:b/>
                <w:bCs/>
                <w:color w:val="414142"/>
                <w:sz w:val="26"/>
                <w:szCs w:val="26"/>
              </w:rPr>
              <w:t>Tiesību</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akta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projekta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ietekme</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uz</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spēkā</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esošo</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tiesību</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normu</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sistēmu</w:t>
            </w:r>
            <w:proofErr w:type="spellEnd"/>
          </w:p>
        </w:tc>
      </w:tr>
      <w:tr w:rsidR="00074799" w:rsidRPr="00CA3354" w:rsidTr="002356E4">
        <w:tc>
          <w:tcPr>
            <w:tcW w:w="250" w:type="pct"/>
            <w:hideMark/>
          </w:tcPr>
          <w:p w:rsidR="00074799" w:rsidRPr="00CA3354" w:rsidRDefault="00074799" w:rsidP="00074799">
            <w:pPr>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1.</w:t>
            </w:r>
          </w:p>
        </w:tc>
        <w:tc>
          <w:tcPr>
            <w:tcW w:w="1450"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Nepieciešamie</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saistītie</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tiesību</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aktu</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projekti</w:t>
            </w:r>
            <w:proofErr w:type="spellEnd"/>
          </w:p>
        </w:tc>
        <w:tc>
          <w:tcPr>
            <w:tcW w:w="3300" w:type="pct"/>
            <w:hideMark/>
          </w:tcPr>
          <w:p w:rsidR="004B73AB" w:rsidRPr="00CA3354" w:rsidRDefault="00FD4287" w:rsidP="00932E4D">
            <w:pPr>
              <w:jc w:val="both"/>
              <w:rPr>
                <w:rFonts w:ascii="Times New Roman" w:eastAsia="Times New Roman" w:hAnsi="Times New Roman" w:cs="Times New Roman"/>
                <w:color w:val="414142"/>
                <w:sz w:val="26"/>
                <w:szCs w:val="26"/>
              </w:rPr>
            </w:pPr>
            <w:proofErr w:type="spellStart"/>
            <w:r w:rsidRPr="00CA3354">
              <w:rPr>
                <w:rFonts w:ascii="Times New Roman" w:hAnsi="Times New Roman" w:cs="Times New Roman"/>
                <w:sz w:val="26"/>
                <w:szCs w:val="26"/>
              </w:rPr>
              <w:t>Ministru</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kabineta</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noteikumi</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Noteikumi</w:t>
            </w:r>
            <w:proofErr w:type="spellEnd"/>
            <w:r w:rsidRPr="00CA3354">
              <w:rPr>
                <w:rFonts w:ascii="Times New Roman" w:hAnsi="Times New Roman" w:cs="Times New Roman"/>
                <w:sz w:val="26"/>
                <w:szCs w:val="26"/>
              </w:rPr>
              <w:t xml:space="preserve"> par </w:t>
            </w:r>
            <w:proofErr w:type="spellStart"/>
            <w:r w:rsidRPr="00CA3354">
              <w:rPr>
                <w:rFonts w:ascii="Times New Roman" w:hAnsi="Times New Roman" w:cs="Times New Roman"/>
                <w:sz w:val="26"/>
                <w:szCs w:val="26"/>
              </w:rPr>
              <w:t>kuģošanas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līdzekļu</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satiksmi</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iekšējos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ūdeņos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Noteikumu</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projekts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izsludināts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Valsts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sekretāru</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sanāksmē</w:t>
            </w:r>
            <w:proofErr w:type="spellEnd"/>
            <w:r w:rsidRPr="00CA3354">
              <w:rPr>
                <w:rFonts w:ascii="Times New Roman" w:hAnsi="Times New Roman" w:cs="Times New Roman"/>
                <w:sz w:val="26"/>
                <w:szCs w:val="26"/>
              </w:rPr>
              <w:t xml:space="preserve"> 02.07.2015. (VSS – 699), </w:t>
            </w:r>
            <w:r w:rsidR="00932E4D">
              <w:rPr>
                <w:rFonts w:ascii="Times New Roman" w:hAnsi="Times New Roman" w:cs="Times New Roman"/>
                <w:sz w:val="26"/>
                <w:szCs w:val="26"/>
              </w:rPr>
              <w:t xml:space="preserve">27.11.2015. </w:t>
            </w:r>
            <w:proofErr w:type="spellStart"/>
            <w:proofErr w:type="gramStart"/>
            <w:r w:rsidR="00932E4D">
              <w:rPr>
                <w:rFonts w:ascii="Times New Roman" w:hAnsi="Times New Roman" w:cs="Times New Roman"/>
                <w:sz w:val="26"/>
                <w:szCs w:val="26"/>
              </w:rPr>
              <w:t>iesniegts</w:t>
            </w:r>
            <w:proofErr w:type="spellEnd"/>
            <w:proofErr w:type="gramEnd"/>
            <w:r w:rsidR="00932E4D">
              <w:rPr>
                <w:rFonts w:ascii="Times New Roman" w:hAnsi="Times New Roman" w:cs="Times New Roman"/>
                <w:sz w:val="26"/>
                <w:szCs w:val="26"/>
              </w:rPr>
              <w:t xml:space="preserve"> </w:t>
            </w:r>
            <w:proofErr w:type="spellStart"/>
            <w:r w:rsidR="00932E4D">
              <w:rPr>
                <w:rFonts w:ascii="Times New Roman" w:hAnsi="Times New Roman" w:cs="Times New Roman"/>
                <w:sz w:val="26"/>
                <w:szCs w:val="26"/>
              </w:rPr>
              <w:t>Valsts</w:t>
            </w:r>
            <w:proofErr w:type="spellEnd"/>
            <w:r w:rsidR="00932E4D">
              <w:rPr>
                <w:rFonts w:ascii="Times New Roman" w:hAnsi="Times New Roman" w:cs="Times New Roman"/>
                <w:sz w:val="26"/>
                <w:szCs w:val="26"/>
              </w:rPr>
              <w:t xml:space="preserve"> </w:t>
            </w:r>
            <w:proofErr w:type="spellStart"/>
            <w:r w:rsidR="00932E4D">
              <w:rPr>
                <w:rFonts w:ascii="Times New Roman" w:hAnsi="Times New Roman" w:cs="Times New Roman"/>
                <w:sz w:val="26"/>
                <w:szCs w:val="26"/>
              </w:rPr>
              <w:t>kancelejā</w:t>
            </w:r>
            <w:proofErr w:type="spellEnd"/>
            <w:r w:rsidR="00932E4D">
              <w:rPr>
                <w:rFonts w:ascii="Times New Roman" w:hAnsi="Times New Roman" w:cs="Times New Roman"/>
                <w:sz w:val="26"/>
                <w:szCs w:val="26"/>
              </w:rPr>
              <w:t xml:space="preserve"> </w:t>
            </w:r>
            <w:proofErr w:type="spellStart"/>
            <w:r w:rsidR="00932E4D">
              <w:rPr>
                <w:rFonts w:ascii="Times New Roman" w:hAnsi="Times New Roman" w:cs="Times New Roman"/>
                <w:sz w:val="26"/>
                <w:szCs w:val="26"/>
              </w:rPr>
              <w:t>izskatīšanai</w:t>
            </w:r>
            <w:proofErr w:type="spellEnd"/>
            <w:r w:rsidR="00932E4D">
              <w:rPr>
                <w:rFonts w:ascii="Times New Roman" w:hAnsi="Times New Roman" w:cs="Times New Roman"/>
                <w:sz w:val="26"/>
                <w:szCs w:val="26"/>
              </w:rPr>
              <w:t xml:space="preserve"> </w:t>
            </w:r>
            <w:proofErr w:type="spellStart"/>
            <w:r w:rsidR="00932E4D">
              <w:rPr>
                <w:rFonts w:ascii="Times New Roman" w:hAnsi="Times New Roman" w:cs="Times New Roman"/>
                <w:sz w:val="26"/>
                <w:szCs w:val="26"/>
              </w:rPr>
              <w:t>Ministru</w:t>
            </w:r>
            <w:proofErr w:type="spellEnd"/>
            <w:r w:rsidR="00932E4D">
              <w:rPr>
                <w:rFonts w:ascii="Times New Roman" w:hAnsi="Times New Roman" w:cs="Times New Roman"/>
                <w:sz w:val="26"/>
                <w:szCs w:val="26"/>
              </w:rPr>
              <w:t xml:space="preserve"> </w:t>
            </w:r>
            <w:proofErr w:type="spellStart"/>
            <w:r w:rsidR="00932E4D">
              <w:rPr>
                <w:rFonts w:ascii="Times New Roman" w:hAnsi="Times New Roman" w:cs="Times New Roman"/>
                <w:sz w:val="26"/>
                <w:szCs w:val="26"/>
              </w:rPr>
              <w:t>kabineta</w:t>
            </w:r>
            <w:proofErr w:type="spellEnd"/>
            <w:r w:rsidR="00932E4D">
              <w:rPr>
                <w:rFonts w:ascii="Times New Roman" w:hAnsi="Times New Roman" w:cs="Times New Roman"/>
                <w:sz w:val="26"/>
                <w:szCs w:val="26"/>
              </w:rPr>
              <w:t xml:space="preserve"> </w:t>
            </w:r>
            <w:proofErr w:type="spellStart"/>
            <w:r w:rsidR="00932E4D">
              <w:rPr>
                <w:rFonts w:ascii="Times New Roman" w:hAnsi="Times New Roman" w:cs="Times New Roman"/>
                <w:sz w:val="26"/>
                <w:szCs w:val="26"/>
              </w:rPr>
              <w:t>sēdē</w:t>
            </w:r>
            <w:proofErr w:type="spellEnd"/>
            <w:r w:rsidR="00932E4D">
              <w:rPr>
                <w:rFonts w:ascii="Times New Roman" w:hAnsi="Times New Roman" w:cs="Times New Roman"/>
                <w:sz w:val="26"/>
                <w:szCs w:val="26"/>
              </w:rPr>
              <w:t xml:space="preserve">, un </w:t>
            </w:r>
            <w:proofErr w:type="spellStart"/>
            <w:r w:rsidR="00932E4D">
              <w:rPr>
                <w:rFonts w:ascii="Times New Roman" w:hAnsi="Times New Roman" w:cs="Times New Roman"/>
                <w:sz w:val="26"/>
                <w:szCs w:val="26"/>
              </w:rPr>
              <w:t>t</w:t>
            </w:r>
            <w:r w:rsidRPr="00CA3354">
              <w:rPr>
                <w:rFonts w:ascii="Times New Roman" w:hAnsi="Times New Roman" w:cs="Times New Roman"/>
                <w:sz w:val="26"/>
                <w:szCs w:val="26"/>
              </w:rPr>
              <w:t>iks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izdots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pamatojoties</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uz</w:t>
            </w:r>
            <w:proofErr w:type="spellEnd"/>
            <w:r w:rsidRPr="00CA3354">
              <w:rPr>
                <w:rFonts w:ascii="Times New Roman" w:hAnsi="Times New Roman" w:cs="Times New Roman"/>
                <w:sz w:val="26"/>
                <w:szCs w:val="26"/>
              </w:rPr>
              <w:t xml:space="preserve"> JPJDL 48.</w:t>
            </w:r>
            <w:r w:rsidRPr="00CA3354">
              <w:rPr>
                <w:rFonts w:ascii="Times New Roman" w:hAnsi="Times New Roman" w:cs="Times New Roman"/>
                <w:sz w:val="26"/>
                <w:szCs w:val="26"/>
                <w:vertAlign w:val="superscript"/>
              </w:rPr>
              <w:t>1</w:t>
            </w:r>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panta</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pirmo</w:t>
            </w:r>
            <w:proofErr w:type="spellEnd"/>
            <w:r w:rsidRPr="00CA3354">
              <w:rPr>
                <w:rFonts w:ascii="Times New Roman" w:hAnsi="Times New Roman" w:cs="Times New Roman"/>
                <w:sz w:val="26"/>
                <w:szCs w:val="26"/>
              </w:rPr>
              <w:t xml:space="preserve"> </w:t>
            </w:r>
            <w:proofErr w:type="spellStart"/>
            <w:r w:rsidRPr="00CA3354">
              <w:rPr>
                <w:rFonts w:ascii="Times New Roman" w:hAnsi="Times New Roman" w:cs="Times New Roman"/>
                <w:sz w:val="26"/>
                <w:szCs w:val="26"/>
              </w:rPr>
              <w:t>daļu</w:t>
            </w:r>
            <w:proofErr w:type="spellEnd"/>
            <w:r w:rsidRPr="00CA3354">
              <w:rPr>
                <w:rFonts w:ascii="Times New Roman" w:hAnsi="Times New Roman" w:cs="Times New Roman"/>
                <w:sz w:val="26"/>
                <w:szCs w:val="26"/>
              </w:rPr>
              <w:t>.</w:t>
            </w:r>
          </w:p>
        </w:tc>
      </w:tr>
      <w:tr w:rsidR="00074799" w:rsidRPr="00CA3354" w:rsidTr="002356E4">
        <w:tc>
          <w:tcPr>
            <w:tcW w:w="250" w:type="pct"/>
            <w:hideMark/>
          </w:tcPr>
          <w:p w:rsidR="00074799" w:rsidRPr="00CA3354" w:rsidRDefault="00074799" w:rsidP="00074799">
            <w:pPr>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2.</w:t>
            </w:r>
          </w:p>
        </w:tc>
        <w:tc>
          <w:tcPr>
            <w:tcW w:w="1450"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Atbildīgā</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institūcija</w:t>
            </w:r>
            <w:proofErr w:type="spellEnd"/>
          </w:p>
        </w:tc>
        <w:tc>
          <w:tcPr>
            <w:tcW w:w="3300" w:type="pct"/>
            <w:hideMark/>
          </w:tcPr>
          <w:p w:rsidR="00FD4287" w:rsidRPr="00CA3354" w:rsidRDefault="00FD4287" w:rsidP="00FD4287">
            <w:pPr>
              <w:pStyle w:val="naiskr"/>
              <w:spacing w:before="0" w:after="0"/>
              <w:jc w:val="both"/>
              <w:rPr>
                <w:b/>
                <w:sz w:val="26"/>
                <w:szCs w:val="26"/>
              </w:rPr>
            </w:pPr>
            <w:r w:rsidRPr="00CA3354">
              <w:rPr>
                <w:sz w:val="26"/>
                <w:szCs w:val="26"/>
              </w:rPr>
              <w:t>Satiksmes ministrija.</w:t>
            </w:r>
          </w:p>
          <w:p w:rsidR="00FD4287" w:rsidRPr="00CA3354" w:rsidRDefault="00FD4287" w:rsidP="00074799">
            <w:pPr>
              <w:rPr>
                <w:rFonts w:ascii="Times New Roman" w:eastAsia="Times New Roman" w:hAnsi="Times New Roman" w:cs="Times New Roman"/>
                <w:color w:val="414142"/>
                <w:sz w:val="26"/>
                <w:szCs w:val="26"/>
              </w:rPr>
            </w:pPr>
          </w:p>
        </w:tc>
      </w:tr>
      <w:tr w:rsidR="00074799" w:rsidRPr="00CA3354" w:rsidTr="002356E4">
        <w:tc>
          <w:tcPr>
            <w:tcW w:w="250" w:type="pct"/>
            <w:hideMark/>
          </w:tcPr>
          <w:p w:rsidR="00074799" w:rsidRPr="00CA3354" w:rsidRDefault="00074799" w:rsidP="00074799">
            <w:pPr>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3.</w:t>
            </w:r>
          </w:p>
        </w:tc>
        <w:tc>
          <w:tcPr>
            <w:tcW w:w="1450"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Cita</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informācija</w:t>
            </w:r>
            <w:proofErr w:type="spellEnd"/>
          </w:p>
        </w:tc>
        <w:tc>
          <w:tcPr>
            <w:tcW w:w="3300" w:type="pct"/>
            <w:hideMark/>
          </w:tcPr>
          <w:p w:rsidR="00074799" w:rsidRPr="00CA3354" w:rsidRDefault="00FD4287" w:rsidP="00FD4287">
            <w:pPr>
              <w:spacing w:before="100" w:beforeAutospacing="1" w:after="100" w:afterAutospacing="1" w:line="360" w:lineRule="auto"/>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Nav.</w:t>
            </w:r>
          </w:p>
        </w:tc>
      </w:tr>
    </w:tbl>
    <w:p w:rsidR="00074799" w:rsidRPr="00074799" w:rsidRDefault="00074799" w:rsidP="00074799">
      <w:pPr>
        <w:spacing w:before="100" w:beforeAutospacing="1" w:after="100" w:afterAutospacing="1" w:line="360" w:lineRule="auto"/>
        <w:ind w:firstLine="300"/>
        <w:rPr>
          <w:rFonts w:ascii="Arial" w:eastAsia="Times New Roman" w:hAnsi="Arial" w:cs="Arial"/>
          <w:color w:val="414142"/>
          <w:sz w:val="20"/>
          <w:szCs w:val="20"/>
        </w:rPr>
      </w:pPr>
    </w:p>
    <w:tbl>
      <w:tblPr>
        <w:tblStyle w:val="TableGrid"/>
        <w:tblW w:w="5000" w:type="pct"/>
        <w:tblLook w:val="04A0" w:firstRow="1" w:lastRow="0" w:firstColumn="1" w:lastColumn="0" w:noHBand="0" w:noVBand="1"/>
      </w:tblPr>
      <w:tblGrid>
        <w:gridCol w:w="9576"/>
      </w:tblGrid>
      <w:tr w:rsidR="00074799" w:rsidRPr="00CA3354" w:rsidTr="00373C5D">
        <w:tc>
          <w:tcPr>
            <w:tcW w:w="5000" w:type="pct"/>
            <w:hideMark/>
          </w:tcPr>
          <w:p w:rsidR="00074799" w:rsidRPr="00CA3354" w:rsidRDefault="00074799" w:rsidP="00074799">
            <w:pPr>
              <w:spacing w:before="100" w:beforeAutospacing="1" w:after="100" w:afterAutospacing="1" w:line="360" w:lineRule="auto"/>
              <w:ind w:firstLine="300"/>
              <w:jc w:val="center"/>
              <w:rPr>
                <w:rFonts w:ascii="Times New Roman" w:eastAsia="Times New Roman" w:hAnsi="Times New Roman" w:cs="Times New Roman"/>
                <w:b/>
                <w:bCs/>
                <w:color w:val="414142"/>
                <w:sz w:val="26"/>
                <w:szCs w:val="26"/>
              </w:rPr>
            </w:pPr>
            <w:r w:rsidRPr="00CA3354">
              <w:rPr>
                <w:rFonts w:ascii="Times New Roman" w:eastAsia="Times New Roman" w:hAnsi="Times New Roman" w:cs="Times New Roman"/>
                <w:b/>
                <w:bCs/>
                <w:color w:val="414142"/>
                <w:sz w:val="26"/>
                <w:szCs w:val="26"/>
              </w:rPr>
              <w:t xml:space="preserve">V. </w:t>
            </w:r>
            <w:proofErr w:type="spellStart"/>
            <w:r w:rsidRPr="00CA3354">
              <w:rPr>
                <w:rFonts w:ascii="Times New Roman" w:eastAsia="Times New Roman" w:hAnsi="Times New Roman" w:cs="Times New Roman"/>
                <w:b/>
                <w:bCs/>
                <w:color w:val="414142"/>
                <w:sz w:val="26"/>
                <w:szCs w:val="26"/>
              </w:rPr>
              <w:t>Tiesību</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akta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projekta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atbilstība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Latvijas</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Republikas</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starptautiskajām</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saistībām</w:t>
            </w:r>
            <w:proofErr w:type="spellEnd"/>
          </w:p>
        </w:tc>
      </w:tr>
      <w:tr w:rsidR="00373C5D" w:rsidRPr="00CA3354" w:rsidTr="00373C5D">
        <w:tc>
          <w:tcPr>
            <w:tcW w:w="5000" w:type="pct"/>
          </w:tcPr>
          <w:p w:rsidR="00373C5D" w:rsidRPr="00CA3354" w:rsidRDefault="00373C5D" w:rsidP="00074799">
            <w:pPr>
              <w:spacing w:before="100" w:beforeAutospacing="1" w:after="100" w:afterAutospacing="1" w:line="360" w:lineRule="auto"/>
              <w:ind w:firstLine="300"/>
              <w:jc w:val="center"/>
              <w:rPr>
                <w:rFonts w:ascii="Times New Roman" w:eastAsia="Times New Roman" w:hAnsi="Times New Roman" w:cs="Times New Roman"/>
                <w:bCs/>
                <w:i/>
                <w:color w:val="414142"/>
                <w:sz w:val="26"/>
                <w:szCs w:val="26"/>
              </w:rPr>
            </w:pPr>
            <w:proofErr w:type="spellStart"/>
            <w:r w:rsidRPr="00CA3354">
              <w:rPr>
                <w:rFonts w:ascii="Times New Roman" w:eastAsia="Times New Roman" w:hAnsi="Times New Roman" w:cs="Times New Roman"/>
                <w:bCs/>
                <w:i/>
                <w:color w:val="414142"/>
                <w:sz w:val="26"/>
                <w:szCs w:val="26"/>
              </w:rPr>
              <w:t>Projekts</w:t>
            </w:r>
            <w:proofErr w:type="spellEnd"/>
            <w:r w:rsidRPr="00CA3354">
              <w:rPr>
                <w:rFonts w:ascii="Times New Roman" w:eastAsia="Times New Roman" w:hAnsi="Times New Roman" w:cs="Times New Roman"/>
                <w:bCs/>
                <w:i/>
                <w:color w:val="414142"/>
                <w:sz w:val="26"/>
                <w:szCs w:val="26"/>
              </w:rPr>
              <w:t xml:space="preserve"> </w:t>
            </w:r>
            <w:proofErr w:type="spellStart"/>
            <w:r w:rsidRPr="00CA3354">
              <w:rPr>
                <w:rFonts w:ascii="Times New Roman" w:eastAsia="Times New Roman" w:hAnsi="Times New Roman" w:cs="Times New Roman"/>
                <w:bCs/>
                <w:i/>
                <w:color w:val="414142"/>
                <w:sz w:val="26"/>
                <w:szCs w:val="26"/>
              </w:rPr>
              <w:t>šo</w:t>
            </w:r>
            <w:proofErr w:type="spellEnd"/>
            <w:r w:rsidRPr="00CA3354">
              <w:rPr>
                <w:rFonts w:ascii="Times New Roman" w:eastAsia="Times New Roman" w:hAnsi="Times New Roman" w:cs="Times New Roman"/>
                <w:bCs/>
                <w:i/>
                <w:color w:val="414142"/>
                <w:sz w:val="26"/>
                <w:szCs w:val="26"/>
              </w:rPr>
              <w:t xml:space="preserve"> </w:t>
            </w:r>
            <w:proofErr w:type="spellStart"/>
            <w:r w:rsidRPr="00CA3354">
              <w:rPr>
                <w:rFonts w:ascii="Times New Roman" w:eastAsia="Times New Roman" w:hAnsi="Times New Roman" w:cs="Times New Roman"/>
                <w:bCs/>
                <w:i/>
                <w:color w:val="414142"/>
                <w:sz w:val="26"/>
                <w:szCs w:val="26"/>
              </w:rPr>
              <w:t>jomu</w:t>
            </w:r>
            <w:proofErr w:type="spellEnd"/>
            <w:r w:rsidRPr="00CA3354">
              <w:rPr>
                <w:rFonts w:ascii="Times New Roman" w:eastAsia="Times New Roman" w:hAnsi="Times New Roman" w:cs="Times New Roman"/>
                <w:bCs/>
                <w:i/>
                <w:color w:val="414142"/>
                <w:sz w:val="26"/>
                <w:szCs w:val="26"/>
              </w:rPr>
              <w:t xml:space="preserve"> </w:t>
            </w:r>
            <w:proofErr w:type="spellStart"/>
            <w:r w:rsidRPr="00CA3354">
              <w:rPr>
                <w:rFonts w:ascii="Times New Roman" w:eastAsia="Times New Roman" w:hAnsi="Times New Roman" w:cs="Times New Roman"/>
                <w:bCs/>
                <w:i/>
                <w:color w:val="414142"/>
                <w:sz w:val="26"/>
                <w:szCs w:val="26"/>
              </w:rPr>
              <w:t>neskar</w:t>
            </w:r>
            <w:proofErr w:type="spellEnd"/>
          </w:p>
        </w:tc>
      </w:tr>
    </w:tbl>
    <w:p w:rsidR="00074799" w:rsidRDefault="00074799" w:rsidP="00074799">
      <w:pPr>
        <w:spacing w:before="100" w:beforeAutospacing="1" w:after="100" w:afterAutospacing="1" w:line="360" w:lineRule="auto"/>
        <w:ind w:firstLine="300"/>
        <w:rPr>
          <w:rFonts w:ascii="Arial" w:eastAsia="Times New Roman" w:hAnsi="Arial" w:cs="Arial"/>
          <w:color w:val="414142"/>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5919"/>
      </w:tblGrid>
      <w:tr w:rsidR="00D1736C" w:rsidRPr="00D1736C" w:rsidTr="00B408E0">
        <w:tc>
          <w:tcPr>
            <w:tcW w:w="9180" w:type="dxa"/>
            <w:gridSpan w:val="3"/>
            <w:shd w:val="clear" w:color="auto" w:fill="auto"/>
          </w:tcPr>
          <w:p w:rsidR="00D1736C" w:rsidRPr="00D1736C" w:rsidRDefault="00D1736C" w:rsidP="00B408E0">
            <w:pPr>
              <w:spacing w:after="0" w:line="240" w:lineRule="auto"/>
              <w:jc w:val="center"/>
              <w:rPr>
                <w:rFonts w:ascii="Times New Roman" w:hAnsi="Times New Roman"/>
                <w:b/>
                <w:sz w:val="26"/>
                <w:szCs w:val="26"/>
              </w:rPr>
            </w:pPr>
            <w:r w:rsidRPr="00D1736C">
              <w:rPr>
                <w:rFonts w:ascii="Times New Roman" w:hAnsi="Times New Roman"/>
                <w:b/>
                <w:sz w:val="26"/>
                <w:szCs w:val="26"/>
              </w:rPr>
              <w:t xml:space="preserve">VI. </w:t>
            </w:r>
            <w:proofErr w:type="spellStart"/>
            <w:r w:rsidRPr="00D1736C">
              <w:rPr>
                <w:rFonts w:ascii="Times New Roman" w:hAnsi="Times New Roman"/>
                <w:b/>
                <w:sz w:val="26"/>
                <w:szCs w:val="26"/>
              </w:rPr>
              <w:t>Sabiedrības</w:t>
            </w:r>
            <w:proofErr w:type="spellEnd"/>
            <w:r w:rsidRPr="00D1736C">
              <w:rPr>
                <w:rFonts w:ascii="Times New Roman" w:hAnsi="Times New Roman"/>
                <w:b/>
                <w:sz w:val="26"/>
                <w:szCs w:val="26"/>
              </w:rPr>
              <w:t xml:space="preserve"> </w:t>
            </w:r>
            <w:proofErr w:type="spellStart"/>
            <w:r w:rsidRPr="00D1736C">
              <w:rPr>
                <w:rFonts w:ascii="Times New Roman" w:hAnsi="Times New Roman"/>
                <w:b/>
                <w:sz w:val="26"/>
                <w:szCs w:val="26"/>
              </w:rPr>
              <w:t>līdzdalība</w:t>
            </w:r>
            <w:proofErr w:type="spellEnd"/>
            <w:r w:rsidRPr="00D1736C">
              <w:rPr>
                <w:rFonts w:ascii="Times New Roman" w:hAnsi="Times New Roman"/>
                <w:b/>
                <w:sz w:val="26"/>
                <w:szCs w:val="26"/>
              </w:rPr>
              <w:t xml:space="preserve"> un </w:t>
            </w:r>
            <w:proofErr w:type="spellStart"/>
            <w:r w:rsidRPr="00D1736C">
              <w:rPr>
                <w:rFonts w:ascii="Times New Roman" w:hAnsi="Times New Roman"/>
                <w:b/>
                <w:sz w:val="26"/>
                <w:szCs w:val="26"/>
              </w:rPr>
              <w:t>komunikācijas</w:t>
            </w:r>
            <w:proofErr w:type="spellEnd"/>
            <w:r w:rsidRPr="00D1736C">
              <w:rPr>
                <w:rFonts w:ascii="Times New Roman" w:hAnsi="Times New Roman"/>
                <w:b/>
                <w:sz w:val="26"/>
                <w:szCs w:val="26"/>
              </w:rPr>
              <w:t xml:space="preserve"> </w:t>
            </w:r>
            <w:proofErr w:type="spellStart"/>
            <w:r w:rsidRPr="00D1736C">
              <w:rPr>
                <w:rFonts w:ascii="Times New Roman" w:hAnsi="Times New Roman"/>
                <w:b/>
                <w:sz w:val="26"/>
                <w:szCs w:val="26"/>
              </w:rPr>
              <w:t>aktivitātes</w:t>
            </w:r>
            <w:proofErr w:type="spellEnd"/>
          </w:p>
        </w:tc>
      </w:tr>
      <w:tr w:rsidR="00D1736C" w:rsidRPr="00D1736C" w:rsidTr="00B408E0">
        <w:tc>
          <w:tcPr>
            <w:tcW w:w="567" w:type="dxa"/>
            <w:shd w:val="clear" w:color="auto" w:fill="auto"/>
          </w:tcPr>
          <w:p w:rsidR="00D1736C" w:rsidRPr="00574897" w:rsidRDefault="00D1736C" w:rsidP="00B408E0">
            <w:pPr>
              <w:spacing w:after="0" w:line="240" w:lineRule="auto"/>
              <w:rPr>
                <w:rFonts w:ascii="Times New Roman" w:hAnsi="Times New Roman"/>
                <w:sz w:val="26"/>
                <w:szCs w:val="26"/>
              </w:rPr>
            </w:pPr>
            <w:r w:rsidRPr="00574897">
              <w:rPr>
                <w:rFonts w:ascii="Times New Roman" w:hAnsi="Times New Roman"/>
                <w:sz w:val="26"/>
                <w:szCs w:val="26"/>
              </w:rPr>
              <w:t>1.</w:t>
            </w:r>
          </w:p>
        </w:tc>
        <w:tc>
          <w:tcPr>
            <w:tcW w:w="2694" w:type="dxa"/>
            <w:shd w:val="clear" w:color="auto" w:fill="auto"/>
          </w:tcPr>
          <w:p w:rsidR="00D1736C" w:rsidRPr="00574897" w:rsidRDefault="00D1736C" w:rsidP="00B408E0">
            <w:pPr>
              <w:spacing w:after="0" w:line="240" w:lineRule="auto"/>
              <w:rPr>
                <w:rFonts w:ascii="Times New Roman" w:hAnsi="Times New Roman"/>
                <w:sz w:val="26"/>
                <w:szCs w:val="26"/>
              </w:rPr>
            </w:pPr>
            <w:proofErr w:type="spellStart"/>
            <w:r w:rsidRPr="00574897">
              <w:rPr>
                <w:rFonts w:ascii="Times New Roman" w:hAnsi="Times New Roman"/>
                <w:sz w:val="26"/>
                <w:szCs w:val="26"/>
              </w:rPr>
              <w:t>Plānotās</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sabiedrības</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līdzdalības</w:t>
            </w:r>
            <w:proofErr w:type="spellEnd"/>
            <w:r w:rsidRPr="00574897">
              <w:rPr>
                <w:rFonts w:ascii="Times New Roman" w:hAnsi="Times New Roman"/>
                <w:sz w:val="26"/>
                <w:szCs w:val="26"/>
              </w:rPr>
              <w:t xml:space="preserve"> un </w:t>
            </w:r>
            <w:proofErr w:type="spellStart"/>
            <w:r w:rsidRPr="00574897">
              <w:rPr>
                <w:rFonts w:ascii="Times New Roman" w:hAnsi="Times New Roman"/>
                <w:sz w:val="26"/>
                <w:szCs w:val="26"/>
              </w:rPr>
              <w:t>komunikācijas</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aktivitātes</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saistībā</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ar</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projektu</w:t>
            </w:r>
            <w:proofErr w:type="spellEnd"/>
          </w:p>
        </w:tc>
        <w:tc>
          <w:tcPr>
            <w:tcW w:w="5919" w:type="dxa"/>
            <w:shd w:val="clear" w:color="auto" w:fill="auto"/>
          </w:tcPr>
          <w:p w:rsidR="00D1736C" w:rsidRPr="009F1D11" w:rsidRDefault="00D1736C" w:rsidP="00B408E0">
            <w:pPr>
              <w:pStyle w:val="naiskr"/>
              <w:spacing w:before="0" w:after="0"/>
              <w:ind w:left="57" w:right="57"/>
              <w:jc w:val="both"/>
              <w:rPr>
                <w:sz w:val="26"/>
                <w:szCs w:val="26"/>
              </w:rPr>
            </w:pPr>
            <w:r w:rsidRPr="009F1D11">
              <w:rPr>
                <w:sz w:val="26"/>
                <w:szCs w:val="26"/>
              </w:rPr>
              <w:t>Projekts šo jomu neskar.</w:t>
            </w:r>
          </w:p>
        </w:tc>
      </w:tr>
      <w:tr w:rsidR="00D1736C" w:rsidRPr="00D1736C" w:rsidTr="00B408E0">
        <w:tc>
          <w:tcPr>
            <w:tcW w:w="567" w:type="dxa"/>
            <w:shd w:val="clear" w:color="auto" w:fill="auto"/>
          </w:tcPr>
          <w:p w:rsidR="00D1736C" w:rsidRPr="00574897" w:rsidRDefault="00D1736C" w:rsidP="00B408E0">
            <w:pPr>
              <w:spacing w:after="0" w:line="240" w:lineRule="auto"/>
              <w:rPr>
                <w:rFonts w:ascii="Times New Roman" w:hAnsi="Times New Roman"/>
                <w:sz w:val="26"/>
                <w:szCs w:val="26"/>
              </w:rPr>
            </w:pPr>
            <w:r w:rsidRPr="00574897">
              <w:rPr>
                <w:rFonts w:ascii="Times New Roman" w:hAnsi="Times New Roman"/>
                <w:sz w:val="26"/>
                <w:szCs w:val="26"/>
              </w:rPr>
              <w:t xml:space="preserve">2. </w:t>
            </w:r>
          </w:p>
        </w:tc>
        <w:tc>
          <w:tcPr>
            <w:tcW w:w="2694" w:type="dxa"/>
            <w:shd w:val="clear" w:color="auto" w:fill="auto"/>
          </w:tcPr>
          <w:p w:rsidR="00D1736C" w:rsidRPr="00574897" w:rsidRDefault="00D1736C" w:rsidP="00B408E0">
            <w:pPr>
              <w:spacing w:after="0" w:line="240" w:lineRule="auto"/>
              <w:rPr>
                <w:rFonts w:ascii="Times New Roman" w:hAnsi="Times New Roman"/>
                <w:sz w:val="26"/>
                <w:szCs w:val="26"/>
              </w:rPr>
            </w:pPr>
            <w:proofErr w:type="spellStart"/>
            <w:r w:rsidRPr="00574897">
              <w:rPr>
                <w:rFonts w:ascii="Times New Roman" w:hAnsi="Times New Roman"/>
                <w:sz w:val="26"/>
                <w:szCs w:val="26"/>
              </w:rPr>
              <w:t>Sabiedrības</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līdzdalība</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projekta</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izstrādē</w:t>
            </w:r>
            <w:proofErr w:type="spellEnd"/>
          </w:p>
        </w:tc>
        <w:tc>
          <w:tcPr>
            <w:tcW w:w="5919" w:type="dxa"/>
            <w:shd w:val="clear" w:color="auto" w:fill="auto"/>
          </w:tcPr>
          <w:p w:rsidR="002919FD" w:rsidRPr="009F1D11" w:rsidRDefault="00D1736C" w:rsidP="002919FD">
            <w:pPr>
              <w:pStyle w:val="NoSpacing"/>
              <w:jc w:val="both"/>
              <w:rPr>
                <w:rFonts w:ascii="Times New Roman" w:hAnsi="Times New Roman"/>
                <w:sz w:val="26"/>
                <w:szCs w:val="26"/>
              </w:rPr>
            </w:pPr>
            <w:r w:rsidRPr="009F1D11">
              <w:rPr>
                <w:rFonts w:ascii="Times New Roman" w:hAnsi="Times New Roman"/>
                <w:sz w:val="26"/>
                <w:szCs w:val="26"/>
              </w:rPr>
              <w:t>Ievērojot pēc projekta izsludināšanas Valsts sekretāru sanāksmē saņemtos Ārlietu ministrijas priek</w:t>
            </w:r>
            <w:r w:rsidR="002919FD" w:rsidRPr="009F1D11">
              <w:rPr>
                <w:rFonts w:ascii="Times New Roman" w:hAnsi="Times New Roman"/>
                <w:sz w:val="26"/>
                <w:szCs w:val="26"/>
              </w:rPr>
              <w:t>šlikumus</w:t>
            </w:r>
            <w:r w:rsidRPr="009F1D11">
              <w:rPr>
                <w:rFonts w:ascii="Times New Roman" w:hAnsi="Times New Roman"/>
                <w:sz w:val="26"/>
                <w:szCs w:val="26"/>
              </w:rPr>
              <w:t xml:space="preserve">, </w:t>
            </w:r>
            <w:r w:rsidR="002919FD" w:rsidRPr="009F1D11">
              <w:rPr>
                <w:rFonts w:ascii="Times New Roman" w:hAnsi="Times New Roman"/>
                <w:sz w:val="26"/>
                <w:szCs w:val="26"/>
              </w:rPr>
              <w:t>precizētais</w:t>
            </w:r>
            <w:r w:rsidRPr="009F1D11">
              <w:rPr>
                <w:rFonts w:ascii="Times New Roman" w:hAnsi="Times New Roman"/>
                <w:sz w:val="26"/>
                <w:szCs w:val="26"/>
              </w:rPr>
              <w:t xml:space="preserve"> projekts tika nosūtīts izvērtēšanai </w:t>
            </w:r>
            <w:r w:rsidR="002919FD" w:rsidRPr="009F1D11">
              <w:rPr>
                <w:rFonts w:ascii="Times New Roman" w:hAnsi="Times New Roman"/>
                <w:sz w:val="26"/>
                <w:szCs w:val="26"/>
              </w:rPr>
              <w:t>Latvijas Tirdzniecības flotes jūrnieku arodbiedrībai un Latvijas kuģu īpašnieku asociācijai.</w:t>
            </w:r>
          </w:p>
          <w:p w:rsidR="00D1736C" w:rsidRPr="009F1D11" w:rsidRDefault="00D1736C" w:rsidP="002919FD">
            <w:pPr>
              <w:pStyle w:val="NoSpacing"/>
              <w:jc w:val="both"/>
              <w:rPr>
                <w:rFonts w:ascii="Times New Roman" w:hAnsi="Times New Roman"/>
                <w:sz w:val="26"/>
                <w:szCs w:val="26"/>
              </w:rPr>
            </w:pPr>
            <w:r w:rsidRPr="009F1D11">
              <w:rPr>
                <w:rFonts w:ascii="Times New Roman" w:hAnsi="Times New Roman"/>
                <w:sz w:val="26"/>
                <w:szCs w:val="26"/>
              </w:rPr>
              <w:t xml:space="preserve"> </w:t>
            </w:r>
          </w:p>
        </w:tc>
      </w:tr>
      <w:tr w:rsidR="00D1736C" w:rsidRPr="00D1736C" w:rsidTr="00B408E0">
        <w:tc>
          <w:tcPr>
            <w:tcW w:w="567" w:type="dxa"/>
            <w:shd w:val="clear" w:color="auto" w:fill="auto"/>
          </w:tcPr>
          <w:p w:rsidR="00D1736C" w:rsidRPr="00574897" w:rsidRDefault="00D1736C" w:rsidP="00B408E0">
            <w:pPr>
              <w:spacing w:after="0" w:line="240" w:lineRule="auto"/>
              <w:rPr>
                <w:rFonts w:ascii="Times New Roman" w:hAnsi="Times New Roman"/>
                <w:sz w:val="26"/>
                <w:szCs w:val="26"/>
              </w:rPr>
            </w:pPr>
            <w:r w:rsidRPr="00574897">
              <w:rPr>
                <w:rFonts w:ascii="Times New Roman" w:hAnsi="Times New Roman"/>
                <w:sz w:val="26"/>
                <w:szCs w:val="26"/>
              </w:rPr>
              <w:t>3.</w:t>
            </w:r>
          </w:p>
        </w:tc>
        <w:tc>
          <w:tcPr>
            <w:tcW w:w="2694" w:type="dxa"/>
            <w:shd w:val="clear" w:color="auto" w:fill="auto"/>
          </w:tcPr>
          <w:p w:rsidR="00D1736C" w:rsidRPr="00574897" w:rsidRDefault="00D1736C" w:rsidP="00B408E0">
            <w:pPr>
              <w:spacing w:after="0" w:line="240" w:lineRule="auto"/>
              <w:rPr>
                <w:rFonts w:ascii="Times New Roman" w:hAnsi="Times New Roman"/>
                <w:sz w:val="26"/>
                <w:szCs w:val="26"/>
              </w:rPr>
            </w:pPr>
            <w:proofErr w:type="spellStart"/>
            <w:r w:rsidRPr="00574897">
              <w:rPr>
                <w:rFonts w:ascii="Times New Roman" w:hAnsi="Times New Roman"/>
                <w:sz w:val="26"/>
                <w:szCs w:val="26"/>
              </w:rPr>
              <w:t>Sabiedrības</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līdzdalības</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rezultāti</w:t>
            </w:r>
            <w:proofErr w:type="spellEnd"/>
          </w:p>
        </w:tc>
        <w:tc>
          <w:tcPr>
            <w:tcW w:w="5919" w:type="dxa"/>
            <w:shd w:val="clear" w:color="auto" w:fill="auto"/>
          </w:tcPr>
          <w:p w:rsidR="00D1736C" w:rsidRPr="009F1D11" w:rsidRDefault="00E61AAD" w:rsidP="00F13C9C">
            <w:pPr>
              <w:pStyle w:val="NoSpacing"/>
              <w:jc w:val="both"/>
              <w:rPr>
                <w:rFonts w:ascii="Times New Roman" w:hAnsi="Times New Roman"/>
                <w:sz w:val="26"/>
                <w:szCs w:val="26"/>
              </w:rPr>
            </w:pPr>
            <w:r w:rsidRPr="009F1D11">
              <w:rPr>
                <w:rFonts w:ascii="Times New Roman" w:hAnsi="Times New Roman"/>
                <w:sz w:val="26"/>
                <w:szCs w:val="26"/>
              </w:rPr>
              <w:t xml:space="preserve">Latvijas Tirdzniecības flotes jūrnieku arodbiedrība un Latvijas kuģu īpašnieku asociācija atbalsta </w:t>
            </w:r>
            <w:r w:rsidR="00D1736C" w:rsidRPr="009F1D11">
              <w:rPr>
                <w:rFonts w:ascii="Times New Roman" w:hAnsi="Times New Roman"/>
                <w:sz w:val="26"/>
                <w:szCs w:val="26"/>
              </w:rPr>
              <w:t>projekta</w:t>
            </w:r>
            <w:r w:rsidRPr="009F1D11">
              <w:rPr>
                <w:rFonts w:ascii="Times New Roman" w:hAnsi="Times New Roman"/>
                <w:sz w:val="26"/>
                <w:szCs w:val="26"/>
              </w:rPr>
              <w:t xml:space="preserve"> </w:t>
            </w:r>
            <w:r w:rsidR="00D1736C" w:rsidRPr="009F1D11">
              <w:rPr>
                <w:rFonts w:ascii="Times New Roman" w:hAnsi="Times New Roman"/>
                <w:sz w:val="26"/>
                <w:szCs w:val="26"/>
              </w:rPr>
              <w:t>redakciju.</w:t>
            </w:r>
          </w:p>
        </w:tc>
      </w:tr>
      <w:tr w:rsidR="00D1736C" w:rsidRPr="00D1736C" w:rsidTr="00B408E0">
        <w:tc>
          <w:tcPr>
            <w:tcW w:w="567" w:type="dxa"/>
            <w:shd w:val="clear" w:color="auto" w:fill="auto"/>
          </w:tcPr>
          <w:p w:rsidR="00D1736C" w:rsidRPr="00574897" w:rsidRDefault="00D1736C" w:rsidP="00B408E0">
            <w:pPr>
              <w:spacing w:after="0" w:line="240" w:lineRule="auto"/>
              <w:rPr>
                <w:rFonts w:ascii="Times New Roman" w:hAnsi="Times New Roman"/>
                <w:sz w:val="26"/>
                <w:szCs w:val="26"/>
              </w:rPr>
            </w:pPr>
            <w:r w:rsidRPr="00574897">
              <w:rPr>
                <w:rFonts w:ascii="Times New Roman" w:hAnsi="Times New Roman"/>
                <w:sz w:val="26"/>
                <w:szCs w:val="26"/>
              </w:rPr>
              <w:t>4.</w:t>
            </w:r>
          </w:p>
        </w:tc>
        <w:tc>
          <w:tcPr>
            <w:tcW w:w="2694" w:type="dxa"/>
            <w:shd w:val="clear" w:color="auto" w:fill="auto"/>
          </w:tcPr>
          <w:p w:rsidR="00D1736C" w:rsidRPr="00574897" w:rsidRDefault="00D1736C" w:rsidP="00B408E0">
            <w:pPr>
              <w:spacing w:after="0" w:line="240" w:lineRule="auto"/>
              <w:rPr>
                <w:rFonts w:ascii="Times New Roman" w:hAnsi="Times New Roman"/>
                <w:sz w:val="26"/>
                <w:szCs w:val="26"/>
              </w:rPr>
            </w:pPr>
            <w:proofErr w:type="spellStart"/>
            <w:r w:rsidRPr="00574897">
              <w:rPr>
                <w:rFonts w:ascii="Times New Roman" w:hAnsi="Times New Roman"/>
                <w:sz w:val="26"/>
                <w:szCs w:val="26"/>
              </w:rPr>
              <w:t>Cita</w:t>
            </w:r>
            <w:proofErr w:type="spellEnd"/>
            <w:r w:rsidRPr="00574897">
              <w:rPr>
                <w:rFonts w:ascii="Times New Roman" w:hAnsi="Times New Roman"/>
                <w:sz w:val="26"/>
                <w:szCs w:val="26"/>
              </w:rPr>
              <w:t xml:space="preserve"> </w:t>
            </w:r>
            <w:proofErr w:type="spellStart"/>
            <w:r w:rsidRPr="00574897">
              <w:rPr>
                <w:rFonts w:ascii="Times New Roman" w:hAnsi="Times New Roman"/>
                <w:sz w:val="26"/>
                <w:szCs w:val="26"/>
              </w:rPr>
              <w:t>informācija</w:t>
            </w:r>
            <w:proofErr w:type="spellEnd"/>
            <w:r w:rsidRPr="00574897">
              <w:rPr>
                <w:rFonts w:ascii="Times New Roman" w:hAnsi="Times New Roman"/>
                <w:sz w:val="26"/>
                <w:szCs w:val="26"/>
              </w:rPr>
              <w:t>.</w:t>
            </w:r>
          </w:p>
        </w:tc>
        <w:tc>
          <w:tcPr>
            <w:tcW w:w="5919" w:type="dxa"/>
            <w:shd w:val="clear" w:color="auto" w:fill="auto"/>
          </w:tcPr>
          <w:p w:rsidR="00D1736C" w:rsidRPr="009F1D11" w:rsidRDefault="00D1736C" w:rsidP="00B408E0">
            <w:pPr>
              <w:spacing w:after="0" w:line="240" w:lineRule="auto"/>
              <w:rPr>
                <w:rFonts w:ascii="Times New Roman" w:hAnsi="Times New Roman"/>
                <w:sz w:val="26"/>
                <w:szCs w:val="26"/>
              </w:rPr>
            </w:pPr>
            <w:r w:rsidRPr="009F1D11">
              <w:rPr>
                <w:rFonts w:ascii="Times New Roman" w:hAnsi="Times New Roman"/>
                <w:sz w:val="26"/>
                <w:szCs w:val="26"/>
              </w:rPr>
              <w:t>Nav.</w:t>
            </w:r>
          </w:p>
          <w:p w:rsidR="00D1736C" w:rsidRPr="009F1D11" w:rsidRDefault="00D1736C" w:rsidP="00B408E0">
            <w:pPr>
              <w:spacing w:after="0" w:line="240" w:lineRule="auto"/>
              <w:rPr>
                <w:rFonts w:ascii="Times New Roman" w:hAnsi="Times New Roman"/>
                <w:sz w:val="26"/>
                <w:szCs w:val="26"/>
              </w:rPr>
            </w:pPr>
          </w:p>
          <w:p w:rsidR="00D1736C" w:rsidRPr="009F1D11" w:rsidRDefault="00D1736C" w:rsidP="00B408E0">
            <w:pPr>
              <w:spacing w:after="0" w:line="240" w:lineRule="auto"/>
              <w:rPr>
                <w:rFonts w:ascii="Times New Roman" w:hAnsi="Times New Roman"/>
                <w:sz w:val="26"/>
                <w:szCs w:val="26"/>
              </w:rPr>
            </w:pPr>
          </w:p>
        </w:tc>
      </w:tr>
    </w:tbl>
    <w:tbl>
      <w:tblPr>
        <w:tblStyle w:val="TableGrid"/>
        <w:tblW w:w="5000" w:type="pct"/>
        <w:tblLook w:val="04A0" w:firstRow="1" w:lastRow="0" w:firstColumn="1" w:lastColumn="0" w:noHBand="0" w:noVBand="1"/>
      </w:tblPr>
      <w:tblGrid>
        <w:gridCol w:w="479"/>
        <w:gridCol w:w="3639"/>
        <w:gridCol w:w="5458"/>
      </w:tblGrid>
      <w:tr w:rsidR="00074799" w:rsidRPr="00CA3354" w:rsidTr="002356E4">
        <w:trPr>
          <w:trHeight w:val="375"/>
        </w:trPr>
        <w:tc>
          <w:tcPr>
            <w:tcW w:w="0" w:type="auto"/>
            <w:gridSpan w:val="3"/>
            <w:hideMark/>
          </w:tcPr>
          <w:p w:rsidR="00074799" w:rsidRPr="00CA3354" w:rsidRDefault="00074799" w:rsidP="00074799">
            <w:pPr>
              <w:spacing w:before="100" w:beforeAutospacing="1" w:after="100" w:afterAutospacing="1" w:line="360" w:lineRule="auto"/>
              <w:ind w:firstLine="300"/>
              <w:jc w:val="center"/>
              <w:rPr>
                <w:rFonts w:ascii="Times New Roman" w:eastAsia="Times New Roman" w:hAnsi="Times New Roman" w:cs="Times New Roman"/>
                <w:b/>
                <w:bCs/>
                <w:color w:val="414142"/>
                <w:sz w:val="26"/>
                <w:szCs w:val="26"/>
              </w:rPr>
            </w:pPr>
            <w:r w:rsidRPr="00CA3354">
              <w:rPr>
                <w:rFonts w:ascii="Times New Roman" w:eastAsia="Times New Roman" w:hAnsi="Times New Roman" w:cs="Times New Roman"/>
                <w:b/>
                <w:bCs/>
                <w:color w:val="414142"/>
                <w:sz w:val="26"/>
                <w:szCs w:val="26"/>
              </w:rPr>
              <w:lastRenderedPageBreak/>
              <w:t xml:space="preserve">VII. </w:t>
            </w:r>
            <w:proofErr w:type="spellStart"/>
            <w:r w:rsidRPr="00CA3354">
              <w:rPr>
                <w:rFonts w:ascii="Times New Roman" w:eastAsia="Times New Roman" w:hAnsi="Times New Roman" w:cs="Times New Roman"/>
                <w:b/>
                <w:bCs/>
                <w:color w:val="414142"/>
                <w:sz w:val="26"/>
                <w:szCs w:val="26"/>
              </w:rPr>
              <w:t>Tiesību</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akta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projekta</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izpildes</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nodrošināšana</w:t>
            </w:r>
            <w:proofErr w:type="spellEnd"/>
            <w:r w:rsidRPr="00CA3354">
              <w:rPr>
                <w:rFonts w:ascii="Times New Roman" w:eastAsia="Times New Roman" w:hAnsi="Times New Roman" w:cs="Times New Roman"/>
                <w:b/>
                <w:bCs/>
                <w:color w:val="414142"/>
                <w:sz w:val="26"/>
                <w:szCs w:val="26"/>
              </w:rPr>
              <w:t xml:space="preserve"> un </w:t>
            </w:r>
            <w:proofErr w:type="spellStart"/>
            <w:r w:rsidRPr="00CA3354">
              <w:rPr>
                <w:rFonts w:ascii="Times New Roman" w:eastAsia="Times New Roman" w:hAnsi="Times New Roman" w:cs="Times New Roman"/>
                <w:b/>
                <w:bCs/>
                <w:color w:val="414142"/>
                <w:sz w:val="26"/>
                <w:szCs w:val="26"/>
              </w:rPr>
              <w:t>tās</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ietekme</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uz</w:t>
            </w:r>
            <w:proofErr w:type="spellEnd"/>
            <w:r w:rsidRPr="00CA3354">
              <w:rPr>
                <w:rFonts w:ascii="Times New Roman" w:eastAsia="Times New Roman" w:hAnsi="Times New Roman" w:cs="Times New Roman"/>
                <w:b/>
                <w:bCs/>
                <w:color w:val="414142"/>
                <w:sz w:val="26"/>
                <w:szCs w:val="26"/>
              </w:rPr>
              <w:t xml:space="preserve"> </w:t>
            </w:r>
            <w:proofErr w:type="spellStart"/>
            <w:r w:rsidRPr="00CA3354">
              <w:rPr>
                <w:rFonts w:ascii="Times New Roman" w:eastAsia="Times New Roman" w:hAnsi="Times New Roman" w:cs="Times New Roman"/>
                <w:b/>
                <w:bCs/>
                <w:color w:val="414142"/>
                <w:sz w:val="26"/>
                <w:szCs w:val="26"/>
              </w:rPr>
              <w:t>institūcijām</w:t>
            </w:r>
            <w:proofErr w:type="spellEnd"/>
          </w:p>
        </w:tc>
      </w:tr>
      <w:tr w:rsidR="00074799" w:rsidRPr="00CA3354" w:rsidTr="002356E4">
        <w:trPr>
          <w:trHeight w:val="420"/>
        </w:trPr>
        <w:tc>
          <w:tcPr>
            <w:tcW w:w="250" w:type="pct"/>
            <w:hideMark/>
          </w:tcPr>
          <w:p w:rsidR="00074799" w:rsidRPr="00CA3354" w:rsidRDefault="00074799" w:rsidP="00074799">
            <w:pPr>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1.</w:t>
            </w:r>
          </w:p>
        </w:tc>
        <w:tc>
          <w:tcPr>
            <w:tcW w:w="1900"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Projekta</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izpildē</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iesaistītās</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institūcijas</w:t>
            </w:r>
            <w:proofErr w:type="spellEnd"/>
          </w:p>
        </w:tc>
        <w:tc>
          <w:tcPr>
            <w:tcW w:w="2850" w:type="pct"/>
            <w:hideMark/>
          </w:tcPr>
          <w:p w:rsidR="00D73559" w:rsidRPr="00CA3354" w:rsidRDefault="00B7040D" w:rsidP="00D73559">
            <w:pPr>
              <w:jc w:val="both"/>
              <w:rPr>
                <w:rFonts w:ascii="Times New Roman" w:hAnsi="Times New Roman"/>
                <w:sz w:val="26"/>
                <w:szCs w:val="26"/>
              </w:rPr>
            </w:pPr>
            <w:proofErr w:type="spellStart"/>
            <w:r>
              <w:rPr>
                <w:rFonts w:ascii="Times New Roman" w:hAnsi="Times New Roman"/>
                <w:sz w:val="26"/>
                <w:szCs w:val="26"/>
              </w:rPr>
              <w:t>Projekta</w:t>
            </w:r>
            <w:proofErr w:type="spellEnd"/>
            <w:r>
              <w:rPr>
                <w:rFonts w:ascii="Times New Roman" w:hAnsi="Times New Roman"/>
                <w:sz w:val="26"/>
                <w:szCs w:val="26"/>
              </w:rPr>
              <w:t xml:space="preserve"> </w:t>
            </w:r>
            <w:proofErr w:type="spellStart"/>
            <w:r>
              <w:rPr>
                <w:rFonts w:ascii="Times New Roman" w:hAnsi="Times New Roman"/>
                <w:sz w:val="26"/>
                <w:szCs w:val="26"/>
              </w:rPr>
              <w:t>izpildi</w:t>
            </w:r>
            <w:proofErr w:type="spellEnd"/>
            <w:r>
              <w:rPr>
                <w:rFonts w:ascii="Times New Roman" w:hAnsi="Times New Roman"/>
                <w:sz w:val="26"/>
                <w:szCs w:val="26"/>
              </w:rPr>
              <w:t xml:space="preserve"> </w:t>
            </w:r>
            <w:proofErr w:type="spellStart"/>
            <w:r>
              <w:rPr>
                <w:rFonts w:ascii="Times New Roman" w:hAnsi="Times New Roman"/>
                <w:sz w:val="26"/>
                <w:szCs w:val="26"/>
              </w:rPr>
              <w:t>nodrošinās</w:t>
            </w:r>
            <w:proofErr w:type="spellEnd"/>
            <w:r>
              <w:rPr>
                <w:rFonts w:ascii="Times New Roman" w:hAnsi="Times New Roman"/>
                <w:sz w:val="26"/>
                <w:szCs w:val="26"/>
              </w:rPr>
              <w:t xml:space="preserve"> </w:t>
            </w:r>
            <w:proofErr w:type="spellStart"/>
            <w:r w:rsidR="008A3CB7">
              <w:rPr>
                <w:rFonts w:ascii="Times New Roman" w:hAnsi="Times New Roman"/>
                <w:sz w:val="26"/>
                <w:szCs w:val="26"/>
              </w:rPr>
              <w:t>Ārlietu</w:t>
            </w:r>
            <w:proofErr w:type="spellEnd"/>
            <w:r w:rsidR="008A3CB7">
              <w:rPr>
                <w:rFonts w:ascii="Times New Roman" w:hAnsi="Times New Roman"/>
                <w:sz w:val="26"/>
                <w:szCs w:val="26"/>
              </w:rPr>
              <w:t xml:space="preserve"> ministrija</w:t>
            </w:r>
            <w:r w:rsidR="00D73559" w:rsidRPr="00CA3354">
              <w:rPr>
                <w:rFonts w:ascii="Times New Roman" w:hAnsi="Times New Roman"/>
                <w:sz w:val="26"/>
                <w:szCs w:val="26"/>
              </w:rPr>
              <w:t>.</w:t>
            </w:r>
          </w:p>
          <w:p w:rsidR="00074799" w:rsidRPr="00CA3354" w:rsidRDefault="00074799" w:rsidP="00074799">
            <w:pPr>
              <w:rPr>
                <w:rFonts w:ascii="Times New Roman" w:eastAsia="Times New Roman" w:hAnsi="Times New Roman" w:cs="Times New Roman"/>
                <w:color w:val="414142"/>
                <w:sz w:val="26"/>
                <w:szCs w:val="26"/>
              </w:rPr>
            </w:pPr>
          </w:p>
        </w:tc>
      </w:tr>
      <w:tr w:rsidR="00074799" w:rsidRPr="00CA3354" w:rsidTr="002356E4">
        <w:trPr>
          <w:trHeight w:val="450"/>
        </w:trPr>
        <w:tc>
          <w:tcPr>
            <w:tcW w:w="250" w:type="pct"/>
            <w:hideMark/>
          </w:tcPr>
          <w:p w:rsidR="00074799" w:rsidRPr="00CA3354" w:rsidRDefault="00074799" w:rsidP="00074799">
            <w:pPr>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2.</w:t>
            </w:r>
          </w:p>
        </w:tc>
        <w:tc>
          <w:tcPr>
            <w:tcW w:w="1900" w:type="pct"/>
            <w:hideMark/>
          </w:tcPr>
          <w:p w:rsidR="00074799" w:rsidRPr="005611AF" w:rsidRDefault="00074799" w:rsidP="005611AF">
            <w:pPr>
              <w:pStyle w:val="NoSpacing"/>
              <w:rPr>
                <w:rFonts w:ascii="Times New Roman" w:hAnsi="Times New Roman"/>
                <w:sz w:val="26"/>
                <w:szCs w:val="26"/>
              </w:rPr>
            </w:pPr>
            <w:r w:rsidRPr="005611AF">
              <w:rPr>
                <w:rFonts w:ascii="Times New Roman" w:hAnsi="Times New Roman"/>
                <w:sz w:val="26"/>
                <w:szCs w:val="26"/>
              </w:rPr>
              <w:t xml:space="preserve">Projekta izpildes ietekme uz pārvaldes funkcijām un institucionālo struktūru. </w:t>
            </w:r>
          </w:p>
          <w:p w:rsidR="00074799" w:rsidRPr="005611AF" w:rsidRDefault="00074799" w:rsidP="005611AF">
            <w:pPr>
              <w:pStyle w:val="NoSpacing"/>
              <w:rPr>
                <w:rFonts w:ascii="Times New Roman" w:hAnsi="Times New Roman"/>
                <w:sz w:val="26"/>
                <w:szCs w:val="26"/>
              </w:rPr>
            </w:pPr>
            <w:r w:rsidRPr="005611AF">
              <w:rPr>
                <w:rFonts w:ascii="Times New Roman" w:hAnsi="Times New Roman"/>
                <w:sz w:val="26"/>
                <w:szCs w:val="26"/>
              </w:rPr>
              <w:t>Jaunu institūciju izveide, esošu institūciju likvidācija vai reorganizācija, to ietekme uz institūcijas cilvēkresursiem</w:t>
            </w:r>
          </w:p>
        </w:tc>
        <w:tc>
          <w:tcPr>
            <w:tcW w:w="2850" w:type="pct"/>
            <w:hideMark/>
          </w:tcPr>
          <w:p w:rsidR="00074799" w:rsidRPr="00CA3354" w:rsidRDefault="00D7355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Projekts</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šo</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jomu</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neskar</w:t>
            </w:r>
            <w:proofErr w:type="spellEnd"/>
            <w:r w:rsidRPr="00CA3354">
              <w:rPr>
                <w:rFonts w:ascii="Times New Roman" w:eastAsia="Times New Roman" w:hAnsi="Times New Roman" w:cs="Times New Roman"/>
                <w:color w:val="414142"/>
                <w:sz w:val="26"/>
                <w:szCs w:val="26"/>
              </w:rPr>
              <w:t>.</w:t>
            </w:r>
          </w:p>
        </w:tc>
      </w:tr>
      <w:tr w:rsidR="00074799" w:rsidRPr="00CA3354" w:rsidTr="002356E4">
        <w:trPr>
          <w:trHeight w:val="390"/>
        </w:trPr>
        <w:tc>
          <w:tcPr>
            <w:tcW w:w="250" w:type="pct"/>
            <w:hideMark/>
          </w:tcPr>
          <w:p w:rsidR="00074799" w:rsidRPr="00CA3354" w:rsidRDefault="00074799" w:rsidP="00074799">
            <w:pPr>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3.</w:t>
            </w:r>
          </w:p>
        </w:tc>
        <w:tc>
          <w:tcPr>
            <w:tcW w:w="1900" w:type="pct"/>
            <w:hideMark/>
          </w:tcPr>
          <w:p w:rsidR="00074799" w:rsidRPr="00CA3354" w:rsidRDefault="00074799" w:rsidP="00074799">
            <w:pPr>
              <w:rPr>
                <w:rFonts w:ascii="Times New Roman" w:eastAsia="Times New Roman" w:hAnsi="Times New Roman" w:cs="Times New Roman"/>
                <w:color w:val="414142"/>
                <w:sz w:val="26"/>
                <w:szCs w:val="26"/>
              </w:rPr>
            </w:pPr>
            <w:proofErr w:type="spellStart"/>
            <w:r w:rsidRPr="00CA3354">
              <w:rPr>
                <w:rFonts w:ascii="Times New Roman" w:eastAsia="Times New Roman" w:hAnsi="Times New Roman" w:cs="Times New Roman"/>
                <w:color w:val="414142"/>
                <w:sz w:val="26"/>
                <w:szCs w:val="26"/>
              </w:rPr>
              <w:t>Cita</w:t>
            </w:r>
            <w:proofErr w:type="spellEnd"/>
            <w:r w:rsidRPr="00CA3354">
              <w:rPr>
                <w:rFonts w:ascii="Times New Roman" w:eastAsia="Times New Roman" w:hAnsi="Times New Roman" w:cs="Times New Roman"/>
                <w:color w:val="414142"/>
                <w:sz w:val="26"/>
                <w:szCs w:val="26"/>
              </w:rPr>
              <w:t xml:space="preserve"> </w:t>
            </w:r>
            <w:proofErr w:type="spellStart"/>
            <w:r w:rsidRPr="00CA3354">
              <w:rPr>
                <w:rFonts w:ascii="Times New Roman" w:eastAsia="Times New Roman" w:hAnsi="Times New Roman" w:cs="Times New Roman"/>
                <w:color w:val="414142"/>
                <w:sz w:val="26"/>
                <w:szCs w:val="26"/>
              </w:rPr>
              <w:t>informācija</w:t>
            </w:r>
            <w:proofErr w:type="spellEnd"/>
          </w:p>
        </w:tc>
        <w:tc>
          <w:tcPr>
            <w:tcW w:w="2850" w:type="pct"/>
            <w:hideMark/>
          </w:tcPr>
          <w:p w:rsidR="00074799" w:rsidRPr="00CA3354" w:rsidRDefault="00D73559" w:rsidP="00D73559">
            <w:pPr>
              <w:spacing w:before="100" w:beforeAutospacing="1" w:after="100" w:afterAutospacing="1" w:line="360" w:lineRule="auto"/>
              <w:rPr>
                <w:rFonts w:ascii="Times New Roman" w:eastAsia="Times New Roman" w:hAnsi="Times New Roman" w:cs="Times New Roman"/>
                <w:color w:val="414142"/>
                <w:sz w:val="26"/>
                <w:szCs w:val="26"/>
              </w:rPr>
            </w:pPr>
            <w:r w:rsidRPr="00CA3354">
              <w:rPr>
                <w:rFonts w:ascii="Times New Roman" w:eastAsia="Times New Roman" w:hAnsi="Times New Roman" w:cs="Times New Roman"/>
                <w:color w:val="414142"/>
                <w:sz w:val="26"/>
                <w:szCs w:val="26"/>
              </w:rPr>
              <w:t>Nav.</w:t>
            </w:r>
          </w:p>
        </w:tc>
      </w:tr>
    </w:tbl>
    <w:p w:rsidR="00143CD0" w:rsidRDefault="00143CD0"/>
    <w:p w:rsidR="006E6DB7" w:rsidRDefault="006E6DB7"/>
    <w:p w:rsidR="00996677" w:rsidRPr="006D3EF5" w:rsidRDefault="006D3EF5" w:rsidP="006D3EF5">
      <w:pPr>
        <w:pStyle w:val="NoSpacing"/>
        <w:ind w:firstLine="720"/>
        <w:rPr>
          <w:rFonts w:ascii="Times New Roman" w:hAnsi="Times New Roman"/>
          <w:sz w:val="28"/>
          <w:szCs w:val="28"/>
        </w:rPr>
      </w:pPr>
      <w:r w:rsidRPr="006D3EF5">
        <w:rPr>
          <w:rFonts w:ascii="Times New Roman" w:hAnsi="Times New Roman"/>
          <w:sz w:val="28"/>
          <w:szCs w:val="28"/>
        </w:rPr>
        <w:t>Satiksmes ministra</w:t>
      </w:r>
      <w:r>
        <w:rPr>
          <w:rFonts w:ascii="Times New Roman" w:hAnsi="Times New Roman"/>
          <w:sz w:val="28"/>
          <w:szCs w:val="28"/>
        </w:rPr>
        <w:t xml:space="preserve"> </w:t>
      </w:r>
      <w:proofErr w:type="spellStart"/>
      <w:r>
        <w:rPr>
          <w:rFonts w:ascii="Times New Roman" w:hAnsi="Times New Roman"/>
          <w:sz w:val="28"/>
          <w:szCs w:val="28"/>
        </w:rPr>
        <w:t>p.i</w:t>
      </w:r>
      <w:proofErr w:type="spellEnd"/>
      <w:r>
        <w:rPr>
          <w:rFonts w:ascii="Times New Roman" w:hAnsi="Times New Roman"/>
          <w:sz w:val="28"/>
          <w:szCs w:val="28"/>
        </w:rPr>
        <w:t>.</w:t>
      </w:r>
      <w:r w:rsidR="003A7DCB">
        <w:rPr>
          <w:rFonts w:ascii="Times New Roman" w:hAnsi="Times New Roman"/>
          <w:sz w:val="28"/>
          <w:szCs w:val="28"/>
        </w:rPr>
        <w:t>,</w:t>
      </w:r>
    </w:p>
    <w:p w:rsidR="00996677" w:rsidRPr="006D3EF5" w:rsidRDefault="006D3EF5" w:rsidP="006D3EF5">
      <w:pPr>
        <w:pStyle w:val="NoSpacing"/>
        <w:rPr>
          <w:rFonts w:ascii="Times New Roman" w:hAnsi="Times New Roman"/>
          <w:sz w:val="28"/>
          <w:szCs w:val="28"/>
        </w:rPr>
      </w:pPr>
      <w:r>
        <w:rPr>
          <w:rFonts w:ascii="Times New Roman" w:hAnsi="Times New Roman"/>
          <w:sz w:val="28"/>
          <w:szCs w:val="28"/>
        </w:rPr>
        <w:tab/>
      </w:r>
      <w:r w:rsidR="000C0758">
        <w:rPr>
          <w:rFonts w:ascii="Times New Roman" w:hAnsi="Times New Roman"/>
          <w:sz w:val="28"/>
          <w:szCs w:val="28"/>
        </w:rPr>
        <w:t>i</w:t>
      </w:r>
      <w:r>
        <w:rPr>
          <w:rFonts w:ascii="Times New Roman" w:hAnsi="Times New Roman"/>
          <w:sz w:val="28"/>
          <w:szCs w:val="28"/>
        </w:rPr>
        <w:t>ekšlietu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R. Kozlovskis</w:t>
      </w:r>
    </w:p>
    <w:p w:rsidR="00996677" w:rsidRDefault="00996677" w:rsidP="00996677">
      <w:pPr>
        <w:pStyle w:val="NoSpacing"/>
        <w:ind w:firstLine="720"/>
        <w:jc w:val="both"/>
        <w:rPr>
          <w:rFonts w:ascii="Times New Roman" w:hAnsi="Times New Roman"/>
          <w:sz w:val="28"/>
          <w:szCs w:val="28"/>
        </w:rPr>
      </w:pPr>
    </w:p>
    <w:p w:rsidR="00C063C7" w:rsidRPr="007120CC" w:rsidRDefault="00C063C7" w:rsidP="00996677">
      <w:pPr>
        <w:pStyle w:val="NoSpacing"/>
        <w:ind w:firstLine="720"/>
        <w:jc w:val="both"/>
        <w:rPr>
          <w:rFonts w:ascii="Times New Roman" w:hAnsi="Times New Roman"/>
          <w:sz w:val="28"/>
          <w:szCs w:val="28"/>
        </w:rPr>
      </w:pPr>
    </w:p>
    <w:p w:rsidR="00996677" w:rsidRPr="007120CC" w:rsidRDefault="00996677" w:rsidP="00996677">
      <w:pPr>
        <w:pStyle w:val="NoSpacing"/>
        <w:ind w:firstLine="720"/>
        <w:jc w:val="both"/>
        <w:rPr>
          <w:rFonts w:ascii="Times New Roman" w:hAnsi="Times New Roman"/>
          <w:sz w:val="28"/>
          <w:szCs w:val="28"/>
        </w:rPr>
      </w:pPr>
      <w:r w:rsidRPr="007120CC">
        <w:rPr>
          <w:rFonts w:ascii="Times New Roman" w:hAnsi="Times New Roman"/>
          <w:sz w:val="28"/>
          <w:szCs w:val="28"/>
        </w:rPr>
        <w:t>Vīza:</w:t>
      </w:r>
    </w:p>
    <w:p w:rsidR="00996677" w:rsidRPr="007120CC" w:rsidRDefault="00996677" w:rsidP="00996677">
      <w:pPr>
        <w:pStyle w:val="NoSpacing"/>
        <w:ind w:firstLine="720"/>
        <w:rPr>
          <w:rFonts w:ascii="Times New Roman" w:hAnsi="Times New Roman"/>
          <w:sz w:val="28"/>
          <w:szCs w:val="28"/>
        </w:rPr>
      </w:pPr>
      <w:r w:rsidRPr="007120CC">
        <w:rPr>
          <w:rFonts w:ascii="Times New Roman" w:hAnsi="Times New Roman"/>
          <w:sz w:val="28"/>
          <w:szCs w:val="28"/>
        </w:rPr>
        <w:t>Valsts sekretārs</w:t>
      </w:r>
      <w:r w:rsidRPr="007120CC">
        <w:rPr>
          <w:rFonts w:ascii="Times New Roman" w:hAnsi="Times New Roman"/>
          <w:sz w:val="28"/>
          <w:szCs w:val="28"/>
        </w:rPr>
        <w:tab/>
      </w:r>
      <w:r w:rsidRPr="007120CC">
        <w:rPr>
          <w:rFonts w:ascii="Times New Roman" w:hAnsi="Times New Roman"/>
          <w:sz w:val="28"/>
          <w:szCs w:val="28"/>
        </w:rPr>
        <w:tab/>
      </w:r>
      <w:r w:rsidRPr="007120CC">
        <w:rPr>
          <w:rFonts w:ascii="Times New Roman" w:hAnsi="Times New Roman"/>
          <w:sz w:val="28"/>
          <w:szCs w:val="28"/>
        </w:rPr>
        <w:tab/>
      </w:r>
      <w:r w:rsidRPr="007120CC">
        <w:rPr>
          <w:rFonts w:ascii="Times New Roman" w:hAnsi="Times New Roman"/>
          <w:sz w:val="28"/>
          <w:szCs w:val="28"/>
        </w:rPr>
        <w:tab/>
      </w:r>
      <w:r w:rsidRPr="007120CC">
        <w:rPr>
          <w:rFonts w:ascii="Times New Roman" w:hAnsi="Times New Roman"/>
          <w:sz w:val="28"/>
          <w:szCs w:val="28"/>
        </w:rPr>
        <w:tab/>
      </w:r>
      <w:r w:rsidRPr="007120CC">
        <w:rPr>
          <w:rFonts w:ascii="Times New Roman" w:hAnsi="Times New Roman"/>
          <w:sz w:val="28"/>
          <w:szCs w:val="28"/>
        </w:rPr>
        <w:tab/>
        <w:t>K. Ozoliņš</w:t>
      </w:r>
    </w:p>
    <w:p w:rsidR="00D407F1" w:rsidRDefault="00D407F1" w:rsidP="00996677">
      <w:pPr>
        <w:pStyle w:val="NoSpacing"/>
        <w:rPr>
          <w:rFonts w:ascii="Times New Roman" w:hAnsi="Times New Roman"/>
          <w:sz w:val="24"/>
          <w:szCs w:val="24"/>
        </w:rPr>
      </w:pPr>
    </w:p>
    <w:p w:rsidR="006E6DB7" w:rsidRDefault="006E6DB7" w:rsidP="00996677">
      <w:pPr>
        <w:pStyle w:val="NoSpacing"/>
        <w:rPr>
          <w:rFonts w:ascii="Times New Roman" w:hAnsi="Times New Roman"/>
          <w:sz w:val="24"/>
          <w:szCs w:val="24"/>
        </w:rPr>
      </w:pPr>
    </w:p>
    <w:p w:rsidR="00F31678" w:rsidRDefault="00F31678" w:rsidP="00996677">
      <w:pPr>
        <w:pStyle w:val="NoSpacing"/>
        <w:rPr>
          <w:rFonts w:ascii="Times New Roman" w:hAnsi="Times New Roman"/>
          <w:sz w:val="24"/>
          <w:szCs w:val="24"/>
        </w:rPr>
      </w:pPr>
    </w:p>
    <w:p w:rsidR="00F31678" w:rsidRDefault="00F31678" w:rsidP="00996677">
      <w:pPr>
        <w:pStyle w:val="NoSpacing"/>
        <w:rPr>
          <w:rFonts w:ascii="Times New Roman" w:hAnsi="Times New Roman"/>
          <w:sz w:val="24"/>
          <w:szCs w:val="24"/>
        </w:rPr>
      </w:pPr>
      <w:bookmarkStart w:id="1" w:name="_GoBack"/>
      <w:bookmarkEnd w:id="1"/>
    </w:p>
    <w:p w:rsidR="0022763D" w:rsidRDefault="0022763D" w:rsidP="00996677">
      <w:pPr>
        <w:pStyle w:val="NoSpacing"/>
        <w:rPr>
          <w:rFonts w:ascii="Times New Roman" w:hAnsi="Times New Roman"/>
          <w:sz w:val="24"/>
          <w:szCs w:val="24"/>
        </w:rPr>
      </w:pPr>
    </w:p>
    <w:p w:rsidR="00996677" w:rsidRPr="00BC20DA" w:rsidRDefault="00481C55" w:rsidP="00996677">
      <w:pPr>
        <w:pStyle w:val="NoSpacing"/>
        <w:rPr>
          <w:rFonts w:ascii="Times New Roman" w:hAnsi="Times New Roman"/>
          <w:sz w:val="24"/>
          <w:szCs w:val="24"/>
        </w:rPr>
      </w:pPr>
      <w:r>
        <w:rPr>
          <w:rFonts w:ascii="Times New Roman" w:hAnsi="Times New Roman"/>
          <w:sz w:val="24"/>
          <w:szCs w:val="24"/>
        </w:rPr>
        <w:t>27</w:t>
      </w:r>
      <w:r w:rsidR="00996677" w:rsidRPr="00BC20DA">
        <w:rPr>
          <w:rFonts w:ascii="Times New Roman" w:hAnsi="Times New Roman"/>
          <w:sz w:val="24"/>
          <w:szCs w:val="24"/>
        </w:rPr>
        <w:t>.</w:t>
      </w:r>
      <w:r w:rsidR="009F1D11">
        <w:rPr>
          <w:rFonts w:ascii="Times New Roman" w:hAnsi="Times New Roman"/>
          <w:sz w:val="24"/>
          <w:szCs w:val="24"/>
        </w:rPr>
        <w:t>11</w:t>
      </w:r>
      <w:r w:rsidR="00996677" w:rsidRPr="00BC20DA">
        <w:rPr>
          <w:rFonts w:ascii="Times New Roman" w:hAnsi="Times New Roman"/>
          <w:sz w:val="24"/>
          <w:szCs w:val="24"/>
        </w:rPr>
        <w:t>.2015  14:30</w:t>
      </w:r>
    </w:p>
    <w:p w:rsidR="00996677" w:rsidRPr="00BC20DA" w:rsidRDefault="00620E02" w:rsidP="00996677">
      <w:pPr>
        <w:pStyle w:val="NoSpacing"/>
        <w:rPr>
          <w:rFonts w:ascii="Times New Roman" w:hAnsi="Times New Roman"/>
          <w:sz w:val="24"/>
          <w:szCs w:val="24"/>
        </w:rPr>
      </w:pPr>
      <w:r>
        <w:rPr>
          <w:rFonts w:ascii="Times New Roman" w:hAnsi="Times New Roman"/>
          <w:sz w:val="24"/>
          <w:szCs w:val="24"/>
        </w:rPr>
        <w:t>1529</w:t>
      </w:r>
    </w:p>
    <w:p w:rsidR="00996677" w:rsidRPr="00BC20DA" w:rsidRDefault="00996677" w:rsidP="00996677">
      <w:pPr>
        <w:pStyle w:val="NoSpacing"/>
        <w:rPr>
          <w:rFonts w:ascii="Times New Roman" w:hAnsi="Times New Roman"/>
          <w:sz w:val="24"/>
          <w:szCs w:val="24"/>
        </w:rPr>
      </w:pPr>
      <w:r w:rsidRPr="00BC20DA">
        <w:rPr>
          <w:rFonts w:ascii="Times New Roman" w:hAnsi="Times New Roman"/>
          <w:sz w:val="24"/>
          <w:szCs w:val="24"/>
        </w:rPr>
        <w:t>Jana Jankoviča,</w:t>
      </w:r>
    </w:p>
    <w:p w:rsidR="00D407F1" w:rsidRDefault="00996677" w:rsidP="00566F5C">
      <w:pPr>
        <w:pStyle w:val="NoSpacing"/>
        <w:rPr>
          <w:rFonts w:ascii="Times New Roman" w:hAnsi="Times New Roman"/>
          <w:sz w:val="24"/>
          <w:szCs w:val="24"/>
        </w:rPr>
      </w:pPr>
      <w:r w:rsidRPr="00BC20DA">
        <w:rPr>
          <w:rFonts w:ascii="Times New Roman" w:hAnsi="Times New Roman"/>
          <w:sz w:val="24"/>
          <w:szCs w:val="24"/>
        </w:rPr>
        <w:t>67062133,</w:t>
      </w:r>
    </w:p>
    <w:p w:rsidR="00996677" w:rsidRDefault="00D407F1" w:rsidP="00566F5C">
      <w:pPr>
        <w:pStyle w:val="NoSpacing"/>
      </w:pPr>
      <w:r>
        <w:rPr>
          <w:rFonts w:ascii="Times New Roman" w:hAnsi="Times New Roman"/>
          <w:sz w:val="24"/>
          <w:szCs w:val="24"/>
        </w:rPr>
        <w:t>j</w:t>
      </w:r>
      <w:r w:rsidR="00996677" w:rsidRPr="00BC20DA">
        <w:rPr>
          <w:rFonts w:ascii="Times New Roman" w:hAnsi="Times New Roman"/>
          <w:sz w:val="24"/>
          <w:szCs w:val="24"/>
        </w:rPr>
        <w:t>ana.jankovica@lja.lv</w:t>
      </w:r>
    </w:p>
    <w:sectPr w:rsidR="00996677" w:rsidSect="00EC3E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78" w:rsidRDefault="00C72678" w:rsidP="00DC5925">
      <w:pPr>
        <w:spacing w:after="0" w:line="240" w:lineRule="auto"/>
      </w:pPr>
      <w:r>
        <w:separator/>
      </w:r>
    </w:p>
  </w:endnote>
  <w:endnote w:type="continuationSeparator" w:id="0">
    <w:p w:rsidR="00C72678" w:rsidRDefault="00C72678" w:rsidP="00DC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3E" w:rsidRPr="00783BD6" w:rsidRDefault="002D1B3E" w:rsidP="002559CB">
    <w:pPr>
      <w:pStyle w:val="Footer"/>
      <w:jc w:val="both"/>
      <w:rPr>
        <w:rFonts w:ascii="Times New Roman" w:hAnsi="Times New Roman" w:cs="Times New Roman"/>
        <w:sz w:val="24"/>
        <w:szCs w:val="24"/>
      </w:rPr>
    </w:pPr>
    <w:r w:rsidRPr="00783BD6">
      <w:rPr>
        <w:rFonts w:ascii="Times New Roman" w:hAnsi="Times New Roman" w:cs="Times New Roman"/>
        <w:sz w:val="24"/>
        <w:szCs w:val="24"/>
        <w:lang w:val="lv-LV"/>
      </w:rPr>
      <w:t>SAMAnot_</w:t>
    </w:r>
    <w:r w:rsidR="00CF1101">
      <w:rPr>
        <w:rFonts w:ascii="Times New Roman" w:hAnsi="Times New Roman" w:cs="Times New Roman"/>
        <w:sz w:val="24"/>
        <w:szCs w:val="24"/>
        <w:lang w:val="lv-LV"/>
      </w:rPr>
      <w:t>27</w:t>
    </w:r>
    <w:r w:rsidR="009F1D11">
      <w:rPr>
        <w:rFonts w:ascii="Times New Roman" w:hAnsi="Times New Roman" w:cs="Times New Roman"/>
        <w:sz w:val="24"/>
        <w:szCs w:val="24"/>
        <w:lang w:val="lv-LV"/>
      </w:rPr>
      <w:t>11</w:t>
    </w:r>
    <w:r w:rsidRPr="00783BD6">
      <w:rPr>
        <w:rFonts w:ascii="Times New Roman" w:hAnsi="Times New Roman" w:cs="Times New Roman"/>
        <w:sz w:val="24"/>
        <w:szCs w:val="24"/>
        <w:lang w:val="lv-LV"/>
      </w:rPr>
      <w:t xml:space="preserve">15_juraskodekss; </w:t>
    </w:r>
    <w:proofErr w:type="spellStart"/>
    <w:r w:rsidRPr="00783BD6">
      <w:rPr>
        <w:rFonts w:ascii="Times New Roman" w:hAnsi="Times New Roman" w:cs="Times New Roman"/>
        <w:sz w:val="24"/>
        <w:szCs w:val="24"/>
      </w:rPr>
      <w:t>Likumprojekta</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Grozījumi</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Jūras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kodeksā</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sākotnējās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ietekmes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novērtējuma</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ziņojums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anotācija</w:t>
    </w:r>
    <w:proofErr w:type="spellEnd"/>
    <w:r w:rsidRPr="00783BD6">
      <w:rPr>
        <w:rFonts w:ascii="Times New Roman" w:hAnsi="Times New Roman" w:cs="Times New Roman"/>
        <w:sz w:val="24"/>
        <w:szCs w:val="24"/>
      </w:rPr>
      <w:t>)</w:t>
    </w:r>
  </w:p>
  <w:p w:rsidR="002D1B3E" w:rsidRDefault="002D1B3E" w:rsidP="002559CB">
    <w:pPr>
      <w:pStyle w:val="Footer"/>
      <w:jc w:val="both"/>
    </w:pPr>
  </w:p>
  <w:p w:rsidR="00783BD6" w:rsidRDefault="00783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17" w:rsidRDefault="00EC3E17">
    <w:pPr>
      <w:pStyle w:val="Footer"/>
      <w:jc w:val="center"/>
    </w:pPr>
  </w:p>
  <w:p w:rsidR="00783BD6" w:rsidRPr="00783BD6" w:rsidRDefault="00007808" w:rsidP="002559CB">
    <w:pPr>
      <w:pStyle w:val="Footer"/>
      <w:jc w:val="both"/>
      <w:rPr>
        <w:rFonts w:ascii="Times New Roman" w:hAnsi="Times New Roman" w:cs="Times New Roman"/>
        <w:sz w:val="24"/>
        <w:szCs w:val="24"/>
      </w:rPr>
    </w:pPr>
    <w:r w:rsidRPr="00783BD6">
      <w:rPr>
        <w:rFonts w:ascii="Times New Roman" w:hAnsi="Times New Roman" w:cs="Times New Roman"/>
        <w:sz w:val="24"/>
        <w:szCs w:val="24"/>
        <w:lang w:val="lv-LV"/>
      </w:rPr>
      <w:t>SAMAnot_</w:t>
    </w:r>
    <w:r w:rsidR="00CF1101">
      <w:rPr>
        <w:rFonts w:ascii="Times New Roman" w:hAnsi="Times New Roman" w:cs="Times New Roman"/>
        <w:sz w:val="24"/>
        <w:szCs w:val="24"/>
        <w:lang w:val="lv-LV"/>
      </w:rPr>
      <w:t>27</w:t>
    </w:r>
    <w:r w:rsidR="009F1D11">
      <w:rPr>
        <w:rFonts w:ascii="Times New Roman" w:hAnsi="Times New Roman" w:cs="Times New Roman"/>
        <w:sz w:val="24"/>
        <w:szCs w:val="24"/>
        <w:lang w:val="lv-LV"/>
      </w:rPr>
      <w:t>11</w:t>
    </w:r>
    <w:r w:rsidRPr="00783BD6">
      <w:rPr>
        <w:rFonts w:ascii="Times New Roman" w:hAnsi="Times New Roman" w:cs="Times New Roman"/>
        <w:sz w:val="24"/>
        <w:szCs w:val="24"/>
        <w:lang w:val="lv-LV"/>
      </w:rPr>
      <w:t xml:space="preserve">15_juraskodekss; </w:t>
    </w:r>
    <w:proofErr w:type="spellStart"/>
    <w:r w:rsidR="00783BD6" w:rsidRPr="00783BD6">
      <w:rPr>
        <w:rFonts w:ascii="Times New Roman" w:hAnsi="Times New Roman" w:cs="Times New Roman"/>
        <w:sz w:val="24"/>
        <w:szCs w:val="24"/>
      </w:rPr>
      <w:t>Likumprojekta</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Grozījumi</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Jūras</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kodeksā</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sākotnējās</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ietekmes</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novērtējuma</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ziņojums</w:t>
    </w:r>
    <w:proofErr w:type="spellEnd"/>
    <w:r w:rsidR="00783BD6" w:rsidRPr="00783BD6">
      <w:rPr>
        <w:rFonts w:ascii="Times New Roman" w:hAnsi="Times New Roman" w:cs="Times New Roman"/>
        <w:sz w:val="24"/>
        <w:szCs w:val="24"/>
      </w:rPr>
      <w:t xml:space="preserve"> (</w:t>
    </w:r>
    <w:proofErr w:type="spellStart"/>
    <w:r w:rsidR="00783BD6" w:rsidRPr="00783BD6">
      <w:rPr>
        <w:rFonts w:ascii="Times New Roman" w:hAnsi="Times New Roman" w:cs="Times New Roman"/>
        <w:sz w:val="24"/>
        <w:szCs w:val="24"/>
      </w:rPr>
      <w:t>anotācija</w:t>
    </w:r>
    <w:proofErr w:type="spellEnd"/>
    <w:r w:rsidR="00783BD6" w:rsidRPr="00783BD6">
      <w:rPr>
        <w:rFonts w:ascii="Times New Roman" w:hAnsi="Times New Roman" w:cs="Times New Roman"/>
        <w:sz w:val="24"/>
        <w:szCs w:val="24"/>
      </w:rPr>
      <w:t>)</w:t>
    </w:r>
  </w:p>
  <w:p w:rsidR="00783BD6" w:rsidRPr="00733030" w:rsidRDefault="00783BD6" w:rsidP="002559CB">
    <w:pPr>
      <w:jc w:val="both"/>
      <w:rPr>
        <w:rFonts w:ascii="Times New Roman" w:hAnsi="Times New Roman"/>
        <w:sz w:val="24"/>
        <w:szCs w:val="24"/>
      </w:rPr>
    </w:pPr>
  </w:p>
  <w:p w:rsidR="009D59CD" w:rsidRPr="00783BD6" w:rsidRDefault="009D5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D3" w:rsidRDefault="00B019D3">
    <w:pPr>
      <w:pStyle w:val="Footer"/>
      <w:jc w:val="center"/>
    </w:pPr>
  </w:p>
  <w:p w:rsidR="00783BD6" w:rsidRPr="00783BD6" w:rsidRDefault="00783BD6" w:rsidP="00783BD6">
    <w:pPr>
      <w:pStyle w:val="Footer"/>
      <w:jc w:val="both"/>
      <w:rPr>
        <w:rFonts w:ascii="Times New Roman" w:hAnsi="Times New Roman" w:cs="Times New Roman"/>
        <w:sz w:val="24"/>
        <w:szCs w:val="24"/>
      </w:rPr>
    </w:pPr>
    <w:r w:rsidRPr="00783BD6">
      <w:rPr>
        <w:rFonts w:ascii="Times New Roman" w:hAnsi="Times New Roman" w:cs="Times New Roman"/>
        <w:sz w:val="24"/>
        <w:szCs w:val="24"/>
        <w:lang w:val="lv-LV"/>
      </w:rPr>
      <w:t>SAMAnot_</w:t>
    </w:r>
    <w:r w:rsidR="00CF1101">
      <w:rPr>
        <w:rFonts w:ascii="Times New Roman" w:hAnsi="Times New Roman" w:cs="Times New Roman"/>
        <w:sz w:val="24"/>
        <w:szCs w:val="24"/>
        <w:lang w:val="lv-LV"/>
      </w:rPr>
      <w:t>27</w:t>
    </w:r>
    <w:r w:rsidR="009F1D11">
      <w:rPr>
        <w:rFonts w:ascii="Times New Roman" w:hAnsi="Times New Roman" w:cs="Times New Roman"/>
        <w:sz w:val="24"/>
        <w:szCs w:val="24"/>
        <w:lang w:val="lv-LV"/>
      </w:rPr>
      <w:t>11</w:t>
    </w:r>
    <w:r w:rsidRPr="00783BD6">
      <w:rPr>
        <w:rFonts w:ascii="Times New Roman" w:hAnsi="Times New Roman" w:cs="Times New Roman"/>
        <w:sz w:val="24"/>
        <w:szCs w:val="24"/>
        <w:lang w:val="lv-LV"/>
      </w:rPr>
      <w:t xml:space="preserve">15_juraskodekss; </w:t>
    </w:r>
    <w:proofErr w:type="spellStart"/>
    <w:r w:rsidRPr="00783BD6">
      <w:rPr>
        <w:rFonts w:ascii="Times New Roman" w:hAnsi="Times New Roman" w:cs="Times New Roman"/>
        <w:sz w:val="24"/>
        <w:szCs w:val="24"/>
      </w:rPr>
      <w:t>Likumprojekta</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Grozījumi</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Jūras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kodeksā</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sākotnējās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ietekmes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novērtējuma</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ziņojums</w:t>
    </w:r>
    <w:proofErr w:type="spellEnd"/>
    <w:r w:rsidRPr="00783BD6">
      <w:rPr>
        <w:rFonts w:ascii="Times New Roman" w:hAnsi="Times New Roman" w:cs="Times New Roman"/>
        <w:sz w:val="24"/>
        <w:szCs w:val="24"/>
      </w:rPr>
      <w:t xml:space="preserve"> (</w:t>
    </w:r>
    <w:proofErr w:type="spellStart"/>
    <w:r w:rsidRPr="00783BD6">
      <w:rPr>
        <w:rFonts w:ascii="Times New Roman" w:hAnsi="Times New Roman" w:cs="Times New Roman"/>
        <w:sz w:val="24"/>
        <w:szCs w:val="24"/>
      </w:rPr>
      <w:t>anotācija</w:t>
    </w:r>
    <w:proofErr w:type="spellEnd"/>
    <w:r w:rsidRPr="00783BD6">
      <w:rPr>
        <w:rFonts w:ascii="Times New Roman" w:hAnsi="Times New Roman" w:cs="Times New Roman"/>
        <w:sz w:val="24"/>
        <w:szCs w:val="24"/>
      </w:rPr>
      <w:t>)</w:t>
    </w:r>
  </w:p>
  <w:p w:rsidR="00B019D3" w:rsidRDefault="00B01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78" w:rsidRDefault="00C72678" w:rsidP="00DC5925">
      <w:pPr>
        <w:spacing w:after="0" w:line="240" w:lineRule="auto"/>
      </w:pPr>
      <w:r>
        <w:separator/>
      </w:r>
    </w:p>
  </w:footnote>
  <w:footnote w:type="continuationSeparator" w:id="0">
    <w:p w:rsidR="00C72678" w:rsidRDefault="00C72678" w:rsidP="00DC5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413958"/>
      <w:docPartObj>
        <w:docPartGallery w:val="Page Numbers (Top of Page)"/>
        <w:docPartUnique/>
      </w:docPartObj>
    </w:sdtPr>
    <w:sdtEndPr>
      <w:rPr>
        <w:noProof/>
      </w:rPr>
    </w:sdtEndPr>
    <w:sdtContent>
      <w:p w:rsidR="00EC3E17" w:rsidRDefault="00EC3E17" w:rsidP="00EC3E17">
        <w:pPr>
          <w:pStyle w:val="Header"/>
          <w:tabs>
            <w:tab w:val="left" w:pos="4470"/>
          </w:tabs>
        </w:pPr>
        <w:r>
          <w:tab/>
        </w:r>
        <w:r>
          <w:fldChar w:fldCharType="begin"/>
        </w:r>
        <w:r>
          <w:instrText xml:space="preserve"> PAGE   \* MERGEFORMAT </w:instrText>
        </w:r>
        <w:r>
          <w:fldChar w:fldCharType="separate"/>
        </w:r>
        <w:r w:rsidR="00F31678">
          <w:rPr>
            <w:noProof/>
          </w:rPr>
          <w:t>6</w:t>
        </w:r>
        <w:r>
          <w:rPr>
            <w:noProof/>
          </w:rPr>
          <w:fldChar w:fldCharType="end"/>
        </w:r>
      </w:p>
    </w:sdtContent>
  </w:sdt>
  <w:p w:rsidR="00EC3E17" w:rsidRDefault="00EC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574293"/>
      <w:docPartObj>
        <w:docPartGallery w:val="Page Numbers (Top of Page)"/>
        <w:docPartUnique/>
      </w:docPartObj>
    </w:sdtPr>
    <w:sdtEndPr>
      <w:rPr>
        <w:noProof/>
      </w:rPr>
    </w:sdtEndPr>
    <w:sdtContent>
      <w:p w:rsidR="00EC3E17" w:rsidRDefault="00EC3E17">
        <w:pPr>
          <w:pStyle w:val="Header"/>
          <w:jc w:val="center"/>
        </w:pPr>
        <w:r>
          <w:fldChar w:fldCharType="begin"/>
        </w:r>
        <w:r>
          <w:instrText xml:space="preserve"> PAGE   \* MERGEFORMAT </w:instrText>
        </w:r>
        <w:r>
          <w:fldChar w:fldCharType="separate"/>
        </w:r>
        <w:r w:rsidR="00F31678">
          <w:rPr>
            <w:noProof/>
          </w:rPr>
          <w:t>5</w:t>
        </w:r>
        <w:r>
          <w:rPr>
            <w:noProof/>
          </w:rPr>
          <w:fldChar w:fldCharType="end"/>
        </w:r>
      </w:p>
    </w:sdtContent>
  </w:sdt>
  <w:p w:rsidR="00DC5925" w:rsidRDefault="00DC5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D3" w:rsidRDefault="00B019D3">
    <w:pPr>
      <w:pStyle w:val="Header"/>
      <w:jc w:val="center"/>
    </w:pPr>
  </w:p>
  <w:p w:rsidR="00B019D3" w:rsidRDefault="00B01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635E4"/>
    <w:multiLevelType w:val="hybridMultilevel"/>
    <w:tmpl w:val="45809C9C"/>
    <w:lvl w:ilvl="0" w:tplc="AA46B9C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3"/>
    <w:rsid w:val="00001C51"/>
    <w:rsid w:val="00001ED9"/>
    <w:rsid w:val="00007808"/>
    <w:rsid w:val="00040088"/>
    <w:rsid w:val="00053247"/>
    <w:rsid w:val="00054905"/>
    <w:rsid w:val="00057BD0"/>
    <w:rsid w:val="0007226D"/>
    <w:rsid w:val="00073FCC"/>
    <w:rsid w:val="00074799"/>
    <w:rsid w:val="000846FE"/>
    <w:rsid w:val="000849F5"/>
    <w:rsid w:val="000C0758"/>
    <w:rsid w:val="000F7E14"/>
    <w:rsid w:val="001023A6"/>
    <w:rsid w:val="00123156"/>
    <w:rsid w:val="00126B04"/>
    <w:rsid w:val="00135C9D"/>
    <w:rsid w:val="00143CD0"/>
    <w:rsid w:val="00154954"/>
    <w:rsid w:val="00183349"/>
    <w:rsid w:val="001843DA"/>
    <w:rsid w:val="0019022C"/>
    <w:rsid w:val="001A4EFD"/>
    <w:rsid w:val="001A74ED"/>
    <w:rsid w:val="001B5AD2"/>
    <w:rsid w:val="001E4168"/>
    <w:rsid w:val="00200B49"/>
    <w:rsid w:val="002162B3"/>
    <w:rsid w:val="0022763D"/>
    <w:rsid w:val="002356E4"/>
    <w:rsid w:val="002559CB"/>
    <w:rsid w:val="00267051"/>
    <w:rsid w:val="00281E03"/>
    <w:rsid w:val="002919FD"/>
    <w:rsid w:val="002A79A0"/>
    <w:rsid w:val="002B6635"/>
    <w:rsid w:val="002D1B3E"/>
    <w:rsid w:val="002E3211"/>
    <w:rsid w:val="002F328F"/>
    <w:rsid w:val="0030336F"/>
    <w:rsid w:val="0032684B"/>
    <w:rsid w:val="003301C6"/>
    <w:rsid w:val="00366D60"/>
    <w:rsid w:val="00373C5D"/>
    <w:rsid w:val="0038710B"/>
    <w:rsid w:val="003A25F3"/>
    <w:rsid w:val="003A7DCB"/>
    <w:rsid w:val="003E5317"/>
    <w:rsid w:val="003F7803"/>
    <w:rsid w:val="00406048"/>
    <w:rsid w:val="0041519E"/>
    <w:rsid w:val="00416BA1"/>
    <w:rsid w:val="00434042"/>
    <w:rsid w:val="0044414E"/>
    <w:rsid w:val="00447813"/>
    <w:rsid w:val="00465B0A"/>
    <w:rsid w:val="00465E2E"/>
    <w:rsid w:val="004727BC"/>
    <w:rsid w:val="00473E7E"/>
    <w:rsid w:val="004817A2"/>
    <w:rsid w:val="00481C55"/>
    <w:rsid w:val="0049247E"/>
    <w:rsid w:val="00493D67"/>
    <w:rsid w:val="004B73AB"/>
    <w:rsid w:val="004C3C6E"/>
    <w:rsid w:val="004F115A"/>
    <w:rsid w:val="0050485B"/>
    <w:rsid w:val="005118F8"/>
    <w:rsid w:val="00513CDC"/>
    <w:rsid w:val="00523772"/>
    <w:rsid w:val="005611AF"/>
    <w:rsid w:val="005667CF"/>
    <w:rsid w:val="00566F5C"/>
    <w:rsid w:val="00566F7E"/>
    <w:rsid w:val="00571861"/>
    <w:rsid w:val="00574897"/>
    <w:rsid w:val="00591283"/>
    <w:rsid w:val="005B1BE2"/>
    <w:rsid w:val="005C04AA"/>
    <w:rsid w:val="005C1C5B"/>
    <w:rsid w:val="005D5BA2"/>
    <w:rsid w:val="00620E02"/>
    <w:rsid w:val="00673BCA"/>
    <w:rsid w:val="00674E80"/>
    <w:rsid w:val="00676D64"/>
    <w:rsid w:val="0068234E"/>
    <w:rsid w:val="006A277B"/>
    <w:rsid w:val="006B0AC6"/>
    <w:rsid w:val="006B566E"/>
    <w:rsid w:val="006B5BD0"/>
    <w:rsid w:val="006D3EF5"/>
    <w:rsid w:val="006E6DB7"/>
    <w:rsid w:val="006F0D63"/>
    <w:rsid w:val="006F24EC"/>
    <w:rsid w:val="00702E61"/>
    <w:rsid w:val="0072057D"/>
    <w:rsid w:val="00725BFA"/>
    <w:rsid w:val="00783BD6"/>
    <w:rsid w:val="007A52D4"/>
    <w:rsid w:val="007A78B7"/>
    <w:rsid w:val="007B206E"/>
    <w:rsid w:val="007C2399"/>
    <w:rsid w:val="007D11E5"/>
    <w:rsid w:val="007E29C5"/>
    <w:rsid w:val="00844726"/>
    <w:rsid w:val="00870FB9"/>
    <w:rsid w:val="00885C28"/>
    <w:rsid w:val="008A3CB7"/>
    <w:rsid w:val="008B356E"/>
    <w:rsid w:val="008C0D3A"/>
    <w:rsid w:val="008D16B6"/>
    <w:rsid w:val="008E4C81"/>
    <w:rsid w:val="008F28C0"/>
    <w:rsid w:val="00910458"/>
    <w:rsid w:val="00915BB1"/>
    <w:rsid w:val="00917BD4"/>
    <w:rsid w:val="00932E4D"/>
    <w:rsid w:val="00940F83"/>
    <w:rsid w:val="00996677"/>
    <w:rsid w:val="009B60A0"/>
    <w:rsid w:val="009C4E25"/>
    <w:rsid w:val="009D50FF"/>
    <w:rsid w:val="009D59CD"/>
    <w:rsid w:val="009E7DD8"/>
    <w:rsid w:val="009F1D11"/>
    <w:rsid w:val="00A41B96"/>
    <w:rsid w:val="00A57F1F"/>
    <w:rsid w:val="00A635FB"/>
    <w:rsid w:val="00A83DF6"/>
    <w:rsid w:val="00A84FFE"/>
    <w:rsid w:val="00A90666"/>
    <w:rsid w:val="00AA22C8"/>
    <w:rsid w:val="00AC5FDC"/>
    <w:rsid w:val="00B019D3"/>
    <w:rsid w:val="00B053F3"/>
    <w:rsid w:val="00B33D79"/>
    <w:rsid w:val="00B4399C"/>
    <w:rsid w:val="00B7040D"/>
    <w:rsid w:val="00B74D29"/>
    <w:rsid w:val="00B75AC0"/>
    <w:rsid w:val="00BA4825"/>
    <w:rsid w:val="00BA713C"/>
    <w:rsid w:val="00BC4CF8"/>
    <w:rsid w:val="00BD59B4"/>
    <w:rsid w:val="00C0424F"/>
    <w:rsid w:val="00C048D3"/>
    <w:rsid w:val="00C063C7"/>
    <w:rsid w:val="00C12E5E"/>
    <w:rsid w:val="00C16C2B"/>
    <w:rsid w:val="00C306EF"/>
    <w:rsid w:val="00C60E42"/>
    <w:rsid w:val="00C63098"/>
    <w:rsid w:val="00C72678"/>
    <w:rsid w:val="00CA3260"/>
    <w:rsid w:val="00CA3354"/>
    <w:rsid w:val="00CF1101"/>
    <w:rsid w:val="00CF5D3D"/>
    <w:rsid w:val="00D13A97"/>
    <w:rsid w:val="00D1736C"/>
    <w:rsid w:val="00D407F1"/>
    <w:rsid w:val="00D73559"/>
    <w:rsid w:val="00D81FEB"/>
    <w:rsid w:val="00D83740"/>
    <w:rsid w:val="00DC0CE6"/>
    <w:rsid w:val="00DC3A69"/>
    <w:rsid w:val="00DC5925"/>
    <w:rsid w:val="00DE0A7B"/>
    <w:rsid w:val="00E022BC"/>
    <w:rsid w:val="00E03269"/>
    <w:rsid w:val="00E06C11"/>
    <w:rsid w:val="00E32963"/>
    <w:rsid w:val="00E36514"/>
    <w:rsid w:val="00E52BC3"/>
    <w:rsid w:val="00E61AAD"/>
    <w:rsid w:val="00E72C26"/>
    <w:rsid w:val="00E74904"/>
    <w:rsid w:val="00E85436"/>
    <w:rsid w:val="00EB423A"/>
    <w:rsid w:val="00EC3E17"/>
    <w:rsid w:val="00ED5801"/>
    <w:rsid w:val="00EE2826"/>
    <w:rsid w:val="00EF2C98"/>
    <w:rsid w:val="00F00064"/>
    <w:rsid w:val="00F01561"/>
    <w:rsid w:val="00F030EB"/>
    <w:rsid w:val="00F102CA"/>
    <w:rsid w:val="00F13C9C"/>
    <w:rsid w:val="00F14FCB"/>
    <w:rsid w:val="00F25170"/>
    <w:rsid w:val="00F31678"/>
    <w:rsid w:val="00F361AE"/>
    <w:rsid w:val="00F81322"/>
    <w:rsid w:val="00F9480C"/>
    <w:rsid w:val="00FD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338C2F-E2C6-46AC-B2BE-314D11FE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235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23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356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673BCA"/>
    <w:pPr>
      <w:spacing w:after="0" w:line="240" w:lineRule="auto"/>
    </w:pPr>
    <w:rPr>
      <w:rFonts w:ascii="Calibri" w:eastAsia="Times New Roman" w:hAnsi="Calibri" w:cs="Times New Roman"/>
      <w:lang w:val="lv-LV" w:eastAsia="lv-LV"/>
    </w:rPr>
  </w:style>
  <w:style w:type="paragraph" w:customStyle="1" w:styleId="naiskr">
    <w:name w:val="naiskr"/>
    <w:basedOn w:val="Normal"/>
    <w:uiPriority w:val="99"/>
    <w:rsid w:val="0038710B"/>
    <w:pPr>
      <w:spacing w:before="75" w:after="75"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DC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925"/>
  </w:style>
  <w:style w:type="paragraph" w:styleId="Footer">
    <w:name w:val="footer"/>
    <w:basedOn w:val="Normal"/>
    <w:link w:val="FooterChar"/>
    <w:uiPriority w:val="99"/>
    <w:unhideWhenUsed/>
    <w:rsid w:val="00DC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925"/>
  </w:style>
  <w:style w:type="paragraph" w:styleId="ListParagraph">
    <w:name w:val="List Paragraph"/>
    <w:basedOn w:val="Normal"/>
    <w:uiPriority w:val="34"/>
    <w:qFormat/>
    <w:rsid w:val="0072057D"/>
    <w:pPr>
      <w:spacing w:after="200" w:line="276" w:lineRule="auto"/>
      <w:ind w:left="720"/>
      <w:contextualSpacing/>
    </w:pPr>
    <w:rPr>
      <w:rFonts w:ascii="Calibri" w:eastAsia="Times New Roman" w:hAnsi="Calibri" w:cs="Times New Roman"/>
      <w:lang w:val="lv-LV" w:eastAsia="lv-LV"/>
    </w:rPr>
  </w:style>
  <w:style w:type="paragraph" w:styleId="BalloonText">
    <w:name w:val="Balloon Text"/>
    <w:basedOn w:val="Normal"/>
    <w:link w:val="BalloonTextChar"/>
    <w:uiPriority w:val="99"/>
    <w:semiHidden/>
    <w:unhideWhenUsed/>
    <w:rsid w:val="0062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041278">
      <w:bodyDiv w:val="1"/>
      <w:marLeft w:val="0"/>
      <w:marRight w:val="0"/>
      <w:marTop w:val="0"/>
      <w:marBottom w:val="0"/>
      <w:divBdr>
        <w:top w:val="none" w:sz="0" w:space="0" w:color="auto"/>
        <w:left w:val="none" w:sz="0" w:space="0" w:color="auto"/>
        <w:bottom w:val="none" w:sz="0" w:space="0" w:color="auto"/>
        <w:right w:val="none" w:sz="0" w:space="0" w:color="auto"/>
      </w:divBdr>
      <w:divsChild>
        <w:div w:id="1209489843">
          <w:marLeft w:val="0"/>
          <w:marRight w:val="0"/>
          <w:marTop w:val="0"/>
          <w:marBottom w:val="0"/>
          <w:divBdr>
            <w:top w:val="none" w:sz="0" w:space="0" w:color="auto"/>
            <w:left w:val="none" w:sz="0" w:space="0" w:color="auto"/>
            <w:bottom w:val="none" w:sz="0" w:space="0" w:color="auto"/>
            <w:right w:val="none" w:sz="0" w:space="0" w:color="auto"/>
          </w:divBdr>
          <w:divsChild>
            <w:div w:id="774177797">
              <w:marLeft w:val="0"/>
              <w:marRight w:val="0"/>
              <w:marTop w:val="0"/>
              <w:marBottom w:val="0"/>
              <w:divBdr>
                <w:top w:val="none" w:sz="0" w:space="0" w:color="auto"/>
                <w:left w:val="none" w:sz="0" w:space="0" w:color="auto"/>
                <w:bottom w:val="none" w:sz="0" w:space="0" w:color="auto"/>
                <w:right w:val="none" w:sz="0" w:space="0" w:color="auto"/>
              </w:divBdr>
              <w:divsChild>
                <w:div w:id="467091502">
                  <w:marLeft w:val="0"/>
                  <w:marRight w:val="0"/>
                  <w:marTop w:val="0"/>
                  <w:marBottom w:val="0"/>
                  <w:divBdr>
                    <w:top w:val="none" w:sz="0" w:space="0" w:color="auto"/>
                    <w:left w:val="none" w:sz="0" w:space="0" w:color="auto"/>
                    <w:bottom w:val="none" w:sz="0" w:space="0" w:color="auto"/>
                    <w:right w:val="none" w:sz="0" w:space="0" w:color="auto"/>
                  </w:divBdr>
                  <w:divsChild>
                    <w:div w:id="614875221">
                      <w:marLeft w:val="0"/>
                      <w:marRight w:val="0"/>
                      <w:marTop w:val="0"/>
                      <w:marBottom w:val="0"/>
                      <w:divBdr>
                        <w:top w:val="none" w:sz="0" w:space="0" w:color="auto"/>
                        <w:left w:val="none" w:sz="0" w:space="0" w:color="auto"/>
                        <w:bottom w:val="none" w:sz="0" w:space="0" w:color="auto"/>
                        <w:right w:val="none" w:sz="0" w:space="0" w:color="auto"/>
                      </w:divBdr>
                      <w:divsChild>
                        <w:div w:id="110245098">
                          <w:marLeft w:val="0"/>
                          <w:marRight w:val="0"/>
                          <w:marTop w:val="0"/>
                          <w:marBottom w:val="0"/>
                          <w:divBdr>
                            <w:top w:val="none" w:sz="0" w:space="0" w:color="auto"/>
                            <w:left w:val="none" w:sz="0" w:space="0" w:color="auto"/>
                            <w:bottom w:val="none" w:sz="0" w:space="0" w:color="auto"/>
                            <w:right w:val="none" w:sz="0" w:space="0" w:color="auto"/>
                          </w:divBdr>
                          <w:divsChild>
                            <w:div w:id="1394619878">
                              <w:marLeft w:val="150"/>
                              <w:marRight w:val="150"/>
                              <w:marTop w:val="480"/>
                              <w:marBottom w:val="0"/>
                              <w:divBdr>
                                <w:top w:val="single" w:sz="6" w:space="28" w:color="D4D4D4"/>
                                <w:left w:val="none" w:sz="0" w:space="0" w:color="auto"/>
                                <w:bottom w:val="none" w:sz="0" w:space="0" w:color="auto"/>
                                <w:right w:val="none" w:sz="0" w:space="0" w:color="auto"/>
                              </w:divBdr>
                            </w:div>
                            <w:div w:id="1350184707">
                              <w:marLeft w:val="0"/>
                              <w:marRight w:val="0"/>
                              <w:marTop w:val="400"/>
                              <w:marBottom w:val="0"/>
                              <w:divBdr>
                                <w:top w:val="none" w:sz="0" w:space="0" w:color="auto"/>
                                <w:left w:val="none" w:sz="0" w:space="0" w:color="auto"/>
                                <w:bottom w:val="none" w:sz="0" w:space="0" w:color="auto"/>
                                <w:right w:val="none" w:sz="0" w:space="0" w:color="auto"/>
                              </w:divBdr>
                            </w:div>
                            <w:div w:id="16479711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A54DB-0C64-4DAD-A293-35589503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1545</Words>
  <Characters>10589</Characters>
  <Application>Microsoft Office Word</Application>
  <DocSecurity>0</DocSecurity>
  <Lines>557</Lines>
  <Paragraphs>247</Paragraphs>
  <ScaleCrop>false</ScaleCrop>
  <HeadingPairs>
    <vt:vector size="2" baseType="variant">
      <vt:variant>
        <vt:lpstr>Title</vt:lpstr>
      </vt:variant>
      <vt:variant>
        <vt:i4>1</vt:i4>
      </vt:variant>
    </vt:vector>
  </HeadingPairs>
  <TitlesOfParts>
    <vt:vector size="1" baseType="lpstr">
      <vt:lpstr>Likumprojekta "Grozījumi Jūras kodeksā" sākotnējās ietekmes novērtējuma ziņojums (anotācija)</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Jūras kodeksā" sākotnējās ietekmes novērtējuma ziņojums (anotācija)</dc:title>
  <dc:subject>Anotācija</dc:subject>
  <dc:creator>Laima Rituma, Jana Jankoviča</dc:creator>
  <cp:keywords/>
  <dc:description>laima.rituma@sam.gov.lv, 67028198;
jana.jankovica@lja.lv, 67062133.</dc:description>
  <cp:lastModifiedBy>Jana Jankoviča</cp:lastModifiedBy>
  <cp:revision>522</cp:revision>
  <cp:lastPrinted>2015-12-07T06:16:00Z</cp:lastPrinted>
  <dcterms:created xsi:type="dcterms:W3CDTF">2015-10-13T06:52:00Z</dcterms:created>
  <dcterms:modified xsi:type="dcterms:W3CDTF">2015-12-18T09:52:00Z</dcterms:modified>
  <cp:category/>
  <cp:contentStatus>Satiksmes ministrija</cp:contentStatus>
</cp:coreProperties>
</file>