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4E566" w14:textId="77777777" w:rsidR="006843F7" w:rsidRPr="00D20A13" w:rsidRDefault="006843F7" w:rsidP="006843F7">
      <w:pPr>
        <w:jc w:val="right"/>
        <w:rPr>
          <w:sz w:val="28"/>
          <w:szCs w:val="28"/>
        </w:rPr>
      </w:pPr>
      <w:bookmarkStart w:id="0" w:name="_GoBack"/>
      <w:bookmarkEnd w:id="0"/>
      <w:r w:rsidRPr="00D20A13">
        <w:rPr>
          <w:sz w:val="28"/>
          <w:szCs w:val="28"/>
        </w:rPr>
        <w:t>5.pielikums</w:t>
      </w:r>
    </w:p>
    <w:p w14:paraId="67314A27" w14:textId="77777777" w:rsidR="006843F7" w:rsidRPr="00D20A13" w:rsidRDefault="006843F7" w:rsidP="006843F7">
      <w:pPr>
        <w:jc w:val="right"/>
        <w:rPr>
          <w:sz w:val="28"/>
          <w:szCs w:val="28"/>
        </w:rPr>
      </w:pPr>
      <w:r w:rsidRPr="00D20A13">
        <w:rPr>
          <w:sz w:val="28"/>
          <w:szCs w:val="28"/>
        </w:rPr>
        <w:t>Ministru kabineta</w:t>
      </w:r>
    </w:p>
    <w:p w14:paraId="68F69AAC" w14:textId="77777777" w:rsidR="006843F7" w:rsidRPr="00D20A13" w:rsidRDefault="006843F7" w:rsidP="006843F7">
      <w:pPr>
        <w:jc w:val="right"/>
        <w:rPr>
          <w:sz w:val="28"/>
          <w:szCs w:val="28"/>
        </w:rPr>
      </w:pPr>
      <w:r w:rsidRPr="00D20A13">
        <w:rPr>
          <w:sz w:val="28"/>
          <w:szCs w:val="28"/>
        </w:rPr>
        <w:t>201</w:t>
      </w:r>
      <w:r w:rsidR="00F02460">
        <w:rPr>
          <w:sz w:val="28"/>
          <w:szCs w:val="28"/>
        </w:rPr>
        <w:t>5</w:t>
      </w:r>
      <w:r w:rsidRPr="00D20A13">
        <w:rPr>
          <w:sz w:val="28"/>
          <w:szCs w:val="28"/>
        </w:rPr>
        <w:t>.gada ___._________</w:t>
      </w:r>
    </w:p>
    <w:p w14:paraId="5798B6E3" w14:textId="77777777" w:rsidR="006843F7" w:rsidRPr="00D20A13" w:rsidRDefault="006843F7" w:rsidP="006843F7">
      <w:pPr>
        <w:jc w:val="right"/>
        <w:rPr>
          <w:sz w:val="28"/>
          <w:szCs w:val="28"/>
        </w:rPr>
      </w:pPr>
      <w:r w:rsidRPr="00D20A13">
        <w:rPr>
          <w:sz w:val="28"/>
          <w:szCs w:val="28"/>
        </w:rPr>
        <w:t>noteikumiem Nr.___</w:t>
      </w:r>
    </w:p>
    <w:p w14:paraId="18AD0CB7" w14:textId="77777777" w:rsidR="006843F7" w:rsidRPr="00D20A13" w:rsidRDefault="006843F7" w:rsidP="006843F7">
      <w:pPr>
        <w:rPr>
          <w:sz w:val="28"/>
          <w:szCs w:val="28"/>
        </w:rPr>
      </w:pPr>
    </w:p>
    <w:p w14:paraId="41CD91B0" w14:textId="77777777" w:rsidR="006843F7" w:rsidRPr="00D5160A" w:rsidRDefault="006843F7" w:rsidP="006843F7">
      <w:pPr>
        <w:jc w:val="center"/>
        <w:rPr>
          <w:b/>
          <w:bCs/>
          <w:sz w:val="28"/>
          <w:szCs w:val="28"/>
        </w:rPr>
      </w:pPr>
      <w:bookmarkStart w:id="1" w:name="151690"/>
      <w:r w:rsidRPr="00D5160A">
        <w:rPr>
          <w:b/>
          <w:bCs/>
          <w:sz w:val="28"/>
          <w:szCs w:val="28"/>
        </w:rPr>
        <w:t>Ostas aizsardzības novērtējuma elementi</w:t>
      </w:r>
      <w:bookmarkEnd w:id="1"/>
    </w:p>
    <w:p w14:paraId="065AD22D" w14:textId="77777777" w:rsidR="006843F7" w:rsidRPr="00046539" w:rsidRDefault="006843F7" w:rsidP="006843F7">
      <w:pPr>
        <w:jc w:val="center"/>
        <w:rPr>
          <w:b/>
          <w:bCs/>
        </w:rPr>
      </w:pPr>
    </w:p>
    <w:p w14:paraId="653DB587" w14:textId="77777777" w:rsidR="006843F7" w:rsidRPr="00D20A13" w:rsidRDefault="006843F7" w:rsidP="000C6584">
      <w:pPr>
        <w:pStyle w:val="NoSpacing"/>
        <w:numPr>
          <w:ilvl w:val="0"/>
          <w:numId w:val="1"/>
        </w:numPr>
        <w:ind w:left="284" w:hanging="284"/>
        <w:jc w:val="both"/>
        <w:rPr>
          <w:sz w:val="28"/>
          <w:szCs w:val="28"/>
        </w:rPr>
      </w:pPr>
      <w:r w:rsidRPr="00D20A13">
        <w:rPr>
          <w:sz w:val="28"/>
          <w:szCs w:val="28"/>
        </w:rPr>
        <w:t>Ostas aizsardzības novērtējumā:</w:t>
      </w:r>
    </w:p>
    <w:p w14:paraId="0B69EA31" w14:textId="77777777" w:rsidR="00D23268" w:rsidRDefault="006843F7" w:rsidP="000C6584">
      <w:pPr>
        <w:pStyle w:val="NoSpacing"/>
        <w:jc w:val="both"/>
        <w:rPr>
          <w:sz w:val="28"/>
          <w:szCs w:val="28"/>
        </w:rPr>
      </w:pPr>
      <w:r w:rsidRPr="00D20A13">
        <w:rPr>
          <w:sz w:val="28"/>
          <w:szCs w:val="28"/>
        </w:rPr>
        <w:t xml:space="preserve">1.1. identificē un novērtē nozīmīgas ostas vērtības un infrastruktūru, ko nepieciešams aizsargāt; </w:t>
      </w:r>
    </w:p>
    <w:p w14:paraId="794A0DB9" w14:textId="77777777" w:rsidR="00D23268" w:rsidRDefault="006843F7" w:rsidP="000C6584">
      <w:pPr>
        <w:pStyle w:val="NoSpacing"/>
        <w:jc w:val="both"/>
        <w:rPr>
          <w:sz w:val="28"/>
          <w:szCs w:val="28"/>
        </w:rPr>
      </w:pPr>
      <w:r w:rsidRPr="00D20A13">
        <w:rPr>
          <w:sz w:val="28"/>
          <w:szCs w:val="28"/>
        </w:rPr>
        <w:t>1.2. identificē iespējamos draudus ostas vērtībām un infrastruktūrai un šo draudu rašanās iespējamību, lai noteiktu atbilstošus aizsardzības pasākumus un to prioritāro secību;</w:t>
      </w:r>
    </w:p>
    <w:p w14:paraId="28FD6DB1" w14:textId="77777777" w:rsidR="00D23268" w:rsidRDefault="006843F7" w:rsidP="000C6584">
      <w:pPr>
        <w:pStyle w:val="NoSpacing"/>
        <w:jc w:val="both"/>
        <w:rPr>
          <w:sz w:val="28"/>
          <w:szCs w:val="28"/>
        </w:rPr>
      </w:pPr>
      <w:r w:rsidRPr="00D20A13">
        <w:rPr>
          <w:sz w:val="28"/>
          <w:szCs w:val="28"/>
        </w:rPr>
        <w:t xml:space="preserve">1.3. izvērtē iespējamo pretpasākumu un organizatorisko izmaiņu efektivitātes līmeni, lai varētu samazināt nepilnības, kas pazemina ostas drošību, un nosaka atbilstošus pretpasākumus un organizatoriskās izmaiņas, kas jāveic ostā, kā arī nosaka to prioritāro secību; </w:t>
      </w:r>
    </w:p>
    <w:p w14:paraId="1D65DFF7" w14:textId="77777777" w:rsidR="00D23268" w:rsidRDefault="006843F7" w:rsidP="000C6584">
      <w:pPr>
        <w:pStyle w:val="NoSpacing"/>
        <w:jc w:val="both"/>
        <w:rPr>
          <w:sz w:val="28"/>
          <w:szCs w:val="28"/>
        </w:rPr>
      </w:pPr>
      <w:r w:rsidRPr="00D20A13">
        <w:rPr>
          <w:sz w:val="28"/>
          <w:szCs w:val="28"/>
        </w:rPr>
        <w:t>1.4. identificē infrastruktūras, pārvaldes un ostā veicamo procedūru trūkumus, ieskaitot arī cilvēkfaktoru, kas var apdraudēt ostas aizsargātību.</w:t>
      </w:r>
    </w:p>
    <w:p w14:paraId="684DD734" w14:textId="77777777" w:rsidR="00D23268" w:rsidRDefault="006843F7" w:rsidP="000C6584">
      <w:pPr>
        <w:pStyle w:val="NoSpacing"/>
        <w:jc w:val="both"/>
        <w:rPr>
          <w:sz w:val="28"/>
          <w:szCs w:val="28"/>
        </w:rPr>
      </w:pPr>
      <w:r w:rsidRPr="00D20A13">
        <w:rPr>
          <w:sz w:val="28"/>
          <w:szCs w:val="28"/>
        </w:rPr>
        <w:br/>
        <w:t>2. Lai izpildītu šī pielikuma 1.punktā noteiktās vispārējās prasības, ostas aizsardzības novērtējumā:</w:t>
      </w:r>
    </w:p>
    <w:p w14:paraId="0D45C2E1" w14:textId="19AD789B" w:rsidR="00D23268" w:rsidRDefault="006843F7" w:rsidP="000C6584">
      <w:pPr>
        <w:pStyle w:val="NoSpacing"/>
        <w:jc w:val="both"/>
        <w:rPr>
          <w:sz w:val="28"/>
          <w:szCs w:val="28"/>
        </w:rPr>
      </w:pPr>
      <w:r w:rsidRPr="00D20A13">
        <w:rPr>
          <w:sz w:val="28"/>
          <w:szCs w:val="28"/>
        </w:rPr>
        <w:t xml:space="preserve">2.1. identificē visas teritorijas, kuras ir nozīmīgas ostas aizsardzības nodrošināšanai, arī nosakot tās teritorijas robežas, kurā nepieciešams piemērot aizsardzības prasības (aizsargājamā teritorija). Aizsargājamā teritorijā: </w:t>
      </w:r>
      <w:r w:rsidRPr="00D20A13">
        <w:rPr>
          <w:sz w:val="28"/>
          <w:szCs w:val="28"/>
        </w:rPr>
        <w:br/>
        <w:t xml:space="preserve">2.1.1. var iekļaut jebkuru ostas teritoriju, kas ir nozīmīga ostas aizsardzības nodrošināšanai; </w:t>
      </w:r>
      <w:r w:rsidRPr="00D20A13">
        <w:rPr>
          <w:sz w:val="28"/>
          <w:szCs w:val="28"/>
        </w:rPr>
        <w:br/>
        <w:t xml:space="preserve">2.1.2. obligāti iekļauj ostā esošās ostas iekārtas un tām blakus esošās teritorijas, kuras ir pakļautas aizsardzības prasībām saskaņā ar Ministru kabineta </w:t>
      </w:r>
      <w:r w:rsidR="00D94DE8">
        <w:rPr>
          <w:sz w:val="28"/>
          <w:szCs w:val="28"/>
        </w:rPr>
        <w:t>_____</w:t>
      </w:r>
      <w:r w:rsidR="000C6584" w:rsidRPr="00D20A13">
        <w:rPr>
          <w:sz w:val="28"/>
          <w:szCs w:val="28"/>
        </w:rPr>
        <w:t xml:space="preserve">gada </w:t>
      </w:r>
      <w:r w:rsidR="006835C8">
        <w:rPr>
          <w:sz w:val="28"/>
          <w:szCs w:val="28"/>
        </w:rPr>
        <w:t>____________</w:t>
      </w:r>
      <w:r w:rsidR="000C6584" w:rsidRPr="00D20A13">
        <w:rPr>
          <w:sz w:val="28"/>
          <w:szCs w:val="28"/>
        </w:rPr>
        <w:t>noteikumiem Nr.</w:t>
      </w:r>
      <w:r w:rsidRPr="00D20A13">
        <w:rPr>
          <w:sz w:val="28"/>
          <w:szCs w:val="28"/>
        </w:rPr>
        <w:t xml:space="preserve">___ (par pamatu šo teritoriju novērtēšanai izmanto saskaņā ar </w:t>
      </w:r>
      <w:r w:rsidR="000C6584" w:rsidRPr="00D20A13">
        <w:rPr>
          <w:sz w:val="28"/>
          <w:szCs w:val="28"/>
        </w:rPr>
        <w:t>3.2.apakš</w:t>
      </w:r>
      <w:r w:rsidRPr="00D20A13">
        <w:rPr>
          <w:sz w:val="28"/>
          <w:szCs w:val="28"/>
        </w:rPr>
        <w:t>nodaļu veiktos ostas iekārtu novērtējumus, ja konkrētajām teritorijām tādi ir veikti);</w:t>
      </w:r>
    </w:p>
    <w:p w14:paraId="4851F52C" w14:textId="2F93D510" w:rsidR="00D23268" w:rsidRDefault="006843F7" w:rsidP="000C6584">
      <w:pPr>
        <w:pStyle w:val="NoSpacing"/>
        <w:jc w:val="both"/>
        <w:rPr>
          <w:sz w:val="28"/>
          <w:szCs w:val="28"/>
        </w:rPr>
      </w:pPr>
      <w:r w:rsidRPr="00D20A13">
        <w:rPr>
          <w:sz w:val="28"/>
          <w:szCs w:val="28"/>
        </w:rPr>
        <w:t xml:space="preserve">2.1.3. var iekļaut ostai blakus esošās teritorijas saskaņā ar Ministru kabineta </w:t>
      </w:r>
      <w:r w:rsidR="00D94DE8">
        <w:rPr>
          <w:sz w:val="28"/>
          <w:szCs w:val="28"/>
        </w:rPr>
        <w:t>______</w:t>
      </w:r>
      <w:r w:rsidRPr="00D20A13">
        <w:rPr>
          <w:sz w:val="28"/>
          <w:szCs w:val="28"/>
        </w:rPr>
        <w:t>gada</w:t>
      </w:r>
      <w:r w:rsidR="000C6584" w:rsidRPr="00D20A13">
        <w:rPr>
          <w:sz w:val="28"/>
          <w:szCs w:val="28"/>
        </w:rPr>
        <w:t xml:space="preserve"> </w:t>
      </w:r>
      <w:r w:rsidR="006835C8">
        <w:rPr>
          <w:sz w:val="28"/>
          <w:szCs w:val="28"/>
        </w:rPr>
        <w:t>______________</w:t>
      </w:r>
      <w:r w:rsidR="000C6584" w:rsidRPr="00D20A13">
        <w:rPr>
          <w:sz w:val="28"/>
          <w:szCs w:val="28"/>
        </w:rPr>
        <w:t>noteikumiem Nr..___</w:t>
      </w:r>
      <w:r w:rsidRPr="00D20A13">
        <w:rPr>
          <w:sz w:val="28"/>
          <w:szCs w:val="28"/>
        </w:rPr>
        <w:t xml:space="preserve">; </w:t>
      </w:r>
    </w:p>
    <w:p w14:paraId="0B37851C" w14:textId="77777777" w:rsidR="00D23268" w:rsidRDefault="006843F7" w:rsidP="000C6584">
      <w:pPr>
        <w:pStyle w:val="NoSpacing"/>
        <w:jc w:val="both"/>
        <w:rPr>
          <w:sz w:val="28"/>
          <w:szCs w:val="28"/>
        </w:rPr>
      </w:pPr>
      <w:r w:rsidRPr="00D20A13">
        <w:rPr>
          <w:sz w:val="28"/>
          <w:szCs w:val="28"/>
        </w:rPr>
        <w:t xml:space="preserve">2.2. identificē ostas aizsardzībai nozīmīgos jautājumus, kas saistīti ar ostā esošo ostas iekārtu aizsardzības pasākumu un citu ostas aizsardzības pasākumu mijiedarbību; </w:t>
      </w:r>
      <w:r w:rsidRPr="00D20A13">
        <w:rPr>
          <w:sz w:val="28"/>
          <w:szCs w:val="28"/>
        </w:rPr>
        <w:br/>
        <w:t xml:space="preserve">2.3. identificē tos ostas darbiniekus, kas darbojas augsta riska zonās un kuriem nepieciešamas: </w:t>
      </w:r>
      <w:r w:rsidRPr="00D20A13">
        <w:rPr>
          <w:sz w:val="28"/>
          <w:szCs w:val="28"/>
        </w:rPr>
        <w:br/>
        <w:t xml:space="preserve">2.3.1. kvalifikācijas pārbaudes; </w:t>
      </w:r>
    </w:p>
    <w:p w14:paraId="6BFA3AC4" w14:textId="77777777" w:rsidR="00D23268" w:rsidRDefault="006843F7" w:rsidP="000C6584">
      <w:pPr>
        <w:pStyle w:val="NoSpacing"/>
        <w:jc w:val="both"/>
        <w:rPr>
          <w:sz w:val="28"/>
          <w:szCs w:val="28"/>
        </w:rPr>
      </w:pPr>
      <w:r w:rsidRPr="00D20A13">
        <w:rPr>
          <w:sz w:val="28"/>
          <w:szCs w:val="28"/>
        </w:rPr>
        <w:t xml:space="preserve">2.3.2. padziļinātas aizsardzības zināšanu pārbaudes; </w:t>
      </w:r>
    </w:p>
    <w:p w14:paraId="79AD68DC" w14:textId="77777777" w:rsidR="00D23268" w:rsidRDefault="006843F7" w:rsidP="000C6584">
      <w:pPr>
        <w:pStyle w:val="NoSpacing"/>
        <w:jc w:val="both"/>
        <w:rPr>
          <w:sz w:val="28"/>
          <w:szCs w:val="28"/>
        </w:rPr>
      </w:pPr>
      <w:r w:rsidRPr="00D20A13">
        <w:rPr>
          <w:sz w:val="28"/>
          <w:szCs w:val="28"/>
        </w:rPr>
        <w:t xml:space="preserve">2.4. ja nepieciešams, sadala aizsargājamo teritoriju zonās atkarībā no aizsardzības incidentu riska līmeņa (zonas vērtē, ievērojot ne tikai to </w:t>
      </w:r>
      <w:r w:rsidRPr="00D20A13">
        <w:rPr>
          <w:sz w:val="28"/>
          <w:szCs w:val="28"/>
        </w:rPr>
        <w:lastRenderedPageBreak/>
        <w:t>iespējamību kļūt par tiešo apdraudējuma mērķi, bet arī ievērojot iespējamo šīs zonas apdraudējumu, ja par apdraudējuma mērķi kļūst blakus esošās zonas);</w:t>
      </w:r>
    </w:p>
    <w:p w14:paraId="0C9CC346" w14:textId="77777777" w:rsidR="00D23268" w:rsidRPr="00D23268" w:rsidRDefault="006843F7" w:rsidP="000C6584">
      <w:pPr>
        <w:pStyle w:val="NoSpacing"/>
        <w:jc w:val="both"/>
        <w:rPr>
          <w:sz w:val="28"/>
          <w:szCs w:val="28"/>
        </w:rPr>
      </w:pPr>
      <w:r w:rsidRPr="00D20A13">
        <w:rPr>
          <w:sz w:val="28"/>
          <w:szCs w:val="28"/>
        </w:rPr>
        <w:t xml:space="preserve">2.5. identificē aizsargājamās teritorijas apdraudējuma riska variācijas (piemēram, </w:t>
      </w:r>
      <w:r w:rsidRPr="00D23268">
        <w:rPr>
          <w:sz w:val="28"/>
          <w:szCs w:val="28"/>
        </w:rPr>
        <w:t xml:space="preserve">sezonāla rakstura risks); </w:t>
      </w:r>
    </w:p>
    <w:p w14:paraId="74FC17F0" w14:textId="77777777" w:rsidR="00D23268" w:rsidRDefault="006843F7" w:rsidP="000C6584">
      <w:pPr>
        <w:pStyle w:val="NoSpacing"/>
        <w:jc w:val="both"/>
        <w:rPr>
          <w:sz w:val="28"/>
          <w:szCs w:val="28"/>
        </w:rPr>
      </w:pPr>
      <w:r w:rsidRPr="00D20A13">
        <w:rPr>
          <w:sz w:val="28"/>
          <w:szCs w:val="28"/>
        </w:rPr>
        <w:t xml:space="preserve">2.6. identificē aizsargājamās teritorijas katras zonas īpašās iezīmes, kuras ir būtiskas ostas aizsardzībai (piemēram, atrašanās vieta, piekļūšanas vietas, elektroapgāde, sakaru sistēma, īpašumtiesības, lietotāji); </w:t>
      </w:r>
    </w:p>
    <w:p w14:paraId="062F4548" w14:textId="77777777" w:rsidR="00D23268" w:rsidRDefault="006843F7" w:rsidP="000C6584">
      <w:pPr>
        <w:pStyle w:val="NoSpacing"/>
        <w:jc w:val="both"/>
        <w:rPr>
          <w:sz w:val="28"/>
          <w:szCs w:val="28"/>
        </w:rPr>
      </w:pPr>
      <w:r w:rsidRPr="00D20A13">
        <w:rPr>
          <w:sz w:val="28"/>
          <w:szCs w:val="28"/>
        </w:rPr>
        <w:t xml:space="preserve">2.7. identificē iespējamos draudu scenārijus ostai, ņemot vērā, ka noteiktu draudu tiešs mērķis var būt visa osta vai konkrētas tās infrastruktūras daļas, krava, bagāža, cilvēki vai transports ostā; </w:t>
      </w:r>
    </w:p>
    <w:p w14:paraId="5E818EA1" w14:textId="77777777" w:rsidR="00D23268" w:rsidRDefault="006843F7" w:rsidP="000C6584">
      <w:pPr>
        <w:pStyle w:val="NoSpacing"/>
        <w:jc w:val="both"/>
        <w:rPr>
          <w:sz w:val="28"/>
          <w:szCs w:val="28"/>
        </w:rPr>
      </w:pPr>
      <w:r w:rsidRPr="00D20A13">
        <w:rPr>
          <w:sz w:val="28"/>
          <w:szCs w:val="28"/>
        </w:rPr>
        <w:t xml:space="preserve">2.8. identificē katra iespējamā ostas draudu scenārija specifiskās sekas: </w:t>
      </w:r>
    </w:p>
    <w:p w14:paraId="2B49AE86" w14:textId="77777777" w:rsidR="00D23268" w:rsidRDefault="006843F7" w:rsidP="000C6584">
      <w:pPr>
        <w:pStyle w:val="NoSpacing"/>
        <w:jc w:val="both"/>
        <w:rPr>
          <w:sz w:val="28"/>
          <w:szCs w:val="28"/>
        </w:rPr>
      </w:pPr>
      <w:r w:rsidRPr="00D20A13">
        <w:rPr>
          <w:sz w:val="28"/>
          <w:szCs w:val="28"/>
        </w:rPr>
        <w:t xml:space="preserve">2.8.1. ņemot vērā, ka sekas var būt gan tiešas, gan netiešas; </w:t>
      </w:r>
    </w:p>
    <w:p w14:paraId="44B92412" w14:textId="77777777" w:rsidR="00D23268" w:rsidRDefault="006843F7" w:rsidP="000C6584">
      <w:pPr>
        <w:pStyle w:val="NoSpacing"/>
        <w:jc w:val="both"/>
        <w:rPr>
          <w:sz w:val="28"/>
          <w:szCs w:val="28"/>
        </w:rPr>
      </w:pPr>
      <w:r w:rsidRPr="00D20A13">
        <w:rPr>
          <w:sz w:val="28"/>
          <w:szCs w:val="28"/>
        </w:rPr>
        <w:t xml:space="preserve">2.8.2. ņemot vērā, ka sekas var ietekmēt gan vienu, gan vairākas aizsargājamās teritorijas zonas; </w:t>
      </w:r>
    </w:p>
    <w:p w14:paraId="0DA994C5" w14:textId="77777777" w:rsidR="00D23268" w:rsidRDefault="006843F7" w:rsidP="000C6584">
      <w:pPr>
        <w:pStyle w:val="NoSpacing"/>
        <w:jc w:val="both"/>
        <w:rPr>
          <w:sz w:val="28"/>
          <w:szCs w:val="28"/>
        </w:rPr>
      </w:pPr>
      <w:r w:rsidRPr="00D20A13">
        <w:rPr>
          <w:sz w:val="28"/>
          <w:szCs w:val="28"/>
        </w:rPr>
        <w:t xml:space="preserve">2.8.3. īpašu uzmanību pievēršot cilvēku upuru riskam; </w:t>
      </w:r>
    </w:p>
    <w:p w14:paraId="3DBCEEF5" w14:textId="77777777" w:rsidR="00D23268" w:rsidRDefault="006843F7" w:rsidP="000C6584">
      <w:pPr>
        <w:pStyle w:val="NoSpacing"/>
        <w:jc w:val="both"/>
        <w:rPr>
          <w:sz w:val="28"/>
          <w:szCs w:val="28"/>
        </w:rPr>
      </w:pPr>
      <w:r w:rsidRPr="00D20A13">
        <w:rPr>
          <w:sz w:val="28"/>
          <w:szCs w:val="28"/>
        </w:rPr>
        <w:t xml:space="preserve">2.9. identificē aizsardzības incidentu ķēdes iedarbības iespējamības; </w:t>
      </w:r>
    </w:p>
    <w:p w14:paraId="1427F8FC" w14:textId="77777777" w:rsidR="00D23268" w:rsidRDefault="006843F7" w:rsidP="000C6584">
      <w:pPr>
        <w:pStyle w:val="NoSpacing"/>
        <w:jc w:val="both"/>
        <w:rPr>
          <w:sz w:val="28"/>
          <w:szCs w:val="28"/>
        </w:rPr>
      </w:pPr>
      <w:r w:rsidRPr="00D20A13">
        <w:rPr>
          <w:sz w:val="28"/>
          <w:szCs w:val="28"/>
        </w:rPr>
        <w:t xml:space="preserve">2.10. identificē aizsargājamās teritorijas katras zonas nepilnības, kas pazemina to drošību; </w:t>
      </w:r>
      <w:r w:rsidRPr="00D20A13">
        <w:rPr>
          <w:sz w:val="28"/>
          <w:szCs w:val="28"/>
        </w:rPr>
        <w:br/>
        <w:t xml:space="preserve">2.11. identificē visus organizatoriskos aspektus, kas ir nozīmīgi vispārējai ostas aizsardzībai, ieskaitot visas ar aizsardzību saistītās iestādes, noteikumus un procedūras; </w:t>
      </w:r>
      <w:r w:rsidRPr="00D20A13">
        <w:rPr>
          <w:sz w:val="28"/>
          <w:szCs w:val="28"/>
        </w:rPr>
        <w:br/>
        <w:t>2.12. identificē ostas aizsardzības ievainojamību saistībā ar organizato</w:t>
      </w:r>
      <w:r w:rsidRPr="00D20A13">
        <w:rPr>
          <w:sz w:val="28"/>
          <w:szCs w:val="28"/>
        </w:rPr>
        <w:softHyphen/>
        <w:t xml:space="preserve">riskiem, </w:t>
      </w:r>
    </w:p>
    <w:p w14:paraId="5C879611" w14:textId="77777777" w:rsidR="00D23268" w:rsidRDefault="006843F7" w:rsidP="000C6584">
      <w:pPr>
        <w:pStyle w:val="NoSpacing"/>
        <w:jc w:val="both"/>
        <w:rPr>
          <w:sz w:val="28"/>
          <w:szCs w:val="28"/>
        </w:rPr>
      </w:pPr>
      <w:r w:rsidRPr="00D20A13">
        <w:rPr>
          <w:sz w:val="28"/>
          <w:szCs w:val="28"/>
        </w:rPr>
        <w:t>normatīviem un procedūras aspektiem;</w:t>
      </w:r>
    </w:p>
    <w:p w14:paraId="5894DEB2" w14:textId="77777777" w:rsidR="00D23268" w:rsidRDefault="006843F7" w:rsidP="000C6584">
      <w:pPr>
        <w:pStyle w:val="NoSpacing"/>
        <w:jc w:val="both"/>
        <w:rPr>
          <w:sz w:val="28"/>
          <w:szCs w:val="28"/>
        </w:rPr>
      </w:pPr>
      <w:r w:rsidRPr="00D20A13">
        <w:rPr>
          <w:sz w:val="28"/>
          <w:szCs w:val="28"/>
        </w:rPr>
        <w:t>2.13. identificē aizsardzības pasākumus, lai samazinātu nepilnības, kas pazemina ostas drošību:</w:t>
      </w:r>
    </w:p>
    <w:p w14:paraId="6230284E" w14:textId="77777777" w:rsidR="00D23268" w:rsidRDefault="006843F7" w:rsidP="000C6584">
      <w:pPr>
        <w:pStyle w:val="NoSpacing"/>
        <w:jc w:val="both"/>
        <w:rPr>
          <w:sz w:val="28"/>
          <w:szCs w:val="28"/>
        </w:rPr>
      </w:pPr>
      <w:r w:rsidRPr="00D20A13">
        <w:rPr>
          <w:sz w:val="28"/>
          <w:szCs w:val="28"/>
        </w:rPr>
        <w:t xml:space="preserve">2.13.1. ņem vērā konstatētās aizsardzības incidentu riska līmeņa atšķirības dažādās aizsargājamās teritorijas zonās; </w:t>
      </w:r>
    </w:p>
    <w:p w14:paraId="6C8729C6" w14:textId="77777777" w:rsidR="00D23268" w:rsidRDefault="006843F7" w:rsidP="000C6584">
      <w:pPr>
        <w:pStyle w:val="NoSpacing"/>
        <w:jc w:val="both"/>
        <w:rPr>
          <w:sz w:val="28"/>
          <w:szCs w:val="28"/>
        </w:rPr>
      </w:pPr>
      <w:r w:rsidRPr="00D20A13">
        <w:rPr>
          <w:sz w:val="28"/>
          <w:szCs w:val="28"/>
        </w:rPr>
        <w:t xml:space="preserve">2.13.2. īpašu uzmanību pievērš pasākumiem, kas nepieciešami, lai nodrošinātu piekļūšanas kontroli vai piekļūšanas aizliegumu visai ostai vai noteiktai ostas daļai, tai skaitā: </w:t>
      </w:r>
    </w:p>
    <w:p w14:paraId="185A9149" w14:textId="77777777" w:rsidR="00D23268" w:rsidRDefault="006843F7" w:rsidP="000C6584">
      <w:pPr>
        <w:pStyle w:val="NoSpacing"/>
        <w:jc w:val="both"/>
        <w:rPr>
          <w:sz w:val="28"/>
          <w:szCs w:val="28"/>
        </w:rPr>
      </w:pPr>
      <w:r w:rsidRPr="00D20A13">
        <w:rPr>
          <w:sz w:val="28"/>
          <w:szCs w:val="28"/>
        </w:rPr>
        <w:t>2.13.2.1. pasažieru, ostas darbinieku un citu strādnieku, ostas apmeklētāju un kuģu apkalpes locekļu identifikācijai;</w:t>
      </w:r>
    </w:p>
    <w:p w14:paraId="658456D6" w14:textId="77777777" w:rsidR="00D23268" w:rsidRDefault="006843F7" w:rsidP="000C6584">
      <w:pPr>
        <w:pStyle w:val="NoSpacing"/>
        <w:jc w:val="both"/>
        <w:rPr>
          <w:sz w:val="28"/>
          <w:szCs w:val="28"/>
        </w:rPr>
      </w:pPr>
      <w:r w:rsidRPr="00D20A13">
        <w:rPr>
          <w:sz w:val="28"/>
          <w:szCs w:val="28"/>
        </w:rPr>
        <w:t xml:space="preserve">2.13.2.2. teritorijas un darbību novērošanai; </w:t>
      </w:r>
    </w:p>
    <w:p w14:paraId="21044E39" w14:textId="77777777" w:rsidR="00D23268" w:rsidRDefault="006843F7" w:rsidP="000C6584">
      <w:pPr>
        <w:pStyle w:val="NoSpacing"/>
        <w:jc w:val="both"/>
        <w:rPr>
          <w:sz w:val="28"/>
          <w:szCs w:val="28"/>
        </w:rPr>
      </w:pPr>
      <w:r w:rsidRPr="00D20A13">
        <w:rPr>
          <w:sz w:val="28"/>
          <w:szCs w:val="28"/>
        </w:rPr>
        <w:t xml:space="preserve">2.13.2.3. kravu un bagāžas kontrolei; </w:t>
      </w:r>
    </w:p>
    <w:p w14:paraId="3D39AB90" w14:textId="77777777" w:rsidR="00D23268" w:rsidRDefault="006843F7" w:rsidP="000C6584">
      <w:pPr>
        <w:pStyle w:val="NoSpacing"/>
        <w:jc w:val="both"/>
        <w:rPr>
          <w:sz w:val="28"/>
          <w:szCs w:val="28"/>
        </w:rPr>
      </w:pPr>
      <w:r w:rsidRPr="00D20A13">
        <w:rPr>
          <w:sz w:val="28"/>
          <w:szCs w:val="28"/>
        </w:rPr>
        <w:t xml:space="preserve">2.14. nosaka, kā jāpastiprina aizsardzības pasākumi, ja paaugstinās aizsardzības līmenis; </w:t>
      </w:r>
      <w:r w:rsidRPr="00D20A13">
        <w:rPr>
          <w:sz w:val="28"/>
          <w:szCs w:val="28"/>
        </w:rPr>
        <w:br/>
        <w:t xml:space="preserve">2.15. nosaka, kā rīkoties situācijās, kad konstatēts objekts, kas rada aizdomas par apdraudējumu (piemēram, krava, bagāža, konteiners, krājumi vai personas, kas rada aizdomas par apdraudējumu; nezināmi sūtījumi; zināmas briesmas (piemēram, </w:t>
      </w:r>
      <w:r w:rsidR="00D80555" w:rsidRPr="00D94DE8">
        <w:rPr>
          <w:sz w:val="28"/>
          <w:szCs w:val="28"/>
        </w:rPr>
        <w:t>spridzināšanas ietaises</w:t>
      </w:r>
      <w:r w:rsidRPr="00D20A13">
        <w:rPr>
          <w:sz w:val="28"/>
          <w:szCs w:val="28"/>
        </w:rPr>
        <w:t xml:space="preserve">)), analizēt nosacījumus, kuriem pastāvot: </w:t>
      </w:r>
      <w:r w:rsidRPr="00D20A13">
        <w:rPr>
          <w:sz w:val="28"/>
          <w:szCs w:val="28"/>
        </w:rPr>
        <w:br/>
        <w:t xml:space="preserve">2.15.1. risks ir jānovērš vietā, kur attiecīgais objekts konstatēts; </w:t>
      </w:r>
      <w:r w:rsidRPr="00D20A13">
        <w:rPr>
          <w:sz w:val="28"/>
          <w:szCs w:val="28"/>
        </w:rPr>
        <w:br/>
        <w:t xml:space="preserve">2.15.2. risks ir jānovērš pēc attiecīgā objekta pārvietošanas drošā vietā; </w:t>
      </w:r>
      <w:r w:rsidRPr="00D20A13">
        <w:rPr>
          <w:sz w:val="28"/>
          <w:szCs w:val="28"/>
        </w:rPr>
        <w:br/>
        <w:t xml:space="preserve">2.16. nosaka aizsardzības pasākumus, lai ierobežotu un samazinātu aizsardzības incidenta radītās sekas; </w:t>
      </w:r>
    </w:p>
    <w:p w14:paraId="68777865" w14:textId="77777777" w:rsidR="00D23268" w:rsidRDefault="006843F7" w:rsidP="000C6584">
      <w:pPr>
        <w:pStyle w:val="NoSpacing"/>
        <w:jc w:val="both"/>
        <w:rPr>
          <w:sz w:val="28"/>
          <w:szCs w:val="28"/>
        </w:rPr>
      </w:pPr>
      <w:r w:rsidRPr="00D20A13">
        <w:rPr>
          <w:sz w:val="28"/>
          <w:szCs w:val="28"/>
        </w:rPr>
        <w:lastRenderedPageBreak/>
        <w:t xml:space="preserve">2.17. nosaka aizsardzības uzdevumu sadalījumu, kas ļauj konkrētajai situācijai atbilstoši un saskaņā ar aizsardzības prasībām ieviest nepieciešamos aizsardzības pasākumus; </w:t>
      </w:r>
      <w:r w:rsidRPr="00D20A13">
        <w:rPr>
          <w:sz w:val="28"/>
          <w:szCs w:val="28"/>
        </w:rPr>
        <w:br/>
        <w:t xml:space="preserve">2.18. ja nepieciešams, pievērš īpašu uzmanību mijiedarbībai ar citiem aizsardzības plāniem (piemēram, ostas iekārtu aizsardzības plāniem) un citiem jau esošiem aizsardzības pasākumiem, kā arī mijiedarbībai ar citiem rīcības plāniem (piemēram, rīcības plāns naftas noplūdes gadījumā, ostas ārkārtas situāciju rīcības plāns, medicīniskas iejaukšanās plāns, plāns kodolkatastrofas gadījumā); </w:t>
      </w:r>
      <w:r w:rsidRPr="00D20A13">
        <w:rPr>
          <w:sz w:val="28"/>
          <w:szCs w:val="28"/>
        </w:rPr>
        <w:br/>
        <w:t xml:space="preserve">2.19. nosaka nepieciešamās prasības sakariem, lai īstenotu aizsardzības pasākumus; </w:t>
      </w:r>
      <w:r w:rsidRPr="00D20A13">
        <w:rPr>
          <w:sz w:val="28"/>
          <w:szCs w:val="28"/>
        </w:rPr>
        <w:br/>
        <w:t>2.20. nosaka pasākumus, kas nodrošina aizsardzībai nozīmīgu informāciju pret nesankcionētu izpaušanu;</w:t>
      </w:r>
    </w:p>
    <w:p w14:paraId="4A52A6AA" w14:textId="77777777" w:rsidR="006843F7" w:rsidRPr="00D20A13" w:rsidRDefault="006843F7" w:rsidP="000C6584">
      <w:pPr>
        <w:pStyle w:val="NoSpacing"/>
        <w:jc w:val="both"/>
        <w:rPr>
          <w:sz w:val="28"/>
          <w:szCs w:val="28"/>
        </w:rPr>
      </w:pPr>
      <w:r w:rsidRPr="00D20A13">
        <w:rPr>
          <w:sz w:val="28"/>
          <w:szCs w:val="28"/>
        </w:rPr>
        <w:t>2.21. nosaka informācijas pakāpi, kas nepieciešama personām, kuras ir tieši iesaistītas ostas aizsardzības sistēmas nodrošināšanā, kā arī citām personām.</w:t>
      </w:r>
    </w:p>
    <w:p w14:paraId="5FD097C8" w14:textId="77777777" w:rsidR="006843F7" w:rsidRPr="00D20A13" w:rsidRDefault="006843F7" w:rsidP="000C6584">
      <w:pPr>
        <w:jc w:val="both"/>
        <w:rPr>
          <w:sz w:val="28"/>
          <w:szCs w:val="28"/>
        </w:rPr>
      </w:pPr>
    </w:p>
    <w:p w14:paraId="605BAD32" w14:textId="77777777" w:rsidR="00D20A13" w:rsidRDefault="00D20A13" w:rsidP="000C6584">
      <w:pPr>
        <w:tabs>
          <w:tab w:val="left" w:pos="6840"/>
        </w:tabs>
        <w:ind w:firstLine="720"/>
        <w:jc w:val="both"/>
        <w:rPr>
          <w:sz w:val="28"/>
          <w:szCs w:val="28"/>
        </w:rPr>
      </w:pPr>
    </w:p>
    <w:p w14:paraId="38103354" w14:textId="77777777" w:rsidR="006843F7" w:rsidRPr="00D20A13" w:rsidRDefault="006843F7" w:rsidP="000C6584">
      <w:pPr>
        <w:tabs>
          <w:tab w:val="left" w:pos="6840"/>
        </w:tabs>
        <w:ind w:firstLine="720"/>
        <w:jc w:val="both"/>
        <w:rPr>
          <w:sz w:val="28"/>
          <w:szCs w:val="28"/>
        </w:rPr>
      </w:pPr>
      <w:r w:rsidRPr="00D20A13">
        <w:rPr>
          <w:sz w:val="28"/>
          <w:szCs w:val="28"/>
        </w:rPr>
        <w:t>Satiksmes ministrs</w:t>
      </w:r>
      <w:r w:rsidRPr="00D20A13">
        <w:rPr>
          <w:sz w:val="28"/>
          <w:szCs w:val="28"/>
        </w:rPr>
        <w:tab/>
        <w:t xml:space="preserve">     A.Matīss</w:t>
      </w:r>
    </w:p>
    <w:p w14:paraId="608DE106" w14:textId="77777777" w:rsidR="006843F7" w:rsidRPr="00D20A13" w:rsidRDefault="006843F7" w:rsidP="000C6584">
      <w:pPr>
        <w:jc w:val="both"/>
        <w:rPr>
          <w:sz w:val="28"/>
          <w:szCs w:val="28"/>
        </w:rPr>
      </w:pPr>
      <w:r w:rsidRPr="00D20A13">
        <w:rPr>
          <w:sz w:val="28"/>
          <w:szCs w:val="28"/>
        </w:rPr>
        <w:tab/>
      </w:r>
    </w:p>
    <w:p w14:paraId="3DFE9645" w14:textId="412B6333" w:rsidR="006843F7" w:rsidRPr="00D20A13" w:rsidRDefault="006843F7" w:rsidP="000C6584">
      <w:pPr>
        <w:jc w:val="both"/>
        <w:rPr>
          <w:sz w:val="28"/>
          <w:szCs w:val="28"/>
        </w:rPr>
      </w:pPr>
      <w:r w:rsidRPr="00D20A13">
        <w:rPr>
          <w:sz w:val="28"/>
          <w:szCs w:val="28"/>
        </w:rPr>
        <w:tab/>
        <w:t xml:space="preserve">Iesniedzējs: </w:t>
      </w:r>
      <w:r w:rsidRPr="00D20A13">
        <w:rPr>
          <w:sz w:val="28"/>
          <w:szCs w:val="28"/>
        </w:rPr>
        <w:tab/>
      </w:r>
      <w:r w:rsidR="00841B2E">
        <w:rPr>
          <w:sz w:val="28"/>
          <w:szCs w:val="28"/>
        </w:rPr>
        <w:t>s</w:t>
      </w:r>
      <w:r w:rsidRPr="00D20A13">
        <w:rPr>
          <w:sz w:val="28"/>
          <w:szCs w:val="28"/>
        </w:rPr>
        <w:t>atiksmes ministrs</w:t>
      </w:r>
      <w:r w:rsidRPr="00D20A13">
        <w:rPr>
          <w:sz w:val="28"/>
          <w:szCs w:val="28"/>
        </w:rPr>
        <w:tab/>
      </w:r>
      <w:r w:rsidRPr="00D20A13">
        <w:rPr>
          <w:sz w:val="28"/>
          <w:szCs w:val="28"/>
        </w:rPr>
        <w:tab/>
      </w:r>
      <w:r w:rsidRPr="00D20A13">
        <w:rPr>
          <w:sz w:val="28"/>
          <w:szCs w:val="28"/>
        </w:rPr>
        <w:tab/>
      </w:r>
      <w:r w:rsidRPr="00D20A13">
        <w:rPr>
          <w:sz w:val="28"/>
          <w:szCs w:val="28"/>
        </w:rPr>
        <w:tab/>
      </w:r>
      <w:r w:rsidRPr="00D20A13">
        <w:rPr>
          <w:sz w:val="28"/>
          <w:szCs w:val="28"/>
        </w:rPr>
        <w:tab/>
        <w:t>A.Matīss</w:t>
      </w:r>
    </w:p>
    <w:p w14:paraId="6AD7AEE7" w14:textId="77777777" w:rsidR="006843F7" w:rsidRPr="00D20A13" w:rsidRDefault="006843F7" w:rsidP="000C6584">
      <w:pPr>
        <w:jc w:val="both"/>
        <w:rPr>
          <w:sz w:val="28"/>
          <w:szCs w:val="28"/>
        </w:rPr>
      </w:pPr>
      <w:r w:rsidRPr="00D20A13">
        <w:rPr>
          <w:sz w:val="28"/>
          <w:szCs w:val="28"/>
        </w:rPr>
        <w:tab/>
      </w:r>
    </w:p>
    <w:p w14:paraId="6F5DCBF3" w14:textId="09DEC60D" w:rsidR="006843F7" w:rsidRPr="00D20A13" w:rsidRDefault="006843F7" w:rsidP="000C6584">
      <w:pPr>
        <w:jc w:val="both"/>
        <w:rPr>
          <w:sz w:val="28"/>
          <w:szCs w:val="28"/>
        </w:rPr>
      </w:pPr>
      <w:r w:rsidRPr="00D20A13">
        <w:rPr>
          <w:sz w:val="28"/>
          <w:szCs w:val="28"/>
        </w:rPr>
        <w:tab/>
        <w:t xml:space="preserve">Vīza:    </w:t>
      </w:r>
      <w:r w:rsidR="00841B2E">
        <w:rPr>
          <w:sz w:val="28"/>
          <w:szCs w:val="28"/>
        </w:rPr>
        <w:t>v</w:t>
      </w:r>
      <w:r w:rsidRPr="00D20A13">
        <w:rPr>
          <w:sz w:val="28"/>
          <w:szCs w:val="28"/>
        </w:rPr>
        <w:t xml:space="preserve">alsts sekretārs </w:t>
      </w:r>
      <w:r w:rsidRPr="00D20A13">
        <w:rPr>
          <w:sz w:val="28"/>
          <w:szCs w:val="28"/>
        </w:rPr>
        <w:tab/>
      </w:r>
      <w:r w:rsidRPr="00D20A13">
        <w:rPr>
          <w:sz w:val="28"/>
          <w:szCs w:val="28"/>
        </w:rPr>
        <w:tab/>
      </w:r>
      <w:r w:rsidRPr="00D20A13">
        <w:rPr>
          <w:sz w:val="28"/>
          <w:szCs w:val="28"/>
        </w:rPr>
        <w:tab/>
      </w:r>
      <w:r w:rsidRPr="00D20A13">
        <w:rPr>
          <w:sz w:val="28"/>
          <w:szCs w:val="28"/>
        </w:rPr>
        <w:tab/>
      </w:r>
      <w:r w:rsidRPr="00D20A13">
        <w:rPr>
          <w:sz w:val="28"/>
          <w:szCs w:val="28"/>
        </w:rPr>
        <w:tab/>
        <w:t xml:space="preserve">          K.Ozoliņš</w:t>
      </w:r>
    </w:p>
    <w:p w14:paraId="7C66292D" w14:textId="77777777" w:rsidR="006843F7" w:rsidRPr="00D20A13" w:rsidRDefault="006843F7" w:rsidP="000C6584">
      <w:pPr>
        <w:jc w:val="both"/>
        <w:rPr>
          <w:sz w:val="28"/>
          <w:szCs w:val="28"/>
        </w:rPr>
      </w:pPr>
    </w:p>
    <w:p w14:paraId="7646A5F2" w14:textId="77777777" w:rsidR="00D20A13" w:rsidRDefault="00D20A13" w:rsidP="006843F7">
      <w:pPr>
        <w:jc w:val="both"/>
        <w:rPr>
          <w:sz w:val="16"/>
          <w:szCs w:val="16"/>
        </w:rPr>
      </w:pPr>
    </w:p>
    <w:p w14:paraId="0F5925D6" w14:textId="77777777" w:rsidR="00D20A13" w:rsidRDefault="00D20A13" w:rsidP="006843F7">
      <w:pPr>
        <w:jc w:val="both"/>
        <w:rPr>
          <w:sz w:val="16"/>
          <w:szCs w:val="16"/>
        </w:rPr>
      </w:pPr>
    </w:p>
    <w:p w14:paraId="6A0D2C07" w14:textId="77777777" w:rsidR="00D20A13" w:rsidRDefault="00D20A13" w:rsidP="006843F7">
      <w:pPr>
        <w:jc w:val="both"/>
        <w:rPr>
          <w:sz w:val="16"/>
          <w:szCs w:val="16"/>
        </w:rPr>
      </w:pPr>
    </w:p>
    <w:p w14:paraId="165EE59B" w14:textId="77777777" w:rsidR="00D20A13" w:rsidRDefault="00D20A13" w:rsidP="006843F7">
      <w:pPr>
        <w:jc w:val="both"/>
        <w:rPr>
          <w:sz w:val="16"/>
          <w:szCs w:val="16"/>
        </w:rPr>
      </w:pPr>
    </w:p>
    <w:p w14:paraId="519B35B6" w14:textId="77777777" w:rsidR="00D20A13" w:rsidRDefault="00D20A13" w:rsidP="006843F7">
      <w:pPr>
        <w:jc w:val="both"/>
        <w:rPr>
          <w:sz w:val="16"/>
          <w:szCs w:val="16"/>
        </w:rPr>
      </w:pPr>
    </w:p>
    <w:p w14:paraId="4A686F1E" w14:textId="77777777" w:rsidR="00D20A13" w:rsidRDefault="00D20A13" w:rsidP="006843F7">
      <w:pPr>
        <w:jc w:val="both"/>
        <w:rPr>
          <w:sz w:val="16"/>
          <w:szCs w:val="16"/>
        </w:rPr>
      </w:pPr>
    </w:p>
    <w:p w14:paraId="237BB03C" w14:textId="77777777" w:rsidR="00D20A13" w:rsidRDefault="00D20A13" w:rsidP="006843F7">
      <w:pPr>
        <w:jc w:val="both"/>
        <w:rPr>
          <w:sz w:val="16"/>
          <w:szCs w:val="16"/>
        </w:rPr>
      </w:pPr>
    </w:p>
    <w:p w14:paraId="5B24BB92" w14:textId="3F87DE7B" w:rsidR="006843F7" w:rsidRPr="00D20A13" w:rsidRDefault="00D15C25" w:rsidP="006843F7">
      <w:pPr>
        <w:jc w:val="both"/>
        <w:rPr>
          <w:sz w:val="22"/>
          <w:szCs w:val="22"/>
        </w:rPr>
      </w:pPr>
      <w:r>
        <w:rPr>
          <w:sz w:val="22"/>
          <w:szCs w:val="22"/>
        </w:rPr>
        <w:t>30</w:t>
      </w:r>
      <w:r w:rsidR="006843F7" w:rsidRPr="00D20A13">
        <w:rPr>
          <w:sz w:val="22"/>
          <w:szCs w:val="22"/>
        </w:rPr>
        <w:t>.0</w:t>
      </w:r>
      <w:r w:rsidR="000122FA">
        <w:rPr>
          <w:sz w:val="22"/>
          <w:szCs w:val="22"/>
        </w:rPr>
        <w:t>7</w:t>
      </w:r>
      <w:r>
        <w:rPr>
          <w:sz w:val="22"/>
          <w:szCs w:val="22"/>
        </w:rPr>
        <w:t>.</w:t>
      </w:r>
      <w:r w:rsidR="006843F7" w:rsidRPr="00D20A13">
        <w:rPr>
          <w:sz w:val="22"/>
          <w:szCs w:val="22"/>
        </w:rPr>
        <w:t>201</w:t>
      </w:r>
      <w:r w:rsidR="00F02460">
        <w:rPr>
          <w:sz w:val="22"/>
          <w:szCs w:val="22"/>
        </w:rPr>
        <w:t>5</w:t>
      </w:r>
      <w:r w:rsidR="006843F7" w:rsidRPr="00D20A13">
        <w:rPr>
          <w:sz w:val="22"/>
          <w:szCs w:val="22"/>
        </w:rPr>
        <w:t xml:space="preserve">  13:53</w:t>
      </w:r>
    </w:p>
    <w:p w14:paraId="2B3CBEB6" w14:textId="77777777" w:rsidR="006843F7" w:rsidRPr="00D20A13" w:rsidRDefault="006843F7" w:rsidP="006843F7">
      <w:pPr>
        <w:jc w:val="both"/>
        <w:rPr>
          <w:sz w:val="22"/>
          <w:szCs w:val="22"/>
        </w:rPr>
      </w:pPr>
      <w:r w:rsidRPr="00D20A13">
        <w:rPr>
          <w:sz w:val="22"/>
          <w:szCs w:val="22"/>
        </w:rPr>
        <w:t>7</w:t>
      </w:r>
      <w:r w:rsidR="00D80555">
        <w:rPr>
          <w:sz w:val="22"/>
          <w:szCs w:val="22"/>
        </w:rPr>
        <w:t>10</w:t>
      </w:r>
    </w:p>
    <w:p w14:paraId="546D0A75" w14:textId="77777777" w:rsidR="006843F7" w:rsidRPr="00D20A13" w:rsidRDefault="006843F7" w:rsidP="006843F7">
      <w:pPr>
        <w:jc w:val="both"/>
        <w:rPr>
          <w:sz w:val="22"/>
          <w:szCs w:val="22"/>
        </w:rPr>
      </w:pPr>
      <w:r w:rsidRPr="00D20A13">
        <w:rPr>
          <w:sz w:val="22"/>
          <w:szCs w:val="22"/>
        </w:rPr>
        <w:t>R.Mūrnieks</w:t>
      </w:r>
    </w:p>
    <w:p w14:paraId="76370923" w14:textId="77777777" w:rsidR="006843F7" w:rsidRPr="00D20A13" w:rsidRDefault="006843F7" w:rsidP="006843F7">
      <w:pPr>
        <w:jc w:val="both"/>
        <w:rPr>
          <w:sz w:val="22"/>
          <w:szCs w:val="22"/>
        </w:rPr>
      </w:pPr>
      <w:r w:rsidRPr="00D20A13">
        <w:rPr>
          <w:sz w:val="22"/>
          <w:szCs w:val="22"/>
        </w:rPr>
        <w:t>67062155</w:t>
      </w:r>
    </w:p>
    <w:p w14:paraId="38666D5D" w14:textId="77777777" w:rsidR="006843F7" w:rsidRPr="00D20A13" w:rsidRDefault="006843F7" w:rsidP="006843F7">
      <w:pPr>
        <w:jc w:val="both"/>
        <w:rPr>
          <w:sz w:val="22"/>
          <w:szCs w:val="22"/>
        </w:rPr>
      </w:pPr>
      <w:r w:rsidRPr="00D20A13">
        <w:rPr>
          <w:sz w:val="22"/>
          <w:szCs w:val="22"/>
        </w:rPr>
        <w:t>raitis.murnieks@lja.lv</w:t>
      </w:r>
    </w:p>
    <w:p w14:paraId="4C7E671F" w14:textId="77777777" w:rsidR="006843F7" w:rsidRPr="00D20A13" w:rsidRDefault="006843F7" w:rsidP="006843F7">
      <w:pPr>
        <w:jc w:val="both"/>
        <w:rPr>
          <w:sz w:val="22"/>
          <w:szCs w:val="22"/>
        </w:rPr>
      </w:pPr>
    </w:p>
    <w:p w14:paraId="2846DE0A" w14:textId="77777777" w:rsidR="006843F7" w:rsidRPr="00D20A13" w:rsidRDefault="006843F7" w:rsidP="006843F7">
      <w:pPr>
        <w:jc w:val="both"/>
        <w:rPr>
          <w:sz w:val="22"/>
          <w:szCs w:val="22"/>
        </w:rPr>
      </w:pPr>
      <w:r w:rsidRPr="00D20A13">
        <w:rPr>
          <w:sz w:val="22"/>
          <w:szCs w:val="22"/>
        </w:rPr>
        <w:t>H.Arnicans</w:t>
      </w:r>
    </w:p>
    <w:p w14:paraId="41C0EDF0" w14:textId="77777777" w:rsidR="006843F7" w:rsidRPr="00D20A13" w:rsidRDefault="006843F7" w:rsidP="006843F7">
      <w:pPr>
        <w:jc w:val="both"/>
        <w:rPr>
          <w:sz w:val="22"/>
          <w:szCs w:val="22"/>
        </w:rPr>
      </w:pPr>
      <w:r w:rsidRPr="00D20A13">
        <w:rPr>
          <w:sz w:val="22"/>
          <w:szCs w:val="22"/>
        </w:rPr>
        <w:t>67062129</w:t>
      </w:r>
    </w:p>
    <w:p w14:paraId="2174F4E5" w14:textId="77777777" w:rsidR="00F40C32" w:rsidRPr="00D20A13" w:rsidRDefault="006843F7" w:rsidP="009D0337">
      <w:pPr>
        <w:jc w:val="both"/>
        <w:rPr>
          <w:sz w:val="22"/>
          <w:szCs w:val="22"/>
        </w:rPr>
      </w:pPr>
      <w:r w:rsidRPr="00D20A13">
        <w:rPr>
          <w:sz w:val="22"/>
          <w:szCs w:val="22"/>
        </w:rPr>
        <w:t>harijs.arnicans@lja.lv</w:t>
      </w:r>
    </w:p>
    <w:sectPr w:rsidR="00F40C32" w:rsidRPr="00D20A13" w:rsidSect="00E42FA2">
      <w:headerReference w:type="even" r:id="rId8"/>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02D44" w14:textId="77777777" w:rsidR="00074800" w:rsidRDefault="00074800">
      <w:r>
        <w:separator/>
      </w:r>
    </w:p>
  </w:endnote>
  <w:endnote w:type="continuationSeparator" w:id="0">
    <w:p w14:paraId="6020DFAF" w14:textId="77777777" w:rsidR="00074800" w:rsidRDefault="0007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8158E" w14:textId="77777777" w:rsidR="000122FA" w:rsidRPr="000122FA" w:rsidRDefault="000122FA" w:rsidP="000122FA">
    <w:pPr>
      <w:tabs>
        <w:tab w:val="center" w:pos="4680"/>
        <w:tab w:val="right" w:pos="9360"/>
      </w:tabs>
      <w:rPr>
        <w:sz w:val="20"/>
        <w:szCs w:val="20"/>
      </w:rPr>
    </w:pPr>
    <w:r w:rsidRPr="000122FA">
      <w:rPr>
        <w:sz w:val="20"/>
        <w:szCs w:val="20"/>
      </w:rPr>
      <w:t>SAMNotp</w:t>
    </w:r>
    <w:r>
      <w:rPr>
        <w:sz w:val="20"/>
        <w:szCs w:val="20"/>
      </w:rPr>
      <w:t>5</w:t>
    </w:r>
    <w:r w:rsidRPr="000122FA">
      <w:rPr>
        <w:sz w:val="20"/>
        <w:szCs w:val="20"/>
      </w:rPr>
      <w:t xml:space="preserve">_300715_ostuaizs; Ministru kabineta noteikumu projekta „Kuģu, kuģošanas kompāniju, ostu un  ostas iekārtu aizsardzības funkciju sadalījuma, izpildes kārtības un uzraudzības noteikumi” </w:t>
    </w:r>
    <w:r>
      <w:rPr>
        <w:sz w:val="20"/>
        <w:szCs w:val="20"/>
      </w:rPr>
      <w:t>5</w:t>
    </w:r>
    <w:r w:rsidRPr="000122FA">
      <w:rPr>
        <w:sz w:val="20"/>
        <w:szCs w:val="20"/>
      </w:rPr>
      <w:t>.pielikums</w:t>
    </w:r>
  </w:p>
  <w:p w14:paraId="3276CD7E" w14:textId="77777777" w:rsidR="008E75CC" w:rsidRPr="000122FA" w:rsidRDefault="00074800" w:rsidP="000122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D62C4" w14:textId="72005D22" w:rsidR="000122FA" w:rsidRPr="000122FA" w:rsidRDefault="000122FA" w:rsidP="000122FA">
    <w:pPr>
      <w:tabs>
        <w:tab w:val="center" w:pos="4680"/>
        <w:tab w:val="right" w:pos="9360"/>
      </w:tabs>
      <w:rPr>
        <w:sz w:val="20"/>
        <w:szCs w:val="20"/>
      </w:rPr>
    </w:pPr>
    <w:r w:rsidRPr="000122FA">
      <w:rPr>
        <w:sz w:val="20"/>
        <w:szCs w:val="20"/>
      </w:rPr>
      <w:t>SAMNotp</w:t>
    </w:r>
    <w:r>
      <w:rPr>
        <w:sz w:val="20"/>
        <w:szCs w:val="20"/>
      </w:rPr>
      <w:t>5</w:t>
    </w:r>
    <w:r w:rsidRPr="000122FA">
      <w:rPr>
        <w:sz w:val="20"/>
        <w:szCs w:val="20"/>
      </w:rPr>
      <w:t xml:space="preserve">_300715_ostuaizs; Ministru kabineta noteikumu projekta „Kuģu, kuģošanas kompāniju, ostu un  ostas iekārtu aizsardzības funkciju sadalījuma, izpildes kārtības un uzraudzības noteikumi” </w:t>
    </w:r>
    <w:r>
      <w:rPr>
        <w:sz w:val="20"/>
        <w:szCs w:val="20"/>
      </w:rPr>
      <w:t>5</w:t>
    </w:r>
    <w:r w:rsidRPr="000122FA">
      <w:rPr>
        <w:sz w:val="20"/>
        <w:szCs w:val="20"/>
      </w:rPr>
      <w:t>.pielikums</w:t>
    </w:r>
  </w:p>
  <w:p w14:paraId="2AB803FD" w14:textId="77777777" w:rsidR="00D23268" w:rsidRPr="00BE05B2" w:rsidRDefault="00D23268" w:rsidP="00BE05B2">
    <w:pPr>
      <w:pStyle w:val="Footer"/>
      <w:rPr>
        <w:sz w:val="20"/>
        <w:szCs w:val="20"/>
      </w:rPr>
    </w:pPr>
  </w:p>
  <w:p w14:paraId="707DC578" w14:textId="77777777" w:rsidR="00C074A6" w:rsidRPr="00BE05B2" w:rsidRDefault="00074800" w:rsidP="00BE0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34312" w14:textId="77777777" w:rsidR="00074800" w:rsidRDefault="00074800">
      <w:r>
        <w:separator/>
      </w:r>
    </w:p>
  </w:footnote>
  <w:footnote w:type="continuationSeparator" w:id="0">
    <w:p w14:paraId="1774ADB4" w14:textId="77777777" w:rsidR="00074800" w:rsidRDefault="00074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2CA4A" w14:textId="77777777" w:rsidR="008E75CC" w:rsidRDefault="006843F7" w:rsidP="00AB3E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D76169" w14:textId="77777777" w:rsidR="008E75CC" w:rsidRDefault="00074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A0792" w14:textId="77777777" w:rsidR="008E75CC" w:rsidRDefault="006843F7" w:rsidP="000E21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4A32">
      <w:rPr>
        <w:rStyle w:val="PageNumber"/>
        <w:noProof/>
      </w:rPr>
      <w:t>3</w:t>
    </w:r>
    <w:r>
      <w:rPr>
        <w:rStyle w:val="PageNumber"/>
      </w:rPr>
      <w:fldChar w:fldCharType="end"/>
    </w:r>
  </w:p>
  <w:p w14:paraId="663132D8" w14:textId="77777777" w:rsidR="008E75CC" w:rsidRDefault="00074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7652E"/>
    <w:multiLevelType w:val="hybridMultilevel"/>
    <w:tmpl w:val="CB46F0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534"/>
    <w:rsid w:val="000122FA"/>
    <w:rsid w:val="00074800"/>
    <w:rsid w:val="000C6584"/>
    <w:rsid w:val="001C2B7C"/>
    <w:rsid w:val="00206197"/>
    <w:rsid w:val="00237D12"/>
    <w:rsid w:val="002442CA"/>
    <w:rsid w:val="0029596A"/>
    <w:rsid w:val="00384A32"/>
    <w:rsid w:val="003C4066"/>
    <w:rsid w:val="0057755B"/>
    <w:rsid w:val="00667EAB"/>
    <w:rsid w:val="006835C8"/>
    <w:rsid w:val="006843F7"/>
    <w:rsid w:val="00841B2E"/>
    <w:rsid w:val="009C150F"/>
    <w:rsid w:val="009D0337"/>
    <w:rsid w:val="00B15534"/>
    <w:rsid w:val="00B228BC"/>
    <w:rsid w:val="00B67448"/>
    <w:rsid w:val="00CA3F96"/>
    <w:rsid w:val="00D15C25"/>
    <w:rsid w:val="00D20A13"/>
    <w:rsid w:val="00D23268"/>
    <w:rsid w:val="00D80555"/>
    <w:rsid w:val="00D94DE8"/>
    <w:rsid w:val="00F02460"/>
    <w:rsid w:val="00F40C32"/>
    <w:rsid w:val="00FE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5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F7"/>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F7"/>
    <w:pPr>
      <w:tabs>
        <w:tab w:val="center" w:pos="4153"/>
        <w:tab w:val="right" w:pos="8306"/>
      </w:tabs>
    </w:pPr>
  </w:style>
  <w:style w:type="character" w:customStyle="1" w:styleId="HeaderChar">
    <w:name w:val="Header Char"/>
    <w:basedOn w:val="DefaultParagraphFont"/>
    <w:link w:val="Header"/>
    <w:rsid w:val="006843F7"/>
    <w:rPr>
      <w:rFonts w:ascii="Times New Roman" w:eastAsia="Times New Roman" w:hAnsi="Times New Roman" w:cs="Times New Roman"/>
      <w:sz w:val="24"/>
      <w:szCs w:val="24"/>
      <w:lang w:val="lv-LV" w:eastAsia="lv-LV"/>
    </w:rPr>
  </w:style>
  <w:style w:type="character" w:styleId="PageNumber">
    <w:name w:val="page number"/>
    <w:basedOn w:val="DefaultParagraphFont"/>
    <w:rsid w:val="006843F7"/>
  </w:style>
  <w:style w:type="paragraph" w:styleId="Footer">
    <w:name w:val="footer"/>
    <w:basedOn w:val="Normal"/>
    <w:link w:val="FooterChar"/>
    <w:rsid w:val="006843F7"/>
    <w:pPr>
      <w:tabs>
        <w:tab w:val="center" w:pos="4153"/>
        <w:tab w:val="right" w:pos="8306"/>
      </w:tabs>
    </w:pPr>
  </w:style>
  <w:style w:type="character" w:customStyle="1" w:styleId="FooterChar">
    <w:name w:val="Footer Char"/>
    <w:basedOn w:val="DefaultParagraphFont"/>
    <w:link w:val="Footer"/>
    <w:rsid w:val="006843F7"/>
    <w:rPr>
      <w:rFonts w:ascii="Times New Roman" w:eastAsia="Times New Roman" w:hAnsi="Times New Roman" w:cs="Times New Roman"/>
      <w:sz w:val="24"/>
      <w:szCs w:val="24"/>
      <w:lang w:val="lv-LV" w:eastAsia="lv-LV"/>
    </w:rPr>
  </w:style>
  <w:style w:type="paragraph" w:styleId="NoSpacing">
    <w:name w:val="No Spacing"/>
    <w:uiPriority w:val="1"/>
    <w:qFormat/>
    <w:rsid w:val="006843F7"/>
    <w:pPr>
      <w:spacing w:after="0" w:line="240" w:lineRule="auto"/>
    </w:pPr>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9D0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337"/>
    <w:rPr>
      <w:rFonts w:ascii="Segoe UI" w:eastAsia="Times New Roman" w:hAnsi="Segoe UI" w:cs="Segoe UI"/>
      <w:sz w:val="18"/>
      <w:szCs w:val="18"/>
      <w:lang w:val="lv-LV" w:eastAsia="lv-LV"/>
    </w:rPr>
  </w:style>
  <w:style w:type="character" w:styleId="CommentReference">
    <w:name w:val="annotation reference"/>
    <w:basedOn w:val="DefaultParagraphFont"/>
    <w:uiPriority w:val="99"/>
    <w:semiHidden/>
    <w:unhideWhenUsed/>
    <w:rsid w:val="0029596A"/>
    <w:rPr>
      <w:sz w:val="16"/>
      <w:szCs w:val="16"/>
    </w:rPr>
  </w:style>
  <w:style w:type="paragraph" w:styleId="CommentText">
    <w:name w:val="annotation text"/>
    <w:basedOn w:val="Normal"/>
    <w:link w:val="CommentTextChar"/>
    <w:uiPriority w:val="99"/>
    <w:semiHidden/>
    <w:unhideWhenUsed/>
    <w:rsid w:val="0029596A"/>
    <w:rPr>
      <w:sz w:val="20"/>
      <w:szCs w:val="20"/>
    </w:rPr>
  </w:style>
  <w:style w:type="character" w:customStyle="1" w:styleId="CommentTextChar">
    <w:name w:val="Comment Text Char"/>
    <w:basedOn w:val="DefaultParagraphFont"/>
    <w:link w:val="CommentText"/>
    <w:uiPriority w:val="99"/>
    <w:semiHidden/>
    <w:rsid w:val="0029596A"/>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29596A"/>
    <w:rPr>
      <w:b/>
      <w:bCs/>
    </w:rPr>
  </w:style>
  <w:style w:type="character" w:customStyle="1" w:styleId="CommentSubjectChar">
    <w:name w:val="Comment Subject Char"/>
    <w:basedOn w:val="CommentTextChar"/>
    <w:link w:val="CommentSubject"/>
    <w:uiPriority w:val="99"/>
    <w:semiHidden/>
    <w:rsid w:val="0029596A"/>
    <w:rPr>
      <w:rFonts w:ascii="Times New Roman" w:eastAsia="Times New Roman" w:hAnsi="Times New Roman" w:cs="Times New Roman"/>
      <w:b/>
      <w:bCs/>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F7"/>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F7"/>
    <w:pPr>
      <w:tabs>
        <w:tab w:val="center" w:pos="4153"/>
        <w:tab w:val="right" w:pos="8306"/>
      </w:tabs>
    </w:pPr>
  </w:style>
  <w:style w:type="character" w:customStyle="1" w:styleId="HeaderChar">
    <w:name w:val="Header Char"/>
    <w:basedOn w:val="DefaultParagraphFont"/>
    <w:link w:val="Header"/>
    <w:rsid w:val="006843F7"/>
    <w:rPr>
      <w:rFonts w:ascii="Times New Roman" w:eastAsia="Times New Roman" w:hAnsi="Times New Roman" w:cs="Times New Roman"/>
      <w:sz w:val="24"/>
      <w:szCs w:val="24"/>
      <w:lang w:val="lv-LV" w:eastAsia="lv-LV"/>
    </w:rPr>
  </w:style>
  <w:style w:type="character" w:styleId="PageNumber">
    <w:name w:val="page number"/>
    <w:basedOn w:val="DefaultParagraphFont"/>
    <w:rsid w:val="006843F7"/>
  </w:style>
  <w:style w:type="paragraph" w:styleId="Footer">
    <w:name w:val="footer"/>
    <w:basedOn w:val="Normal"/>
    <w:link w:val="FooterChar"/>
    <w:rsid w:val="006843F7"/>
    <w:pPr>
      <w:tabs>
        <w:tab w:val="center" w:pos="4153"/>
        <w:tab w:val="right" w:pos="8306"/>
      </w:tabs>
    </w:pPr>
  </w:style>
  <w:style w:type="character" w:customStyle="1" w:styleId="FooterChar">
    <w:name w:val="Footer Char"/>
    <w:basedOn w:val="DefaultParagraphFont"/>
    <w:link w:val="Footer"/>
    <w:rsid w:val="006843F7"/>
    <w:rPr>
      <w:rFonts w:ascii="Times New Roman" w:eastAsia="Times New Roman" w:hAnsi="Times New Roman" w:cs="Times New Roman"/>
      <w:sz w:val="24"/>
      <w:szCs w:val="24"/>
      <w:lang w:val="lv-LV" w:eastAsia="lv-LV"/>
    </w:rPr>
  </w:style>
  <w:style w:type="paragraph" w:styleId="NoSpacing">
    <w:name w:val="No Spacing"/>
    <w:uiPriority w:val="1"/>
    <w:qFormat/>
    <w:rsid w:val="006843F7"/>
    <w:pPr>
      <w:spacing w:after="0" w:line="240" w:lineRule="auto"/>
    </w:pPr>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9D0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337"/>
    <w:rPr>
      <w:rFonts w:ascii="Segoe UI" w:eastAsia="Times New Roman" w:hAnsi="Segoe UI" w:cs="Segoe UI"/>
      <w:sz w:val="18"/>
      <w:szCs w:val="18"/>
      <w:lang w:val="lv-LV" w:eastAsia="lv-LV"/>
    </w:rPr>
  </w:style>
  <w:style w:type="character" w:styleId="CommentReference">
    <w:name w:val="annotation reference"/>
    <w:basedOn w:val="DefaultParagraphFont"/>
    <w:uiPriority w:val="99"/>
    <w:semiHidden/>
    <w:unhideWhenUsed/>
    <w:rsid w:val="0029596A"/>
    <w:rPr>
      <w:sz w:val="16"/>
      <w:szCs w:val="16"/>
    </w:rPr>
  </w:style>
  <w:style w:type="paragraph" w:styleId="CommentText">
    <w:name w:val="annotation text"/>
    <w:basedOn w:val="Normal"/>
    <w:link w:val="CommentTextChar"/>
    <w:uiPriority w:val="99"/>
    <w:semiHidden/>
    <w:unhideWhenUsed/>
    <w:rsid w:val="0029596A"/>
    <w:rPr>
      <w:sz w:val="20"/>
      <w:szCs w:val="20"/>
    </w:rPr>
  </w:style>
  <w:style w:type="character" w:customStyle="1" w:styleId="CommentTextChar">
    <w:name w:val="Comment Text Char"/>
    <w:basedOn w:val="DefaultParagraphFont"/>
    <w:link w:val="CommentText"/>
    <w:uiPriority w:val="99"/>
    <w:semiHidden/>
    <w:rsid w:val="0029596A"/>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29596A"/>
    <w:rPr>
      <w:b/>
      <w:bCs/>
    </w:rPr>
  </w:style>
  <w:style w:type="character" w:customStyle="1" w:styleId="CommentSubjectChar">
    <w:name w:val="Comment Subject Char"/>
    <w:basedOn w:val="CommentTextChar"/>
    <w:link w:val="CommentSubject"/>
    <w:uiPriority w:val="99"/>
    <w:semiHidden/>
    <w:rsid w:val="0029596A"/>
    <w:rPr>
      <w:rFonts w:ascii="Times New Roman" w:eastAsia="Times New Roman" w:hAnsi="Times New Roman" w:cs="Times New Roman"/>
      <w:b/>
      <w:bCs/>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3866</Words>
  <Characters>2205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Kuģu, kuģošanas kompāniju, ostu un ostas iekārtu aizsardzības funkciju sadalījuma, izpildes kārtības un uzraudzības noteikumi</dc:title>
  <dc:subject/>
  <dc:creator>Imants Dambergs</dc:creator>
  <cp:keywords/>
  <dc:description/>
  <cp:lastModifiedBy>Baiba Šterna</cp:lastModifiedBy>
  <cp:revision>24</cp:revision>
  <cp:lastPrinted>2013-09-12T11:18:00Z</cp:lastPrinted>
  <dcterms:created xsi:type="dcterms:W3CDTF">2013-09-04T10:03:00Z</dcterms:created>
  <dcterms:modified xsi:type="dcterms:W3CDTF">2015-10-23T07:52:00Z</dcterms:modified>
</cp:coreProperties>
</file>