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3F" w:rsidRPr="00B65799" w:rsidRDefault="00A7113F" w:rsidP="00A7113F">
      <w:pPr>
        <w:jc w:val="center"/>
        <w:rPr>
          <w:b/>
          <w:bCs/>
          <w:szCs w:val="28"/>
        </w:rPr>
      </w:pPr>
      <w:bookmarkStart w:id="0" w:name="_GoBack"/>
      <w:bookmarkEnd w:id="0"/>
      <w:r w:rsidRPr="00B65799">
        <w:rPr>
          <w:b/>
          <w:bCs/>
          <w:szCs w:val="28"/>
        </w:rPr>
        <w:t>Ministru kabineta noteikumu projekta</w:t>
      </w:r>
    </w:p>
    <w:p w:rsidR="007142AD" w:rsidRPr="00B65799" w:rsidRDefault="00A7113F" w:rsidP="00A7113F">
      <w:pPr>
        <w:jc w:val="center"/>
        <w:rPr>
          <w:b/>
          <w:szCs w:val="28"/>
        </w:rPr>
      </w:pPr>
      <w:r w:rsidRPr="00B65799">
        <w:rPr>
          <w:b/>
          <w:bCs/>
          <w:szCs w:val="28"/>
        </w:rPr>
        <w:t>„Grozījum</w:t>
      </w:r>
      <w:r w:rsidR="005D42B6">
        <w:rPr>
          <w:b/>
          <w:bCs/>
          <w:szCs w:val="28"/>
        </w:rPr>
        <w:t>i</w:t>
      </w:r>
      <w:r w:rsidRPr="00B65799">
        <w:rPr>
          <w:b/>
          <w:bCs/>
          <w:szCs w:val="28"/>
        </w:rPr>
        <w:t xml:space="preserve"> Ministru kabineta 200</w:t>
      </w:r>
      <w:r w:rsidR="00B46D45" w:rsidRPr="00B65799">
        <w:rPr>
          <w:b/>
          <w:bCs/>
          <w:szCs w:val="28"/>
        </w:rPr>
        <w:t>9</w:t>
      </w:r>
      <w:r w:rsidRPr="00B65799">
        <w:rPr>
          <w:b/>
          <w:bCs/>
          <w:szCs w:val="28"/>
        </w:rPr>
        <w:t xml:space="preserve">.gada </w:t>
      </w:r>
      <w:r w:rsidR="00B46D45" w:rsidRPr="00B65799">
        <w:rPr>
          <w:b/>
          <w:bCs/>
          <w:szCs w:val="28"/>
        </w:rPr>
        <w:t>25</w:t>
      </w:r>
      <w:r w:rsidRPr="00B65799">
        <w:rPr>
          <w:b/>
          <w:bCs/>
          <w:szCs w:val="28"/>
        </w:rPr>
        <w:t>.</w:t>
      </w:r>
      <w:r w:rsidR="00B46D45" w:rsidRPr="00B65799">
        <w:rPr>
          <w:b/>
          <w:bCs/>
          <w:szCs w:val="28"/>
        </w:rPr>
        <w:t>augusta</w:t>
      </w:r>
      <w:r w:rsidRPr="00B65799">
        <w:rPr>
          <w:b/>
          <w:bCs/>
          <w:szCs w:val="28"/>
        </w:rPr>
        <w:t xml:space="preserve"> noteikumos Nr.</w:t>
      </w:r>
      <w:r w:rsidR="00B46D45" w:rsidRPr="00B65799">
        <w:rPr>
          <w:b/>
          <w:bCs/>
          <w:szCs w:val="28"/>
        </w:rPr>
        <w:t>971</w:t>
      </w:r>
      <w:r w:rsidRPr="00B65799">
        <w:rPr>
          <w:b/>
          <w:bCs/>
          <w:szCs w:val="28"/>
        </w:rPr>
        <w:t xml:space="preserve"> „Noteikumi par darbības programmas „Infrastruktūra un pakalpojumi” papildinājuma 3.3.</w:t>
      </w:r>
      <w:r w:rsidR="00B46D45" w:rsidRPr="00B65799">
        <w:rPr>
          <w:b/>
          <w:bCs/>
          <w:szCs w:val="28"/>
        </w:rPr>
        <w:t>2</w:t>
      </w:r>
      <w:r w:rsidRPr="00B65799">
        <w:rPr>
          <w:b/>
          <w:bCs/>
          <w:szCs w:val="28"/>
        </w:rPr>
        <w:t>.</w:t>
      </w:r>
      <w:r w:rsidR="00B46D45" w:rsidRPr="00B65799">
        <w:rPr>
          <w:b/>
          <w:bCs/>
          <w:szCs w:val="28"/>
        </w:rPr>
        <w:t>1</w:t>
      </w:r>
      <w:r w:rsidRPr="00B65799">
        <w:rPr>
          <w:b/>
          <w:bCs/>
          <w:szCs w:val="28"/>
        </w:rPr>
        <w:t>.aktivitāti „</w:t>
      </w:r>
      <w:r w:rsidR="00B46D45" w:rsidRPr="00B65799">
        <w:rPr>
          <w:b/>
          <w:bCs/>
        </w:rPr>
        <w:t>Ilgtspējīga sabiedriskā transporta sistēmas attīstība</w:t>
      </w:r>
      <w:r w:rsidRPr="00B65799">
        <w:rPr>
          <w:b/>
          <w:bCs/>
          <w:szCs w:val="28"/>
        </w:rPr>
        <w:t>”” sākotnējās ietekmes novērtējuma ziņojums (anotācija)</w:t>
      </w:r>
    </w:p>
    <w:p w:rsidR="00DF5207" w:rsidRPr="00427146" w:rsidRDefault="00DF5207" w:rsidP="008539C0">
      <w:pPr>
        <w:pStyle w:val="naisc"/>
        <w:spacing w:before="0" w:after="0"/>
        <w:rPr>
          <w:color w:val="000000"/>
        </w:rPr>
      </w:pPr>
    </w:p>
    <w:tbl>
      <w:tblPr>
        <w:tblW w:w="5238"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2201"/>
        <w:gridCol w:w="6990"/>
      </w:tblGrid>
      <w:tr w:rsidR="00AA00A2" w:rsidRPr="00427146" w:rsidTr="007528EE">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7528EE">
        <w:trPr>
          <w:trHeight w:val="4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32" w:type="pct"/>
            <w:hideMark/>
          </w:tcPr>
          <w:p w:rsidR="00385F0D" w:rsidRPr="00427146" w:rsidRDefault="00385F0D">
            <w:pPr>
              <w:rPr>
                <w:color w:val="000000"/>
              </w:rPr>
            </w:pPr>
            <w:r w:rsidRPr="00427146">
              <w:rPr>
                <w:color w:val="000000"/>
              </w:rPr>
              <w:t>Pamatojums</w:t>
            </w:r>
          </w:p>
        </w:tc>
        <w:tc>
          <w:tcPr>
            <w:tcW w:w="3590" w:type="pct"/>
            <w:hideMark/>
          </w:tcPr>
          <w:p w:rsidR="00385F0D" w:rsidRPr="00427146" w:rsidRDefault="00A7113F" w:rsidP="00CB0D6F">
            <w:pPr>
              <w:ind w:right="65"/>
              <w:jc w:val="both"/>
              <w:rPr>
                <w:color w:val="000000"/>
              </w:rPr>
            </w:pPr>
            <w:r w:rsidRPr="00A7113F">
              <w:rPr>
                <w:bCs/>
                <w:color w:val="000000"/>
              </w:rPr>
              <w:t>Eiropas Savienības struktūrfondu un Kohēzijas fonda vadības likuma 18.panta 10.punkts.</w:t>
            </w:r>
          </w:p>
        </w:tc>
      </w:tr>
      <w:tr w:rsidR="00385F0D" w:rsidRPr="006D46B5" w:rsidTr="007528EE">
        <w:trPr>
          <w:trHeight w:val="5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32"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90" w:type="pct"/>
            <w:hideMark/>
          </w:tcPr>
          <w:p w:rsidR="00185B26" w:rsidRDefault="00A776AB" w:rsidP="00DE08B4">
            <w:pPr>
              <w:ind w:right="65"/>
              <w:jc w:val="both"/>
            </w:pPr>
            <w:r w:rsidRPr="00A776AB">
              <w:t xml:space="preserve">Darbības programmas „Infrastruktūra un pakalpojumi” papildinājuma </w:t>
            </w:r>
            <w:r w:rsidR="00721FC9" w:rsidRPr="00721FC9">
              <w:rPr>
                <w:bCs/>
                <w:color w:val="000000"/>
                <w:szCs w:val="28"/>
              </w:rPr>
              <w:t>3.3.2.1.aktivitāti „</w:t>
            </w:r>
            <w:r w:rsidR="00721FC9" w:rsidRPr="00721FC9">
              <w:rPr>
                <w:bCs/>
                <w:color w:val="414142"/>
              </w:rPr>
              <w:t>Ilgtspējīga sabiedriskā transporta sistēmas attīstība</w:t>
            </w:r>
            <w:r w:rsidR="00721FC9" w:rsidRPr="00721FC9">
              <w:rPr>
                <w:bCs/>
                <w:color w:val="000000"/>
                <w:szCs w:val="28"/>
              </w:rPr>
              <w:t>”</w:t>
            </w:r>
            <w:r w:rsidRPr="00A776AB">
              <w:t xml:space="preserve"> (turpmāk </w:t>
            </w:r>
            <w:r w:rsidR="00721FC9">
              <w:t>-</w:t>
            </w:r>
            <w:r w:rsidRPr="00A776AB">
              <w:t xml:space="preserve"> 3.3.</w:t>
            </w:r>
            <w:r w:rsidR="00721FC9">
              <w:t>2</w:t>
            </w:r>
            <w:r w:rsidRPr="00A776AB">
              <w:t>.</w:t>
            </w:r>
            <w:r w:rsidR="00721FC9">
              <w:t>1</w:t>
            </w:r>
            <w:r w:rsidRPr="00A776AB">
              <w:t xml:space="preserve">.aktivitāte) ietvaros ir pieejams Kohēzijas fonda līdzfinansējums </w:t>
            </w:r>
            <w:r w:rsidR="00721FC9" w:rsidRPr="00721FC9">
              <w:t>35</w:t>
            </w:r>
            <w:r w:rsidR="00721FC9">
              <w:t> </w:t>
            </w:r>
            <w:r w:rsidR="00721FC9" w:rsidRPr="00721FC9">
              <w:t>084</w:t>
            </w:r>
            <w:r w:rsidR="00721FC9">
              <w:t> </w:t>
            </w:r>
            <w:r w:rsidR="00721FC9" w:rsidRPr="00721FC9">
              <w:t>111</w:t>
            </w:r>
            <w:r w:rsidRPr="00721FC9">
              <w:t xml:space="preserve"> </w:t>
            </w:r>
            <w:r w:rsidRPr="00A776AB">
              <w:t xml:space="preserve">euro apmērā un </w:t>
            </w:r>
            <w:r w:rsidR="00721FC9">
              <w:t xml:space="preserve">valsts budžeta finansējums attiecināmajām izmaksām </w:t>
            </w:r>
            <w:r w:rsidR="00721FC9" w:rsidRPr="00721FC9">
              <w:t>3</w:t>
            </w:r>
            <w:r w:rsidR="00721FC9">
              <w:t> </w:t>
            </w:r>
            <w:r w:rsidR="00721FC9" w:rsidRPr="00721FC9">
              <w:t>087</w:t>
            </w:r>
            <w:r w:rsidR="00721FC9">
              <w:t> </w:t>
            </w:r>
            <w:r w:rsidR="00721FC9" w:rsidRPr="00721FC9">
              <w:t>171</w:t>
            </w:r>
            <w:r w:rsidRPr="00A776AB">
              <w:t xml:space="preserve"> euro apmērā. 3.3.</w:t>
            </w:r>
            <w:r w:rsidR="00721FC9">
              <w:t>2</w:t>
            </w:r>
            <w:r w:rsidRPr="00A776AB">
              <w:t>.</w:t>
            </w:r>
            <w:r w:rsidR="00721FC9">
              <w:t>1</w:t>
            </w:r>
            <w:r w:rsidRPr="00A776AB">
              <w:t xml:space="preserve">.aktivitātes ietvaros ir </w:t>
            </w:r>
            <w:r w:rsidR="002A19D3" w:rsidRPr="006D46B5">
              <w:t xml:space="preserve">noslēgti </w:t>
            </w:r>
            <w:r w:rsidR="00721FC9">
              <w:t>divi</w:t>
            </w:r>
            <w:r w:rsidR="002A19D3" w:rsidRPr="006D46B5">
              <w:t xml:space="preserve"> civiltiesiskie līgumi par Kohēzijas fonda projekt</w:t>
            </w:r>
            <w:r w:rsidR="00220EA6">
              <w:t>u</w:t>
            </w:r>
            <w:r w:rsidR="002A19D3" w:rsidRPr="006D46B5">
              <w:t xml:space="preserve"> īstenošanu.</w:t>
            </w:r>
          </w:p>
          <w:p w:rsidR="00C84EC4" w:rsidRDefault="00682F5F" w:rsidP="00DE08B4">
            <w:pPr>
              <w:ind w:right="65"/>
              <w:jc w:val="both"/>
            </w:pPr>
            <w:r w:rsidRPr="00A776AB">
              <w:t>3.3.</w:t>
            </w:r>
            <w:r>
              <w:t>2</w:t>
            </w:r>
            <w:r w:rsidRPr="00A776AB">
              <w:t>.</w:t>
            </w:r>
            <w:r>
              <w:t>1</w:t>
            </w:r>
            <w:r w:rsidRPr="00A776AB">
              <w:t>.aktivitāte</w:t>
            </w:r>
            <w:r>
              <w:t>s ietvaros tiek īstenoti divi projekti:</w:t>
            </w:r>
          </w:p>
          <w:p w:rsidR="00682F5F" w:rsidRDefault="00682F5F" w:rsidP="00F84F3E">
            <w:pPr>
              <w:pStyle w:val="ListParagraph"/>
              <w:numPr>
                <w:ilvl w:val="0"/>
                <w:numId w:val="42"/>
              </w:numPr>
              <w:spacing w:before="120" w:after="120"/>
              <w:ind w:left="714" w:right="62" w:hanging="357"/>
              <w:jc w:val="both"/>
            </w:pPr>
            <w:r w:rsidRPr="00682F5F">
              <w:t>Nr. 3DP/3.3.2.1.0/13/IPIA/SM/002 „Dzelzceļa pasažieru infrastruktūras modernizācija”</w:t>
            </w:r>
            <w:r>
              <w:t>;</w:t>
            </w:r>
          </w:p>
          <w:p w:rsidR="00682F5F" w:rsidRPr="00682F5F" w:rsidRDefault="00682F5F" w:rsidP="00F84F3E">
            <w:pPr>
              <w:pStyle w:val="ListParagraph"/>
              <w:numPr>
                <w:ilvl w:val="0"/>
                <w:numId w:val="42"/>
              </w:numPr>
              <w:spacing w:before="120" w:after="120"/>
              <w:ind w:left="714" w:right="62" w:hanging="357"/>
              <w:jc w:val="both"/>
            </w:pPr>
            <w:r w:rsidRPr="00682F5F">
              <w:t xml:space="preserve">Nr. 3DP/3.3.2.1.0/13/IPIA/SM/001 </w:t>
            </w:r>
            <w:r w:rsidRPr="00ED438E">
              <w:rPr>
                <w:bCs/>
              </w:rPr>
              <w:t>„</w:t>
            </w:r>
            <w:r w:rsidRPr="00682F5F">
              <w:t>Dīzeļvilcienu ritošā sastāva modernizācija”.</w:t>
            </w:r>
          </w:p>
          <w:p w:rsidR="0054737D" w:rsidRDefault="00F16E46" w:rsidP="003A7D1E">
            <w:pPr>
              <w:ind w:left="34"/>
              <w:jc w:val="both"/>
            </w:pPr>
            <w:r>
              <w:t xml:space="preserve">Akciju sabiedrība “Pasažieru vilciens” </w:t>
            </w:r>
            <w:r w:rsidR="002360AC">
              <w:rPr>
                <w:bCs/>
                <w:color w:val="000000"/>
              </w:rPr>
              <w:t xml:space="preserve">(turpmāk - PV) </w:t>
            </w:r>
            <w:r w:rsidRPr="006D46B5">
              <w:t xml:space="preserve">realizē projektu </w:t>
            </w:r>
            <w:r>
              <w:t>Nr. </w:t>
            </w:r>
            <w:r w:rsidRPr="00682F5F">
              <w:t xml:space="preserve">3DP/3.3.2.1.0/13/IPIA/SM/001 </w:t>
            </w:r>
            <w:r w:rsidRPr="00ED438E">
              <w:rPr>
                <w:bCs/>
              </w:rPr>
              <w:t>„</w:t>
            </w:r>
            <w:r w:rsidRPr="00682F5F">
              <w:t>Dīzeļvilcienu ritošā sastāva modernizācija”</w:t>
            </w:r>
            <w:r>
              <w:t xml:space="preserve"> </w:t>
            </w:r>
            <w:r w:rsidRPr="006D46B5">
              <w:t xml:space="preserve">(turpmāk </w:t>
            </w:r>
            <w:r>
              <w:t>-</w:t>
            </w:r>
            <w:r w:rsidRPr="006D46B5">
              <w:t xml:space="preserve"> projekts</w:t>
            </w:r>
            <w:r w:rsidR="00B65799">
              <w:t xml:space="preserve">) </w:t>
            </w:r>
            <w:r w:rsidRPr="006D46B5">
              <w:t xml:space="preserve">piešķirtais Kohēzijas fonda līdzfinansējums </w:t>
            </w:r>
            <w:r w:rsidR="00507EE5">
              <w:t>-</w:t>
            </w:r>
            <w:r w:rsidRPr="006D46B5">
              <w:t xml:space="preserve"> </w:t>
            </w:r>
            <w:r w:rsidR="007A47F2" w:rsidRPr="00BE4B59">
              <w:t>13 001 491,17</w:t>
            </w:r>
            <w:r w:rsidR="00507EE5" w:rsidRPr="00507EE5">
              <w:rPr>
                <w:bCs/>
              </w:rPr>
              <w:t xml:space="preserve"> </w:t>
            </w:r>
            <w:proofErr w:type="spellStart"/>
            <w:r w:rsidR="00507EE5" w:rsidRPr="00507EE5">
              <w:rPr>
                <w:bCs/>
                <w:i/>
              </w:rPr>
              <w:t>euro</w:t>
            </w:r>
            <w:proofErr w:type="spellEnd"/>
            <w:r w:rsidR="00507EE5" w:rsidRPr="005F3570">
              <w:rPr>
                <w:bCs/>
              </w:rPr>
              <w:t xml:space="preserve"> </w:t>
            </w:r>
            <w:r w:rsidR="00507EE5" w:rsidRPr="00847454">
              <w:t xml:space="preserve">un </w:t>
            </w:r>
            <w:r w:rsidR="0003445C" w:rsidRPr="0003445C">
              <w:t>nacionālais publiskais</w:t>
            </w:r>
            <w:r w:rsidR="00507EE5" w:rsidRPr="0003445C">
              <w:t xml:space="preserve">  </w:t>
            </w:r>
            <w:r w:rsidR="0003445C">
              <w:t xml:space="preserve">finansējums - </w:t>
            </w:r>
            <w:r w:rsidR="007A47F2" w:rsidRPr="0003445C">
              <w:rPr>
                <w:bCs/>
              </w:rPr>
              <w:t>2 294 380,79</w:t>
            </w:r>
            <w:r w:rsidR="00507EE5" w:rsidRPr="0003445C">
              <w:t xml:space="preserve"> </w:t>
            </w:r>
            <w:proofErr w:type="spellStart"/>
            <w:r w:rsidR="00507EE5" w:rsidRPr="0003445C">
              <w:rPr>
                <w:bCs/>
                <w:i/>
              </w:rPr>
              <w:t>euro</w:t>
            </w:r>
            <w:proofErr w:type="spellEnd"/>
            <w:r w:rsidR="00507EE5" w:rsidRPr="0003445C">
              <w:t xml:space="preserve"> </w:t>
            </w:r>
            <w:proofErr w:type="spellStart"/>
            <w:r w:rsidRPr="0003445C">
              <w:rPr>
                <w:i/>
              </w:rPr>
              <w:t>euro</w:t>
            </w:r>
            <w:proofErr w:type="spellEnd"/>
            <w:r w:rsidRPr="0003445C">
              <w:t>)</w:t>
            </w:r>
            <w:r w:rsidR="00507EE5" w:rsidRPr="0003445C">
              <w:t>.</w:t>
            </w:r>
          </w:p>
          <w:p w:rsidR="00D0215F" w:rsidRDefault="00B65799" w:rsidP="003A7D1E">
            <w:pPr>
              <w:ind w:left="34"/>
              <w:jc w:val="both"/>
            </w:pPr>
            <w:r>
              <w:rPr>
                <w:bCs/>
              </w:rPr>
              <w:t>P</w:t>
            </w:r>
            <w:r w:rsidR="002360AC" w:rsidRPr="00762F6B">
              <w:t xml:space="preserve">rojekta ietvaros no 2014. līdz 2015. gadam paredzēta </w:t>
            </w:r>
            <w:r w:rsidR="007A47F2">
              <w:t>PV</w:t>
            </w:r>
            <w:r w:rsidR="002360AC" w:rsidRPr="00762F6B">
              <w:t xml:space="preserve"> ritošā sastāva atjaunošana. </w:t>
            </w:r>
            <w:r w:rsidR="002360AC">
              <w:t>PV</w:t>
            </w:r>
            <w:r w:rsidR="002360AC" w:rsidRPr="00762F6B">
              <w:t xml:space="preserve"> modernizē DR1A sērijas dīzeļvilcienu vagonus:</w:t>
            </w:r>
            <w:r w:rsidR="002360AC" w:rsidRPr="00762F6B">
              <w:rPr>
                <w:color w:val="000000"/>
              </w:rPr>
              <w:t xml:space="preserve"> </w:t>
            </w:r>
            <w:r w:rsidR="002360AC" w:rsidRPr="00762F6B">
              <w:t>5 dīzeļvilcienu sastāvus ar 3 vagoniem un 1 dīzeļvilciena sastāvu ar 4 vagoniem (kopā 6 vagonu grupas jeb 19 vagonus). Dīzeļvilcieniem ar 3 vagoniem tiks ierīkots paaugstināta komforta telpa ar 16 vietām.</w:t>
            </w:r>
            <w:r w:rsidR="002360AC">
              <w:t xml:space="preserve"> </w:t>
            </w:r>
            <w:r w:rsidR="002360AC" w:rsidRPr="00762F6B">
              <w:t xml:space="preserve">Projekta </w:t>
            </w:r>
            <w:r w:rsidR="002360AC">
              <w:t xml:space="preserve">Nr. 2 </w:t>
            </w:r>
            <w:r w:rsidR="002360AC" w:rsidRPr="00762F6B">
              <w:t>ieviešanas rezultātā tiks būtiski uzlabota pasažieru pārvadājumu kvalitāte un efektivitāte - tiks paaugstināts pasažieru komforta līmenis, iekāpšanas un izkāpšanas drošība, uzlaboti apkalpojošā personāla darba apstākļi, kā arī tiks uzlabota vides aizsardzības prasību ievērošana un energoresursu ekonomija.</w:t>
            </w:r>
          </w:p>
          <w:p w:rsidR="00D0215F" w:rsidRDefault="00BC0A8B" w:rsidP="003A7D1E">
            <w:pPr>
              <w:ind w:left="34"/>
              <w:jc w:val="both"/>
            </w:pPr>
            <w:r w:rsidRPr="00C21C85">
              <w:t xml:space="preserve">Sadarbības līgums par projekta īstenošanu </w:t>
            </w:r>
            <w:r>
              <w:t xml:space="preserve">ar PV tika </w:t>
            </w:r>
            <w:r w:rsidRPr="00C21C85">
              <w:t>noslēgts 201</w:t>
            </w:r>
            <w:r>
              <w:t>4</w:t>
            </w:r>
            <w:r w:rsidRPr="00C21C85">
              <w:t xml:space="preserve">.gada </w:t>
            </w:r>
            <w:r>
              <w:t>30</w:t>
            </w:r>
            <w:r w:rsidRPr="00C21C85">
              <w:t>.</w:t>
            </w:r>
            <w:r>
              <w:t xml:space="preserve">janvārī. </w:t>
            </w:r>
            <w:r w:rsidR="00B65799">
              <w:t xml:space="preserve">Projekta </w:t>
            </w:r>
            <w:r w:rsidR="008E7811">
              <w:t xml:space="preserve">ietvaros </w:t>
            </w:r>
            <w:r w:rsidR="008E7811" w:rsidRPr="00C21C85">
              <w:t>201</w:t>
            </w:r>
            <w:r w:rsidR="008E7811">
              <w:t>4</w:t>
            </w:r>
            <w:r w:rsidR="008E7811" w:rsidRPr="00C21C85">
              <w:t xml:space="preserve">.gada </w:t>
            </w:r>
            <w:r w:rsidR="008E7811">
              <w:t>31</w:t>
            </w:r>
            <w:r w:rsidR="008E7811" w:rsidRPr="00C21C85">
              <w:t>.</w:t>
            </w:r>
            <w:r w:rsidR="008E7811">
              <w:t xml:space="preserve">janvārī ir noslēgts līgums starp PV un Pilnsabiedrību “DMU vilcieni” </w:t>
            </w:r>
            <w:r w:rsidR="007A47F2">
              <w:t xml:space="preserve">(turpmāk - Izpildītājs) </w:t>
            </w:r>
            <w:r w:rsidR="003C3871" w:rsidRPr="003C3871">
              <w:t>par DR1A sērijas dīzeļvilcienu vagonu modernizāciju</w:t>
            </w:r>
            <w:r w:rsidR="003C3871">
              <w:t>.</w:t>
            </w:r>
            <w:r w:rsidR="007A47F2">
              <w:t xml:space="preserve"> </w:t>
            </w:r>
            <w:r w:rsidR="007A47F2" w:rsidRPr="00BE4B59">
              <w:t>Vagonu modernizācijas līguma summa ir</w:t>
            </w:r>
            <w:r w:rsidR="00E2649E">
              <w:t xml:space="preserve"> </w:t>
            </w:r>
            <w:r w:rsidR="007A47F2" w:rsidRPr="00BE4B59">
              <w:t xml:space="preserve">21 979 348 </w:t>
            </w:r>
            <w:r w:rsidR="007A47F2" w:rsidRPr="007A47F2">
              <w:rPr>
                <w:i/>
              </w:rPr>
              <w:t>euro</w:t>
            </w:r>
            <w:r w:rsidR="007A47F2" w:rsidRPr="00BE4B59">
              <w:t>, tajā skaitā vagonu modernizācijas izmaksas 20</w:t>
            </w:r>
            <w:r w:rsidR="007A47F2">
              <w:t> </w:t>
            </w:r>
            <w:r w:rsidR="007A47F2" w:rsidRPr="00BE4B59">
              <w:t>581 138 </w:t>
            </w:r>
            <w:r w:rsidR="007A47F2" w:rsidRPr="007A47F2">
              <w:rPr>
                <w:i/>
              </w:rPr>
              <w:t>euro</w:t>
            </w:r>
            <w:r w:rsidR="007A47F2">
              <w:t>.</w:t>
            </w:r>
          </w:p>
          <w:p w:rsidR="00037C7B" w:rsidRDefault="00A73786" w:rsidP="003A7D1E">
            <w:pPr>
              <w:ind w:left="34"/>
              <w:jc w:val="both"/>
            </w:pPr>
            <w:r>
              <w:t xml:space="preserve">Projekta ietvaros iesniegts avansa maksājuma pieprasījums un astoņi starpmaksājuma pieprasījumi. </w:t>
            </w:r>
            <w:r w:rsidRPr="00F1128B">
              <w:t xml:space="preserve">Līdz 2015. gada 16. jūnijam projekta ietvaros </w:t>
            </w:r>
            <w:r>
              <w:t>PV</w:t>
            </w:r>
            <w:r w:rsidRPr="00F1128B">
              <w:t xml:space="preserve"> ir veikti Kohēzijas fonda līdzekļu maksājumi </w:t>
            </w:r>
            <w:r w:rsidRPr="00A73786">
              <w:rPr>
                <w:bCs/>
              </w:rPr>
              <w:t>8 813 777,24</w:t>
            </w:r>
            <w:r w:rsidRPr="00A73786">
              <w:t xml:space="preserve"> </w:t>
            </w:r>
            <w:r w:rsidRPr="00A73786">
              <w:rPr>
                <w:i/>
              </w:rPr>
              <w:t>euro</w:t>
            </w:r>
            <w:r>
              <w:t xml:space="preserve"> </w:t>
            </w:r>
            <w:r w:rsidRPr="00F1128B">
              <w:t>apmērā (</w:t>
            </w:r>
            <w:r w:rsidRPr="00852765">
              <w:t>jeb</w:t>
            </w:r>
            <w:r w:rsidRPr="00852765">
              <w:rPr>
                <w:b/>
              </w:rPr>
              <w:t xml:space="preserve"> </w:t>
            </w:r>
            <w:r w:rsidR="00B600BE">
              <w:rPr>
                <w:bCs/>
              </w:rPr>
              <w:t>67,8 </w:t>
            </w:r>
            <w:r w:rsidR="00B600BE" w:rsidRPr="009C16B0">
              <w:rPr>
                <w:bCs/>
              </w:rPr>
              <w:t xml:space="preserve">% </w:t>
            </w:r>
            <w:r w:rsidRPr="00F1128B">
              <w:t xml:space="preserve">no </w:t>
            </w:r>
            <w:r>
              <w:t>p</w:t>
            </w:r>
            <w:r w:rsidRPr="00F1128B">
              <w:t xml:space="preserve">rojektam pieejamā </w:t>
            </w:r>
            <w:r w:rsidRPr="00A73786">
              <w:lastRenderedPageBreak/>
              <w:t>Kohēzijas fonda</w:t>
            </w:r>
            <w:r w:rsidRPr="00F1128B">
              <w:t xml:space="preserve"> līdzfinansējuma</w:t>
            </w:r>
            <w:r>
              <w:t>), t.sk</w:t>
            </w:r>
            <w:r w:rsidRPr="00F1128B">
              <w:t>.</w:t>
            </w:r>
            <w:r>
              <w:t xml:space="preserve"> avansa maksājums finansējuma saņēmējam 2 275 215 </w:t>
            </w:r>
            <w:r w:rsidRPr="001A638C">
              <w:rPr>
                <w:i/>
              </w:rPr>
              <w:t>euro</w:t>
            </w:r>
            <w:r>
              <w:t xml:space="preserve"> apmērā.</w:t>
            </w:r>
            <w:r w:rsidR="006B03A6">
              <w:t xml:space="preserve"> </w:t>
            </w:r>
          </w:p>
          <w:p w:rsidR="00037C7B" w:rsidRDefault="00037C7B" w:rsidP="003A7D1E">
            <w:pPr>
              <w:ind w:left="34"/>
              <w:jc w:val="both"/>
            </w:pPr>
            <w:r w:rsidRPr="00210AE3">
              <w:t>Līdz šim brīdim Finansējuma saņēmējs ir veicis maksājumus Izpildītājam kopsummā par 9 150 610,09</w:t>
            </w:r>
            <w:r>
              <w:t> </w:t>
            </w:r>
            <w:r w:rsidRPr="00FA63D7">
              <w:rPr>
                <w:i/>
              </w:rPr>
              <w:t>euro</w:t>
            </w:r>
            <w:r w:rsidRPr="00210AE3">
              <w:t>, tajā skaitā attiecināmās izmaksas 8 568 496,62 </w:t>
            </w:r>
            <w:r w:rsidRPr="00FA63D7">
              <w:rPr>
                <w:i/>
              </w:rPr>
              <w:t>euro</w:t>
            </w:r>
            <w:r w:rsidRPr="00210AE3">
              <w:t>, no kurām Kohēzijas fonda līdzfinansējums ir 7 283 222,13 </w:t>
            </w:r>
            <w:r w:rsidRPr="00FA63D7">
              <w:rPr>
                <w:i/>
              </w:rPr>
              <w:t>euro</w:t>
            </w:r>
            <w:r w:rsidRPr="00210AE3">
              <w:t>.</w:t>
            </w:r>
          </w:p>
          <w:p w:rsidR="00FA63D7" w:rsidRDefault="00FA63D7" w:rsidP="003A7D1E">
            <w:pPr>
              <w:ind w:left="34"/>
              <w:jc w:val="both"/>
            </w:pPr>
            <w:r w:rsidRPr="004B3DC7">
              <w:t xml:space="preserve">Atbilstoši Izpildītāja sniegtajai informācijai kopējie līdzekļi, ko tas ir izlietojis 2014. gada 31. janvāra starp </w:t>
            </w:r>
            <w:r>
              <w:t>PV</w:t>
            </w:r>
            <w:r w:rsidRPr="004B3DC7">
              <w:t xml:space="preserve"> un Izpildītāju noslēgtajā līgumā Nr. PV14-14 par DR1A sērijas dīzeļvilcienu vagonu modernizāciju (turpmāk - Līgums) noteikto modernizācijas darbu izpildei, ir 19 613 885,51 </w:t>
            </w:r>
            <w:r w:rsidRPr="00FA63D7">
              <w:rPr>
                <w:i/>
              </w:rPr>
              <w:t>euro</w:t>
            </w:r>
            <w:r w:rsidRPr="004B3DC7">
              <w:t xml:space="preserve">, kas ir 89% no Līgumā </w:t>
            </w:r>
            <w:r>
              <w:t>kopējās summas</w:t>
            </w:r>
            <w:r w:rsidRPr="004B3DC7">
              <w:t>.</w:t>
            </w:r>
          </w:p>
          <w:p w:rsidR="007A47F2" w:rsidRPr="006B03A6" w:rsidRDefault="006777D6" w:rsidP="003A7D1E">
            <w:pPr>
              <w:ind w:left="34"/>
              <w:jc w:val="both"/>
            </w:pPr>
            <w:r>
              <w:t>Eiropas S</w:t>
            </w:r>
            <w:r w:rsidR="007B4CD6">
              <w:t>avienības fondu a</w:t>
            </w:r>
            <w:r w:rsidR="007B4CD6" w:rsidRPr="00D25947">
              <w:t xml:space="preserve">tbildīgā iestāde </w:t>
            </w:r>
            <w:r w:rsidR="007B4CD6">
              <w:t xml:space="preserve">(turpmāk </w:t>
            </w:r>
            <w:r w:rsidR="004D49F7">
              <w:t>-</w:t>
            </w:r>
            <w:r w:rsidR="007B4CD6">
              <w:t xml:space="preserve"> atbildīgā iestāde) </w:t>
            </w:r>
            <w:r w:rsidR="007B4CD6" w:rsidRPr="00D25947">
              <w:t xml:space="preserve">2015. gada 10. decembrī ir saņēmusi </w:t>
            </w:r>
            <w:r w:rsidR="007B4CD6">
              <w:t>PV</w:t>
            </w:r>
            <w:r w:rsidR="007B4CD6" w:rsidRPr="00D25947">
              <w:t xml:space="preserve"> 2015. gada 9. decembra vēstuli Nr. C.10.F.3/3119, kurā </w:t>
            </w:r>
            <w:r w:rsidR="007B4CD6">
              <w:t>PV</w:t>
            </w:r>
            <w:r w:rsidR="007B4CD6" w:rsidRPr="00D25947">
              <w:t xml:space="preserve"> ir ierosinājis atbildīgajai iestādei pagarināt Projekta īstenošanas termiņu </w:t>
            </w:r>
            <w:r w:rsidR="007B4CD6" w:rsidRPr="00D25947">
              <w:rPr>
                <w:bCs/>
              </w:rPr>
              <w:t xml:space="preserve">pēc 2015.gada 31.decembra. </w:t>
            </w:r>
            <w:r w:rsidR="007B4CD6">
              <w:t>PV</w:t>
            </w:r>
            <w:r w:rsidR="007B4CD6" w:rsidRPr="00D25947">
              <w:t xml:space="preserve"> kopā ar </w:t>
            </w:r>
            <w:r w:rsidR="007B4CD6">
              <w:t>I</w:t>
            </w:r>
            <w:r w:rsidR="007B4CD6" w:rsidRPr="00D25947">
              <w:t xml:space="preserve">zpildītāju ir izvērtējis Projekta īstenošanas iespēju līdz 2015. gada 31. decembrim un ir secinājis, ka nav iespējams pabeigt dīzeļvilcienu modernizāciju līdz iepriekš minētajam termiņam, un ierosinājis pagarināt Projekta īstenošanas termiņu </w:t>
            </w:r>
            <w:r w:rsidR="007B4CD6" w:rsidRPr="00D25947">
              <w:rPr>
                <w:bCs/>
              </w:rPr>
              <w:t>līdz 2016. gada 30. jūnijam</w:t>
            </w:r>
            <w:r w:rsidR="007B4CD6" w:rsidRPr="00D25947">
              <w:t>.</w:t>
            </w:r>
          </w:p>
          <w:p w:rsidR="00C07520" w:rsidRDefault="004D49F7" w:rsidP="003A7D1E">
            <w:pPr>
              <w:ind w:left="34"/>
              <w:jc w:val="both"/>
            </w:pPr>
            <w:r>
              <w:t>PV</w:t>
            </w:r>
            <w:r w:rsidRPr="008445E7">
              <w:t xml:space="preserve"> speciālisti ir izvērtējuši Izpildītāju sniegto informāciju un secinājuši, ka dīzeļvilcienu ritošā sastāva modernizācijas darbi līdz 2015. gada 11. </w:t>
            </w:r>
            <w:r>
              <w:t>d</w:t>
            </w:r>
            <w:r w:rsidRPr="008445E7">
              <w:t>ecembrim ir veikti aptuveni 70% apmērā</w:t>
            </w:r>
            <w:r w:rsidR="00B65799">
              <w:t>.</w:t>
            </w:r>
          </w:p>
          <w:p w:rsidR="00465FD4" w:rsidRDefault="00465FD4" w:rsidP="003A7D1E">
            <w:pPr>
              <w:ind w:left="34"/>
              <w:jc w:val="both"/>
            </w:pPr>
            <w:r w:rsidRPr="00424735">
              <w:t xml:space="preserve">Lai </w:t>
            </w:r>
            <w:r>
              <w:t xml:space="preserve">pabeigtu projekta īstenošanu vēl jāveic sekojošas darbības: </w:t>
            </w:r>
            <w:r w:rsidR="00124746">
              <w:t>Pirmajai</w:t>
            </w:r>
            <w:r>
              <w:t> </w:t>
            </w:r>
            <w:r w:rsidRPr="00424735">
              <w:t xml:space="preserve">vagonu grupai </w:t>
            </w:r>
            <w:r>
              <w:t xml:space="preserve">jāpabeidz </w:t>
            </w:r>
            <w:r w:rsidRPr="00424735">
              <w:t>Ministru kabineta 2010.</w:t>
            </w:r>
            <w:r>
              <w:t> </w:t>
            </w:r>
            <w:r w:rsidRPr="00424735">
              <w:t>gada 28.</w:t>
            </w:r>
            <w:r>
              <w:t> </w:t>
            </w:r>
            <w:r w:rsidRPr="00424735">
              <w:t>decembr</w:t>
            </w:r>
            <w:r>
              <w:t>a</w:t>
            </w:r>
            <w:r w:rsidRPr="00424735">
              <w:t xml:space="preserve"> noteikumos Nr</w:t>
            </w:r>
            <w:r>
              <w:t>. </w:t>
            </w:r>
            <w:r w:rsidRPr="00424735">
              <w:t xml:space="preserve">1211 „Noteikumi par ritošā sastāva būvi, modernizāciju, atjaunošanas remontu, atbilstības novērtēšanu un pieņemšanu ekspluatācijā” (turpmāk </w:t>
            </w:r>
            <w:r>
              <w:t>-</w:t>
            </w:r>
            <w:r w:rsidRPr="00424735">
              <w:t xml:space="preserve"> MK </w:t>
            </w:r>
            <w:r>
              <w:t xml:space="preserve">noteikumi </w:t>
            </w:r>
            <w:r w:rsidRPr="00424735">
              <w:t>Nr.</w:t>
            </w:r>
            <w:r>
              <w:t xml:space="preserve"> </w:t>
            </w:r>
            <w:r w:rsidRPr="00424735">
              <w:t>1211) noteikt</w:t>
            </w:r>
            <w:r>
              <w:t>ais</w:t>
            </w:r>
            <w:r w:rsidRPr="00424735">
              <w:t xml:space="preserve"> sertifikācijas proces</w:t>
            </w:r>
            <w:r>
              <w:t>s</w:t>
            </w:r>
            <w:r w:rsidRPr="00424735">
              <w:t xml:space="preserve">, </w:t>
            </w:r>
            <w:r>
              <w:t>jā</w:t>
            </w:r>
            <w:r w:rsidRPr="00424735">
              <w:t>vei</w:t>
            </w:r>
            <w:r>
              <w:t>c</w:t>
            </w:r>
            <w:r w:rsidRPr="00424735">
              <w:t xml:space="preserve"> izmēģinājuma braucien</w:t>
            </w:r>
            <w:r>
              <w:t>s</w:t>
            </w:r>
            <w:r w:rsidRPr="00424735">
              <w:t xml:space="preserve"> un </w:t>
            </w:r>
            <w:r>
              <w:t>tas jān</w:t>
            </w:r>
            <w:r w:rsidRPr="00424735">
              <w:t>odo</w:t>
            </w:r>
            <w:r>
              <w:t>d</w:t>
            </w:r>
            <w:r w:rsidRPr="00424735">
              <w:t xml:space="preserve"> ekspluatācijā</w:t>
            </w:r>
            <w:r>
              <w:t>,</w:t>
            </w:r>
            <w:r w:rsidRPr="00424735">
              <w:t xml:space="preserve"> ievērojot MK </w:t>
            </w:r>
            <w:r>
              <w:t xml:space="preserve">noteikumos </w:t>
            </w:r>
            <w:r w:rsidRPr="00424735">
              <w:t>Nr.</w:t>
            </w:r>
            <w:r>
              <w:t> </w:t>
            </w:r>
            <w:r w:rsidRPr="00424735">
              <w:t>1211</w:t>
            </w:r>
            <w:r>
              <w:t xml:space="preserve"> noteikto. </w:t>
            </w:r>
            <w:r w:rsidRPr="007D1BDA">
              <w:t>Atlikušajām piecām</w:t>
            </w:r>
            <w:r>
              <w:t xml:space="preserve"> </w:t>
            </w:r>
            <w:r w:rsidRPr="007D1BDA">
              <w:t xml:space="preserve">vagonu grupām nepieciešams veikt atlikušos modernizācijas darbus, rūpnīcas pārbaudes, iestatīšanas darbus, </w:t>
            </w:r>
            <w:r>
              <w:t xml:space="preserve">kā arī </w:t>
            </w:r>
            <w:r w:rsidRPr="007D1BDA">
              <w:t xml:space="preserve">vienam </w:t>
            </w:r>
            <w:proofErr w:type="spellStart"/>
            <w:r w:rsidRPr="007D1BDA">
              <w:t>piekabvagonam</w:t>
            </w:r>
            <w:proofErr w:type="spellEnd"/>
            <w:r w:rsidRPr="007D1BDA">
              <w:t xml:space="preserve"> </w:t>
            </w:r>
            <w:r>
              <w:t xml:space="preserve">jāveic </w:t>
            </w:r>
            <w:r w:rsidRPr="007D1BDA">
              <w:t xml:space="preserve">MK </w:t>
            </w:r>
            <w:r>
              <w:t xml:space="preserve">noteikumos </w:t>
            </w:r>
            <w:r w:rsidRPr="007D1BDA">
              <w:t>Nr.</w:t>
            </w:r>
            <w:r>
              <w:t> </w:t>
            </w:r>
            <w:r w:rsidRPr="007D1BDA">
              <w:t>1211 noteikt</w:t>
            </w:r>
            <w:r>
              <w:t>ais</w:t>
            </w:r>
            <w:r w:rsidRPr="007D1BDA">
              <w:t xml:space="preserve"> sertifikācijas procesu, izmēģinājuma brauciens un </w:t>
            </w:r>
            <w:r>
              <w:t>tas jā</w:t>
            </w:r>
            <w:r w:rsidRPr="007D1BDA">
              <w:t>nodo</w:t>
            </w:r>
            <w:r w:rsidR="00604925">
              <w:t>d</w:t>
            </w:r>
            <w:r w:rsidRPr="007D1BDA">
              <w:t xml:space="preserve"> ekspluatācijā, ievērojot MK </w:t>
            </w:r>
            <w:r>
              <w:t xml:space="preserve">noteikumos </w:t>
            </w:r>
            <w:r w:rsidRPr="007D1BDA">
              <w:t>Nr.</w:t>
            </w:r>
            <w:r>
              <w:t> </w:t>
            </w:r>
            <w:r w:rsidRPr="007D1BDA">
              <w:t>1211</w:t>
            </w:r>
            <w:r>
              <w:t xml:space="preserve"> noteikto.</w:t>
            </w:r>
          </w:p>
          <w:p w:rsidR="00037C7B" w:rsidRDefault="001709F1" w:rsidP="003A7D1E">
            <w:pPr>
              <w:ind w:left="34"/>
              <w:jc w:val="both"/>
            </w:pPr>
            <w:r w:rsidRPr="00496AF5">
              <w:t>Lai</w:t>
            </w:r>
            <w:r w:rsidR="006777D6">
              <w:t xml:space="preserve"> arī attiecināmo izdevumu veikšanas termiņš saskaņā </w:t>
            </w:r>
            <w:r w:rsidR="006777D6" w:rsidRPr="00C42ED3">
              <w:t>ar</w:t>
            </w:r>
            <w:r w:rsidR="005D42B6" w:rsidRPr="00B65799">
              <w:rPr>
                <w:b/>
                <w:bCs/>
                <w:szCs w:val="28"/>
              </w:rPr>
              <w:t xml:space="preserve"> </w:t>
            </w:r>
            <w:r w:rsidR="005D42B6" w:rsidRPr="00604925">
              <w:rPr>
                <w:bCs/>
                <w:szCs w:val="28"/>
              </w:rPr>
              <w:t>Ministru kabineta</w:t>
            </w:r>
            <w:r w:rsidR="006777D6" w:rsidRPr="00C42ED3">
              <w:t xml:space="preserve"> </w:t>
            </w:r>
            <w:r w:rsidR="00C42ED3" w:rsidRPr="00C42ED3">
              <w:rPr>
                <w:bCs/>
                <w:szCs w:val="28"/>
              </w:rPr>
              <w:t>2009.</w:t>
            </w:r>
            <w:r w:rsidR="00C42ED3">
              <w:rPr>
                <w:bCs/>
                <w:szCs w:val="28"/>
              </w:rPr>
              <w:t> </w:t>
            </w:r>
            <w:r w:rsidR="00C42ED3" w:rsidRPr="00C42ED3">
              <w:rPr>
                <w:bCs/>
                <w:szCs w:val="28"/>
              </w:rPr>
              <w:t>gada 25.</w:t>
            </w:r>
            <w:r w:rsidR="00C42ED3">
              <w:rPr>
                <w:bCs/>
                <w:szCs w:val="28"/>
              </w:rPr>
              <w:t> </w:t>
            </w:r>
            <w:r w:rsidR="00C42ED3" w:rsidRPr="00C42ED3">
              <w:rPr>
                <w:bCs/>
                <w:szCs w:val="28"/>
              </w:rPr>
              <w:t>augusta noteikum</w:t>
            </w:r>
            <w:r w:rsidR="00604925">
              <w:rPr>
                <w:bCs/>
                <w:szCs w:val="28"/>
              </w:rPr>
              <w:t>iem</w:t>
            </w:r>
            <w:r w:rsidR="00C42ED3" w:rsidRPr="00C42ED3">
              <w:rPr>
                <w:bCs/>
                <w:szCs w:val="28"/>
              </w:rPr>
              <w:t xml:space="preserve"> Nr.971 „Noteikumi par darbības programmas „Infrastruktūra un pakalpojumi” papildinājuma 3.3.2.1.aktivitāti „</w:t>
            </w:r>
            <w:r w:rsidR="00C42ED3" w:rsidRPr="00C42ED3">
              <w:rPr>
                <w:bCs/>
              </w:rPr>
              <w:t>Ilgtspējīga sabiedriskā transporta sistēmas attīstība</w:t>
            </w:r>
            <w:r w:rsidR="00C42ED3" w:rsidRPr="00C42ED3">
              <w:rPr>
                <w:bCs/>
                <w:szCs w:val="28"/>
              </w:rPr>
              <w:t>””</w:t>
            </w:r>
            <w:r w:rsidR="006777D6">
              <w:t xml:space="preserve"> ir 2015.gada 31. decembris, lai</w:t>
            </w:r>
            <w:r w:rsidRPr="00496AF5">
              <w:t xml:space="preserve"> </w:t>
            </w:r>
            <w:r w:rsidR="006777D6">
              <w:t xml:space="preserve">kopumā </w:t>
            </w:r>
            <w:r w:rsidRPr="00496AF5">
              <w:t xml:space="preserve">sasniegtu </w:t>
            </w:r>
            <w:r>
              <w:t>p</w:t>
            </w:r>
            <w:r w:rsidRPr="00496AF5">
              <w:t xml:space="preserve">rojekta mērķi un nodrošinātu tā funkcionalitāti, nepieciešams pagarināt </w:t>
            </w:r>
            <w:r w:rsidR="008D40D4">
              <w:t xml:space="preserve">tā </w:t>
            </w:r>
            <w:r w:rsidRPr="00496AF5">
              <w:t xml:space="preserve">īstenošanas termiņu </w:t>
            </w:r>
            <w:r w:rsidRPr="00496AF5">
              <w:rPr>
                <w:bCs/>
              </w:rPr>
              <w:t xml:space="preserve">līdz 2016. gada 30. jūnijam. Termiņa pagarinājums nepieciešams sakarā ar to, </w:t>
            </w:r>
            <w:r>
              <w:rPr>
                <w:bCs/>
              </w:rPr>
              <w:t xml:space="preserve">ka </w:t>
            </w:r>
            <w:r w:rsidRPr="00496AF5">
              <w:rPr>
                <w:bCs/>
              </w:rPr>
              <w:t xml:space="preserve">vagonu sertifikācijas procesa īstenošanai ir nepieciešams </w:t>
            </w:r>
            <w:r w:rsidRPr="00496AF5">
              <w:t xml:space="preserve">lielāks laika periods nekā sākotnēji </w:t>
            </w:r>
            <w:r>
              <w:t xml:space="preserve">tika </w:t>
            </w:r>
            <w:r w:rsidRPr="00496AF5">
              <w:t xml:space="preserve">plānots. Pirmās modernizētās vagonu grupas sertifikācijas process un izmēģinājumu braucieni ir uzrādījuši nopietnas nepilnības, kuras nepieciešams novērst un šī darba veikšanai, atbilstoši Izpildītāja informācijai, ir nepieciešams laiks. Izmēģinājuma braucieni un sertifikācija norit rudens/ziemas apstākļos, līdz ar to nav iespējams nodrošināt nepieciešamos ārējās vides un sliežu ceļu tehniskos </w:t>
            </w:r>
            <w:r w:rsidRPr="00496AF5">
              <w:lastRenderedPageBreak/>
              <w:t>apstākļus, kas savukārt apgrūtina dīzeļvilcienu sistēmu darbības ekspluatācijas parametru objektīvu pārbaudi. Bez pārliecības par visu modernizēto dīzeļvilciena sistēmu nevainojamu darbu atbilstoši dzelzceļa tehniskās ekspluatācijas noteikumiem un visu nepilnību novēršanas dīzeļvilcienu komerciāla ekspluatācija nav iespējama.</w:t>
            </w:r>
          </w:p>
          <w:p w:rsidR="00465FD4" w:rsidRDefault="00124380" w:rsidP="003A7D1E">
            <w:pPr>
              <w:ind w:left="34"/>
              <w:jc w:val="both"/>
            </w:pPr>
            <w:r>
              <w:t>PV</w:t>
            </w:r>
            <w:r w:rsidRPr="00621062">
              <w:t xml:space="preserve"> </w:t>
            </w:r>
            <w:r w:rsidR="006777D6">
              <w:t xml:space="preserve">jau </w:t>
            </w:r>
            <w:r w:rsidRPr="00621062">
              <w:t xml:space="preserve">šobrīd īsteno sekojošus </w:t>
            </w:r>
            <w:r>
              <w:t>p</w:t>
            </w:r>
            <w:r w:rsidRPr="00621062">
              <w:t xml:space="preserve">rojekta risku vadības pasākumus: darbojas modernizācijas uzraudzības komiteja, </w:t>
            </w:r>
            <w:r>
              <w:t>p</w:t>
            </w:r>
            <w:r w:rsidRPr="00621062">
              <w:t>rojekta vadības grupa un tehniskā darba grupa; tiek veikta regulāra Līguma izpildes uzraudzība rūpnīcā;</w:t>
            </w:r>
            <w:r>
              <w:t xml:space="preserve"> ir </w:t>
            </w:r>
            <w:r w:rsidRPr="00621062">
              <w:t xml:space="preserve">iespēja piesaistīt neatkarīgus ekspertus </w:t>
            </w:r>
            <w:r w:rsidRPr="00621062">
              <w:rPr>
                <w:szCs w:val="21"/>
              </w:rPr>
              <w:t>Līguma izpildes progresa izvērtēšanai.</w:t>
            </w:r>
          </w:p>
          <w:p w:rsidR="00124380" w:rsidRDefault="00587726" w:rsidP="003A7D1E">
            <w:pPr>
              <w:ind w:left="34"/>
              <w:jc w:val="both"/>
            </w:pPr>
            <w:r w:rsidRPr="00B43B00">
              <w:rPr>
                <w:bCs/>
              </w:rPr>
              <w:t xml:space="preserve">Saskaņā ar </w:t>
            </w:r>
            <w:r>
              <w:rPr>
                <w:bCs/>
              </w:rPr>
              <w:t>I</w:t>
            </w:r>
            <w:r w:rsidRPr="00B43B00">
              <w:t>zpildītāja sniegto informāciju pirmo vagonu grupu plānots nodot ekspluatācijā 2016.</w:t>
            </w:r>
            <w:r>
              <w:t> </w:t>
            </w:r>
            <w:r w:rsidRPr="00B43B00">
              <w:t>gada 22. februārī, savukārt pēdējo vagonu grupu - 2016. gada 31. maijā.</w:t>
            </w:r>
          </w:p>
          <w:p w:rsidR="00633BB0" w:rsidRDefault="00E60820" w:rsidP="003A7D1E">
            <w:pPr>
              <w:ind w:left="34"/>
              <w:jc w:val="both"/>
              <w:rPr>
                <w:bCs/>
              </w:rPr>
            </w:pPr>
            <w:r w:rsidRPr="00E60820">
              <w:t>Satiksmes ministrija</w:t>
            </w:r>
            <w:r w:rsidRPr="00D25947">
              <w:rPr>
                <w:bCs/>
              </w:rPr>
              <w:t xml:space="preserve"> 2015. gada 17. decembrī </w:t>
            </w:r>
            <w:r>
              <w:rPr>
                <w:bCs/>
              </w:rPr>
              <w:t xml:space="preserve">ir </w:t>
            </w:r>
            <w:r w:rsidRPr="00D25947">
              <w:rPr>
                <w:bCs/>
              </w:rPr>
              <w:t>vei</w:t>
            </w:r>
            <w:r>
              <w:rPr>
                <w:bCs/>
              </w:rPr>
              <w:t>kusi</w:t>
            </w:r>
            <w:r w:rsidRPr="00D25947">
              <w:rPr>
                <w:bCs/>
              </w:rPr>
              <w:t xml:space="preserve"> pārbaudi projekta īstenošanas vietā</w:t>
            </w:r>
            <w:r>
              <w:rPr>
                <w:bCs/>
              </w:rPr>
              <w:t xml:space="preserve">, lai gūtu pārliecību par PV un Izpildītāja sniegtās informācijas par </w:t>
            </w:r>
            <w:r w:rsidRPr="00F344E6">
              <w:t>faktiski izpildīt</w:t>
            </w:r>
            <w:r>
              <w:t xml:space="preserve">o </w:t>
            </w:r>
            <w:r w:rsidRPr="00F344E6">
              <w:t>un veicam</w:t>
            </w:r>
            <w:r>
              <w:t xml:space="preserve">o vagonu modernizācijas </w:t>
            </w:r>
            <w:r w:rsidRPr="00F344E6">
              <w:t>darb</w:t>
            </w:r>
            <w:r>
              <w:t xml:space="preserve">u </w:t>
            </w:r>
            <w:r>
              <w:rPr>
                <w:bCs/>
              </w:rPr>
              <w:t>atbilstību faktiskajai situācijai</w:t>
            </w:r>
            <w:r w:rsidRPr="00D25947">
              <w:rPr>
                <w:bCs/>
              </w:rPr>
              <w:t>.</w:t>
            </w:r>
          </w:p>
          <w:p w:rsidR="00124380" w:rsidRDefault="00D55A8E" w:rsidP="003A7D1E">
            <w:pPr>
              <w:ind w:left="34"/>
              <w:jc w:val="both"/>
            </w:pPr>
            <w:r w:rsidRPr="00E60820">
              <w:t>Satiksmes ministrija, rūpīgi</w:t>
            </w:r>
            <w:r w:rsidRPr="00FA1B28">
              <w:t xml:space="preserve"> apsverot pieejamo informāciju</w:t>
            </w:r>
            <w:r w:rsidR="00C70D8A">
              <w:t xml:space="preserve"> un </w:t>
            </w:r>
            <w:r w:rsidR="00C70D8A" w:rsidRPr="00D25947">
              <w:rPr>
                <w:bCs/>
              </w:rPr>
              <w:t>pārbaud</w:t>
            </w:r>
            <w:r w:rsidR="00C70D8A">
              <w:rPr>
                <w:bCs/>
              </w:rPr>
              <w:t>ē</w:t>
            </w:r>
            <w:r w:rsidR="00C70D8A" w:rsidRPr="00D25947">
              <w:rPr>
                <w:bCs/>
              </w:rPr>
              <w:t xml:space="preserve"> projekta īstenošanas vietā</w:t>
            </w:r>
            <w:r w:rsidR="00C70D8A">
              <w:rPr>
                <w:bCs/>
              </w:rPr>
              <w:t xml:space="preserve"> konstatēto</w:t>
            </w:r>
            <w:r w:rsidRPr="00FA1B28">
              <w:t>, ir guvusi pārliecību un secina, ka, ja projekta īstenošanas termiņš, ievērojot</w:t>
            </w:r>
            <w:r>
              <w:t xml:space="preserve"> Eiropas Savienības fondu vadošās iestādes 2015. gada 22. jūlija skaidrojumu par </w:t>
            </w:r>
            <w:r w:rsidRPr="00C667C4">
              <w:t>„</w:t>
            </w:r>
            <w:r w:rsidRPr="00EF585B">
              <w:t>VI vadlīniju attiecināmo un neattiecināmo izmaksu noteikšanai 2007.-2013.</w:t>
            </w:r>
            <w:r>
              <w:t> </w:t>
            </w:r>
            <w:r w:rsidRPr="00EF585B">
              <w:t>gada plānošanas periodā”</w:t>
            </w:r>
            <w:r w:rsidRPr="00B27817">
              <w:t xml:space="preserve"> </w:t>
            </w:r>
            <w:r w:rsidRPr="00EF585B">
              <w:t>43.</w:t>
            </w:r>
            <w:r>
              <w:t> </w:t>
            </w:r>
            <w:r w:rsidRPr="00EF585B">
              <w:t>punktu,</w:t>
            </w:r>
            <w:r>
              <w:t xml:space="preserve"> </w:t>
            </w:r>
            <w:r w:rsidRPr="00EF585B">
              <w:t xml:space="preserve">kas nosaka projekta īstenošanas termiņu </w:t>
            </w:r>
            <w:r w:rsidRPr="00C667C4">
              <w:t>„</w:t>
            </w:r>
            <w:r w:rsidRPr="00EF585B">
              <w:t xml:space="preserve">mazos” projektos un </w:t>
            </w:r>
            <w:r w:rsidRPr="00DF33E9">
              <w:t>tā pagarinājuma iespējas</w:t>
            </w:r>
            <w:r>
              <w:t xml:space="preserve"> </w:t>
            </w:r>
            <w:r w:rsidRPr="00DF33E9">
              <w:t xml:space="preserve">atsevišķos pamatotos </w:t>
            </w:r>
            <w:r w:rsidRPr="00DF33E9">
              <w:rPr>
                <w:bCs/>
              </w:rPr>
              <w:t>izņēmuma gadījumos</w:t>
            </w:r>
            <w:r>
              <w:rPr>
                <w:bCs/>
              </w:rPr>
              <w:t xml:space="preserve"> </w:t>
            </w:r>
            <w:r>
              <w:t xml:space="preserve">līdz 2016. gada 30. jūnijam, tiks pagarināts līdz 2016. gada 30. jūnijam, PV </w:t>
            </w:r>
            <w:r w:rsidRPr="00CA779E">
              <w:t>varēs nodrošināt pilnīgu projekta mērķu sasniegšanu</w:t>
            </w:r>
            <w:r>
              <w:t>.</w:t>
            </w:r>
          </w:p>
          <w:p w:rsidR="00D55A8E" w:rsidRDefault="00D55A8E" w:rsidP="003A7D1E">
            <w:pPr>
              <w:ind w:left="34"/>
              <w:jc w:val="both"/>
            </w:pPr>
          </w:p>
          <w:p w:rsidR="008E7811" w:rsidRPr="00A32F71" w:rsidRDefault="009131B2" w:rsidP="003A7D1E">
            <w:pPr>
              <w:ind w:left="34"/>
              <w:jc w:val="both"/>
            </w:pPr>
            <w:r w:rsidRPr="00CA779E">
              <w:t>Tādejādi, lai varētu attiecināt projekt</w:t>
            </w:r>
            <w:r>
              <w:t xml:space="preserve">ā </w:t>
            </w:r>
            <w:r w:rsidRPr="00CA779E">
              <w:t xml:space="preserve">veiktās izmaksas un nezaudētu Kohēzija fonda finansējumu, </w:t>
            </w:r>
            <w:r w:rsidR="006777D6">
              <w:t>tādējādi</w:t>
            </w:r>
            <w:r w:rsidR="006777D6" w:rsidRPr="00CA779E">
              <w:t xml:space="preserve"> </w:t>
            </w:r>
            <w:r w:rsidRPr="00CA779E">
              <w:t xml:space="preserve">neradot </w:t>
            </w:r>
            <w:r w:rsidR="006777D6">
              <w:t xml:space="preserve">papildu </w:t>
            </w:r>
            <w:r w:rsidRPr="00CA779E">
              <w:t>slogu valsts budžetam</w:t>
            </w:r>
            <w:r w:rsidR="006777D6">
              <w:t xml:space="preserve"> līdz šim projektā veikto izdevumu apmērā,</w:t>
            </w:r>
            <w:r w:rsidRPr="00CA779E">
              <w:t xml:space="preserve"> Satiksmes ministrija ierosina veikt šādus grozījumus </w:t>
            </w:r>
            <w:r w:rsidRPr="004613CD">
              <w:rPr>
                <w:bCs/>
              </w:rPr>
              <w:t>Ministru kabineta 200</w:t>
            </w:r>
            <w:r w:rsidR="00A32F71">
              <w:rPr>
                <w:bCs/>
              </w:rPr>
              <w:t>9</w:t>
            </w:r>
            <w:r w:rsidRPr="004613CD">
              <w:rPr>
                <w:bCs/>
              </w:rPr>
              <w:t xml:space="preserve">.gada </w:t>
            </w:r>
            <w:r w:rsidR="00A32F71">
              <w:rPr>
                <w:bCs/>
              </w:rPr>
              <w:t>25</w:t>
            </w:r>
            <w:r w:rsidRPr="004613CD">
              <w:rPr>
                <w:bCs/>
              </w:rPr>
              <w:t>.</w:t>
            </w:r>
            <w:r w:rsidR="00A32F71">
              <w:rPr>
                <w:bCs/>
              </w:rPr>
              <w:t>augusta</w:t>
            </w:r>
            <w:r w:rsidRPr="004613CD">
              <w:rPr>
                <w:bCs/>
              </w:rPr>
              <w:t xml:space="preserve"> noteikum</w:t>
            </w:r>
            <w:r w:rsidR="00A32F71">
              <w:rPr>
                <w:bCs/>
              </w:rPr>
              <w:t>os</w:t>
            </w:r>
            <w:r w:rsidRPr="004613CD">
              <w:rPr>
                <w:bCs/>
              </w:rPr>
              <w:t xml:space="preserve"> </w:t>
            </w:r>
            <w:r w:rsidRPr="00A32F71">
              <w:rPr>
                <w:bCs/>
              </w:rPr>
              <w:t>Nr.</w:t>
            </w:r>
            <w:r w:rsidR="00A32F71" w:rsidRPr="00A32F71">
              <w:rPr>
                <w:bCs/>
              </w:rPr>
              <w:t>971</w:t>
            </w:r>
            <w:r w:rsidRPr="00A32F71">
              <w:rPr>
                <w:bCs/>
              </w:rPr>
              <w:t xml:space="preserve"> „Noteikumi par darbības programmas „Infrastruktūra un pakalpojumi” papildinājuma </w:t>
            </w:r>
            <w:r w:rsidR="00A32F71" w:rsidRPr="00A32F71">
              <w:rPr>
                <w:bCs/>
              </w:rPr>
              <w:t>3.3.2.1.aktivitāti „Ilgtspējīga sabiedriskā transporta sistēmas attīstība””</w:t>
            </w:r>
            <w:r w:rsidRPr="00A32F71">
              <w:t>:</w:t>
            </w:r>
          </w:p>
          <w:p w:rsidR="00684B6E" w:rsidRPr="008176F0" w:rsidRDefault="00684B6E" w:rsidP="00684B6E">
            <w:pPr>
              <w:pStyle w:val="ListParagraph"/>
              <w:numPr>
                <w:ilvl w:val="0"/>
                <w:numId w:val="40"/>
              </w:numPr>
              <w:jc w:val="both"/>
            </w:pPr>
            <w:r w:rsidRPr="008A288E">
              <w:t xml:space="preserve">Atbilstoši 2015.gada 10.jūlijā Ministru kabinetā apstiprinātajiem  grozījumiem </w:t>
            </w:r>
            <w:r>
              <w:t xml:space="preserve">Ministru kabineta </w:t>
            </w:r>
            <w:r w:rsidRPr="002D5740">
              <w:t>2010.gada 9.novembr</w:t>
            </w:r>
            <w:r>
              <w:t>a</w:t>
            </w:r>
            <w:r w:rsidRPr="008A288E">
              <w:t xml:space="preserve"> noteikumos Nr.1041</w:t>
            </w:r>
            <w:r>
              <w:t xml:space="preserve"> “</w:t>
            </w:r>
            <w:r w:rsidRPr="002D5740">
              <w:t>Kārtība, kādā paredzami valsts budžeta līdzekļi Eiropas Savienības struktūrfondu un Kohēzijas fonda līdzfinansēto projektu īstenošanai, kā arī maksājumu veikšanas un izdevumu deklarācijas sagatavošanas kārtība</w:t>
            </w:r>
            <w:r>
              <w:t>”</w:t>
            </w:r>
            <w:r w:rsidRPr="008A288E">
              <w:t xml:space="preserve">, kas  papildina 16.3.apakšpunktu nosakot, ka noslēguma maksājums veicams pēc projekta īstenošanas, ja vien normatīvajā aktā par aktivitātes īstenošanu nav noteikts citādi, noteikumu projekts </w:t>
            </w:r>
            <w:r w:rsidRPr="00C07520">
              <w:t xml:space="preserve">tiek papildināts ar </w:t>
            </w:r>
            <w:r w:rsidR="004C208F" w:rsidRPr="00C07520">
              <w:t>40</w:t>
            </w:r>
            <w:r w:rsidRPr="00C07520">
              <w:t>. punktu, kurš nosaka, ka atbildīgā iestāde projekt</w:t>
            </w:r>
            <w:r w:rsidR="00A970E2">
              <w:t>am</w:t>
            </w:r>
            <w:r w:rsidRPr="00C07520">
              <w:t>,</w:t>
            </w:r>
            <w:r w:rsidR="00C07520" w:rsidRPr="00C07520">
              <w:t xml:space="preserve"> kurš nebūs pilnībā pabeigts līdz Padomes 2006. gada 11. jūlija Regulas (EK) Nr. 1083/2006, ar ko paredz vispārīgus noteikumus par Eiropas Reģionālās attīstības fondu, Eiropas Sociālo fondu un Kohēzijas fondu un atceļ Regulu (EK) Nr. 1260/1999, 56. panta 1. punktā noteiktajam termiņam, </w:t>
            </w:r>
            <w:r w:rsidR="00A970E2">
              <w:t>veic</w:t>
            </w:r>
            <w:r w:rsidRPr="00C07520">
              <w:t xml:space="preserve"> noslēguma </w:t>
            </w:r>
            <w:r w:rsidRPr="008176F0">
              <w:lastRenderedPageBreak/>
              <w:t xml:space="preserve">maksājumu pirms projekta </w:t>
            </w:r>
            <w:r w:rsidR="008176F0" w:rsidRPr="008176F0">
              <w:rPr>
                <w:color w:val="000000"/>
              </w:rPr>
              <w:t>mērķu sasniegšanas</w:t>
            </w:r>
            <w:r w:rsidRPr="008176F0">
              <w:t>.</w:t>
            </w:r>
          </w:p>
          <w:p w:rsidR="00A14B4B" w:rsidRPr="00CB0D6F" w:rsidRDefault="00684B6E" w:rsidP="00232A5F">
            <w:pPr>
              <w:pStyle w:val="ListParagraph"/>
              <w:numPr>
                <w:ilvl w:val="0"/>
                <w:numId w:val="40"/>
              </w:numPr>
              <w:jc w:val="both"/>
            </w:pPr>
            <w:r w:rsidRPr="008176F0">
              <w:t xml:space="preserve">Noteikumu projekts papildināts ar </w:t>
            </w:r>
            <w:r w:rsidR="00DE4252" w:rsidRPr="008176F0">
              <w:t>42.</w:t>
            </w:r>
            <w:r w:rsidRPr="008176F0">
              <w:t>punktu, kur</w:t>
            </w:r>
            <w:r w:rsidR="003E1694" w:rsidRPr="008176F0">
              <w:t>š</w:t>
            </w:r>
            <w:r w:rsidRPr="00814008">
              <w:t xml:space="preserve"> nosaka pienākumus finansējuma saņēmējam attiecībā</w:t>
            </w:r>
            <w:r>
              <w:t xml:space="preserve"> par</w:t>
            </w:r>
            <w:r w:rsidRPr="00814008">
              <w:t xml:space="preserve"> projekta īstenošanu pēc 2015.gada 31.decembra</w:t>
            </w:r>
            <w:r>
              <w:t>.</w:t>
            </w:r>
          </w:p>
        </w:tc>
      </w:tr>
      <w:tr w:rsidR="00385F0D" w:rsidRPr="00427146" w:rsidTr="007528EE">
        <w:trPr>
          <w:trHeight w:val="46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3.</w:t>
            </w:r>
          </w:p>
        </w:tc>
        <w:tc>
          <w:tcPr>
            <w:tcW w:w="1132" w:type="pct"/>
            <w:hideMark/>
          </w:tcPr>
          <w:p w:rsidR="00385F0D" w:rsidRPr="00427146" w:rsidRDefault="00385F0D">
            <w:pPr>
              <w:rPr>
                <w:color w:val="000000"/>
              </w:rPr>
            </w:pPr>
            <w:r w:rsidRPr="00427146">
              <w:rPr>
                <w:color w:val="000000"/>
              </w:rPr>
              <w:t>Projekta izstrādē iesaistītās institūcijas</w:t>
            </w:r>
          </w:p>
        </w:tc>
        <w:tc>
          <w:tcPr>
            <w:tcW w:w="3590" w:type="pct"/>
            <w:hideMark/>
          </w:tcPr>
          <w:p w:rsidR="00385F0D" w:rsidRPr="00427146" w:rsidRDefault="00C62304" w:rsidP="001A0661">
            <w:pPr>
              <w:ind w:right="72"/>
              <w:jc w:val="both"/>
              <w:rPr>
                <w:color w:val="000000"/>
              </w:rPr>
            </w:pPr>
            <w:r w:rsidRPr="00C62304">
              <w:rPr>
                <w:color w:val="000000" w:themeColor="text1"/>
              </w:rPr>
              <w:t>Nav attiecināms</w:t>
            </w:r>
          </w:p>
        </w:tc>
      </w:tr>
      <w:tr w:rsidR="00385F0D" w:rsidRPr="00427146" w:rsidTr="007528EE">
        <w:trPr>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132" w:type="pct"/>
            <w:hideMark/>
          </w:tcPr>
          <w:p w:rsidR="00385F0D" w:rsidRPr="00427146" w:rsidRDefault="00385F0D">
            <w:pPr>
              <w:rPr>
                <w:color w:val="000000"/>
              </w:rPr>
            </w:pPr>
            <w:r w:rsidRPr="00427146">
              <w:rPr>
                <w:color w:val="000000"/>
              </w:rPr>
              <w:t>Cita informācija</w:t>
            </w:r>
          </w:p>
        </w:tc>
        <w:tc>
          <w:tcPr>
            <w:tcW w:w="0" w:type="auto"/>
            <w:hideMark/>
          </w:tcPr>
          <w:p w:rsidR="00FF0B14" w:rsidRDefault="00385F0D" w:rsidP="00C62304">
            <w:pPr>
              <w:ind w:right="72"/>
              <w:jc w:val="both"/>
              <w:rPr>
                <w:color w:val="000000" w:themeColor="text1"/>
              </w:rPr>
            </w:pPr>
            <w:r w:rsidRPr="00FF0B14">
              <w:rPr>
                <w:color w:val="000000" w:themeColor="text1"/>
              </w:rPr>
              <w:t xml:space="preserve">Sabiedrības līdzdalība noteikumu projekta izstrādē netika nodrošināta, jo </w:t>
            </w:r>
            <w:r w:rsidR="00572572" w:rsidRPr="00FF0B14">
              <w:rPr>
                <w:color w:val="000000" w:themeColor="text1"/>
              </w:rPr>
              <w:t xml:space="preserve">noteikumu </w:t>
            </w:r>
            <w:r w:rsidRPr="00FF0B14">
              <w:rPr>
                <w:color w:val="000000" w:themeColor="text1"/>
              </w:rPr>
              <w:t xml:space="preserve">projekts </w:t>
            </w:r>
            <w:r w:rsidR="006C22C7" w:rsidRPr="00FF0B14">
              <w:rPr>
                <w:color w:val="000000" w:themeColor="text1"/>
              </w:rPr>
              <w:t xml:space="preserve">būtiski </w:t>
            </w:r>
            <w:r w:rsidRPr="00FF0B14">
              <w:rPr>
                <w:color w:val="000000" w:themeColor="text1"/>
              </w:rPr>
              <w:t>nemain</w:t>
            </w:r>
            <w:r w:rsidR="006C22C7" w:rsidRPr="00FF0B14">
              <w:rPr>
                <w:color w:val="000000" w:themeColor="text1"/>
              </w:rPr>
              <w:t>a pastāvošo tiesisko regulējumu</w:t>
            </w:r>
            <w:r w:rsidRPr="00FF0B14">
              <w:rPr>
                <w:color w:val="000000" w:themeColor="text1"/>
              </w:rPr>
              <w:t>.</w:t>
            </w:r>
            <w:r w:rsidR="00C62304" w:rsidRPr="00FF0B14">
              <w:rPr>
                <w:color w:val="000000" w:themeColor="text1"/>
              </w:rPr>
              <w:t xml:space="preserve"> </w:t>
            </w:r>
          </w:p>
          <w:p w:rsidR="00C62304" w:rsidRPr="00FF0B14" w:rsidRDefault="00FF0B14" w:rsidP="007528EE">
            <w:pPr>
              <w:ind w:right="72"/>
              <w:jc w:val="both"/>
              <w:rPr>
                <w:color w:val="000000" w:themeColor="text1"/>
              </w:rPr>
            </w:pPr>
            <w:r>
              <w:rPr>
                <w:color w:val="000000" w:themeColor="text1"/>
              </w:rPr>
              <w:t>N</w:t>
            </w:r>
            <w:r w:rsidR="00C62304" w:rsidRPr="00FF0B14">
              <w:rPr>
                <w:color w:val="000000" w:themeColor="text1"/>
              </w:rPr>
              <w:t>oteikumu projekta sagatavošanā izmantots</w:t>
            </w:r>
            <w:r w:rsidR="007528EE" w:rsidRPr="007528EE">
              <w:t xml:space="preserve"> </w:t>
            </w:r>
            <w:r w:rsidR="007528EE" w:rsidRPr="007528EE">
              <w:rPr>
                <w:color w:val="000000" w:themeColor="text1"/>
              </w:rPr>
              <w:t>Slēgšanas pamatnostādnes</w:t>
            </w:r>
            <w:r w:rsidR="007528EE">
              <w:rPr>
                <w:color w:val="000000" w:themeColor="text1"/>
              </w:rPr>
              <w:t xml:space="preserve"> un</w:t>
            </w:r>
            <w:r w:rsidR="00C62304" w:rsidRPr="00FF0B14">
              <w:rPr>
                <w:color w:val="000000" w:themeColor="text1"/>
              </w:rPr>
              <w:t xml:space="preserve"> Eiropas Savienības struktūrfondu un Kohēzijas fonda vadošās iestādes 2015.gada </w:t>
            </w:r>
            <w:r w:rsidR="007528EE">
              <w:rPr>
                <w:color w:val="000000" w:themeColor="text1"/>
              </w:rPr>
              <w:t>22</w:t>
            </w:r>
            <w:r w:rsidR="00C62304" w:rsidRPr="00FF0B14">
              <w:rPr>
                <w:color w:val="000000" w:themeColor="text1"/>
              </w:rPr>
              <w:t>.jū</w:t>
            </w:r>
            <w:r w:rsidR="007528EE">
              <w:rPr>
                <w:color w:val="000000" w:themeColor="text1"/>
              </w:rPr>
              <w:t>lija</w:t>
            </w:r>
            <w:r w:rsidR="00C62304" w:rsidRPr="00FF0B14">
              <w:rPr>
                <w:color w:val="000000" w:themeColor="text1"/>
              </w:rPr>
              <w:t xml:space="preserve"> skaidrojums “Par VI vadlīniju attiecināmo un neattiecināmo izmaksu noteikšanai 2007.-2013.gad</w:t>
            </w:r>
            <w:r w:rsidR="007528EE">
              <w:rPr>
                <w:color w:val="000000" w:themeColor="text1"/>
              </w:rPr>
              <w:t>a plānošanas periodā 43.punktu”.</w:t>
            </w:r>
          </w:p>
        </w:tc>
      </w:tr>
    </w:tbl>
    <w:p w:rsidR="00B239CC" w:rsidRPr="006B0B81" w:rsidRDefault="00B239CC" w:rsidP="00B239CC">
      <w:pPr>
        <w:ind w:left="425" w:hanging="79"/>
        <w:jc w:val="both"/>
        <w:rPr>
          <w:i/>
          <w:iCs/>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0"/>
        <w:gridCol w:w="2572"/>
        <w:gridCol w:w="6653"/>
      </w:tblGrid>
      <w:tr w:rsidR="00AA00A2" w:rsidRPr="00427146" w:rsidTr="006E2DAC">
        <w:trPr>
          <w:trHeight w:val="519"/>
          <w:tblCellSpacing w:w="15" w:type="dxa"/>
        </w:trPr>
        <w:tc>
          <w:tcPr>
            <w:tcW w:w="4968"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6E2DAC">
        <w:trPr>
          <w:trHeight w:val="465"/>
          <w:tblCellSpacing w:w="15" w:type="dxa"/>
        </w:trPr>
        <w:tc>
          <w:tcPr>
            <w:tcW w:w="201" w:type="pct"/>
            <w:hideMark/>
          </w:tcPr>
          <w:p w:rsidR="007E1737" w:rsidRPr="00427146" w:rsidRDefault="007E1737" w:rsidP="00541F62">
            <w:pPr>
              <w:rPr>
                <w:color w:val="000000"/>
              </w:rPr>
            </w:pPr>
            <w:r w:rsidRPr="00427146">
              <w:rPr>
                <w:color w:val="000000"/>
              </w:rPr>
              <w:t>1.</w:t>
            </w:r>
          </w:p>
        </w:tc>
        <w:tc>
          <w:tcPr>
            <w:tcW w:w="1324" w:type="pct"/>
            <w:hideMark/>
          </w:tcPr>
          <w:p w:rsidR="007E1737" w:rsidRPr="00427146" w:rsidRDefault="007E1737" w:rsidP="007E1737">
            <w:pPr>
              <w:rPr>
                <w:color w:val="000000"/>
              </w:rPr>
            </w:pPr>
            <w:r w:rsidRPr="00427146">
              <w:rPr>
                <w:color w:val="000000"/>
              </w:rPr>
              <w:t>Nepieciešamie saistītie tiesību aktu projekti</w:t>
            </w:r>
          </w:p>
        </w:tc>
        <w:tc>
          <w:tcPr>
            <w:tcW w:w="3412" w:type="pct"/>
            <w:hideMark/>
          </w:tcPr>
          <w:p w:rsidR="007E1737" w:rsidRPr="00427146" w:rsidRDefault="00A86B6A" w:rsidP="00F63F27">
            <w:pPr>
              <w:ind w:right="72"/>
              <w:jc w:val="both"/>
              <w:rPr>
                <w:color w:val="000000"/>
              </w:rPr>
            </w:pPr>
            <w:r w:rsidRPr="00C62304">
              <w:rPr>
                <w:color w:val="000000" w:themeColor="text1"/>
              </w:rPr>
              <w:t>Nav attiecināms</w:t>
            </w:r>
          </w:p>
        </w:tc>
      </w:tr>
      <w:tr w:rsidR="007E1737" w:rsidRPr="00427146" w:rsidTr="006E2DAC">
        <w:trPr>
          <w:trHeight w:val="435"/>
          <w:tblCellSpacing w:w="15" w:type="dxa"/>
        </w:trPr>
        <w:tc>
          <w:tcPr>
            <w:tcW w:w="201" w:type="pct"/>
            <w:hideMark/>
          </w:tcPr>
          <w:p w:rsidR="007E1737" w:rsidRPr="00427146" w:rsidRDefault="007E1737" w:rsidP="00541F62">
            <w:pPr>
              <w:rPr>
                <w:color w:val="000000"/>
              </w:rPr>
            </w:pPr>
            <w:r w:rsidRPr="00427146">
              <w:rPr>
                <w:color w:val="000000"/>
              </w:rPr>
              <w:t>2.</w:t>
            </w:r>
          </w:p>
        </w:tc>
        <w:tc>
          <w:tcPr>
            <w:tcW w:w="1324" w:type="pct"/>
            <w:hideMark/>
          </w:tcPr>
          <w:p w:rsidR="007E1737" w:rsidRPr="00427146" w:rsidRDefault="007E1737" w:rsidP="007E1737">
            <w:pPr>
              <w:rPr>
                <w:color w:val="000000"/>
              </w:rPr>
            </w:pPr>
            <w:r w:rsidRPr="00427146">
              <w:rPr>
                <w:color w:val="000000"/>
              </w:rPr>
              <w:t>Atbildīgā institūcija</w:t>
            </w:r>
          </w:p>
        </w:tc>
        <w:tc>
          <w:tcPr>
            <w:tcW w:w="3412" w:type="pct"/>
            <w:hideMark/>
          </w:tcPr>
          <w:p w:rsidR="007E1737" w:rsidRPr="00427146" w:rsidRDefault="00F63F27" w:rsidP="00F83515">
            <w:pPr>
              <w:jc w:val="both"/>
              <w:rPr>
                <w:color w:val="000000"/>
              </w:rPr>
            </w:pPr>
            <w:r w:rsidRPr="00F63F27">
              <w:rPr>
                <w:bCs/>
                <w:color w:val="000000"/>
              </w:rPr>
              <w:t xml:space="preserve">Par anotācijas </w:t>
            </w:r>
            <w:proofErr w:type="spellStart"/>
            <w:r w:rsidRPr="00F63F27">
              <w:rPr>
                <w:bCs/>
                <w:color w:val="000000"/>
              </w:rPr>
              <w:t>IV.sadaļas</w:t>
            </w:r>
            <w:proofErr w:type="spellEnd"/>
            <w:r w:rsidRPr="00F63F27">
              <w:rPr>
                <w:bCs/>
                <w:color w:val="000000"/>
              </w:rPr>
              <w:t xml:space="preserve"> 1.punktā minētā Ministru kabineta noteikumu projekta izstrādi atbildīga ir Satiksmes ministrija un tas tiks virzīts izskatīšanai Ministru kabinetā vienlaikus ar šo Ministru kabineta noteikumu projektu.</w:t>
            </w:r>
          </w:p>
        </w:tc>
      </w:tr>
      <w:tr w:rsidR="007E1737" w:rsidRPr="00427146" w:rsidTr="006E2DAC">
        <w:trPr>
          <w:trHeight w:val="457"/>
          <w:tblCellSpacing w:w="15" w:type="dxa"/>
        </w:trPr>
        <w:tc>
          <w:tcPr>
            <w:tcW w:w="201" w:type="pct"/>
            <w:hideMark/>
          </w:tcPr>
          <w:p w:rsidR="007E1737" w:rsidRPr="00427146" w:rsidRDefault="007E1737" w:rsidP="00541F62">
            <w:pPr>
              <w:rPr>
                <w:color w:val="000000"/>
              </w:rPr>
            </w:pPr>
            <w:r w:rsidRPr="00427146">
              <w:rPr>
                <w:color w:val="000000"/>
              </w:rPr>
              <w:t>3.</w:t>
            </w:r>
          </w:p>
        </w:tc>
        <w:tc>
          <w:tcPr>
            <w:tcW w:w="1324" w:type="pct"/>
            <w:hideMark/>
          </w:tcPr>
          <w:p w:rsidR="007E1737" w:rsidRPr="00427146" w:rsidRDefault="007E1737" w:rsidP="00541F62">
            <w:pPr>
              <w:rPr>
                <w:color w:val="000000"/>
              </w:rPr>
            </w:pPr>
            <w:r w:rsidRPr="00427146">
              <w:rPr>
                <w:color w:val="000000"/>
              </w:rPr>
              <w:t>Cita informācija</w:t>
            </w:r>
          </w:p>
        </w:tc>
        <w:tc>
          <w:tcPr>
            <w:tcW w:w="3412" w:type="pct"/>
            <w:hideMark/>
          </w:tcPr>
          <w:p w:rsidR="007E1737" w:rsidRPr="002E68B5" w:rsidRDefault="002C5C78" w:rsidP="00611050">
            <w:pPr>
              <w:jc w:val="both"/>
              <w:rPr>
                <w:color w:val="000000"/>
              </w:rPr>
            </w:pPr>
            <w:r>
              <w:rPr>
                <w:color w:val="000000"/>
              </w:rPr>
              <w:t>Nav</w:t>
            </w:r>
          </w:p>
        </w:tc>
      </w:tr>
    </w:tbl>
    <w:p w:rsidR="00554D15" w:rsidRDefault="00554D15" w:rsidP="00385A38">
      <w:pPr>
        <w:rPr>
          <w:color w:val="000000"/>
          <w:sz w:val="28"/>
          <w:szCs w:val="28"/>
        </w:rPr>
      </w:pPr>
    </w:p>
    <w:p w:rsidR="00F63F27" w:rsidRPr="00D738A2" w:rsidRDefault="00F63F27" w:rsidP="00F63F27">
      <w:pPr>
        <w:jc w:val="both"/>
        <w:rPr>
          <w:color w:val="000000"/>
          <w:szCs w:val="28"/>
        </w:rPr>
      </w:pPr>
      <w:r w:rsidRPr="00D738A2">
        <w:rPr>
          <w:color w:val="000000"/>
          <w:szCs w:val="28"/>
        </w:rPr>
        <w:t xml:space="preserve">Anotācijas II, III, V, VI un VII sadaļa </w:t>
      </w:r>
      <w:r w:rsidR="00D115D9">
        <w:rPr>
          <w:color w:val="000000"/>
          <w:szCs w:val="28"/>
        </w:rPr>
        <w:t>-</w:t>
      </w:r>
      <w:r w:rsidRPr="00D738A2">
        <w:rPr>
          <w:color w:val="000000"/>
          <w:szCs w:val="28"/>
        </w:rPr>
        <w:t xml:space="preserve"> projekts šīs jomas neskar. </w:t>
      </w:r>
    </w:p>
    <w:p w:rsidR="00F63F27" w:rsidRPr="00D738A2" w:rsidRDefault="00F63F27" w:rsidP="00F63F27">
      <w:pPr>
        <w:jc w:val="both"/>
        <w:rPr>
          <w:color w:val="000000"/>
          <w:szCs w:val="28"/>
        </w:rPr>
      </w:pPr>
    </w:p>
    <w:p w:rsidR="00D738A2" w:rsidRDefault="00D738A2"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F63F27" w:rsidRPr="00D738A2" w:rsidRDefault="00A86B6A" w:rsidP="00F63F27">
      <w:pPr>
        <w:jc w:val="both"/>
        <w:rPr>
          <w:color w:val="000000"/>
          <w:szCs w:val="28"/>
        </w:rPr>
      </w:pPr>
      <w:r>
        <w:rPr>
          <w:color w:val="000000"/>
          <w:szCs w:val="28"/>
        </w:rPr>
        <w:t xml:space="preserve">Satiksmes ministra </w:t>
      </w:r>
      <w:proofErr w:type="spellStart"/>
      <w:r>
        <w:rPr>
          <w:color w:val="000000"/>
          <w:szCs w:val="28"/>
        </w:rPr>
        <w:t>p.i</w:t>
      </w:r>
      <w:proofErr w:type="spellEnd"/>
      <w:r>
        <w:rPr>
          <w:color w:val="000000"/>
          <w:szCs w:val="28"/>
        </w:rPr>
        <w:t>.</w:t>
      </w:r>
    </w:p>
    <w:p w:rsidR="004D1346" w:rsidRPr="002F2A39" w:rsidRDefault="00BD5F09" w:rsidP="006273D8">
      <w:pPr>
        <w:tabs>
          <w:tab w:val="left" w:pos="720"/>
          <w:tab w:val="left" w:pos="7230"/>
        </w:tabs>
        <w:jc w:val="both"/>
        <w:rPr>
          <w:sz w:val="16"/>
          <w:szCs w:val="16"/>
        </w:rPr>
      </w:pPr>
      <w:r>
        <w:t xml:space="preserve">Iekšlietu </w:t>
      </w:r>
      <w:r w:rsidR="004D1346">
        <w:t>ministrs</w:t>
      </w:r>
      <w:r w:rsidR="004D1346">
        <w:tab/>
      </w:r>
      <w:r w:rsidR="00524FC3">
        <w:t>R</w:t>
      </w:r>
      <w:r w:rsidR="004D1346" w:rsidRPr="00DD5356">
        <w:t>.</w:t>
      </w:r>
      <w:r w:rsidR="004D1346">
        <w:t> </w:t>
      </w:r>
      <w:r w:rsidR="00524FC3">
        <w:t>Kozlovskis</w:t>
      </w:r>
    </w:p>
    <w:p w:rsidR="004D1346" w:rsidRPr="002F2A39" w:rsidRDefault="004D1346" w:rsidP="004D1346">
      <w:pPr>
        <w:tabs>
          <w:tab w:val="left" w:pos="720"/>
          <w:tab w:val="left" w:pos="7200"/>
        </w:tabs>
        <w:jc w:val="both"/>
        <w:rPr>
          <w:sz w:val="16"/>
          <w:szCs w:val="16"/>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Pr="00D738A2" w:rsidRDefault="00137623" w:rsidP="00F63F27">
      <w:pPr>
        <w:jc w:val="both"/>
        <w:rPr>
          <w:color w:val="000000"/>
          <w:szCs w:val="28"/>
        </w:rPr>
      </w:pPr>
    </w:p>
    <w:p w:rsidR="00F63F27" w:rsidRPr="00D738A2" w:rsidRDefault="00F63F27" w:rsidP="006273D8">
      <w:pPr>
        <w:tabs>
          <w:tab w:val="left" w:pos="7230"/>
        </w:tabs>
        <w:jc w:val="both"/>
        <w:rPr>
          <w:color w:val="000000"/>
          <w:szCs w:val="28"/>
        </w:rPr>
      </w:pPr>
      <w:r w:rsidRPr="00D738A2">
        <w:rPr>
          <w:color w:val="000000"/>
          <w:szCs w:val="28"/>
        </w:rPr>
        <w:t>Vīza: Valsts sekretārs</w:t>
      </w:r>
      <w:r w:rsidRPr="00D738A2">
        <w:rPr>
          <w:color w:val="000000"/>
          <w:szCs w:val="28"/>
        </w:rPr>
        <w:tab/>
        <w:t>K.</w:t>
      </w:r>
      <w:r w:rsidR="00F36B95">
        <w:rPr>
          <w:color w:val="000000"/>
          <w:szCs w:val="28"/>
        </w:rPr>
        <w:t> </w:t>
      </w:r>
      <w:r w:rsidRPr="00D738A2">
        <w:rPr>
          <w:color w:val="000000"/>
          <w:szCs w:val="28"/>
        </w:rPr>
        <w:t>Ozoliņš</w:t>
      </w:r>
    </w:p>
    <w:p w:rsidR="00F63F27" w:rsidRDefault="00F63F27" w:rsidP="00F63F27">
      <w:pPr>
        <w:jc w:val="both"/>
        <w:rPr>
          <w:color w:val="000000"/>
          <w:sz w:val="28"/>
          <w:szCs w:val="28"/>
        </w:rPr>
      </w:pPr>
    </w:p>
    <w:p w:rsidR="00D738A2" w:rsidRDefault="00D738A2" w:rsidP="00F63F27">
      <w:pPr>
        <w:jc w:val="both"/>
        <w:rPr>
          <w:color w:val="000000"/>
          <w:sz w:val="28"/>
          <w:szCs w:val="28"/>
        </w:rPr>
      </w:pPr>
    </w:p>
    <w:p w:rsidR="00137623" w:rsidRDefault="00137623" w:rsidP="00F63F27">
      <w:pPr>
        <w:jc w:val="both"/>
        <w:rPr>
          <w:color w:val="000000"/>
          <w:sz w:val="28"/>
          <w:szCs w:val="28"/>
        </w:rPr>
      </w:pPr>
    </w:p>
    <w:p w:rsidR="00137623" w:rsidRPr="00F63F27" w:rsidRDefault="00137623" w:rsidP="00F63F27">
      <w:pPr>
        <w:jc w:val="both"/>
        <w:rPr>
          <w:color w:val="000000"/>
          <w:sz w:val="28"/>
          <w:szCs w:val="28"/>
        </w:rPr>
      </w:pPr>
    </w:p>
    <w:p w:rsidR="00F63F27" w:rsidRDefault="00D738A2" w:rsidP="00F63F27">
      <w:pPr>
        <w:jc w:val="both"/>
        <w:rPr>
          <w:color w:val="000000"/>
          <w:sz w:val="20"/>
          <w:szCs w:val="20"/>
        </w:rPr>
      </w:pPr>
      <w:r w:rsidRPr="00D738A2">
        <w:rPr>
          <w:color w:val="000000"/>
          <w:sz w:val="20"/>
          <w:szCs w:val="20"/>
        </w:rPr>
        <w:fldChar w:fldCharType="begin"/>
      </w:r>
      <w:r w:rsidRPr="00D738A2">
        <w:rPr>
          <w:color w:val="000000"/>
          <w:sz w:val="20"/>
          <w:szCs w:val="20"/>
        </w:rPr>
        <w:instrText xml:space="preserve"> TIME \@ "dd.MM.yyyy." </w:instrText>
      </w:r>
      <w:r w:rsidRPr="00D738A2">
        <w:rPr>
          <w:color w:val="000000"/>
          <w:sz w:val="20"/>
          <w:szCs w:val="20"/>
        </w:rPr>
        <w:fldChar w:fldCharType="separate"/>
      </w:r>
      <w:r w:rsidR="006F28D0">
        <w:rPr>
          <w:noProof/>
          <w:color w:val="000000"/>
          <w:sz w:val="20"/>
          <w:szCs w:val="20"/>
        </w:rPr>
        <w:t>21.12.2015.</w:t>
      </w:r>
      <w:r w:rsidRPr="00D738A2">
        <w:rPr>
          <w:color w:val="000000"/>
          <w:sz w:val="20"/>
          <w:szCs w:val="20"/>
        </w:rPr>
        <w:fldChar w:fldCharType="end"/>
      </w:r>
    </w:p>
    <w:p w:rsidR="00137623" w:rsidRDefault="00137623" w:rsidP="00F63F27">
      <w:pPr>
        <w:jc w:val="both"/>
        <w:rPr>
          <w:color w:val="000000"/>
          <w:sz w:val="20"/>
          <w:szCs w:val="20"/>
        </w:rPr>
      </w:pPr>
      <w:r>
        <w:rPr>
          <w:color w:val="000000"/>
          <w:sz w:val="20"/>
          <w:szCs w:val="20"/>
        </w:rPr>
        <w:t>1</w:t>
      </w:r>
      <w:r w:rsidR="00926A53">
        <w:rPr>
          <w:color w:val="000000"/>
          <w:sz w:val="20"/>
          <w:szCs w:val="20"/>
        </w:rPr>
        <w:t>2</w:t>
      </w:r>
      <w:r w:rsidR="00524FC3">
        <w:rPr>
          <w:color w:val="000000"/>
          <w:sz w:val="20"/>
          <w:szCs w:val="20"/>
        </w:rPr>
        <w:t>8</w:t>
      </w:r>
      <w:r w:rsidR="002474BA">
        <w:rPr>
          <w:color w:val="000000"/>
          <w:sz w:val="20"/>
          <w:szCs w:val="20"/>
        </w:rPr>
        <w:t>2</w:t>
      </w:r>
    </w:p>
    <w:p w:rsidR="00F63F27" w:rsidRPr="00F63F27" w:rsidRDefault="00C43604" w:rsidP="00F63F27">
      <w:pPr>
        <w:jc w:val="both"/>
        <w:rPr>
          <w:color w:val="000000"/>
          <w:sz w:val="20"/>
          <w:szCs w:val="28"/>
        </w:rPr>
      </w:pPr>
      <w:r>
        <w:rPr>
          <w:color w:val="000000"/>
          <w:sz w:val="20"/>
          <w:szCs w:val="28"/>
        </w:rPr>
        <w:t>E</w:t>
      </w:r>
      <w:r w:rsidR="00F63F27" w:rsidRPr="00F63F27">
        <w:rPr>
          <w:color w:val="000000"/>
          <w:sz w:val="20"/>
          <w:szCs w:val="28"/>
        </w:rPr>
        <w:t>.Sto</w:t>
      </w:r>
      <w:r>
        <w:rPr>
          <w:color w:val="000000"/>
          <w:sz w:val="20"/>
          <w:szCs w:val="28"/>
        </w:rPr>
        <w:t>ķis</w:t>
      </w:r>
    </w:p>
    <w:p w:rsidR="00F63F27" w:rsidRPr="00F63F27" w:rsidRDefault="00F63F27" w:rsidP="00F63F27">
      <w:pPr>
        <w:jc w:val="both"/>
        <w:rPr>
          <w:bCs/>
          <w:color w:val="000000"/>
          <w:sz w:val="20"/>
          <w:szCs w:val="28"/>
        </w:rPr>
      </w:pPr>
      <w:r w:rsidRPr="00F63F27">
        <w:rPr>
          <w:bCs/>
          <w:color w:val="000000"/>
          <w:sz w:val="20"/>
          <w:szCs w:val="28"/>
        </w:rPr>
        <w:t>67028</w:t>
      </w:r>
      <w:r w:rsidR="00C43604">
        <w:rPr>
          <w:bCs/>
          <w:color w:val="000000"/>
          <w:sz w:val="20"/>
          <w:szCs w:val="28"/>
        </w:rPr>
        <w:t>187</w:t>
      </w:r>
      <w:r w:rsidRPr="00F63F27">
        <w:rPr>
          <w:bCs/>
          <w:color w:val="000000"/>
          <w:sz w:val="20"/>
          <w:szCs w:val="28"/>
        </w:rPr>
        <w:t xml:space="preserve">, </w:t>
      </w:r>
      <w:hyperlink r:id="rId9" w:history="1">
        <w:r w:rsidR="00C43604" w:rsidRPr="001D2C4F">
          <w:rPr>
            <w:rStyle w:val="Hyperlink"/>
            <w:bCs/>
            <w:sz w:val="20"/>
            <w:szCs w:val="28"/>
          </w:rPr>
          <w:t>egils.strokis@sam.gov.lv</w:t>
        </w:r>
      </w:hyperlink>
    </w:p>
    <w:sectPr w:rsidR="00F63F27" w:rsidRPr="00F63F27" w:rsidSect="006B0B81">
      <w:headerReference w:type="even" r:id="rId10"/>
      <w:headerReference w:type="default" r:id="rId11"/>
      <w:footerReference w:type="default" r:id="rId12"/>
      <w:headerReference w:type="first" r:id="rId13"/>
      <w:footerReference w:type="first" r:id="rId14"/>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20" w:rsidRDefault="00312420">
      <w:r>
        <w:separator/>
      </w:r>
    </w:p>
  </w:endnote>
  <w:endnote w:type="continuationSeparator" w:id="0">
    <w:p w:rsidR="00312420" w:rsidRDefault="0031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C003DD" w:rsidRDefault="00C003DD" w:rsidP="00C003DD">
    <w:pPr>
      <w:pStyle w:val="Footer"/>
      <w:jc w:val="both"/>
      <w:rPr>
        <w:sz w:val="20"/>
        <w:szCs w:val="20"/>
      </w:rPr>
    </w:pPr>
    <w:r w:rsidRPr="00F63F27">
      <w:rPr>
        <w:sz w:val="20"/>
        <w:szCs w:val="20"/>
      </w:rPr>
      <w:t>SAManot_</w:t>
    </w:r>
    <w:r w:rsidR="00524FC3">
      <w:rPr>
        <w:sz w:val="20"/>
        <w:szCs w:val="20"/>
      </w:rPr>
      <w:t>21</w:t>
    </w:r>
    <w:r>
      <w:rPr>
        <w:sz w:val="20"/>
        <w:szCs w:val="20"/>
      </w:rPr>
      <w:t>12</w:t>
    </w:r>
    <w:r w:rsidRPr="00F63F27">
      <w:rPr>
        <w:sz w:val="20"/>
        <w:szCs w:val="20"/>
      </w:rPr>
      <w:t>15_</w:t>
    </w:r>
    <w:r>
      <w:rPr>
        <w:sz w:val="20"/>
        <w:szCs w:val="20"/>
      </w:rPr>
      <w:t>sabtransports_groz971</w:t>
    </w:r>
    <w:r w:rsidRPr="00F63F27">
      <w:rPr>
        <w:sz w:val="20"/>
        <w:szCs w:val="20"/>
      </w:rPr>
      <w:t xml:space="preserve">; Ministru kabineta noteikumu projekta </w:t>
    </w:r>
    <w:r w:rsidRPr="00D738A2">
      <w:rPr>
        <w:b/>
        <w:bCs/>
        <w:color w:val="000000"/>
        <w:szCs w:val="28"/>
      </w:rPr>
      <w:t>„</w:t>
    </w:r>
    <w:r w:rsidRPr="00C003DD">
      <w:rPr>
        <w:bCs/>
        <w:color w:val="000000"/>
        <w:sz w:val="20"/>
        <w:szCs w:val="20"/>
      </w:rPr>
      <w:t>Grozījums Ministru kabineta 2009.gada 25.augusta noteikumos Nr.971 „Noteikumi par darbības programmas „Infrastruktūra un pakalpojumi” papildinājuma 3.3.2.1.aktivitāti „</w:t>
    </w:r>
    <w:r w:rsidRPr="00C003DD">
      <w:rPr>
        <w:bCs/>
        <w:color w:val="414142"/>
        <w:sz w:val="20"/>
        <w:szCs w:val="20"/>
      </w:rPr>
      <w:t>Ilgtspējīga sabiedriskā transporta sistēmas attīstība</w:t>
    </w:r>
    <w:r w:rsidRPr="00C003DD">
      <w:rPr>
        <w:bCs/>
        <w:color w:val="000000"/>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C003DD" w:rsidRDefault="00F63F27" w:rsidP="00C003DD">
    <w:pPr>
      <w:pStyle w:val="Footer"/>
      <w:jc w:val="both"/>
      <w:rPr>
        <w:sz w:val="20"/>
        <w:szCs w:val="20"/>
      </w:rPr>
    </w:pPr>
    <w:r w:rsidRPr="00F63F27">
      <w:rPr>
        <w:sz w:val="20"/>
        <w:szCs w:val="20"/>
      </w:rPr>
      <w:t>SAManot_</w:t>
    </w:r>
    <w:r w:rsidR="00737342">
      <w:rPr>
        <w:sz w:val="20"/>
        <w:szCs w:val="20"/>
      </w:rPr>
      <w:t>21</w:t>
    </w:r>
    <w:r w:rsidR="00C003DD">
      <w:rPr>
        <w:sz w:val="20"/>
        <w:szCs w:val="20"/>
      </w:rPr>
      <w:t>12</w:t>
    </w:r>
    <w:r w:rsidRPr="00F63F27">
      <w:rPr>
        <w:sz w:val="20"/>
        <w:szCs w:val="20"/>
      </w:rPr>
      <w:t>15_</w:t>
    </w:r>
    <w:r w:rsidR="00C003DD">
      <w:rPr>
        <w:sz w:val="20"/>
        <w:szCs w:val="20"/>
      </w:rPr>
      <w:t>sabtransports_groz971</w:t>
    </w:r>
    <w:r w:rsidRPr="00F63F27">
      <w:rPr>
        <w:sz w:val="20"/>
        <w:szCs w:val="20"/>
      </w:rPr>
      <w:t xml:space="preserve">; Ministru kabineta noteikumu projekta </w:t>
    </w:r>
    <w:r w:rsidR="00C003DD" w:rsidRPr="00D738A2">
      <w:rPr>
        <w:b/>
        <w:bCs/>
        <w:color w:val="000000"/>
        <w:szCs w:val="28"/>
      </w:rPr>
      <w:t>„</w:t>
    </w:r>
    <w:r w:rsidR="00C003DD" w:rsidRPr="00C003DD">
      <w:rPr>
        <w:bCs/>
        <w:color w:val="000000"/>
        <w:sz w:val="20"/>
        <w:szCs w:val="20"/>
      </w:rPr>
      <w:t>Grozījums Ministru kabineta 2009.gada 25.augusta noteikumos Nr.971 „Noteikumi par darbības programmas „Infrastruktūra un pakalpojumi” papildinājuma 3.3.2.1.aktivitāti „</w:t>
    </w:r>
    <w:r w:rsidR="00C003DD" w:rsidRPr="00C003DD">
      <w:rPr>
        <w:bCs/>
        <w:color w:val="414142"/>
        <w:sz w:val="20"/>
        <w:szCs w:val="20"/>
      </w:rPr>
      <w:t>Ilgtspējīga sabiedriskā transporta sistēmas attīstība</w:t>
    </w:r>
    <w:r w:rsidR="00C003DD" w:rsidRPr="00C003DD">
      <w:rPr>
        <w:bCs/>
        <w:color w:val="000000"/>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20" w:rsidRDefault="00312420">
      <w:r>
        <w:separator/>
      </w:r>
    </w:p>
  </w:footnote>
  <w:footnote w:type="continuationSeparator" w:id="0">
    <w:p w:rsidR="00312420" w:rsidRDefault="0031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6F28D0">
      <w:rPr>
        <w:rStyle w:val="PageNumber"/>
        <w:noProof/>
      </w:rPr>
      <w:t>4</w:t>
    </w:r>
    <w:r>
      <w:rPr>
        <w:rStyle w:val="PageNumber"/>
      </w:rPr>
      <w:fldChar w:fldCharType="end"/>
    </w:r>
  </w:p>
  <w:p w:rsidR="00363AA8" w:rsidRDefault="0036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86935"/>
      <w:docPartObj>
        <w:docPartGallery w:val="Page Numbers (Top of Page)"/>
        <w:docPartUnique/>
      </w:docPartObj>
    </w:sdtPr>
    <w:sdtEndPr>
      <w:rPr>
        <w:noProof/>
      </w:rPr>
    </w:sdtEndPr>
    <w:sdtContent>
      <w:p w:rsidR="00137623" w:rsidRDefault="00137623">
        <w:pPr>
          <w:pStyle w:val="Header"/>
          <w:jc w:val="center"/>
        </w:pPr>
        <w:r>
          <w:fldChar w:fldCharType="begin"/>
        </w:r>
        <w:r>
          <w:instrText xml:space="preserve"> PAGE   \* MERGEFORMAT </w:instrText>
        </w:r>
        <w:r>
          <w:fldChar w:fldCharType="separate"/>
        </w:r>
        <w:r w:rsidR="006F28D0">
          <w:rPr>
            <w:noProof/>
          </w:rPr>
          <w:t>1</w:t>
        </w:r>
        <w:r>
          <w:rPr>
            <w:noProof/>
          </w:rPr>
          <w:fldChar w:fldCharType="end"/>
        </w:r>
      </w:p>
    </w:sdtContent>
  </w:sdt>
  <w:p w:rsidR="00137623" w:rsidRDefault="00137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9E1"/>
    <w:multiLevelType w:val="hybridMultilevel"/>
    <w:tmpl w:val="05EA2C7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C31ADB"/>
    <w:multiLevelType w:val="hybridMultilevel"/>
    <w:tmpl w:val="FF3C4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8">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9">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1">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4">
    <w:nsid w:val="234B29EA"/>
    <w:multiLevelType w:val="hybridMultilevel"/>
    <w:tmpl w:val="57387782"/>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7">
    <w:nsid w:val="2A041314"/>
    <w:multiLevelType w:val="hybridMultilevel"/>
    <w:tmpl w:val="EE8CF29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2">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4">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8">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1">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2">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5">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9">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2"/>
  </w:num>
  <w:num w:numId="2">
    <w:abstractNumId w:val="15"/>
  </w:num>
  <w:num w:numId="3">
    <w:abstractNumId w:val="8"/>
  </w:num>
  <w:num w:numId="4">
    <w:abstractNumId w:val="26"/>
  </w:num>
  <w:num w:numId="5">
    <w:abstractNumId w:val="9"/>
  </w:num>
  <w:num w:numId="6">
    <w:abstractNumId w:val="20"/>
  </w:num>
  <w:num w:numId="7">
    <w:abstractNumId w:val="29"/>
  </w:num>
  <w:num w:numId="8">
    <w:abstractNumId w:val="33"/>
  </w:num>
  <w:num w:numId="9">
    <w:abstractNumId w:val="18"/>
  </w:num>
  <w:num w:numId="10">
    <w:abstractNumId w:val="37"/>
  </w:num>
  <w:num w:numId="11">
    <w:abstractNumId w:val="19"/>
  </w:num>
  <w:num w:numId="12">
    <w:abstractNumId w:val="30"/>
  </w:num>
  <w:num w:numId="13">
    <w:abstractNumId w:val="6"/>
  </w:num>
  <w:num w:numId="14">
    <w:abstractNumId w:val="23"/>
  </w:num>
  <w:num w:numId="15">
    <w:abstractNumId w:val="31"/>
  </w:num>
  <w:num w:numId="16">
    <w:abstractNumId w:val="16"/>
  </w:num>
  <w:num w:numId="17">
    <w:abstractNumId w:val="11"/>
  </w:num>
  <w:num w:numId="18">
    <w:abstractNumId w:val="0"/>
  </w:num>
  <w:num w:numId="19">
    <w:abstractNumId w:val="13"/>
  </w:num>
  <w:num w:numId="20">
    <w:abstractNumId w:val="25"/>
  </w:num>
  <w:num w:numId="21">
    <w:abstractNumId w:val="1"/>
  </w:num>
  <w:num w:numId="22">
    <w:abstractNumId w:val="24"/>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0"/>
  </w:num>
  <w:num w:numId="26">
    <w:abstractNumId w:val="3"/>
  </w:num>
  <w:num w:numId="27">
    <w:abstractNumId w:val="34"/>
  </w:num>
  <w:num w:numId="28">
    <w:abstractNumId w:val="36"/>
  </w:num>
  <w:num w:numId="29">
    <w:abstractNumId w:val="38"/>
  </w:num>
  <w:num w:numId="30">
    <w:abstractNumId w:val="21"/>
  </w:num>
  <w:num w:numId="31">
    <w:abstractNumId w:val="7"/>
  </w:num>
  <w:num w:numId="32">
    <w:abstractNumId w:val="10"/>
  </w:num>
  <w:num w:numId="33">
    <w:abstractNumId w:val="28"/>
  </w:num>
  <w:num w:numId="34">
    <w:abstractNumId w:val="27"/>
  </w:num>
  <w:num w:numId="35">
    <w:abstractNumId w:val="22"/>
  </w:num>
  <w:num w:numId="36">
    <w:abstractNumId w:val="32"/>
  </w:num>
  <w:num w:numId="37">
    <w:abstractNumId w:val="4"/>
  </w:num>
  <w:num w:numId="38">
    <w:abstractNumId w:val="35"/>
  </w:num>
  <w:num w:numId="39">
    <w:abstractNumId w:val="17"/>
  </w:num>
  <w:num w:numId="40">
    <w:abstractNumId w:val="14"/>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07A7C"/>
    <w:rsid w:val="00010B2E"/>
    <w:rsid w:val="00010F8D"/>
    <w:rsid w:val="00011FC2"/>
    <w:rsid w:val="00013173"/>
    <w:rsid w:val="000138F8"/>
    <w:rsid w:val="000146B1"/>
    <w:rsid w:val="00014EFF"/>
    <w:rsid w:val="0001504A"/>
    <w:rsid w:val="00015BE4"/>
    <w:rsid w:val="00015EF9"/>
    <w:rsid w:val="00016057"/>
    <w:rsid w:val="0001649B"/>
    <w:rsid w:val="00016FEA"/>
    <w:rsid w:val="00017C6B"/>
    <w:rsid w:val="00020845"/>
    <w:rsid w:val="0002305A"/>
    <w:rsid w:val="00023562"/>
    <w:rsid w:val="00023621"/>
    <w:rsid w:val="00023887"/>
    <w:rsid w:val="00023C98"/>
    <w:rsid w:val="00024402"/>
    <w:rsid w:val="00024E2D"/>
    <w:rsid w:val="0002626C"/>
    <w:rsid w:val="000267FA"/>
    <w:rsid w:val="00030818"/>
    <w:rsid w:val="00031D8D"/>
    <w:rsid w:val="0003225C"/>
    <w:rsid w:val="00033093"/>
    <w:rsid w:val="000333FC"/>
    <w:rsid w:val="0003366F"/>
    <w:rsid w:val="00033DA5"/>
    <w:rsid w:val="00034141"/>
    <w:rsid w:val="000341CB"/>
    <w:rsid w:val="0003431E"/>
    <w:rsid w:val="0003445C"/>
    <w:rsid w:val="000353DC"/>
    <w:rsid w:val="00035450"/>
    <w:rsid w:val="00035EDF"/>
    <w:rsid w:val="00035F82"/>
    <w:rsid w:val="00037C7B"/>
    <w:rsid w:val="0004064A"/>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1FC0"/>
    <w:rsid w:val="000543E3"/>
    <w:rsid w:val="00054ABA"/>
    <w:rsid w:val="00055287"/>
    <w:rsid w:val="00055A2E"/>
    <w:rsid w:val="0005783D"/>
    <w:rsid w:val="00057A45"/>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778B6"/>
    <w:rsid w:val="00081BF2"/>
    <w:rsid w:val="000821FE"/>
    <w:rsid w:val="000831F6"/>
    <w:rsid w:val="00083DCD"/>
    <w:rsid w:val="00084EB5"/>
    <w:rsid w:val="000857C2"/>
    <w:rsid w:val="00086ED6"/>
    <w:rsid w:val="00087466"/>
    <w:rsid w:val="00087CCB"/>
    <w:rsid w:val="00091895"/>
    <w:rsid w:val="00091B6E"/>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4D05"/>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80C"/>
    <w:rsid w:val="000D5969"/>
    <w:rsid w:val="000D6357"/>
    <w:rsid w:val="000D7089"/>
    <w:rsid w:val="000D709F"/>
    <w:rsid w:val="000E075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2FEC"/>
    <w:rsid w:val="001035BD"/>
    <w:rsid w:val="00104374"/>
    <w:rsid w:val="00105C44"/>
    <w:rsid w:val="00105CC0"/>
    <w:rsid w:val="00106273"/>
    <w:rsid w:val="00106A76"/>
    <w:rsid w:val="00107CE4"/>
    <w:rsid w:val="001116A8"/>
    <w:rsid w:val="0011195C"/>
    <w:rsid w:val="001134EF"/>
    <w:rsid w:val="00113B2D"/>
    <w:rsid w:val="0011411C"/>
    <w:rsid w:val="00114E39"/>
    <w:rsid w:val="001150C1"/>
    <w:rsid w:val="00116396"/>
    <w:rsid w:val="00117E8F"/>
    <w:rsid w:val="00120DC4"/>
    <w:rsid w:val="00121016"/>
    <w:rsid w:val="00122EC4"/>
    <w:rsid w:val="0012348D"/>
    <w:rsid w:val="00123BFA"/>
    <w:rsid w:val="00124380"/>
    <w:rsid w:val="0012473C"/>
    <w:rsid w:val="00124746"/>
    <w:rsid w:val="00124882"/>
    <w:rsid w:val="00124BC0"/>
    <w:rsid w:val="001256C9"/>
    <w:rsid w:val="00125F63"/>
    <w:rsid w:val="00126108"/>
    <w:rsid w:val="00127E66"/>
    <w:rsid w:val="001300D5"/>
    <w:rsid w:val="001308AE"/>
    <w:rsid w:val="00130F08"/>
    <w:rsid w:val="001312F0"/>
    <w:rsid w:val="00131685"/>
    <w:rsid w:val="0013207A"/>
    <w:rsid w:val="00133868"/>
    <w:rsid w:val="00134536"/>
    <w:rsid w:val="00134842"/>
    <w:rsid w:val="001351F7"/>
    <w:rsid w:val="00135360"/>
    <w:rsid w:val="00135B04"/>
    <w:rsid w:val="00135B78"/>
    <w:rsid w:val="00136194"/>
    <w:rsid w:val="00137623"/>
    <w:rsid w:val="00140AEE"/>
    <w:rsid w:val="00140E02"/>
    <w:rsid w:val="001413BD"/>
    <w:rsid w:val="00142097"/>
    <w:rsid w:val="001420F4"/>
    <w:rsid w:val="00142BB8"/>
    <w:rsid w:val="001443D2"/>
    <w:rsid w:val="00144C7D"/>
    <w:rsid w:val="001459C7"/>
    <w:rsid w:val="00145E48"/>
    <w:rsid w:val="0014682A"/>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A0"/>
    <w:rsid w:val="001709F1"/>
    <w:rsid w:val="00171B3E"/>
    <w:rsid w:val="00171EBB"/>
    <w:rsid w:val="00172023"/>
    <w:rsid w:val="00173A11"/>
    <w:rsid w:val="00173D08"/>
    <w:rsid w:val="001749B8"/>
    <w:rsid w:val="001755A9"/>
    <w:rsid w:val="001758BA"/>
    <w:rsid w:val="00176455"/>
    <w:rsid w:val="00176719"/>
    <w:rsid w:val="00177B2B"/>
    <w:rsid w:val="001805C4"/>
    <w:rsid w:val="00181D6D"/>
    <w:rsid w:val="00183013"/>
    <w:rsid w:val="001845DE"/>
    <w:rsid w:val="00185A3E"/>
    <w:rsid w:val="00185B26"/>
    <w:rsid w:val="00186CCD"/>
    <w:rsid w:val="0018732C"/>
    <w:rsid w:val="00190603"/>
    <w:rsid w:val="0019194A"/>
    <w:rsid w:val="00194841"/>
    <w:rsid w:val="001948E9"/>
    <w:rsid w:val="00194BE7"/>
    <w:rsid w:val="00196092"/>
    <w:rsid w:val="00196280"/>
    <w:rsid w:val="001966C0"/>
    <w:rsid w:val="001967AE"/>
    <w:rsid w:val="001978A2"/>
    <w:rsid w:val="001A0661"/>
    <w:rsid w:val="001A15B7"/>
    <w:rsid w:val="001A304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8FA"/>
    <w:rsid w:val="001C5104"/>
    <w:rsid w:val="001C5849"/>
    <w:rsid w:val="001C5A1A"/>
    <w:rsid w:val="001C5EF1"/>
    <w:rsid w:val="001C6923"/>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0D34"/>
    <w:rsid w:val="001E21D1"/>
    <w:rsid w:val="001E2237"/>
    <w:rsid w:val="001E297E"/>
    <w:rsid w:val="001E3ACD"/>
    <w:rsid w:val="001E455A"/>
    <w:rsid w:val="001E6E6A"/>
    <w:rsid w:val="001E7ECF"/>
    <w:rsid w:val="001F0D19"/>
    <w:rsid w:val="001F194B"/>
    <w:rsid w:val="001F1D8B"/>
    <w:rsid w:val="001F218A"/>
    <w:rsid w:val="001F3029"/>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52CC"/>
    <w:rsid w:val="00216DFB"/>
    <w:rsid w:val="00217C26"/>
    <w:rsid w:val="0022065F"/>
    <w:rsid w:val="00220BAF"/>
    <w:rsid w:val="00220D7E"/>
    <w:rsid w:val="00220EA6"/>
    <w:rsid w:val="00221ADE"/>
    <w:rsid w:val="002220C7"/>
    <w:rsid w:val="0022214D"/>
    <w:rsid w:val="00222714"/>
    <w:rsid w:val="0022301E"/>
    <w:rsid w:val="00223169"/>
    <w:rsid w:val="002231EB"/>
    <w:rsid w:val="0022346E"/>
    <w:rsid w:val="00223B41"/>
    <w:rsid w:val="00225E9A"/>
    <w:rsid w:val="002262EF"/>
    <w:rsid w:val="002267D6"/>
    <w:rsid w:val="00226E63"/>
    <w:rsid w:val="00232A5F"/>
    <w:rsid w:val="00233204"/>
    <w:rsid w:val="00233263"/>
    <w:rsid w:val="0023355E"/>
    <w:rsid w:val="00235E0C"/>
    <w:rsid w:val="002360AC"/>
    <w:rsid w:val="00236FFC"/>
    <w:rsid w:val="002372B8"/>
    <w:rsid w:val="002412BB"/>
    <w:rsid w:val="0024151D"/>
    <w:rsid w:val="0024256E"/>
    <w:rsid w:val="002434D6"/>
    <w:rsid w:val="0024392F"/>
    <w:rsid w:val="00244735"/>
    <w:rsid w:val="002452A5"/>
    <w:rsid w:val="00246C24"/>
    <w:rsid w:val="00247189"/>
    <w:rsid w:val="002474BA"/>
    <w:rsid w:val="00247D3A"/>
    <w:rsid w:val="00250912"/>
    <w:rsid w:val="00250C87"/>
    <w:rsid w:val="00251E53"/>
    <w:rsid w:val="00253B7F"/>
    <w:rsid w:val="002543F7"/>
    <w:rsid w:val="00255B7E"/>
    <w:rsid w:val="002570E0"/>
    <w:rsid w:val="002572C6"/>
    <w:rsid w:val="00257806"/>
    <w:rsid w:val="002578A4"/>
    <w:rsid w:val="002603DE"/>
    <w:rsid w:val="002619AC"/>
    <w:rsid w:val="0026408E"/>
    <w:rsid w:val="00264888"/>
    <w:rsid w:val="00264B84"/>
    <w:rsid w:val="0026535F"/>
    <w:rsid w:val="00265C31"/>
    <w:rsid w:val="0026630A"/>
    <w:rsid w:val="00267734"/>
    <w:rsid w:val="00270472"/>
    <w:rsid w:val="00270817"/>
    <w:rsid w:val="0027179A"/>
    <w:rsid w:val="00271FE0"/>
    <w:rsid w:val="002722FA"/>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785"/>
    <w:rsid w:val="00285B78"/>
    <w:rsid w:val="00285EFB"/>
    <w:rsid w:val="0028632C"/>
    <w:rsid w:val="002864B7"/>
    <w:rsid w:val="00287276"/>
    <w:rsid w:val="0028743D"/>
    <w:rsid w:val="002878B7"/>
    <w:rsid w:val="00287B3F"/>
    <w:rsid w:val="00287BEF"/>
    <w:rsid w:val="0029092A"/>
    <w:rsid w:val="00290B2D"/>
    <w:rsid w:val="00291C9A"/>
    <w:rsid w:val="002920DF"/>
    <w:rsid w:val="002935F0"/>
    <w:rsid w:val="00295590"/>
    <w:rsid w:val="00296378"/>
    <w:rsid w:val="0029648B"/>
    <w:rsid w:val="002964D0"/>
    <w:rsid w:val="002969A7"/>
    <w:rsid w:val="00296B9D"/>
    <w:rsid w:val="00297F81"/>
    <w:rsid w:val="002A179C"/>
    <w:rsid w:val="002A19D3"/>
    <w:rsid w:val="002A3159"/>
    <w:rsid w:val="002A33C2"/>
    <w:rsid w:val="002A3CA8"/>
    <w:rsid w:val="002A42B3"/>
    <w:rsid w:val="002A4A72"/>
    <w:rsid w:val="002A4AD6"/>
    <w:rsid w:val="002A4CF3"/>
    <w:rsid w:val="002A577E"/>
    <w:rsid w:val="002A60C7"/>
    <w:rsid w:val="002B0A39"/>
    <w:rsid w:val="002B1874"/>
    <w:rsid w:val="002B3B58"/>
    <w:rsid w:val="002B3D2B"/>
    <w:rsid w:val="002B3F8F"/>
    <w:rsid w:val="002B5960"/>
    <w:rsid w:val="002B6EB8"/>
    <w:rsid w:val="002B7B9C"/>
    <w:rsid w:val="002C0ECD"/>
    <w:rsid w:val="002C0FE8"/>
    <w:rsid w:val="002C2C45"/>
    <w:rsid w:val="002C3184"/>
    <w:rsid w:val="002C3604"/>
    <w:rsid w:val="002C3A19"/>
    <w:rsid w:val="002C3C06"/>
    <w:rsid w:val="002C458D"/>
    <w:rsid w:val="002C5C78"/>
    <w:rsid w:val="002C6C0C"/>
    <w:rsid w:val="002C6C94"/>
    <w:rsid w:val="002C7A05"/>
    <w:rsid w:val="002D03B9"/>
    <w:rsid w:val="002D0FC2"/>
    <w:rsid w:val="002D2599"/>
    <w:rsid w:val="002D2BB5"/>
    <w:rsid w:val="002D45F6"/>
    <w:rsid w:val="002D567B"/>
    <w:rsid w:val="002D5740"/>
    <w:rsid w:val="002D7F76"/>
    <w:rsid w:val="002E0AC0"/>
    <w:rsid w:val="002E176A"/>
    <w:rsid w:val="002E1DF3"/>
    <w:rsid w:val="002E2318"/>
    <w:rsid w:val="002E29C3"/>
    <w:rsid w:val="002E2EF1"/>
    <w:rsid w:val="002E479A"/>
    <w:rsid w:val="002E4AD9"/>
    <w:rsid w:val="002E5BA5"/>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27B"/>
    <w:rsid w:val="003119A3"/>
    <w:rsid w:val="00312420"/>
    <w:rsid w:val="00313142"/>
    <w:rsid w:val="003146A8"/>
    <w:rsid w:val="00316096"/>
    <w:rsid w:val="0031684F"/>
    <w:rsid w:val="00316933"/>
    <w:rsid w:val="00316A16"/>
    <w:rsid w:val="003179DE"/>
    <w:rsid w:val="0032091E"/>
    <w:rsid w:val="003213E7"/>
    <w:rsid w:val="00322702"/>
    <w:rsid w:val="00323454"/>
    <w:rsid w:val="003237A5"/>
    <w:rsid w:val="00323C9C"/>
    <w:rsid w:val="0032658B"/>
    <w:rsid w:val="00326FAB"/>
    <w:rsid w:val="00327EBC"/>
    <w:rsid w:val="0033002D"/>
    <w:rsid w:val="00330DEE"/>
    <w:rsid w:val="00330E8C"/>
    <w:rsid w:val="0033121E"/>
    <w:rsid w:val="0033181F"/>
    <w:rsid w:val="00332109"/>
    <w:rsid w:val="00333147"/>
    <w:rsid w:val="00333AA7"/>
    <w:rsid w:val="00333C26"/>
    <w:rsid w:val="0033404F"/>
    <w:rsid w:val="003340F0"/>
    <w:rsid w:val="003342DB"/>
    <w:rsid w:val="003360E9"/>
    <w:rsid w:val="0033636A"/>
    <w:rsid w:val="003366B8"/>
    <w:rsid w:val="00337133"/>
    <w:rsid w:val="003374F5"/>
    <w:rsid w:val="003374F7"/>
    <w:rsid w:val="00337C8D"/>
    <w:rsid w:val="00340727"/>
    <w:rsid w:val="0034242C"/>
    <w:rsid w:val="003430D1"/>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A1E"/>
    <w:rsid w:val="00355B62"/>
    <w:rsid w:val="00355DAF"/>
    <w:rsid w:val="0035690D"/>
    <w:rsid w:val="003575FB"/>
    <w:rsid w:val="00360BB3"/>
    <w:rsid w:val="00362B79"/>
    <w:rsid w:val="003630A9"/>
    <w:rsid w:val="003633FB"/>
    <w:rsid w:val="003636DA"/>
    <w:rsid w:val="00363AA8"/>
    <w:rsid w:val="00365B7C"/>
    <w:rsid w:val="00365EF3"/>
    <w:rsid w:val="00366C87"/>
    <w:rsid w:val="00367367"/>
    <w:rsid w:val="0036745E"/>
    <w:rsid w:val="00370949"/>
    <w:rsid w:val="0037102C"/>
    <w:rsid w:val="00371078"/>
    <w:rsid w:val="003718E8"/>
    <w:rsid w:val="00371EAD"/>
    <w:rsid w:val="00372694"/>
    <w:rsid w:val="00372B71"/>
    <w:rsid w:val="0037305E"/>
    <w:rsid w:val="00373A9B"/>
    <w:rsid w:val="00373E17"/>
    <w:rsid w:val="00373E80"/>
    <w:rsid w:val="003747BF"/>
    <w:rsid w:val="003758EC"/>
    <w:rsid w:val="003765A1"/>
    <w:rsid w:val="003765CA"/>
    <w:rsid w:val="0037697F"/>
    <w:rsid w:val="00377076"/>
    <w:rsid w:val="00377098"/>
    <w:rsid w:val="00377C24"/>
    <w:rsid w:val="00380C1F"/>
    <w:rsid w:val="0038124E"/>
    <w:rsid w:val="00381E19"/>
    <w:rsid w:val="00382559"/>
    <w:rsid w:val="00383F73"/>
    <w:rsid w:val="0038492D"/>
    <w:rsid w:val="00385163"/>
    <w:rsid w:val="00385A38"/>
    <w:rsid w:val="00385F0D"/>
    <w:rsid w:val="003866E7"/>
    <w:rsid w:val="00391168"/>
    <w:rsid w:val="00391A41"/>
    <w:rsid w:val="00391DDE"/>
    <w:rsid w:val="00392526"/>
    <w:rsid w:val="003929C9"/>
    <w:rsid w:val="00392FC9"/>
    <w:rsid w:val="003933AA"/>
    <w:rsid w:val="00393424"/>
    <w:rsid w:val="0039373A"/>
    <w:rsid w:val="00393781"/>
    <w:rsid w:val="00394A3E"/>
    <w:rsid w:val="00395291"/>
    <w:rsid w:val="00397334"/>
    <w:rsid w:val="0039757C"/>
    <w:rsid w:val="003979C6"/>
    <w:rsid w:val="003A0287"/>
    <w:rsid w:val="003A0EF8"/>
    <w:rsid w:val="003A1092"/>
    <w:rsid w:val="003A3766"/>
    <w:rsid w:val="003A4617"/>
    <w:rsid w:val="003A59D4"/>
    <w:rsid w:val="003A5CB7"/>
    <w:rsid w:val="003A6287"/>
    <w:rsid w:val="003A73E0"/>
    <w:rsid w:val="003A7B2F"/>
    <w:rsid w:val="003A7D1E"/>
    <w:rsid w:val="003B17B4"/>
    <w:rsid w:val="003B1D2A"/>
    <w:rsid w:val="003B31FC"/>
    <w:rsid w:val="003B3F67"/>
    <w:rsid w:val="003B47F9"/>
    <w:rsid w:val="003B4806"/>
    <w:rsid w:val="003B51F8"/>
    <w:rsid w:val="003B6067"/>
    <w:rsid w:val="003B608B"/>
    <w:rsid w:val="003B6B74"/>
    <w:rsid w:val="003B7353"/>
    <w:rsid w:val="003B761D"/>
    <w:rsid w:val="003C27D7"/>
    <w:rsid w:val="003C2F80"/>
    <w:rsid w:val="003C307D"/>
    <w:rsid w:val="003C3871"/>
    <w:rsid w:val="003C3FD9"/>
    <w:rsid w:val="003C7BA0"/>
    <w:rsid w:val="003D06D8"/>
    <w:rsid w:val="003D4948"/>
    <w:rsid w:val="003D6037"/>
    <w:rsid w:val="003D60FD"/>
    <w:rsid w:val="003D6B01"/>
    <w:rsid w:val="003D6B5E"/>
    <w:rsid w:val="003D79A3"/>
    <w:rsid w:val="003D7A77"/>
    <w:rsid w:val="003D7BFD"/>
    <w:rsid w:val="003D7CBC"/>
    <w:rsid w:val="003E0241"/>
    <w:rsid w:val="003E0526"/>
    <w:rsid w:val="003E1694"/>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4B05"/>
    <w:rsid w:val="003F671B"/>
    <w:rsid w:val="003F7204"/>
    <w:rsid w:val="003F779B"/>
    <w:rsid w:val="003F7FE3"/>
    <w:rsid w:val="00400152"/>
    <w:rsid w:val="00400DD1"/>
    <w:rsid w:val="00400EA0"/>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801"/>
    <w:rsid w:val="00416E07"/>
    <w:rsid w:val="00417088"/>
    <w:rsid w:val="00417229"/>
    <w:rsid w:val="004173F7"/>
    <w:rsid w:val="00421411"/>
    <w:rsid w:val="004230B8"/>
    <w:rsid w:val="00423B3F"/>
    <w:rsid w:val="004249A6"/>
    <w:rsid w:val="00424B13"/>
    <w:rsid w:val="00424F2E"/>
    <w:rsid w:val="004266A0"/>
    <w:rsid w:val="0042678A"/>
    <w:rsid w:val="00426858"/>
    <w:rsid w:val="00426EC6"/>
    <w:rsid w:val="00427146"/>
    <w:rsid w:val="00427F5E"/>
    <w:rsid w:val="004304AA"/>
    <w:rsid w:val="0043081E"/>
    <w:rsid w:val="00430C70"/>
    <w:rsid w:val="0043117C"/>
    <w:rsid w:val="00431381"/>
    <w:rsid w:val="00431666"/>
    <w:rsid w:val="00432B1F"/>
    <w:rsid w:val="00432E7A"/>
    <w:rsid w:val="00433876"/>
    <w:rsid w:val="004349BC"/>
    <w:rsid w:val="0043606D"/>
    <w:rsid w:val="004408D5"/>
    <w:rsid w:val="00440F4A"/>
    <w:rsid w:val="00442C2C"/>
    <w:rsid w:val="00443205"/>
    <w:rsid w:val="004433DB"/>
    <w:rsid w:val="00443880"/>
    <w:rsid w:val="0044472C"/>
    <w:rsid w:val="00444DA7"/>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3CD"/>
    <w:rsid w:val="00461408"/>
    <w:rsid w:val="0046143E"/>
    <w:rsid w:val="00461C4C"/>
    <w:rsid w:val="00462DBD"/>
    <w:rsid w:val="00462EC3"/>
    <w:rsid w:val="0046365F"/>
    <w:rsid w:val="00463CB8"/>
    <w:rsid w:val="00465521"/>
    <w:rsid w:val="0046567C"/>
    <w:rsid w:val="00465FD4"/>
    <w:rsid w:val="00466AC2"/>
    <w:rsid w:val="00466C97"/>
    <w:rsid w:val="00466D0C"/>
    <w:rsid w:val="00467C70"/>
    <w:rsid w:val="00467F17"/>
    <w:rsid w:val="004704F1"/>
    <w:rsid w:val="004706D1"/>
    <w:rsid w:val="00473C34"/>
    <w:rsid w:val="0047515F"/>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208F"/>
    <w:rsid w:val="004C4E0E"/>
    <w:rsid w:val="004C55B1"/>
    <w:rsid w:val="004C69B4"/>
    <w:rsid w:val="004C710A"/>
    <w:rsid w:val="004C7131"/>
    <w:rsid w:val="004D004B"/>
    <w:rsid w:val="004D0540"/>
    <w:rsid w:val="004D1346"/>
    <w:rsid w:val="004D1B63"/>
    <w:rsid w:val="004D1F0F"/>
    <w:rsid w:val="004D3156"/>
    <w:rsid w:val="004D3906"/>
    <w:rsid w:val="004D49F7"/>
    <w:rsid w:val="004D4D2A"/>
    <w:rsid w:val="004D659D"/>
    <w:rsid w:val="004D7360"/>
    <w:rsid w:val="004E1AAD"/>
    <w:rsid w:val="004E35B5"/>
    <w:rsid w:val="004E3F23"/>
    <w:rsid w:val="004E54CB"/>
    <w:rsid w:val="004E6D36"/>
    <w:rsid w:val="004E791C"/>
    <w:rsid w:val="004F1BC0"/>
    <w:rsid w:val="004F1C1B"/>
    <w:rsid w:val="004F20D0"/>
    <w:rsid w:val="004F2D4D"/>
    <w:rsid w:val="004F34C2"/>
    <w:rsid w:val="004F419B"/>
    <w:rsid w:val="004F44C8"/>
    <w:rsid w:val="004F476B"/>
    <w:rsid w:val="004F56BF"/>
    <w:rsid w:val="004F5A60"/>
    <w:rsid w:val="004F7B38"/>
    <w:rsid w:val="0050085D"/>
    <w:rsid w:val="00500AD5"/>
    <w:rsid w:val="00501A7D"/>
    <w:rsid w:val="00501E3D"/>
    <w:rsid w:val="005030DD"/>
    <w:rsid w:val="00503330"/>
    <w:rsid w:val="005034B3"/>
    <w:rsid w:val="00503730"/>
    <w:rsid w:val="00503D5F"/>
    <w:rsid w:val="00503FCB"/>
    <w:rsid w:val="00504C11"/>
    <w:rsid w:val="005051CD"/>
    <w:rsid w:val="00505776"/>
    <w:rsid w:val="0050661C"/>
    <w:rsid w:val="00507697"/>
    <w:rsid w:val="0050793D"/>
    <w:rsid w:val="00507DCA"/>
    <w:rsid w:val="00507EE5"/>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4FC3"/>
    <w:rsid w:val="005256A8"/>
    <w:rsid w:val="00525913"/>
    <w:rsid w:val="00526CA3"/>
    <w:rsid w:val="00527A79"/>
    <w:rsid w:val="00527E44"/>
    <w:rsid w:val="005305CB"/>
    <w:rsid w:val="00530901"/>
    <w:rsid w:val="00530C60"/>
    <w:rsid w:val="00530DDA"/>
    <w:rsid w:val="00530E55"/>
    <w:rsid w:val="0053110F"/>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3844"/>
    <w:rsid w:val="005442AD"/>
    <w:rsid w:val="005450C1"/>
    <w:rsid w:val="005454DA"/>
    <w:rsid w:val="00546C82"/>
    <w:rsid w:val="00546F9A"/>
    <w:rsid w:val="0054723B"/>
    <w:rsid w:val="0054737D"/>
    <w:rsid w:val="00550C4D"/>
    <w:rsid w:val="005525F5"/>
    <w:rsid w:val="005539AA"/>
    <w:rsid w:val="00553E6B"/>
    <w:rsid w:val="00554D15"/>
    <w:rsid w:val="00555137"/>
    <w:rsid w:val="00555427"/>
    <w:rsid w:val="0055774D"/>
    <w:rsid w:val="0055778A"/>
    <w:rsid w:val="00560215"/>
    <w:rsid w:val="00560D19"/>
    <w:rsid w:val="005615FD"/>
    <w:rsid w:val="005621A7"/>
    <w:rsid w:val="00562F1A"/>
    <w:rsid w:val="0056326B"/>
    <w:rsid w:val="005635FF"/>
    <w:rsid w:val="005640A5"/>
    <w:rsid w:val="005645CC"/>
    <w:rsid w:val="00564DCD"/>
    <w:rsid w:val="00564EDB"/>
    <w:rsid w:val="00566F9A"/>
    <w:rsid w:val="00567C46"/>
    <w:rsid w:val="00572572"/>
    <w:rsid w:val="00573363"/>
    <w:rsid w:val="00573C15"/>
    <w:rsid w:val="00573D35"/>
    <w:rsid w:val="0057459A"/>
    <w:rsid w:val="00575D83"/>
    <w:rsid w:val="005766B0"/>
    <w:rsid w:val="0057693B"/>
    <w:rsid w:val="00576D6D"/>
    <w:rsid w:val="00577204"/>
    <w:rsid w:val="005809BD"/>
    <w:rsid w:val="005810A5"/>
    <w:rsid w:val="00581146"/>
    <w:rsid w:val="0058141F"/>
    <w:rsid w:val="00581426"/>
    <w:rsid w:val="005819A8"/>
    <w:rsid w:val="00583266"/>
    <w:rsid w:val="00583E50"/>
    <w:rsid w:val="005842E6"/>
    <w:rsid w:val="0058438D"/>
    <w:rsid w:val="005844C6"/>
    <w:rsid w:val="0058469A"/>
    <w:rsid w:val="005869FB"/>
    <w:rsid w:val="00586AA1"/>
    <w:rsid w:val="00587726"/>
    <w:rsid w:val="005916D7"/>
    <w:rsid w:val="005935E3"/>
    <w:rsid w:val="00593C53"/>
    <w:rsid w:val="005973B6"/>
    <w:rsid w:val="005975AC"/>
    <w:rsid w:val="005A0EEA"/>
    <w:rsid w:val="005A15CD"/>
    <w:rsid w:val="005A16C1"/>
    <w:rsid w:val="005A199D"/>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046A"/>
    <w:rsid w:val="005C1A18"/>
    <w:rsid w:val="005C1B7D"/>
    <w:rsid w:val="005C2ECF"/>
    <w:rsid w:val="005C3255"/>
    <w:rsid w:val="005C3707"/>
    <w:rsid w:val="005C3EFA"/>
    <w:rsid w:val="005C62ED"/>
    <w:rsid w:val="005C6885"/>
    <w:rsid w:val="005D1A9D"/>
    <w:rsid w:val="005D2C3C"/>
    <w:rsid w:val="005D2F2A"/>
    <w:rsid w:val="005D3635"/>
    <w:rsid w:val="005D42B6"/>
    <w:rsid w:val="005D51A6"/>
    <w:rsid w:val="005D57DF"/>
    <w:rsid w:val="005D59C3"/>
    <w:rsid w:val="005D6A82"/>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4925"/>
    <w:rsid w:val="00606A6A"/>
    <w:rsid w:val="00606BB9"/>
    <w:rsid w:val="00606C42"/>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432"/>
    <w:rsid w:val="00624A7D"/>
    <w:rsid w:val="00624FA4"/>
    <w:rsid w:val="00625C32"/>
    <w:rsid w:val="00626B4C"/>
    <w:rsid w:val="0062716A"/>
    <w:rsid w:val="006273D8"/>
    <w:rsid w:val="00627E1A"/>
    <w:rsid w:val="00630160"/>
    <w:rsid w:val="00631013"/>
    <w:rsid w:val="006317C3"/>
    <w:rsid w:val="00632205"/>
    <w:rsid w:val="00632608"/>
    <w:rsid w:val="006328BE"/>
    <w:rsid w:val="006330A8"/>
    <w:rsid w:val="00633261"/>
    <w:rsid w:val="00633BB0"/>
    <w:rsid w:val="00633F12"/>
    <w:rsid w:val="0063432D"/>
    <w:rsid w:val="00634DC5"/>
    <w:rsid w:val="00634E2E"/>
    <w:rsid w:val="00635C36"/>
    <w:rsid w:val="0063613B"/>
    <w:rsid w:val="006364CF"/>
    <w:rsid w:val="00636BF0"/>
    <w:rsid w:val="00640890"/>
    <w:rsid w:val="00641AC8"/>
    <w:rsid w:val="00642E5E"/>
    <w:rsid w:val="00643550"/>
    <w:rsid w:val="006438EC"/>
    <w:rsid w:val="00644556"/>
    <w:rsid w:val="00644C7A"/>
    <w:rsid w:val="00646174"/>
    <w:rsid w:val="00646358"/>
    <w:rsid w:val="00646708"/>
    <w:rsid w:val="00647610"/>
    <w:rsid w:val="00647BE4"/>
    <w:rsid w:val="00647F7B"/>
    <w:rsid w:val="00650535"/>
    <w:rsid w:val="006508B7"/>
    <w:rsid w:val="00651387"/>
    <w:rsid w:val="006523F0"/>
    <w:rsid w:val="00653074"/>
    <w:rsid w:val="0065378F"/>
    <w:rsid w:val="00653A79"/>
    <w:rsid w:val="00656DE1"/>
    <w:rsid w:val="00657209"/>
    <w:rsid w:val="006613DE"/>
    <w:rsid w:val="00662A68"/>
    <w:rsid w:val="00662C14"/>
    <w:rsid w:val="0066300C"/>
    <w:rsid w:val="006630AE"/>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7D6"/>
    <w:rsid w:val="006778CD"/>
    <w:rsid w:val="00677E56"/>
    <w:rsid w:val="00680A5B"/>
    <w:rsid w:val="00681CE4"/>
    <w:rsid w:val="006828F7"/>
    <w:rsid w:val="00682F5F"/>
    <w:rsid w:val="006836F3"/>
    <w:rsid w:val="00683AA1"/>
    <w:rsid w:val="00684B6E"/>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3A6"/>
    <w:rsid w:val="006B044B"/>
    <w:rsid w:val="006B0B81"/>
    <w:rsid w:val="006B0E8C"/>
    <w:rsid w:val="006B0FFD"/>
    <w:rsid w:val="006B14DA"/>
    <w:rsid w:val="006B1B47"/>
    <w:rsid w:val="006B2722"/>
    <w:rsid w:val="006B3AA3"/>
    <w:rsid w:val="006B7549"/>
    <w:rsid w:val="006C0F84"/>
    <w:rsid w:val="006C0FEE"/>
    <w:rsid w:val="006C2222"/>
    <w:rsid w:val="006C22C7"/>
    <w:rsid w:val="006C27E6"/>
    <w:rsid w:val="006C4F6B"/>
    <w:rsid w:val="006C5847"/>
    <w:rsid w:val="006C739F"/>
    <w:rsid w:val="006D16D6"/>
    <w:rsid w:val="006D1793"/>
    <w:rsid w:val="006D17CE"/>
    <w:rsid w:val="006D1EDE"/>
    <w:rsid w:val="006D1F71"/>
    <w:rsid w:val="006D20FF"/>
    <w:rsid w:val="006D29EB"/>
    <w:rsid w:val="006D2EB2"/>
    <w:rsid w:val="006D2FBC"/>
    <w:rsid w:val="006D3CDB"/>
    <w:rsid w:val="006D46B5"/>
    <w:rsid w:val="006D4928"/>
    <w:rsid w:val="006D53CE"/>
    <w:rsid w:val="006D5B27"/>
    <w:rsid w:val="006D7C56"/>
    <w:rsid w:val="006D7CB0"/>
    <w:rsid w:val="006E0689"/>
    <w:rsid w:val="006E0702"/>
    <w:rsid w:val="006E0829"/>
    <w:rsid w:val="006E0A07"/>
    <w:rsid w:val="006E2110"/>
    <w:rsid w:val="006E2B18"/>
    <w:rsid w:val="006E2DAC"/>
    <w:rsid w:val="006E2F6F"/>
    <w:rsid w:val="006E39BF"/>
    <w:rsid w:val="006E61AD"/>
    <w:rsid w:val="006F05CC"/>
    <w:rsid w:val="006F2671"/>
    <w:rsid w:val="006F28D0"/>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FC9"/>
    <w:rsid w:val="00722D0E"/>
    <w:rsid w:val="00722F0B"/>
    <w:rsid w:val="00724A61"/>
    <w:rsid w:val="00724F4C"/>
    <w:rsid w:val="0072560B"/>
    <w:rsid w:val="00727541"/>
    <w:rsid w:val="00730062"/>
    <w:rsid w:val="007312E6"/>
    <w:rsid w:val="007313F9"/>
    <w:rsid w:val="00734C26"/>
    <w:rsid w:val="00734E88"/>
    <w:rsid w:val="00737342"/>
    <w:rsid w:val="007373FB"/>
    <w:rsid w:val="00737498"/>
    <w:rsid w:val="007376A3"/>
    <w:rsid w:val="0074071B"/>
    <w:rsid w:val="00740801"/>
    <w:rsid w:val="00740ED2"/>
    <w:rsid w:val="007417E2"/>
    <w:rsid w:val="00741C8D"/>
    <w:rsid w:val="00741FC8"/>
    <w:rsid w:val="00743111"/>
    <w:rsid w:val="00744121"/>
    <w:rsid w:val="007442C6"/>
    <w:rsid w:val="00744AC4"/>
    <w:rsid w:val="00745DBD"/>
    <w:rsid w:val="007461F7"/>
    <w:rsid w:val="007469B8"/>
    <w:rsid w:val="00746A69"/>
    <w:rsid w:val="00746D3D"/>
    <w:rsid w:val="00747827"/>
    <w:rsid w:val="00750158"/>
    <w:rsid w:val="00751DA0"/>
    <w:rsid w:val="00752676"/>
    <w:rsid w:val="007528EE"/>
    <w:rsid w:val="00752B1D"/>
    <w:rsid w:val="00752C91"/>
    <w:rsid w:val="00753469"/>
    <w:rsid w:val="00753D9D"/>
    <w:rsid w:val="00756620"/>
    <w:rsid w:val="007566DF"/>
    <w:rsid w:val="0075695E"/>
    <w:rsid w:val="00756FA3"/>
    <w:rsid w:val="0075732E"/>
    <w:rsid w:val="00757D2D"/>
    <w:rsid w:val="00757D2E"/>
    <w:rsid w:val="007601AB"/>
    <w:rsid w:val="0076058D"/>
    <w:rsid w:val="00760BD6"/>
    <w:rsid w:val="007610C3"/>
    <w:rsid w:val="007624D7"/>
    <w:rsid w:val="007627D2"/>
    <w:rsid w:val="007631C3"/>
    <w:rsid w:val="00763D29"/>
    <w:rsid w:val="0076465D"/>
    <w:rsid w:val="007648AD"/>
    <w:rsid w:val="007653D7"/>
    <w:rsid w:val="0076553B"/>
    <w:rsid w:val="007665A1"/>
    <w:rsid w:val="007665CF"/>
    <w:rsid w:val="00766D02"/>
    <w:rsid w:val="00767A76"/>
    <w:rsid w:val="00770255"/>
    <w:rsid w:val="00770AE6"/>
    <w:rsid w:val="00771779"/>
    <w:rsid w:val="00772101"/>
    <w:rsid w:val="00773E7F"/>
    <w:rsid w:val="007754A9"/>
    <w:rsid w:val="00776264"/>
    <w:rsid w:val="0078006C"/>
    <w:rsid w:val="0078204B"/>
    <w:rsid w:val="007823E5"/>
    <w:rsid w:val="00783474"/>
    <w:rsid w:val="0078366C"/>
    <w:rsid w:val="0078415D"/>
    <w:rsid w:val="007843B5"/>
    <w:rsid w:val="00784919"/>
    <w:rsid w:val="00784C05"/>
    <w:rsid w:val="007857FC"/>
    <w:rsid w:val="00785AAE"/>
    <w:rsid w:val="00785AB3"/>
    <w:rsid w:val="007909E8"/>
    <w:rsid w:val="00791001"/>
    <w:rsid w:val="007929F2"/>
    <w:rsid w:val="00792DAA"/>
    <w:rsid w:val="00794184"/>
    <w:rsid w:val="00794BA8"/>
    <w:rsid w:val="00794C2D"/>
    <w:rsid w:val="00794F34"/>
    <w:rsid w:val="007950B1"/>
    <w:rsid w:val="0079534B"/>
    <w:rsid w:val="007956B3"/>
    <w:rsid w:val="0079601D"/>
    <w:rsid w:val="00797783"/>
    <w:rsid w:val="007A066B"/>
    <w:rsid w:val="007A0A8F"/>
    <w:rsid w:val="007A14AD"/>
    <w:rsid w:val="007A1581"/>
    <w:rsid w:val="007A16C4"/>
    <w:rsid w:val="007A2A37"/>
    <w:rsid w:val="007A33A2"/>
    <w:rsid w:val="007A34D5"/>
    <w:rsid w:val="007A47F2"/>
    <w:rsid w:val="007A610C"/>
    <w:rsid w:val="007B0A33"/>
    <w:rsid w:val="007B21B8"/>
    <w:rsid w:val="007B25FE"/>
    <w:rsid w:val="007B28F4"/>
    <w:rsid w:val="007B2938"/>
    <w:rsid w:val="007B32DA"/>
    <w:rsid w:val="007B4250"/>
    <w:rsid w:val="007B4601"/>
    <w:rsid w:val="007B4CD6"/>
    <w:rsid w:val="007B568F"/>
    <w:rsid w:val="007B5A00"/>
    <w:rsid w:val="007B66A6"/>
    <w:rsid w:val="007B6B72"/>
    <w:rsid w:val="007B6DE6"/>
    <w:rsid w:val="007B7D9D"/>
    <w:rsid w:val="007C08EA"/>
    <w:rsid w:val="007C1943"/>
    <w:rsid w:val="007C1DD1"/>
    <w:rsid w:val="007C23FC"/>
    <w:rsid w:val="007C3B68"/>
    <w:rsid w:val="007C4091"/>
    <w:rsid w:val="007C5288"/>
    <w:rsid w:val="007C6E84"/>
    <w:rsid w:val="007D0086"/>
    <w:rsid w:val="007D145C"/>
    <w:rsid w:val="007D16E4"/>
    <w:rsid w:val="007D2589"/>
    <w:rsid w:val="007D35AD"/>
    <w:rsid w:val="007D433E"/>
    <w:rsid w:val="007D5814"/>
    <w:rsid w:val="007D6A73"/>
    <w:rsid w:val="007D6B22"/>
    <w:rsid w:val="007D7DDA"/>
    <w:rsid w:val="007E08DC"/>
    <w:rsid w:val="007E0B03"/>
    <w:rsid w:val="007E0D43"/>
    <w:rsid w:val="007E14C6"/>
    <w:rsid w:val="007E1737"/>
    <w:rsid w:val="007E2D6E"/>
    <w:rsid w:val="007E3403"/>
    <w:rsid w:val="007E3871"/>
    <w:rsid w:val="007E4109"/>
    <w:rsid w:val="007E5E62"/>
    <w:rsid w:val="007E69C2"/>
    <w:rsid w:val="007E7EFB"/>
    <w:rsid w:val="007F11EF"/>
    <w:rsid w:val="007F1688"/>
    <w:rsid w:val="007F1E3D"/>
    <w:rsid w:val="007F22BA"/>
    <w:rsid w:val="007F22E6"/>
    <w:rsid w:val="007F270A"/>
    <w:rsid w:val="007F2ED7"/>
    <w:rsid w:val="007F3826"/>
    <w:rsid w:val="007F3B73"/>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5FCC"/>
    <w:rsid w:val="0080641F"/>
    <w:rsid w:val="0080702E"/>
    <w:rsid w:val="00807FD7"/>
    <w:rsid w:val="00811173"/>
    <w:rsid w:val="00811992"/>
    <w:rsid w:val="00812B18"/>
    <w:rsid w:val="0081346C"/>
    <w:rsid w:val="00813BFA"/>
    <w:rsid w:val="00814008"/>
    <w:rsid w:val="00814B3C"/>
    <w:rsid w:val="008150D0"/>
    <w:rsid w:val="00816510"/>
    <w:rsid w:val="0081680D"/>
    <w:rsid w:val="008176F0"/>
    <w:rsid w:val="00820628"/>
    <w:rsid w:val="00820719"/>
    <w:rsid w:val="00820826"/>
    <w:rsid w:val="00820FD4"/>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3762D"/>
    <w:rsid w:val="008408E8"/>
    <w:rsid w:val="00841B37"/>
    <w:rsid w:val="008425D1"/>
    <w:rsid w:val="00842C0A"/>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8FE"/>
    <w:rsid w:val="00856CB1"/>
    <w:rsid w:val="008570ED"/>
    <w:rsid w:val="00857CBF"/>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0D6C"/>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56E"/>
    <w:rsid w:val="00885E15"/>
    <w:rsid w:val="00885F71"/>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288E"/>
    <w:rsid w:val="008A36F0"/>
    <w:rsid w:val="008A37A5"/>
    <w:rsid w:val="008A381B"/>
    <w:rsid w:val="008A3927"/>
    <w:rsid w:val="008A506A"/>
    <w:rsid w:val="008A556A"/>
    <w:rsid w:val="008A5DBB"/>
    <w:rsid w:val="008A64CE"/>
    <w:rsid w:val="008B1233"/>
    <w:rsid w:val="008B136F"/>
    <w:rsid w:val="008B149A"/>
    <w:rsid w:val="008B1E9C"/>
    <w:rsid w:val="008B26BC"/>
    <w:rsid w:val="008B29AF"/>
    <w:rsid w:val="008B423F"/>
    <w:rsid w:val="008B4D46"/>
    <w:rsid w:val="008B4E1C"/>
    <w:rsid w:val="008B56E6"/>
    <w:rsid w:val="008B642C"/>
    <w:rsid w:val="008B6431"/>
    <w:rsid w:val="008B6F2D"/>
    <w:rsid w:val="008B72C5"/>
    <w:rsid w:val="008C0108"/>
    <w:rsid w:val="008C1628"/>
    <w:rsid w:val="008C33AB"/>
    <w:rsid w:val="008C5E5D"/>
    <w:rsid w:val="008C7223"/>
    <w:rsid w:val="008C7550"/>
    <w:rsid w:val="008C782C"/>
    <w:rsid w:val="008D1432"/>
    <w:rsid w:val="008D324E"/>
    <w:rsid w:val="008D35BC"/>
    <w:rsid w:val="008D35FC"/>
    <w:rsid w:val="008D3828"/>
    <w:rsid w:val="008D40D4"/>
    <w:rsid w:val="008D4845"/>
    <w:rsid w:val="008D4D07"/>
    <w:rsid w:val="008D58F8"/>
    <w:rsid w:val="008D5A3A"/>
    <w:rsid w:val="008D6004"/>
    <w:rsid w:val="008D62AE"/>
    <w:rsid w:val="008D730D"/>
    <w:rsid w:val="008D7883"/>
    <w:rsid w:val="008D7E51"/>
    <w:rsid w:val="008D7EAA"/>
    <w:rsid w:val="008E0918"/>
    <w:rsid w:val="008E0D9B"/>
    <w:rsid w:val="008E3144"/>
    <w:rsid w:val="008E4627"/>
    <w:rsid w:val="008E5575"/>
    <w:rsid w:val="008E55CF"/>
    <w:rsid w:val="008E5B68"/>
    <w:rsid w:val="008E5FAC"/>
    <w:rsid w:val="008E7811"/>
    <w:rsid w:val="008F068B"/>
    <w:rsid w:val="008F2882"/>
    <w:rsid w:val="008F34D9"/>
    <w:rsid w:val="008F3A9C"/>
    <w:rsid w:val="008F3F2D"/>
    <w:rsid w:val="008F4BD4"/>
    <w:rsid w:val="008F6BBA"/>
    <w:rsid w:val="008F71C7"/>
    <w:rsid w:val="008F7C1F"/>
    <w:rsid w:val="009005A7"/>
    <w:rsid w:val="009014FE"/>
    <w:rsid w:val="00901A03"/>
    <w:rsid w:val="00902655"/>
    <w:rsid w:val="0090568D"/>
    <w:rsid w:val="00905C16"/>
    <w:rsid w:val="00905F0F"/>
    <w:rsid w:val="00907316"/>
    <w:rsid w:val="009074DB"/>
    <w:rsid w:val="009077DF"/>
    <w:rsid w:val="00911108"/>
    <w:rsid w:val="00911740"/>
    <w:rsid w:val="00911C37"/>
    <w:rsid w:val="0091273E"/>
    <w:rsid w:val="009131B2"/>
    <w:rsid w:val="00913434"/>
    <w:rsid w:val="009134C6"/>
    <w:rsid w:val="009140C4"/>
    <w:rsid w:val="00916D86"/>
    <w:rsid w:val="00916ECC"/>
    <w:rsid w:val="009170B8"/>
    <w:rsid w:val="00917782"/>
    <w:rsid w:val="00920D0B"/>
    <w:rsid w:val="00921376"/>
    <w:rsid w:val="00923EA6"/>
    <w:rsid w:val="009244A7"/>
    <w:rsid w:val="00926A53"/>
    <w:rsid w:val="009322C4"/>
    <w:rsid w:val="009323DA"/>
    <w:rsid w:val="0093274C"/>
    <w:rsid w:val="00933172"/>
    <w:rsid w:val="0093455F"/>
    <w:rsid w:val="0093484B"/>
    <w:rsid w:val="00934B3E"/>
    <w:rsid w:val="009363C3"/>
    <w:rsid w:val="00936F2D"/>
    <w:rsid w:val="00937C0C"/>
    <w:rsid w:val="009413AE"/>
    <w:rsid w:val="009414DD"/>
    <w:rsid w:val="009419D6"/>
    <w:rsid w:val="00941D11"/>
    <w:rsid w:val="00942222"/>
    <w:rsid w:val="00942CBC"/>
    <w:rsid w:val="00943216"/>
    <w:rsid w:val="0094321D"/>
    <w:rsid w:val="00943A5B"/>
    <w:rsid w:val="00943C82"/>
    <w:rsid w:val="00950138"/>
    <w:rsid w:val="00950E90"/>
    <w:rsid w:val="009511F8"/>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265C"/>
    <w:rsid w:val="00974066"/>
    <w:rsid w:val="009761A8"/>
    <w:rsid w:val="00976784"/>
    <w:rsid w:val="00977526"/>
    <w:rsid w:val="00980383"/>
    <w:rsid w:val="009811B9"/>
    <w:rsid w:val="009819A0"/>
    <w:rsid w:val="00982600"/>
    <w:rsid w:val="00982E91"/>
    <w:rsid w:val="009831C6"/>
    <w:rsid w:val="00983B2B"/>
    <w:rsid w:val="00983D01"/>
    <w:rsid w:val="00983E9C"/>
    <w:rsid w:val="009844F2"/>
    <w:rsid w:val="00985838"/>
    <w:rsid w:val="00985CAD"/>
    <w:rsid w:val="00986A71"/>
    <w:rsid w:val="00987877"/>
    <w:rsid w:val="009903CF"/>
    <w:rsid w:val="00990413"/>
    <w:rsid w:val="00990794"/>
    <w:rsid w:val="00990E0E"/>
    <w:rsid w:val="0099108C"/>
    <w:rsid w:val="00991DAD"/>
    <w:rsid w:val="00991DBB"/>
    <w:rsid w:val="00991F47"/>
    <w:rsid w:val="00993514"/>
    <w:rsid w:val="00993A72"/>
    <w:rsid w:val="00994106"/>
    <w:rsid w:val="00994A1E"/>
    <w:rsid w:val="0099629F"/>
    <w:rsid w:val="0099701E"/>
    <w:rsid w:val="0099789F"/>
    <w:rsid w:val="009A0212"/>
    <w:rsid w:val="009A0F93"/>
    <w:rsid w:val="009A1739"/>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5704"/>
    <w:rsid w:val="009E66D5"/>
    <w:rsid w:val="009E7870"/>
    <w:rsid w:val="009F00FD"/>
    <w:rsid w:val="009F202B"/>
    <w:rsid w:val="009F34FF"/>
    <w:rsid w:val="009F3B8D"/>
    <w:rsid w:val="009F4062"/>
    <w:rsid w:val="009F473E"/>
    <w:rsid w:val="009F703C"/>
    <w:rsid w:val="009F71A0"/>
    <w:rsid w:val="009F7598"/>
    <w:rsid w:val="009F788F"/>
    <w:rsid w:val="009F7AB6"/>
    <w:rsid w:val="009F7BD5"/>
    <w:rsid w:val="00A00912"/>
    <w:rsid w:val="00A01AA1"/>
    <w:rsid w:val="00A0416C"/>
    <w:rsid w:val="00A04539"/>
    <w:rsid w:val="00A05683"/>
    <w:rsid w:val="00A06749"/>
    <w:rsid w:val="00A1027C"/>
    <w:rsid w:val="00A11407"/>
    <w:rsid w:val="00A11859"/>
    <w:rsid w:val="00A12D3A"/>
    <w:rsid w:val="00A13A16"/>
    <w:rsid w:val="00A1452B"/>
    <w:rsid w:val="00A145F0"/>
    <w:rsid w:val="00A14B4B"/>
    <w:rsid w:val="00A14D41"/>
    <w:rsid w:val="00A15150"/>
    <w:rsid w:val="00A15D97"/>
    <w:rsid w:val="00A1601B"/>
    <w:rsid w:val="00A167C4"/>
    <w:rsid w:val="00A179DF"/>
    <w:rsid w:val="00A17AB6"/>
    <w:rsid w:val="00A20426"/>
    <w:rsid w:val="00A205B9"/>
    <w:rsid w:val="00A216F9"/>
    <w:rsid w:val="00A22227"/>
    <w:rsid w:val="00A22CD5"/>
    <w:rsid w:val="00A23D71"/>
    <w:rsid w:val="00A24607"/>
    <w:rsid w:val="00A27954"/>
    <w:rsid w:val="00A279B7"/>
    <w:rsid w:val="00A3055A"/>
    <w:rsid w:val="00A30C35"/>
    <w:rsid w:val="00A30E1C"/>
    <w:rsid w:val="00A32B15"/>
    <w:rsid w:val="00A32E2A"/>
    <w:rsid w:val="00A32F71"/>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2B58"/>
    <w:rsid w:val="00A53236"/>
    <w:rsid w:val="00A53DA4"/>
    <w:rsid w:val="00A5410F"/>
    <w:rsid w:val="00A541BF"/>
    <w:rsid w:val="00A547B7"/>
    <w:rsid w:val="00A55DCB"/>
    <w:rsid w:val="00A5717C"/>
    <w:rsid w:val="00A572CB"/>
    <w:rsid w:val="00A57316"/>
    <w:rsid w:val="00A5747C"/>
    <w:rsid w:val="00A5748B"/>
    <w:rsid w:val="00A579CC"/>
    <w:rsid w:val="00A60479"/>
    <w:rsid w:val="00A618DB"/>
    <w:rsid w:val="00A63761"/>
    <w:rsid w:val="00A63C84"/>
    <w:rsid w:val="00A64491"/>
    <w:rsid w:val="00A64DF5"/>
    <w:rsid w:val="00A65475"/>
    <w:rsid w:val="00A65810"/>
    <w:rsid w:val="00A65C36"/>
    <w:rsid w:val="00A663AD"/>
    <w:rsid w:val="00A66C4C"/>
    <w:rsid w:val="00A674F4"/>
    <w:rsid w:val="00A67842"/>
    <w:rsid w:val="00A7113F"/>
    <w:rsid w:val="00A711CD"/>
    <w:rsid w:val="00A71CED"/>
    <w:rsid w:val="00A72845"/>
    <w:rsid w:val="00A72B6B"/>
    <w:rsid w:val="00A731AF"/>
    <w:rsid w:val="00A7338B"/>
    <w:rsid w:val="00A73786"/>
    <w:rsid w:val="00A737E5"/>
    <w:rsid w:val="00A74FEB"/>
    <w:rsid w:val="00A76AF4"/>
    <w:rsid w:val="00A7741F"/>
    <w:rsid w:val="00A776AB"/>
    <w:rsid w:val="00A818B2"/>
    <w:rsid w:val="00A82509"/>
    <w:rsid w:val="00A82671"/>
    <w:rsid w:val="00A82E89"/>
    <w:rsid w:val="00A83085"/>
    <w:rsid w:val="00A8555A"/>
    <w:rsid w:val="00A8581E"/>
    <w:rsid w:val="00A85CDC"/>
    <w:rsid w:val="00A86311"/>
    <w:rsid w:val="00A86A92"/>
    <w:rsid w:val="00A86B6A"/>
    <w:rsid w:val="00A86D11"/>
    <w:rsid w:val="00A87387"/>
    <w:rsid w:val="00A878F6"/>
    <w:rsid w:val="00A91632"/>
    <w:rsid w:val="00A91A59"/>
    <w:rsid w:val="00A92393"/>
    <w:rsid w:val="00A92A39"/>
    <w:rsid w:val="00A92F78"/>
    <w:rsid w:val="00A933CF"/>
    <w:rsid w:val="00A9344C"/>
    <w:rsid w:val="00A94643"/>
    <w:rsid w:val="00A947A6"/>
    <w:rsid w:val="00A96183"/>
    <w:rsid w:val="00A963D4"/>
    <w:rsid w:val="00A970E2"/>
    <w:rsid w:val="00A979E7"/>
    <w:rsid w:val="00AA00A2"/>
    <w:rsid w:val="00AA09FA"/>
    <w:rsid w:val="00AA0C78"/>
    <w:rsid w:val="00AA2179"/>
    <w:rsid w:val="00AA2B9F"/>
    <w:rsid w:val="00AA2BA9"/>
    <w:rsid w:val="00AA418C"/>
    <w:rsid w:val="00AA45BE"/>
    <w:rsid w:val="00AA525A"/>
    <w:rsid w:val="00AA583D"/>
    <w:rsid w:val="00AA5869"/>
    <w:rsid w:val="00AA6926"/>
    <w:rsid w:val="00AA6A07"/>
    <w:rsid w:val="00AA73E8"/>
    <w:rsid w:val="00AA78CB"/>
    <w:rsid w:val="00AA7F54"/>
    <w:rsid w:val="00AB00F9"/>
    <w:rsid w:val="00AB02AB"/>
    <w:rsid w:val="00AB23F3"/>
    <w:rsid w:val="00AB2BFB"/>
    <w:rsid w:val="00AB2C02"/>
    <w:rsid w:val="00AB32BC"/>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152"/>
    <w:rsid w:val="00AD2812"/>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26"/>
    <w:rsid w:val="00B01BAF"/>
    <w:rsid w:val="00B0219F"/>
    <w:rsid w:val="00B02555"/>
    <w:rsid w:val="00B02C00"/>
    <w:rsid w:val="00B035C4"/>
    <w:rsid w:val="00B036D3"/>
    <w:rsid w:val="00B04968"/>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DCB"/>
    <w:rsid w:val="00B22FEF"/>
    <w:rsid w:val="00B239CC"/>
    <w:rsid w:val="00B24590"/>
    <w:rsid w:val="00B249F5"/>
    <w:rsid w:val="00B25B2F"/>
    <w:rsid w:val="00B308AC"/>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6D45"/>
    <w:rsid w:val="00B4720D"/>
    <w:rsid w:val="00B479F5"/>
    <w:rsid w:val="00B51A00"/>
    <w:rsid w:val="00B53986"/>
    <w:rsid w:val="00B53B2C"/>
    <w:rsid w:val="00B53CDD"/>
    <w:rsid w:val="00B54E0E"/>
    <w:rsid w:val="00B54E63"/>
    <w:rsid w:val="00B57027"/>
    <w:rsid w:val="00B570E4"/>
    <w:rsid w:val="00B57B7F"/>
    <w:rsid w:val="00B600BE"/>
    <w:rsid w:val="00B61CB6"/>
    <w:rsid w:val="00B628F4"/>
    <w:rsid w:val="00B631C8"/>
    <w:rsid w:val="00B63FD8"/>
    <w:rsid w:val="00B644B7"/>
    <w:rsid w:val="00B64970"/>
    <w:rsid w:val="00B64F9A"/>
    <w:rsid w:val="00B65799"/>
    <w:rsid w:val="00B657F2"/>
    <w:rsid w:val="00B664B0"/>
    <w:rsid w:val="00B665D6"/>
    <w:rsid w:val="00B66A5F"/>
    <w:rsid w:val="00B67CDB"/>
    <w:rsid w:val="00B67E18"/>
    <w:rsid w:val="00B7219C"/>
    <w:rsid w:val="00B72891"/>
    <w:rsid w:val="00B72FE7"/>
    <w:rsid w:val="00B73122"/>
    <w:rsid w:val="00B737D2"/>
    <w:rsid w:val="00B73B0B"/>
    <w:rsid w:val="00B73E6F"/>
    <w:rsid w:val="00B744E3"/>
    <w:rsid w:val="00B761E0"/>
    <w:rsid w:val="00B769EB"/>
    <w:rsid w:val="00B76CC8"/>
    <w:rsid w:val="00B82DD9"/>
    <w:rsid w:val="00B82EB3"/>
    <w:rsid w:val="00B85CE0"/>
    <w:rsid w:val="00B8619C"/>
    <w:rsid w:val="00B863C1"/>
    <w:rsid w:val="00B867E3"/>
    <w:rsid w:val="00B87466"/>
    <w:rsid w:val="00B90BA7"/>
    <w:rsid w:val="00B90EF9"/>
    <w:rsid w:val="00B9253C"/>
    <w:rsid w:val="00B92C96"/>
    <w:rsid w:val="00B93576"/>
    <w:rsid w:val="00B9399C"/>
    <w:rsid w:val="00B9407C"/>
    <w:rsid w:val="00B940A6"/>
    <w:rsid w:val="00B949EC"/>
    <w:rsid w:val="00B975A8"/>
    <w:rsid w:val="00BA0328"/>
    <w:rsid w:val="00BA0344"/>
    <w:rsid w:val="00BA1D5B"/>
    <w:rsid w:val="00BA1E7C"/>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A8B"/>
    <w:rsid w:val="00BC0B67"/>
    <w:rsid w:val="00BC1328"/>
    <w:rsid w:val="00BC253A"/>
    <w:rsid w:val="00BC3357"/>
    <w:rsid w:val="00BC35DD"/>
    <w:rsid w:val="00BC3CDB"/>
    <w:rsid w:val="00BC4382"/>
    <w:rsid w:val="00BC4C54"/>
    <w:rsid w:val="00BC51CB"/>
    <w:rsid w:val="00BC51D3"/>
    <w:rsid w:val="00BC530F"/>
    <w:rsid w:val="00BC5975"/>
    <w:rsid w:val="00BC6842"/>
    <w:rsid w:val="00BC6CCD"/>
    <w:rsid w:val="00BC6CD9"/>
    <w:rsid w:val="00BC7769"/>
    <w:rsid w:val="00BD01B2"/>
    <w:rsid w:val="00BD0303"/>
    <w:rsid w:val="00BD0D2B"/>
    <w:rsid w:val="00BD0D4F"/>
    <w:rsid w:val="00BD2957"/>
    <w:rsid w:val="00BD2CD1"/>
    <w:rsid w:val="00BD2EBB"/>
    <w:rsid w:val="00BD482C"/>
    <w:rsid w:val="00BD5F09"/>
    <w:rsid w:val="00BD7AA4"/>
    <w:rsid w:val="00BD7F4E"/>
    <w:rsid w:val="00BE04B4"/>
    <w:rsid w:val="00BE0A96"/>
    <w:rsid w:val="00BE1501"/>
    <w:rsid w:val="00BE17DE"/>
    <w:rsid w:val="00BE4D75"/>
    <w:rsid w:val="00BE5015"/>
    <w:rsid w:val="00BE57E6"/>
    <w:rsid w:val="00BE5825"/>
    <w:rsid w:val="00BE5CE7"/>
    <w:rsid w:val="00BE6BCE"/>
    <w:rsid w:val="00BE7109"/>
    <w:rsid w:val="00BE793D"/>
    <w:rsid w:val="00BF00E5"/>
    <w:rsid w:val="00BF0A6F"/>
    <w:rsid w:val="00BF11F5"/>
    <w:rsid w:val="00BF27E4"/>
    <w:rsid w:val="00BF5B89"/>
    <w:rsid w:val="00BF5E25"/>
    <w:rsid w:val="00BF5EEB"/>
    <w:rsid w:val="00BF65A1"/>
    <w:rsid w:val="00BF771B"/>
    <w:rsid w:val="00C003DD"/>
    <w:rsid w:val="00C01BFF"/>
    <w:rsid w:val="00C0201D"/>
    <w:rsid w:val="00C02FE7"/>
    <w:rsid w:val="00C03540"/>
    <w:rsid w:val="00C036C3"/>
    <w:rsid w:val="00C03B88"/>
    <w:rsid w:val="00C0409D"/>
    <w:rsid w:val="00C0465E"/>
    <w:rsid w:val="00C06B67"/>
    <w:rsid w:val="00C06CB4"/>
    <w:rsid w:val="00C07520"/>
    <w:rsid w:val="00C100BB"/>
    <w:rsid w:val="00C10C11"/>
    <w:rsid w:val="00C13423"/>
    <w:rsid w:val="00C13E28"/>
    <w:rsid w:val="00C14BDE"/>
    <w:rsid w:val="00C14C40"/>
    <w:rsid w:val="00C14DCB"/>
    <w:rsid w:val="00C1502A"/>
    <w:rsid w:val="00C21AA0"/>
    <w:rsid w:val="00C21C85"/>
    <w:rsid w:val="00C21F5C"/>
    <w:rsid w:val="00C21F62"/>
    <w:rsid w:val="00C22EDF"/>
    <w:rsid w:val="00C22F3D"/>
    <w:rsid w:val="00C2328F"/>
    <w:rsid w:val="00C2354E"/>
    <w:rsid w:val="00C23704"/>
    <w:rsid w:val="00C23C8F"/>
    <w:rsid w:val="00C248B6"/>
    <w:rsid w:val="00C263DE"/>
    <w:rsid w:val="00C26A7C"/>
    <w:rsid w:val="00C30C36"/>
    <w:rsid w:val="00C31D15"/>
    <w:rsid w:val="00C3214E"/>
    <w:rsid w:val="00C32913"/>
    <w:rsid w:val="00C350A3"/>
    <w:rsid w:val="00C35EDC"/>
    <w:rsid w:val="00C36068"/>
    <w:rsid w:val="00C361F1"/>
    <w:rsid w:val="00C36591"/>
    <w:rsid w:val="00C412A3"/>
    <w:rsid w:val="00C413CB"/>
    <w:rsid w:val="00C42955"/>
    <w:rsid w:val="00C42ED3"/>
    <w:rsid w:val="00C43516"/>
    <w:rsid w:val="00C43542"/>
    <w:rsid w:val="00C43604"/>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5A90"/>
    <w:rsid w:val="00C55E7D"/>
    <w:rsid w:val="00C6012B"/>
    <w:rsid w:val="00C60199"/>
    <w:rsid w:val="00C60F64"/>
    <w:rsid w:val="00C62304"/>
    <w:rsid w:val="00C62F7C"/>
    <w:rsid w:val="00C63343"/>
    <w:rsid w:val="00C63AC6"/>
    <w:rsid w:val="00C6542B"/>
    <w:rsid w:val="00C65C59"/>
    <w:rsid w:val="00C6644F"/>
    <w:rsid w:val="00C66CBF"/>
    <w:rsid w:val="00C67243"/>
    <w:rsid w:val="00C70D8A"/>
    <w:rsid w:val="00C71FB4"/>
    <w:rsid w:val="00C735D1"/>
    <w:rsid w:val="00C73AFF"/>
    <w:rsid w:val="00C73C88"/>
    <w:rsid w:val="00C75AB4"/>
    <w:rsid w:val="00C75BAB"/>
    <w:rsid w:val="00C762DB"/>
    <w:rsid w:val="00C77E10"/>
    <w:rsid w:val="00C807AC"/>
    <w:rsid w:val="00C809BE"/>
    <w:rsid w:val="00C80F19"/>
    <w:rsid w:val="00C81572"/>
    <w:rsid w:val="00C81781"/>
    <w:rsid w:val="00C8260E"/>
    <w:rsid w:val="00C830F9"/>
    <w:rsid w:val="00C83293"/>
    <w:rsid w:val="00C83A4B"/>
    <w:rsid w:val="00C83C8B"/>
    <w:rsid w:val="00C83EDF"/>
    <w:rsid w:val="00C84EC4"/>
    <w:rsid w:val="00C85C04"/>
    <w:rsid w:val="00C85DFA"/>
    <w:rsid w:val="00C86446"/>
    <w:rsid w:val="00C8644F"/>
    <w:rsid w:val="00C90E35"/>
    <w:rsid w:val="00C9138C"/>
    <w:rsid w:val="00C91F44"/>
    <w:rsid w:val="00C921E6"/>
    <w:rsid w:val="00C9385D"/>
    <w:rsid w:val="00C93FBA"/>
    <w:rsid w:val="00C94F96"/>
    <w:rsid w:val="00C9596E"/>
    <w:rsid w:val="00C960B5"/>
    <w:rsid w:val="00C96B35"/>
    <w:rsid w:val="00C97539"/>
    <w:rsid w:val="00C97FD1"/>
    <w:rsid w:val="00CA00E8"/>
    <w:rsid w:val="00CA0A6B"/>
    <w:rsid w:val="00CA129B"/>
    <w:rsid w:val="00CA2570"/>
    <w:rsid w:val="00CA25D9"/>
    <w:rsid w:val="00CA3F8D"/>
    <w:rsid w:val="00CA47DF"/>
    <w:rsid w:val="00CA5057"/>
    <w:rsid w:val="00CA531C"/>
    <w:rsid w:val="00CA65F3"/>
    <w:rsid w:val="00CA68B5"/>
    <w:rsid w:val="00CA779E"/>
    <w:rsid w:val="00CB04E2"/>
    <w:rsid w:val="00CB0D6F"/>
    <w:rsid w:val="00CB27A1"/>
    <w:rsid w:val="00CB5496"/>
    <w:rsid w:val="00CB5738"/>
    <w:rsid w:val="00CB7BC9"/>
    <w:rsid w:val="00CB7E35"/>
    <w:rsid w:val="00CC086A"/>
    <w:rsid w:val="00CC0C1F"/>
    <w:rsid w:val="00CC1040"/>
    <w:rsid w:val="00CC2A75"/>
    <w:rsid w:val="00CC425D"/>
    <w:rsid w:val="00CC44DE"/>
    <w:rsid w:val="00CC49FC"/>
    <w:rsid w:val="00CC4ED4"/>
    <w:rsid w:val="00CC5407"/>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3AF"/>
    <w:rsid w:val="00CD6705"/>
    <w:rsid w:val="00CE0D5B"/>
    <w:rsid w:val="00CE17B7"/>
    <w:rsid w:val="00CE1CFF"/>
    <w:rsid w:val="00CE2101"/>
    <w:rsid w:val="00CE3D0C"/>
    <w:rsid w:val="00CE43AE"/>
    <w:rsid w:val="00CE4B2A"/>
    <w:rsid w:val="00CE5B3E"/>
    <w:rsid w:val="00CE679D"/>
    <w:rsid w:val="00CE67A8"/>
    <w:rsid w:val="00CE6AD3"/>
    <w:rsid w:val="00CE73BB"/>
    <w:rsid w:val="00CE7A88"/>
    <w:rsid w:val="00CE7AF6"/>
    <w:rsid w:val="00CF011A"/>
    <w:rsid w:val="00CF0988"/>
    <w:rsid w:val="00CF2FF5"/>
    <w:rsid w:val="00CF4FFF"/>
    <w:rsid w:val="00CF526C"/>
    <w:rsid w:val="00CF72B4"/>
    <w:rsid w:val="00CF73DB"/>
    <w:rsid w:val="00CF7491"/>
    <w:rsid w:val="00D006A0"/>
    <w:rsid w:val="00D00DCD"/>
    <w:rsid w:val="00D01CC8"/>
    <w:rsid w:val="00D0215F"/>
    <w:rsid w:val="00D029C2"/>
    <w:rsid w:val="00D03AE8"/>
    <w:rsid w:val="00D0475C"/>
    <w:rsid w:val="00D0731D"/>
    <w:rsid w:val="00D1073B"/>
    <w:rsid w:val="00D115D9"/>
    <w:rsid w:val="00D11AC8"/>
    <w:rsid w:val="00D121A9"/>
    <w:rsid w:val="00D12C32"/>
    <w:rsid w:val="00D13DC6"/>
    <w:rsid w:val="00D15713"/>
    <w:rsid w:val="00D162E4"/>
    <w:rsid w:val="00D16346"/>
    <w:rsid w:val="00D16E78"/>
    <w:rsid w:val="00D1788F"/>
    <w:rsid w:val="00D17C4D"/>
    <w:rsid w:val="00D20386"/>
    <w:rsid w:val="00D2056A"/>
    <w:rsid w:val="00D20D19"/>
    <w:rsid w:val="00D21FE8"/>
    <w:rsid w:val="00D220D7"/>
    <w:rsid w:val="00D22BD1"/>
    <w:rsid w:val="00D23862"/>
    <w:rsid w:val="00D24555"/>
    <w:rsid w:val="00D255BE"/>
    <w:rsid w:val="00D25968"/>
    <w:rsid w:val="00D25F65"/>
    <w:rsid w:val="00D2612C"/>
    <w:rsid w:val="00D30BA5"/>
    <w:rsid w:val="00D31706"/>
    <w:rsid w:val="00D327A0"/>
    <w:rsid w:val="00D328C6"/>
    <w:rsid w:val="00D33792"/>
    <w:rsid w:val="00D3489F"/>
    <w:rsid w:val="00D34D1A"/>
    <w:rsid w:val="00D35607"/>
    <w:rsid w:val="00D3616D"/>
    <w:rsid w:val="00D36862"/>
    <w:rsid w:val="00D37C65"/>
    <w:rsid w:val="00D41B16"/>
    <w:rsid w:val="00D42F4A"/>
    <w:rsid w:val="00D43F77"/>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5A8E"/>
    <w:rsid w:val="00D569FD"/>
    <w:rsid w:val="00D575D1"/>
    <w:rsid w:val="00D57EDA"/>
    <w:rsid w:val="00D60B47"/>
    <w:rsid w:val="00D621BD"/>
    <w:rsid w:val="00D63D04"/>
    <w:rsid w:val="00D646D2"/>
    <w:rsid w:val="00D6478D"/>
    <w:rsid w:val="00D6520D"/>
    <w:rsid w:val="00D65B59"/>
    <w:rsid w:val="00D66F6A"/>
    <w:rsid w:val="00D67525"/>
    <w:rsid w:val="00D67FB2"/>
    <w:rsid w:val="00D70C29"/>
    <w:rsid w:val="00D70E11"/>
    <w:rsid w:val="00D70E51"/>
    <w:rsid w:val="00D71875"/>
    <w:rsid w:val="00D71DFC"/>
    <w:rsid w:val="00D73109"/>
    <w:rsid w:val="00D7316B"/>
    <w:rsid w:val="00D738A2"/>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198"/>
    <w:rsid w:val="00DA4DDB"/>
    <w:rsid w:val="00DA565B"/>
    <w:rsid w:val="00DA56BF"/>
    <w:rsid w:val="00DA6674"/>
    <w:rsid w:val="00DA7B19"/>
    <w:rsid w:val="00DB024B"/>
    <w:rsid w:val="00DB053A"/>
    <w:rsid w:val="00DB082D"/>
    <w:rsid w:val="00DB23F4"/>
    <w:rsid w:val="00DB37C4"/>
    <w:rsid w:val="00DB6086"/>
    <w:rsid w:val="00DB7D80"/>
    <w:rsid w:val="00DB7FA6"/>
    <w:rsid w:val="00DC1B67"/>
    <w:rsid w:val="00DC1F0F"/>
    <w:rsid w:val="00DC23C0"/>
    <w:rsid w:val="00DC2C36"/>
    <w:rsid w:val="00DC3136"/>
    <w:rsid w:val="00DC313A"/>
    <w:rsid w:val="00DC3191"/>
    <w:rsid w:val="00DC322C"/>
    <w:rsid w:val="00DC3252"/>
    <w:rsid w:val="00DC39C7"/>
    <w:rsid w:val="00DC4327"/>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D7094"/>
    <w:rsid w:val="00DE08B4"/>
    <w:rsid w:val="00DE1297"/>
    <w:rsid w:val="00DE183E"/>
    <w:rsid w:val="00DE1B6B"/>
    <w:rsid w:val="00DE2A72"/>
    <w:rsid w:val="00DE2AA1"/>
    <w:rsid w:val="00DE3C50"/>
    <w:rsid w:val="00DE4252"/>
    <w:rsid w:val="00DE4AC6"/>
    <w:rsid w:val="00DE4EF6"/>
    <w:rsid w:val="00DE5E01"/>
    <w:rsid w:val="00DE5F08"/>
    <w:rsid w:val="00DE715D"/>
    <w:rsid w:val="00DE7BD5"/>
    <w:rsid w:val="00DE7C44"/>
    <w:rsid w:val="00DF0F8B"/>
    <w:rsid w:val="00DF208D"/>
    <w:rsid w:val="00DF2585"/>
    <w:rsid w:val="00DF295A"/>
    <w:rsid w:val="00DF2A59"/>
    <w:rsid w:val="00DF2C6A"/>
    <w:rsid w:val="00DF2EE1"/>
    <w:rsid w:val="00DF36D8"/>
    <w:rsid w:val="00DF3B2D"/>
    <w:rsid w:val="00DF5207"/>
    <w:rsid w:val="00DF60D0"/>
    <w:rsid w:val="00DF621B"/>
    <w:rsid w:val="00DF6293"/>
    <w:rsid w:val="00DF647D"/>
    <w:rsid w:val="00E0019D"/>
    <w:rsid w:val="00E004AE"/>
    <w:rsid w:val="00E00BBE"/>
    <w:rsid w:val="00E01583"/>
    <w:rsid w:val="00E0183D"/>
    <w:rsid w:val="00E01A67"/>
    <w:rsid w:val="00E01AE4"/>
    <w:rsid w:val="00E02090"/>
    <w:rsid w:val="00E02570"/>
    <w:rsid w:val="00E02A8D"/>
    <w:rsid w:val="00E03BEB"/>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5BE"/>
    <w:rsid w:val="00E1681B"/>
    <w:rsid w:val="00E16CD7"/>
    <w:rsid w:val="00E16F89"/>
    <w:rsid w:val="00E20981"/>
    <w:rsid w:val="00E2146B"/>
    <w:rsid w:val="00E218DD"/>
    <w:rsid w:val="00E21EEC"/>
    <w:rsid w:val="00E221EE"/>
    <w:rsid w:val="00E225F4"/>
    <w:rsid w:val="00E22618"/>
    <w:rsid w:val="00E23463"/>
    <w:rsid w:val="00E236EB"/>
    <w:rsid w:val="00E23ADA"/>
    <w:rsid w:val="00E2479A"/>
    <w:rsid w:val="00E2496B"/>
    <w:rsid w:val="00E253E5"/>
    <w:rsid w:val="00E25BA8"/>
    <w:rsid w:val="00E2649E"/>
    <w:rsid w:val="00E266DA"/>
    <w:rsid w:val="00E2683C"/>
    <w:rsid w:val="00E27906"/>
    <w:rsid w:val="00E27A7F"/>
    <w:rsid w:val="00E30B90"/>
    <w:rsid w:val="00E30D02"/>
    <w:rsid w:val="00E333DF"/>
    <w:rsid w:val="00E337D5"/>
    <w:rsid w:val="00E35FFA"/>
    <w:rsid w:val="00E36CCD"/>
    <w:rsid w:val="00E3778A"/>
    <w:rsid w:val="00E37A1B"/>
    <w:rsid w:val="00E37E85"/>
    <w:rsid w:val="00E40430"/>
    <w:rsid w:val="00E41321"/>
    <w:rsid w:val="00E4192F"/>
    <w:rsid w:val="00E42153"/>
    <w:rsid w:val="00E44340"/>
    <w:rsid w:val="00E44B75"/>
    <w:rsid w:val="00E44CD2"/>
    <w:rsid w:val="00E4530A"/>
    <w:rsid w:val="00E45D63"/>
    <w:rsid w:val="00E46850"/>
    <w:rsid w:val="00E47163"/>
    <w:rsid w:val="00E4790E"/>
    <w:rsid w:val="00E50DF3"/>
    <w:rsid w:val="00E51DD3"/>
    <w:rsid w:val="00E54AE9"/>
    <w:rsid w:val="00E568E2"/>
    <w:rsid w:val="00E60820"/>
    <w:rsid w:val="00E619C9"/>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38E"/>
    <w:rsid w:val="00ED47C6"/>
    <w:rsid w:val="00ED47DC"/>
    <w:rsid w:val="00ED4CAF"/>
    <w:rsid w:val="00ED6460"/>
    <w:rsid w:val="00ED7714"/>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64C4"/>
    <w:rsid w:val="00EF6A54"/>
    <w:rsid w:val="00EF6F8F"/>
    <w:rsid w:val="00F01454"/>
    <w:rsid w:val="00F01D9C"/>
    <w:rsid w:val="00F03A69"/>
    <w:rsid w:val="00F06ED7"/>
    <w:rsid w:val="00F077FB"/>
    <w:rsid w:val="00F106CF"/>
    <w:rsid w:val="00F120A1"/>
    <w:rsid w:val="00F125D3"/>
    <w:rsid w:val="00F13D2E"/>
    <w:rsid w:val="00F162B2"/>
    <w:rsid w:val="00F16E46"/>
    <w:rsid w:val="00F17D86"/>
    <w:rsid w:val="00F202F0"/>
    <w:rsid w:val="00F20F21"/>
    <w:rsid w:val="00F241D3"/>
    <w:rsid w:val="00F26CD9"/>
    <w:rsid w:val="00F27664"/>
    <w:rsid w:val="00F27761"/>
    <w:rsid w:val="00F313C4"/>
    <w:rsid w:val="00F31F7E"/>
    <w:rsid w:val="00F32BB0"/>
    <w:rsid w:val="00F32C94"/>
    <w:rsid w:val="00F32E9D"/>
    <w:rsid w:val="00F3468F"/>
    <w:rsid w:val="00F34C18"/>
    <w:rsid w:val="00F34E0C"/>
    <w:rsid w:val="00F3590D"/>
    <w:rsid w:val="00F35E0C"/>
    <w:rsid w:val="00F36230"/>
    <w:rsid w:val="00F365AA"/>
    <w:rsid w:val="00F36B95"/>
    <w:rsid w:val="00F37D5A"/>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5FB"/>
    <w:rsid w:val="00F626FA"/>
    <w:rsid w:val="00F62712"/>
    <w:rsid w:val="00F62EBA"/>
    <w:rsid w:val="00F63B25"/>
    <w:rsid w:val="00F63F27"/>
    <w:rsid w:val="00F6490A"/>
    <w:rsid w:val="00F65F01"/>
    <w:rsid w:val="00F66072"/>
    <w:rsid w:val="00F712FF"/>
    <w:rsid w:val="00F715DF"/>
    <w:rsid w:val="00F722CE"/>
    <w:rsid w:val="00F72D30"/>
    <w:rsid w:val="00F72E36"/>
    <w:rsid w:val="00F73042"/>
    <w:rsid w:val="00F73838"/>
    <w:rsid w:val="00F73F7E"/>
    <w:rsid w:val="00F745E5"/>
    <w:rsid w:val="00F7498F"/>
    <w:rsid w:val="00F75FC1"/>
    <w:rsid w:val="00F77587"/>
    <w:rsid w:val="00F776D2"/>
    <w:rsid w:val="00F80916"/>
    <w:rsid w:val="00F81E91"/>
    <w:rsid w:val="00F81F8F"/>
    <w:rsid w:val="00F824F3"/>
    <w:rsid w:val="00F8285A"/>
    <w:rsid w:val="00F83515"/>
    <w:rsid w:val="00F84F3E"/>
    <w:rsid w:val="00F85A6D"/>
    <w:rsid w:val="00F85BDA"/>
    <w:rsid w:val="00F860A9"/>
    <w:rsid w:val="00F87134"/>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9A7"/>
    <w:rsid w:val="00FA0BB1"/>
    <w:rsid w:val="00FA1B28"/>
    <w:rsid w:val="00FA3FDC"/>
    <w:rsid w:val="00FA623A"/>
    <w:rsid w:val="00FA63D7"/>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49C8"/>
    <w:rsid w:val="00FC523E"/>
    <w:rsid w:val="00FC54B9"/>
    <w:rsid w:val="00FC76E0"/>
    <w:rsid w:val="00FD1220"/>
    <w:rsid w:val="00FD1DB6"/>
    <w:rsid w:val="00FD1E39"/>
    <w:rsid w:val="00FD1FF3"/>
    <w:rsid w:val="00FD2233"/>
    <w:rsid w:val="00FD259E"/>
    <w:rsid w:val="00FD33C4"/>
    <w:rsid w:val="00FD4A56"/>
    <w:rsid w:val="00FD5CB7"/>
    <w:rsid w:val="00FD5D9B"/>
    <w:rsid w:val="00FD62CD"/>
    <w:rsid w:val="00FD64B3"/>
    <w:rsid w:val="00FD6937"/>
    <w:rsid w:val="00FD7E77"/>
    <w:rsid w:val="00FE14D3"/>
    <w:rsid w:val="00FE30AF"/>
    <w:rsid w:val="00FE3955"/>
    <w:rsid w:val="00FE3B6D"/>
    <w:rsid w:val="00FE4B3E"/>
    <w:rsid w:val="00FE4EDF"/>
    <w:rsid w:val="00FE5198"/>
    <w:rsid w:val="00FE6368"/>
    <w:rsid w:val="00FE63AE"/>
    <w:rsid w:val="00FE7564"/>
    <w:rsid w:val="00FE7CBD"/>
    <w:rsid w:val="00FF08A8"/>
    <w:rsid w:val="00FF0B14"/>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431729">
      <w:bodyDiv w:val="1"/>
      <w:marLeft w:val="0"/>
      <w:marRight w:val="0"/>
      <w:marTop w:val="0"/>
      <w:marBottom w:val="0"/>
      <w:divBdr>
        <w:top w:val="none" w:sz="0" w:space="0" w:color="auto"/>
        <w:left w:val="none" w:sz="0" w:space="0" w:color="auto"/>
        <w:bottom w:val="none" w:sz="0" w:space="0" w:color="auto"/>
        <w:right w:val="none" w:sz="0" w:space="0" w:color="auto"/>
      </w:divBdr>
      <w:divsChild>
        <w:div w:id="637346108">
          <w:marLeft w:val="0"/>
          <w:marRight w:val="0"/>
          <w:marTop w:val="0"/>
          <w:marBottom w:val="0"/>
          <w:divBdr>
            <w:top w:val="none" w:sz="0" w:space="0" w:color="auto"/>
            <w:left w:val="none" w:sz="0" w:space="0" w:color="auto"/>
            <w:bottom w:val="none" w:sz="0" w:space="0" w:color="auto"/>
            <w:right w:val="none" w:sz="0" w:space="0" w:color="auto"/>
          </w:divBdr>
        </w:div>
        <w:div w:id="2138137488">
          <w:marLeft w:val="0"/>
          <w:marRight w:val="0"/>
          <w:marTop w:val="0"/>
          <w:marBottom w:val="0"/>
          <w:divBdr>
            <w:top w:val="none" w:sz="0" w:space="0" w:color="auto"/>
            <w:left w:val="none" w:sz="0" w:space="0" w:color="auto"/>
            <w:bottom w:val="none" w:sz="0" w:space="0" w:color="auto"/>
            <w:right w:val="none" w:sz="0" w:space="0" w:color="auto"/>
          </w:divBdr>
        </w:div>
      </w:divsChild>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582258467">
      <w:bodyDiv w:val="1"/>
      <w:marLeft w:val="0"/>
      <w:marRight w:val="0"/>
      <w:marTop w:val="0"/>
      <w:marBottom w:val="0"/>
      <w:divBdr>
        <w:top w:val="none" w:sz="0" w:space="0" w:color="auto"/>
        <w:left w:val="none" w:sz="0" w:space="0" w:color="auto"/>
        <w:bottom w:val="none" w:sz="0" w:space="0" w:color="auto"/>
        <w:right w:val="none" w:sz="0" w:space="0" w:color="auto"/>
      </w:divBdr>
      <w:divsChild>
        <w:div w:id="1065567231">
          <w:marLeft w:val="0"/>
          <w:marRight w:val="0"/>
          <w:marTop w:val="0"/>
          <w:marBottom w:val="0"/>
          <w:divBdr>
            <w:top w:val="none" w:sz="0" w:space="0" w:color="auto"/>
            <w:left w:val="none" w:sz="0" w:space="0" w:color="auto"/>
            <w:bottom w:val="none" w:sz="0" w:space="0" w:color="auto"/>
            <w:right w:val="none" w:sz="0" w:space="0" w:color="auto"/>
          </w:divBdr>
        </w:div>
        <w:div w:id="933393407">
          <w:marLeft w:val="0"/>
          <w:marRight w:val="0"/>
          <w:marTop w:val="0"/>
          <w:marBottom w:val="0"/>
          <w:divBdr>
            <w:top w:val="none" w:sz="0" w:space="0" w:color="auto"/>
            <w:left w:val="none" w:sz="0" w:space="0" w:color="auto"/>
            <w:bottom w:val="none" w:sz="0" w:space="0" w:color="auto"/>
            <w:right w:val="none" w:sz="0" w:space="0" w:color="auto"/>
          </w:divBdr>
        </w:div>
        <w:div w:id="440418168">
          <w:marLeft w:val="0"/>
          <w:marRight w:val="0"/>
          <w:marTop w:val="0"/>
          <w:marBottom w:val="0"/>
          <w:divBdr>
            <w:top w:val="none" w:sz="0" w:space="0" w:color="auto"/>
            <w:left w:val="none" w:sz="0" w:space="0" w:color="auto"/>
            <w:bottom w:val="none" w:sz="0" w:space="0" w:color="auto"/>
            <w:right w:val="none" w:sz="0" w:space="0" w:color="auto"/>
          </w:divBdr>
        </w:div>
        <w:div w:id="1955480033">
          <w:marLeft w:val="0"/>
          <w:marRight w:val="0"/>
          <w:marTop w:val="0"/>
          <w:marBottom w:val="0"/>
          <w:divBdr>
            <w:top w:val="none" w:sz="0" w:space="0" w:color="auto"/>
            <w:left w:val="none" w:sz="0" w:space="0" w:color="auto"/>
            <w:bottom w:val="none" w:sz="0" w:space="0" w:color="auto"/>
            <w:right w:val="none" w:sz="0" w:space="0" w:color="auto"/>
          </w:divBdr>
        </w:div>
      </w:divsChild>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0123323">
      <w:bodyDiv w:val="1"/>
      <w:marLeft w:val="0"/>
      <w:marRight w:val="0"/>
      <w:marTop w:val="0"/>
      <w:marBottom w:val="0"/>
      <w:divBdr>
        <w:top w:val="none" w:sz="0" w:space="0" w:color="auto"/>
        <w:left w:val="none" w:sz="0" w:space="0" w:color="auto"/>
        <w:bottom w:val="none" w:sz="0" w:space="0" w:color="auto"/>
        <w:right w:val="none" w:sz="0" w:space="0" w:color="auto"/>
      </w:divBdr>
      <w:divsChild>
        <w:div w:id="1826704436">
          <w:marLeft w:val="0"/>
          <w:marRight w:val="0"/>
          <w:marTop w:val="0"/>
          <w:marBottom w:val="0"/>
          <w:divBdr>
            <w:top w:val="none" w:sz="0" w:space="0" w:color="auto"/>
            <w:left w:val="none" w:sz="0" w:space="0" w:color="auto"/>
            <w:bottom w:val="none" w:sz="0" w:space="0" w:color="auto"/>
            <w:right w:val="none" w:sz="0" w:space="0" w:color="auto"/>
          </w:divBdr>
        </w:div>
        <w:div w:id="265772719">
          <w:marLeft w:val="0"/>
          <w:marRight w:val="0"/>
          <w:marTop w:val="0"/>
          <w:marBottom w:val="0"/>
          <w:divBdr>
            <w:top w:val="none" w:sz="0" w:space="0" w:color="auto"/>
            <w:left w:val="none" w:sz="0" w:space="0" w:color="auto"/>
            <w:bottom w:val="none" w:sz="0" w:space="0" w:color="auto"/>
            <w:right w:val="none" w:sz="0" w:space="0" w:color="auto"/>
          </w:divBdr>
        </w:div>
        <w:div w:id="339701511">
          <w:marLeft w:val="0"/>
          <w:marRight w:val="0"/>
          <w:marTop w:val="0"/>
          <w:marBottom w:val="0"/>
          <w:divBdr>
            <w:top w:val="none" w:sz="0" w:space="0" w:color="auto"/>
            <w:left w:val="none" w:sz="0" w:space="0" w:color="auto"/>
            <w:bottom w:val="none" w:sz="0" w:space="0" w:color="auto"/>
            <w:right w:val="none" w:sz="0" w:space="0" w:color="auto"/>
          </w:divBdr>
        </w:div>
        <w:div w:id="173688445">
          <w:marLeft w:val="0"/>
          <w:marRight w:val="0"/>
          <w:marTop w:val="0"/>
          <w:marBottom w:val="0"/>
          <w:divBdr>
            <w:top w:val="none" w:sz="0" w:space="0" w:color="auto"/>
            <w:left w:val="none" w:sz="0" w:space="0" w:color="auto"/>
            <w:bottom w:val="none" w:sz="0" w:space="0" w:color="auto"/>
            <w:right w:val="none" w:sz="0" w:space="0" w:color="auto"/>
          </w:divBdr>
        </w:div>
        <w:div w:id="1228808764">
          <w:marLeft w:val="0"/>
          <w:marRight w:val="0"/>
          <w:marTop w:val="0"/>
          <w:marBottom w:val="0"/>
          <w:divBdr>
            <w:top w:val="none" w:sz="0" w:space="0" w:color="auto"/>
            <w:left w:val="none" w:sz="0" w:space="0" w:color="auto"/>
            <w:bottom w:val="none" w:sz="0" w:space="0" w:color="auto"/>
            <w:right w:val="none" w:sz="0" w:space="0" w:color="auto"/>
          </w:divBdr>
        </w:div>
        <w:div w:id="1518422094">
          <w:marLeft w:val="0"/>
          <w:marRight w:val="0"/>
          <w:marTop w:val="0"/>
          <w:marBottom w:val="0"/>
          <w:divBdr>
            <w:top w:val="none" w:sz="0" w:space="0" w:color="auto"/>
            <w:left w:val="none" w:sz="0" w:space="0" w:color="auto"/>
            <w:bottom w:val="none" w:sz="0" w:space="0" w:color="auto"/>
            <w:right w:val="none" w:sz="0" w:space="0" w:color="auto"/>
          </w:divBdr>
        </w:div>
      </w:divsChild>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ls.strokis@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FD5E-F023-4348-B1AB-D20BEC93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6693</Words>
  <Characters>3816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10489</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25.augusta noteikumos Nr.971 „Noteikumi par darbības programmas „Infrastruktūra un pakalpojumi” papildinājuma 3.3.2.1.aktivitāti „Ilgtspējīga sabiedriskā transporta sistēmas attīstība</dc:title>
  <dc:subject>Noteikumu projekta anotācija</dc:subject>
  <dc:creator>Egils.Stokis@sam.gov.lv</dc:creator>
  <dc:description>SAManot_181215_sabtransports_groz971</dc:description>
  <cp:lastModifiedBy>Baiba Šterna</cp:lastModifiedBy>
  <cp:revision>11</cp:revision>
  <cp:lastPrinted>2015-12-16T07:51:00Z</cp:lastPrinted>
  <dcterms:created xsi:type="dcterms:W3CDTF">2015-12-21T07:08:00Z</dcterms:created>
  <dcterms:modified xsi:type="dcterms:W3CDTF">2015-12-21T10:26:00Z</dcterms:modified>
</cp:coreProperties>
</file>