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BB9" w:rsidRDefault="00963BB9" w:rsidP="00963BB9">
      <w:pPr>
        <w:jc w:val="right"/>
        <w:rPr>
          <w:i/>
          <w:sz w:val="28"/>
          <w:szCs w:val="28"/>
        </w:rPr>
      </w:pPr>
      <w:r w:rsidRPr="00D04C7F">
        <w:rPr>
          <w:i/>
          <w:sz w:val="28"/>
          <w:szCs w:val="28"/>
        </w:rPr>
        <w:t>Projekts</w:t>
      </w:r>
    </w:p>
    <w:p w:rsidR="00963BB9" w:rsidRDefault="00963BB9" w:rsidP="00963BB9">
      <w:pPr>
        <w:jc w:val="right"/>
        <w:rPr>
          <w:i/>
          <w:sz w:val="28"/>
          <w:szCs w:val="28"/>
        </w:rPr>
      </w:pPr>
    </w:p>
    <w:p w:rsidR="00963BB9" w:rsidRPr="003532FE" w:rsidRDefault="00963BB9" w:rsidP="00963BB9">
      <w:pPr>
        <w:jc w:val="center"/>
        <w:rPr>
          <w:sz w:val="28"/>
          <w:szCs w:val="28"/>
        </w:rPr>
      </w:pPr>
      <w:r w:rsidRPr="003532FE">
        <w:rPr>
          <w:sz w:val="28"/>
          <w:szCs w:val="28"/>
        </w:rPr>
        <w:t>LATVIJAS REPUBLIKAS MINISTRU KABINETS</w:t>
      </w:r>
    </w:p>
    <w:p w:rsidR="00963BB9" w:rsidRPr="00D04C7F" w:rsidRDefault="00963BB9" w:rsidP="00963BB9">
      <w:pPr>
        <w:jc w:val="right"/>
        <w:rPr>
          <w:i/>
          <w:sz w:val="28"/>
          <w:szCs w:val="28"/>
        </w:rPr>
      </w:pPr>
    </w:p>
    <w:p w:rsidR="00963BB9" w:rsidRPr="00D04C7F" w:rsidRDefault="00963BB9" w:rsidP="00963BB9">
      <w:pPr>
        <w:tabs>
          <w:tab w:val="right" w:pos="9000"/>
        </w:tabs>
        <w:rPr>
          <w:sz w:val="28"/>
          <w:szCs w:val="28"/>
        </w:rPr>
      </w:pPr>
      <w:r w:rsidRPr="00D04C7F">
        <w:rPr>
          <w:sz w:val="28"/>
          <w:szCs w:val="28"/>
        </w:rPr>
        <w:t>20</w:t>
      </w:r>
      <w:r>
        <w:rPr>
          <w:sz w:val="28"/>
          <w:szCs w:val="28"/>
        </w:rPr>
        <w:t>15</w:t>
      </w:r>
      <w:r w:rsidRPr="00D04C7F">
        <w:rPr>
          <w:sz w:val="28"/>
          <w:szCs w:val="28"/>
        </w:rPr>
        <w:t>. gada __. ___</w:t>
      </w:r>
      <w:r w:rsidRPr="00D04C7F">
        <w:rPr>
          <w:sz w:val="28"/>
          <w:szCs w:val="28"/>
        </w:rPr>
        <w:tab/>
        <w:t>Noteikumi Nr. __</w:t>
      </w:r>
    </w:p>
    <w:p w:rsidR="00963BB9" w:rsidRPr="00D04C7F" w:rsidRDefault="00963BB9" w:rsidP="00963BB9">
      <w:pPr>
        <w:tabs>
          <w:tab w:val="right" w:pos="9000"/>
        </w:tabs>
        <w:rPr>
          <w:sz w:val="28"/>
          <w:szCs w:val="28"/>
        </w:rPr>
      </w:pPr>
      <w:r w:rsidRPr="00D04C7F">
        <w:rPr>
          <w:sz w:val="28"/>
          <w:szCs w:val="28"/>
        </w:rPr>
        <w:t>Rīgā</w:t>
      </w:r>
      <w:r w:rsidRPr="00D04C7F">
        <w:rPr>
          <w:sz w:val="28"/>
          <w:szCs w:val="28"/>
        </w:rPr>
        <w:tab/>
        <w:t>prot. Nr. __ __. §)</w:t>
      </w:r>
    </w:p>
    <w:p w:rsidR="00963BB9" w:rsidRDefault="00963BB9" w:rsidP="00963BB9">
      <w:pPr>
        <w:rPr>
          <w:b/>
          <w:bCs/>
          <w:sz w:val="28"/>
          <w:szCs w:val="28"/>
        </w:rPr>
      </w:pPr>
    </w:p>
    <w:p w:rsidR="00963BB9" w:rsidRDefault="00963BB9" w:rsidP="00963BB9">
      <w:pPr>
        <w:rPr>
          <w:b/>
          <w:bCs/>
          <w:sz w:val="28"/>
          <w:szCs w:val="28"/>
        </w:rPr>
      </w:pPr>
    </w:p>
    <w:p w:rsidR="00963BB9" w:rsidRDefault="00C569D4" w:rsidP="00F22208">
      <w:pPr>
        <w:jc w:val="center"/>
        <w:rPr>
          <w:b/>
          <w:sz w:val="28"/>
          <w:szCs w:val="28"/>
        </w:rPr>
      </w:pPr>
      <w:r w:rsidRPr="00117CA8">
        <w:rPr>
          <w:b/>
          <w:bCs/>
          <w:sz w:val="28"/>
          <w:szCs w:val="28"/>
        </w:rPr>
        <w:t xml:space="preserve">Noteikumi par </w:t>
      </w:r>
      <w:r>
        <w:rPr>
          <w:b/>
          <w:bCs/>
          <w:sz w:val="28"/>
          <w:szCs w:val="28"/>
        </w:rPr>
        <w:t>dizainparaugu</w:t>
      </w:r>
      <w:r w:rsidRPr="00117CA8">
        <w:rPr>
          <w:b/>
          <w:bCs/>
          <w:sz w:val="28"/>
          <w:szCs w:val="28"/>
        </w:rPr>
        <w:t xml:space="preserve"> reģistrācijas procedūras veidlapu </w:t>
      </w:r>
      <w:r w:rsidR="00696770">
        <w:rPr>
          <w:b/>
          <w:bCs/>
          <w:sz w:val="28"/>
          <w:szCs w:val="28"/>
        </w:rPr>
        <w:t xml:space="preserve">un reģistrācijas apliecības </w:t>
      </w:r>
      <w:r w:rsidRPr="00117CA8">
        <w:rPr>
          <w:b/>
          <w:bCs/>
          <w:sz w:val="28"/>
          <w:szCs w:val="28"/>
        </w:rPr>
        <w:t>paraugiem</w:t>
      </w:r>
    </w:p>
    <w:p w:rsidR="00963BB9" w:rsidRPr="00565C9D" w:rsidRDefault="00963BB9" w:rsidP="00963BB9">
      <w:pPr>
        <w:rPr>
          <w:b/>
          <w:sz w:val="28"/>
          <w:szCs w:val="28"/>
        </w:rPr>
      </w:pPr>
    </w:p>
    <w:p w:rsidR="00C569D4" w:rsidRDefault="00963BB9" w:rsidP="00C569D4">
      <w:pPr>
        <w:ind w:left="4536"/>
        <w:jc w:val="right"/>
        <w:rPr>
          <w:color w:val="000000"/>
          <w:sz w:val="28"/>
          <w:szCs w:val="28"/>
        </w:rPr>
      </w:pPr>
      <w:r w:rsidRPr="00CA0D3F">
        <w:rPr>
          <w:color w:val="000000"/>
          <w:sz w:val="28"/>
          <w:szCs w:val="28"/>
        </w:rPr>
        <w:t xml:space="preserve">Izdoti saskaņā ar </w:t>
      </w:r>
      <w:r w:rsidR="00C569D4">
        <w:rPr>
          <w:color w:val="000000"/>
          <w:sz w:val="28"/>
          <w:szCs w:val="28"/>
        </w:rPr>
        <w:t>Dizainparaugu</w:t>
      </w:r>
    </w:p>
    <w:p w:rsidR="00963BB9" w:rsidRPr="00CA0D3F" w:rsidRDefault="00963BB9" w:rsidP="00963BB9">
      <w:pPr>
        <w:ind w:left="4536"/>
        <w:jc w:val="right"/>
        <w:rPr>
          <w:color w:val="000000"/>
          <w:sz w:val="28"/>
          <w:szCs w:val="28"/>
        </w:rPr>
      </w:pPr>
      <w:r>
        <w:rPr>
          <w:color w:val="000000"/>
          <w:sz w:val="28"/>
          <w:szCs w:val="28"/>
        </w:rPr>
        <w:t xml:space="preserve">likuma </w:t>
      </w:r>
      <w:r w:rsidR="00C569D4" w:rsidRPr="00684AAD">
        <w:rPr>
          <w:color w:val="000000"/>
          <w:sz w:val="28"/>
          <w:szCs w:val="28"/>
        </w:rPr>
        <w:t>1</w:t>
      </w:r>
      <w:r w:rsidR="0064006C">
        <w:rPr>
          <w:color w:val="000000"/>
          <w:sz w:val="28"/>
          <w:szCs w:val="28"/>
        </w:rPr>
        <w:t>5.</w:t>
      </w:r>
      <w:r w:rsidRPr="00684AAD">
        <w:rPr>
          <w:color w:val="000000"/>
          <w:sz w:val="28"/>
          <w:szCs w:val="28"/>
        </w:rPr>
        <w:t xml:space="preserve">panta </w:t>
      </w:r>
      <w:r w:rsidR="00C569D4" w:rsidRPr="00684AAD">
        <w:rPr>
          <w:color w:val="000000"/>
          <w:sz w:val="28"/>
          <w:szCs w:val="28"/>
        </w:rPr>
        <w:t>desmito</w:t>
      </w:r>
      <w:r w:rsidRPr="00684AAD">
        <w:rPr>
          <w:color w:val="000000"/>
          <w:sz w:val="28"/>
          <w:szCs w:val="28"/>
        </w:rPr>
        <w:t xml:space="preserve"> daļu</w:t>
      </w:r>
      <w:r w:rsidR="0064006C">
        <w:rPr>
          <w:color w:val="000000"/>
          <w:sz w:val="28"/>
          <w:szCs w:val="28"/>
        </w:rPr>
        <w:t xml:space="preserve"> un 25.</w:t>
      </w:r>
      <w:r w:rsidR="00696770" w:rsidRPr="00684AAD">
        <w:rPr>
          <w:color w:val="000000"/>
          <w:sz w:val="28"/>
          <w:szCs w:val="28"/>
        </w:rPr>
        <w:t>panta ceturto daļu</w:t>
      </w:r>
    </w:p>
    <w:p w:rsidR="00963BB9" w:rsidRPr="00CA0D3F" w:rsidRDefault="00963BB9" w:rsidP="00714BBE">
      <w:pPr>
        <w:jc w:val="both"/>
        <w:rPr>
          <w:color w:val="000000"/>
          <w:sz w:val="28"/>
          <w:szCs w:val="28"/>
        </w:rPr>
      </w:pPr>
    </w:p>
    <w:p w:rsidR="00963BB9" w:rsidRDefault="00963BB9" w:rsidP="00714BBE">
      <w:pPr>
        <w:ind w:firstLine="720"/>
        <w:jc w:val="both"/>
      </w:pPr>
      <w:r>
        <w:rPr>
          <w:color w:val="000000"/>
          <w:sz w:val="28"/>
          <w:szCs w:val="28"/>
        </w:rPr>
        <w:t xml:space="preserve">1. </w:t>
      </w:r>
      <w:r w:rsidRPr="00123BAA">
        <w:rPr>
          <w:sz w:val="28"/>
          <w:szCs w:val="28"/>
        </w:rPr>
        <w:t xml:space="preserve">Noteikumi </w:t>
      </w:r>
      <w:r w:rsidRPr="00EC08CF">
        <w:rPr>
          <w:sz w:val="28"/>
          <w:szCs w:val="28"/>
        </w:rPr>
        <w:t xml:space="preserve">nosaka </w:t>
      </w:r>
      <w:r w:rsidR="00EC08CF" w:rsidRPr="00EC08CF">
        <w:rPr>
          <w:sz w:val="28"/>
          <w:szCs w:val="28"/>
        </w:rPr>
        <w:t>dizainparaugu reģistrācijas procedūrai nepieciešamo veidlapu paraugus</w:t>
      </w:r>
      <w:r w:rsidR="00696770">
        <w:rPr>
          <w:sz w:val="28"/>
          <w:szCs w:val="28"/>
        </w:rPr>
        <w:t xml:space="preserve"> un dizainparaugu reģistrācijas apliecības (turpmāk – apliecība) paraugu.</w:t>
      </w:r>
    </w:p>
    <w:p w:rsidR="00EC08CF" w:rsidRDefault="00EC08CF" w:rsidP="00714BBE">
      <w:pPr>
        <w:ind w:firstLine="720"/>
        <w:jc w:val="both"/>
        <w:rPr>
          <w:sz w:val="28"/>
          <w:szCs w:val="28"/>
        </w:rPr>
      </w:pPr>
    </w:p>
    <w:p w:rsidR="00490480" w:rsidRDefault="00963BB9" w:rsidP="00714BBE">
      <w:pPr>
        <w:pStyle w:val="tv213"/>
        <w:spacing w:before="0" w:beforeAutospacing="0" w:after="0" w:afterAutospacing="0"/>
        <w:ind w:firstLine="720"/>
        <w:jc w:val="both"/>
        <w:rPr>
          <w:sz w:val="28"/>
          <w:szCs w:val="28"/>
        </w:rPr>
      </w:pPr>
      <w:r w:rsidRPr="00123BAA">
        <w:rPr>
          <w:sz w:val="28"/>
          <w:szCs w:val="28"/>
        </w:rPr>
        <w:t xml:space="preserve">2. </w:t>
      </w:r>
      <w:r w:rsidR="00696770" w:rsidRPr="00696770">
        <w:rPr>
          <w:sz w:val="28"/>
          <w:szCs w:val="28"/>
        </w:rPr>
        <w:t>Ir noteikti šādi veidlapu paraugi:</w:t>
      </w:r>
    </w:p>
    <w:p w:rsidR="00C15828" w:rsidRDefault="00696770" w:rsidP="00714BBE">
      <w:pPr>
        <w:pStyle w:val="tv213"/>
        <w:spacing w:before="0" w:beforeAutospacing="0" w:after="0" w:afterAutospacing="0"/>
        <w:ind w:firstLine="720"/>
        <w:jc w:val="both"/>
        <w:rPr>
          <w:sz w:val="32"/>
          <w:szCs w:val="28"/>
        </w:rPr>
      </w:pPr>
      <w:r w:rsidRPr="00490480">
        <w:rPr>
          <w:sz w:val="28"/>
        </w:rPr>
        <w:t>2.1. dizainparauga reģistrācijas pieteikums (1.pielikums);</w:t>
      </w:r>
    </w:p>
    <w:p w:rsidR="00C15828" w:rsidRDefault="00C15828" w:rsidP="00714BBE">
      <w:pPr>
        <w:pStyle w:val="tv213"/>
        <w:spacing w:before="0" w:beforeAutospacing="0" w:after="0" w:afterAutospacing="0"/>
        <w:ind w:firstLine="720"/>
        <w:jc w:val="both"/>
        <w:rPr>
          <w:sz w:val="28"/>
        </w:rPr>
      </w:pPr>
      <w:r w:rsidRPr="00C15828">
        <w:rPr>
          <w:sz w:val="28"/>
        </w:rPr>
        <w:t>2.2</w:t>
      </w:r>
      <w:r w:rsidR="00696770" w:rsidRPr="00C15828">
        <w:rPr>
          <w:sz w:val="28"/>
        </w:rPr>
        <w:t xml:space="preserve">. iesniegums </w:t>
      </w:r>
      <w:r w:rsidR="00490480" w:rsidRPr="00C15828">
        <w:rPr>
          <w:sz w:val="28"/>
        </w:rPr>
        <w:t>dizainparauga</w:t>
      </w:r>
      <w:r w:rsidRPr="00C15828">
        <w:rPr>
          <w:sz w:val="28"/>
        </w:rPr>
        <w:t xml:space="preserve"> reģistrācijas atjaunošanai</w:t>
      </w:r>
      <w:r w:rsidR="00696770" w:rsidRPr="00C15828">
        <w:rPr>
          <w:sz w:val="28"/>
        </w:rPr>
        <w:t xml:space="preserve"> (</w:t>
      </w:r>
      <w:r w:rsidRPr="00C15828">
        <w:rPr>
          <w:sz w:val="28"/>
        </w:rPr>
        <w:t>2</w:t>
      </w:r>
      <w:r w:rsidR="00696770" w:rsidRPr="00C15828">
        <w:rPr>
          <w:sz w:val="28"/>
        </w:rPr>
        <w:t>.pielikums</w:t>
      </w:r>
      <w:r>
        <w:rPr>
          <w:sz w:val="28"/>
        </w:rPr>
        <w:t>);</w:t>
      </w:r>
    </w:p>
    <w:p w:rsidR="00C15828" w:rsidRPr="00C15828" w:rsidRDefault="00C15828" w:rsidP="00714BBE">
      <w:pPr>
        <w:pStyle w:val="tv213"/>
        <w:spacing w:before="0" w:beforeAutospacing="0" w:after="0" w:afterAutospacing="0"/>
        <w:ind w:firstLine="720"/>
        <w:jc w:val="both"/>
        <w:rPr>
          <w:sz w:val="28"/>
        </w:rPr>
      </w:pPr>
      <w:r w:rsidRPr="00C15828">
        <w:rPr>
          <w:sz w:val="28"/>
        </w:rPr>
        <w:t>2.3</w:t>
      </w:r>
      <w:r w:rsidR="00696770" w:rsidRPr="00C15828">
        <w:rPr>
          <w:sz w:val="28"/>
        </w:rPr>
        <w:t xml:space="preserve">. </w:t>
      </w:r>
      <w:r w:rsidRPr="00C15828">
        <w:rPr>
          <w:sz w:val="28"/>
        </w:rPr>
        <w:t>dizainparauga</w:t>
      </w:r>
      <w:r w:rsidR="00696770" w:rsidRPr="00C15828">
        <w:rPr>
          <w:sz w:val="28"/>
        </w:rPr>
        <w:t xml:space="preserve"> nodošanas akts (</w:t>
      </w:r>
      <w:r w:rsidRPr="00C15828">
        <w:rPr>
          <w:sz w:val="28"/>
        </w:rPr>
        <w:t>3</w:t>
      </w:r>
      <w:r w:rsidR="00696770" w:rsidRPr="00C15828">
        <w:rPr>
          <w:sz w:val="28"/>
        </w:rPr>
        <w:t>.pielikums);</w:t>
      </w:r>
    </w:p>
    <w:p w:rsidR="00C15828" w:rsidRPr="00C15828" w:rsidRDefault="00C15828" w:rsidP="00714BBE">
      <w:pPr>
        <w:pStyle w:val="tv213"/>
        <w:spacing w:before="0" w:beforeAutospacing="0" w:after="0" w:afterAutospacing="0"/>
        <w:ind w:firstLine="720"/>
        <w:jc w:val="both"/>
        <w:rPr>
          <w:sz w:val="28"/>
        </w:rPr>
      </w:pPr>
      <w:r w:rsidRPr="00C15828">
        <w:rPr>
          <w:sz w:val="28"/>
        </w:rPr>
        <w:t>2.4</w:t>
      </w:r>
      <w:r w:rsidR="00696770" w:rsidRPr="00C15828">
        <w:rPr>
          <w:sz w:val="28"/>
        </w:rPr>
        <w:t xml:space="preserve">. </w:t>
      </w:r>
      <w:r w:rsidRPr="00C15828">
        <w:rPr>
          <w:sz w:val="28"/>
        </w:rPr>
        <w:t>dizainparauga</w:t>
      </w:r>
      <w:r w:rsidR="00696770" w:rsidRPr="00C15828">
        <w:rPr>
          <w:sz w:val="28"/>
        </w:rPr>
        <w:t xml:space="preserve"> nodošanas apliecība (</w:t>
      </w:r>
      <w:r w:rsidRPr="00C15828">
        <w:rPr>
          <w:sz w:val="28"/>
        </w:rPr>
        <w:t>4</w:t>
      </w:r>
      <w:r w:rsidR="00696770" w:rsidRPr="00C15828">
        <w:rPr>
          <w:sz w:val="28"/>
        </w:rPr>
        <w:t>.pielikums);</w:t>
      </w:r>
    </w:p>
    <w:p w:rsidR="00696770" w:rsidRPr="00C15828" w:rsidRDefault="00C15828" w:rsidP="00714BBE">
      <w:pPr>
        <w:pStyle w:val="tv213"/>
        <w:spacing w:before="0" w:beforeAutospacing="0" w:after="0" w:afterAutospacing="0"/>
        <w:ind w:firstLine="720"/>
        <w:jc w:val="both"/>
        <w:rPr>
          <w:sz w:val="28"/>
        </w:rPr>
      </w:pPr>
      <w:r w:rsidRPr="00C15828">
        <w:rPr>
          <w:sz w:val="28"/>
        </w:rPr>
        <w:t>2.5</w:t>
      </w:r>
      <w:r w:rsidR="00696770" w:rsidRPr="00C15828">
        <w:rPr>
          <w:sz w:val="28"/>
        </w:rPr>
        <w:t>. pilnvara pārstāvībai preču zīmes reģistrācijas procedūrā Patentu valdē (</w:t>
      </w:r>
      <w:r w:rsidRPr="00C15828">
        <w:rPr>
          <w:sz w:val="28"/>
        </w:rPr>
        <w:t>5</w:t>
      </w:r>
      <w:r w:rsidR="00696770" w:rsidRPr="00C15828">
        <w:rPr>
          <w:sz w:val="28"/>
        </w:rPr>
        <w:t>.pielikums).</w:t>
      </w:r>
    </w:p>
    <w:p w:rsidR="00963BB9" w:rsidRDefault="00963BB9" w:rsidP="00714BBE">
      <w:pPr>
        <w:jc w:val="both"/>
      </w:pPr>
    </w:p>
    <w:p w:rsidR="00C15828" w:rsidRDefault="00C15828" w:rsidP="00714BBE">
      <w:pPr>
        <w:jc w:val="both"/>
        <w:rPr>
          <w:sz w:val="28"/>
        </w:rPr>
      </w:pPr>
      <w:r w:rsidRPr="007D7388">
        <w:rPr>
          <w:sz w:val="28"/>
        </w:rPr>
        <w:tab/>
      </w:r>
      <w:r w:rsidR="007D7388" w:rsidRPr="007D7388">
        <w:rPr>
          <w:sz w:val="28"/>
        </w:rPr>
        <w:t>3. Apliecība (6.pielikums) sastāv no vākiem, titullapas, vienas vai vairākām dizainparauga attēlu lapām un pielikuma lapas.</w:t>
      </w:r>
      <w:r w:rsidR="007D7388">
        <w:rPr>
          <w:sz w:val="28"/>
        </w:rPr>
        <w:t xml:space="preserve"> </w:t>
      </w:r>
      <w:r w:rsidR="007D7388" w:rsidRPr="007D7388">
        <w:rPr>
          <w:sz w:val="28"/>
        </w:rPr>
        <w:t>Apliecības lielums atbilst A4 formāta lapai.</w:t>
      </w:r>
    </w:p>
    <w:p w:rsidR="007D7388" w:rsidRPr="00E92AEF" w:rsidRDefault="007D7388" w:rsidP="00714BBE">
      <w:pPr>
        <w:jc w:val="both"/>
        <w:rPr>
          <w:sz w:val="28"/>
        </w:rPr>
      </w:pPr>
    </w:p>
    <w:p w:rsidR="007D7388" w:rsidRPr="00714BBE" w:rsidRDefault="007D7388" w:rsidP="00714BBE">
      <w:pPr>
        <w:pStyle w:val="tv213"/>
        <w:spacing w:before="0" w:beforeAutospacing="0" w:after="0" w:afterAutospacing="0"/>
        <w:jc w:val="both"/>
        <w:rPr>
          <w:sz w:val="28"/>
          <w:lang w:eastAsia="en-US"/>
        </w:rPr>
      </w:pPr>
      <w:r w:rsidRPr="00714BBE">
        <w:rPr>
          <w:sz w:val="32"/>
        </w:rPr>
        <w:tab/>
        <w:t xml:space="preserve">4. </w:t>
      </w:r>
      <w:r w:rsidRPr="00714BBE">
        <w:rPr>
          <w:sz w:val="28"/>
          <w:lang w:eastAsia="en-US"/>
        </w:rPr>
        <w:t>Uz apliecības v</w:t>
      </w:r>
      <w:r w:rsidR="0064006C">
        <w:rPr>
          <w:sz w:val="28"/>
          <w:lang w:eastAsia="en-US"/>
        </w:rPr>
        <w:t>āka (6.</w:t>
      </w:r>
      <w:r w:rsidRPr="00714BBE">
        <w:rPr>
          <w:sz w:val="28"/>
          <w:lang w:eastAsia="en-US"/>
        </w:rPr>
        <w:t>pielikuma 1.punkts) vai elektroniskās apliecības pirmās lapas (</w:t>
      </w:r>
      <w:r w:rsidR="0064006C">
        <w:rPr>
          <w:sz w:val="28"/>
          <w:lang w:eastAsia="en-US"/>
        </w:rPr>
        <w:t>6.</w:t>
      </w:r>
      <w:r w:rsidR="00714BBE" w:rsidRPr="00714BBE">
        <w:rPr>
          <w:sz w:val="28"/>
          <w:lang w:eastAsia="en-US"/>
        </w:rPr>
        <w:t>pielikuma 2.</w:t>
      </w:r>
      <w:r w:rsidRPr="00714BBE">
        <w:rPr>
          <w:sz w:val="28"/>
          <w:lang w:eastAsia="en-US"/>
        </w:rPr>
        <w:t>punkts) izvieto šādus elementus:</w:t>
      </w:r>
    </w:p>
    <w:p w:rsidR="00714BBE" w:rsidRPr="00714BBE" w:rsidRDefault="00714BBE" w:rsidP="00714BBE">
      <w:pPr>
        <w:ind w:firstLine="720"/>
        <w:jc w:val="both"/>
        <w:rPr>
          <w:sz w:val="28"/>
          <w:lang w:eastAsia="en-US"/>
        </w:rPr>
      </w:pPr>
      <w:r w:rsidRPr="00714BBE">
        <w:rPr>
          <w:sz w:val="28"/>
          <w:lang w:eastAsia="en-US"/>
        </w:rPr>
        <w:t>4</w:t>
      </w:r>
      <w:r w:rsidR="007D7388" w:rsidRPr="007D7388">
        <w:rPr>
          <w:sz w:val="28"/>
          <w:lang w:eastAsia="en-US"/>
        </w:rPr>
        <w:t>.1. fonā – tīklojumu;</w:t>
      </w:r>
    </w:p>
    <w:p w:rsidR="007D7388" w:rsidRPr="007D7388" w:rsidRDefault="00714BBE" w:rsidP="00714BBE">
      <w:pPr>
        <w:ind w:firstLine="720"/>
        <w:jc w:val="both"/>
        <w:rPr>
          <w:sz w:val="28"/>
          <w:lang w:eastAsia="en-US"/>
        </w:rPr>
      </w:pPr>
      <w:r w:rsidRPr="00714BBE">
        <w:rPr>
          <w:sz w:val="28"/>
          <w:lang w:eastAsia="en-US"/>
        </w:rPr>
        <w:t>4</w:t>
      </w:r>
      <w:r w:rsidR="007D7388" w:rsidRPr="007D7388">
        <w:rPr>
          <w:sz w:val="28"/>
          <w:lang w:eastAsia="en-US"/>
        </w:rPr>
        <w:t>.2. augšdaļā – papildinātā mazā Latvijas valsts ģerboņa attēlu, zem tā – uzrakstus "LATVIJAS REPUBLIKA" un "DIZAINPARAUGA REĢISTRĀCIJAS APLIECĪBA";</w:t>
      </w:r>
    </w:p>
    <w:p w:rsidR="007D7388" w:rsidRPr="007D7388" w:rsidRDefault="00714BBE" w:rsidP="00714BBE">
      <w:pPr>
        <w:ind w:firstLine="720"/>
        <w:jc w:val="both"/>
        <w:rPr>
          <w:sz w:val="28"/>
          <w:lang w:eastAsia="en-US"/>
        </w:rPr>
      </w:pPr>
      <w:r w:rsidRPr="00714BBE">
        <w:rPr>
          <w:sz w:val="28"/>
          <w:lang w:eastAsia="en-US"/>
        </w:rPr>
        <w:t>4</w:t>
      </w:r>
      <w:r w:rsidR="007D7388" w:rsidRPr="007D7388">
        <w:rPr>
          <w:sz w:val="28"/>
          <w:lang w:eastAsia="en-US"/>
        </w:rPr>
        <w:t>.3. vidusdaļā – tekstu "Latvijas Republikas Patentu valde apliecina, ka šajā apliecībā ietvertais dizainparaugs ir iekļauts Valsts dizainparaugu reģistrā ar Nr. D&lt;00000&gt;" (numuru iespiež atbilstoši konkrētajam gadījumam);</w:t>
      </w:r>
    </w:p>
    <w:p w:rsidR="007D7388" w:rsidRPr="007D7388" w:rsidRDefault="00714BBE" w:rsidP="00714BBE">
      <w:pPr>
        <w:ind w:firstLine="720"/>
        <w:jc w:val="both"/>
        <w:rPr>
          <w:sz w:val="28"/>
          <w:lang w:eastAsia="en-US"/>
        </w:rPr>
      </w:pPr>
      <w:r w:rsidRPr="00714BBE">
        <w:rPr>
          <w:sz w:val="28"/>
          <w:lang w:eastAsia="en-US"/>
        </w:rPr>
        <w:t>4</w:t>
      </w:r>
      <w:r w:rsidR="007D7388" w:rsidRPr="007D7388">
        <w:rPr>
          <w:sz w:val="28"/>
          <w:lang w:eastAsia="en-US"/>
        </w:rPr>
        <w:t>.4. zem teksta kreisajā pusē – lentes attēlu Latvijas valsts karoga krāsās un Patentu valdes zīmoga nospiedumu;</w:t>
      </w:r>
    </w:p>
    <w:p w:rsidR="007D7388" w:rsidRPr="007D7388" w:rsidRDefault="00714BBE" w:rsidP="00714BBE">
      <w:pPr>
        <w:ind w:firstLine="720"/>
        <w:jc w:val="both"/>
        <w:rPr>
          <w:sz w:val="28"/>
          <w:lang w:eastAsia="en-US"/>
        </w:rPr>
      </w:pPr>
      <w:r w:rsidRPr="00714BBE">
        <w:rPr>
          <w:sz w:val="28"/>
          <w:lang w:eastAsia="en-US"/>
        </w:rPr>
        <w:t>4</w:t>
      </w:r>
      <w:r w:rsidR="007D7388" w:rsidRPr="007D7388">
        <w:rPr>
          <w:sz w:val="28"/>
          <w:lang w:eastAsia="en-US"/>
        </w:rPr>
        <w:t>.5. apakšmalā kreisajā pusē – reģistrācijas datumu un izdošanas vietu;</w:t>
      </w:r>
    </w:p>
    <w:p w:rsidR="007D7388" w:rsidRPr="007D7388" w:rsidRDefault="00714BBE" w:rsidP="00714BBE">
      <w:pPr>
        <w:ind w:firstLine="720"/>
        <w:jc w:val="both"/>
        <w:rPr>
          <w:sz w:val="28"/>
          <w:lang w:eastAsia="en-US"/>
        </w:rPr>
      </w:pPr>
      <w:r w:rsidRPr="00714BBE">
        <w:rPr>
          <w:sz w:val="28"/>
          <w:lang w:eastAsia="en-US"/>
        </w:rPr>
        <w:lastRenderedPageBreak/>
        <w:t>4</w:t>
      </w:r>
      <w:r w:rsidR="007D7388" w:rsidRPr="007D7388">
        <w:rPr>
          <w:sz w:val="28"/>
          <w:lang w:eastAsia="en-US"/>
        </w:rPr>
        <w:t>.6. apakšmalā labajā pusē – paraksta rekvizītus (amata nosaukumu "Patentu valdes direktors", Patentu valdes direktora parakstu (elektroniskajai apliecībai – norādi "Dokuments parakstīts ar drošu elektronisko parakstu un satur laika zīmogu") un vārdu, uzvārdu).</w:t>
      </w:r>
    </w:p>
    <w:p w:rsidR="007D7388" w:rsidRPr="00E92AEF" w:rsidRDefault="007D7388" w:rsidP="00E13665">
      <w:pPr>
        <w:jc w:val="both"/>
        <w:rPr>
          <w:sz w:val="28"/>
        </w:rPr>
      </w:pPr>
    </w:p>
    <w:p w:rsidR="00714BBE" w:rsidRPr="00E13665" w:rsidRDefault="00E13665" w:rsidP="00E13665">
      <w:pPr>
        <w:pStyle w:val="tv213"/>
        <w:spacing w:before="0" w:beforeAutospacing="0" w:after="0" w:afterAutospacing="0"/>
        <w:ind w:firstLine="720"/>
        <w:jc w:val="both"/>
        <w:rPr>
          <w:sz w:val="28"/>
          <w:lang w:eastAsia="en-US"/>
        </w:rPr>
      </w:pPr>
      <w:r>
        <w:rPr>
          <w:sz w:val="28"/>
        </w:rPr>
        <w:t>5</w:t>
      </w:r>
      <w:r w:rsidR="00714BBE" w:rsidRPr="00E13665">
        <w:rPr>
          <w:sz w:val="28"/>
        </w:rPr>
        <w:t>. Apliecības titullapā (</w:t>
      </w:r>
      <w:r>
        <w:rPr>
          <w:sz w:val="28"/>
        </w:rPr>
        <w:t>6.pielikuma 3</w:t>
      </w:r>
      <w:r w:rsidR="00714BBE" w:rsidRPr="00E13665">
        <w:rPr>
          <w:sz w:val="28"/>
        </w:rPr>
        <w:t>.punkts) zem rekvizītiem izvieto:</w:t>
      </w:r>
    </w:p>
    <w:p w:rsidR="00714BBE" w:rsidRPr="00E13665" w:rsidRDefault="00E13665" w:rsidP="00E13665">
      <w:pPr>
        <w:pStyle w:val="tv213"/>
        <w:spacing w:before="0" w:beforeAutospacing="0" w:after="0" w:afterAutospacing="0"/>
        <w:ind w:firstLine="720"/>
        <w:jc w:val="both"/>
        <w:rPr>
          <w:sz w:val="28"/>
        </w:rPr>
      </w:pPr>
      <w:r>
        <w:rPr>
          <w:sz w:val="28"/>
        </w:rPr>
        <w:t>5</w:t>
      </w:r>
      <w:r w:rsidR="00714BBE" w:rsidRPr="00E13665">
        <w:rPr>
          <w:sz w:val="28"/>
        </w:rPr>
        <w:t>.1. Patentu valdes paskaidrojošu tekstu par Dizainparaugu likuma noteikumiem attiecībā uz dizainparauga tiesību spēkā stāšanos, dizainparauga reģistrācijas termiņu un reģistrācijas atjaunošanu, kā arī dizainparauga īpašnieka pienākumu paziņot Patentu valdei par grozījumiem ziņās, kas attiecas uz dizainparauga reģistrāciju;</w:t>
      </w:r>
    </w:p>
    <w:p w:rsidR="00714BBE" w:rsidRPr="00E13665" w:rsidRDefault="00E13665" w:rsidP="00E13665">
      <w:pPr>
        <w:pStyle w:val="tv213"/>
        <w:spacing w:before="0" w:beforeAutospacing="0" w:after="0" w:afterAutospacing="0"/>
        <w:ind w:firstLine="720"/>
        <w:jc w:val="both"/>
        <w:rPr>
          <w:sz w:val="28"/>
        </w:rPr>
      </w:pPr>
      <w:r>
        <w:rPr>
          <w:sz w:val="28"/>
        </w:rPr>
        <w:t>5</w:t>
      </w:r>
      <w:r w:rsidR="00714BBE" w:rsidRPr="00E13665">
        <w:rPr>
          <w:sz w:val="28"/>
        </w:rPr>
        <w:t>.2. Valsts dizainparaugu reģistrā iekļautās ziņas, kas attiecas uz konkrēto reģistrāciju.</w:t>
      </w:r>
    </w:p>
    <w:p w:rsidR="00E13665" w:rsidRDefault="00E13665" w:rsidP="00E13665">
      <w:pPr>
        <w:pStyle w:val="tv213"/>
        <w:spacing w:before="0" w:beforeAutospacing="0" w:after="0" w:afterAutospacing="0"/>
        <w:jc w:val="both"/>
        <w:rPr>
          <w:sz w:val="28"/>
        </w:rPr>
      </w:pPr>
      <w:bookmarkStart w:id="0" w:name="p8"/>
      <w:bookmarkStart w:id="1" w:name="p-209012"/>
      <w:bookmarkEnd w:id="0"/>
      <w:bookmarkEnd w:id="1"/>
    </w:p>
    <w:p w:rsidR="00714BBE" w:rsidRPr="00E13665" w:rsidRDefault="00E13665" w:rsidP="00E13665">
      <w:pPr>
        <w:pStyle w:val="tv213"/>
        <w:spacing w:before="0" w:beforeAutospacing="0" w:after="0" w:afterAutospacing="0"/>
        <w:ind w:firstLine="720"/>
        <w:jc w:val="both"/>
        <w:rPr>
          <w:sz w:val="28"/>
        </w:rPr>
      </w:pPr>
      <w:r>
        <w:rPr>
          <w:sz w:val="28"/>
        </w:rPr>
        <w:t>6</w:t>
      </w:r>
      <w:r w:rsidR="00714BBE" w:rsidRPr="00E13665">
        <w:rPr>
          <w:sz w:val="28"/>
        </w:rPr>
        <w:t>. Dizainparauga attēlu lapā (</w:t>
      </w:r>
      <w:r>
        <w:rPr>
          <w:sz w:val="28"/>
        </w:rPr>
        <w:t>6.pielikuma 4</w:t>
      </w:r>
      <w:r w:rsidR="00714BBE" w:rsidRPr="00E13665">
        <w:rPr>
          <w:sz w:val="28"/>
        </w:rPr>
        <w:t>.punkts) izvieto dizainparauga attēlu vai attēlus. Izmanto nepieciešamo skaitu dizainparauga attēlu lapu. Attēlus numurē ar divpozīciju skaitli, kurā norāda konkrētā dizainparauga kārtas numuru un attēla kārtas numuru attiecībā uz šo dizainparaugu (piemēram, pirmā dizainparauga trešais attēls — 1.03; sestā dizainparauga otrais attēls — 6.02).</w:t>
      </w:r>
    </w:p>
    <w:p w:rsidR="00E13665" w:rsidRDefault="00E13665" w:rsidP="00E13665">
      <w:pPr>
        <w:pStyle w:val="tv213"/>
        <w:spacing w:before="0" w:beforeAutospacing="0" w:after="0" w:afterAutospacing="0"/>
        <w:jc w:val="both"/>
        <w:rPr>
          <w:sz w:val="28"/>
        </w:rPr>
      </w:pPr>
      <w:bookmarkStart w:id="2" w:name="p9"/>
      <w:bookmarkStart w:id="3" w:name="p-209013"/>
      <w:bookmarkEnd w:id="2"/>
      <w:bookmarkEnd w:id="3"/>
    </w:p>
    <w:p w:rsidR="00714BBE" w:rsidRPr="00E13665" w:rsidRDefault="00E13665" w:rsidP="00E13665">
      <w:pPr>
        <w:pStyle w:val="tv213"/>
        <w:spacing w:before="0" w:beforeAutospacing="0" w:after="0" w:afterAutospacing="0"/>
        <w:ind w:firstLine="720"/>
        <w:jc w:val="both"/>
        <w:rPr>
          <w:sz w:val="28"/>
        </w:rPr>
      </w:pPr>
      <w:r>
        <w:rPr>
          <w:sz w:val="28"/>
        </w:rPr>
        <w:t>7</w:t>
      </w:r>
      <w:r w:rsidR="00714BBE" w:rsidRPr="00E13665">
        <w:rPr>
          <w:sz w:val="28"/>
        </w:rPr>
        <w:t>. Pielikuma lapā (</w:t>
      </w:r>
      <w:r>
        <w:rPr>
          <w:sz w:val="28"/>
        </w:rPr>
        <w:t>6.pielikuma 5</w:t>
      </w:r>
      <w:r w:rsidR="00714BBE" w:rsidRPr="00E13665">
        <w:rPr>
          <w:sz w:val="28"/>
        </w:rPr>
        <w:t>.punkts) ietver paskaidrojumu latviešu un angļu valodā par Pasaules Intelektuālā īpašuma organizācijas standartā ST.80 “Rekomendācijas par dizainparaugu bibliogrāfiskajiem datiem” paredzētajiem kodiem, kas izmantoti dizainparauga bibliogrāfisko datu identificēšanai.</w:t>
      </w:r>
    </w:p>
    <w:p w:rsidR="00E13665" w:rsidRDefault="00E13665" w:rsidP="00E13665">
      <w:pPr>
        <w:pStyle w:val="tv213"/>
        <w:spacing w:before="0" w:beforeAutospacing="0" w:after="0" w:afterAutospacing="0"/>
        <w:ind w:firstLine="720"/>
        <w:jc w:val="both"/>
        <w:rPr>
          <w:sz w:val="28"/>
        </w:rPr>
      </w:pPr>
      <w:bookmarkStart w:id="4" w:name="p10"/>
      <w:bookmarkStart w:id="5" w:name="p-209014"/>
      <w:bookmarkEnd w:id="4"/>
      <w:bookmarkEnd w:id="5"/>
    </w:p>
    <w:p w:rsidR="00714BBE" w:rsidRDefault="00E13665" w:rsidP="00E13665">
      <w:pPr>
        <w:pStyle w:val="tv213"/>
        <w:spacing w:before="0" w:beforeAutospacing="0" w:after="0" w:afterAutospacing="0"/>
        <w:ind w:firstLine="720"/>
        <w:jc w:val="both"/>
        <w:rPr>
          <w:sz w:val="28"/>
        </w:rPr>
      </w:pPr>
      <w:r>
        <w:rPr>
          <w:sz w:val="28"/>
        </w:rPr>
        <w:t>8</w:t>
      </w:r>
      <w:r w:rsidR="00714BBE" w:rsidRPr="00E13665">
        <w:rPr>
          <w:sz w:val="28"/>
        </w:rPr>
        <w:t>. Apliecību cauršuj un apliecina ar Patentu valdes zīmogu.</w:t>
      </w:r>
    </w:p>
    <w:p w:rsidR="00F22208" w:rsidRDefault="00F22208" w:rsidP="00E13665">
      <w:pPr>
        <w:pStyle w:val="tv213"/>
        <w:spacing w:before="0" w:beforeAutospacing="0" w:after="0" w:afterAutospacing="0"/>
        <w:ind w:firstLine="720"/>
        <w:jc w:val="both"/>
        <w:rPr>
          <w:sz w:val="28"/>
        </w:rPr>
      </w:pPr>
    </w:p>
    <w:p w:rsidR="00F22208" w:rsidRPr="00E13665" w:rsidRDefault="00F22208" w:rsidP="00E13665">
      <w:pPr>
        <w:pStyle w:val="tv213"/>
        <w:spacing w:before="0" w:beforeAutospacing="0" w:after="0" w:afterAutospacing="0"/>
        <w:ind w:firstLine="720"/>
        <w:jc w:val="both"/>
        <w:rPr>
          <w:sz w:val="28"/>
        </w:rPr>
      </w:pPr>
      <w:r>
        <w:rPr>
          <w:sz w:val="28"/>
        </w:rPr>
        <w:t>9.</w:t>
      </w:r>
      <w:r w:rsidRPr="00DA0A7D">
        <w:rPr>
          <w:sz w:val="28"/>
        </w:rPr>
        <w:t xml:space="preserve"> Atzīt par spēku za</w:t>
      </w:r>
      <w:r w:rsidR="00DA0A7D">
        <w:rPr>
          <w:sz w:val="28"/>
        </w:rPr>
        <w:t>udējušiem Ministru kabineta 2005.gada 13</w:t>
      </w:r>
      <w:r w:rsidRPr="00DA0A7D">
        <w:rPr>
          <w:sz w:val="28"/>
        </w:rPr>
        <w:t>.</w:t>
      </w:r>
      <w:r w:rsidR="00DA0A7D">
        <w:rPr>
          <w:sz w:val="28"/>
        </w:rPr>
        <w:t>septembr</w:t>
      </w:r>
      <w:r w:rsidR="005169FD">
        <w:rPr>
          <w:sz w:val="28"/>
        </w:rPr>
        <w:t>a</w:t>
      </w:r>
      <w:r w:rsidRPr="00DA0A7D">
        <w:rPr>
          <w:sz w:val="28"/>
        </w:rPr>
        <w:t xml:space="preserve"> noteikumus Nr.</w:t>
      </w:r>
      <w:r w:rsidR="00DA0A7D">
        <w:rPr>
          <w:sz w:val="28"/>
        </w:rPr>
        <w:t xml:space="preserve">702 </w:t>
      </w:r>
      <w:r w:rsidR="004C1F3C" w:rsidRPr="007D7388">
        <w:rPr>
          <w:sz w:val="28"/>
          <w:lang w:eastAsia="en-US"/>
        </w:rPr>
        <w:t>"</w:t>
      </w:r>
      <w:r w:rsidRPr="00DA0A7D">
        <w:rPr>
          <w:sz w:val="28"/>
        </w:rPr>
        <w:t xml:space="preserve">Noteikumi par </w:t>
      </w:r>
      <w:r w:rsidR="004C1F3C">
        <w:rPr>
          <w:sz w:val="28"/>
        </w:rPr>
        <w:t>dizainparaugu reģistrācijas apliecības paraugu</w:t>
      </w:r>
      <w:r w:rsidR="00D050C3">
        <w:rPr>
          <w:sz w:val="28"/>
        </w:rPr>
        <w:t>" (Latvijas Vēstnesis, 2005</w:t>
      </w:r>
      <w:r w:rsidRPr="00DA0A7D">
        <w:rPr>
          <w:sz w:val="28"/>
        </w:rPr>
        <w:t xml:space="preserve">, </w:t>
      </w:r>
      <w:r w:rsidR="005661A1">
        <w:rPr>
          <w:sz w:val="28"/>
        </w:rPr>
        <w:t>147</w:t>
      </w:r>
      <w:r w:rsidRPr="00DA0A7D">
        <w:rPr>
          <w:sz w:val="28"/>
        </w:rPr>
        <w:t>.nr.</w:t>
      </w:r>
      <w:r w:rsidR="00281D19">
        <w:rPr>
          <w:sz w:val="28"/>
        </w:rPr>
        <w:t>, 2013, 223.nr.</w:t>
      </w:r>
      <w:r w:rsidRPr="00DA0A7D">
        <w:rPr>
          <w:sz w:val="28"/>
        </w:rPr>
        <w:t>).</w:t>
      </w:r>
    </w:p>
    <w:p w:rsidR="00696770" w:rsidRDefault="00696770" w:rsidP="00963BB9">
      <w:pPr>
        <w:jc w:val="both"/>
        <w:rPr>
          <w:color w:val="000000"/>
          <w:sz w:val="28"/>
          <w:szCs w:val="28"/>
        </w:rPr>
      </w:pPr>
    </w:p>
    <w:p w:rsidR="00963BB9" w:rsidRDefault="00F22208" w:rsidP="00DA0A7D">
      <w:pPr>
        <w:ind w:firstLine="720"/>
        <w:jc w:val="both"/>
        <w:rPr>
          <w:color w:val="000000"/>
          <w:sz w:val="28"/>
          <w:szCs w:val="28"/>
        </w:rPr>
      </w:pPr>
      <w:r>
        <w:rPr>
          <w:color w:val="000000"/>
          <w:sz w:val="28"/>
          <w:szCs w:val="28"/>
        </w:rPr>
        <w:t xml:space="preserve">10. </w:t>
      </w:r>
      <w:r w:rsidR="00963BB9">
        <w:rPr>
          <w:color w:val="000000"/>
          <w:sz w:val="28"/>
          <w:szCs w:val="28"/>
        </w:rPr>
        <w:t>Noteikumi stājas spēkā 2016.gada 1.janvārī.</w:t>
      </w:r>
    </w:p>
    <w:p w:rsidR="005169FD" w:rsidRDefault="005169FD" w:rsidP="00E92AEF">
      <w:pPr>
        <w:jc w:val="both"/>
        <w:rPr>
          <w:color w:val="000000"/>
          <w:sz w:val="28"/>
          <w:szCs w:val="28"/>
        </w:rPr>
      </w:pPr>
    </w:p>
    <w:p w:rsidR="005169FD" w:rsidRDefault="005169FD" w:rsidP="00E92AEF">
      <w:pPr>
        <w:jc w:val="both"/>
        <w:rPr>
          <w:color w:val="000000"/>
          <w:sz w:val="28"/>
          <w:szCs w:val="28"/>
        </w:rPr>
      </w:pPr>
      <w:r>
        <w:rPr>
          <w:color w:val="000000"/>
          <w:sz w:val="28"/>
          <w:szCs w:val="28"/>
        </w:rPr>
        <w:t xml:space="preserve">Ministru prezidente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Laimdota Straujuma</w:t>
      </w:r>
    </w:p>
    <w:p w:rsidR="00E92AEF" w:rsidRDefault="00E92AEF" w:rsidP="00D47CBC">
      <w:pPr>
        <w:rPr>
          <w:sz w:val="28"/>
          <w:szCs w:val="28"/>
        </w:rPr>
      </w:pPr>
    </w:p>
    <w:p w:rsidR="00D47CBC" w:rsidRPr="003762AB" w:rsidRDefault="00D47CBC" w:rsidP="00D47CBC">
      <w:pPr>
        <w:rPr>
          <w:color w:val="000000"/>
          <w:sz w:val="28"/>
          <w:szCs w:val="28"/>
        </w:rPr>
      </w:pPr>
      <w:r>
        <w:rPr>
          <w:sz w:val="28"/>
          <w:szCs w:val="28"/>
        </w:rPr>
        <w:t>Tieslietu ministrs</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color w:val="000000"/>
          <w:sz w:val="28"/>
          <w:szCs w:val="28"/>
        </w:rPr>
        <w:t>Dzintars Rasnačs</w:t>
      </w:r>
    </w:p>
    <w:p w:rsidR="00D47CBC" w:rsidRDefault="00D47CBC" w:rsidP="00D47CBC">
      <w:pPr>
        <w:jc w:val="both"/>
        <w:rPr>
          <w:sz w:val="28"/>
          <w:szCs w:val="28"/>
        </w:rPr>
      </w:pPr>
    </w:p>
    <w:p w:rsidR="00D47CBC" w:rsidRPr="000E76AD" w:rsidRDefault="00D47CBC" w:rsidP="00D47CBC">
      <w:pPr>
        <w:rPr>
          <w:sz w:val="28"/>
          <w:szCs w:val="28"/>
        </w:rPr>
      </w:pPr>
      <w:r w:rsidRPr="000E76AD">
        <w:rPr>
          <w:sz w:val="28"/>
          <w:szCs w:val="28"/>
        </w:rPr>
        <w:t>Iesniedzējs:</w:t>
      </w:r>
    </w:p>
    <w:p w:rsidR="00204FAC" w:rsidRPr="003762AB" w:rsidRDefault="00204FAC" w:rsidP="00204FAC">
      <w:pPr>
        <w:rPr>
          <w:color w:val="000000"/>
          <w:sz w:val="28"/>
          <w:szCs w:val="28"/>
        </w:rPr>
      </w:pPr>
      <w:r>
        <w:rPr>
          <w:sz w:val="28"/>
          <w:szCs w:val="28"/>
        </w:rPr>
        <w:t>tieslietu ministrs</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color w:val="000000"/>
          <w:sz w:val="28"/>
          <w:szCs w:val="28"/>
        </w:rPr>
        <w:t>Dzintars Rasnačs</w:t>
      </w:r>
    </w:p>
    <w:p w:rsidR="00963BB9" w:rsidRDefault="00963BB9" w:rsidP="00963BB9">
      <w:pPr>
        <w:jc w:val="both"/>
        <w:rPr>
          <w:sz w:val="20"/>
          <w:szCs w:val="20"/>
        </w:rPr>
      </w:pPr>
    </w:p>
    <w:p w:rsidR="00963BB9" w:rsidRDefault="00963BB9" w:rsidP="00963BB9">
      <w:pPr>
        <w:jc w:val="both"/>
        <w:rPr>
          <w:sz w:val="20"/>
          <w:szCs w:val="20"/>
        </w:rPr>
      </w:pPr>
    </w:p>
    <w:p w:rsidR="00963BB9" w:rsidRPr="006719E0" w:rsidRDefault="008D4C89" w:rsidP="00963BB9">
      <w:pPr>
        <w:jc w:val="both"/>
        <w:rPr>
          <w:sz w:val="20"/>
          <w:szCs w:val="20"/>
        </w:rPr>
      </w:pPr>
      <w:r>
        <w:rPr>
          <w:sz w:val="20"/>
          <w:szCs w:val="20"/>
        </w:rPr>
        <w:t>08.12</w:t>
      </w:r>
      <w:bookmarkStart w:id="6" w:name="_GoBack"/>
      <w:bookmarkEnd w:id="6"/>
      <w:r w:rsidR="00963BB9">
        <w:rPr>
          <w:sz w:val="20"/>
          <w:szCs w:val="20"/>
        </w:rPr>
        <w:t>.2015</w:t>
      </w:r>
      <w:r w:rsidR="00963BB9" w:rsidRPr="006719E0">
        <w:rPr>
          <w:sz w:val="20"/>
          <w:szCs w:val="20"/>
        </w:rPr>
        <w:t>.</w:t>
      </w:r>
      <w:r w:rsidR="00204FAC">
        <w:rPr>
          <w:sz w:val="20"/>
          <w:szCs w:val="20"/>
        </w:rPr>
        <w:t xml:space="preserve"> 14</w:t>
      </w:r>
      <w:r w:rsidR="00963BB9" w:rsidRPr="006719E0">
        <w:rPr>
          <w:sz w:val="20"/>
          <w:szCs w:val="20"/>
        </w:rPr>
        <w:t>:</w:t>
      </w:r>
      <w:r w:rsidR="00204FAC">
        <w:rPr>
          <w:sz w:val="20"/>
          <w:szCs w:val="20"/>
        </w:rPr>
        <w:t>18</w:t>
      </w:r>
    </w:p>
    <w:p w:rsidR="00963BB9" w:rsidRPr="00CE55F5" w:rsidRDefault="00204FAC" w:rsidP="00963BB9">
      <w:pPr>
        <w:rPr>
          <w:sz w:val="20"/>
          <w:szCs w:val="20"/>
        </w:rPr>
      </w:pPr>
      <w:r>
        <w:rPr>
          <w:sz w:val="20"/>
          <w:szCs w:val="20"/>
        </w:rPr>
        <w:t>424</w:t>
      </w:r>
    </w:p>
    <w:p w:rsidR="00963BB9" w:rsidRPr="00CE55F5" w:rsidRDefault="00963BB9" w:rsidP="00963BB9">
      <w:pPr>
        <w:rPr>
          <w:sz w:val="20"/>
          <w:szCs w:val="20"/>
        </w:rPr>
      </w:pPr>
      <w:r w:rsidRPr="00CE55F5">
        <w:rPr>
          <w:sz w:val="20"/>
          <w:szCs w:val="20"/>
        </w:rPr>
        <w:t>L.Zommere</w:t>
      </w:r>
    </w:p>
    <w:p w:rsidR="000002E6" w:rsidRPr="00B231DB" w:rsidRDefault="00963BB9" w:rsidP="00684AAD">
      <w:pPr>
        <w:rPr>
          <w:sz w:val="20"/>
          <w:szCs w:val="20"/>
        </w:rPr>
      </w:pPr>
      <w:r w:rsidRPr="00CE55F5">
        <w:rPr>
          <w:sz w:val="20"/>
          <w:szCs w:val="20"/>
        </w:rPr>
        <w:t xml:space="preserve">67220208, </w:t>
      </w:r>
      <w:hyperlink r:id="rId7" w:history="1">
        <w:r w:rsidRPr="00750CF7">
          <w:rPr>
            <w:rStyle w:val="Hyperlink"/>
            <w:sz w:val="20"/>
            <w:szCs w:val="20"/>
          </w:rPr>
          <w:t>Linda.Zommere@lrpv.gov.lv</w:t>
        </w:r>
      </w:hyperlink>
      <w:r>
        <w:rPr>
          <w:sz w:val="20"/>
          <w:szCs w:val="20"/>
        </w:rPr>
        <w:t xml:space="preserve"> </w:t>
      </w:r>
      <w:r w:rsidR="00B231DB">
        <w:rPr>
          <w:sz w:val="20"/>
          <w:szCs w:val="20"/>
        </w:rPr>
        <w:tab/>
      </w:r>
    </w:p>
    <w:sectPr w:rsidR="000002E6" w:rsidRPr="00B231DB" w:rsidSect="00304013">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A93" w:rsidRDefault="00A07A93" w:rsidP="00963BB9">
      <w:r>
        <w:separator/>
      </w:r>
    </w:p>
  </w:endnote>
  <w:endnote w:type="continuationSeparator" w:id="0">
    <w:p w:rsidR="00A07A93" w:rsidRDefault="00A07A93" w:rsidP="0096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A93" w:rsidRPr="00034110" w:rsidRDefault="00A07A93" w:rsidP="00034110">
    <w:pPr>
      <w:pStyle w:val="Header"/>
      <w:jc w:val="both"/>
      <w:rPr>
        <w:sz w:val="20"/>
        <w:szCs w:val="20"/>
        <w:lang w:val="lv-LV"/>
      </w:rPr>
    </w:pPr>
    <w:r w:rsidRPr="006719E0">
      <w:rPr>
        <w:sz w:val="20"/>
        <w:szCs w:val="20"/>
      </w:rPr>
      <w:t>TMNot_</w:t>
    </w:r>
    <w:r w:rsidR="00204FAC">
      <w:rPr>
        <w:sz w:val="20"/>
        <w:szCs w:val="20"/>
        <w:lang w:val="lv-LV"/>
      </w:rPr>
      <w:t>0812</w:t>
    </w:r>
    <w:r w:rsidRPr="006719E0">
      <w:rPr>
        <w:sz w:val="20"/>
        <w:szCs w:val="20"/>
      </w:rPr>
      <w:t>1</w:t>
    </w:r>
    <w:r>
      <w:rPr>
        <w:sz w:val="20"/>
        <w:szCs w:val="20"/>
        <w:lang w:val="lv-LV"/>
      </w:rPr>
      <w:t>5</w:t>
    </w:r>
    <w:r w:rsidRPr="006719E0">
      <w:rPr>
        <w:sz w:val="20"/>
        <w:szCs w:val="20"/>
      </w:rPr>
      <w:t>_</w:t>
    </w:r>
    <w:r>
      <w:rPr>
        <w:sz w:val="20"/>
        <w:szCs w:val="20"/>
        <w:lang w:val="lv-LV"/>
      </w:rPr>
      <w:t>dizain_veidl</w:t>
    </w:r>
    <w:r w:rsidRPr="00CE55F5">
      <w:rPr>
        <w:sz w:val="20"/>
        <w:szCs w:val="20"/>
      </w:rPr>
      <w:t xml:space="preserve">; Ministru kabineta noteikumu projekts </w:t>
    </w:r>
    <w:r w:rsidRPr="00F46E91">
      <w:rPr>
        <w:sz w:val="20"/>
        <w:szCs w:val="20"/>
      </w:rPr>
      <w:t>“Noteikumi par dizainparaugu reģistrācijas procedūras veidlapu un reģistrācijas apliecības paraugiem”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AAD" w:rsidRPr="00034110" w:rsidRDefault="00684AAD" w:rsidP="00684AAD">
    <w:pPr>
      <w:pStyle w:val="Header"/>
      <w:jc w:val="both"/>
      <w:rPr>
        <w:sz w:val="20"/>
        <w:szCs w:val="20"/>
        <w:lang w:val="lv-LV"/>
      </w:rPr>
    </w:pPr>
    <w:r w:rsidRPr="006719E0">
      <w:rPr>
        <w:sz w:val="20"/>
        <w:szCs w:val="20"/>
      </w:rPr>
      <w:t>TMNot_</w:t>
    </w:r>
    <w:r w:rsidR="00204FAC">
      <w:rPr>
        <w:sz w:val="20"/>
        <w:szCs w:val="20"/>
        <w:lang w:val="lv-LV"/>
      </w:rPr>
      <w:t>0812</w:t>
    </w:r>
    <w:r w:rsidRPr="006719E0">
      <w:rPr>
        <w:sz w:val="20"/>
        <w:szCs w:val="20"/>
      </w:rPr>
      <w:t>1</w:t>
    </w:r>
    <w:r>
      <w:rPr>
        <w:sz w:val="20"/>
        <w:szCs w:val="20"/>
        <w:lang w:val="lv-LV"/>
      </w:rPr>
      <w:t>5</w:t>
    </w:r>
    <w:r w:rsidRPr="006719E0">
      <w:rPr>
        <w:sz w:val="20"/>
        <w:szCs w:val="20"/>
      </w:rPr>
      <w:t>_</w:t>
    </w:r>
    <w:r>
      <w:rPr>
        <w:sz w:val="20"/>
        <w:szCs w:val="20"/>
        <w:lang w:val="lv-LV"/>
      </w:rPr>
      <w:t>dizain_veidl</w:t>
    </w:r>
    <w:r w:rsidRPr="00CE55F5">
      <w:rPr>
        <w:sz w:val="20"/>
        <w:szCs w:val="20"/>
      </w:rPr>
      <w:t xml:space="preserve">; Ministru kabineta noteikumu projekts </w:t>
    </w:r>
    <w:r w:rsidRPr="00F46E91">
      <w:rPr>
        <w:sz w:val="20"/>
        <w:szCs w:val="20"/>
      </w:rPr>
      <w:t>“Noteikumi par dizainparaugu reģistrācijas procedūras veidlapu un reģistrācijas apliecības paraugiem”</w:t>
    </w:r>
  </w:p>
  <w:p w:rsidR="00684AAD" w:rsidRPr="00034110" w:rsidRDefault="00684AAD" w:rsidP="00034110">
    <w:pPr>
      <w:pStyle w:val="Header"/>
      <w:jc w:val="both"/>
      <w:rPr>
        <w:vanish/>
        <w:lang w:val="lv-LV" w:eastAsia="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A93" w:rsidRDefault="00A07A93" w:rsidP="00963BB9">
      <w:r>
        <w:separator/>
      </w:r>
    </w:p>
  </w:footnote>
  <w:footnote w:type="continuationSeparator" w:id="0">
    <w:p w:rsidR="00A07A93" w:rsidRDefault="00A07A93" w:rsidP="00963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A93" w:rsidRDefault="00A07A93" w:rsidP="00A562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7A93" w:rsidRDefault="00A07A93">
    <w:pPr>
      <w:pStyle w:val="Header"/>
    </w:pPr>
  </w:p>
  <w:p w:rsidR="00A07A93" w:rsidRDefault="00A07A93"/>
  <w:p w:rsidR="00A07A93" w:rsidRDefault="00A07A93"/>
  <w:p w:rsidR="00A07A93" w:rsidRDefault="00A07A93"/>
  <w:p w:rsidR="00A07A93" w:rsidRDefault="00A07A93"/>
  <w:p w:rsidR="00A07A93" w:rsidRDefault="00A07A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A93" w:rsidRDefault="00A07A93" w:rsidP="00A562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4C89">
      <w:rPr>
        <w:rStyle w:val="PageNumber"/>
        <w:noProof/>
      </w:rPr>
      <w:t>2</w:t>
    </w:r>
    <w:r>
      <w:rPr>
        <w:rStyle w:val="PageNumber"/>
      </w:rPr>
      <w:fldChar w:fldCharType="end"/>
    </w:r>
  </w:p>
  <w:p w:rsidR="00A07A93" w:rsidRDefault="00A07A93">
    <w:pPr>
      <w:pStyle w:val="Header"/>
    </w:pPr>
  </w:p>
  <w:p w:rsidR="00A07A93" w:rsidRDefault="00A07A93"/>
  <w:p w:rsidR="00A07A93" w:rsidRDefault="00A07A9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A93" w:rsidRPr="00940BC7" w:rsidRDefault="00A07A93" w:rsidP="00940BC7">
    <w:pPr>
      <w:pStyle w:val="Header"/>
      <w:jc w:val="center"/>
      <w:rPr>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B9"/>
    <w:rsid w:val="000002E6"/>
    <w:rsid w:val="00034110"/>
    <w:rsid w:val="00043540"/>
    <w:rsid w:val="0006305C"/>
    <w:rsid w:val="000D4D75"/>
    <w:rsid w:val="00101A77"/>
    <w:rsid w:val="0014794A"/>
    <w:rsid w:val="00161E34"/>
    <w:rsid w:val="001877DD"/>
    <w:rsid w:val="001B06EB"/>
    <w:rsid w:val="00204FAC"/>
    <w:rsid w:val="00230298"/>
    <w:rsid w:val="00281D19"/>
    <w:rsid w:val="002D313D"/>
    <w:rsid w:val="00304013"/>
    <w:rsid w:val="0037088F"/>
    <w:rsid w:val="00395711"/>
    <w:rsid w:val="003D22BB"/>
    <w:rsid w:val="00402DBB"/>
    <w:rsid w:val="0044531B"/>
    <w:rsid w:val="00490480"/>
    <w:rsid w:val="004C001C"/>
    <w:rsid w:val="004C0101"/>
    <w:rsid w:val="004C1F3C"/>
    <w:rsid w:val="004C782E"/>
    <w:rsid w:val="004E0285"/>
    <w:rsid w:val="004E2B33"/>
    <w:rsid w:val="004E7654"/>
    <w:rsid w:val="00502BB4"/>
    <w:rsid w:val="005169FD"/>
    <w:rsid w:val="005661A1"/>
    <w:rsid w:val="0064006C"/>
    <w:rsid w:val="00661E64"/>
    <w:rsid w:val="0066223F"/>
    <w:rsid w:val="006739BE"/>
    <w:rsid w:val="00684AAD"/>
    <w:rsid w:val="00694C1E"/>
    <w:rsid w:val="00696770"/>
    <w:rsid w:val="006F6641"/>
    <w:rsid w:val="007146C0"/>
    <w:rsid w:val="00714BBE"/>
    <w:rsid w:val="00755343"/>
    <w:rsid w:val="00792D2A"/>
    <w:rsid w:val="007C189F"/>
    <w:rsid w:val="007D7388"/>
    <w:rsid w:val="007F3831"/>
    <w:rsid w:val="007F49C5"/>
    <w:rsid w:val="00804415"/>
    <w:rsid w:val="00831678"/>
    <w:rsid w:val="008365D1"/>
    <w:rsid w:val="00890324"/>
    <w:rsid w:val="008A398A"/>
    <w:rsid w:val="008B5E39"/>
    <w:rsid w:val="008D4C89"/>
    <w:rsid w:val="008E5DBB"/>
    <w:rsid w:val="00902005"/>
    <w:rsid w:val="00902561"/>
    <w:rsid w:val="00924D05"/>
    <w:rsid w:val="00940BC7"/>
    <w:rsid w:val="0094660C"/>
    <w:rsid w:val="00963BB9"/>
    <w:rsid w:val="009B2BEE"/>
    <w:rsid w:val="009C04E1"/>
    <w:rsid w:val="009E7DFC"/>
    <w:rsid w:val="00A07A93"/>
    <w:rsid w:val="00A22C98"/>
    <w:rsid w:val="00A22F96"/>
    <w:rsid w:val="00A33499"/>
    <w:rsid w:val="00A5626B"/>
    <w:rsid w:val="00A61872"/>
    <w:rsid w:val="00A64B2A"/>
    <w:rsid w:val="00A76E27"/>
    <w:rsid w:val="00A83A90"/>
    <w:rsid w:val="00AA5C08"/>
    <w:rsid w:val="00AC2065"/>
    <w:rsid w:val="00AD786F"/>
    <w:rsid w:val="00AE2FB4"/>
    <w:rsid w:val="00B231DB"/>
    <w:rsid w:val="00B364F0"/>
    <w:rsid w:val="00B46BB7"/>
    <w:rsid w:val="00B53255"/>
    <w:rsid w:val="00BB57DC"/>
    <w:rsid w:val="00BF5255"/>
    <w:rsid w:val="00C0745D"/>
    <w:rsid w:val="00C15828"/>
    <w:rsid w:val="00C569D4"/>
    <w:rsid w:val="00C6124B"/>
    <w:rsid w:val="00CC22EC"/>
    <w:rsid w:val="00CD47E1"/>
    <w:rsid w:val="00D050C3"/>
    <w:rsid w:val="00D13ECA"/>
    <w:rsid w:val="00D358DE"/>
    <w:rsid w:val="00D47CBC"/>
    <w:rsid w:val="00DA0A7D"/>
    <w:rsid w:val="00DB1DB8"/>
    <w:rsid w:val="00DB20BA"/>
    <w:rsid w:val="00E12775"/>
    <w:rsid w:val="00E13665"/>
    <w:rsid w:val="00E3452F"/>
    <w:rsid w:val="00E543E5"/>
    <w:rsid w:val="00E92AEF"/>
    <w:rsid w:val="00EB14ED"/>
    <w:rsid w:val="00EC08CF"/>
    <w:rsid w:val="00EE22A7"/>
    <w:rsid w:val="00F22208"/>
    <w:rsid w:val="00F46E91"/>
    <w:rsid w:val="00F633AD"/>
    <w:rsid w:val="00F92575"/>
    <w:rsid w:val="00F969ED"/>
    <w:rsid w:val="00FC0605"/>
    <w:rsid w:val="00FC45AE"/>
    <w:rsid w:val="00FE31AD"/>
    <w:rsid w:val="00FE5B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20495-A8F9-456D-AED0-BF268975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BB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CC22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C2065"/>
    <w:pPr>
      <w:keepNext/>
      <w:outlineLvl w:val="1"/>
    </w:pPr>
    <w:rPr>
      <w:rFonts w:ascii="Arial" w:hAnsi="Arial"/>
      <w:b/>
      <w:noProof/>
      <w:sz w:val="20"/>
      <w:szCs w:val="20"/>
      <w:lang w:eastAsia="en-US"/>
    </w:rPr>
  </w:style>
  <w:style w:type="paragraph" w:styleId="Heading4">
    <w:name w:val="heading 4"/>
    <w:basedOn w:val="Normal"/>
    <w:next w:val="Normal"/>
    <w:link w:val="Heading4Char"/>
    <w:qFormat/>
    <w:rsid w:val="00AC2065"/>
    <w:pPr>
      <w:keepNext/>
      <w:spacing w:before="80"/>
      <w:ind w:left="340"/>
      <w:outlineLvl w:val="3"/>
    </w:pPr>
    <w:rPr>
      <w:noProo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3BB9"/>
    <w:pPr>
      <w:tabs>
        <w:tab w:val="center" w:pos="4153"/>
        <w:tab w:val="right" w:pos="8306"/>
      </w:tabs>
    </w:pPr>
    <w:rPr>
      <w:lang w:val="x-none" w:eastAsia="x-none"/>
    </w:rPr>
  </w:style>
  <w:style w:type="character" w:customStyle="1" w:styleId="HeaderChar">
    <w:name w:val="Header Char"/>
    <w:basedOn w:val="DefaultParagraphFont"/>
    <w:link w:val="Header"/>
    <w:uiPriority w:val="99"/>
    <w:rsid w:val="00963BB9"/>
    <w:rPr>
      <w:rFonts w:ascii="Times New Roman" w:eastAsia="Times New Roman" w:hAnsi="Times New Roman" w:cs="Times New Roman"/>
      <w:sz w:val="24"/>
      <w:szCs w:val="24"/>
      <w:lang w:val="x-none" w:eastAsia="x-none"/>
    </w:rPr>
  </w:style>
  <w:style w:type="character" w:styleId="PageNumber">
    <w:name w:val="page number"/>
    <w:uiPriority w:val="99"/>
    <w:rsid w:val="00963BB9"/>
    <w:rPr>
      <w:rFonts w:cs="Times New Roman"/>
    </w:rPr>
  </w:style>
  <w:style w:type="character" w:styleId="Hyperlink">
    <w:name w:val="Hyperlink"/>
    <w:uiPriority w:val="99"/>
    <w:rsid w:val="00963BB9"/>
    <w:rPr>
      <w:rFonts w:cs="Times New Roman"/>
      <w:color w:val="0000FF"/>
      <w:u w:val="single"/>
    </w:rPr>
  </w:style>
  <w:style w:type="paragraph" w:customStyle="1" w:styleId="tv213">
    <w:name w:val="tv213"/>
    <w:basedOn w:val="Normal"/>
    <w:rsid w:val="00963BB9"/>
    <w:pPr>
      <w:spacing w:before="100" w:beforeAutospacing="1" w:after="100" w:afterAutospacing="1"/>
    </w:pPr>
  </w:style>
  <w:style w:type="paragraph" w:customStyle="1" w:styleId="StyleRight">
    <w:name w:val="Style Right"/>
    <w:basedOn w:val="Normal"/>
    <w:rsid w:val="00963BB9"/>
    <w:pPr>
      <w:spacing w:after="120"/>
      <w:ind w:firstLine="720"/>
      <w:jc w:val="right"/>
    </w:pPr>
    <w:rPr>
      <w:sz w:val="28"/>
      <w:szCs w:val="28"/>
      <w:lang w:eastAsia="en-US"/>
    </w:rPr>
  </w:style>
  <w:style w:type="paragraph" w:customStyle="1" w:styleId="tv2078792">
    <w:name w:val="tv207_87_92"/>
    <w:basedOn w:val="Normal"/>
    <w:rsid w:val="00963BB9"/>
    <w:pPr>
      <w:spacing w:before="100" w:beforeAutospacing="1" w:after="100" w:afterAutospacing="1"/>
    </w:pPr>
  </w:style>
  <w:style w:type="paragraph" w:styleId="Footer">
    <w:name w:val="footer"/>
    <w:basedOn w:val="Normal"/>
    <w:link w:val="FooterChar"/>
    <w:uiPriority w:val="99"/>
    <w:unhideWhenUsed/>
    <w:rsid w:val="00963BB9"/>
    <w:pPr>
      <w:tabs>
        <w:tab w:val="center" w:pos="4320"/>
        <w:tab w:val="right" w:pos="8640"/>
      </w:tabs>
    </w:pPr>
  </w:style>
  <w:style w:type="character" w:customStyle="1" w:styleId="FooterChar">
    <w:name w:val="Footer Char"/>
    <w:basedOn w:val="DefaultParagraphFont"/>
    <w:link w:val="Footer"/>
    <w:uiPriority w:val="99"/>
    <w:rsid w:val="00963BB9"/>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24D05"/>
    <w:rPr>
      <w:sz w:val="16"/>
      <w:szCs w:val="16"/>
    </w:rPr>
  </w:style>
  <w:style w:type="paragraph" w:styleId="CommentText">
    <w:name w:val="annotation text"/>
    <w:basedOn w:val="Normal"/>
    <w:link w:val="CommentTextChar"/>
    <w:uiPriority w:val="99"/>
    <w:semiHidden/>
    <w:unhideWhenUsed/>
    <w:rsid w:val="00924D05"/>
    <w:rPr>
      <w:sz w:val="20"/>
      <w:szCs w:val="20"/>
    </w:rPr>
  </w:style>
  <w:style w:type="character" w:customStyle="1" w:styleId="CommentTextChar">
    <w:name w:val="Comment Text Char"/>
    <w:basedOn w:val="DefaultParagraphFont"/>
    <w:link w:val="CommentText"/>
    <w:uiPriority w:val="99"/>
    <w:semiHidden/>
    <w:rsid w:val="00924D0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4D05"/>
    <w:rPr>
      <w:b/>
      <w:bCs/>
    </w:rPr>
  </w:style>
  <w:style w:type="character" w:customStyle="1" w:styleId="CommentSubjectChar">
    <w:name w:val="Comment Subject Char"/>
    <w:basedOn w:val="CommentTextChar"/>
    <w:link w:val="CommentSubject"/>
    <w:uiPriority w:val="99"/>
    <w:semiHidden/>
    <w:rsid w:val="00924D05"/>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24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D05"/>
    <w:rPr>
      <w:rFonts w:ascii="Segoe UI" w:eastAsia="Times New Roman" w:hAnsi="Segoe UI" w:cs="Segoe UI"/>
      <w:sz w:val="18"/>
      <w:szCs w:val="18"/>
      <w:lang w:eastAsia="lv-LV"/>
    </w:rPr>
  </w:style>
  <w:style w:type="paragraph" w:styleId="ListParagraph">
    <w:name w:val="List Paragraph"/>
    <w:basedOn w:val="Normal"/>
    <w:uiPriority w:val="34"/>
    <w:qFormat/>
    <w:rsid w:val="00EC08CF"/>
    <w:pPr>
      <w:ind w:left="720"/>
      <w:contextualSpacing/>
    </w:pPr>
  </w:style>
  <w:style w:type="character" w:customStyle="1" w:styleId="Heading2Char">
    <w:name w:val="Heading 2 Char"/>
    <w:basedOn w:val="DefaultParagraphFont"/>
    <w:link w:val="Heading2"/>
    <w:rsid w:val="00AC2065"/>
    <w:rPr>
      <w:rFonts w:ascii="Arial" w:eastAsia="Times New Roman" w:hAnsi="Arial" w:cs="Times New Roman"/>
      <w:b/>
      <w:noProof/>
      <w:sz w:val="20"/>
      <w:szCs w:val="20"/>
    </w:rPr>
  </w:style>
  <w:style w:type="character" w:customStyle="1" w:styleId="Heading4Char">
    <w:name w:val="Heading 4 Char"/>
    <w:basedOn w:val="DefaultParagraphFont"/>
    <w:link w:val="Heading4"/>
    <w:rsid w:val="00AC2065"/>
    <w:rPr>
      <w:rFonts w:ascii="Times New Roman" w:eastAsia="Times New Roman" w:hAnsi="Times New Roman" w:cs="Times New Roman"/>
      <w:noProof/>
      <w:sz w:val="24"/>
      <w:szCs w:val="20"/>
    </w:rPr>
  </w:style>
  <w:style w:type="table" w:styleId="TableGrid">
    <w:name w:val="Table Grid"/>
    <w:basedOn w:val="TableNormal"/>
    <w:uiPriority w:val="59"/>
    <w:rsid w:val="00AE2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22EC"/>
    <w:rPr>
      <w:rFonts w:asciiTheme="majorHAnsi" w:eastAsiaTheme="majorEastAsia" w:hAnsiTheme="majorHAnsi" w:cstheme="majorBidi"/>
      <w:color w:val="365F91" w:themeColor="accent1" w:themeShade="BF"/>
      <w:sz w:val="32"/>
      <w:szCs w:val="32"/>
      <w:lang w:eastAsia="lv-LV"/>
    </w:rPr>
  </w:style>
  <w:style w:type="paragraph" w:styleId="BodyText2">
    <w:name w:val="Body Text 2"/>
    <w:basedOn w:val="Normal"/>
    <w:link w:val="BodyText2Char"/>
    <w:semiHidden/>
    <w:rsid w:val="00CC22EC"/>
    <w:pPr>
      <w:tabs>
        <w:tab w:val="left" w:pos="720"/>
      </w:tabs>
      <w:overflowPunct w:val="0"/>
      <w:autoSpaceDE w:val="0"/>
      <w:autoSpaceDN w:val="0"/>
      <w:adjustRightInd w:val="0"/>
      <w:textAlignment w:val="baseline"/>
    </w:pPr>
    <w:rPr>
      <w:sz w:val="16"/>
      <w:szCs w:val="20"/>
      <w:lang w:eastAsia="en-US"/>
    </w:rPr>
  </w:style>
  <w:style w:type="character" w:customStyle="1" w:styleId="BodyText2Char">
    <w:name w:val="Body Text 2 Char"/>
    <w:basedOn w:val="DefaultParagraphFont"/>
    <w:link w:val="BodyText2"/>
    <w:semiHidden/>
    <w:rsid w:val="00CC22EC"/>
    <w:rPr>
      <w:rFonts w:ascii="Times New Roman" w:eastAsia="Times New Roman" w:hAnsi="Times New Roman" w:cs="Times New Roman"/>
      <w:sz w:val="16"/>
      <w:szCs w:val="20"/>
    </w:rPr>
  </w:style>
  <w:style w:type="paragraph" w:styleId="Caption">
    <w:name w:val="caption"/>
    <w:basedOn w:val="Normal"/>
    <w:next w:val="Normal"/>
    <w:qFormat/>
    <w:rsid w:val="00CC22EC"/>
    <w:pPr>
      <w:tabs>
        <w:tab w:val="left" w:pos="720"/>
      </w:tabs>
      <w:overflowPunct w:val="0"/>
      <w:autoSpaceDE w:val="0"/>
      <w:autoSpaceDN w:val="0"/>
      <w:adjustRightInd w:val="0"/>
      <w:spacing w:before="40" w:after="40"/>
      <w:jc w:val="center"/>
      <w:textAlignment w:val="baseline"/>
    </w:pPr>
    <w:rPr>
      <w:b/>
      <w:sz w:val="20"/>
      <w:szCs w:val="20"/>
      <w:lang w:eastAsia="en-US"/>
    </w:rPr>
  </w:style>
  <w:style w:type="paragraph" w:styleId="BlockText">
    <w:name w:val="Block Text"/>
    <w:basedOn w:val="Normal"/>
    <w:semiHidden/>
    <w:rsid w:val="00AD786F"/>
    <w:pPr>
      <w:framePr w:w="5783" w:h="8195" w:hRule="exact" w:hSpace="181" w:wrap="notBeside" w:vAnchor="page" w:hAnchor="margin" w:xAlign="center" w:y="2553" w:anchorLock="1"/>
      <w:tabs>
        <w:tab w:val="left" w:pos="567"/>
        <w:tab w:val="left" w:pos="720"/>
      </w:tabs>
      <w:overflowPunct w:val="0"/>
      <w:autoSpaceDE w:val="0"/>
      <w:autoSpaceDN w:val="0"/>
      <w:adjustRightInd w:val="0"/>
      <w:ind w:left="567" w:right="567" w:firstLine="425"/>
      <w:textAlignment w:val="baseline"/>
    </w:pPr>
    <w:rPr>
      <w:sz w:val="16"/>
      <w:szCs w:val="20"/>
      <w:lang w:val="en-GB" w:eastAsia="en-US"/>
    </w:rPr>
  </w:style>
  <w:style w:type="paragraph" w:styleId="Revision">
    <w:name w:val="Revision"/>
    <w:hidden/>
    <w:uiPriority w:val="99"/>
    <w:semiHidden/>
    <w:rsid w:val="005169FD"/>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174102">
      <w:bodyDiv w:val="1"/>
      <w:marLeft w:val="0"/>
      <w:marRight w:val="0"/>
      <w:marTop w:val="0"/>
      <w:marBottom w:val="0"/>
      <w:divBdr>
        <w:top w:val="none" w:sz="0" w:space="0" w:color="auto"/>
        <w:left w:val="none" w:sz="0" w:space="0" w:color="auto"/>
        <w:bottom w:val="none" w:sz="0" w:space="0" w:color="auto"/>
        <w:right w:val="none" w:sz="0" w:space="0" w:color="auto"/>
      </w:divBdr>
    </w:div>
    <w:div w:id="1355421442">
      <w:bodyDiv w:val="1"/>
      <w:marLeft w:val="0"/>
      <w:marRight w:val="0"/>
      <w:marTop w:val="0"/>
      <w:marBottom w:val="0"/>
      <w:divBdr>
        <w:top w:val="none" w:sz="0" w:space="0" w:color="auto"/>
        <w:left w:val="none" w:sz="0" w:space="0" w:color="auto"/>
        <w:bottom w:val="none" w:sz="0" w:space="0" w:color="auto"/>
        <w:right w:val="none" w:sz="0" w:space="0" w:color="auto"/>
      </w:divBdr>
      <w:divsChild>
        <w:div w:id="1465075284">
          <w:marLeft w:val="0"/>
          <w:marRight w:val="0"/>
          <w:marTop w:val="0"/>
          <w:marBottom w:val="0"/>
          <w:divBdr>
            <w:top w:val="none" w:sz="0" w:space="0" w:color="auto"/>
            <w:left w:val="none" w:sz="0" w:space="0" w:color="auto"/>
            <w:bottom w:val="none" w:sz="0" w:space="0" w:color="auto"/>
            <w:right w:val="none" w:sz="0" w:space="0" w:color="auto"/>
          </w:divBdr>
        </w:div>
        <w:div w:id="300962564">
          <w:marLeft w:val="0"/>
          <w:marRight w:val="0"/>
          <w:marTop w:val="0"/>
          <w:marBottom w:val="0"/>
          <w:divBdr>
            <w:top w:val="none" w:sz="0" w:space="0" w:color="auto"/>
            <w:left w:val="none" w:sz="0" w:space="0" w:color="auto"/>
            <w:bottom w:val="none" w:sz="0" w:space="0" w:color="auto"/>
            <w:right w:val="none" w:sz="0" w:space="0" w:color="auto"/>
          </w:divBdr>
        </w:div>
      </w:divsChild>
    </w:div>
    <w:div w:id="1511023523">
      <w:bodyDiv w:val="1"/>
      <w:marLeft w:val="0"/>
      <w:marRight w:val="0"/>
      <w:marTop w:val="0"/>
      <w:marBottom w:val="0"/>
      <w:divBdr>
        <w:top w:val="none" w:sz="0" w:space="0" w:color="auto"/>
        <w:left w:val="none" w:sz="0" w:space="0" w:color="auto"/>
        <w:bottom w:val="none" w:sz="0" w:space="0" w:color="auto"/>
        <w:right w:val="none" w:sz="0" w:space="0" w:color="auto"/>
      </w:divBdr>
      <w:divsChild>
        <w:div w:id="229772357">
          <w:marLeft w:val="0"/>
          <w:marRight w:val="0"/>
          <w:marTop w:val="0"/>
          <w:marBottom w:val="0"/>
          <w:divBdr>
            <w:top w:val="none" w:sz="0" w:space="0" w:color="auto"/>
            <w:left w:val="none" w:sz="0" w:space="0" w:color="auto"/>
            <w:bottom w:val="none" w:sz="0" w:space="0" w:color="auto"/>
            <w:right w:val="none" w:sz="0" w:space="0" w:color="auto"/>
          </w:divBdr>
        </w:div>
        <w:div w:id="1139808086">
          <w:marLeft w:val="0"/>
          <w:marRight w:val="0"/>
          <w:marTop w:val="0"/>
          <w:marBottom w:val="0"/>
          <w:divBdr>
            <w:top w:val="none" w:sz="0" w:space="0" w:color="auto"/>
            <w:left w:val="none" w:sz="0" w:space="0" w:color="auto"/>
            <w:bottom w:val="none" w:sz="0" w:space="0" w:color="auto"/>
            <w:right w:val="none" w:sz="0" w:space="0" w:color="auto"/>
          </w:divBdr>
        </w:div>
        <w:div w:id="1004282431">
          <w:marLeft w:val="0"/>
          <w:marRight w:val="0"/>
          <w:marTop w:val="0"/>
          <w:marBottom w:val="0"/>
          <w:divBdr>
            <w:top w:val="none" w:sz="0" w:space="0" w:color="auto"/>
            <w:left w:val="none" w:sz="0" w:space="0" w:color="auto"/>
            <w:bottom w:val="none" w:sz="0" w:space="0" w:color="auto"/>
            <w:right w:val="none" w:sz="0" w:space="0" w:color="auto"/>
          </w:divBdr>
        </w:div>
        <w:div w:id="1733043028">
          <w:marLeft w:val="0"/>
          <w:marRight w:val="0"/>
          <w:marTop w:val="0"/>
          <w:marBottom w:val="0"/>
          <w:divBdr>
            <w:top w:val="none" w:sz="0" w:space="0" w:color="auto"/>
            <w:left w:val="none" w:sz="0" w:space="0" w:color="auto"/>
            <w:bottom w:val="none" w:sz="0" w:space="0" w:color="auto"/>
            <w:right w:val="none" w:sz="0" w:space="0" w:color="auto"/>
          </w:divBdr>
        </w:div>
      </w:divsChild>
    </w:div>
    <w:div w:id="2081947899">
      <w:bodyDiv w:val="1"/>
      <w:marLeft w:val="0"/>
      <w:marRight w:val="0"/>
      <w:marTop w:val="0"/>
      <w:marBottom w:val="0"/>
      <w:divBdr>
        <w:top w:val="none" w:sz="0" w:space="0" w:color="auto"/>
        <w:left w:val="none" w:sz="0" w:space="0" w:color="auto"/>
        <w:bottom w:val="none" w:sz="0" w:space="0" w:color="auto"/>
        <w:right w:val="none" w:sz="0" w:space="0" w:color="auto"/>
      </w:divBdr>
    </w:div>
    <w:div w:id="212869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a.Zommere@lrpv.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318F1-0432-42DF-99BC-A82D3D14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558</Words>
  <Characters>3182</Characters>
  <Application>Microsoft Office Word</Application>
  <DocSecurity>0</DocSecurity>
  <Lines>26</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“Noteikumi par dizainparaugu reģistrācijas procedūras veidlapu un reģistrācijas apliecības paraugiem”</vt:lpstr>
      <vt:lpstr>Ministru kabineta noteikumu projekts “Noteikumi par dizainparaugu reģistrācijas procedūras veidlapu un reģistrācijas apliecības paraugiem”</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dizainparaugu reģistrācijas procedūras veidlapu un reģistrācijas apliecības paraugiem”</dc:title>
  <dc:subject>Ministru kabineta noteikumi</dc:subject>
  <dc:creator>Linda Zommere</dc:creator>
  <cp:keywords/>
  <dc:description>Linda Zommere
67220208, Linda.Zommere@lrpv.gov.lv</dc:description>
  <cp:lastModifiedBy>Linda Zommere</cp:lastModifiedBy>
  <cp:revision>14</cp:revision>
  <cp:lastPrinted>2015-09-18T10:53:00Z</cp:lastPrinted>
  <dcterms:created xsi:type="dcterms:W3CDTF">2015-07-09T11:05:00Z</dcterms:created>
  <dcterms:modified xsi:type="dcterms:W3CDTF">2015-12-09T12:54:00Z</dcterms:modified>
</cp:coreProperties>
</file>