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E3" w:rsidRPr="00C87DA2" w:rsidRDefault="007F70E3" w:rsidP="00B00D44">
      <w:pPr>
        <w:spacing w:after="120"/>
        <w:jc w:val="center"/>
        <w:rPr>
          <w:lang w:eastAsia="en-US"/>
        </w:rPr>
      </w:pPr>
      <w:r w:rsidRPr="00C87DA2">
        <w:rPr>
          <w:b/>
          <w:lang w:eastAsia="en-US"/>
        </w:rPr>
        <w:t xml:space="preserve">Ministru kabineta noteikumu projekta </w:t>
      </w:r>
      <w:bookmarkStart w:id="0" w:name="OLE_LINK1"/>
      <w:bookmarkStart w:id="1" w:name="OLE_LINK2"/>
      <w:r w:rsidRPr="00C87DA2">
        <w:rPr>
          <w:b/>
          <w:lang w:eastAsia="en-US"/>
        </w:rPr>
        <w:t>„</w:t>
      </w:r>
      <w:r w:rsidR="005E0FA0">
        <w:rPr>
          <w:b/>
          <w:lang w:eastAsia="en-US"/>
        </w:rPr>
        <w:t>Grozījums Ministru kabineta 2013.gada 4.jūnija noteikumos Nr.299 “Noteikumi par iepirkuma procedūru un tās piemērošanas kārtību pasūtītāja finansētiem projektiem”</w:t>
      </w:r>
      <w:bookmarkEnd w:id="0"/>
      <w:bookmarkEnd w:id="1"/>
      <w:r w:rsidR="005E0FA0">
        <w:rPr>
          <w:b/>
          <w:lang w:eastAsia="en-US"/>
        </w:rPr>
        <w:t xml:space="preserve">” </w:t>
      </w:r>
      <w:r w:rsidRPr="00C87DA2">
        <w:rPr>
          <w:b/>
          <w:lang w:eastAsia="en-US"/>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39"/>
        <w:gridCol w:w="2669"/>
        <w:gridCol w:w="160"/>
        <w:gridCol w:w="5992"/>
        <w:gridCol w:w="9"/>
      </w:tblGrid>
      <w:tr w:rsidR="007F70E3" w:rsidRPr="00C87DA2" w:rsidTr="00B00D44">
        <w:trPr>
          <w:gridAfter w:val="1"/>
          <w:wAfter w:w="5" w:type="pct"/>
        </w:trPr>
        <w:tc>
          <w:tcPr>
            <w:tcW w:w="4995" w:type="pct"/>
            <w:gridSpan w:val="5"/>
          </w:tcPr>
          <w:p w:rsidR="007F70E3" w:rsidRPr="00C87DA2" w:rsidRDefault="007F70E3" w:rsidP="00A5498F">
            <w:pPr>
              <w:jc w:val="center"/>
            </w:pPr>
            <w:r w:rsidRPr="00C87DA2">
              <w:rPr>
                <w:b/>
                <w:bCs/>
              </w:rPr>
              <w:t>I. Tiesību akta projekta izstrādes nepieciešamība</w:t>
            </w:r>
          </w:p>
        </w:tc>
      </w:tr>
      <w:tr w:rsidR="007F70E3" w:rsidRPr="00C87DA2" w:rsidTr="00B00D44">
        <w:trPr>
          <w:gridAfter w:val="1"/>
          <w:wAfter w:w="5" w:type="pct"/>
        </w:trPr>
        <w:tc>
          <w:tcPr>
            <w:tcW w:w="225" w:type="pct"/>
          </w:tcPr>
          <w:p w:rsidR="007F70E3" w:rsidRPr="00C87DA2" w:rsidRDefault="007F70E3" w:rsidP="00A5498F">
            <w:pPr>
              <w:ind w:firstLine="19"/>
              <w:jc w:val="both"/>
            </w:pPr>
            <w:r w:rsidRPr="00C87DA2">
              <w:t>1.</w:t>
            </w:r>
          </w:p>
        </w:tc>
        <w:tc>
          <w:tcPr>
            <w:tcW w:w="1458" w:type="pct"/>
            <w:gridSpan w:val="2"/>
          </w:tcPr>
          <w:p w:rsidR="007F70E3" w:rsidRPr="00C87DA2" w:rsidRDefault="007F70E3" w:rsidP="00A5498F">
            <w:r w:rsidRPr="00C87DA2">
              <w:t>Pamatojums</w:t>
            </w:r>
          </w:p>
        </w:tc>
        <w:tc>
          <w:tcPr>
            <w:tcW w:w="3311" w:type="pct"/>
            <w:gridSpan w:val="2"/>
          </w:tcPr>
          <w:p w:rsidR="007F70E3" w:rsidRPr="00C87DA2" w:rsidRDefault="005E0FA0" w:rsidP="00A5498F">
            <w:pPr>
              <w:jc w:val="both"/>
            </w:pPr>
            <w:r>
              <w:rPr>
                <w:lang w:eastAsia="en-US"/>
              </w:rPr>
              <w:t>Ministru prezident</w:t>
            </w:r>
            <w:r w:rsidR="006376A0">
              <w:rPr>
                <w:lang w:eastAsia="en-US"/>
              </w:rPr>
              <w:t>a</w:t>
            </w:r>
            <w:r>
              <w:rPr>
                <w:lang w:eastAsia="en-US"/>
              </w:rPr>
              <w:t xml:space="preserve"> 2015.gada 9.janvāra rezolūcija Nr.1.1.1/3, ar kuru tika uzdots izvērtēt iespēju mazināt administratīvo slogu Eiropas Savienības fondu 2014.</w:t>
            </w:r>
            <w:r w:rsidR="006376A0">
              <w:rPr>
                <w:lang w:eastAsia="en-US"/>
              </w:rPr>
              <w:t>–</w:t>
            </w:r>
            <w:r>
              <w:rPr>
                <w:lang w:eastAsia="en-US"/>
              </w:rPr>
              <w:t>2020.gada plānošanas perioda finansējuma saņēmējiem, kuriem ir pienākums veikt iepirkuma procedūru atbilstoši Ministru kabineta 2013.gada 4.jūnija noteikumiem Nr.299 “Noteikumi par iepirkuma procedūru un tās piemērošanas kārtību pasūtītāja finansētiem projektiem” (turpmāk – MK noteikumi Nr.299).</w:t>
            </w:r>
          </w:p>
        </w:tc>
      </w:tr>
      <w:tr w:rsidR="007F70E3" w:rsidRPr="00C87DA2" w:rsidTr="00A5498F">
        <w:trPr>
          <w:gridAfter w:val="1"/>
          <w:wAfter w:w="5" w:type="pct"/>
          <w:trHeight w:val="7034"/>
        </w:trPr>
        <w:tc>
          <w:tcPr>
            <w:tcW w:w="225" w:type="pct"/>
          </w:tcPr>
          <w:p w:rsidR="00306658" w:rsidRPr="00C87DA2" w:rsidRDefault="007F70E3" w:rsidP="00A5498F">
            <w:pPr>
              <w:ind w:firstLine="19"/>
              <w:jc w:val="both"/>
            </w:pPr>
            <w:r w:rsidRPr="00C87DA2">
              <w:t>2.</w:t>
            </w:r>
          </w:p>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306658" w:rsidRPr="00C87DA2" w:rsidRDefault="00306658" w:rsidP="00A5498F"/>
          <w:p w:rsidR="007F70E3" w:rsidRPr="00C87DA2" w:rsidRDefault="007F70E3" w:rsidP="00A5498F"/>
        </w:tc>
        <w:tc>
          <w:tcPr>
            <w:tcW w:w="1458" w:type="pct"/>
            <w:gridSpan w:val="2"/>
          </w:tcPr>
          <w:p w:rsidR="00E50236" w:rsidRPr="00C87DA2" w:rsidRDefault="007F70E3" w:rsidP="00A5498F">
            <w:r w:rsidRPr="00C87DA2">
              <w:t>Pašreizējā situācija un problēmas, kuru risināšanai tiesību akta projekts izstrādāts, tiesiskā regulējuma mērķis un būtība</w:t>
            </w:r>
          </w:p>
          <w:p w:rsidR="00E50236" w:rsidRPr="00C87DA2" w:rsidRDefault="00E50236" w:rsidP="00A5498F"/>
          <w:p w:rsidR="00E50236" w:rsidRPr="00C87DA2" w:rsidRDefault="00E50236" w:rsidP="00A5498F"/>
          <w:p w:rsidR="00E50236" w:rsidRPr="00C87DA2" w:rsidRDefault="00E50236" w:rsidP="00A5498F"/>
          <w:p w:rsidR="00E50236" w:rsidRPr="00C87DA2" w:rsidRDefault="00E50236" w:rsidP="00A5498F"/>
          <w:p w:rsidR="00E50236" w:rsidRPr="00C87DA2" w:rsidRDefault="00E50236" w:rsidP="00A5498F"/>
          <w:p w:rsidR="00E50236" w:rsidRPr="00C87DA2" w:rsidRDefault="00E50236" w:rsidP="00A5498F"/>
          <w:p w:rsidR="00E50236" w:rsidRPr="00C87DA2" w:rsidRDefault="00E50236" w:rsidP="00A5498F"/>
          <w:p w:rsidR="00E50236" w:rsidRPr="00C87DA2" w:rsidRDefault="00E50236" w:rsidP="00A5498F"/>
          <w:p w:rsidR="007F70E3" w:rsidRPr="00C87DA2" w:rsidRDefault="007F70E3" w:rsidP="00A5498F">
            <w:pPr>
              <w:ind w:firstLine="720"/>
            </w:pPr>
          </w:p>
        </w:tc>
        <w:tc>
          <w:tcPr>
            <w:tcW w:w="3311" w:type="pct"/>
            <w:gridSpan w:val="2"/>
          </w:tcPr>
          <w:p w:rsidR="00EE3949" w:rsidRPr="002B0537" w:rsidRDefault="00EE3949" w:rsidP="00A5498F">
            <w:pPr>
              <w:suppressAutoHyphens/>
              <w:jc w:val="both"/>
              <w:rPr>
                <w:rFonts w:eastAsiaTheme="minorHAnsi"/>
              </w:rPr>
            </w:pPr>
            <w:r w:rsidRPr="002B0537">
              <w:rPr>
                <w:rFonts w:eastAsia="Lucida Sans Unicode"/>
                <w:kern w:val="1"/>
                <w:lang w:eastAsia="ar-SA"/>
              </w:rPr>
              <w:t>MK noteikumu Nr.299 13.punkts nosaka, ka finansējuma saņēmējs un piegādātājs atrodas interešu konfliktā, ja finansējuma saņēmējs, tā dalībnieks (akcionārs), biedrs, padomes vai valdes loceklis, jebkuras minētās personas radinieks līdz otrajai radniecības pakāpei, laulātais vai svainis līdz pirmajai svainības pakāpei vai finansējuma saņēmēja prokūrists vai komercpilnvarnieks ir:</w:t>
            </w:r>
          </w:p>
          <w:p w:rsidR="00EE3949" w:rsidRPr="002B0537" w:rsidRDefault="00EE3949" w:rsidP="00A5498F">
            <w:pPr>
              <w:pStyle w:val="Sarakstarindkopa"/>
              <w:numPr>
                <w:ilvl w:val="0"/>
                <w:numId w:val="10"/>
              </w:numPr>
              <w:suppressAutoHyphens/>
              <w:contextualSpacing/>
              <w:jc w:val="both"/>
              <w:rPr>
                <w:rFonts w:ascii="Times New Roman" w:eastAsiaTheme="minorHAnsi" w:hAnsi="Times New Roman"/>
                <w:sz w:val="24"/>
                <w:szCs w:val="24"/>
              </w:rPr>
            </w:pPr>
            <w:r w:rsidRPr="002B0537">
              <w:rPr>
                <w:rFonts w:ascii="Times New Roman" w:eastAsiaTheme="minorHAnsi" w:hAnsi="Times New Roman"/>
                <w:sz w:val="24"/>
                <w:szCs w:val="24"/>
              </w:rPr>
              <w:t>piegādātājs vai piegādātāja apakšuzņēmējs;</w:t>
            </w:r>
          </w:p>
          <w:p w:rsidR="00EE3949" w:rsidRPr="002B0537" w:rsidRDefault="00EE3949" w:rsidP="00A5498F">
            <w:pPr>
              <w:pStyle w:val="Sarakstarindkopa"/>
              <w:numPr>
                <w:ilvl w:val="0"/>
                <w:numId w:val="10"/>
              </w:numPr>
              <w:suppressAutoHyphens/>
              <w:contextualSpacing/>
              <w:jc w:val="both"/>
              <w:rPr>
                <w:rFonts w:ascii="Times New Roman" w:eastAsiaTheme="minorHAnsi" w:hAnsi="Times New Roman"/>
                <w:sz w:val="24"/>
                <w:szCs w:val="24"/>
              </w:rPr>
            </w:pPr>
            <w:r w:rsidRPr="002B0537">
              <w:rPr>
                <w:rFonts w:ascii="Times New Roman" w:eastAsiaTheme="minorHAnsi" w:hAnsi="Times New Roman"/>
                <w:sz w:val="24"/>
                <w:szCs w:val="24"/>
              </w:rPr>
              <w:t>piegādātāja vai tā apakšuzņēmēja dalībnieks (akcionārs), biedrs, padomes vai valdes loceklis, prokūrists vai komercpilnvarnieks.</w:t>
            </w:r>
          </w:p>
          <w:p w:rsidR="00DF0976" w:rsidRPr="002B0537" w:rsidRDefault="00EE3949" w:rsidP="00A5498F">
            <w:pPr>
              <w:jc w:val="both"/>
            </w:pPr>
            <w:r w:rsidRPr="002B0537">
              <w:t xml:space="preserve">Vienlaikus MK noteikumu Nr.299 14.punktā ir ietverti atsevišķi izņēmumi </w:t>
            </w:r>
            <w:r w:rsidR="006376A0">
              <w:t xml:space="preserve">no </w:t>
            </w:r>
            <w:r w:rsidRPr="002B0537">
              <w:t xml:space="preserve">interešu konflikta, </w:t>
            </w:r>
            <w:r w:rsidR="006376A0">
              <w:t>piemēram</w:t>
            </w:r>
            <w:r w:rsidRPr="002B0537">
              <w:t>, ka finansējuma saņēmējs un piegādātājs neatrodas interešu konfliktā, ja finansējuma saņēmēja biedru skaits ir vismaz 10, ja finansējuma saņēmējs ir kooperatīvā sabiedrība vai biedrība.</w:t>
            </w:r>
          </w:p>
          <w:p w:rsidR="00EE3949" w:rsidRPr="002B0537" w:rsidRDefault="00EE3949" w:rsidP="00A5498F">
            <w:pPr>
              <w:jc w:val="both"/>
            </w:pPr>
            <w:r w:rsidRPr="002B0537">
              <w:t>MK noteikum</w:t>
            </w:r>
            <w:r w:rsidR="001C6C8E">
              <w:t xml:space="preserve">os </w:t>
            </w:r>
            <w:r w:rsidRPr="002B0537">
              <w:t xml:space="preserve">Nr.299 </w:t>
            </w:r>
            <w:r w:rsidR="001C6C8E">
              <w:t>būtu nepieciešams paredzēt, ka</w:t>
            </w:r>
            <w:r w:rsidR="001C6C8E" w:rsidRPr="002B0537">
              <w:t xml:space="preserve"> </w:t>
            </w:r>
            <w:r w:rsidR="001C6C8E">
              <w:t xml:space="preserve">par interešu konfliktu netiek uzskatīts arī gadījums, kad </w:t>
            </w:r>
            <w:r w:rsidRPr="002B0537">
              <w:t xml:space="preserve">piegādes, pakalpojuma vai būvdarbu līgums tiek slēgts </w:t>
            </w:r>
            <w:r w:rsidR="00210275">
              <w:t>starp</w:t>
            </w:r>
            <w:r w:rsidR="00210275" w:rsidRPr="002B0537">
              <w:t xml:space="preserve"> </w:t>
            </w:r>
            <w:r w:rsidRPr="002B0537">
              <w:t>kooperatīvo sabiedrību vai biedrību</w:t>
            </w:r>
            <w:r w:rsidR="00210275">
              <w:t xml:space="preserve"> un tās biedru</w:t>
            </w:r>
            <w:r w:rsidRPr="002B0537">
              <w:t xml:space="preserve">, </w:t>
            </w:r>
            <w:r w:rsidR="002B0537" w:rsidRPr="002B0537">
              <w:t>padomes</w:t>
            </w:r>
            <w:r w:rsidR="00210275">
              <w:t xml:space="preserve"> vai </w:t>
            </w:r>
            <w:r w:rsidR="002B0537" w:rsidRPr="002B0537">
              <w:t>valdes locekli</w:t>
            </w:r>
            <w:r w:rsidR="006376A0">
              <w:t>, jo</w:t>
            </w:r>
            <w:r w:rsidR="001C6C8E">
              <w:t xml:space="preserve"> </w:t>
            </w:r>
            <w:r w:rsidR="002B0537" w:rsidRPr="00023A78">
              <w:t>Kooperatīvo sabiedrību li</w:t>
            </w:r>
            <w:r w:rsidR="00E36E0B" w:rsidRPr="00023A78">
              <w:t>kuma 21.pant</w:t>
            </w:r>
            <w:r w:rsidR="00023A78" w:rsidRPr="00023A78">
              <w:t xml:space="preserve">a </w:t>
            </w:r>
            <w:r w:rsidR="006376A0">
              <w:t xml:space="preserve">otrajā </w:t>
            </w:r>
            <w:r w:rsidR="00023A78" w:rsidRPr="00023A78">
              <w:t>daļ</w:t>
            </w:r>
            <w:r w:rsidR="001C6C8E">
              <w:t>a</w:t>
            </w:r>
            <w:r w:rsidR="00E36E0B" w:rsidRPr="00023A78">
              <w:t xml:space="preserve"> </w:t>
            </w:r>
            <w:r w:rsidR="001C6C8E">
              <w:t>no</w:t>
            </w:r>
            <w:r w:rsidR="006376A0">
              <w:t>teikts</w:t>
            </w:r>
            <w:r w:rsidR="00023A78" w:rsidRPr="00023A78">
              <w:t>, ka kooperatīvā sabiedrība savos statūtos var iekļaut biedra pienākumu izmantot pirmām kārtām</w:t>
            </w:r>
            <w:r w:rsidR="00023A78" w:rsidRPr="00023A78">
              <w:rPr>
                <w:rFonts w:ascii="Arial" w:hAnsi="Arial" w:cs="Arial"/>
              </w:rPr>
              <w:t xml:space="preserve"> </w:t>
            </w:r>
            <w:r w:rsidR="00023A78" w:rsidRPr="00023A78">
              <w:t>kooperatīvās sabiedrības biedriem sniedzamos pakalpojumus.</w:t>
            </w:r>
          </w:p>
        </w:tc>
      </w:tr>
      <w:tr w:rsidR="007F70E3" w:rsidRPr="00C87DA2" w:rsidTr="00B00D44">
        <w:trPr>
          <w:gridAfter w:val="1"/>
          <w:wAfter w:w="5" w:type="pct"/>
        </w:trPr>
        <w:tc>
          <w:tcPr>
            <w:tcW w:w="225" w:type="pct"/>
            <w:tcBorders>
              <w:bottom w:val="single" w:sz="4" w:space="0" w:color="auto"/>
            </w:tcBorders>
          </w:tcPr>
          <w:p w:rsidR="007F70E3" w:rsidRPr="00C87DA2" w:rsidRDefault="007F70E3" w:rsidP="00A5498F">
            <w:pPr>
              <w:ind w:firstLine="19"/>
              <w:jc w:val="both"/>
            </w:pPr>
            <w:r w:rsidRPr="00C87DA2">
              <w:t>3.</w:t>
            </w:r>
          </w:p>
        </w:tc>
        <w:tc>
          <w:tcPr>
            <w:tcW w:w="1458" w:type="pct"/>
            <w:gridSpan w:val="2"/>
            <w:tcBorders>
              <w:bottom w:val="single" w:sz="4" w:space="0" w:color="auto"/>
            </w:tcBorders>
          </w:tcPr>
          <w:p w:rsidR="007F70E3" w:rsidRPr="00C87DA2" w:rsidRDefault="007F70E3" w:rsidP="00A5498F">
            <w:r w:rsidRPr="00C87DA2">
              <w:t>Projekta izstrādē iesaistītās institūcijas</w:t>
            </w:r>
          </w:p>
        </w:tc>
        <w:tc>
          <w:tcPr>
            <w:tcW w:w="3311" w:type="pct"/>
            <w:gridSpan w:val="2"/>
            <w:tcBorders>
              <w:bottom w:val="single" w:sz="4" w:space="0" w:color="auto"/>
            </w:tcBorders>
          </w:tcPr>
          <w:p w:rsidR="007F70E3" w:rsidRPr="00C87DA2" w:rsidRDefault="005E0FA0" w:rsidP="00A5498F">
            <w:pPr>
              <w:jc w:val="both"/>
              <w:rPr>
                <w:lang w:eastAsia="en-US"/>
              </w:rPr>
            </w:pPr>
            <w:r>
              <w:rPr>
                <w:lang w:eastAsia="en-US"/>
              </w:rPr>
              <w:t>Zemkopības ministrija, Finanšu ministrija</w:t>
            </w:r>
            <w:r w:rsidR="006376A0">
              <w:rPr>
                <w:lang w:eastAsia="en-US"/>
              </w:rPr>
              <w:t xml:space="preserve"> un</w:t>
            </w:r>
            <w:r>
              <w:rPr>
                <w:lang w:eastAsia="en-US"/>
              </w:rPr>
              <w:t xml:space="preserve"> Lauksaimniecības kooperatīvu asociācija</w:t>
            </w:r>
          </w:p>
        </w:tc>
      </w:tr>
      <w:tr w:rsidR="007F70E3" w:rsidRPr="00C87DA2" w:rsidTr="00B00D44">
        <w:trPr>
          <w:gridAfter w:val="1"/>
          <w:wAfter w:w="5" w:type="pct"/>
          <w:trHeight w:val="281"/>
        </w:trPr>
        <w:tc>
          <w:tcPr>
            <w:tcW w:w="225" w:type="pct"/>
            <w:tcBorders>
              <w:bottom w:val="single" w:sz="4" w:space="0" w:color="auto"/>
            </w:tcBorders>
          </w:tcPr>
          <w:p w:rsidR="007F70E3" w:rsidRPr="00C87DA2" w:rsidRDefault="007F70E3" w:rsidP="00A5498F">
            <w:pPr>
              <w:ind w:firstLine="19"/>
              <w:jc w:val="both"/>
            </w:pPr>
            <w:r w:rsidRPr="00C87DA2">
              <w:t>4.</w:t>
            </w:r>
          </w:p>
        </w:tc>
        <w:tc>
          <w:tcPr>
            <w:tcW w:w="1458" w:type="pct"/>
            <w:gridSpan w:val="2"/>
            <w:tcBorders>
              <w:bottom w:val="single" w:sz="4" w:space="0" w:color="auto"/>
            </w:tcBorders>
          </w:tcPr>
          <w:p w:rsidR="007F70E3" w:rsidRPr="00C87DA2" w:rsidRDefault="007F70E3" w:rsidP="00A5498F">
            <w:r w:rsidRPr="00C87DA2">
              <w:t>Cita informācija</w:t>
            </w:r>
          </w:p>
        </w:tc>
        <w:tc>
          <w:tcPr>
            <w:tcW w:w="3311" w:type="pct"/>
            <w:gridSpan w:val="2"/>
            <w:tcBorders>
              <w:bottom w:val="single" w:sz="4" w:space="0" w:color="auto"/>
            </w:tcBorders>
          </w:tcPr>
          <w:p w:rsidR="007F70E3" w:rsidRPr="00C87DA2" w:rsidRDefault="007F70E3" w:rsidP="00A5498F">
            <w:pPr>
              <w:jc w:val="both"/>
            </w:pPr>
            <w:r w:rsidRPr="00C87DA2">
              <w:t>Nav</w:t>
            </w:r>
          </w:p>
        </w:tc>
      </w:tr>
      <w:tr w:rsidR="00B00D44" w:rsidRPr="00C87DA2" w:rsidTr="00B00D44">
        <w:trPr>
          <w:gridAfter w:val="1"/>
          <w:wAfter w:w="5" w:type="pct"/>
          <w:trHeight w:val="281"/>
        </w:trPr>
        <w:tc>
          <w:tcPr>
            <w:tcW w:w="4995" w:type="pct"/>
            <w:gridSpan w:val="5"/>
            <w:tcBorders>
              <w:top w:val="single" w:sz="4" w:space="0" w:color="auto"/>
              <w:left w:val="nil"/>
              <w:bottom w:val="nil"/>
              <w:right w:val="nil"/>
            </w:tcBorders>
          </w:tcPr>
          <w:p w:rsidR="00A5498F" w:rsidRDefault="00A5498F" w:rsidP="00A90E49">
            <w:pPr>
              <w:jc w:val="both"/>
            </w:pPr>
          </w:p>
          <w:p w:rsidR="00A5498F" w:rsidRPr="00C87DA2" w:rsidRDefault="00A5498F" w:rsidP="00A90E49">
            <w:pPr>
              <w:jc w:val="both"/>
            </w:pPr>
          </w:p>
        </w:tc>
      </w:tr>
      <w:tr w:rsidR="007F70E3" w:rsidRPr="00C87DA2" w:rsidTr="00B00D44">
        <w:trPr>
          <w:trHeight w:val="555"/>
        </w:trPr>
        <w:tc>
          <w:tcPr>
            <w:tcW w:w="5000" w:type="pct"/>
            <w:gridSpan w:val="6"/>
          </w:tcPr>
          <w:p w:rsidR="007F70E3" w:rsidRPr="00C87DA2" w:rsidRDefault="007F70E3" w:rsidP="00A5498F">
            <w:pPr>
              <w:jc w:val="center"/>
              <w:rPr>
                <w:b/>
                <w:bCs/>
              </w:rPr>
            </w:pPr>
            <w:r w:rsidRPr="00C87DA2">
              <w:rPr>
                <w:b/>
                <w:bCs/>
              </w:rPr>
              <w:t>II. Tiesību akta projekta ietekme uz sabiedrību, tautsaimniecības attīstību un administratīvo slogu</w:t>
            </w:r>
          </w:p>
        </w:tc>
      </w:tr>
      <w:tr w:rsidR="007F70E3" w:rsidRPr="00C87DA2" w:rsidTr="00A5498F">
        <w:trPr>
          <w:trHeight w:val="989"/>
        </w:trPr>
        <w:tc>
          <w:tcPr>
            <w:tcW w:w="246" w:type="pct"/>
            <w:gridSpan w:val="2"/>
          </w:tcPr>
          <w:p w:rsidR="007F70E3" w:rsidRPr="00C87DA2" w:rsidRDefault="007F70E3" w:rsidP="00A5498F">
            <w:r w:rsidRPr="00C87DA2">
              <w:t>1.</w:t>
            </w:r>
          </w:p>
        </w:tc>
        <w:tc>
          <w:tcPr>
            <w:tcW w:w="1523" w:type="pct"/>
            <w:gridSpan w:val="2"/>
          </w:tcPr>
          <w:p w:rsidR="007F70E3" w:rsidRPr="00C87DA2" w:rsidRDefault="007F70E3" w:rsidP="00A5498F">
            <w:r w:rsidRPr="00C87DA2">
              <w:t>Sabiedrības mērķgrupas, kuras tiesiskais regulējums ietekmē vai varētu ietekmēt</w:t>
            </w:r>
          </w:p>
        </w:tc>
        <w:tc>
          <w:tcPr>
            <w:tcW w:w="3231" w:type="pct"/>
            <w:gridSpan w:val="2"/>
          </w:tcPr>
          <w:p w:rsidR="007F70E3" w:rsidRPr="00C87DA2" w:rsidRDefault="00023A78" w:rsidP="00A5498F">
            <w:pPr>
              <w:jc w:val="both"/>
            </w:pPr>
            <w:r>
              <w:t>Biedrību un kooperatīvo sabiedrību biedri</w:t>
            </w:r>
          </w:p>
        </w:tc>
      </w:tr>
      <w:tr w:rsidR="007F70E3" w:rsidRPr="00C87DA2" w:rsidTr="00B00D44">
        <w:trPr>
          <w:trHeight w:val="510"/>
        </w:trPr>
        <w:tc>
          <w:tcPr>
            <w:tcW w:w="246" w:type="pct"/>
            <w:gridSpan w:val="2"/>
          </w:tcPr>
          <w:p w:rsidR="007F70E3" w:rsidRPr="00C87DA2" w:rsidRDefault="007F70E3" w:rsidP="00A5498F">
            <w:r w:rsidRPr="00C87DA2">
              <w:lastRenderedPageBreak/>
              <w:t>2.</w:t>
            </w:r>
          </w:p>
        </w:tc>
        <w:tc>
          <w:tcPr>
            <w:tcW w:w="1523" w:type="pct"/>
            <w:gridSpan w:val="2"/>
          </w:tcPr>
          <w:p w:rsidR="007F70E3" w:rsidRPr="00C87DA2" w:rsidRDefault="007F70E3" w:rsidP="00A5498F">
            <w:r w:rsidRPr="00C87DA2">
              <w:t>Tiesiskā regulējuma ietekme uz tautsaimniecību un administratīvo slogu</w:t>
            </w:r>
          </w:p>
        </w:tc>
        <w:tc>
          <w:tcPr>
            <w:tcW w:w="3231" w:type="pct"/>
            <w:gridSpan w:val="2"/>
          </w:tcPr>
          <w:p w:rsidR="00BE0938" w:rsidRPr="00C87DA2" w:rsidRDefault="005E0FA0" w:rsidP="00A5498F">
            <w:pPr>
              <w:jc w:val="both"/>
            </w:pPr>
            <w:r>
              <w:rPr>
                <w:lang w:eastAsia="en-US"/>
              </w:rPr>
              <w:t xml:space="preserve">MK noteikumos Nr.299 </w:t>
            </w:r>
            <w:r w:rsidR="006376A0">
              <w:rPr>
                <w:lang w:eastAsia="en-US"/>
              </w:rPr>
              <w:t>izdarītais</w:t>
            </w:r>
            <w:r>
              <w:rPr>
                <w:lang w:eastAsia="en-US"/>
              </w:rPr>
              <w:t xml:space="preserve"> </w:t>
            </w:r>
            <w:r w:rsidR="006376A0">
              <w:rPr>
                <w:lang w:eastAsia="en-US"/>
              </w:rPr>
              <w:t>grozījums</w:t>
            </w:r>
            <w:r>
              <w:rPr>
                <w:lang w:eastAsia="en-US"/>
              </w:rPr>
              <w:t xml:space="preserve"> ļaus samazināt administratīvo slogu kooperatīvo sabiedrību biedriem, </w:t>
            </w:r>
            <w:r w:rsidR="006376A0">
              <w:rPr>
                <w:lang w:eastAsia="en-US"/>
              </w:rPr>
              <w:t>jo tie</w:t>
            </w:r>
            <w:r>
              <w:rPr>
                <w:lang w:eastAsia="en-US"/>
              </w:rPr>
              <w:t xml:space="preserve"> turpmāk netiks pakļauti nesamērīgiem līguma slēgš</w:t>
            </w:r>
            <w:r w:rsidR="00023A78">
              <w:rPr>
                <w:lang w:eastAsia="en-US"/>
              </w:rPr>
              <w:t>anas ierobežojumiem.</w:t>
            </w:r>
          </w:p>
        </w:tc>
      </w:tr>
      <w:tr w:rsidR="007F70E3" w:rsidRPr="00C87DA2" w:rsidTr="00B00D44">
        <w:trPr>
          <w:trHeight w:val="510"/>
        </w:trPr>
        <w:tc>
          <w:tcPr>
            <w:tcW w:w="246" w:type="pct"/>
            <w:gridSpan w:val="2"/>
          </w:tcPr>
          <w:p w:rsidR="007F70E3" w:rsidRPr="00C87DA2" w:rsidRDefault="007F70E3" w:rsidP="00A5498F">
            <w:r w:rsidRPr="00C87DA2">
              <w:t>3.</w:t>
            </w:r>
          </w:p>
        </w:tc>
        <w:tc>
          <w:tcPr>
            <w:tcW w:w="1523" w:type="pct"/>
            <w:gridSpan w:val="2"/>
          </w:tcPr>
          <w:p w:rsidR="007F70E3" w:rsidRPr="00C87DA2" w:rsidRDefault="007F70E3" w:rsidP="00A5498F">
            <w:r w:rsidRPr="00C87DA2">
              <w:t>Administratīvo izmaksu monetārs novērtējums</w:t>
            </w:r>
          </w:p>
        </w:tc>
        <w:tc>
          <w:tcPr>
            <w:tcW w:w="3231" w:type="pct"/>
            <w:gridSpan w:val="2"/>
          </w:tcPr>
          <w:p w:rsidR="007F70E3" w:rsidRPr="00C87DA2" w:rsidRDefault="005E0FA0" w:rsidP="00A5498F">
            <w:pPr>
              <w:jc w:val="both"/>
              <w:rPr>
                <w:lang w:eastAsia="en-US"/>
              </w:rPr>
            </w:pPr>
            <w:bookmarkStart w:id="2" w:name="p-468669"/>
            <w:bookmarkStart w:id="3" w:name="p24"/>
            <w:bookmarkEnd w:id="2"/>
            <w:bookmarkEnd w:id="3"/>
            <w:r>
              <w:rPr>
                <w:lang w:eastAsia="en-US"/>
              </w:rPr>
              <w:t>P</w:t>
            </w:r>
            <w:r w:rsidR="00116422" w:rsidRPr="00C87DA2">
              <w:rPr>
                <w:lang w:eastAsia="en-US"/>
              </w:rPr>
              <w:t>apildu administratīvais slogs</w:t>
            </w:r>
            <w:r>
              <w:rPr>
                <w:lang w:eastAsia="en-US"/>
              </w:rPr>
              <w:t xml:space="preserve"> netiks uzlikts</w:t>
            </w:r>
            <w:r w:rsidR="006376A0">
              <w:rPr>
                <w:lang w:eastAsia="en-US"/>
              </w:rPr>
              <w:t>,</w:t>
            </w:r>
            <w:r>
              <w:rPr>
                <w:lang w:eastAsia="en-US"/>
              </w:rPr>
              <w:t xml:space="preserve"> un administratīvās izmaksas </w:t>
            </w:r>
            <w:r w:rsidR="00116422" w:rsidRPr="00C87DA2">
              <w:rPr>
                <w:lang w:eastAsia="en-US"/>
              </w:rPr>
              <w:t>neradīsies</w:t>
            </w:r>
            <w:r>
              <w:rPr>
                <w:lang w:eastAsia="en-US"/>
              </w:rPr>
              <w:t xml:space="preserve">. </w:t>
            </w:r>
          </w:p>
        </w:tc>
      </w:tr>
      <w:tr w:rsidR="007F70E3" w:rsidRPr="00C87DA2" w:rsidTr="00A5498F">
        <w:trPr>
          <w:trHeight w:val="177"/>
        </w:trPr>
        <w:tc>
          <w:tcPr>
            <w:tcW w:w="246" w:type="pct"/>
            <w:gridSpan w:val="2"/>
          </w:tcPr>
          <w:p w:rsidR="007F70E3" w:rsidRPr="00C87DA2" w:rsidRDefault="007F70E3" w:rsidP="00A5498F">
            <w:r w:rsidRPr="00C87DA2">
              <w:t>4.</w:t>
            </w:r>
          </w:p>
        </w:tc>
        <w:tc>
          <w:tcPr>
            <w:tcW w:w="1523" w:type="pct"/>
            <w:gridSpan w:val="2"/>
          </w:tcPr>
          <w:p w:rsidR="007F70E3" w:rsidRPr="00C87DA2" w:rsidRDefault="007F70E3" w:rsidP="00A5498F">
            <w:r w:rsidRPr="00C87DA2">
              <w:t>Cita informācija</w:t>
            </w:r>
          </w:p>
        </w:tc>
        <w:tc>
          <w:tcPr>
            <w:tcW w:w="3231" w:type="pct"/>
            <w:gridSpan w:val="2"/>
          </w:tcPr>
          <w:p w:rsidR="007F70E3" w:rsidRPr="00C87DA2" w:rsidRDefault="007F70E3" w:rsidP="00A5498F">
            <w:r w:rsidRPr="00C87DA2">
              <w:t>Nav.</w:t>
            </w:r>
          </w:p>
        </w:tc>
      </w:tr>
    </w:tbl>
    <w:p w:rsidR="007F70E3" w:rsidRPr="00C87DA2" w:rsidRDefault="007F70E3" w:rsidP="006B42E1">
      <w:pPr>
        <w:ind w:firstLine="300"/>
        <w:rPr>
          <w:sz w:val="16"/>
          <w:szCs w:val="16"/>
        </w:rPr>
      </w:pPr>
      <w:r w:rsidRPr="00C87DA2">
        <w:rPr>
          <w:sz w:val="16"/>
          <w:szCs w:val="16"/>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0"/>
        <w:gridCol w:w="1927"/>
        <w:gridCol w:w="6902"/>
      </w:tblGrid>
      <w:tr w:rsidR="001C1869" w:rsidRPr="00C87DA2" w:rsidTr="00A5498F">
        <w:trPr>
          <w:trHeight w:val="2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C1869" w:rsidRPr="00C87DA2" w:rsidRDefault="001C1869" w:rsidP="00A258EF">
            <w:pPr>
              <w:jc w:val="center"/>
              <w:rPr>
                <w:b/>
                <w:bCs/>
              </w:rPr>
            </w:pPr>
            <w:r w:rsidRPr="00C87DA2">
              <w:rPr>
                <w:b/>
                <w:bCs/>
              </w:rPr>
              <w:t>VI. Sabiedrības līdzdalība un komunikācijas aktivitātes</w:t>
            </w:r>
          </w:p>
        </w:tc>
      </w:tr>
      <w:tr w:rsidR="001C1869" w:rsidRPr="00C87DA2" w:rsidTr="00A5498F">
        <w:trPr>
          <w:trHeight w:val="1572"/>
          <w:jc w:val="center"/>
        </w:trPr>
        <w:tc>
          <w:tcPr>
            <w:tcW w:w="25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1.</w:t>
            </w:r>
          </w:p>
        </w:tc>
        <w:tc>
          <w:tcPr>
            <w:tcW w:w="1036"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Plānotās sabiedrības līdzdalības un komunikācijas aktivitātes saistībā ar projektu</w:t>
            </w:r>
          </w:p>
        </w:tc>
        <w:tc>
          <w:tcPr>
            <w:tcW w:w="3711" w:type="pct"/>
            <w:tcBorders>
              <w:top w:val="outset" w:sz="6" w:space="0" w:color="414142"/>
              <w:left w:val="outset" w:sz="6" w:space="0" w:color="414142"/>
              <w:bottom w:val="outset" w:sz="6" w:space="0" w:color="414142"/>
              <w:right w:val="outset" w:sz="6" w:space="0" w:color="414142"/>
            </w:tcBorders>
            <w:hideMark/>
          </w:tcPr>
          <w:p w:rsidR="001C1869" w:rsidRPr="00C87DA2" w:rsidRDefault="005E0FA0" w:rsidP="005E0FA0">
            <w:pPr>
              <w:jc w:val="both"/>
            </w:pPr>
            <w:r>
              <w:t>Ierosināt</w:t>
            </w:r>
            <w:r w:rsidR="006376A0">
              <w:t>ais</w:t>
            </w:r>
            <w:r>
              <w:t xml:space="preserve"> grozījum</w:t>
            </w:r>
            <w:r w:rsidR="006376A0">
              <w:t>s</w:t>
            </w:r>
            <w:r>
              <w:t xml:space="preserve"> ir apspriesti ar Latvijas Lauksaimniecības kooperatīvu asociāciju, kuras biedri ir noteikumos ietvertā regulējuma mērķgrupa.  </w:t>
            </w:r>
          </w:p>
        </w:tc>
      </w:tr>
      <w:tr w:rsidR="001C1869" w:rsidRPr="00C87DA2" w:rsidTr="00A5498F">
        <w:trPr>
          <w:trHeight w:val="690"/>
          <w:jc w:val="center"/>
        </w:trPr>
        <w:tc>
          <w:tcPr>
            <w:tcW w:w="25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2.</w:t>
            </w:r>
          </w:p>
        </w:tc>
        <w:tc>
          <w:tcPr>
            <w:tcW w:w="1036"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Sabiedrības līdzdalība projekta izstrādē</w:t>
            </w:r>
          </w:p>
        </w:tc>
        <w:tc>
          <w:tcPr>
            <w:tcW w:w="3711" w:type="pct"/>
            <w:tcBorders>
              <w:top w:val="outset" w:sz="6" w:space="0" w:color="414142"/>
              <w:left w:val="outset" w:sz="6" w:space="0" w:color="414142"/>
              <w:bottom w:val="outset" w:sz="6" w:space="0" w:color="414142"/>
              <w:right w:val="outset" w:sz="6" w:space="0" w:color="414142"/>
            </w:tcBorders>
            <w:hideMark/>
          </w:tcPr>
          <w:p w:rsidR="001C1869" w:rsidRPr="00C87DA2" w:rsidRDefault="005E0FA0" w:rsidP="009C124E">
            <w:pPr>
              <w:jc w:val="both"/>
            </w:pPr>
            <w:r>
              <w:t>Projekta izstrādē ir iesaistīta Latvijas Lauksaimniecības kooperatīvu asociācija.</w:t>
            </w:r>
          </w:p>
        </w:tc>
      </w:tr>
      <w:tr w:rsidR="001C1869" w:rsidRPr="00C87DA2" w:rsidTr="00A5498F">
        <w:trPr>
          <w:trHeight w:val="788"/>
          <w:jc w:val="center"/>
        </w:trPr>
        <w:tc>
          <w:tcPr>
            <w:tcW w:w="25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3.</w:t>
            </w:r>
          </w:p>
        </w:tc>
        <w:tc>
          <w:tcPr>
            <w:tcW w:w="1036"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Sabiedrības līdzdalības rezultāti</w:t>
            </w:r>
          </w:p>
        </w:tc>
        <w:tc>
          <w:tcPr>
            <w:tcW w:w="3711" w:type="pct"/>
            <w:tcBorders>
              <w:top w:val="outset" w:sz="6" w:space="0" w:color="414142"/>
              <w:left w:val="outset" w:sz="6" w:space="0" w:color="414142"/>
              <w:bottom w:val="outset" w:sz="6" w:space="0" w:color="414142"/>
              <w:right w:val="outset" w:sz="6" w:space="0" w:color="414142"/>
            </w:tcBorders>
            <w:hideMark/>
          </w:tcPr>
          <w:p w:rsidR="001C1869" w:rsidRPr="00C87DA2" w:rsidRDefault="005E0FA0" w:rsidP="00306658">
            <w:pPr>
              <w:jc w:val="both"/>
            </w:pPr>
            <w:r>
              <w:t xml:space="preserve">Latvijas Lauksaimniecības kooperatīvu asociācijas izteiktie priekšlikumi ir ņemti vērā, </w:t>
            </w:r>
            <w:r w:rsidR="006376A0">
              <w:t>sagatavo</w:t>
            </w:r>
            <w:r>
              <w:t>jot noteikumu projektu.</w:t>
            </w:r>
          </w:p>
        </w:tc>
      </w:tr>
      <w:tr w:rsidR="001C1869" w:rsidRPr="00C87DA2" w:rsidTr="00A5498F">
        <w:trPr>
          <w:trHeight w:val="304"/>
          <w:jc w:val="center"/>
        </w:trPr>
        <w:tc>
          <w:tcPr>
            <w:tcW w:w="25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4.</w:t>
            </w:r>
          </w:p>
        </w:tc>
        <w:tc>
          <w:tcPr>
            <w:tcW w:w="1036"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Cita informācija</w:t>
            </w:r>
          </w:p>
        </w:tc>
        <w:tc>
          <w:tcPr>
            <w:tcW w:w="3711"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CD11A5">
            <w:r w:rsidRPr="00C87DA2">
              <w:t>Nav</w:t>
            </w:r>
          </w:p>
        </w:tc>
      </w:tr>
    </w:tbl>
    <w:p w:rsidR="001C1869" w:rsidRPr="00C87DA2" w:rsidRDefault="001C1869" w:rsidP="006B42E1">
      <w:pPr>
        <w:ind w:firstLine="30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3470"/>
        <w:gridCol w:w="5362"/>
      </w:tblGrid>
      <w:tr w:rsidR="007F70E3" w:rsidRPr="00C87DA2" w:rsidTr="00A5498F">
        <w:trPr>
          <w:trHeight w:val="357"/>
        </w:trPr>
        <w:tc>
          <w:tcPr>
            <w:tcW w:w="5000" w:type="pct"/>
            <w:gridSpan w:val="3"/>
          </w:tcPr>
          <w:p w:rsidR="007F70E3" w:rsidRPr="00C87DA2" w:rsidRDefault="007F70E3" w:rsidP="00A5498F">
            <w:pPr>
              <w:ind w:firstLine="300"/>
              <w:jc w:val="center"/>
              <w:rPr>
                <w:b/>
                <w:bCs/>
              </w:rPr>
            </w:pPr>
            <w:r w:rsidRPr="00C87DA2">
              <w:rPr>
                <w:b/>
                <w:bCs/>
              </w:rPr>
              <w:t>VII. Tiesību akta projekta izpildes nodrošināšana un tās ietekme uz institūcijām</w:t>
            </w:r>
          </w:p>
        </w:tc>
      </w:tr>
      <w:tr w:rsidR="007F70E3" w:rsidRPr="00C87DA2" w:rsidTr="00B00D44">
        <w:trPr>
          <w:trHeight w:val="420"/>
        </w:trPr>
        <w:tc>
          <w:tcPr>
            <w:tcW w:w="245" w:type="pct"/>
          </w:tcPr>
          <w:p w:rsidR="007F70E3" w:rsidRPr="00C87DA2" w:rsidRDefault="007F70E3" w:rsidP="00A5498F">
            <w:r w:rsidRPr="00C87DA2">
              <w:t>1.</w:t>
            </w:r>
          </w:p>
        </w:tc>
        <w:tc>
          <w:tcPr>
            <w:tcW w:w="1868" w:type="pct"/>
          </w:tcPr>
          <w:p w:rsidR="007F70E3" w:rsidRPr="00C87DA2" w:rsidRDefault="007F70E3" w:rsidP="00A5498F">
            <w:r w:rsidRPr="00C87DA2">
              <w:t>Projekta izpildē iesaistītās institūcijas</w:t>
            </w:r>
          </w:p>
        </w:tc>
        <w:tc>
          <w:tcPr>
            <w:tcW w:w="2887" w:type="pct"/>
          </w:tcPr>
          <w:p w:rsidR="007F70E3" w:rsidRPr="00C87DA2" w:rsidRDefault="00306658" w:rsidP="00A5498F">
            <w:pPr>
              <w:jc w:val="both"/>
              <w:rPr>
                <w:lang w:eastAsia="en-US"/>
              </w:rPr>
            </w:pPr>
            <w:r w:rsidRPr="00C87DA2">
              <w:rPr>
                <w:lang w:eastAsia="en-US"/>
              </w:rPr>
              <w:t>Lauku atbalsta dienests</w:t>
            </w:r>
            <w:r w:rsidR="00BE7A3E">
              <w:rPr>
                <w:lang w:eastAsia="en-US"/>
              </w:rPr>
              <w:t>.</w:t>
            </w:r>
          </w:p>
        </w:tc>
      </w:tr>
      <w:tr w:rsidR="007F70E3" w:rsidRPr="00C87DA2" w:rsidTr="00B00D44">
        <w:trPr>
          <w:trHeight w:val="450"/>
        </w:trPr>
        <w:tc>
          <w:tcPr>
            <w:tcW w:w="245" w:type="pct"/>
          </w:tcPr>
          <w:p w:rsidR="007F70E3" w:rsidRPr="00C87DA2" w:rsidRDefault="007F70E3" w:rsidP="00A5498F">
            <w:r w:rsidRPr="00C87DA2">
              <w:t>2.</w:t>
            </w:r>
          </w:p>
        </w:tc>
        <w:tc>
          <w:tcPr>
            <w:tcW w:w="1868" w:type="pct"/>
          </w:tcPr>
          <w:p w:rsidR="007F70E3" w:rsidRPr="00C87DA2" w:rsidRDefault="007F70E3" w:rsidP="00A5498F">
            <w:r w:rsidRPr="00C87DA2">
              <w:t>Projekta izpildes ietekme uz pārvaldes funkcijām un institucionālo struktūru. Jaunu institūciju izveide, esošu institūciju likvidācija vai reorganizācija, to ietekme uz institūcijas cilvēkresursiem</w:t>
            </w:r>
          </w:p>
        </w:tc>
        <w:tc>
          <w:tcPr>
            <w:tcW w:w="2887" w:type="pct"/>
          </w:tcPr>
          <w:p w:rsidR="007F70E3" w:rsidRPr="00C87DA2" w:rsidRDefault="001C1869" w:rsidP="00A5498F">
            <w:pPr>
              <w:jc w:val="both"/>
            </w:pPr>
            <w:r w:rsidRPr="00C87DA2">
              <w:rPr>
                <w:lang w:eastAsia="en-US"/>
              </w:rPr>
              <w:t xml:space="preserve">Projekts šo jomu neskar. </w:t>
            </w:r>
            <w:r w:rsidRPr="00C87DA2">
              <w:t>Jaunas institūcijas netiks izveidotas</w:t>
            </w:r>
            <w:r w:rsidR="006376A0">
              <w:t>,</w:t>
            </w:r>
            <w:r w:rsidRPr="00C87DA2">
              <w:t xml:space="preserve"> un esošās institūcijas netiks likvidētas vai reorganizētas. Projekta izpilde tiks nodrošināta ar pašreizējiem cilvēkresursiem.</w:t>
            </w:r>
          </w:p>
        </w:tc>
      </w:tr>
      <w:tr w:rsidR="007F70E3" w:rsidRPr="00C87DA2" w:rsidTr="00A5498F">
        <w:trPr>
          <w:trHeight w:val="238"/>
        </w:trPr>
        <w:tc>
          <w:tcPr>
            <w:tcW w:w="245" w:type="pct"/>
          </w:tcPr>
          <w:p w:rsidR="007F70E3" w:rsidRPr="00C87DA2" w:rsidRDefault="007F70E3" w:rsidP="00A5498F">
            <w:r w:rsidRPr="00C87DA2">
              <w:t>3.</w:t>
            </w:r>
          </w:p>
        </w:tc>
        <w:tc>
          <w:tcPr>
            <w:tcW w:w="1868" w:type="pct"/>
          </w:tcPr>
          <w:p w:rsidR="007F70E3" w:rsidRPr="00C87DA2" w:rsidRDefault="007F70E3" w:rsidP="00A5498F">
            <w:r w:rsidRPr="00C87DA2">
              <w:t>Cita informācija</w:t>
            </w:r>
          </w:p>
        </w:tc>
        <w:tc>
          <w:tcPr>
            <w:tcW w:w="2887" w:type="pct"/>
          </w:tcPr>
          <w:p w:rsidR="007F70E3" w:rsidRPr="00C87DA2" w:rsidRDefault="007F70E3" w:rsidP="00A5498F">
            <w:r w:rsidRPr="00C87DA2">
              <w:t>Nav.</w:t>
            </w:r>
          </w:p>
        </w:tc>
      </w:tr>
    </w:tbl>
    <w:p w:rsidR="00B00D44" w:rsidRDefault="00B00D44" w:rsidP="008D3278">
      <w:pPr>
        <w:jc w:val="both"/>
      </w:pPr>
    </w:p>
    <w:p w:rsidR="008D3278" w:rsidRPr="009C124E" w:rsidRDefault="00571B0C" w:rsidP="008D3278">
      <w:pPr>
        <w:jc w:val="both"/>
        <w:rPr>
          <w:i/>
          <w:sz w:val="28"/>
          <w:szCs w:val="28"/>
          <w:lang w:eastAsia="en-US"/>
        </w:rPr>
      </w:pPr>
      <w:r w:rsidRPr="009C124E">
        <w:rPr>
          <w:i/>
        </w:rPr>
        <w:t>Anotācijas III, IV</w:t>
      </w:r>
      <w:r w:rsidR="009C124E">
        <w:rPr>
          <w:i/>
        </w:rPr>
        <w:t xml:space="preserve"> un</w:t>
      </w:r>
      <w:r w:rsidR="00A258EF" w:rsidRPr="009C124E">
        <w:rPr>
          <w:i/>
        </w:rPr>
        <w:t xml:space="preserve"> V</w:t>
      </w:r>
      <w:r w:rsidRPr="009C124E">
        <w:rPr>
          <w:i/>
        </w:rPr>
        <w:t xml:space="preserve"> sadaļa –  p</w:t>
      </w:r>
      <w:r w:rsidRPr="009C124E">
        <w:rPr>
          <w:bCs/>
          <w:i/>
        </w:rPr>
        <w:t>rojekts šo jomu neskar.</w:t>
      </w:r>
    </w:p>
    <w:p w:rsidR="00690920" w:rsidRDefault="00690920" w:rsidP="00B03BF9">
      <w:pPr>
        <w:tabs>
          <w:tab w:val="left" w:pos="8080"/>
        </w:tabs>
        <w:jc w:val="both"/>
        <w:rPr>
          <w:lang w:eastAsia="en-US"/>
        </w:rPr>
      </w:pPr>
    </w:p>
    <w:p w:rsidR="001A0016" w:rsidRPr="00C87DA2" w:rsidRDefault="001A0016" w:rsidP="00B03BF9">
      <w:pPr>
        <w:tabs>
          <w:tab w:val="left" w:pos="8080"/>
        </w:tabs>
        <w:jc w:val="both"/>
        <w:rPr>
          <w:lang w:eastAsia="en-US"/>
        </w:rPr>
      </w:pPr>
    </w:p>
    <w:p w:rsidR="001C72F1" w:rsidRPr="00C87DA2" w:rsidRDefault="00B00D44" w:rsidP="00B03BF9">
      <w:pPr>
        <w:tabs>
          <w:tab w:val="left" w:pos="8080"/>
        </w:tabs>
        <w:jc w:val="both"/>
        <w:rPr>
          <w:lang w:eastAsia="en-US"/>
        </w:rPr>
      </w:pPr>
      <w:r>
        <w:rPr>
          <w:lang w:eastAsia="en-US"/>
        </w:rPr>
        <w:t xml:space="preserve">Zemkopības ministrs </w:t>
      </w:r>
      <w:r>
        <w:rPr>
          <w:lang w:eastAsia="en-US"/>
        </w:rPr>
        <w:tab/>
      </w:r>
      <w:r w:rsidR="007F70E3" w:rsidRPr="00C87DA2">
        <w:rPr>
          <w:lang w:eastAsia="en-US"/>
        </w:rPr>
        <w:t>J.Dūklavs</w:t>
      </w:r>
      <w:bookmarkStart w:id="4" w:name="OLE_LINK5"/>
      <w:bookmarkStart w:id="5" w:name="OLE_LINK6"/>
    </w:p>
    <w:bookmarkEnd w:id="4"/>
    <w:bookmarkEnd w:id="5"/>
    <w:p w:rsidR="00A5498F" w:rsidRDefault="00A5498F" w:rsidP="00023A78">
      <w:pPr>
        <w:jc w:val="both"/>
        <w:rPr>
          <w:sz w:val="20"/>
          <w:szCs w:val="20"/>
        </w:rPr>
      </w:pPr>
    </w:p>
    <w:p w:rsidR="001A0016" w:rsidRDefault="001A0016" w:rsidP="00023A78">
      <w:pPr>
        <w:jc w:val="both"/>
        <w:rPr>
          <w:sz w:val="20"/>
          <w:szCs w:val="20"/>
        </w:rPr>
      </w:pPr>
    </w:p>
    <w:p w:rsidR="001A0016" w:rsidRDefault="001A0016" w:rsidP="00023A78">
      <w:pPr>
        <w:jc w:val="both"/>
        <w:rPr>
          <w:sz w:val="20"/>
          <w:szCs w:val="20"/>
        </w:rPr>
      </w:pPr>
    </w:p>
    <w:p w:rsidR="001A0016" w:rsidRDefault="001A0016" w:rsidP="00023A78">
      <w:pPr>
        <w:jc w:val="both"/>
        <w:rPr>
          <w:sz w:val="20"/>
          <w:szCs w:val="20"/>
        </w:rPr>
      </w:pPr>
    </w:p>
    <w:p w:rsidR="001A0016" w:rsidRDefault="001A0016" w:rsidP="00023A78">
      <w:pPr>
        <w:jc w:val="both"/>
        <w:rPr>
          <w:sz w:val="20"/>
          <w:szCs w:val="20"/>
        </w:rPr>
      </w:pPr>
    </w:p>
    <w:p w:rsidR="001A0016" w:rsidRDefault="001A0016" w:rsidP="00023A78">
      <w:pPr>
        <w:jc w:val="both"/>
        <w:rPr>
          <w:sz w:val="20"/>
          <w:szCs w:val="20"/>
        </w:rPr>
      </w:pPr>
    </w:p>
    <w:p w:rsidR="001A0016" w:rsidRDefault="001A0016" w:rsidP="00023A78">
      <w:pPr>
        <w:jc w:val="both"/>
        <w:rPr>
          <w:sz w:val="20"/>
          <w:szCs w:val="20"/>
        </w:rPr>
      </w:pPr>
      <w:r>
        <w:rPr>
          <w:sz w:val="20"/>
          <w:szCs w:val="20"/>
        </w:rPr>
        <w:t>14.12.2015. 16:25</w:t>
      </w:r>
    </w:p>
    <w:p w:rsidR="001A0016" w:rsidRDefault="001A0016" w:rsidP="00023A78">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508</w:t>
      </w:r>
      <w:r>
        <w:rPr>
          <w:sz w:val="20"/>
          <w:szCs w:val="20"/>
        </w:rPr>
        <w:fldChar w:fldCharType="end"/>
      </w:r>
    </w:p>
    <w:p w:rsidR="00023A78" w:rsidRPr="00C06E18" w:rsidRDefault="00023A78" w:rsidP="00023A78">
      <w:pPr>
        <w:jc w:val="both"/>
        <w:rPr>
          <w:sz w:val="20"/>
          <w:szCs w:val="20"/>
        </w:rPr>
      </w:pPr>
      <w:bookmarkStart w:id="6" w:name="_GoBack"/>
      <w:bookmarkEnd w:id="6"/>
      <w:r>
        <w:rPr>
          <w:sz w:val="20"/>
          <w:szCs w:val="20"/>
        </w:rPr>
        <w:t>R.Zapereckis</w:t>
      </w:r>
    </w:p>
    <w:p w:rsidR="00023A78" w:rsidRPr="00C87DA2" w:rsidRDefault="00023A78" w:rsidP="00394A21">
      <w:pPr>
        <w:jc w:val="both"/>
        <w:rPr>
          <w:sz w:val="20"/>
          <w:szCs w:val="20"/>
          <w:lang w:eastAsia="en-US"/>
        </w:rPr>
      </w:pPr>
      <w:r w:rsidRPr="00C06E18">
        <w:rPr>
          <w:sz w:val="20"/>
          <w:szCs w:val="20"/>
        </w:rPr>
        <w:t>67027</w:t>
      </w:r>
      <w:r>
        <w:rPr>
          <w:sz w:val="20"/>
          <w:szCs w:val="20"/>
        </w:rPr>
        <w:t>301</w:t>
      </w:r>
      <w:r w:rsidRPr="00C06E18">
        <w:rPr>
          <w:sz w:val="20"/>
          <w:szCs w:val="20"/>
        </w:rPr>
        <w:t xml:space="preserve">, </w:t>
      </w:r>
      <w:r>
        <w:rPr>
          <w:sz w:val="20"/>
          <w:szCs w:val="20"/>
        </w:rPr>
        <w:t>Ritvars.Zapereckis</w:t>
      </w:r>
      <w:r w:rsidRPr="00C06E18">
        <w:rPr>
          <w:sz w:val="20"/>
          <w:szCs w:val="20"/>
        </w:rPr>
        <w:t>@zm.gov.lv</w:t>
      </w:r>
      <w:r>
        <w:rPr>
          <w:sz w:val="20"/>
          <w:szCs w:val="20"/>
        </w:rPr>
        <w:tab/>
      </w:r>
    </w:p>
    <w:sectPr w:rsidR="00023A78" w:rsidRPr="00C87DA2" w:rsidSect="001A0016">
      <w:headerReference w:type="default" r:id="rId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DB" w:rsidRDefault="005C52DB"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5C52DB" w:rsidRDefault="005C52DB"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2" w:rsidRPr="001A0016" w:rsidRDefault="00A5498F" w:rsidP="001A0016">
    <w:pPr>
      <w:spacing w:after="120"/>
      <w:jc w:val="both"/>
      <w:rPr>
        <w:sz w:val="20"/>
        <w:szCs w:val="20"/>
        <w:lang w:eastAsia="en-US"/>
      </w:rPr>
    </w:pPr>
    <w:r w:rsidRPr="00A258EF">
      <w:rPr>
        <w:sz w:val="20"/>
        <w:szCs w:val="20"/>
      </w:rPr>
      <w:fldChar w:fldCharType="begin"/>
    </w:r>
    <w:r w:rsidRPr="00A258EF">
      <w:rPr>
        <w:sz w:val="20"/>
        <w:szCs w:val="20"/>
      </w:rPr>
      <w:instrText xml:space="preserve"> FILENAME   \* MERGEFORMAT </w:instrText>
    </w:r>
    <w:r w:rsidRPr="00A258EF">
      <w:rPr>
        <w:sz w:val="20"/>
        <w:szCs w:val="20"/>
      </w:rPr>
      <w:fldChar w:fldCharType="separate"/>
    </w:r>
    <w:r>
      <w:rPr>
        <w:noProof/>
        <w:sz w:val="20"/>
        <w:szCs w:val="20"/>
      </w:rPr>
      <w:t>ZMAnot_</w:t>
    </w:r>
    <w:r w:rsidR="00016CE8">
      <w:rPr>
        <w:noProof/>
        <w:sz w:val="20"/>
        <w:szCs w:val="20"/>
      </w:rPr>
      <w:t>14</w:t>
    </w:r>
    <w:r>
      <w:rPr>
        <w:noProof/>
        <w:sz w:val="20"/>
        <w:szCs w:val="20"/>
      </w:rPr>
      <w:t>12</w:t>
    </w:r>
    <w:r w:rsidRPr="00A258EF">
      <w:rPr>
        <w:noProof/>
        <w:sz w:val="20"/>
        <w:szCs w:val="20"/>
      </w:rPr>
      <w:t>15</w:t>
    </w:r>
    <w:r w:rsidRPr="00A258EF">
      <w:rPr>
        <w:noProof/>
        <w:sz w:val="20"/>
        <w:szCs w:val="20"/>
      </w:rPr>
      <w:fldChar w:fldCharType="end"/>
    </w:r>
    <w:r w:rsidR="00A258EF" w:rsidRPr="00A258EF">
      <w:rPr>
        <w:sz w:val="20"/>
        <w:szCs w:val="20"/>
      </w:rPr>
      <w:t xml:space="preserve">; </w:t>
    </w:r>
    <w:r w:rsidR="00A258EF" w:rsidRPr="00A258EF">
      <w:rPr>
        <w:sz w:val="20"/>
        <w:szCs w:val="20"/>
        <w:lang w:eastAsia="en-US"/>
      </w:rPr>
      <w:t>Ministru kabineta noteikumu projekta „Grozījums Ministru kabineta 2013.gada 4.jūnija noteikumos Nr.299 “Noteikumi par iepirkuma procedūru un tās piemērošanas kārtību pasūtītāja finansētiem projektiem””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2" w:rsidRPr="001A0016" w:rsidRDefault="00A5498F" w:rsidP="001A0016">
    <w:pPr>
      <w:spacing w:after="120"/>
      <w:jc w:val="both"/>
      <w:rPr>
        <w:sz w:val="20"/>
        <w:szCs w:val="20"/>
        <w:lang w:eastAsia="en-US"/>
      </w:rPr>
    </w:pPr>
    <w:r w:rsidRPr="00A258EF">
      <w:rPr>
        <w:sz w:val="20"/>
        <w:szCs w:val="20"/>
      </w:rPr>
      <w:fldChar w:fldCharType="begin"/>
    </w:r>
    <w:r w:rsidRPr="00A258EF">
      <w:rPr>
        <w:sz w:val="20"/>
        <w:szCs w:val="20"/>
      </w:rPr>
      <w:instrText xml:space="preserve"> FILENAME   \* MERGEFORMAT </w:instrText>
    </w:r>
    <w:r w:rsidRPr="00A258EF">
      <w:rPr>
        <w:sz w:val="20"/>
        <w:szCs w:val="20"/>
      </w:rPr>
      <w:fldChar w:fldCharType="separate"/>
    </w:r>
    <w:r w:rsidRPr="00A258EF">
      <w:rPr>
        <w:noProof/>
        <w:sz w:val="20"/>
        <w:szCs w:val="20"/>
      </w:rPr>
      <w:t>ZMAnot_</w:t>
    </w:r>
    <w:r w:rsidR="00016CE8">
      <w:rPr>
        <w:noProof/>
        <w:sz w:val="20"/>
        <w:szCs w:val="20"/>
      </w:rPr>
      <w:t>14</w:t>
    </w:r>
    <w:r>
      <w:rPr>
        <w:noProof/>
        <w:sz w:val="20"/>
        <w:szCs w:val="20"/>
      </w:rPr>
      <w:t>12</w:t>
    </w:r>
    <w:r w:rsidRPr="00A258EF">
      <w:rPr>
        <w:noProof/>
        <w:sz w:val="20"/>
        <w:szCs w:val="20"/>
      </w:rPr>
      <w:t>15</w:t>
    </w:r>
    <w:r w:rsidRPr="00A258EF">
      <w:rPr>
        <w:noProof/>
        <w:sz w:val="20"/>
        <w:szCs w:val="20"/>
      </w:rPr>
      <w:fldChar w:fldCharType="end"/>
    </w:r>
    <w:r w:rsidR="00B02542" w:rsidRPr="00A258EF">
      <w:rPr>
        <w:sz w:val="20"/>
        <w:szCs w:val="20"/>
      </w:rPr>
      <w:t xml:space="preserve">; </w:t>
    </w:r>
    <w:r w:rsidR="00A258EF" w:rsidRPr="00A258EF">
      <w:rPr>
        <w:sz w:val="20"/>
        <w:szCs w:val="20"/>
        <w:lang w:eastAsia="en-US"/>
      </w:rPr>
      <w:t>Ministru kabineta noteikumu projekta „Grozījums Ministru kabineta 2013.gada 4.jūnija noteikumos Nr.299 “Noteikumi par iepirkuma procedūru un tās piemērošanas kārtību pasūtītāja finansētiem projektiem””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DB" w:rsidRDefault="005C52DB"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5C52DB" w:rsidRDefault="005C52DB"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51" w:rsidRPr="006B42E1" w:rsidRDefault="00D926D6"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C67251"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1A0016">
      <w:rPr>
        <w:rFonts w:ascii="Times New Roman" w:hAnsi="Times New Roman"/>
        <w:noProof/>
        <w:sz w:val="24"/>
        <w:szCs w:val="24"/>
      </w:rPr>
      <w:t>2</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41650BD3"/>
    <w:multiLevelType w:val="hybridMultilevel"/>
    <w:tmpl w:val="9328F96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4AF275C6"/>
    <w:multiLevelType w:val="hybridMultilevel"/>
    <w:tmpl w:val="E60ABC3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6"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965304"/>
    <w:multiLevelType w:val="hybridMultilevel"/>
    <w:tmpl w:val="329AC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7D6F5070"/>
    <w:multiLevelType w:val="hybridMultilevel"/>
    <w:tmpl w:val="62F02C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8"/>
  </w:num>
  <w:num w:numId="6">
    <w:abstractNumId w:val="6"/>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1"/>
    <w:rsid w:val="0001372D"/>
    <w:rsid w:val="00016CE8"/>
    <w:rsid w:val="00023A78"/>
    <w:rsid w:val="00025055"/>
    <w:rsid w:val="00033E73"/>
    <w:rsid w:val="000429CB"/>
    <w:rsid w:val="000440CD"/>
    <w:rsid w:val="000454C9"/>
    <w:rsid w:val="00053E8D"/>
    <w:rsid w:val="00055DD9"/>
    <w:rsid w:val="00061B55"/>
    <w:rsid w:val="000660FC"/>
    <w:rsid w:val="000801E3"/>
    <w:rsid w:val="000933B1"/>
    <w:rsid w:val="000A2248"/>
    <w:rsid w:val="000A5E3C"/>
    <w:rsid w:val="000C0408"/>
    <w:rsid w:val="000D1A41"/>
    <w:rsid w:val="000F0996"/>
    <w:rsid w:val="000F442A"/>
    <w:rsid w:val="000F7756"/>
    <w:rsid w:val="001003A4"/>
    <w:rsid w:val="00114287"/>
    <w:rsid w:val="0011611D"/>
    <w:rsid w:val="00116422"/>
    <w:rsid w:val="001403CB"/>
    <w:rsid w:val="00143814"/>
    <w:rsid w:val="00155754"/>
    <w:rsid w:val="00157B54"/>
    <w:rsid w:val="0018631E"/>
    <w:rsid w:val="00186A45"/>
    <w:rsid w:val="00187981"/>
    <w:rsid w:val="001A0016"/>
    <w:rsid w:val="001A1965"/>
    <w:rsid w:val="001B654C"/>
    <w:rsid w:val="001C1869"/>
    <w:rsid w:val="001C42F1"/>
    <w:rsid w:val="001C6C8E"/>
    <w:rsid w:val="001C72F1"/>
    <w:rsid w:val="001C740A"/>
    <w:rsid w:val="001D4122"/>
    <w:rsid w:val="001E1ABC"/>
    <w:rsid w:val="00203394"/>
    <w:rsid w:val="002046BC"/>
    <w:rsid w:val="00210275"/>
    <w:rsid w:val="00232AA2"/>
    <w:rsid w:val="002407C0"/>
    <w:rsid w:val="00282674"/>
    <w:rsid w:val="00284694"/>
    <w:rsid w:val="00286AD9"/>
    <w:rsid w:val="00296AF9"/>
    <w:rsid w:val="002A73B3"/>
    <w:rsid w:val="002B0537"/>
    <w:rsid w:val="002B0F0D"/>
    <w:rsid w:val="002B55AA"/>
    <w:rsid w:val="002D34BA"/>
    <w:rsid w:val="002E1961"/>
    <w:rsid w:val="002E377D"/>
    <w:rsid w:val="002E5342"/>
    <w:rsid w:val="00305A1F"/>
    <w:rsid w:val="00306658"/>
    <w:rsid w:val="003255F1"/>
    <w:rsid w:val="003272BE"/>
    <w:rsid w:val="003468FD"/>
    <w:rsid w:val="00351860"/>
    <w:rsid w:val="003629E9"/>
    <w:rsid w:val="003645AF"/>
    <w:rsid w:val="00373E33"/>
    <w:rsid w:val="003755B0"/>
    <w:rsid w:val="00377E6F"/>
    <w:rsid w:val="00394A21"/>
    <w:rsid w:val="0039742A"/>
    <w:rsid w:val="003A00BB"/>
    <w:rsid w:val="003B480E"/>
    <w:rsid w:val="003C61B2"/>
    <w:rsid w:val="003D35E6"/>
    <w:rsid w:val="003E0E8A"/>
    <w:rsid w:val="003E4FF0"/>
    <w:rsid w:val="003E6898"/>
    <w:rsid w:val="00412317"/>
    <w:rsid w:val="00413845"/>
    <w:rsid w:val="00414C2F"/>
    <w:rsid w:val="00430A23"/>
    <w:rsid w:val="00437AF9"/>
    <w:rsid w:val="00443FC3"/>
    <w:rsid w:val="00454AC9"/>
    <w:rsid w:val="00456CB0"/>
    <w:rsid w:val="00461DC8"/>
    <w:rsid w:val="00480F40"/>
    <w:rsid w:val="00481C59"/>
    <w:rsid w:val="00485F38"/>
    <w:rsid w:val="00486CF4"/>
    <w:rsid w:val="00492BA7"/>
    <w:rsid w:val="00496D42"/>
    <w:rsid w:val="004976CD"/>
    <w:rsid w:val="004A0C7F"/>
    <w:rsid w:val="004B65A7"/>
    <w:rsid w:val="004C23A9"/>
    <w:rsid w:val="004D259F"/>
    <w:rsid w:val="004D37C9"/>
    <w:rsid w:val="004D6D77"/>
    <w:rsid w:val="004E56E3"/>
    <w:rsid w:val="004E78FE"/>
    <w:rsid w:val="00507389"/>
    <w:rsid w:val="005100FC"/>
    <w:rsid w:val="005176EB"/>
    <w:rsid w:val="00540F5A"/>
    <w:rsid w:val="00545F76"/>
    <w:rsid w:val="005604F9"/>
    <w:rsid w:val="00564E0E"/>
    <w:rsid w:val="005662CD"/>
    <w:rsid w:val="00571B0C"/>
    <w:rsid w:val="00581BCC"/>
    <w:rsid w:val="005C0E11"/>
    <w:rsid w:val="005C52DB"/>
    <w:rsid w:val="005D23E6"/>
    <w:rsid w:val="005D24C7"/>
    <w:rsid w:val="005D378D"/>
    <w:rsid w:val="005D5A78"/>
    <w:rsid w:val="005D6A22"/>
    <w:rsid w:val="005E0FA0"/>
    <w:rsid w:val="0060161B"/>
    <w:rsid w:val="006047E5"/>
    <w:rsid w:val="006059FD"/>
    <w:rsid w:val="0061253D"/>
    <w:rsid w:val="00635E66"/>
    <w:rsid w:val="00636649"/>
    <w:rsid w:val="0063701F"/>
    <w:rsid w:val="006376A0"/>
    <w:rsid w:val="00644109"/>
    <w:rsid w:val="00644C09"/>
    <w:rsid w:val="00646D33"/>
    <w:rsid w:val="0064763D"/>
    <w:rsid w:val="00652835"/>
    <w:rsid w:val="00664FAE"/>
    <w:rsid w:val="00680131"/>
    <w:rsid w:val="006837FD"/>
    <w:rsid w:val="0068522B"/>
    <w:rsid w:val="00690920"/>
    <w:rsid w:val="006B42E1"/>
    <w:rsid w:val="006C0363"/>
    <w:rsid w:val="006C4B98"/>
    <w:rsid w:val="006D16BC"/>
    <w:rsid w:val="006D25FF"/>
    <w:rsid w:val="006E63EB"/>
    <w:rsid w:val="006F7F35"/>
    <w:rsid w:val="00713973"/>
    <w:rsid w:val="0071437B"/>
    <w:rsid w:val="00714C98"/>
    <w:rsid w:val="00722444"/>
    <w:rsid w:val="00735373"/>
    <w:rsid w:val="0075052D"/>
    <w:rsid w:val="00771659"/>
    <w:rsid w:val="00791CEE"/>
    <w:rsid w:val="007A6396"/>
    <w:rsid w:val="007A6DC9"/>
    <w:rsid w:val="007E2B30"/>
    <w:rsid w:val="007F70E3"/>
    <w:rsid w:val="008112D0"/>
    <w:rsid w:val="0081204E"/>
    <w:rsid w:val="008175FC"/>
    <w:rsid w:val="008429E7"/>
    <w:rsid w:val="00844CCA"/>
    <w:rsid w:val="00853A03"/>
    <w:rsid w:val="008555AF"/>
    <w:rsid w:val="00860EE4"/>
    <w:rsid w:val="0086193A"/>
    <w:rsid w:val="00862E95"/>
    <w:rsid w:val="00870189"/>
    <w:rsid w:val="008764E4"/>
    <w:rsid w:val="0087677C"/>
    <w:rsid w:val="00887CE5"/>
    <w:rsid w:val="00890664"/>
    <w:rsid w:val="008B1CDF"/>
    <w:rsid w:val="008C7F8C"/>
    <w:rsid w:val="008D3278"/>
    <w:rsid w:val="008D6296"/>
    <w:rsid w:val="008E42B0"/>
    <w:rsid w:val="008F1983"/>
    <w:rsid w:val="009134D2"/>
    <w:rsid w:val="00925204"/>
    <w:rsid w:val="00927AD8"/>
    <w:rsid w:val="009338DA"/>
    <w:rsid w:val="00943588"/>
    <w:rsid w:val="00944246"/>
    <w:rsid w:val="00944C34"/>
    <w:rsid w:val="00961D21"/>
    <w:rsid w:val="009634A2"/>
    <w:rsid w:val="00967CAC"/>
    <w:rsid w:val="0097323A"/>
    <w:rsid w:val="00974A85"/>
    <w:rsid w:val="00987486"/>
    <w:rsid w:val="00993257"/>
    <w:rsid w:val="009935D4"/>
    <w:rsid w:val="009A368D"/>
    <w:rsid w:val="009B4B6D"/>
    <w:rsid w:val="009C0EB2"/>
    <w:rsid w:val="009C124E"/>
    <w:rsid w:val="009D78AD"/>
    <w:rsid w:val="00A066F5"/>
    <w:rsid w:val="00A119B4"/>
    <w:rsid w:val="00A14FFA"/>
    <w:rsid w:val="00A23590"/>
    <w:rsid w:val="00A254EA"/>
    <w:rsid w:val="00A258EF"/>
    <w:rsid w:val="00A262B6"/>
    <w:rsid w:val="00A50B78"/>
    <w:rsid w:val="00A515E8"/>
    <w:rsid w:val="00A53224"/>
    <w:rsid w:val="00A5498F"/>
    <w:rsid w:val="00A558A2"/>
    <w:rsid w:val="00A63D1D"/>
    <w:rsid w:val="00A67CE0"/>
    <w:rsid w:val="00A7609D"/>
    <w:rsid w:val="00A90E49"/>
    <w:rsid w:val="00A92568"/>
    <w:rsid w:val="00A952E2"/>
    <w:rsid w:val="00AB3FFB"/>
    <w:rsid w:val="00AD51E4"/>
    <w:rsid w:val="00AF4EBE"/>
    <w:rsid w:val="00B006C8"/>
    <w:rsid w:val="00B00D44"/>
    <w:rsid w:val="00B023B3"/>
    <w:rsid w:val="00B02542"/>
    <w:rsid w:val="00B03BF9"/>
    <w:rsid w:val="00B06D15"/>
    <w:rsid w:val="00B122CE"/>
    <w:rsid w:val="00B23341"/>
    <w:rsid w:val="00B242F3"/>
    <w:rsid w:val="00B250B1"/>
    <w:rsid w:val="00B25125"/>
    <w:rsid w:val="00B27603"/>
    <w:rsid w:val="00B408B4"/>
    <w:rsid w:val="00B44E21"/>
    <w:rsid w:val="00B51AC8"/>
    <w:rsid w:val="00B604C1"/>
    <w:rsid w:val="00B62AC2"/>
    <w:rsid w:val="00B6524B"/>
    <w:rsid w:val="00B879CA"/>
    <w:rsid w:val="00B95554"/>
    <w:rsid w:val="00B96D18"/>
    <w:rsid w:val="00BC2483"/>
    <w:rsid w:val="00BC5022"/>
    <w:rsid w:val="00BE0938"/>
    <w:rsid w:val="00BE7A3E"/>
    <w:rsid w:val="00C07D41"/>
    <w:rsid w:val="00C07FF5"/>
    <w:rsid w:val="00C139B4"/>
    <w:rsid w:val="00C17FC8"/>
    <w:rsid w:val="00C35638"/>
    <w:rsid w:val="00C6589D"/>
    <w:rsid w:val="00C66038"/>
    <w:rsid w:val="00C67251"/>
    <w:rsid w:val="00C70775"/>
    <w:rsid w:val="00C87DA2"/>
    <w:rsid w:val="00CA7311"/>
    <w:rsid w:val="00CB3855"/>
    <w:rsid w:val="00CB5B02"/>
    <w:rsid w:val="00CB6774"/>
    <w:rsid w:val="00CC5DD7"/>
    <w:rsid w:val="00CC5F71"/>
    <w:rsid w:val="00CC77A1"/>
    <w:rsid w:val="00CD00B8"/>
    <w:rsid w:val="00CD19FC"/>
    <w:rsid w:val="00D1242D"/>
    <w:rsid w:val="00D124D2"/>
    <w:rsid w:val="00D131D8"/>
    <w:rsid w:val="00D230B9"/>
    <w:rsid w:val="00D354A7"/>
    <w:rsid w:val="00D44D5B"/>
    <w:rsid w:val="00D53344"/>
    <w:rsid w:val="00D556A1"/>
    <w:rsid w:val="00D57959"/>
    <w:rsid w:val="00D73F0B"/>
    <w:rsid w:val="00D90679"/>
    <w:rsid w:val="00D9076F"/>
    <w:rsid w:val="00D926D6"/>
    <w:rsid w:val="00D94BF2"/>
    <w:rsid w:val="00DB0800"/>
    <w:rsid w:val="00DB5BAC"/>
    <w:rsid w:val="00DF0976"/>
    <w:rsid w:val="00DF12CC"/>
    <w:rsid w:val="00DF162A"/>
    <w:rsid w:val="00DF2656"/>
    <w:rsid w:val="00DF3BB5"/>
    <w:rsid w:val="00E06B66"/>
    <w:rsid w:val="00E25E8D"/>
    <w:rsid w:val="00E35C41"/>
    <w:rsid w:val="00E36E0B"/>
    <w:rsid w:val="00E40C80"/>
    <w:rsid w:val="00E50236"/>
    <w:rsid w:val="00E518F8"/>
    <w:rsid w:val="00E61A0D"/>
    <w:rsid w:val="00E67821"/>
    <w:rsid w:val="00E712EF"/>
    <w:rsid w:val="00E9256A"/>
    <w:rsid w:val="00E92688"/>
    <w:rsid w:val="00E932F1"/>
    <w:rsid w:val="00EA5F6A"/>
    <w:rsid w:val="00EB1E96"/>
    <w:rsid w:val="00EB3F83"/>
    <w:rsid w:val="00EC3722"/>
    <w:rsid w:val="00EE322C"/>
    <w:rsid w:val="00EE3949"/>
    <w:rsid w:val="00EE576A"/>
    <w:rsid w:val="00EF06E9"/>
    <w:rsid w:val="00EF2916"/>
    <w:rsid w:val="00EF4D41"/>
    <w:rsid w:val="00F000DC"/>
    <w:rsid w:val="00F06012"/>
    <w:rsid w:val="00F118E4"/>
    <w:rsid w:val="00F14EF6"/>
    <w:rsid w:val="00F23063"/>
    <w:rsid w:val="00F40D5F"/>
    <w:rsid w:val="00F42A5A"/>
    <w:rsid w:val="00F43DD2"/>
    <w:rsid w:val="00F6286A"/>
    <w:rsid w:val="00F70253"/>
    <w:rsid w:val="00F763F0"/>
    <w:rsid w:val="00F86766"/>
    <w:rsid w:val="00F95F56"/>
    <w:rsid w:val="00FD233D"/>
    <w:rsid w:val="00FD6A87"/>
    <w:rsid w:val="00FD7649"/>
    <w:rsid w:val="00FF1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EAB6B68-C8FC-4517-A19B-E15752F3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paragraph" w:customStyle="1" w:styleId="tv2132">
    <w:name w:val="tv2132"/>
    <w:basedOn w:val="Parasts"/>
    <w:rsid w:val="00E36E0B"/>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749160681">
      <w:bodyDiv w:val="1"/>
      <w:marLeft w:val="0"/>
      <w:marRight w:val="0"/>
      <w:marTop w:val="0"/>
      <w:marBottom w:val="0"/>
      <w:divBdr>
        <w:top w:val="none" w:sz="0" w:space="0" w:color="auto"/>
        <w:left w:val="none" w:sz="0" w:space="0" w:color="auto"/>
        <w:bottom w:val="none" w:sz="0" w:space="0" w:color="auto"/>
        <w:right w:val="none" w:sz="0" w:space="0" w:color="auto"/>
      </w:divBdr>
      <w:divsChild>
        <w:div w:id="1239484798">
          <w:marLeft w:val="0"/>
          <w:marRight w:val="0"/>
          <w:marTop w:val="0"/>
          <w:marBottom w:val="0"/>
          <w:divBdr>
            <w:top w:val="none" w:sz="0" w:space="0" w:color="auto"/>
            <w:left w:val="none" w:sz="0" w:space="0" w:color="auto"/>
            <w:bottom w:val="none" w:sz="0" w:space="0" w:color="auto"/>
            <w:right w:val="none" w:sz="0" w:space="0" w:color="auto"/>
          </w:divBdr>
          <w:divsChild>
            <w:div w:id="870654263">
              <w:marLeft w:val="0"/>
              <w:marRight w:val="0"/>
              <w:marTop w:val="0"/>
              <w:marBottom w:val="0"/>
              <w:divBdr>
                <w:top w:val="none" w:sz="0" w:space="0" w:color="auto"/>
                <w:left w:val="none" w:sz="0" w:space="0" w:color="auto"/>
                <w:bottom w:val="none" w:sz="0" w:space="0" w:color="auto"/>
                <w:right w:val="none" w:sz="0" w:space="0" w:color="auto"/>
              </w:divBdr>
              <w:divsChild>
                <w:div w:id="1937245926">
                  <w:marLeft w:val="0"/>
                  <w:marRight w:val="0"/>
                  <w:marTop w:val="0"/>
                  <w:marBottom w:val="0"/>
                  <w:divBdr>
                    <w:top w:val="none" w:sz="0" w:space="0" w:color="auto"/>
                    <w:left w:val="none" w:sz="0" w:space="0" w:color="auto"/>
                    <w:bottom w:val="none" w:sz="0" w:space="0" w:color="auto"/>
                    <w:right w:val="none" w:sz="0" w:space="0" w:color="auto"/>
                  </w:divBdr>
                  <w:divsChild>
                    <w:div w:id="1756902857">
                      <w:marLeft w:val="0"/>
                      <w:marRight w:val="0"/>
                      <w:marTop w:val="0"/>
                      <w:marBottom w:val="0"/>
                      <w:divBdr>
                        <w:top w:val="none" w:sz="0" w:space="0" w:color="auto"/>
                        <w:left w:val="none" w:sz="0" w:space="0" w:color="auto"/>
                        <w:bottom w:val="none" w:sz="0" w:space="0" w:color="auto"/>
                        <w:right w:val="none" w:sz="0" w:space="0" w:color="auto"/>
                      </w:divBdr>
                      <w:divsChild>
                        <w:div w:id="1942755252">
                          <w:marLeft w:val="0"/>
                          <w:marRight w:val="0"/>
                          <w:marTop w:val="0"/>
                          <w:marBottom w:val="0"/>
                          <w:divBdr>
                            <w:top w:val="none" w:sz="0" w:space="0" w:color="auto"/>
                            <w:left w:val="none" w:sz="0" w:space="0" w:color="auto"/>
                            <w:bottom w:val="none" w:sz="0" w:space="0" w:color="auto"/>
                            <w:right w:val="none" w:sz="0" w:space="0" w:color="auto"/>
                          </w:divBdr>
                          <w:divsChild>
                            <w:div w:id="3832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ABC9-C27D-41CC-B169-F9D03246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519</Words>
  <Characters>3920</Characters>
  <Application>Microsoft Office Word</Application>
  <DocSecurity>0</DocSecurity>
  <Lines>186</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4.jūnija noteikumos Nr.299 “Noteikumi par iepirkuma procedūru un tās piemērošanas kārtību pasūtītāja finansētiem projektiem”” sākotnējās ietekmes novērtējuma ziņojums (anotācija)</dc:title>
  <dc:subject>Anotācija</dc:subject>
  <dc:creator>Ritvars Zapereckis</dc:creator>
  <cp:lastModifiedBy>Antra Dāldere</cp:lastModifiedBy>
  <cp:revision>8</cp:revision>
  <cp:lastPrinted>2015-07-17T12:14:00Z</cp:lastPrinted>
  <dcterms:created xsi:type="dcterms:W3CDTF">2015-10-29T13:06:00Z</dcterms:created>
  <dcterms:modified xsi:type="dcterms:W3CDTF">2015-12-14T14:25:00Z</dcterms:modified>
</cp:coreProperties>
</file>