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BDCD95" w14:textId="50A162AD" w:rsidR="0002029A" w:rsidRPr="00BA0DE8" w:rsidRDefault="0002029A" w:rsidP="0002029A">
      <w:pPr>
        <w:pStyle w:val="Pamatteksts"/>
        <w:jc w:val="center"/>
        <w:rPr>
          <w:sz w:val="24"/>
          <w:szCs w:val="28"/>
        </w:rPr>
      </w:pPr>
      <w:r w:rsidRPr="00BA0DE8">
        <w:rPr>
          <w:sz w:val="24"/>
          <w:szCs w:val="28"/>
        </w:rPr>
        <w:t>Ministru kabineta noteikumu projekta „</w:t>
      </w:r>
      <w:r w:rsidR="00002015" w:rsidRPr="00BA0DE8">
        <w:rPr>
          <w:sz w:val="24"/>
          <w:szCs w:val="28"/>
        </w:rPr>
        <w:t xml:space="preserve">Slaucamo govju un </w:t>
      </w:r>
      <w:r w:rsidR="00966CB8" w:rsidRPr="00BA0DE8">
        <w:rPr>
          <w:sz w:val="24"/>
          <w:szCs w:val="28"/>
        </w:rPr>
        <w:t xml:space="preserve">slaucamo </w:t>
      </w:r>
      <w:r w:rsidR="00002015" w:rsidRPr="00BA0DE8">
        <w:rPr>
          <w:sz w:val="24"/>
          <w:szCs w:val="28"/>
        </w:rPr>
        <w:t>kazu pārraudzības kārtība</w:t>
      </w:r>
      <w:r w:rsidR="00A239E6" w:rsidRPr="00BA0DE8">
        <w:rPr>
          <w:sz w:val="24"/>
          <w:szCs w:val="28"/>
        </w:rPr>
        <w:t>”</w:t>
      </w:r>
      <w:r w:rsidRPr="00BA0DE8">
        <w:rPr>
          <w:sz w:val="24"/>
          <w:szCs w:val="28"/>
        </w:rPr>
        <w:t xml:space="preserve"> sākotnējās ietekmes novērtējuma ziņojums (anotācija)</w:t>
      </w:r>
    </w:p>
    <w:p w14:paraId="4784CBFB" w14:textId="77777777" w:rsidR="00F37F7E" w:rsidRPr="00BA0DE8" w:rsidRDefault="00F37F7E" w:rsidP="00F37F7E">
      <w:pPr>
        <w:pStyle w:val="naisc"/>
        <w:widowControl w:val="0"/>
        <w:spacing w:before="0" w:beforeAutospacing="0" w:after="0" w:afterAutospacing="0"/>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2311"/>
        <w:gridCol w:w="6230"/>
      </w:tblGrid>
      <w:tr w:rsidR="00BA0DE8" w:rsidRPr="00BA0DE8" w14:paraId="232BF374" w14:textId="77777777" w:rsidTr="00133DFE">
        <w:tc>
          <w:tcPr>
            <w:tcW w:w="5000" w:type="pct"/>
            <w:gridSpan w:val="3"/>
          </w:tcPr>
          <w:p w14:paraId="4C9249F4" w14:textId="77777777" w:rsidR="00AC145B" w:rsidRPr="00BA0DE8" w:rsidRDefault="00AC145B" w:rsidP="003037FE">
            <w:pPr>
              <w:pStyle w:val="naislab"/>
              <w:spacing w:before="0" w:after="0"/>
              <w:jc w:val="center"/>
              <w:outlineLvl w:val="0"/>
              <w:rPr>
                <w:b/>
                <w:sz w:val="28"/>
                <w:szCs w:val="28"/>
              </w:rPr>
            </w:pPr>
            <w:r w:rsidRPr="00BA0DE8">
              <w:rPr>
                <w:b/>
              </w:rPr>
              <w:t>I. Tiesību akta projekta izstrādes nepieciešamība</w:t>
            </w:r>
          </w:p>
        </w:tc>
      </w:tr>
      <w:tr w:rsidR="00BA0DE8" w:rsidRPr="00BA0DE8" w14:paraId="37E42372" w14:textId="77777777" w:rsidTr="008E3636">
        <w:tc>
          <w:tcPr>
            <w:tcW w:w="287" w:type="pct"/>
          </w:tcPr>
          <w:p w14:paraId="68276C80" w14:textId="77777777" w:rsidR="00AC145B" w:rsidRPr="00BA0DE8" w:rsidRDefault="00AC145B" w:rsidP="003037FE">
            <w:pPr>
              <w:pStyle w:val="naislab"/>
              <w:spacing w:before="0" w:after="0"/>
              <w:jc w:val="center"/>
              <w:outlineLvl w:val="0"/>
            </w:pPr>
            <w:r w:rsidRPr="00BA0DE8">
              <w:t>1.</w:t>
            </w:r>
          </w:p>
        </w:tc>
        <w:tc>
          <w:tcPr>
            <w:tcW w:w="1275" w:type="pct"/>
          </w:tcPr>
          <w:p w14:paraId="4B7A4FA7" w14:textId="77777777" w:rsidR="00AC145B" w:rsidRPr="00BA0DE8" w:rsidRDefault="00AC145B" w:rsidP="003037FE">
            <w:pPr>
              <w:pStyle w:val="naislab"/>
              <w:spacing w:before="0" w:after="0"/>
              <w:jc w:val="both"/>
              <w:outlineLvl w:val="0"/>
            </w:pPr>
            <w:r w:rsidRPr="00BA0DE8">
              <w:t>Pamatojums</w:t>
            </w:r>
          </w:p>
        </w:tc>
        <w:tc>
          <w:tcPr>
            <w:tcW w:w="3438" w:type="pct"/>
          </w:tcPr>
          <w:p w14:paraId="2EACD7EB" w14:textId="5A537464" w:rsidR="00AC145B" w:rsidRPr="00BA0DE8" w:rsidRDefault="00002015" w:rsidP="00AC145B">
            <w:pPr>
              <w:pStyle w:val="naislab"/>
              <w:spacing w:before="0" w:after="0"/>
              <w:jc w:val="both"/>
              <w:outlineLvl w:val="0"/>
            </w:pPr>
            <w:r w:rsidRPr="00BA0DE8">
              <w:t>Ministru kabineta noteikumu projekts „Slaucamo govju un</w:t>
            </w:r>
            <w:r w:rsidR="00966CB8" w:rsidRPr="00BA0DE8">
              <w:t xml:space="preserve"> slaucamo</w:t>
            </w:r>
            <w:r w:rsidRPr="00BA0DE8">
              <w:t xml:space="preserve"> kazu pārraudzības kārtība” (turpmāk – noteikumu projekts) sagatavots saskaņā ar Ciltsdarba un dzīvnieku audzēšanas likuma 12.panta pirmo daļu.</w:t>
            </w:r>
          </w:p>
        </w:tc>
      </w:tr>
      <w:tr w:rsidR="00BA0DE8" w:rsidRPr="00BA0DE8" w14:paraId="2B9FD514" w14:textId="77777777" w:rsidTr="008E3636">
        <w:tc>
          <w:tcPr>
            <w:tcW w:w="287" w:type="pct"/>
          </w:tcPr>
          <w:p w14:paraId="4630946C" w14:textId="77777777" w:rsidR="00AC145B" w:rsidRPr="00BA0DE8" w:rsidRDefault="00AC145B" w:rsidP="003037FE">
            <w:pPr>
              <w:pStyle w:val="naislab"/>
              <w:spacing w:before="0" w:after="0"/>
              <w:jc w:val="center"/>
              <w:outlineLvl w:val="0"/>
            </w:pPr>
            <w:r w:rsidRPr="00BA0DE8">
              <w:t>2.</w:t>
            </w:r>
          </w:p>
        </w:tc>
        <w:tc>
          <w:tcPr>
            <w:tcW w:w="1275" w:type="pct"/>
          </w:tcPr>
          <w:p w14:paraId="50BABC10" w14:textId="77777777" w:rsidR="00AC145B" w:rsidRPr="00BA0DE8" w:rsidRDefault="00AC145B" w:rsidP="003037FE">
            <w:pPr>
              <w:pStyle w:val="naislab"/>
              <w:spacing w:before="0" w:after="0"/>
              <w:jc w:val="both"/>
              <w:outlineLvl w:val="0"/>
            </w:pPr>
            <w:r w:rsidRPr="00BA0DE8">
              <w:t>Pašreizējā situācija un problēmas, kuru risināšanai tiesību akta projekts izstrādāts, tiesiskā regulējuma mērķis un būtība</w:t>
            </w:r>
          </w:p>
        </w:tc>
        <w:tc>
          <w:tcPr>
            <w:tcW w:w="3438" w:type="pct"/>
          </w:tcPr>
          <w:p w14:paraId="75C50017" w14:textId="73912E19" w:rsidR="00887D2F" w:rsidRPr="00BA0DE8" w:rsidRDefault="00887D2F" w:rsidP="00887D2F">
            <w:pPr>
              <w:jc w:val="both"/>
            </w:pPr>
            <w:r w:rsidRPr="00BA0DE8">
              <w:t xml:space="preserve">Patlaban </w:t>
            </w:r>
            <w:r w:rsidR="008A7D5D" w:rsidRPr="00BA0DE8">
              <w:t>slaucamo govju un kazu</w:t>
            </w:r>
            <w:r w:rsidRPr="00BA0DE8">
              <w:t xml:space="preserve"> pārraudzības kārtību nosaka Ministru kabineta </w:t>
            </w:r>
            <w:proofErr w:type="gramStart"/>
            <w:r w:rsidRPr="00BA0DE8">
              <w:t>2011.gada</w:t>
            </w:r>
            <w:proofErr w:type="gramEnd"/>
            <w:r w:rsidRPr="00BA0DE8">
              <w:t xml:space="preserve"> 5.jūlija noteikumi Nr.</w:t>
            </w:r>
            <w:r w:rsidR="005C045F" w:rsidRPr="00BA0DE8">
              <w:t>547</w:t>
            </w:r>
            <w:r w:rsidRPr="00BA0DE8">
              <w:t xml:space="preserve"> „</w:t>
            </w:r>
            <w:r w:rsidR="005C045F" w:rsidRPr="00BA0DE8">
              <w:t>Slaucamo govju un piena šķirņu kazu</w:t>
            </w:r>
            <w:r w:rsidRPr="00BA0DE8">
              <w:t xml:space="preserve"> pārraudzības kārtība” (turpmāk – noteikumi Nr.</w:t>
            </w:r>
            <w:r w:rsidR="005C045F" w:rsidRPr="00BA0DE8">
              <w:t>547</w:t>
            </w:r>
            <w:r w:rsidRPr="00BA0DE8">
              <w:t>).</w:t>
            </w:r>
          </w:p>
          <w:p w14:paraId="4441E4D0" w14:textId="13CD421D" w:rsidR="00870824" w:rsidRPr="00BA0DE8" w:rsidRDefault="00887D2F" w:rsidP="000957DB">
            <w:pPr>
              <w:pStyle w:val="naispie"/>
              <w:spacing w:before="0" w:beforeAutospacing="0" w:after="0" w:afterAutospacing="0"/>
              <w:jc w:val="both"/>
            </w:pPr>
            <w:r w:rsidRPr="00BA0DE8">
              <w:t>Līdz ar Lauksaimniecības datu centra (turpmāk – datu centrs) darbu pie elektroniskās informācijas ievades sistēmas attīstības un ciltsdarba informatīvās sistēmas pilnveidošanas, izstrādājot jaunu pārraudzības programmas versiju “CILDA” piena un gaļas pārraudzībai, ir nepieciešams sagatavot</w:t>
            </w:r>
            <w:r w:rsidR="0060719D" w:rsidRPr="00BA0DE8">
              <w:t xml:space="preserve"> jaunus noteikumus par slaucamo govju un kazu</w:t>
            </w:r>
            <w:r w:rsidR="00591E61" w:rsidRPr="00BA0DE8">
              <w:t xml:space="preserve"> pārraudzību, nosakot datu</w:t>
            </w:r>
            <w:r w:rsidR="00870824" w:rsidRPr="00BA0DE8">
              <w:t xml:space="preserve"> </w:t>
            </w:r>
            <w:r w:rsidR="00591E61" w:rsidRPr="00BA0DE8">
              <w:t xml:space="preserve">ieguves kārtību </w:t>
            </w:r>
            <w:r w:rsidR="00870824" w:rsidRPr="00BA0DE8">
              <w:t>par gov</w:t>
            </w:r>
            <w:r w:rsidR="000B43C3">
              <w:t>s</w:t>
            </w:r>
            <w:r w:rsidR="00870824" w:rsidRPr="00BA0DE8">
              <w:t xml:space="preserve"> un kaz</w:t>
            </w:r>
            <w:r w:rsidR="000B43C3">
              <w:t>as</w:t>
            </w:r>
            <w:r w:rsidR="00870824" w:rsidRPr="00BA0DE8">
              <w:t xml:space="preserve"> piena ražību</w:t>
            </w:r>
            <w:r w:rsidR="00870824" w:rsidRPr="00BA0DE8" w:rsidDel="00103D0D">
              <w:t xml:space="preserve"> </w:t>
            </w:r>
            <w:r w:rsidR="00870824" w:rsidRPr="00BA0DE8">
              <w:t>(turpmāk – kont</w:t>
            </w:r>
            <w:r w:rsidR="00591E61" w:rsidRPr="00BA0DE8">
              <w:t>roles dati) un eksterjeru.</w:t>
            </w:r>
          </w:p>
          <w:p w14:paraId="2040D6D2" w14:textId="4C11B0F3" w:rsidR="00104613" w:rsidRPr="00BA0DE8" w:rsidRDefault="00DB1932" w:rsidP="00C057B7">
            <w:pPr>
              <w:jc w:val="both"/>
            </w:pPr>
            <w:r w:rsidRPr="00BA0DE8">
              <w:t xml:space="preserve">Līdz šim </w:t>
            </w:r>
            <w:r w:rsidR="00927D6E" w:rsidRPr="00BA0DE8">
              <w:t>kontroles datu reģistrēšanas dokumentu (turpmāk – pārraudzības uzdevums)</w:t>
            </w:r>
            <w:r w:rsidRPr="00BA0DE8">
              <w:t xml:space="preserve"> no datu centra varēja saņemt tikai papīra formā.</w:t>
            </w:r>
            <w:r w:rsidR="00BE211D" w:rsidRPr="00BA0DE8">
              <w:t xml:space="preserve"> Arī kontroles datus </w:t>
            </w:r>
            <w:r w:rsidR="00887D2F" w:rsidRPr="00BA0DE8">
              <w:t xml:space="preserve">datu centram </w:t>
            </w:r>
            <w:r w:rsidR="003D4E3F" w:rsidRPr="00BA0DE8">
              <w:t>varēja</w:t>
            </w:r>
            <w:r w:rsidR="00887D2F" w:rsidRPr="00BA0DE8">
              <w:t xml:space="preserve"> nosūtīt</w:t>
            </w:r>
            <w:r w:rsidR="003D4E3F" w:rsidRPr="00BA0DE8">
              <w:t xml:space="preserve"> tikai</w:t>
            </w:r>
            <w:r w:rsidR="00887D2F" w:rsidRPr="00BA0DE8">
              <w:t xml:space="preserve"> papīra formā, jo nebija izstrādāta programmatūra</w:t>
            </w:r>
            <w:r w:rsidR="00B7046A" w:rsidRPr="00BA0DE8">
              <w:t xml:space="preserve"> attiecīgo</w:t>
            </w:r>
            <w:r w:rsidR="00887D2F" w:rsidRPr="00BA0DE8">
              <w:t xml:space="preserve"> datu tiešai elektroniskai pievienošanai datubāzei. Turpmāk</w:t>
            </w:r>
            <w:r w:rsidRPr="00BA0DE8">
              <w:t xml:space="preserve"> pārraugs pārraudzības uzdevumu varēs izveidot</w:t>
            </w:r>
            <w:r w:rsidR="00496959" w:rsidRPr="00BA0DE8">
              <w:t xml:space="preserve"> un saņemt</w:t>
            </w:r>
            <w:r w:rsidRPr="00BA0DE8">
              <w:t xml:space="preserve"> </w:t>
            </w:r>
            <w:r w:rsidR="00343E26" w:rsidRPr="00BA0DE8">
              <w:t>arī pats datu centra datubāzē</w:t>
            </w:r>
            <w:r w:rsidR="000B43C3">
              <w:t xml:space="preserve"> </w:t>
            </w:r>
            <w:r w:rsidR="00104613" w:rsidRPr="00BA0DE8">
              <w:t>CSV elektroniskās datu tabulas formā vai papīra formā.</w:t>
            </w:r>
          </w:p>
          <w:p w14:paraId="46CC2B1E" w14:textId="67AB147F" w:rsidR="00887D2F" w:rsidRPr="00BA0DE8" w:rsidRDefault="00DB1932" w:rsidP="00887D2F">
            <w:pPr>
              <w:jc w:val="both"/>
            </w:pPr>
            <w:r w:rsidRPr="00BA0DE8">
              <w:t>Pēc pārraudz</w:t>
            </w:r>
            <w:r w:rsidR="00EE024A" w:rsidRPr="00BA0DE8">
              <w:t>ības darba veikša</w:t>
            </w:r>
            <w:r w:rsidRPr="00BA0DE8">
              <w:t>nas</w:t>
            </w:r>
            <w:r w:rsidR="00EE024A" w:rsidRPr="00BA0DE8">
              <w:t xml:space="preserve"> pārraugam būs iespēja </w:t>
            </w:r>
            <w:r w:rsidR="000B43C3">
              <w:t>pa</w:t>
            </w:r>
            <w:r w:rsidR="000B43C3" w:rsidRPr="00BA0DE8">
              <w:t xml:space="preserve">ziņot </w:t>
            </w:r>
            <w:r w:rsidR="00EE024A" w:rsidRPr="00BA0DE8">
              <w:t xml:space="preserve">pārraudzības datus </w:t>
            </w:r>
            <w:r w:rsidR="000B43C3">
              <w:t xml:space="preserve">tāpat </w:t>
            </w:r>
            <w:r w:rsidR="00EE024A" w:rsidRPr="00BA0DE8">
              <w:t>kā līdz šīm papīra formā vai arī elektroniski</w:t>
            </w:r>
            <w:r w:rsidR="00067716" w:rsidRPr="00BA0DE8">
              <w:t>.</w:t>
            </w:r>
            <w:r w:rsidR="00422AF6" w:rsidRPr="00BA0DE8">
              <w:t xml:space="preserve"> Datu paziņošana</w:t>
            </w:r>
            <w:r w:rsidR="000713AA" w:rsidRPr="00BA0DE8">
              <w:t xml:space="preserve"> elektroniski</w:t>
            </w:r>
            <w:r w:rsidR="003D4E3F" w:rsidRPr="00BA0DE8">
              <w:t xml:space="preserve"> </w:t>
            </w:r>
            <w:r w:rsidR="00422AF6" w:rsidRPr="00BA0DE8">
              <w:t>samazinās papīra dokumentu apriti.</w:t>
            </w:r>
          </w:p>
          <w:p w14:paraId="37F0B1BE" w14:textId="36ED5970" w:rsidR="00343E26" w:rsidRPr="00BA0DE8" w:rsidRDefault="000F3449" w:rsidP="00887D2F">
            <w:pPr>
              <w:jc w:val="both"/>
            </w:pPr>
            <w:r w:rsidRPr="00BA0DE8">
              <w:t>Atbilstoši pārraudzības plānā noteiktajam kontroles datu apstrādes rezultātus un p</w:t>
            </w:r>
            <w:r w:rsidR="00343E26" w:rsidRPr="00BA0DE8">
              <w:t>ārraudz</w:t>
            </w:r>
            <w:r w:rsidRPr="00BA0DE8">
              <w:t>ības uzdevumu</w:t>
            </w:r>
            <w:r w:rsidR="00343E26" w:rsidRPr="00BA0DE8">
              <w:t xml:space="preserve"> no datu centra var saņemt pārraugs vai ganāmpulka īpašnieks</w:t>
            </w:r>
            <w:r w:rsidRPr="00BA0DE8">
              <w:t>.</w:t>
            </w:r>
          </w:p>
          <w:p w14:paraId="56E079DF" w14:textId="76EE9509" w:rsidR="00887D2F" w:rsidRPr="00BA0DE8" w:rsidRDefault="005D16B1" w:rsidP="00887D2F">
            <w:pPr>
              <w:pStyle w:val="naispie"/>
              <w:spacing w:before="0" w:beforeAutospacing="0" w:after="0" w:afterAutospacing="0"/>
              <w:jc w:val="both"/>
            </w:pPr>
            <w:r w:rsidRPr="00BA0DE8">
              <w:t xml:space="preserve">Noteikumu projekta sagatavošanas mērķis ir noteikt slaucamo govju un slaucamo kazu pārraudzības kārtību. </w:t>
            </w:r>
            <w:r w:rsidR="00887D2F" w:rsidRPr="00BA0DE8">
              <w:t>Noteikumu projekts paredz:</w:t>
            </w:r>
          </w:p>
          <w:p w14:paraId="7CB0569F" w14:textId="156EA5A2" w:rsidR="00887D2F" w:rsidRPr="00BA0DE8" w:rsidRDefault="000957DB" w:rsidP="000957DB">
            <w:pPr>
              <w:pStyle w:val="Sarakstarindkopa"/>
              <w:ind w:left="9"/>
              <w:jc w:val="both"/>
              <w:rPr>
                <w:bCs/>
              </w:rPr>
            </w:pPr>
            <w:r w:rsidRPr="00BA0DE8">
              <w:rPr>
                <w:bCs/>
              </w:rPr>
              <w:t xml:space="preserve">1) </w:t>
            </w:r>
            <w:r w:rsidR="00887D2F" w:rsidRPr="00BA0DE8">
              <w:rPr>
                <w:bCs/>
              </w:rPr>
              <w:t xml:space="preserve">kārtību, kā </w:t>
            </w:r>
            <w:r w:rsidR="000B43C3">
              <w:rPr>
                <w:bCs/>
              </w:rPr>
              <w:t>no</w:t>
            </w:r>
            <w:r w:rsidR="00887D2F" w:rsidRPr="00BA0DE8">
              <w:rPr>
                <w:bCs/>
              </w:rPr>
              <w:t xml:space="preserve">tiks </w:t>
            </w:r>
            <w:r w:rsidR="007B7D15" w:rsidRPr="00BA0DE8">
              <w:t>slaucamo govju un kazu</w:t>
            </w:r>
            <w:r w:rsidR="00884A8B" w:rsidRPr="00BA0DE8">
              <w:rPr>
                <w:bCs/>
              </w:rPr>
              <w:t xml:space="preserve"> pārraudzība.</w:t>
            </w:r>
            <w:r w:rsidRPr="00BA0DE8">
              <w:rPr>
                <w:bCs/>
              </w:rPr>
              <w:t xml:space="preserve"> Tā kā ir būtiski, lai iegūtie pārraudzības dati būtu korekti, n</w:t>
            </w:r>
            <w:r w:rsidR="00884A8B" w:rsidRPr="00BA0DE8">
              <w:rPr>
                <w:bCs/>
              </w:rPr>
              <w:t>oteikumos grozītas prasības, kas attiecas uz pārraudzības veikšanu pēc C metodes</w:t>
            </w:r>
            <w:r w:rsidR="000B43C3">
              <w:rPr>
                <w:bCs/>
              </w:rPr>
              <w:t>, t.i.,</w:t>
            </w:r>
            <w:r w:rsidRPr="00BA0DE8">
              <w:rPr>
                <w:bCs/>
              </w:rPr>
              <w:t xml:space="preserve"> šajā gadījumā pārraudzību ganāmpulkā veic divi pārraugi </w:t>
            </w:r>
            <w:r w:rsidR="000B43C3">
              <w:rPr>
                <w:bCs/>
              </w:rPr>
              <w:t>–</w:t>
            </w:r>
            <w:r w:rsidRPr="00BA0DE8">
              <w:rPr>
                <w:bCs/>
              </w:rPr>
              <w:t xml:space="preserve"> pārraugs, kas ir</w:t>
            </w:r>
            <w:proofErr w:type="gramStart"/>
            <w:r w:rsidRPr="00BA0DE8">
              <w:rPr>
                <w:bCs/>
              </w:rPr>
              <w:t xml:space="preserve"> saņēmis sertifikātu pārraudzības veikšanai</w:t>
            </w:r>
            <w:proofErr w:type="gramEnd"/>
            <w:r w:rsidR="000B43C3">
              <w:rPr>
                <w:bCs/>
              </w:rPr>
              <w:t>,</w:t>
            </w:r>
            <w:r w:rsidRPr="00BA0DE8">
              <w:rPr>
                <w:bCs/>
              </w:rPr>
              <w:t xml:space="preserve"> un pārraugs, kas ir saņēmis apliecību pārraudzības darba veikšanai vienā ganāmpulkā</w:t>
            </w:r>
            <w:r w:rsidR="000B43C3">
              <w:rPr>
                <w:bCs/>
              </w:rPr>
              <w:t>;</w:t>
            </w:r>
          </w:p>
          <w:p w14:paraId="05DF6473" w14:textId="50D4FA8A" w:rsidR="00884A8B" w:rsidRPr="00BA0DE8" w:rsidRDefault="00887D2F" w:rsidP="00884A8B">
            <w:pPr>
              <w:jc w:val="both"/>
            </w:pPr>
            <w:r w:rsidRPr="00BA0DE8">
              <w:rPr>
                <w:bCs/>
              </w:rPr>
              <w:t>2</w:t>
            </w:r>
            <w:r w:rsidR="00257B87" w:rsidRPr="00BA0DE8">
              <w:rPr>
                <w:bCs/>
              </w:rPr>
              <w:t>) pārraudzības datu iegūšanas,</w:t>
            </w:r>
            <w:r w:rsidRPr="00BA0DE8">
              <w:rPr>
                <w:bCs/>
              </w:rPr>
              <w:t xml:space="preserve"> reģistrēšanas</w:t>
            </w:r>
            <w:r w:rsidR="00257B87" w:rsidRPr="00BA0DE8">
              <w:rPr>
                <w:bCs/>
              </w:rPr>
              <w:t xml:space="preserve"> un uzskaites</w:t>
            </w:r>
            <w:r w:rsidR="00884A8B" w:rsidRPr="00BA0DE8">
              <w:rPr>
                <w:bCs/>
              </w:rPr>
              <w:t xml:space="preserve"> kārtību.</w:t>
            </w:r>
            <w:r w:rsidR="000957DB" w:rsidRPr="00BA0DE8">
              <w:rPr>
                <w:bCs/>
              </w:rPr>
              <w:t xml:space="preserve"> </w:t>
            </w:r>
            <w:r w:rsidR="00884A8B" w:rsidRPr="00BA0DE8">
              <w:t>Tā kā Latvija ir Starptautiskās dzīvnieku pārraudzības komitejas (turpmāk –</w:t>
            </w:r>
            <w:r w:rsidR="00884A8B" w:rsidRPr="00BA0DE8">
              <w:rPr>
                <w:i/>
              </w:rPr>
              <w:t>ICAR</w:t>
            </w:r>
            <w:r w:rsidR="00884A8B" w:rsidRPr="00BA0DE8">
              <w:t xml:space="preserve">) dalībvalsts, noteikumos ir ietvertas </w:t>
            </w:r>
            <w:r w:rsidR="00884A8B" w:rsidRPr="00BA0DE8">
              <w:rPr>
                <w:i/>
              </w:rPr>
              <w:t>ICAR</w:t>
            </w:r>
            <w:r w:rsidR="00884A8B" w:rsidRPr="00BA0DE8">
              <w:t xml:space="preserve"> pārraudzības vadlīnijās noteiktās normas attiecībā uz datu ieguvi. Vadlīniju pārņemšana Latvijai ir saistoša</w:t>
            </w:r>
            <w:r w:rsidR="000B43C3">
              <w:t>,</w:t>
            </w:r>
            <w:r w:rsidR="00884A8B" w:rsidRPr="00BA0DE8">
              <w:t xml:space="preserve"> arī lai pārņemtu Komisijas </w:t>
            </w:r>
            <w:proofErr w:type="gramStart"/>
            <w:r w:rsidR="00884A8B" w:rsidRPr="00BA0DE8">
              <w:t>2006.gada</w:t>
            </w:r>
            <w:proofErr w:type="gramEnd"/>
            <w:r w:rsidR="00884A8B" w:rsidRPr="00BA0DE8">
              <w:t xml:space="preserve"> 20.jūnija Lēmumu 2006/427/EK, ar ko nosaka kopējās vērtības pārbaudes </w:t>
            </w:r>
            <w:r w:rsidR="00884A8B" w:rsidRPr="00BA0DE8">
              <w:lastRenderedPageBreak/>
              <w:t>metodes un metodes liellopu tīršķirnes vaislas liellopu ciltsvērtības novērtēšanai.</w:t>
            </w:r>
          </w:p>
          <w:p w14:paraId="1BED0909" w14:textId="159C63F1" w:rsidR="005D16B1" w:rsidRPr="00BA0DE8" w:rsidRDefault="005D16B1" w:rsidP="00884A8B">
            <w:pPr>
              <w:jc w:val="both"/>
              <w:rPr>
                <w:sz w:val="26"/>
                <w:szCs w:val="26"/>
              </w:rPr>
            </w:pPr>
            <w:r w:rsidRPr="00BA0DE8">
              <w:t>Līdz ar programmas “CILDA” izstrādi noteikumu projektā ir preciz</w:t>
            </w:r>
            <w:r w:rsidR="0091351B" w:rsidRPr="00BA0DE8">
              <w:t>ēta</w:t>
            </w:r>
            <w:r w:rsidRPr="00BA0DE8">
              <w:t xml:space="preserve"> pārraudzības uzdevuma saņemšanas, aizpildīšanas un nosūtīšanas kārt</w:t>
            </w:r>
            <w:r w:rsidR="0091351B" w:rsidRPr="00BA0DE8">
              <w:t>ība</w:t>
            </w:r>
            <w:r w:rsidRPr="00BA0DE8">
              <w:t>;</w:t>
            </w:r>
          </w:p>
          <w:p w14:paraId="2C2CC134" w14:textId="3B94E115" w:rsidR="00887D2F" w:rsidRPr="00BA0DE8" w:rsidRDefault="00257B87" w:rsidP="00887D2F">
            <w:pPr>
              <w:jc w:val="both"/>
              <w:rPr>
                <w:bCs/>
              </w:rPr>
            </w:pPr>
            <w:r w:rsidRPr="00BA0DE8">
              <w:rPr>
                <w:bCs/>
              </w:rPr>
              <w:t>3) eksterjera</w:t>
            </w:r>
            <w:r w:rsidR="00887D2F" w:rsidRPr="00BA0DE8">
              <w:rPr>
                <w:bCs/>
              </w:rPr>
              <w:t xml:space="preserve"> vērtēšanas nosacījumus;</w:t>
            </w:r>
          </w:p>
          <w:p w14:paraId="77045F58" w14:textId="6D56F61A" w:rsidR="000F4F14" w:rsidRPr="00BA0DE8" w:rsidRDefault="000F4F14" w:rsidP="00887D2F">
            <w:pPr>
              <w:jc w:val="both"/>
              <w:rPr>
                <w:bCs/>
              </w:rPr>
            </w:pPr>
            <w:r w:rsidRPr="00BA0DE8">
              <w:rPr>
                <w:bCs/>
              </w:rPr>
              <w:t xml:space="preserve">Attiecībā uz kazu vērtēšanu noteikumu projektā paredzēts, ka </w:t>
            </w:r>
            <w:r w:rsidR="00360A74" w:rsidRPr="00BA0DE8">
              <w:t>e</w:t>
            </w:r>
            <w:r w:rsidRPr="00BA0DE8">
              <w:t xml:space="preserve">ksperts kazu eksterjera vērtēšanas datu reģistrēšanai izmanto veidlapas, ko sagatavojusi attiecīgās šķirnes lauksaimniecības dzīvnieku audzētāju organizācija. </w:t>
            </w:r>
            <w:r w:rsidR="00C5479E" w:rsidRPr="00BA0DE8">
              <w:t xml:space="preserve">Noteikumu projektā ir </w:t>
            </w:r>
            <w:r w:rsidR="000B43C3">
              <w:t>minētas</w:t>
            </w:r>
            <w:r w:rsidR="00C5479E" w:rsidRPr="00BA0DE8">
              <w:t xml:space="preserve"> vērtējamās pazīmes kaz</w:t>
            </w:r>
            <w:r w:rsidR="00415631" w:rsidRPr="00BA0DE8">
              <w:t xml:space="preserve">ām. </w:t>
            </w:r>
            <w:r w:rsidR="000B43C3">
              <w:t>N</w:t>
            </w:r>
            <w:r w:rsidR="000B43C3" w:rsidRPr="00BA0DE8">
              <w:t xml:space="preserve">oteikumu projektā </w:t>
            </w:r>
            <w:r w:rsidR="000B43C3">
              <w:t>n</w:t>
            </w:r>
            <w:r w:rsidR="00C5479E" w:rsidRPr="00BA0DE8">
              <w:t xml:space="preserve">av nepieciešams </w:t>
            </w:r>
            <w:r w:rsidR="000B43C3">
              <w:t xml:space="preserve">dot </w:t>
            </w:r>
            <w:r w:rsidR="00415631" w:rsidRPr="00BA0DE8">
              <w:t xml:space="preserve">precīzu veidlapas </w:t>
            </w:r>
            <w:r w:rsidR="000B43C3">
              <w:t>paraugu</w:t>
            </w:r>
            <w:r w:rsidR="00415631" w:rsidRPr="00BA0DE8">
              <w:t>, jo</w:t>
            </w:r>
            <w:r w:rsidR="00487A8F" w:rsidRPr="00BA0DE8">
              <w:t xml:space="preserve"> pārraudzībā esošo kazu skaits ir mazs un eksterjera vērtēšanas datus </w:t>
            </w:r>
            <w:r w:rsidR="00415631" w:rsidRPr="00BA0DE8">
              <w:t xml:space="preserve">pašlaik </w:t>
            </w:r>
            <w:r w:rsidR="00487A8F" w:rsidRPr="00BA0DE8">
              <w:t>neizmanto datorizētai kazu ciltsvērtības</w:t>
            </w:r>
            <w:r w:rsidR="003242DE" w:rsidRPr="00BA0DE8">
              <w:t xml:space="preserve"> indeksa</w:t>
            </w:r>
            <w:r w:rsidR="00487A8F" w:rsidRPr="00BA0DE8">
              <w:t xml:space="preserve"> </w:t>
            </w:r>
            <w:r w:rsidR="00384D74" w:rsidRPr="00BA0DE8">
              <w:t>aprēķināšanai</w:t>
            </w:r>
            <w:r w:rsidR="000B43C3">
              <w:t>;</w:t>
            </w:r>
            <w:r w:rsidR="00415631" w:rsidRPr="00BA0DE8">
              <w:t xml:space="preserve"> </w:t>
            </w:r>
          </w:p>
          <w:p w14:paraId="5C834D4E" w14:textId="77777777" w:rsidR="000F328E" w:rsidRPr="00BA0DE8" w:rsidRDefault="00257B87" w:rsidP="00887D2F">
            <w:pPr>
              <w:jc w:val="both"/>
              <w:rPr>
                <w:bCs/>
              </w:rPr>
            </w:pPr>
            <w:r w:rsidRPr="00BA0DE8">
              <w:rPr>
                <w:bCs/>
              </w:rPr>
              <w:t xml:space="preserve">4) </w:t>
            </w:r>
            <w:proofErr w:type="spellStart"/>
            <w:r w:rsidRPr="00BA0DE8">
              <w:rPr>
                <w:bCs/>
              </w:rPr>
              <w:t>virspārraudzības</w:t>
            </w:r>
            <w:proofErr w:type="spellEnd"/>
            <w:r w:rsidRPr="00BA0DE8">
              <w:rPr>
                <w:bCs/>
              </w:rPr>
              <w:t xml:space="preserve"> kārtību</w:t>
            </w:r>
            <w:r w:rsidR="000957DB" w:rsidRPr="00BA0DE8">
              <w:rPr>
                <w:bCs/>
              </w:rPr>
              <w:t xml:space="preserve">. </w:t>
            </w:r>
          </w:p>
          <w:p w14:paraId="11316063" w14:textId="307BDD60" w:rsidR="009D1DBD" w:rsidRPr="00BA0DE8" w:rsidRDefault="000F328E" w:rsidP="00887D2F">
            <w:pPr>
              <w:jc w:val="both"/>
              <w:rPr>
                <w:bCs/>
              </w:rPr>
            </w:pPr>
            <w:proofErr w:type="spellStart"/>
            <w:r w:rsidRPr="00BA0DE8">
              <w:rPr>
                <w:bCs/>
              </w:rPr>
              <w:t>Virspārraudzības</w:t>
            </w:r>
            <w:proofErr w:type="spellEnd"/>
            <w:r w:rsidRPr="00BA0DE8">
              <w:rPr>
                <w:bCs/>
              </w:rPr>
              <w:t xml:space="preserve"> definīcija, kā arī </w:t>
            </w:r>
            <w:proofErr w:type="spellStart"/>
            <w:r w:rsidRPr="00BA0DE8">
              <w:rPr>
                <w:bCs/>
              </w:rPr>
              <w:t>virspārraudzības</w:t>
            </w:r>
            <w:proofErr w:type="spellEnd"/>
            <w:r w:rsidRPr="00BA0DE8">
              <w:rPr>
                <w:bCs/>
              </w:rPr>
              <w:t xml:space="preserve"> veicējs </w:t>
            </w:r>
            <w:r w:rsidR="006D1130" w:rsidRPr="00BA0DE8">
              <w:rPr>
                <w:bCs/>
              </w:rPr>
              <w:t>ir noteik</w:t>
            </w:r>
            <w:r w:rsidR="000B43C3">
              <w:rPr>
                <w:bCs/>
              </w:rPr>
              <w:t>ti</w:t>
            </w:r>
            <w:r w:rsidR="006D1130" w:rsidRPr="00BA0DE8">
              <w:rPr>
                <w:bCs/>
              </w:rPr>
              <w:t xml:space="preserve"> C</w:t>
            </w:r>
            <w:r w:rsidRPr="00BA0DE8">
              <w:rPr>
                <w:bCs/>
              </w:rPr>
              <w:t xml:space="preserve">iltsdarba un dzīvnieku audzēšanas likumā. </w:t>
            </w:r>
            <w:proofErr w:type="spellStart"/>
            <w:r w:rsidR="001175F8" w:rsidRPr="00BA0DE8">
              <w:rPr>
                <w:bCs/>
              </w:rPr>
              <w:t>Virspārraudzības</w:t>
            </w:r>
            <w:proofErr w:type="spellEnd"/>
            <w:r w:rsidR="001175F8" w:rsidRPr="00BA0DE8">
              <w:rPr>
                <w:bCs/>
              </w:rPr>
              <w:t xml:space="preserve"> mērķis ir uzlabot pārraudzības datu kvalitāti.</w:t>
            </w:r>
            <w:r w:rsidR="003937EE" w:rsidRPr="00BA0DE8">
              <w:rPr>
                <w:bCs/>
              </w:rPr>
              <w:t xml:space="preserve"> </w:t>
            </w:r>
            <w:r w:rsidR="001175F8" w:rsidRPr="00BA0DE8">
              <w:rPr>
                <w:bCs/>
              </w:rPr>
              <w:t xml:space="preserve"> </w:t>
            </w:r>
            <w:r w:rsidR="006D1130" w:rsidRPr="00BA0DE8">
              <w:rPr>
                <w:bCs/>
              </w:rPr>
              <w:t xml:space="preserve">Pirms </w:t>
            </w:r>
            <w:proofErr w:type="spellStart"/>
            <w:r w:rsidR="006D1130" w:rsidRPr="00BA0DE8">
              <w:rPr>
                <w:bCs/>
              </w:rPr>
              <w:t>virspārraudzības</w:t>
            </w:r>
            <w:proofErr w:type="spellEnd"/>
            <w:r w:rsidR="006D1130" w:rsidRPr="00BA0DE8">
              <w:rPr>
                <w:bCs/>
              </w:rPr>
              <w:t xml:space="preserve"> </w:t>
            </w:r>
            <w:r w:rsidRPr="00BA0DE8">
              <w:rPr>
                <w:bCs/>
              </w:rPr>
              <w:t>datub</w:t>
            </w:r>
            <w:r w:rsidR="006D1130" w:rsidRPr="00BA0DE8">
              <w:rPr>
                <w:bCs/>
              </w:rPr>
              <w:t>āzē</w:t>
            </w:r>
            <w:r w:rsidRPr="00BA0DE8">
              <w:rPr>
                <w:bCs/>
              </w:rPr>
              <w:t xml:space="preserve"> </w:t>
            </w:r>
            <w:r w:rsidR="000B43C3">
              <w:rPr>
                <w:bCs/>
              </w:rPr>
              <w:t xml:space="preserve">ir jāveic </w:t>
            </w:r>
            <w:r w:rsidRPr="00BA0DE8">
              <w:rPr>
                <w:bCs/>
              </w:rPr>
              <w:t>riska faktoru analīz</w:t>
            </w:r>
            <w:r w:rsidR="000B43C3">
              <w:rPr>
                <w:bCs/>
              </w:rPr>
              <w:t>e</w:t>
            </w:r>
            <w:r w:rsidR="003937EE" w:rsidRPr="00BA0DE8">
              <w:rPr>
                <w:bCs/>
              </w:rPr>
              <w:t>, ņemot vērā būtisk</w:t>
            </w:r>
            <w:r w:rsidR="008A6594" w:rsidRPr="00BA0DE8">
              <w:rPr>
                <w:bCs/>
              </w:rPr>
              <w:t>ā</w:t>
            </w:r>
            <w:r w:rsidR="003937EE" w:rsidRPr="00BA0DE8">
              <w:rPr>
                <w:bCs/>
              </w:rPr>
              <w:t>kās</w:t>
            </w:r>
            <w:r w:rsidR="008A6594" w:rsidRPr="00BA0DE8">
              <w:rPr>
                <w:bCs/>
              </w:rPr>
              <w:t xml:space="preserve"> pārraudzības darba</w:t>
            </w:r>
            <w:r w:rsidR="003937EE" w:rsidRPr="00BA0DE8">
              <w:rPr>
                <w:bCs/>
              </w:rPr>
              <w:t xml:space="preserve"> probl</w:t>
            </w:r>
            <w:r w:rsidR="008A6594" w:rsidRPr="00BA0DE8">
              <w:rPr>
                <w:bCs/>
              </w:rPr>
              <w:t>ēmas</w:t>
            </w:r>
            <w:r w:rsidR="000B43C3" w:rsidRPr="00BA0DE8">
              <w:rPr>
                <w:bCs/>
              </w:rPr>
              <w:t xml:space="preserve"> attiecīgā</w:t>
            </w:r>
            <w:r w:rsidR="000B43C3">
              <w:rPr>
                <w:bCs/>
              </w:rPr>
              <w:t xml:space="preserve"> laikposmā</w:t>
            </w:r>
            <w:r w:rsidR="008A6594" w:rsidRPr="00BA0DE8">
              <w:rPr>
                <w:bCs/>
              </w:rPr>
              <w:t>.</w:t>
            </w:r>
            <w:r w:rsidR="006D1130" w:rsidRPr="00BA0DE8">
              <w:rPr>
                <w:bCs/>
              </w:rPr>
              <w:t xml:space="preserve"> Riska faktoru analīzes rezultātā iespējams atlasīt</w:t>
            </w:r>
            <w:r w:rsidR="003937EE" w:rsidRPr="00BA0DE8">
              <w:rPr>
                <w:bCs/>
              </w:rPr>
              <w:t xml:space="preserve"> pārraudzības</w:t>
            </w:r>
            <w:r w:rsidRPr="00BA0DE8">
              <w:rPr>
                <w:bCs/>
              </w:rPr>
              <w:t xml:space="preserve"> saimniecīb</w:t>
            </w:r>
            <w:r w:rsidR="001175F8" w:rsidRPr="00BA0DE8">
              <w:rPr>
                <w:bCs/>
              </w:rPr>
              <w:t>as</w:t>
            </w:r>
            <w:r w:rsidRPr="00BA0DE8">
              <w:rPr>
                <w:bCs/>
              </w:rPr>
              <w:t>, par kurām ir aizdomas, ka dati tajās netiek iegūti saskaņā ar noteikto pārraudzības kārtību</w:t>
            </w:r>
            <w:r w:rsidR="00AF0BAF" w:rsidRPr="00BA0DE8">
              <w:rPr>
                <w:bCs/>
              </w:rPr>
              <w:t xml:space="preserve"> (piemēram, </w:t>
            </w:r>
            <w:r w:rsidR="003937EE" w:rsidRPr="00BA0DE8">
              <w:rPr>
                <w:bCs/>
              </w:rPr>
              <w:t xml:space="preserve">var būt situācija, ka attiecīgās saimniecības govju </w:t>
            </w:r>
            <w:r w:rsidR="00AF0BAF" w:rsidRPr="00BA0DE8">
              <w:rPr>
                <w:bCs/>
              </w:rPr>
              <w:t xml:space="preserve">kontroles </w:t>
            </w:r>
            <w:r w:rsidR="00EC19B2" w:rsidRPr="00BA0DE8">
              <w:rPr>
                <w:bCs/>
              </w:rPr>
              <w:t>dat</w:t>
            </w:r>
            <w:r w:rsidR="000B43C3">
              <w:rPr>
                <w:bCs/>
              </w:rPr>
              <w:t>os</w:t>
            </w:r>
            <w:r w:rsidR="00EC19B2" w:rsidRPr="00BA0DE8">
              <w:rPr>
                <w:bCs/>
              </w:rPr>
              <w:t xml:space="preserve"> regulāri</w:t>
            </w:r>
            <w:r w:rsidR="00AF0BAF" w:rsidRPr="00BA0DE8">
              <w:rPr>
                <w:bCs/>
              </w:rPr>
              <w:t xml:space="preserve"> </w:t>
            </w:r>
            <w:r w:rsidR="000B43C3">
              <w:rPr>
                <w:bCs/>
              </w:rPr>
              <w:t>pa</w:t>
            </w:r>
            <w:r w:rsidR="00AF0BAF" w:rsidRPr="00BA0DE8">
              <w:rPr>
                <w:bCs/>
              </w:rPr>
              <w:t>rād</w:t>
            </w:r>
            <w:r w:rsidR="000B43C3">
              <w:rPr>
                <w:bCs/>
              </w:rPr>
              <w:t>ās</w:t>
            </w:r>
            <w:r w:rsidR="00AF0BAF" w:rsidRPr="00BA0DE8">
              <w:rPr>
                <w:bCs/>
              </w:rPr>
              <w:t xml:space="preserve"> atkāpes no vidējiem govju produktivitātes rādītājiem). Ja nepieciešams, riska faktoru analīzē iespējams atlasīt saimniecības, kurām ir </w:t>
            </w:r>
            <w:r w:rsidR="003937EE" w:rsidRPr="00BA0DE8">
              <w:rPr>
                <w:bCs/>
              </w:rPr>
              <w:t>ļoti augsti produktivitātes rādītāji</w:t>
            </w:r>
            <w:r w:rsidR="00AF0BAF" w:rsidRPr="00BA0DE8">
              <w:rPr>
                <w:bCs/>
              </w:rPr>
              <w:t>, lai pārliecin</w:t>
            </w:r>
            <w:r w:rsidR="001175F8" w:rsidRPr="00BA0DE8">
              <w:rPr>
                <w:bCs/>
              </w:rPr>
              <w:t xml:space="preserve">ātos par </w:t>
            </w:r>
            <w:r w:rsidR="003937EE" w:rsidRPr="00BA0DE8">
              <w:rPr>
                <w:bCs/>
              </w:rPr>
              <w:t>šo rādītāju</w:t>
            </w:r>
            <w:r w:rsidR="00AF0BAF" w:rsidRPr="00BA0DE8">
              <w:rPr>
                <w:bCs/>
              </w:rPr>
              <w:t xml:space="preserve"> ticam</w:t>
            </w:r>
            <w:r w:rsidR="001175F8" w:rsidRPr="00BA0DE8">
              <w:rPr>
                <w:bCs/>
              </w:rPr>
              <w:t>ību.</w:t>
            </w:r>
            <w:r w:rsidR="00AF0BAF" w:rsidRPr="00BA0DE8">
              <w:rPr>
                <w:bCs/>
              </w:rPr>
              <w:t xml:space="preserve"> Riska faktorus </w:t>
            </w:r>
            <w:proofErr w:type="spellStart"/>
            <w:r w:rsidR="00AF0BAF" w:rsidRPr="00BA0DE8">
              <w:rPr>
                <w:bCs/>
              </w:rPr>
              <w:t>virpsārraudzības</w:t>
            </w:r>
            <w:proofErr w:type="spellEnd"/>
            <w:r w:rsidR="00AF0BAF" w:rsidRPr="00BA0DE8">
              <w:rPr>
                <w:bCs/>
              </w:rPr>
              <w:t xml:space="preserve"> veikšanai pa gadiem var izvēlēties dažādus, jo</w:t>
            </w:r>
            <w:r w:rsidR="002A7C64" w:rsidRPr="00BA0DE8">
              <w:rPr>
                <w:bCs/>
              </w:rPr>
              <w:t>, lai</w:t>
            </w:r>
            <w:r w:rsidR="00AF0BAF" w:rsidRPr="00BA0DE8">
              <w:rPr>
                <w:bCs/>
              </w:rPr>
              <w:t xml:space="preserve"> </w:t>
            </w:r>
            <w:proofErr w:type="spellStart"/>
            <w:r w:rsidR="002A7C64" w:rsidRPr="00BA0DE8">
              <w:rPr>
                <w:bCs/>
              </w:rPr>
              <w:t>virspārraudzība</w:t>
            </w:r>
            <w:proofErr w:type="spellEnd"/>
            <w:r w:rsidR="002A7C64" w:rsidRPr="00BA0DE8">
              <w:rPr>
                <w:bCs/>
              </w:rPr>
              <w:t xml:space="preserve"> būtu efektīva un uzlabotu pārraudzības rezultātu ticamību, </w:t>
            </w:r>
            <w:r w:rsidR="001175F8" w:rsidRPr="00BA0DE8">
              <w:rPr>
                <w:bCs/>
              </w:rPr>
              <w:t xml:space="preserve">ir jāreaģē uz attiecīgā brīža problēmu. </w:t>
            </w:r>
            <w:r w:rsidR="00EC19B2" w:rsidRPr="00BA0DE8">
              <w:rPr>
                <w:bCs/>
              </w:rPr>
              <w:t xml:space="preserve">Atkarībā no risināmās pārraudzības problēmas </w:t>
            </w:r>
            <w:proofErr w:type="spellStart"/>
            <w:r w:rsidR="00EC19B2" w:rsidRPr="00BA0DE8">
              <w:rPr>
                <w:bCs/>
              </w:rPr>
              <w:t>virspārraudzības</w:t>
            </w:r>
            <w:proofErr w:type="spellEnd"/>
            <w:r w:rsidR="00EC19B2" w:rsidRPr="00BA0DE8">
              <w:rPr>
                <w:bCs/>
              </w:rPr>
              <w:t xml:space="preserve"> veicējs lemj par attiecīgajiem pasākumiem problēmas </w:t>
            </w:r>
            <w:r w:rsidR="000B43C3">
              <w:rPr>
                <w:bCs/>
              </w:rPr>
              <w:t>iemesla</w:t>
            </w:r>
            <w:r w:rsidR="00EC19B2" w:rsidRPr="00BA0DE8">
              <w:rPr>
                <w:bCs/>
              </w:rPr>
              <w:t xml:space="preserve"> noskaidrošanai un novēr</w:t>
            </w:r>
            <w:r w:rsidR="00277535" w:rsidRPr="00BA0DE8">
              <w:rPr>
                <w:bCs/>
              </w:rPr>
              <w:t xml:space="preserve">šanai, piemēram, veic </w:t>
            </w:r>
            <w:proofErr w:type="spellStart"/>
            <w:r w:rsidR="00277535" w:rsidRPr="00BA0DE8">
              <w:rPr>
                <w:bCs/>
              </w:rPr>
              <w:t>virspārraudzību</w:t>
            </w:r>
            <w:proofErr w:type="spellEnd"/>
            <w:r w:rsidR="00277535" w:rsidRPr="00BA0DE8">
              <w:rPr>
                <w:bCs/>
              </w:rPr>
              <w:t xml:space="preserve"> pārraudzības saimniecībā vai lūdz pārraudzības saimniecības īpašnieku skaidrot </w:t>
            </w:r>
            <w:r w:rsidR="00580AE7" w:rsidRPr="00BA0DE8">
              <w:rPr>
                <w:bCs/>
              </w:rPr>
              <w:t>neatbilstību i</w:t>
            </w:r>
            <w:r w:rsidR="009D1DBD" w:rsidRPr="00BA0DE8">
              <w:rPr>
                <w:bCs/>
              </w:rPr>
              <w:t>e</w:t>
            </w:r>
            <w:r w:rsidR="00580AE7" w:rsidRPr="00BA0DE8">
              <w:rPr>
                <w:bCs/>
              </w:rPr>
              <w:t>meslus.</w:t>
            </w:r>
            <w:r w:rsidR="00277535" w:rsidRPr="00BA0DE8">
              <w:rPr>
                <w:bCs/>
              </w:rPr>
              <w:t xml:space="preserve"> </w:t>
            </w:r>
            <w:proofErr w:type="spellStart"/>
            <w:r w:rsidR="009D1DBD" w:rsidRPr="00BA0DE8">
              <w:rPr>
                <w:bCs/>
              </w:rPr>
              <w:t>Virspārraudzība</w:t>
            </w:r>
            <w:proofErr w:type="spellEnd"/>
            <w:r w:rsidR="009D1DBD" w:rsidRPr="00BA0DE8">
              <w:rPr>
                <w:bCs/>
              </w:rPr>
              <w:t xml:space="preserve"> ir komplekss pasākums</w:t>
            </w:r>
            <w:r w:rsidR="000B43C3">
              <w:rPr>
                <w:bCs/>
              </w:rPr>
              <w:t>,</w:t>
            </w:r>
            <w:r w:rsidR="009D1DBD" w:rsidRPr="00BA0DE8">
              <w:rPr>
                <w:bCs/>
              </w:rPr>
              <w:t xml:space="preserve"> un ir nepieciešams, lai tā</w:t>
            </w:r>
            <w:r w:rsidR="000B43C3">
              <w:rPr>
                <w:bCs/>
              </w:rPr>
              <w:t>s</w:t>
            </w:r>
            <w:r w:rsidR="009D1DBD" w:rsidRPr="00BA0DE8">
              <w:rPr>
                <w:bCs/>
              </w:rPr>
              <w:t xml:space="preserve"> veicējs varētu elastīgi lemt par to, kādā veidā un ar k</w:t>
            </w:r>
            <w:r w:rsidR="000B43C3">
              <w:rPr>
                <w:bCs/>
              </w:rPr>
              <w:t>ur</w:t>
            </w:r>
            <w:r w:rsidR="009D1DBD" w:rsidRPr="00BA0DE8">
              <w:rPr>
                <w:bCs/>
              </w:rPr>
              <w:t xml:space="preserve">iem </w:t>
            </w:r>
            <w:r w:rsidR="000B43C3">
              <w:rPr>
                <w:bCs/>
              </w:rPr>
              <w:t>pa</w:t>
            </w:r>
            <w:r w:rsidR="009D1DBD" w:rsidRPr="00BA0DE8">
              <w:rPr>
                <w:bCs/>
              </w:rPr>
              <w:t xml:space="preserve">sākumiem to </w:t>
            </w:r>
            <w:r w:rsidR="000B43C3">
              <w:rPr>
                <w:bCs/>
              </w:rPr>
              <w:t>konkrētā</w:t>
            </w:r>
            <w:r w:rsidR="009D1DBD" w:rsidRPr="00BA0DE8">
              <w:rPr>
                <w:bCs/>
              </w:rPr>
              <w:t xml:space="preserve"> brīdī </w:t>
            </w:r>
            <w:r w:rsidR="000B43C3">
              <w:rPr>
                <w:bCs/>
              </w:rPr>
              <w:t>īstenot</w:t>
            </w:r>
            <w:r w:rsidR="009D1DBD" w:rsidRPr="00BA0DE8">
              <w:rPr>
                <w:bCs/>
              </w:rPr>
              <w:t xml:space="preserve"> visefektīvāk.</w:t>
            </w:r>
          </w:p>
          <w:p w14:paraId="64849DB8" w14:textId="62820161" w:rsidR="00257B87" w:rsidRPr="00BA0DE8" w:rsidRDefault="000B43C3" w:rsidP="00887D2F">
            <w:pPr>
              <w:jc w:val="both"/>
              <w:rPr>
                <w:bCs/>
              </w:rPr>
            </w:pPr>
            <w:r>
              <w:rPr>
                <w:bCs/>
              </w:rPr>
              <w:t>Tāpat ir p</w:t>
            </w:r>
            <w:r w:rsidR="000957DB" w:rsidRPr="00BA0DE8">
              <w:rPr>
                <w:bCs/>
              </w:rPr>
              <w:t xml:space="preserve">recizēti datu centra pienākumi, ja </w:t>
            </w:r>
            <w:proofErr w:type="spellStart"/>
            <w:r w:rsidR="000957DB" w:rsidRPr="00BA0DE8">
              <w:rPr>
                <w:bCs/>
              </w:rPr>
              <w:t>virspārraudzībā</w:t>
            </w:r>
            <w:proofErr w:type="spellEnd"/>
            <w:r w:rsidR="005D16B1" w:rsidRPr="00BA0DE8">
              <w:rPr>
                <w:bCs/>
              </w:rPr>
              <w:t xml:space="preserve"> ir</w:t>
            </w:r>
            <w:r w:rsidR="000957DB" w:rsidRPr="00BA0DE8">
              <w:rPr>
                <w:bCs/>
              </w:rPr>
              <w:t xml:space="preserve"> konstatē</w:t>
            </w:r>
            <w:r w:rsidR="005D16B1" w:rsidRPr="00BA0DE8">
              <w:rPr>
                <w:bCs/>
              </w:rPr>
              <w:t>t</w:t>
            </w:r>
            <w:r w:rsidR="000957DB" w:rsidRPr="00BA0DE8">
              <w:rPr>
                <w:bCs/>
              </w:rPr>
              <w:t>s, ka pārraudzības dati netiek iegūt</w:t>
            </w:r>
            <w:r>
              <w:rPr>
                <w:bCs/>
              </w:rPr>
              <w:t>i</w:t>
            </w:r>
            <w:r w:rsidR="000957DB" w:rsidRPr="00BA0DE8">
              <w:rPr>
                <w:bCs/>
              </w:rPr>
              <w:t xml:space="preserve"> saskaņā ar noteikumu prasīb</w:t>
            </w:r>
            <w:r w:rsidR="005D16B1" w:rsidRPr="00BA0DE8">
              <w:rPr>
                <w:bCs/>
              </w:rPr>
              <w:t>ām</w:t>
            </w:r>
            <w:r w:rsidR="00257B87" w:rsidRPr="00BA0DE8">
              <w:rPr>
                <w:bCs/>
              </w:rPr>
              <w:t>;</w:t>
            </w:r>
          </w:p>
          <w:p w14:paraId="5FAA843C" w14:textId="6444DBD3" w:rsidR="00FE09A0" w:rsidRPr="00BA0DE8" w:rsidRDefault="003561E6" w:rsidP="00884A8B">
            <w:pPr>
              <w:jc w:val="both"/>
              <w:rPr>
                <w:bCs/>
              </w:rPr>
            </w:pPr>
            <w:r>
              <w:rPr>
                <w:bCs/>
              </w:rPr>
              <w:t>5</w:t>
            </w:r>
            <w:r w:rsidR="00887D2F" w:rsidRPr="00BA0DE8">
              <w:rPr>
                <w:bCs/>
              </w:rPr>
              <w:t>) pārrauga, eksperta un ganāmpulka īpašnieka tiesības un pienākumus.</w:t>
            </w:r>
          </w:p>
        </w:tc>
      </w:tr>
      <w:tr w:rsidR="00BA0DE8" w:rsidRPr="00BA0DE8" w14:paraId="59C2246A" w14:textId="77777777" w:rsidTr="008E3636">
        <w:tc>
          <w:tcPr>
            <w:tcW w:w="287" w:type="pct"/>
          </w:tcPr>
          <w:p w14:paraId="2DBE2D98" w14:textId="3CC3350A" w:rsidR="00AC145B" w:rsidRPr="00BA0DE8" w:rsidRDefault="00243D1D" w:rsidP="003037FE">
            <w:pPr>
              <w:pStyle w:val="Galvene"/>
              <w:jc w:val="center"/>
              <w:outlineLvl w:val="0"/>
            </w:pPr>
            <w:r w:rsidRPr="00BA0DE8">
              <w:lastRenderedPageBreak/>
              <w:t>3</w:t>
            </w:r>
            <w:r w:rsidR="00AC145B" w:rsidRPr="00BA0DE8">
              <w:t>.</w:t>
            </w:r>
          </w:p>
        </w:tc>
        <w:tc>
          <w:tcPr>
            <w:tcW w:w="1275" w:type="pct"/>
          </w:tcPr>
          <w:p w14:paraId="73E7E513" w14:textId="77777777" w:rsidR="00AC145B" w:rsidRPr="00BA0DE8" w:rsidRDefault="00AC145B" w:rsidP="003037FE">
            <w:pPr>
              <w:pStyle w:val="Galvene"/>
              <w:jc w:val="both"/>
              <w:outlineLvl w:val="0"/>
            </w:pPr>
            <w:r w:rsidRPr="00BA0DE8">
              <w:t>Projekta izstrādē iesaistītās institūcijas</w:t>
            </w:r>
          </w:p>
        </w:tc>
        <w:tc>
          <w:tcPr>
            <w:tcW w:w="3438" w:type="pct"/>
          </w:tcPr>
          <w:p w14:paraId="224C0756" w14:textId="55BE3AC1" w:rsidR="00AC145B" w:rsidRPr="00BA0DE8" w:rsidRDefault="00821E5D" w:rsidP="003037FE">
            <w:pPr>
              <w:jc w:val="both"/>
            </w:pPr>
            <w:r w:rsidRPr="00BA0DE8">
              <w:t>Zemkopības ministrija un</w:t>
            </w:r>
            <w:r w:rsidR="00AC145B" w:rsidRPr="00BA0DE8">
              <w:t xml:space="preserve"> datu centrs</w:t>
            </w:r>
          </w:p>
        </w:tc>
      </w:tr>
      <w:tr w:rsidR="005C3223" w:rsidRPr="00BA0DE8" w14:paraId="45012733" w14:textId="77777777" w:rsidTr="008E3636">
        <w:tc>
          <w:tcPr>
            <w:tcW w:w="287" w:type="pct"/>
          </w:tcPr>
          <w:p w14:paraId="07FBDCDD" w14:textId="77777777" w:rsidR="00AC145B" w:rsidRPr="00BA0DE8" w:rsidRDefault="00243D1D" w:rsidP="003037FE">
            <w:pPr>
              <w:pStyle w:val="naislab"/>
              <w:spacing w:before="0" w:after="0"/>
              <w:jc w:val="center"/>
              <w:outlineLvl w:val="0"/>
            </w:pPr>
            <w:r w:rsidRPr="00BA0DE8">
              <w:t>4</w:t>
            </w:r>
            <w:r w:rsidR="00AC145B" w:rsidRPr="00BA0DE8">
              <w:t>.</w:t>
            </w:r>
          </w:p>
        </w:tc>
        <w:tc>
          <w:tcPr>
            <w:tcW w:w="1275" w:type="pct"/>
          </w:tcPr>
          <w:p w14:paraId="6454C268" w14:textId="77777777" w:rsidR="00AC145B" w:rsidRPr="00BA0DE8" w:rsidRDefault="00AC145B" w:rsidP="003037FE">
            <w:pPr>
              <w:pStyle w:val="naislab"/>
              <w:spacing w:before="0" w:after="0"/>
              <w:jc w:val="both"/>
              <w:outlineLvl w:val="0"/>
            </w:pPr>
            <w:r w:rsidRPr="00BA0DE8">
              <w:t>Cita informācija</w:t>
            </w:r>
          </w:p>
        </w:tc>
        <w:tc>
          <w:tcPr>
            <w:tcW w:w="3438" w:type="pct"/>
          </w:tcPr>
          <w:p w14:paraId="22B2EB7F" w14:textId="77777777" w:rsidR="00AC145B" w:rsidRPr="00BA0DE8" w:rsidRDefault="00AC145B" w:rsidP="003037FE">
            <w:pPr>
              <w:jc w:val="both"/>
            </w:pPr>
            <w:r w:rsidRPr="00BA0DE8">
              <w:t>Nav.</w:t>
            </w:r>
          </w:p>
        </w:tc>
      </w:tr>
    </w:tbl>
    <w:p w14:paraId="5849B4FB" w14:textId="77777777" w:rsidR="00AC145B" w:rsidRPr="00BA0DE8" w:rsidRDefault="00AC145B" w:rsidP="00AC145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1792"/>
        <w:gridCol w:w="6752"/>
      </w:tblGrid>
      <w:tr w:rsidR="00BA0DE8" w:rsidRPr="00BA0DE8" w14:paraId="01790ABC" w14:textId="77777777" w:rsidTr="00133DFE">
        <w:tc>
          <w:tcPr>
            <w:tcW w:w="5000" w:type="pct"/>
            <w:gridSpan w:val="3"/>
          </w:tcPr>
          <w:p w14:paraId="1EB0D8C7" w14:textId="77777777" w:rsidR="00AC145B" w:rsidRPr="00BA0DE8" w:rsidRDefault="00AC145B" w:rsidP="003037FE">
            <w:pPr>
              <w:jc w:val="center"/>
              <w:rPr>
                <w:b/>
              </w:rPr>
            </w:pPr>
            <w:r w:rsidRPr="00BA0DE8">
              <w:rPr>
                <w:b/>
              </w:rPr>
              <w:t>II. Tiesību akta projekta ietekme uz sabiedrību, tautsaimniecības attīstību un administratīvo slogu</w:t>
            </w:r>
          </w:p>
        </w:tc>
      </w:tr>
      <w:tr w:rsidR="00BA0DE8" w:rsidRPr="00BA0DE8" w14:paraId="5974D254" w14:textId="77777777" w:rsidTr="00133DFE">
        <w:tc>
          <w:tcPr>
            <w:tcW w:w="285" w:type="pct"/>
          </w:tcPr>
          <w:p w14:paraId="1B9D89DE" w14:textId="77777777" w:rsidR="00AC145B" w:rsidRPr="00BA0DE8" w:rsidRDefault="00AC145B" w:rsidP="003037FE">
            <w:pPr>
              <w:pStyle w:val="naislab"/>
              <w:spacing w:before="0" w:after="0"/>
              <w:jc w:val="center"/>
              <w:outlineLvl w:val="0"/>
            </w:pPr>
            <w:r w:rsidRPr="00BA0DE8">
              <w:lastRenderedPageBreak/>
              <w:t>1.</w:t>
            </w:r>
          </w:p>
        </w:tc>
        <w:tc>
          <w:tcPr>
            <w:tcW w:w="989" w:type="pct"/>
          </w:tcPr>
          <w:p w14:paraId="05BECCA4" w14:textId="77777777" w:rsidR="00AC145B" w:rsidRPr="00BA0DE8" w:rsidRDefault="00AC145B" w:rsidP="003037FE">
            <w:pPr>
              <w:pStyle w:val="naislab"/>
              <w:spacing w:before="0" w:after="0"/>
              <w:jc w:val="both"/>
              <w:outlineLvl w:val="0"/>
            </w:pPr>
            <w:r w:rsidRPr="00BA0DE8">
              <w:t>Sabiedrības mērķgrupas, kuras tiesiskais regulējums ietekmē vai varētu ietekmēt</w:t>
            </w:r>
          </w:p>
        </w:tc>
        <w:tc>
          <w:tcPr>
            <w:tcW w:w="3725" w:type="pct"/>
          </w:tcPr>
          <w:p w14:paraId="416EB570" w14:textId="5D284C53" w:rsidR="00D55996" w:rsidRPr="00BA0DE8" w:rsidRDefault="00D55996" w:rsidP="00D55996">
            <w:pPr>
              <w:jc w:val="both"/>
            </w:pPr>
            <w:r w:rsidRPr="00BA0DE8">
              <w:t>Slaucamo govju un kazu ganāmpulku īpašnieki, kas veic pārraudzību. Pēc Lauksaimniecības datu centra datiem</w:t>
            </w:r>
            <w:r w:rsidR="000B43C3">
              <w:t>,</w:t>
            </w:r>
            <w:r w:rsidRPr="00BA0DE8">
              <w:t xml:space="preserve"> slaucamo govju</w:t>
            </w:r>
            <w:r w:rsidR="003752C7" w:rsidRPr="00BA0DE8">
              <w:t xml:space="preserve"> pārraudzība tiek veikta 4831</w:t>
            </w:r>
            <w:r w:rsidRPr="00BA0DE8">
              <w:t xml:space="preserve"> ganāmpulk</w:t>
            </w:r>
            <w:r w:rsidR="000B43C3">
              <w:t>ā</w:t>
            </w:r>
            <w:r w:rsidRPr="00BA0DE8">
              <w:t xml:space="preserve">, bet slaucamo kazu pārraudzība </w:t>
            </w:r>
            <w:r w:rsidR="000B43C3">
              <w:t>–</w:t>
            </w:r>
            <w:r w:rsidRPr="00BA0DE8">
              <w:t xml:space="preserve"> </w:t>
            </w:r>
            <w:r w:rsidR="003752C7" w:rsidRPr="00BA0DE8">
              <w:t>19</w:t>
            </w:r>
            <w:r w:rsidRPr="00BA0DE8">
              <w:t xml:space="preserve"> ganāmpulkos. </w:t>
            </w:r>
          </w:p>
          <w:p w14:paraId="4F3366AC" w14:textId="1D1C0EA2" w:rsidR="00D55996" w:rsidRPr="00BA0DE8" w:rsidRDefault="003752C7" w:rsidP="00D55996">
            <w:pPr>
              <w:jc w:val="both"/>
            </w:pPr>
            <w:r w:rsidRPr="00BA0DE8">
              <w:t xml:space="preserve">Fiziskas personas, kas saskaņā ar normatīvajiem aktiem saņēmušas sertifikātu vai apliecību slaucamo govju vai kazu pārraudzības darba (turpmāk – pārraugi) vai vērtēšanas (turpmāk – eksperti) veikšanai. </w:t>
            </w:r>
          </w:p>
          <w:p w14:paraId="250B424D" w14:textId="092FA9B5" w:rsidR="00D55996" w:rsidRPr="00BA0DE8" w:rsidRDefault="00D55996" w:rsidP="00D55996">
            <w:pPr>
              <w:jc w:val="both"/>
            </w:pPr>
            <w:r w:rsidRPr="00BA0DE8">
              <w:t>Piena kvalitātes analīžu laboratorijas: pašlaik Latvijā piena pārraudzības analīzes veic trīs akreditētas laboratorijas.</w:t>
            </w:r>
          </w:p>
          <w:p w14:paraId="3BFB5B6A" w14:textId="47D688AF" w:rsidR="00D55996" w:rsidRPr="00BA0DE8" w:rsidRDefault="00D55996" w:rsidP="00D55996">
            <w:pPr>
              <w:jc w:val="both"/>
            </w:pPr>
            <w:r w:rsidRPr="00BA0DE8">
              <w:t>Piena daudzuma mērīšanas līdzekļu pārbaudes veicēji: pašlaik ar piena daudzuma mērīšanas līdzekļu pārbaudi nodarbojas piecas institūcijas.</w:t>
            </w:r>
          </w:p>
          <w:p w14:paraId="5E1DA4E0" w14:textId="77777777" w:rsidR="0054083D" w:rsidRPr="00BA0DE8" w:rsidRDefault="0054083D" w:rsidP="00D55996">
            <w:pPr>
              <w:pStyle w:val="naiskr"/>
              <w:spacing w:before="0" w:beforeAutospacing="0" w:after="0" w:afterAutospacing="0"/>
              <w:jc w:val="both"/>
            </w:pPr>
            <w:r w:rsidRPr="00BA0DE8">
              <w:t>Šķirnes lauksaimniecības dzīvnieku audzētāju organizācijas, kas darbojas piena lopkopības un kazkopības jomā:</w:t>
            </w:r>
          </w:p>
          <w:p w14:paraId="1CD85A3C" w14:textId="0EB87263" w:rsidR="00FE2C4C" w:rsidRPr="00BA0DE8" w:rsidRDefault="00FE2C4C" w:rsidP="000E674D">
            <w:pPr>
              <w:pStyle w:val="naiskr"/>
              <w:numPr>
                <w:ilvl w:val="0"/>
                <w:numId w:val="5"/>
              </w:numPr>
              <w:spacing w:before="0" w:beforeAutospacing="0" w:after="0" w:afterAutospacing="0"/>
              <w:jc w:val="both"/>
            </w:pPr>
            <w:r w:rsidRPr="00BA0DE8">
              <w:t>SIA “Latvijas šķirnes dzīvnieku audzētāju savienība”;</w:t>
            </w:r>
          </w:p>
          <w:p w14:paraId="330A679F" w14:textId="6123E858" w:rsidR="00FE2C4C" w:rsidRPr="00BA0DE8" w:rsidRDefault="00FE2C4C" w:rsidP="000E674D">
            <w:pPr>
              <w:pStyle w:val="naiskr"/>
              <w:numPr>
                <w:ilvl w:val="0"/>
                <w:numId w:val="5"/>
              </w:numPr>
              <w:spacing w:before="0" w:beforeAutospacing="0" w:after="0" w:afterAutospacing="0"/>
              <w:jc w:val="both"/>
            </w:pPr>
            <w:r w:rsidRPr="00BA0DE8">
              <w:t xml:space="preserve">biedrība “Latvijas </w:t>
            </w:r>
            <w:proofErr w:type="spellStart"/>
            <w:r w:rsidRPr="00BA0DE8">
              <w:t>Holšteinas</w:t>
            </w:r>
            <w:proofErr w:type="spellEnd"/>
            <w:r w:rsidRPr="00BA0DE8">
              <w:t xml:space="preserve"> lopu audzētāju asociācija”;</w:t>
            </w:r>
          </w:p>
          <w:p w14:paraId="4CEC07BA" w14:textId="025EBD3C" w:rsidR="00FE2C4C" w:rsidRPr="00BA0DE8" w:rsidRDefault="00FE2C4C" w:rsidP="000E674D">
            <w:pPr>
              <w:pStyle w:val="naiskr"/>
              <w:numPr>
                <w:ilvl w:val="0"/>
                <w:numId w:val="5"/>
              </w:numPr>
              <w:spacing w:before="0" w:beforeAutospacing="0" w:after="0" w:afterAutospacing="0"/>
              <w:jc w:val="both"/>
            </w:pPr>
            <w:r w:rsidRPr="00BA0DE8">
              <w:t>lauksaimniecības pakalpojumu kooperatīvā sabiedrība “ABC projekts”;</w:t>
            </w:r>
          </w:p>
          <w:p w14:paraId="21F5456B" w14:textId="300D43A1" w:rsidR="00FE2C4C" w:rsidRPr="00BA0DE8" w:rsidRDefault="00FE2C4C" w:rsidP="000E674D">
            <w:pPr>
              <w:pStyle w:val="naiskr"/>
              <w:numPr>
                <w:ilvl w:val="0"/>
                <w:numId w:val="5"/>
              </w:numPr>
              <w:spacing w:before="0" w:beforeAutospacing="0" w:after="0" w:afterAutospacing="0"/>
              <w:jc w:val="both"/>
            </w:pPr>
            <w:r w:rsidRPr="00BA0DE8">
              <w:t>biedrība “Latvijas kazkopības biedrība”.</w:t>
            </w:r>
          </w:p>
        </w:tc>
      </w:tr>
      <w:tr w:rsidR="00BA0DE8" w:rsidRPr="00BA0DE8" w14:paraId="46D9EA57" w14:textId="77777777" w:rsidTr="00133DFE">
        <w:tc>
          <w:tcPr>
            <w:tcW w:w="285" w:type="pct"/>
          </w:tcPr>
          <w:p w14:paraId="71B5C867" w14:textId="15F15067" w:rsidR="00AC145B" w:rsidRPr="00BA0DE8" w:rsidRDefault="00AC145B" w:rsidP="003037FE">
            <w:pPr>
              <w:pStyle w:val="naislab"/>
              <w:spacing w:before="0" w:after="0"/>
              <w:jc w:val="center"/>
              <w:outlineLvl w:val="0"/>
            </w:pPr>
            <w:r w:rsidRPr="00BA0DE8">
              <w:t>2.</w:t>
            </w:r>
          </w:p>
        </w:tc>
        <w:tc>
          <w:tcPr>
            <w:tcW w:w="989" w:type="pct"/>
          </w:tcPr>
          <w:p w14:paraId="65D5FE84" w14:textId="77777777" w:rsidR="00AC145B" w:rsidRPr="00BA0DE8" w:rsidRDefault="00AC145B" w:rsidP="003037FE">
            <w:pPr>
              <w:pStyle w:val="naislab"/>
              <w:spacing w:before="0" w:after="0"/>
              <w:jc w:val="both"/>
              <w:outlineLvl w:val="0"/>
            </w:pPr>
            <w:r w:rsidRPr="00BA0DE8">
              <w:t>Tiesiskā regulējuma ietekme uz tautsaimniecību un administratīvo slogu</w:t>
            </w:r>
          </w:p>
        </w:tc>
        <w:tc>
          <w:tcPr>
            <w:tcW w:w="3725" w:type="pct"/>
          </w:tcPr>
          <w:p w14:paraId="5D920BC2" w14:textId="548BA102" w:rsidR="00AC145B" w:rsidRPr="00BA0DE8" w:rsidRDefault="000B2338" w:rsidP="000B43C3">
            <w:pPr>
              <w:jc w:val="both"/>
            </w:pPr>
            <w:r w:rsidRPr="00BA0DE8">
              <w:rPr>
                <w:bCs/>
              </w:rPr>
              <w:t>Tiesisk</w:t>
            </w:r>
            <w:r w:rsidR="000B43C3">
              <w:rPr>
                <w:bCs/>
              </w:rPr>
              <w:t>ais</w:t>
            </w:r>
            <w:r w:rsidRPr="00BA0DE8">
              <w:rPr>
                <w:bCs/>
              </w:rPr>
              <w:t xml:space="preserve"> regulējum</w:t>
            </w:r>
            <w:r w:rsidR="000B43C3">
              <w:rPr>
                <w:bCs/>
              </w:rPr>
              <w:t>s nerada</w:t>
            </w:r>
            <w:r w:rsidRPr="00BA0DE8">
              <w:rPr>
                <w:bCs/>
              </w:rPr>
              <w:t xml:space="preserve"> jaunas tiesības un pienākum</w:t>
            </w:r>
            <w:r w:rsidR="000B43C3">
              <w:rPr>
                <w:bCs/>
              </w:rPr>
              <w:t>us</w:t>
            </w:r>
            <w:r w:rsidRPr="00BA0DE8">
              <w:rPr>
                <w:bCs/>
              </w:rPr>
              <w:t xml:space="preserve">. </w:t>
            </w:r>
            <w:r w:rsidRPr="00BA0DE8">
              <w:t>Noteikumu projekt</w:t>
            </w:r>
            <w:r w:rsidR="0030353C" w:rsidRPr="00BA0DE8">
              <w:t>s</w:t>
            </w:r>
            <w:r w:rsidRPr="00BA0DE8">
              <w:t xml:space="preserve"> paredz</w:t>
            </w:r>
            <w:r w:rsidR="0030353C" w:rsidRPr="00BA0DE8">
              <w:t xml:space="preserve">, ka turpmāk pārraugs sadarbībā ar ganāmpulka īpašnieku varēs izvēlēties gan pārraudzības uzdevuma saņemšanas veidu, gan arī pārraudzības datu reģistrēšanas veidu. </w:t>
            </w:r>
          </w:p>
        </w:tc>
      </w:tr>
      <w:tr w:rsidR="00BA0DE8" w:rsidRPr="00BA0DE8" w14:paraId="7A601307" w14:textId="77777777" w:rsidTr="00133DFE">
        <w:tc>
          <w:tcPr>
            <w:tcW w:w="285" w:type="pct"/>
          </w:tcPr>
          <w:p w14:paraId="30FFF5C8" w14:textId="77777777" w:rsidR="00AC145B" w:rsidRPr="00BA0DE8" w:rsidRDefault="00AC145B" w:rsidP="003037FE">
            <w:pPr>
              <w:pStyle w:val="naislab"/>
              <w:spacing w:before="0" w:after="0"/>
              <w:jc w:val="center"/>
              <w:outlineLvl w:val="0"/>
            </w:pPr>
            <w:r w:rsidRPr="00BA0DE8">
              <w:t>3.</w:t>
            </w:r>
          </w:p>
        </w:tc>
        <w:tc>
          <w:tcPr>
            <w:tcW w:w="989" w:type="pct"/>
          </w:tcPr>
          <w:p w14:paraId="6684BBE4" w14:textId="77777777" w:rsidR="00AC145B" w:rsidRPr="00BA0DE8" w:rsidRDefault="00AC145B" w:rsidP="003037FE">
            <w:pPr>
              <w:pStyle w:val="naislab"/>
              <w:spacing w:before="0" w:after="0"/>
              <w:jc w:val="both"/>
              <w:outlineLvl w:val="0"/>
            </w:pPr>
            <w:r w:rsidRPr="00BA0DE8">
              <w:t>Administratīvo izmaksu monetārs novērtējums</w:t>
            </w:r>
          </w:p>
        </w:tc>
        <w:tc>
          <w:tcPr>
            <w:tcW w:w="3725" w:type="pct"/>
          </w:tcPr>
          <w:p w14:paraId="0D29098D" w14:textId="1FBA8B9E" w:rsidR="00AC145B" w:rsidRPr="000B43C3" w:rsidRDefault="00DF5EE4" w:rsidP="003037FE">
            <w:pPr>
              <w:jc w:val="both"/>
            </w:pPr>
            <w:r w:rsidRPr="000E674D">
              <w:t>Projekts šo jomu neskar.</w:t>
            </w:r>
          </w:p>
        </w:tc>
      </w:tr>
      <w:tr w:rsidR="005C3223" w:rsidRPr="00BA0DE8" w14:paraId="2B5BD8E3" w14:textId="77777777" w:rsidTr="00133DFE">
        <w:tc>
          <w:tcPr>
            <w:tcW w:w="285" w:type="pct"/>
          </w:tcPr>
          <w:p w14:paraId="52C6E535" w14:textId="77777777" w:rsidR="00AC145B" w:rsidRPr="00BA0DE8" w:rsidRDefault="00AC145B" w:rsidP="003037FE">
            <w:pPr>
              <w:pStyle w:val="naislab"/>
              <w:spacing w:before="0" w:after="0"/>
              <w:jc w:val="center"/>
              <w:outlineLvl w:val="0"/>
            </w:pPr>
            <w:r w:rsidRPr="00BA0DE8">
              <w:t>4.</w:t>
            </w:r>
          </w:p>
        </w:tc>
        <w:tc>
          <w:tcPr>
            <w:tcW w:w="989" w:type="pct"/>
          </w:tcPr>
          <w:p w14:paraId="33541139" w14:textId="77777777" w:rsidR="00AC145B" w:rsidRPr="00BA0DE8" w:rsidRDefault="00AC145B" w:rsidP="003037FE">
            <w:pPr>
              <w:pStyle w:val="naislab"/>
              <w:spacing w:before="0" w:after="0"/>
              <w:jc w:val="both"/>
              <w:outlineLvl w:val="0"/>
            </w:pPr>
            <w:r w:rsidRPr="00BA0DE8">
              <w:t>Cita informācija</w:t>
            </w:r>
          </w:p>
        </w:tc>
        <w:tc>
          <w:tcPr>
            <w:tcW w:w="3725" w:type="pct"/>
          </w:tcPr>
          <w:p w14:paraId="3B2591EC" w14:textId="77777777" w:rsidR="00AC145B" w:rsidRPr="00BA0DE8" w:rsidRDefault="00AC145B" w:rsidP="003037FE">
            <w:pPr>
              <w:jc w:val="both"/>
            </w:pPr>
            <w:r w:rsidRPr="00BA0DE8">
              <w:t>Nav.</w:t>
            </w:r>
          </w:p>
        </w:tc>
      </w:tr>
    </w:tbl>
    <w:p w14:paraId="7D9C413F" w14:textId="77777777" w:rsidR="0060636F" w:rsidRPr="00BA0DE8" w:rsidRDefault="0060636F" w:rsidP="00656C9A"/>
    <w:p w14:paraId="0265AEF8" w14:textId="2C2A646C" w:rsidR="00656C9A" w:rsidRPr="00BA0DE8" w:rsidRDefault="00656C9A" w:rsidP="00656C9A">
      <w:pPr>
        <w:rPr>
          <w:i/>
        </w:rPr>
      </w:pPr>
      <w:r w:rsidRPr="00BA0DE8">
        <w:rPr>
          <w:i/>
        </w:rPr>
        <w:t xml:space="preserve">Anotācijas </w:t>
      </w:r>
      <w:r w:rsidR="008F28C0" w:rsidRPr="00BA0DE8">
        <w:rPr>
          <w:i/>
        </w:rPr>
        <w:t xml:space="preserve">III - </w:t>
      </w:r>
      <w:r w:rsidR="0060636F" w:rsidRPr="00BA0DE8">
        <w:rPr>
          <w:i/>
        </w:rPr>
        <w:t>IV</w:t>
      </w:r>
      <w:r w:rsidR="00D36A7D" w:rsidRPr="00BA0DE8">
        <w:rPr>
          <w:i/>
        </w:rPr>
        <w:t xml:space="preserve"> </w:t>
      </w:r>
      <w:r w:rsidRPr="00BA0DE8">
        <w:rPr>
          <w:i/>
        </w:rPr>
        <w:t>sadaļa – projekts š</w:t>
      </w:r>
      <w:r w:rsidR="00143CB1" w:rsidRPr="00BA0DE8">
        <w:rPr>
          <w:i/>
        </w:rPr>
        <w:t>īs</w:t>
      </w:r>
      <w:r w:rsidRPr="00BA0DE8">
        <w:rPr>
          <w:i/>
        </w:rPr>
        <w:t xml:space="preserve"> jom</w:t>
      </w:r>
      <w:r w:rsidR="00143CB1" w:rsidRPr="00BA0DE8">
        <w:rPr>
          <w:i/>
        </w:rPr>
        <w:t>as</w:t>
      </w:r>
      <w:r w:rsidRPr="00BA0DE8">
        <w:rPr>
          <w:i/>
        </w:rPr>
        <w:t xml:space="preserve"> neskar.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1568"/>
        <w:gridCol w:w="6973"/>
      </w:tblGrid>
      <w:tr w:rsidR="00BA0DE8" w:rsidRPr="00BA0DE8" w14:paraId="7C7B7C0A" w14:textId="77777777" w:rsidTr="00133DFE">
        <w:trPr>
          <w:trHeight w:val="279"/>
        </w:trPr>
        <w:tc>
          <w:tcPr>
            <w:tcW w:w="5000" w:type="pct"/>
            <w:gridSpan w:val="3"/>
          </w:tcPr>
          <w:p w14:paraId="5816C474" w14:textId="77777777" w:rsidR="008F28C0" w:rsidRPr="00BA0DE8" w:rsidRDefault="008F28C0" w:rsidP="009956A8">
            <w:pPr>
              <w:jc w:val="center"/>
              <w:rPr>
                <w:b/>
                <w:sz w:val="22"/>
                <w:szCs w:val="22"/>
              </w:rPr>
            </w:pPr>
            <w:r w:rsidRPr="00BA0DE8">
              <w:rPr>
                <w:b/>
                <w:sz w:val="22"/>
                <w:szCs w:val="22"/>
              </w:rPr>
              <w:t>V. Tiesību akta projekta atbilstība Latvijas Republikas starptautiskajām saistībām</w:t>
            </w:r>
          </w:p>
        </w:tc>
      </w:tr>
      <w:tr w:rsidR="00BA0DE8" w:rsidRPr="00BA0DE8" w14:paraId="25156F85" w14:textId="77777777" w:rsidTr="00133DFE">
        <w:trPr>
          <w:trHeight w:val="279"/>
        </w:trPr>
        <w:tc>
          <w:tcPr>
            <w:tcW w:w="287" w:type="pct"/>
          </w:tcPr>
          <w:p w14:paraId="28528D09" w14:textId="77777777" w:rsidR="008F28C0" w:rsidRPr="00BA0DE8" w:rsidRDefault="008F28C0" w:rsidP="009956A8">
            <w:pPr>
              <w:jc w:val="both"/>
              <w:rPr>
                <w:sz w:val="22"/>
                <w:szCs w:val="22"/>
              </w:rPr>
            </w:pPr>
            <w:r w:rsidRPr="00BA0DE8">
              <w:rPr>
                <w:sz w:val="22"/>
                <w:szCs w:val="22"/>
              </w:rPr>
              <w:t>1.</w:t>
            </w:r>
          </w:p>
        </w:tc>
        <w:tc>
          <w:tcPr>
            <w:tcW w:w="865" w:type="pct"/>
          </w:tcPr>
          <w:p w14:paraId="01F9606D" w14:textId="77777777" w:rsidR="008F28C0" w:rsidRPr="00BA0DE8" w:rsidRDefault="008F28C0" w:rsidP="009956A8">
            <w:pPr>
              <w:jc w:val="both"/>
              <w:rPr>
                <w:sz w:val="22"/>
                <w:szCs w:val="22"/>
              </w:rPr>
            </w:pPr>
            <w:r w:rsidRPr="00BA0DE8">
              <w:rPr>
                <w:sz w:val="22"/>
                <w:szCs w:val="22"/>
              </w:rPr>
              <w:t>Saistības pret Eiropas Savienību</w:t>
            </w:r>
          </w:p>
        </w:tc>
        <w:tc>
          <w:tcPr>
            <w:tcW w:w="3847" w:type="pct"/>
          </w:tcPr>
          <w:p w14:paraId="56F4D404" w14:textId="37A08E1C" w:rsidR="008F28C0" w:rsidRPr="00BA0DE8" w:rsidRDefault="008F28C0" w:rsidP="009956A8">
            <w:pPr>
              <w:jc w:val="both"/>
            </w:pPr>
            <w:r w:rsidRPr="00BA0DE8">
              <w:t>Komisijas 2006.gada 20.jūnija Lēmums 2006/427/EK, ar ko nosaka kopējās vērtības pārbaudes metodes tīršķirnes vaislas liellopu ciltsvērtības novērtēšanai: lēmuma normas daļēji ir pārņemtas ar projektu. Normas, kas attiecas uz gaļas šķirņu liellopu</w:t>
            </w:r>
            <w:r w:rsidR="008B63FA" w:rsidRPr="00BA0DE8">
              <w:t xml:space="preserve"> pārraudzību, ir</w:t>
            </w:r>
            <w:r w:rsidRPr="00BA0DE8">
              <w:t xml:space="preserve"> pārņemtas ar </w:t>
            </w:r>
            <w:r w:rsidR="00FD41CD" w:rsidRPr="00BA0DE8">
              <w:t>Ministru kabineta 2015.gada 8.septembra noteikumiem Nr.514 “G</w:t>
            </w:r>
            <w:r w:rsidRPr="00BA0DE8">
              <w:t>aļas liellopu pārraudzības kā</w:t>
            </w:r>
            <w:r w:rsidR="00FD41CD" w:rsidRPr="00BA0DE8">
              <w:t>rtība” (turpmāk – noteikumi Nr.541)</w:t>
            </w:r>
            <w:r w:rsidRPr="00BA0DE8">
              <w:t>. Normas, kas attiecas uz ģenētisko novērtēšanu, nav ietvertas noteikumos, jo ģenētisko novērtēšanu veic dat</w:t>
            </w:r>
            <w:r w:rsidR="008B63FA" w:rsidRPr="00BA0DE8">
              <w:t>u centrs, kas ir valsts pārvaldes iestāde</w:t>
            </w:r>
            <w:r w:rsidRPr="00BA0DE8">
              <w:t>.</w:t>
            </w:r>
          </w:p>
          <w:p w14:paraId="097693EC" w14:textId="76AE6CF7" w:rsidR="008F28C0" w:rsidRPr="00BA0DE8" w:rsidRDefault="008F28C0" w:rsidP="009956A8">
            <w:pPr>
              <w:jc w:val="both"/>
            </w:pPr>
            <w:r w:rsidRPr="00BA0DE8">
              <w:t xml:space="preserve">Komisijas 1990.gada 10.maija Lēmums 90/256/EEK, ar ko nosaka tīršķirnes vaislas aitu un kazu audzēšanas uzraudzības un ģenētiskās vērtības aprēķināšanas metodes: lēmuma normas daļēji </w:t>
            </w:r>
            <w:r w:rsidR="000B43C3">
              <w:t xml:space="preserve">ir </w:t>
            </w:r>
            <w:r w:rsidRPr="00BA0DE8">
              <w:t>pārņemtas ar projektu. Normas, kas att</w:t>
            </w:r>
            <w:r w:rsidR="008B63FA" w:rsidRPr="00BA0DE8">
              <w:t>iecas uz gaļas pārraudzību, ir</w:t>
            </w:r>
            <w:r w:rsidRPr="00BA0DE8">
              <w:t xml:space="preserve"> pārņemtas ar </w:t>
            </w:r>
            <w:r w:rsidR="00FD41CD" w:rsidRPr="00BA0DE8">
              <w:t>Ministru kabineta 2011.gada 5.jūlija noteikumiem Nr.528 “A</w:t>
            </w:r>
            <w:r w:rsidRPr="00BA0DE8">
              <w:t>itu p</w:t>
            </w:r>
            <w:r w:rsidR="00FD41CD" w:rsidRPr="00BA0DE8">
              <w:t>ārraudzības kārtība” (turpmāk – noteikumi Nr.528)</w:t>
            </w:r>
            <w:r w:rsidRPr="00BA0DE8">
              <w:t>.</w:t>
            </w:r>
          </w:p>
        </w:tc>
      </w:tr>
      <w:tr w:rsidR="00BA0DE8" w:rsidRPr="00BA0DE8" w14:paraId="3B1795FB" w14:textId="77777777" w:rsidTr="00133DFE">
        <w:trPr>
          <w:trHeight w:val="279"/>
        </w:trPr>
        <w:tc>
          <w:tcPr>
            <w:tcW w:w="287" w:type="pct"/>
          </w:tcPr>
          <w:p w14:paraId="4264104A" w14:textId="77777777" w:rsidR="008F28C0" w:rsidRPr="00BA0DE8" w:rsidRDefault="008F28C0" w:rsidP="009956A8">
            <w:pPr>
              <w:jc w:val="both"/>
              <w:rPr>
                <w:sz w:val="22"/>
                <w:szCs w:val="22"/>
              </w:rPr>
            </w:pPr>
            <w:r w:rsidRPr="00BA0DE8">
              <w:rPr>
                <w:sz w:val="22"/>
                <w:szCs w:val="22"/>
              </w:rPr>
              <w:t>2.</w:t>
            </w:r>
          </w:p>
        </w:tc>
        <w:tc>
          <w:tcPr>
            <w:tcW w:w="865" w:type="pct"/>
          </w:tcPr>
          <w:p w14:paraId="13D1D1F5" w14:textId="77777777" w:rsidR="008F28C0" w:rsidRPr="00BA0DE8" w:rsidRDefault="008F28C0" w:rsidP="009956A8">
            <w:pPr>
              <w:jc w:val="both"/>
              <w:rPr>
                <w:sz w:val="22"/>
                <w:szCs w:val="22"/>
              </w:rPr>
            </w:pPr>
            <w:r w:rsidRPr="00BA0DE8">
              <w:rPr>
                <w:sz w:val="22"/>
                <w:szCs w:val="22"/>
              </w:rPr>
              <w:t>Citas starptautiskās saistības</w:t>
            </w:r>
          </w:p>
        </w:tc>
        <w:tc>
          <w:tcPr>
            <w:tcW w:w="3847" w:type="pct"/>
          </w:tcPr>
          <w:p w14:paraId="73706D22" w14:textId="0B09D2CE" w:rsidR="008F28C0" w:rsidRPr="000E674D" w:rsidRDefault="004D4F42" w:rsidP="009956A8">
            <w:pPr>
              <w:jc w:val="both"/>
            </w:pPr>
            <w:r w:rsidRPr="000E674D">
              <w:t>Projekts šo jomu neskar.</w:t>
            </w:r>
          </w:p>
        </w:tc>
      </w:tr>
      <w:tr w:rsidR="008F28C0" w:rsidRPr="00BA0DE8" w14:paraId="2BF31E1E" w14:textId="77777777" w:rsidTr="00133DFE">
        <w:trPr>
          <w:trHeight w:val="279"/>
        </w:trPr>
        <w:tc>
          <w:tcPr>
            <w:tcW w:w="287" w:type="pct"/>
          </w:tcPr>
          <w:p w14:paraId="12E195ED" w14:textId="77777777" w:rsidR="008F28C0" w:rsidRPr="00BA0DE8" w:rsidRDefault="008F28C0" w:rsidP="009956A8">
            <w:pPr>
              <w:jc w:val="both"/>
              <w:rPr>
                <w:sz w:val="22"/>
                <w:szCs w:val="22"/>
              </w:rPr>
            </w:pPr>
            <w:r w:rsidRPr="00BA0DE8">
              <w:rPr>
                <w:sz w:val="22"/>
                <w:szCs w:val="22"/>
              </w:rPr>
              <w:lastRenderedPageBreak/>
              <w:t>3.</w:t>
            </w:r>
          </w:p>
        </w:tc>
        <w:tc>
          <w:tcPr>
            <w:tcW w:w="865" w:type="pct"/>
          </w:tcPr>
          <w:p w14:paraId="73417378" w14:textId="77777777" w:rsidR="008F28C0" w:rsidRPr="00BA0DE8" w:rsidRDefault="008F28C0" w:rsidP="009956A8">
            <w:pPr>
              <w:jc w:val="both"/>
              <w:rPr>
                <w:sz w:val="22"/>
                <w:szCs w:val="22"/>
              </w:rPr>
            </w:pPr>
            <w:r w:rsidRPr="00BA0DE8">
              <w:rPr>
                <w:sz w:val="22"/>
                <w:szCs w:val="22"/>
              </w:rPr>
              <w:t>Cita informācija</w:t>
            </w:r>
          </w:p>
        </w:tc>
        <w:tc>
          <w:tcPr>
            <w:tcW w:w="3847" w:type="pct"/>
          </w:tcPr>
          <w:p w14:paraId="30F7C2A6" w14:textId="77777777" w:rsidR="008F28C0" w:rsidRPr="000E674D" w:rsidRDefault="008F28C0" w:rsidP="009956A8">
            <w:pPr>
              <w:jc w:val="both"/>
            </w:pPr>
            <w:r w:rsidRPr="000E674D">
              <w:t>Nav.</w:t>
            </w:r>
          </w:p>
        </w:tc>
      </w:tr>
    </w:tbl>
    <w:p w14:paraId="28D72723" w14:textId="77777777" w:rsidR="008F28C0" w:rsidRPr="00BA0DE8" w:rsidRDefault="008F28C0" w:rsidP="008F28C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672"/>
        <w:gridCol w:w="1789"/>
        <w:gridCol w:w="3371"/>
        <w:gridCol w:w="1867"/>
      </w:tblGrid>
      <w:tr w:rsidR="00BA0DE8" w:rsidRPr="00BA0DE8" w14:paraId="4E456D6B" w14:textId="77777777" w:rsidTr="00133DFE">
        <w:trPr>
          <w:trHeight w:val="279"/>
        </w:trPr>
        <w:tc>
          <w:tcPr>
            <w:tcW w:w="5000" w:type="pct"/>
            <w:gridSpan w:val="5"/>
          </w:tcPr>
          <w:p w14:paraId="61053311" w14:textId="77777777" w:rsidR="008F28C0" w:rsidRPr="00BA0DE8" w:rsidRDefault="008F28C0" w:rsidP="009956A8">
            <w:pPr>
              <w:pStyle w:val="naisnod"/>
              <w:spacing w:before="0" w:after="0"/>
            </w:pPr>
            <w:r w:rsidRPr="00BA0DE8">
              <w:t xml:space="preserve">1.tabula </w:t>
            </w:r>
          </w:p>
          <w:p w14:paraId="1F850CB6" w14:textId="77777777" w:rsidR="008F28C0" w:rsidRPr="00BA0DE8" w:rsidRDefault="008F28C0" w:rsidP="009956A8">
            <w:pPr>
              <w:jc w:val="center"/>
              <w:rPr>
                <w:b/>
              </w:rPr>
            </w:pPr>
            <w:r w:rsidRPr="00BA0DE8">
              <w:rPr>
                <w:b/>
              </w:rPr>
              <w:t>Tiesību akta projekta atbilstība ES tiesību aktiem</w:t>
            </w:r>
          </w:p>
        </w:tc>
      </w:tr>
      <w:tr w:rsidR="00BA0DE8" w:rsidRPr="00BA0DE8" w14:paraId="672ADF21" w14:textId="77777777" w:rsidTr="00133DFE">
        <w:trPr>
          <w:trHeight w:val="279"/>
        </w:trPr>
        <w:tc>
          <w:tcPr>
            <w:tcW w:w="752" w:type="pct"/>
          </w:tcPr>
          <w:p w14:paraId="588390C4" w14:textId="77777777" w:rsidR="008F28C0" w:rsidRPr="00BA0DE8" w:rsidRDefault="008F28C0" w:rsidP="009956A8">
            <w:pPr>
              <w:jc w:val="center"/>
            </w:pPr>
            <w:r w:rsidRPr="00BA0DE8">
              <w:rPr>
                <w:sz w:val="22"/>
                <w:szCs w:val="22"/>
              </w:rPr>
              <w:t>Attiecīgā ES tiesību akta datums, numurs un nosaukums</w:t>
            </w:r>
          </w:p>
        </w:tc>
        <w:tc>
          <w:tcPr>
            <w:tcW w:w="4248" w:type="pct"/>
            <w:gridSpan w:val="4"/>
          </w:tcPr>
          <w:p w14:paraId="4A558273" w14:textId="77777777" w:rsidR="008F28C0" w:rsidRPr="00BA0DE8" w:rsidRDefault="008F28C0" w:rsidP="009956A8">
            <w:pPr>
              <w:jc w:val="both"/>
            </w:pPr>
            <w:r w:rsidRPr="00BA0DE8">
              <w:t>Komisijas 2006.gada 20.jūnija Lēmums 2006/427/EK, ar ko nosaka kopējās vērtības pārbaudes metodes tīršķirnes vaislas liellopu ciltsvērtības novērtēšanai;</w:t>
            </w:r>
          </w:p>
          <w:p w14:paraId="4D7A480C" w14:textId="77777777" w:rsidR="008F28C0" w:rsidRPr="00BA0DE8" w:rsidRDefault="008F28C0" w:rsidP="009956A8">
            <w:pPr>
              <w:jc w:val="both"/>
            </w:pPr>
            <w:r w:rsidRPr="00BA0DE8">
              <w:t>Komisijas 1990.gada 10.maija Lēmums 90/256/EEK, ar ko nosaka tīršķirnes vaislas aitu un kazu audzēšanas uzraudzības un ģenētiskās vērtības aprēķināšanas metodes.</w:t>
            </w:r>
          </w:p>
        </w:tc>
      </w:tr>
      <w:tr w:rsidR="00BA0DE8" w:rsidRPr="00BA0DE8" w14:paraId="21E29535" w14:textId="77777777" w:rsidTr="00133DFE">
        <w:trPr>
          <w:trHeight w:val="279"/>
        </w:trPr>
        <w:tc>
          <w:tcPr>
            <w:tcW w:w="5000" w:type="pct"/>
            <w:gridSpan w:val="5"/>
          </w:tcPr>
          <w:p w14:paraId="72BEEEF8" w14:textId="77777777" w:rsidR="008F28C0" w:rsidRPr="00BA0DE8" w:rsidRDefault="008F28C0" w:rsidP="009956A8">
            <w:pPr>
              <w:jc w:val="both"/>
            </w:pPr>
          </w:p>
        </w:tc>
      </w:tr>
      <w:tr w:rsidR="00BA0DE8" w:rsidRPr="00BA0DE8" w14:paraId="150C5495" w14:textId="77777777" w:rsidTr="00133DFE">
        <w:trPr>
          <w:trHeight w:val="279"/>
        </w:trPr>
        <w:tc>
          <w:tcPr>
            <w:tcW w:w="1123" w:type="pct"/>
            <w:gridSpan w:val="2"/>
          </w:tcPr>
          <w:p w14:paraId="0C82E880" w14:textId="77777777" w:rsidR="008F28C0" w:rsidRPr="00BA0DE8" w:rsidRDefault="008F28C0" w:rsidP="009956A8">
            <w:pPr>
              <w:jc w:val="center"/>
            </w:pPr>
            <w:r w:rsidRPr="00BA0DE8">
              <w:t>A</w:t>
            </w:r>
          </w:p>
        </w:tc>
        <w:tc>
          <w:tcPr>
            <w:tcW w:w="987" w:type="pct"/>
          </w:tcPr>
          <w:p w14:paraId="151E2C9A" w14:textId="77777777" w:rsidR="008F28C0" w:rsidRPr="00BA0DE8" w:rsidRDefault="008F28C0" w:rsidP="009956A8">
            <w:pPr>
              <w:jc w:val="center"/>
            </w:pPr>
            <w:r w:rsidRPr="00BA0DE8">
              <w:t>B</w:t>
            </w:r>
          </w:p>
        </w:tc>
        <w:tc>
          <w:tcPr>
            <w:tcW w:w="1860" w:type="pct"/>
          </w:tcPr>
          <w:p w14:paraId="41A1C8F7" w14:textId="77777777" w:rsidR="008F28C0" w:rsidRPr="00BA0DE8" w:rsidRDefault="008F28C0" w:rsidP="009956A8">
            <w:pPr>
              <w:jc w:val="center"/>
            </w:pPr>
            <w:r w:rsidRPr="00BA0DE8">
              <w:t>C</w:t>
            </w:r>
          </w:p>
        </w:tc>
        <w:tc>
          <w:tcPr>
            <w:tcW w:w="1030" w:type="pct"/>
          </w:tcPr>
          <w:p w14:paraId="76A78E55" w14:textId="77777777" w:rsidR="008F28C0" w:rsidRPr="00BA0DE8" w:rsidRDefault="008F28C0" w:rsidP="009956A8">
            <w:pPr>
              <w:jc w:val="center"/>
            </w:pPr>
            <w:r w:rsidRPr="00BA0DE8">
              <w:t>D</w:t>
            </w:r>
          </w:p>
        </w:tc>
      </w:tr>
      <w:tr w:rsidR="00BA0DE8" w:rsidRPr="00BA0DE8" w14:paraId="1FF575AB" w14:textId="77777777" w:rsidTr="00133DFE">
        <w:trPr>
          <w:trHeight w:val="279"/>
        </w:trPr>
        <w:tc>
          <w:tcPr>
            <w:tcW w:w="1123" w:type="pct"/>
            <w:gridSpan w:val="2"/>
          </w:tcPr>
          <w:p w14:paraId="15159BCB" w14:textId="77777777" w:rsidR="008F28C0" w:rsidRPr="00BA0DE8" w:rsidRDefault="008F28C0" w:rsidP="009956A8">
            <w:pPr>
              <w:jc w:val="both"/>
            </w:pPr>
            <w:r w:rsidRPr="00BA0DE8">
              <w:rPr>
                <w:sz w:val="22"/>
                <w:szCs w:val="22"/>
              </w:rPr>
              <w:t xml:space="preserve">Attiecīgā ES tiesību akta panta numurs (uzskaitot katru tiesību akta </w:t>
            </w:r>
            <w:r w:rsidRPr="00BA0DE8">
              <w:rPr>
                <w:sz w:val="22"/>
                <w:szCs w:val="22"/>
              </w:rPr>
              <w:br/>
              <w:t>vienību – pantu, daļu, punktu, apakšpunktu)</w:t>
            </w:r>
          </w:p>
        </w:tc>
        <w:tc>
          <w:tcPr>
            <w:tcW w:w="987" w:type="pct"/>
          </w:tcPr>
          <w:p w14:paraId="79066F0B" w14:textId="77777777" w:rsidR="008F28C0" w:rsidRPr="00BA0DE8" w:rsidRDefault="008F28C0" w:rsidP="009956A8">
            <w:pPr>
              <w:jc w:val="both"/>
            </w:pPr>
            <w:r w:rsidRPr="00BA0DE8">
              <w:rPr>
                <w:sz w:val="22"/>
                <w:szCs w:val="22"/>
              </w:rPr>
              <w:t>Projekta vienība, kas pārņem vai ievieš katru šīs tabulas A ailē minēto ES tiesību akta vienību</w:t>
            </w:r>
          </w:p>
        </w:tc>
        <w:tc>
          <w:tcPr>
            <w:tcW w:w="1860" w:type="pct"/>
          </w:tcPr>
          <w:p w14:paraId="06DEF0F6" w14:textId="77777777" w:rsidR="008F28C0" w:rsidRPr="00BA0DE8" w:rsidRDefault="008F28C0" w:rsidP="004D4F42">
            <w:pPr>
              <w:pStyle w:val="naiskr"/>
              <w:spacing w:before="0" w:beforeAutospacing="0" w:after="0" w:afterAutospacing="0"/>
              <w:jc w:val="both"/>
              <w:rPr>
                <w:sz w:val="22"/>
                <w:szCs w:val="22"/>
              </w:rPr>
            </w:pPr>
            <w:r w:rsidRPr="00BA0DE8">
              <w:rPr>
                <w:sz w:val="22"/>
                <w:szCs w:val="22"/>
              </w:rPr>
              <w:t>Informācija par to, vai šīs tabulas A ailē minētās ES tiesību akta vienības tiek pārņemtas vai ieviestas pilnībā vai daļēji.</w:t>
            </w:r>
          </w:p>
          <w:p w14:paraId="62AF3CD0" w14:textId="77777777" w:rsidR="008F28C0" w:rsidRPr="00BA0DE8" w:rsidRDefault="008F28C0" w:rsidP="004D4F42">
            <w:pPr>
              <w:pStyle w:val="naiskr"/>
              <w:spacing w:before="0" w:beforeAutospacing="0" w:after="0" w:afterAutospacing="0"/>
              <w:jc w:val="both"/>
              <w:rPr>
                <w:sz w:val="22"/>
                <w:szCs w:val="22"/>
              </w:rPr>
            </w:pPr>
            <w:r w:rsidRPr="00BA0DE8">
              <w:rPr>
                <w:sz w:val="22"/>
                <w:szCs w:val="22"/>
              </w:rPr>
              <w:t>Ja attiecīgā ES tiesību akta vienība tiek pārņemta vai ieviesta daļēji, – sniedz attiecīgu skaidrojumu, kā arī precīzi norāda, kad un kādā veidā ES tiesību akta vienība tiks pārņemta vai ieviesta pilnībā.</w:t>
            </w:r>
          </w:p>
          <w:p w14:paraId="24B10BF3" w14:textId="77777777" w:rsidR="008F28C0" w:rsidRPr="00BA0DE8" w:rsidRDefault="008F28C0" w:rsidP="009956A8">
            <w:pPr>
              <w:jc w:val="both"/>
            </w:pPr>
            <w:r w:rsidRPr="00BA0DE8">
              <w:rPr>
                <w:sz w:val="22"/>
                <w:szCs w:val="22"/>
              </w:rPr>
              <w:t>Norāda institūciju, kas ir atbildīga par šo saistību izpildi pilnībā</w:t>
            </w:r>
          </w:p>
        </w:tc>
        <w:tc>
          <w:tcPr>
            <w:tcW w:w="1030" w:type="pct"/>
          </w:tcPr>
          <w:p w14:paraId="37243508" w14:textId="77777777" w:rsidR="008F28C0" w:rsidRPr="00BA0DE8" w:rsidRDefault="008F28C0" w:rsidP="004D4F42">
            <w:pPr>
              <w:pStyle w:val="naiskr"/>
              <w:spacing w:before="0" w:beforeAutospacing="0" w:after="0" w:afterAutospacing="0"/>
              <w:jc w:val="both"/>
              <w:rPr>
                <w:sz w:val="22"/>
                <w:szCs w:val="22"/>
              </w:rPr>
            </w:pPr>
            <w:r w:rsidRPr="00BA0DE8">
              <w:rPr>
                <w:sz w:val="22"/>
                <w:szCs w:val="22"/>
              </w:rPr>
              <w:t>Informācija par to, vai šīs tabulas B ailē minētās projekta vienības paredz stingrākas prasības nekā šīs tabulas A ailē minētās ES tiesību akta vienības.</w:t>
            </w:r>
          </w:p>
          <w:p w14:paraId="1486A1FD" w14:textId="77777777" w:rsidR="008F28C0" w:rsidRPr="00BA0DE8" w:rsidRDefault="008F28C0" w:rsidP="004D4F42">
            <w:pPr>
              <w:pStyle w:val="naiskr"/>
              <w:spacing w:before="0" w:beforeAutospacing="0" w:after="0" w:afterAutospacing="0"/>
              <w:jc w:val="both"/>
              <w:rPr>
                <w:sz w:val="22"/>
                <w:szCs w:val="22"/>
              </w:rPr>
            </w:pPr>
            <w:r w:rsidRPr="00BA0DE8">
              <w:rPr>
                <w:sz w:val="22"/>
                <w:szCs w:val="22"/>
              </w:rPr>
              <w:t xml:space="preserve">Ja projekts satur stingrākas prasības nekā attiecīgais ES tiesību </w:t>
            </w:r>
            <w:smartTag w:uri="schemas-tilde-lv/tildestengine" w:element="veidnes">
              <w:smartTagPr>
                <w:attr w:name="text" w:val="akts"/>
                <w:attr w:name="baseform" w:val="akts"/>
                <w:attr w:name="id" w:val="-1"/>
              </w:smartTagPr>
              <w:r w:rsidRPr="00BA0DE8">
                <w:rPr>
                  <w:sz w:val="22"/>
                  <w:szCs w:val="22"/>
                </w:rPr>
                <w:t>akts</w:t>
              </w:r>
            </w:smartTag>
            <w:r w:rsidRPr="00BA0DE8">
              <w:rPr>
                <w:sz w:val="22"/>
                <w:szCs w:val="22"/>
              </w:rPr>
              <w:t>, – norāda pamatojumu un samērīgumu.</w:t>
            </w:r>
          </w:p>
          <w:p w14:paraId="209219D3" w14:textId="77777777" w:rsidR="008F28C0" w:rsidRPr="00BA0DE8" w:rsidRDefault="008F28C0" w:rsidP="009956A8">
            <w:pPr>
              <w:jc w:val="both"/>
            </w:pPr>
            <w:r w:rsidRPr="00BA0DE8">
              <w:rPr>
                <w:sz w:val="22"/>
                <w:szCs w:val="22"/>
              </w:rPr>
              <w:t>Norāda iespējamās alternatīvas (t.sk. alternatīvas, kas neparedz tiesiskā regulējuma izstrādi) – kādos gadījumos būtu iespējams izvairīties no stingrāku prasību noteikšanas, nekā paredzēts attiecīgajos ES tiesību aktos</w:t>
            </w:r>
          </w:p>
        </w:tc>
      </w:tr>
      <w:tr w:rsidR="00BA0DE8" w:rsidRPr="00BA0DE8" w14:paraId="02355E69" w14:textId="77777777" w:rsidTr="00133DFE">
        <w:trPr>
          <w:trHeight w:val="279"/>
        </w:trPr>
        <w:tc>
          <w:tcPr>
            <w:tcW w:w="1123" w:type="pct"/>
            <w:gridSpan w:val="2"/>
          </w:tcPr>
          <w:p w14:paraId="26AFD593" w14:textId="77777777" w:rsidR="008F28C0" w:rsidRPr="00BA0DE8" w:rsidRDefault="008F28C0" w:rsidP="009956A8">
            <w:r w:rsidRPr="00BA0DE8">
              <w:t>Komisijas Lēmuma 2006/427/EK 1.pants.</w:t>
            </w:r>
          </w:p>
        </w:tc>
        <w:tc>
          <w:tcPr>
            <w:tcW w:w="987" w:type="pct"/>
          </w:tcPr>
          <w:p w14:paraId="42A12193" w14:textId="0BACA85D" w:rsidR="008F28C0" w:rsidRPr="00BA0DE8" w:rsidRDefault="008F28C0" w:rsidP="004708A3">
            <w:pPr>
              <w:jc w:val="center"/>
            </w:pPr>
            <w:r w:rsidRPr="00BA0DE8">
              <w:t xml:space="preserve"> </w:t>
            </w:r>
            <w:r w:rsidR="004708A3" w:rsidRPr="00BA0DE8">
              <w:t>Projekta 2., 7., 8., 15.</w:t>
            </w:r>
            <w:r w:rsidR="000B43C3">
              <w:t>–</w:t>
            </w:r>
            <w:r w:rsidR="004708A3" w:rsidRPr="00BA0DE8">
              <w:t>19., 23.,</w:t>
            </w:r>
            <w:r w:rsidR="000B43C3">
              <w:t xml:space="preserve"> </w:t>
            </w:r>
            <w:r w:rsidR="004708A3" w:rsidRPr="00BA0DE8">
              <w:t>23., 39., 41., 51. un 55.punkts.</w:t>
            </w:r>
          </w:p>
        </w:tc>
        <w:tc>
          <w:tcPr>
            <w:tcW w:w="1860" w:type="pct"/>
          </w:tcPr>
          <w:p w14:paraId="3A91CE95" w14:textId="7E95CFC6" w:rsidR="008F28C0" w:rsidRPr="00BA0DE8" w:rsidRDefault="008F28C0" w:rsidP="009956A8">
            <w:pPr>
              <w:jc w:val="both"/>
            </w:pPr>
            <w:r w:rsidRPr="00BA0DE8">
              <w:t xml:space="preserve">Pārņemts pilnībā attiecībā uz piena pārraudzību. Normas, kas attiecas un gaļas </w:t>
            </w:r>
            <w:r w:rsidR="00FD41CD" w:rsidRPr="00BA0DE8">
              <w:t>pārraudzību,</w:t>
            </w:r>
            <w:r w:rsidRPr="00BA0DE8">
              <w:t xml:space="preserve"> pārņemta</w:t>
            </w:r>
            <w:r w:rsidR="00FD41CD" w:rsidRPr="00BA0DE8">
              <w:t>s ar</w:t>
            </w:r>
            <w:r w:rsidRPr="00BA0DE8">
              <w:t xml:space="preserve"> noteikumiem</w:t>
            </w:r>
            <w:r w:rsidR="00FD41CD" w:rsidRPr="00BA0DE8">
              <w:t xml:space="preserve"> Nr.541</w:t>
            </w:r>
            <w:r w:rsidRPr="00BA0DE8">
              <w:t>.</w:t>
            </w:r>
          </w:p>
        </w:tc>
        <w:tc>
          <w:tcPr>
            <w:tcW w:w="1030" w:type="pct"/>
          </w:tcPr>
          <w:p w14:paraId="06AEFD3A" w14:textId="77777777" w:rsidR="008F28C0" w:rsidRPr="00BA0DE8" w:rsidRDefault="008F28C0" w:rsidP="009956A8">
            <w:pPr>
              <w:jc w:val="center"/>
              <w:rPr>
                <w:sz w:val="22"/>
                <w:szCs w:val="22"/>
              </w:rPr>
            </w:pPr>
            <w:r w:rsidRPr="00BA0DE8">
              <w:rPr>
                <w:sz w:val="22"/>
                <w:szCs w:val="22"/>
              </w:rPr>
              <w:t>Neparedz stingrākas prasības.</w:t>
            </w:r>
          </w:p>
        </w:tc>
      </w:tr>
      <w:tr w:rsidR="00BA0DE8" w:rsidRPr="00BA0DE8" w14:paraId="2F215A00" w14:textId="77777777" w:rsidTr="00133DFE">
        <w:trPr>
          <w:trHeight w:val="279"/>
        </w:trPr>
        <w:tc>
          <w:tcPr>
            <w:tcW w:w="1123" w:type="pct"/>
            <w:gridSpan w:val="2"/>
          </w:tcPr>
          <w:p w14:paraId="5473886F" w14:textId="77777777" w:rsidR="008F28C0" w:rsidRPr="00BA0DE8" w:rsidRDefault="008F28C0" w:rsidP="009956A8">
            <w:r w:rsidRPr="00BA0DE8">
              <w:t xml:space="preserve">Komisijas Lēmuma </w:t>
            </w:r>
            <w:r w:rsidRPr="00BA0DE8">
              <w:lastRenderedPageBreak/>
              <w:t>2006/427/EK 2.pants</w:t>
            </w:r>
          </w:p>
        </w:tc>
        <w:tc>
          <w:tcPr>
            <w:tcW w:w="987" w:type="pct"/>
          </w:tcPr>
          <w:p w14:paraId="6F45DD32" w14:textId="77777777" w:rsidR="008F28C0" w:rsidRPr="00BA0DE8" w:rsidRDefault="008F28C0" w:rsidP="009956A8">
            <w:pPr>
              <w:jc w:val="center"/>
            </w:pPr>
            <w:r w:rsidRPr="00BA0DE8">
              <w:lastRenderedPageBreak/>
              <w:t>–</w:t>
            </w:r>
          </w:p>
        </w:tc>
        <w:tc>
          <w:tcPr>
            <w:tcW w:w="1860" w:type="pct"/>
          </w:tcPr>
          <w:p w14:paraId="6643B3F5" w14:textId="77777777" w:rsidR="008F28C0" w:rsidRPr="00BA0DE8" w:rsidRDefault="008F28C0" w:rsidP="009956A8">
            <w:pPr>
              <w:jc w:val="both"/>
            </w:pPr>
            <w:r w:rsidRPr="00BA0DE8">
              <w:t>Nav nepieciešama pārņemšana.</w:t>
            </w:r>
          </w:p>
        </w:tc>
        <w:tc>
          <w:tcPr>
            <w:tcW w:w="1030" w:type="pct"/>
          </w:tcPr>
          <w:p w14:paraId="4E5BB451" w14:textId="77777777" w:rsidR="008F28C0" w:rsidRPr="00BA0DE8" w:rsidRDefault="008F28C0" w:rsidP="009956A8">
            <w:pPr>
              <w:jc w:val="center"/>
              <w:rPr>
                <w:sz w:val="22"/>
                <w:szCs w:val="22"/>
              </w:rPr>
            </w:pPr>
            <w:r w:rsidRPr="00BA0DE8">
              <w:rPr>
                <w:sz w:val="22"/>
                <w:szCs w:val="22"/>
              </w:rPr>
              <w:t>–</w:t>
            </w:r>
          </w:p>
        </w:tc>
      </w:tr>
      <w:tr w:rsidR="00BA0DE8" w:rsidRPr="00BA0DE8" w14:paraId="7429972E" w14:textId="77777777" w:rsidTr="00133DFE">
        <w:trPr>
          <w:trHeight w:val="279"/>
        </w:trPr>
        <w:tc>
          <w:tcPr>
            <w:tcW w:w="1123" w:type="pct"/>
            <w:gridSpan w:val="2"/>
          </w:tcPr>
          <w:p w14:paraId="2D866BEC" w14:textId="77777777" w:rsidR="008F28C0" w:rsidRPr="00BA0DE8" w:rsidRDefault="008F28C0" w:rsidP="009956A8">
            <w:r w:rsidRPr="00BA0DE8">
              <w:lastRenderedPageBreak/>
              <w:t>Komisijas Lēmuma</w:t>
            </w:r>
            <w:proofErr w:type="gramStart"/>
            <w:r w:rsidRPr="00BA0DE8">
              <w:t xml:space="preserve">  </w:t>
            </w:r>
            <w:proofErr w:type="gramEnd"/>
            <w:r w:rsidRPr="00BA0DE8">
              <w:t>2006/427/EK 3.pants</w:t>
            </w:r>
          </w:p>
        </w:tc>
        <w:tc>
          <w:tcPr>
            <w:tcW w:w="987" w:type="pct"/>
          </w:tcPr>
          <w:p w14:paraId="18E6FFDF" w14:textId="77777777" w:rsidR="008F28C0" w:rsidRPr="00BA0DE8" w:rsidRDefault="008F28C0" w:rsidP="009956A8">
            <w:pPr>
              <w:jc w:val="center"/>
            </w:pPr>
            <w:r w:rsidRPr="00BA0DE8">
              <w:t>–</w:t>
            </w:r>
          </w:p>
        </w:tc>
        <w:tc>
          <w:tcPr>
            <w:tcW w:w="1860" w:type="pct"/>
          </w:tcPr>
          <w:p w14:paraId="70F2DE42" w14:textId="77777777" w:rsidR="008F28C0" w:rsidRPr="00BA0DE8" w:rsidRDefault="008F28C0" w:rsidP="009956A8">
            <w:pPr>
              <w:jc w:val="both"/>
            </w:pPr>
            <w:r w:rsidRPr="00BA0DE8">
              <w:t>Nav nepieciešama pārņemšana.</w:t>
            </w:r>
          </w:p>
        </w:tc>
        <w:tc>
          <w:tcPr>
            <w:tcW w:w="1030" w:type="pct"/>
          </w:tcPr>
          <w:p w14:paraId="3045786C" w14:textId="77777777" w:rsidR="008F28C0" w:rsidRPr="00BA0DE8" w:rsidRDefault="008F28C0" w:rsidP="009956A8">
            <w:pPr>
              <w:jc w:val="center"/>
              <w:rPr>
                <w:sz w:val="22"/>
                <w:szCs w:val="22"/>
              </w:rPr>
            </w:pPr>
            <w:r w:rsidRPr="00BA0DE8">
              <w:rPr>
                <w:sz w:val="22"/>
                <w:szCs w:val="22"/>
              </w:rPr>
              <w:t>–</w:t>
            </w:r>
          </w:p>
        </w:tc>
      </w:tr>
      <w:tr w:rsidR="00BA0DE8" w:rsidRPr="00BA0DE8" w14:paraId="6841721C" w14:textId="77777777" w:rsidTr="00133DFE">
        <w:trPr>
          <w:trHeight w:val="279"/>
        </w:trPr>
        <w:tc>
          <w:tcPr>
            <w:tcW w:w="1123" w:type="pct"/>
            <w:gridSpan w:val="2"/>
          </w:tcPr>
          <w:p w14:paraId="7A99B8A4" w14:textId="77777777" w:rsidR="008F28C0" w:rsidRPr="00BA0DE8" w:rsidRDefault="008F28C0" w:rsidP="009956A8">
            <w:r w:rsidRPr="00BA0DE8">
              <w:t>Komisijas Lēmuma 2006/427/EK I pielikuma I daļa</w:t>
            </w:r>
          </w:p>
        </w:tc>
        <w:tc>
          <w:tcPr>
            <w:tcW w:w="987" w:type="pct"/>
          </w:tcPr>
          <w:p w14:paraId="764D725F" w14:textId="339E7B0D" w:rsidR="008F28C0" w:rsidRPr="00BA0DE8" w:rsidRDefault="004708A3" w:rsidP="009956A8">
            <w:pPr>
              <w:jc w:val="center"/>
            </w:pPr>
            <w:r w:rsidRPr="00BA0DE8">
              <w:t>Projekta 51</w:t>
            </w:r>
            <w:r w:rsidR="0074447B" w:rsidRPr="00BA0DE8">
              <w:t>.</w:t>
            </w:r>
            <w:r w:rsidR="008F28C0" w:rsidRPr="00BA0DE8">
              <w:t xml:space="preserve">punkts </w:t>
            </w:r>
          </w:p>
        </w:tc>
        <w:tc>
          <w:tcPr>
            <w:tcW w:w="1860" w:type="pct"/>
          </w:tcPr>
          <w:p w14:paraId="14299E06" w14:textId="58B1843E" w:rsidR="008F28C0" w:rsidRPr="00BA0DE8" w:rsidRDefault="008F28C0" w:rsidP="009956A8">
            <w:pPr>
              <w:jc w:val="both"/>
            </w:pPr>
            <w:r w:rsidRPr="00BA0DE8">
              <w:t>Pārņemts daļēji ar proje</w:t>
            </w:r>
            <w:r w:rsidR="0032112A" w:rsidRPr="00BA0DE8">
              <w:t>ktu, pilnībā pārņemts ar MK 2012.gada 18.decembra noteikumu Nr.878 „ „Lauksaimniecības datu centra nolikums</w:t>
            </w:r>
            <w:r w:rsidRPr="00BA0DE8">
              <w:t>” nolikums” 4.7.apakšpunktu un Zemkopības ministrijas 2007.gada 6.februāra kārtību Nr.7 „Slaucamo govju un piena šķirņu vaislas buļļu ciltsvērtības noteikšana”.</w:t>
            </w:r>
          </w:p>
        </w:tc>
        <w:tc>
          <w:tcPr>
            <w:tcW w:w="1030" w:type="pct"/>
          </w:tcPr>
          <w:p w14:paraId="1BA01B3B" w14:textId="77777777" w:rsidR="008F28C0" w:rsidRPr="00BA0DE8" w:rsidRDefault="008F28C0" w:rsidP="009956A8">
            <w:pPr>
              <w:jc w:val="center"/>
              <w:rPr>
                <w:sz w:val="22"/>
                <w:szCs w:val="22"/>
              </w:rPr>
            </w:pPr>
            <w:r w:rsidRPr="00BA0DE8">
              <w:rPr>
                <w:sz w:val="22"/>
                <w:szCs w:val="22"/>
              </w:rPr>
              <w:t>Neparedz stingrākas prasības.</w:t>
            </w:r>
          </w:p>
        </w:tc>
      </w:tr>
      <w:tr w:rsidR="00BA0DE8" w:rsidRPr="00BA0DE8" w14:paraId="7E47B87D" w14:textId="77777777" w:rsidTr="00133DFE">
        <w:trPr>
          <w:trHeight w:val="279"/>
        </w:trPr>
        <w:tc>
          <w:tcPr>
            <w:tcW w:w="1123" w:type="pct"/>
            <w:gridSpan w:val="2"/>
          </w:tcPr>
          <w:p w14:paraId="31C3878C" w14:textId="77777777" w:rsidR="008F28C0" w:rsidRPr="00BA0DE8" w:rsidRDefault="008F28C0" w:rsidP="009956A8">
            <w:r w:rsidRPr="00BA0DE8">
              <w:t>Komisijas Lēmuma 2006/427/EK I pielikuma II daļas 1.punkts</w:t>
            </w:r>
          </w:p>
        </w:tc>
        <w:tc>
          <w:tcPr>
            <w:tcW w:w="987" w:type="pct"/>
          </w:tcPr>
          <w:p w14:paraId="3533C480" w14:textId="77777777" w:rsidR="008F28C0" w:rsidRPr="00BA0DE8" w:rsidRDefault="008F28C0" w:rsidP="009956A8">
            <w:pPr>
              <w:jc w:val="center"/>
            </w:pPr>
            <w:r w:rsidRPr="00BA0DE8">
              <w:t>–</w:t>
            </w:r>
          </w:p>
        </w:tc>
        <w:tc>
          <w:tcPr>
            <w:tcW w:w="1860" w:type="pct"/>
          </w:tcPr>
          <w:p w14:paraId="1E0636A6" w14:textId="3C1A1DDB" w:rsidR="008F28C0" w:rsidRPr="00BA0DE8" w:rsidRDefault="00C44FE4" w:rsidP="00FD41CD">
            <w:pPr>
              <w:jc w:val="both"/>
            </w:pPr>
            <w:r w:rsidRPr="00BA0DE8">
              <w:t>Normas</w:t>
            </w:r>
            <w:r w:rsidR="008F28C0" w:rsidRPr="00BA0DE8">
              <w:t xml:space="preserve"> pārņemtas ar noteikumiem</w:t>
            </w:r>
            <w:r w:rsidR="00FD41CD" w:rsidRPr="00BA0DE8">
              <w:t xml:space="preserve"> Nr.541</w:t>
            </w:r>
            <w:r w:rsidR="008F28C0" w:rsidRPr="00BA0DE8">
              <w:t>.</w:t>
            </w:r>
          </w:p>
        </w:tc>
        <w:tc>
          <w:tcPr>
            <w:tcW w:w="1030" w:type="pct"/>
          </w:tcPr>
          <w:p w14:paraId="6F6B311A" w14:textId="77777777" w:rsidR="008F28C0" w:rsidRPr="00BA0DE8" w:rsidRDefault="008F28C0" w:rsidP="009956A8">
            <w:pPr>
              <w:jc w:val="center"/>
              <w:rPr>
                <w:sz w:val="22"/>
                <w:szCs w:val="22"/>
              </w:rPr>
            </w:pPr>
            <w:r w:rsidRPr="00BA0DE8">
              <w:rPr>
                <w:sz w:val="22"/>
                <w:szCs w:val="22"/>
              </w:rPr>
              <w:t>–</w:t>
            </w:r>
          </w:p>
        </w:tc>
      </w:tr>
      <w:tr w:rsidR="00BA0DE8" w:rsidRPr="00BA0DE8" w14:paraId="18D7CAF6" w14:textId="77777777" w:rsidTr="00133DFE">
        <w:trPr>
          <w:trHeight w:val="279"/>
        </w:trPr>
        <w:tc>
          <w:tcPr>
            <w:tcW w:w="1123" w:type="pct"/>
            <w:gridSpan w:val="2"/>
          </w:tcPr>
          <w:p w14:paraId="207D91F7" w14:textId="77777777" w:rsidR="008F28C0" w:rsidRPr="00BA0DE8" w:rsidRDefault="008F28C0" w:rsidP="009956A8">
            <w:r w:rsidRPr="00BA0DE8">
              <w:t>Komisijas Lēmuma 2006/427/EK I pielikuma II daļas 2.punkts</w:t>
            </w:r>
          </w:p>
        </w:tc>
        <w:tc>
          <w:tcPr>
            <w:tcW w:w="987" w:type="pct"/>
          </w:tcPr>
          <w:p w14:paraId="0C5582A1" w14:textId="79C3BB11" w:rsidR="008F28C0" w:rsidRPr="00BA0DE8" w:rsidRDefault="008F28C0" w:rsidP="001E71C9">
            <w:pPr>
              <w:jc w:val="center"/>
            </w:pPr>
            <w:r w:rsidRPr="00BA0DE8">
              <w:t xml:space="preserve">Projekta </w:t>
            </w:r>
            <w:r w:rsidR="001E71C9" w:rsidRPr="00BA0DE8">
              <w:t xml:space="preserve">2., </w:t>
            </w:r>
            <w:r w:rsidRPr="00BA0DE8">
              <w:t xml:space="preserve">7., </w:t>
            </w:r>
            <w:r w:rsidR="001E71C9" w:rsidRPr="00BA0DE8">
              <w:t>8., 15.</w:t>
            </w:r>
            <w:r w:rsidR="000B43C3">
              <w:t>–</w:t>
            </w:r>
            <w:r w:rsidR="001E71C9" w:rsidRPr="00BA0DE8">
              <w:t>19., 23.,</w:t>
            </w:r>
            <w:r w:rsidR="000B43C3">
              <w:t xml:space="preserve"> </w:t>
            </w:r>
            <w:r w:rsidR="001E71C9" w:rsidRPr="00BA0DE8">
              <w:t>23., 51</w:t>
            </w:r>
            <w:r w:rsidR="00214D08" w:rsidRPr="00BA0DE8">
              <w:t>. un 55</w:t>
            </w:r>
            <w:r w:rsidR="001E71C9" w:rsidRPr="00BA0DE8">
              <w:t>.punkts.</w:t>
            </w:r>
          </w:p>
        </w:tc>
        <w:tc>
          <w:tcPr>
            <w:tcW w:w="1860" w:type="pct"/>
          </w:tcPr>
          <w:p w14:paraId="4781226B" w14:textId="77777777" w:rsidR="008F28C0" w:rsidRPr="00BA0DE8" w:rsidRDefault="008F28C0" w:rsidP="009956A8">
            <w:pPr>
              <w:pStyle w:val="naisc"/>
              <w:spacing w:before="0" w:after="0"/>
              <w:jc w:val="both"/>
            </w:pPr>
            <w:r w:rsidRPr="00BA0DE8">
              <w:t>Pārņemts pilnībā.</w:t>
            </w:r>
          </w:p>
        </w:tc>
        <w:tc>
          <w:tcPr>
            <w:tcW w:w="1030" w:type="pct"/>
          </w:tcPr>
          <w:p w14:paraId="40124B19" w14:textId="77777777" w:rsidR="008F28C0" w:rsidRPr="00BA0DE8" w:rsidRDefault="008F28C0" w:rsidP="009956A8">
            <w:pPr>
              <w:jc w:val="center"/>
              <w:rPr>
                <w:sz w:val="22"/>
                <w:szCs w:val="22"/>
              </w:rPr>
            </w:pPr>
            <w:r w:rsidRPr="00BA0DE8">
              <w:rPr>
                <w:sz w:val="22"/>
                <w:szCs w:val="22"/>
              </w:rPr>
              <w:t>Neparedz stingrākas prasības.</w:t>
            </w:r>
          </w:p>
        </w:tc>
      </w:tr>
      <w:tr w:rsidR="00BA0DE8" w:rsidRPr="00BA0DE8" w14:paraId="08ED0393" w14:textId="77777777" w:rsidTr="00133DFE">
        <w:trPr>
          <w:trHeight w:val="279"/>
        </w:trPr>
        <w:tc>
          <w:tcPr>
            <w:tcW w:w="1123" w:type="pct"/>
            <w:gridSpan w:val="2"/>
          </w:tcPr>
          <w:p w14:paraId="299200C8" w14:textId="77777777" w:rsidR="008F28C0" w:rsidRPr="00BA0DE8" w:rsidRDefault="008F28C0" w:rsidP="009956A8">
            <w:r w:rsidRPr="00BA0DE8">
              <w:t>Komisijas Lēmuma 2006/427/EK I pielikuma II daļas 3.punkts</w:t>
            </w:r>
          </w:p>
        </w:tc>
        <w:tc>
          <w:tcPr>
            <w:tcW w:w="987" w:type="pct"/>
          </w:tcPr>
          <w:p w14:paraId="6134C216" w14:textId="77777777" w:rsidR="008F28C0" w:rsidRPr="00BA0DE8" w:rsidRDefault="008F28C0" w:rsidP="009956A8">
            <w:pPr>
              <w:jc w:val="center"/>
            </w:pPr>
            <w:r w:rsidRPr="00BA0DE8">
              <w:t>–</w:t>
            </w:r>
          </w:p>
          <w:p w14:paraId="4006A022" w14:textId="77777777" w:rsidR="008F28C0" w:rsidRPr="00BA0DE8" w:rsidRDefault="008F28C0" w:rsidP="009956A8">
            <w:pPr>
              <w:jc w:val="center"/>
            </w:pPr>
          </w:p>
        </w:tc>
        <w:tc>
          <w:tcPr>
            <w:tcW w:w="1860" w:type="pct"/>
          </w:tcPr>
          <w:p w14:paraId="5939FF88" w14:textId="77777777" w:rsidR="008F28C0" w:rsidRPr="00BA0DE8" w:rsidRDefault="008F28C0" w:rsidP="009956A8">
            <w:pPr>
              <w:pStyle w:val="naisc"/>
              <w:spacing w:before="0" w:after="0"/>
              <w:jc w:val="both"/>
            </w:pPr>
            <w:r w:rsidRPr="00BA0DE8">
              <w:t>Netiek pārņemts, jo saskaņā ar ciltsdarba programmu piena šķirņu govkopībā šie rādītāji govīm netiek uzskaitīti.</w:t>
            </w:r>
          </w:p>
        </w:tc>
        <w:tc>
          <w:tcPr>
            <w:tcW w:w="1030" w:type="pct"/>
          </w:tcPr>
          <w:p w14:paraId="210CF3AD" w14:textId="77777777" w:rsidR="008F28C0" w:rsidRPr="00BA0DE8" w:rsidRDefault="008F28C0" w:rsidP="009956A8">
            <w:pPr>
              <w:jc w:val="center"/>
              <w:rPr>
                <w:sz w:val="22"/>
                <w:szCs w:val="22"/>
              </w:rPr>
            </w:pPr>
            <w:r w:rsidRPr="00BA0DE8">
              <w:rPr>
                <w:sz w:val="22"/>
                <w:szCs w:val="22"/>
              </w:rPr>
              <w:t>-</w:t>
            </w:r>
          </w:p>
        </w:tc>
      </w:tr>
      <w:tr w:rsidR="00BA0DE8" w:rsidRPr="00BA0DE8" w14:paraId="06919894" w14:textId="77777777" w:rsidTr="00133DFE">
        <w:trPr>
          <w:trHeight w:val="279"/>
        </w:trPr>
        <w:tc>
          <w:tcPr>
            <w:tcW w:w="1123" w:type="pct"/>
            <w:gridSpan w:val="2"/>
          </w:tcPr>
          <w:p w14:paraId="07AEDC12" w14:textId="7BEC2C38" w:rsidR="008F28C0" w:rsidRPr="00BA0DE8" w:rsidRDefault="008F28C0" w:rsidP="009956A8">
            <w:r w:rsidRPr="00BA0DE8">
              <w:t xml:space="preserve">Komisijas Lēmuma 2006/427/EK </w:t>
            </w:r>
            <w:r w:rsidR="001E71C9" w:rsidRPr="00BA0DE8">
              <w:t>I pielikuma II daļas</w:t>
            </w:r>
            <w:r w:rsidRPr="00BA0DE8">
              <w:t xml:space="preserve"> 4.punkts</w:t>
            </w:r>
          </w:p>
        </w:tc>
        <w:tc>
          <w:tcPr>
            <w:tcW w:w="987" w:type="pct"/>
          </w:tcPr>
          <w:p w14:paraId="5A3D64D2" w14:textId="08DF0831" w:rsidR="008F28C0" w:rsidRPr="00BA0DE8" w:rsidRDefault="008F28C0" w:rsidP="00214D08">
            <w:pPr>
              <w:jc w:val="center"/>
            </w:pPr>
            <w:r w:rsidRPr="00BA0DE8">
              <w:t>Projekta 3</w:t>
            </w:r>
            <w:r w:rsidR="00214D08" w:rsidRPr="00BA0DE8">
              <w:t>9.</w:t>
            </w:r>
            <w:r w:rsidR="000B43C3">
              <w:t xml:space="preserve"> </w:t>
            </w:r>
            <w:r w:rsidR="00214D08" w:rsidRPr="00BA0DE8">
              <w:t xml:space="preserve">un 41.punkts </w:t>
            </w:r>
          </w:p>
        </w:tc>
        <w:tc>
          <w:tcPr>
            <w:tcW w:w="1860" w:type="pct"/>
          </w:tcPr>
          <w:p w14:paraId="0051B4AB" w14:textId="77777777" w:rsidR="008F28C0" w:rsidRPr="00BA0DE8" w:rsidRDefault="008F28C0" w:rsidP="009956A8">
            <w:pPr>
              <w:pStyle w:val="naisc"/>
              <w:spacing w:before="0" w:after="0"/>
              <w:jc w:val="both"/>
            </w:pPr>
            <w:r w:rsidRPr="00BA0DE8">
              <w:t>Pārņemts pilnībā.</w:t>
            </w:r>
          </w:p>
        </w:tc>
        <w:tc>
          <w:tcPr>
            <w:tcW w:w="1030" w:type="pct"/>
          </w:tcPr>
          <w:p w14:paraId="598CB892" w14:textId="77777777" w:rsidR="008F28C0" w:rsidRPr="00BA0DE8" w:rsidRDefault="008F28C0" w:rsidP="009956A8">
            <w:pPr>
              <w:jc w:val="center"/>
              <w:rPr>
                <w:sz w:val="22"/>
                <w:szCs w:val="22"/>
              </w:rPr>
            </w:pPr>
            <w:r w:rsidRPr="00BA0DE8">
              <w:rPr>
                <w:sz w:val="22"/>
                <w:szCs w:val="22"/>
              </w:rPr>
              <w:t>Neparedz stingrākas prasības.</w:t>
            </w:r>
          </w:p>
        </w:tc>
      </w:tr>
      <w:tr w:rsidR="00BA0DE8" w:rsidRPr="00BA0DE8" w14:paraId="46E98F1E" w14:textId="77777777" w:rsidTr="00133DFE">
        <w:trPr>
          <w:trHeight w:val="279"/>
        </w:trPr>
        <w:tc>
          <w:tcPr>
            <w:tcW w:w="1123" w:type="pct"/>
            <w:gridSpan w:val="2"/>
          </w:tcPr>
          <w:p w14:paraId="1A9717F8" w14:textId="77777777" w:rsidR="008F28C0" w:rsidRPr="00BA0DE8" w:rsidRDefault="008F28C0" w:rsidP="009956A8">
            <w:r w:rsidRPr="00BA0DE8">
              <w:t>Komisijas Lēmuma 2006/427/EK I pielikuma III daļa</w:t>
            </w:r>
          </w:p>
        </w:tc>
        <w:tc>
          <w:tcPr>
            <w:tcW w:w="987" w:type="pct"/>
          </w:tcPr>
          <w:p w14:paraId="317F5365" w14:textId="77777777" w:rsidR="008F28C0" w:rsidRPr="00BA0DE8" w:rsidRDefault="008F28C0" w:rsidP="009956A8">
            <w:pPr>
              <w:jc w:val="center"/>
            </w:pPr>
            <w:r w:rsidRPr="00BA0DE8">
              <w:t>-</w:t>
            </w:r>
          </w:p>
        </w:tc>
        <w:tc>
          <w:tcPr>
            <w:tcW w:w="1860" w:type="pct"/>
          </w:tcPr>
          <w:p w14:paraId="7CAF1C69" w14:textId="64EC7FB9" w:rsidR="008F28C0" w:rsidRPr="00BA0DE8" w:rsidRDefault="008F28C0" w:rsidP="000B43C3">
            <w:pPr>
              <w:pStyle w:val="naisc"/>
              <w:spacing w:before="0" w:after="0"/>
              <w:jc w:val="both"/>
            </w:pPr>
            <w:r w:rsidRPr="00BA0DE8">
              <w:t xml:space="preserve">Pārņemts pilnībā ar Zemkopības ministrijas </w:t>
            </w:r>
            <w:proofErr w:type="gramStart"/>
            <w:r w:rsidRPr="00BA0DE8">
              <w:t>2007.gada</w:t>
            </w:r>
            <w:proofErr w:type="gramEnd"/>
            <w:r w:rsidRPr="00BA0DE8">
              <w:t xml:space="preserve"> 6.februāra kārtību Nr.7 „Slaucamo govju un piena šķirņu vaislas buļļu ciltsvērtības noteikšana”.   Vaislinieku ģenētisko novērtēšanu (arī to buļļu novērtēšanu, no kuriem iegūst spermu mākslīgajai apsēklošanai) veic datu centrs saskaņā ar </w:t>
            </w:r>
            <w:r w:rsidRPr="00BA0DE8">
              <w:rPr>
                <w:i/>
              </w:rPr>
              <w:t>ICAR</w:t>
            </w:r>
            <w:r w:rsidRPr="00BA0DE8">
              <w:t xml:space="preserve"> principiem, tāpēc normas </w:t>
            </w:r>
            <w:r w:rsidR="000B43C3" w:rsidRPr="00BA0DE8">
              <w:t xml:space="preserve">nav nepieciešams </w:t>
            </w:r>
            <w:r w:rsidRPr="00BA0DE8">
              <w:t>ietvert Ministru kabineta noteikumos</w:t>
            </w:r>
          </w:p>
        </w:tc>
        <w:tc>
          <w:tcPr>
            <w:tcW w:w="1030" w:type="pct"/>
          </w:tcPr>
          <w:p w14:paraId="64E1D65D" w14:textId="77777777" w:rsidR="008F28C0" w:rsidRPr="00BA0DE8" w:rsidRDefault="008F28C0" w:rsidP="009956A8">
            <w:pPr>
              <w:jc w:val="center"/>
              <w:rPr>
                <w:sz w:val="22"/>
                <w:szCs w:val="22"/>
              </w:rPr>
            </w:pPr>
            <w:r w:rsidRPr="00BA0DE8">
              <w:rPr>
                <w:sz w:val="22"/>
                <w:szCs w:val="22"/>
              </w:rPr>
              <w:t>-</w:t>
            </w:r>
          </w:p>
        </w:tc>
      </w:tr>
      <w:tr w:rsidR="00BA0DE8" w:rsidRPr="00BA0DE8" w14:paraId="19DA26C7" w14:textId="77777777" w:rsidTr="00133DFE">
        <w:trPr>
          <w:trHeight w:val="279"/>
        </w:trPr>
        <w:tc>
          <w:tcPr>
            <w:tcW w:w="1123" w:type="pct"/>
            <w:gridSpan w:val="2"/>
          </w:tcPr>
          <w:p w14:paraId="092449DE" w14:textId="77777777" w:rsidR="008F28C0" w:rsidRPr="00BA0DE8" w:rsidRDefault="008F28C0" w:rsidP="009956A8">
            <w:r w:rsidRPr="00BA0DE8">
              <w:lastRenderedPageBreak/>
              <w:t>Komisijas Lēmuma 2006/427/EK II un III pielikums</w:t>
            </w:r>
          </w:p>
        </w:tc>
        <w:tc>
          <w:tcPr>
            <w:tcW w:w="987" w:type="pct"/>
          </w:tcPr>
          <w:p w14:paraId="50328691" w14:textId="77777777" w:rsidR="008F28C0" w:rsidRPr="00BA0DE8" w:rsidRDefault="008F28C0" w:rsidP="009956A8">
            <w:pPr>
              <w:jc w:val="center"/>
            </w:pPr>
            <w:r w:rsidRPr="00BA0DE8">
              <w:t>-</w:t>
            </w:r>
          </w:p>
        </w:tc>
        <w:tc>
          <w:tcPr>
            <w:tcW w:w="1860" w:type="pct"/>
          </w:tcPr>
          <w:p w14:paraId="3D613601" w14:textId="18EDE691" w:rsidR="008F28C0" w:rsidRPr="00BA0DE8" w:rsidRDefault="008F28C0" w:rsidP="009956A8">
            <w:pPr>
              <w:jc w:val="both"/>
            </w:pPr>
            <w:r w:rsidRPr="00BA0DE8">
              <w:t>Nav nepieciešam</w:t>
            </w:r>
            <w:r w:rsidR="000B43C3">
              <w:t>s</w:t>
            </w:r>
            <w:r w:rsidRPr="00BA0DE8">
              <w:t xml:space="preserve"> pārņem</w:t>
            </w:r>
            <w:r w:rsidR="000B43C3">
              <w:t>t</w:t>
            </w:r>
            <w:r w:rsidRPr="00BA0DE8">
              <w:t>.</w:t>
            </w:r>
          </w:p>
        </w:tc>
        <w:tc>
          <w:tcPr>
            <w:tcW w:w="1030" w:type="pct"/>
          </w:tcPr>
          <w:p w14:paraId="55618939" w14:textId="77777777" w:rsidR="008F28C0" w:rsidRPr="00BA0DE8" w:rsidRDefault="008F28C0" w:rsidP="009956A8">
            <w:pPr>
              <w:jc w:val="center"/>
              <w:rPr>
                <w:sz w:val="22"/>
                <w:szCs w:val="22"/>
              </w:rPr>
            </w:pPr>
            <w:r w:rsidRPr="00BA0DE8">
              <w:rPr>
                <w:sz w:val="22"/>
                <w:szCs w:val="22"/>
              </w:rPr>
              <w:t>-</w:t>
            </w:r>
          </w:p>
        </w:tc>
      </w:tr>
      <w:tr w:rsidR="00BA0DE8" w:rsidRPr="00BA0DE8" w14:paraId="3DE57B18" w14:textId="77777777" w:rsidTr="00133DFE">
        <w:trPr>
          <w:trHeight w:val="279"/>
        </w:trPr>
        <w:tc>
          <w:tcPr>
            <w:tcW w:w="1123" w:type="pct"/>
            <w:gridSpan w:val="2"/>
          </w:tcPr>
          <w:p w14:paraId="610E5651" w14:textId="77777777" w:rsidR="008F28C0" w:rsidRPr="00BA0DE8" w:rsidRDefault="008F28C0" w:rsidP="009956A8">
            <w:r w:rsidRPr="00BA0DE8">
              <w:t>Komisijas Lēmuma 90/256/EEK 1.pants</w:t>
            </w:r>
          </w:p>
        </w:tc>
        <w:tc>
          <w:tcPr>
            <w:tcW w:w="987" w:type="pct"/>
          </w:tcPr>
          <w:p w14:paraId="1C41D3D6" w14:textId="619F69E5" w:rsidR="008F28C0" w:rsidRPr="00BA0DE8" w:rsidRDefault="001814E3" w:rsidP="00D80CFE">
            <w:pPr>
              <w:jc w:val="center"/>
            </w:pPr>
            <w:r w:rsidRPr="00BA0DE8">
              <w:t>Projekta 2., 7</w:t>
            </w:r>
            <w:r w:rsidR="008F28C0" w:rsidRPr="00BA0DE8">
              <w:t>.</w:t>
            </w:r>
            <w:r w:rsidR="00D80CFE" w:rsidRPr="00BA0DE8">
              <w:t>, 8.</w:t>
            </w:r>
            <w:r w:rsidR="000B43C3">
              <w:t xml:space="preserve">, </w:t>
            </w:r>
            <w:r w:rsidR="00D80CFE" w:rsidRPr="00BA0DE8">
              <w:t>15.</w:t>
            </w:r>
            <w:r w:rsidR="000B43C3">
              <w:t>–</w:t>
            </w:r>
            <w:r w:rsidR="00D80CFE" w:rsidRPr="00BA0DE8">
              <w:t>34.</w:t>
            </w:r>
            <w:r w:rsidR="000B43C3">
              <w:t xml:space="preserve"> un</w:t>
            </w:r>
            <w:r w:rsidR="00D80CFE" w:rsidRPr="00BA0DE8">
              <w:t xml:space="preserve"> 44.</w:t>
            </w:r>
            <w:r w:rsidR="000B43C3">
              <w:t>–</w:t>
            </w:r>
            <w:r w:rsidR="00D80CFE" w:rsidRPr="00BA0DE8">
              <w:t>53. punkts</w:t>
            </w:r>
          </w:p>
        </w:tc>
        <w:tc>
          <w:tcPr>
            <w:tcW w:w="1860" w:type="pct"/>
          </w:tcPr>
          <w:p w14:paraId="24686D6B" w14:textId="54ED4143" w:rsidR="008F28C0" w:rsidRPr="00BA0DE8" w:rsidRDefault="008F28C0" w:rsidP="009956A8">
            <w:pPr>
              <w:jc w:val="both"/>
            </w:pPr>
            <w:r w:rsidRPr="00BA0DE8">
              <w:t>Pārņemts pilnībā attiecībā uz piena šķirņu kazu pārraudzību. Normas, kas att</w:t>
            </w:r>
            <w:r w:rsidR="00C44FE4" w:rsidRPr="00BA0DE8">
              <w:t xml:space="preserve">iecas un aitu pārraudzību, </w:t>
            </w:r>
            <w:r w:rsidR="00FD41CD" w:rsidRPr="00BA0DE8">
              <w:t>pārņemtas ar</w:t>
            </w:r>
            <w:r w:rsidRPr="00BA0DE8">
              <w:t xml:space="preserve"> noteikumiem</w:t>
            </w:r>
            <w:r w:rsidR="00FD41CD" w:rsidRPr="00BA0DE8">
              <w:t xml:space="preserve"> Nr.528</w:t>
            </w:r>
            <w:r w:rsidRPr="00BA0DE8">
              <w:t>.</w:t>
            </w:r>
          </w:p>
        </w:tc>
        <w:tc>
          <w:tcPr>
            <w:tcW w:w="1030" w:type="pct"/>
          </w:tcPr>
          <w:p w14:paraId="553A6FF2" w14:textId="77777777" w:rsidR="008F28C0" w:rsidRPr="00BA0DE8" w:rsidRDefault="008F28C0" w:rsidP="009956A8">
            <w:pPr>
              <w:jc w:val="center"/>
              <w:rPr>
                <w:sz w:val="22"/>
                <w:szCs w:val="22"/>
              </w:rPr>
            </w:pPr>
            <w:r w:rsidRPr="00BA0DE8">
              <w:rPr>
                <w:sz w:val="22"/>
                <w:szCs w:val="22"/>
              </w:rPr>
              <w:t>Neparedz stingrākas prasības.</w:t>
            </w:r>
          </w:p>
        </w:tc>
      </w:tr>
      <w:tr w:rsidR="00BA0DE8" w:rsidRPr="00BA0DE8" w14:paraId="54E124C5" w14:textId="77777777" w:rsidTr="00133DFE">
        <w:trPr>
          <w:trHeight w:val="279"/>
        </w:trPr>
        <w:tc>
          <w:tcPr>
            <w:tcW w:w="1123" w:type="pct"/>
            <w:gridSpan w:val="2"/>
          </w:tcPr>
          <w:p w14:paraId="27B01BF1" w14:textId="77777777" w:rsidR="008F28C0" w:rsidRPr="00BA0DE8" w:rsidRDefault="008F28C0" w:rsidP="009956A8">
            <w:r w:rsidRPr="00BA0DE8">
              <w:t>Komisijas Lēmuma 90/256/EEK 2.pants</w:t>
            </w:r>
          </w:p>
        </w:tc>
        <w:tc>
          <w:tcPr>
            <w:tcW w:w="987" w:type="pct"/>
          </w:tcPr>
          <w:p w14:paraId="2A2CA652" w14:textId="77777777" w:rsidR="008F28C0" w:rsidRPr="00BA0DE8" w:rsidRDefault="008F28C0" w:rsidP="009956A8">
            <w:pPr>
              <w:jc w:val="center"/>
            </w:pPr>
            <w:r w:rsidRPr="00BA0DE8">
              <w:t>–</w:t>
            </w:r>
          </w:p>
        </w:tc>
        <w:tc>
          <w:tcPr>
            <w:tcW w:w="1860" w:type="pct"/>
          </w:tcPr>
          <w:p w14:paraId="0DF5735B" w14:textId="77777777" w:rsidR="008F28C0" w:rsidRPr="00BA0DE8" w:rsidRDefault="008F28C0" w:rsidP="009956A8">
            <w:pPr>
              <w:jc w:val="both"/>
            </w:pPr>
            <w:r w:rsidRPr="00BA0DE8">
              <w:t>Nav nepieciešama pārņemšana.</w:t>
            </w:r>
          </w:p>
        </w:tc>
        <w:tc>
          <w:tcPr>
            <w:tcW w:w="1030" w:type="pct"/>
          </w:tcPr>
          <w:p w14:paraId="1C571C30" w14:textId="77777777" w:rsidR="008F28C0" w:rsidRPr="00BA0DE8" w:rsidRDefault="008F28C0" w:rsidP="009956A8">
            <w:pPr>
              <w:jc w:val="center"/>
              <w:rPr>
                <w:sz w:val="22"/>
                <w:szCs w:val="22"/>
              </w:rPr>
            </w:pPr>
            <w:r w:rsidRPr="00BA0DE8">
              <w:rPr>
                <w:sz w:val="22"/>
                <w:szCs w:val="22"/>
              </w:rPr>
              <w:t>–</w:t>
            </w:r>
          </w:p>
        </w:tc>
      </w:tr>
      <w:tr w:rsidR="00BA0DE8" w:rsidRPr="00BA0DE8" w14:paraId="6BDF21EB" w14:textId="77777777" w:rsidTr="00133DFE">
        <w:trPr>
          <w:trHeight w:val="279"/>
        </w:trPr>
        <w:tc>
          <w:tcPr>
            <w:tcW w:w="1123" w:type="pct"/>
            <w:gridSpan w:val="2"/>
          </w:tcPr>
          <w:p w14:paraId="5C4C7068" w14:textId="77777777" w:rsidR="008F28C0" w:rsidRPr="00BA0DE8" w:rsidRDefault="008F28C0" w:rsidP="009956A8">
            <w:r w:rsidRPr="00BA0DE8">
              <w:t>Komisijas Lēmuma 90/256/EEK pielikuma 1.rindkopa</w:t>
            </w:r>
          </w:p>
        </w:tc>
        <w:tc>
          <w:tcPr>
            <w:tcW w:w="987" w:type="pct"/>
          </w:tcPr>
          <w:p w14:paraId="7B81339F" w14:textId="694B9207" w:rsidR="008F28C0" w:rsidRPr="00BA0DE8" w:rsidRDefault="00393207" w:rsidP="009956A8">
            <w:pPr>
              <w:jc w:val="center"/>
            </w:pPr>
            <w:r w:rsidRPr="00BA0DE8">
              <w:t>Projekta 15.</w:t>
            </w:r>
            <w:r w:rsidR="000B43C3">
              <w:t>–</w:t>
            </w:r>
            <w:r w:rsidRPr="00BA0DE8">
              <w:t>34.</w:t>
            </w:r>
            <w:r w:rsidR="000B43C3">
              <w:t xml:space="preserve"> un</w:t>
            </w:r>
            <w:r w:rsidRPr="00BA0DE8">
              <w:t xml:space="preserve"> </w:t>
            </w:r>
            <w:r w:rsidR="00D80CFE" w:rsidRPr="00BA0DE8">
              <w:t>44.</w:t>
            </w:r>
            <w:r w:rsidR="000B43C3">
              <w:t>–</w:t>
            </w:r>
            <w:r w:rsidR="001814E3" w:rsidRPr="00BA0DE8">
              <w:t>53.punkts</w:t>
            </w:r>
          </w:p>
          <w:p w14:paraId="26A665E8" w14:textId="77777777" w:rsidR="008F28C0" w:rsidRPr="00BA0DE8" w:rsidRDefault="008F28C0" w:rsidP="009956A8">
            <w:pPr>
              <w:jc w:val="both"/>
            </w:pPr>
          </w:p>
        </w:tc>
        <w:tc>
          <w:tcPr>
            <w:tcW w:w="1860" w:type="pct"/>
          </w:tcPr>
          <w:p w14:paraId="58A03498" w14:textId="77777777" w:rsidR="008F28C0" w:rsidRPr="00BA0DE8" w:rsidRDefault="008F28C0" w:rsidP="009956A8">
            <w:pPr>
              <w:jc w:val="both"/>
            </w:pPr>
            <w:r w:rsidRPr="00BA0DE8">
              <w:t>Pārņemts pilnībā.</w:t>
            </w:r>
          </w:p>
        </w:tc>
        <w:tc>
          <w:tcPr>
            <w:tcW w:w="1030" w:type="pct"/>
          </w:tcPr>
          <w:p w14:paraId="150E97B8" w14:textId="77777777" w:rsidR="008F28C0" w:rsidRPr="00BA0DE8" w:rsidRDefault="008F28C0" w:rsidP="009956A8">
            <w:pPr>
              <w:jc w:val="center"/>
              <w:rPr>
                <w:sz w:val="22"/>
                <w:szCs w:val="22"/>
              </w:rPr>
            </w:pPr>
            <w:r w:rsidRPr="00BA0DE8">
              <w:rPr>
                <w:sz w:val="22"/>
                <w:szCs w:val="22"/>
              </w:rPr>
              <w:t>Neparedz stingrākas prasības.</w:t>
            </w:r>
          </w:p>
        </w:tc>
      </w:tr>
      <w:tr w:rsidR="00BA0DE8" w:rsidRPr="00BA0DE8" w14:paraId="58ECBD93" w14:textId="77777777" w:rsidTr="00133DFE">
        <w:trPr>
          <w:trHeight w:val="279"/>
        </w:trPr>
        <w:tc>
          <w:tcPr>
            <w:tcW w:w="1123" w:type="pct"/>
            <w:gridSpan w:val="2"/>
          </w:tcPr>
          <w:p w14:paraId="6A25176D" w14:textId="77777777" w:rsidR="008F28C0" w:rsidRPr="00BA0DE8" w:rsidRDefault="008F28C0" w:rsidP="009956A8">
            <w:r w:rsidRPr="00BA0DE8">
              <w:t>Komisijas Lēmuma 90/256/EEK pielikuma I daļas 1.punkts</w:t>
            </w:r>
          </w:p>
        </w:tc>
        <w:tc>
          <w:tcPr>
            <w:tcW w:w="987" w:type="pct"/>
          </w:tcPr>
          <w:p w14:paraId="2C008F89" w14:textId="77777777" w:rsidR="008F28C0" w:rsidRPr="00BA0DE8" w:rsidRDefault="008F28C0" w:rsidP="009956A8">
            <w:pPr>
              <w:jc w:val="center"/>
            </w:pPr>
            <w:r w:rsidRPr="00BA0DE8">
              <w:t>–</w:t>
            </w:r>
          </w:p>
        </w:tc>
        <w:tc>
          <w:tcPr>
            <w:tcW w:w="1860" w:type="pct"/>
          </w:tcPr>
          <w:p w14:paraId="2C8F3391" w14:textId="77777777" w:rsidR="008F28C0" w:rsidRPr="00BA0DE8" w:rsidRDefault="008F28C0" w:rsidP="009956A8">
            <w:pPr>
              <w:jc w:val="both"/>
            </w:pPr>
            <w:r w:rsidRPr="00BA0DE8">
              <w:t>Netiek pārņemts, jo šāda metode Latvijā netiek izmantota (saskaņā ar Komisijas Lēmuma 90/256/EEK 1.rindkopu kazu vērtību var aprēķināt, izmantojot vienu metodi vai kombinējot vairākas).</w:t>
            </w:r>
          </w:p>
        </w:tc>
        <w:tc>
          <w:tcPr>
            <w:tcW w:w="1030" w:type="pct"/>
          </w:tcPr>
          <w:p w14:paraId="0CBA0F61" w14:textId="77777777" w:rsidR="008F28C0" w:rsidRPr="00BA0DE8" w:rsidRDefault="008F28C0" w:rsidP="009956A8">
            <w:pPr>
              <w:jc w:val="center"/>
              <w:rPr>
                <w:sz w:val="22"/>
                <w:szCs w:val="22"/>
              </w:rPr>
            </w:pPr>
            <w:r w:rsidRPr="00BA0DE8">
              <w:rPr>
                <w:sz w:val="22"/>
                <w:szCs w:val="22"/>
              </w:rPr>
              <w:t>–</w:t>
            </w:r>
          </w:p>
        </w:tc>
      </w:tr>
      <w:tr w:rsidR="00BA0DE8" w:rsidRPr="00BA0DE8" w14:paraId="38CD5F1D" w14:textId="77777777" w:rsidTr="00133DFE">
        <w:trPr>
          <w:trHeight w:val="279"/>
        </w:trPr>
        <w:tc>
          <w:tcPr>
            <w:tcW w:w="1123" w:type="pct"/>
            <w:gridSpan w:val="2"/>
          </w:tcPr>
          <w:p w14:paraId="0D31993B" w14:textId="77777777" w:rsidR="008F28C0" w:rsidRPr="00BA0DE8" w:rsidRDefault="008F28C0" w:rsidP="009956A8">
            <w:r w:rsidRPr="00BA0DE8">
              <w:t>Komisijas Lēmuma 90/256/EEK pielikuma I daļas 2.punkts</w:t>
            </w:r>
          </w:p>
        </w:tc>
        <w:tc>
          <w:tcPr>
            <w:tcW w:w="987" w:type="pct"/>
          </w:tcPr>
          <w:p w14:paraId="42D02455" w14:textId="6EA90A2F" w:rsidR="008F28C0" w:rsidRPr="00BA0DE8" w:rsidRDefault="00514AED" w:rsidP="009956A8">
            <w:pPr>
              <w:jc w:val="both"/>
            </w:pPr>
            <w:r w:rsidRPr="00BA0DE8">
              <w:t>Projekta 3. un 51.punkts</w:t>
            </w:r>
          </w:p>
        </w:tc>
        <w:tc>
          <w:tcPr>
            <w:tcW w:w="1860" w:type="pct"/>
          </w:tcPr>
          <w:p w14:paraId="460E97B0" w14:textId="77777777" w:rsidR="008F28C0" w:rsidRPr="00BA0DE8" w:rsidRDefault="008F28C0" w:rsidP="009956A8">
            <w:pPr>
              <w:jc w:val="both"/>
            </w:pPr>
            <w:r w:rsidRPr="00BA0DE8">
              <w:t>Pārņemts pilnībā.</w:t>
            </w:r>
          </w:p>
        </w:tc>
        <w:tc>
          <w:tcPr>
            <w:tcW w:w="1030" w:type="pct"/>
          </w:tcPr>
          <w:p w14:paraId="38DE075D" w14:textId="77777777" w:rsidR="008F28C0" w:rsidRPr="00BA0DE8" w:rsidRDefault="008F28C0" w:rsidP="009956A8">
            <w:pPr>
              <w:jc w:val="center"/>
              <w:rPr>
                <w:sz w:val="22"/>
                <w:szCs w:val="22"/>
              </w:rPr>
            </w:pPr>
            <w:r w:rsidRPr="00BA0DE8">
              <w:rPr>
                <w:sz w:val="22"/>
                <w:szCs w:val="22"/>
              </w:rPr>
              <w:t>Neparedz stingrākas prasības.</w:t>
            </w:r>
          </w:p>
        </w:tc>
      </w:tr>
      <w:tr w:rsidR="00BA0DE8" w:rsidRPr="00BA0DE8" w14:paraId="7A456407" w14:textId="77777777" w:rsidTr="00133DFE">
        <w:trPr>
          <w:trHeight w:val="279"/>
        </w:trPr>
        <w:tc>
          <w:tcPr>
            <w:tcW w:w="1123" w:type="pct"/>
            <w:gridSpan w:val="2"/>
          </w:tcPr>
          <w:p w14:paraId="39C6BDB1" w14:textId="77777777" w:rsidR="008F28C0" w:rsidRPr="00BA0DE8" w:rsidRDefault="008F28C0" w:rsidP="009956A8">
            <w:r w:rsidRPr="00BA0DE8">
              <w:t>Komisijas Lēmuma 90/256/EEK pielikuma II daļas 1.punkts</w:t>
            </w:r>
          </w:p>
        </w:tc>
        <w:tc>
          <w:tcPr>
            <w:tcW w:w="987" w:type="pct"/>
          </w:tcPr>
          <w:p w14:paraId="18680732" w14:textId="77777777" w:rsidR="008F28C0" w:rsidRPr="00BA0DE8" w:rsidRDefault="008F28C0" w:rsidP="009956A8">
            <w:pPr>
              <w:jc w:val="both"/>
            </w:pPr>
            <w:r w:rsidRPr="00BA0DE8">
              <w:t>Projekta 51. un 52.punkts</w:t>
            </w:r>
          </w:p>
        </w:tc>
        <w:tc>
          <w:tcPr>
            <w:tcW w:w="1860" w:type="pct"/>
          </w:tcPr>
          <w:p w14:paraId="69E8BF1C" w14:textId="77777777" w:rsidR="008F28C0" w:rsidRPr="00BA0DE8" w:rsidRDefault="008F28C0" w:rsidP="009956A8">
            <w:pPr>
              <w:jc w:val="both"/>
            </w:pPr>
            <w:r w:rsidRPr="00BA0DE8">
              <w:t>Pārņemts pilnībā.</w:t>
            </w:r>
          </w:p>
        </w:tc>
        <w:tc>
          <w:tcPr>
            <w:tcW w:w="1030" w:type="pct"/>
          </w:tcPr>
          <w:p w14:paraId="20F88CFC" w14:textId="77777777" w:rsidR="008F28C0" w:rsidRPr="00BA0DE8" w:rsidRDefault="008F28C0" w:rsidP="009956A8">
            <w:pPr>
              <w:jc w:val="center"/>
              <w:rPr>
                <w:sz w:val="22"/>
                <w:szCs w:val="22"/>
              </w:rPr>
            </w:pPr>
            <w:r w:rsidRPr="00BA0DE8">
              <w:rPr>
                <w:sz w:val="22"/>
                <w:szCs w:val="22"/>
              </w:rPr>
              <w:t>Neparedz stingrākas prasības.</w:t>
            </w:r>
          </w:p>
        </w:tc>
      </w:tr>
      <w:tr w:rsidR="00BA0DE8" w:rsidRPr="00BA0DE8" w14:paraId="228FDD87" w14:textId="77777777" w:rsidTr="00133DFE">
        <w:trPr>
          <w:trHeight w:val="279"/>
        </w:trPr>
        <w:tc>
          <w:tcPr>
            <w:tcW w:w="1123" w:type="pct"/>
            <w:gridSpan w:val="2"/>
          </w:tcPr>
          <w:p w14:paraId="531B617E" w14:textId="77777777" w:rsidR="008F28C0" w:rsidRPr="00BA0DE8" w:rsidRDefault="008F28C0" w:rsidP="009956A8">
            <w:r w:rsidRPr="00BA0DE8">
              <w:t>Komisijas Lēmuma 90/256/EEK pielikuma II daļas 2.punkts</w:t>
            </w:r>
          </w:p>
        </w:tc>
        <w:tc>
          <w:tcPr>
            <w:tcW w:w="987" w:type="pct"/>
          </w:tcPr>
          <w:p w14:paraId="5C780FD7" w14:textId="69A17544" w:rsidR="008F28C0" w:rsidRPr="00BA0DE8" w:rsidRDefault="008F28C0" w:rsidP="009956A8">
            <w:r w:rsidRPr="00BA0DE8">
              <w:t xml:space="preserve">Projekta </w:t>
            </w:r>
            <w:r w:rsidR="00A75DEB" w:rsidRPr="00BA0DE8">
              <w:t>2</w:t>
            </w:r>
            <w:r w:rsidRPr="00BA0DE8">
              <w:t>.</w:t>
            </w:r>
            <w:r w:rsidR="00A75DEB" w:rsidRPr="00BA0DE8">
              <w:t>, 7.</w:t>
            </w:r>
            <w:r w:rsidR="000B43C3">
              <w:t xml:space="preserve"> un</w:t>
            </w:r>
            <w:r w:rsidR="00A75DEB" w:rsidRPr="00BA0DE8">
              <w:t xml:space="preserve"> 15.</w:t>
            </w:r>
            <w:r w:rsidR="000B43C3">
              <w:t>–</w:t>
            </w:r>
            <w:r w:rsidR="00A75DEB" w:rsidRPr="00BA0DE8">
              <w:t>34.</w:t>
            </w:r>
            <w:r w:rsidRPr="00BA0DE8">
              <w:t>punkts</w:t>
            </w:r>
          </w:p>
        </w:tc>
        <w:tc>
          <w:tcPr>
            <w:tcW w:w="1860" w:type="pct"/>
          </w:tcPr>
          <w:p w14:paraId="0504889F" w14:textId="77777777" w:rsidR="008F28C0" w:rsidRPr="00BA0DE8" w:rsidRDefault="008F28C0" w:rsidP="009956A8">
            <w:pPr>
              <w:jc w:val="both"/>
            </w:pPr>
            <w:r w:rsidRPr="00BA0DE8">
              <w:t>Pārņemts pilnībā.</w:t>
            </w:r>
          </w:p>
        </w:tc>
        <w:tc>
          <w:tcPr>
            <w:tcW w:w="1030" w:type="pct"/>
          </w:tcPr>
          <w:p w14:paraId="19F9E340" w14:textId="77777777" w:rsidR="008F28C0" w:rsidRPr="00BA0DE8" w:rsidRDefault="008F28C0" w:rsidP="009956A8">
            <w:pPr>
              <w:jc w:val="center"/>
              <w:rPr>
                <w:sz w:val="22"/>
                <w:szCs w:val="22"/>
              </w:rPr>
            </w:pPr>
            <w:r w:rsidRPr="00BA0DE8">
              <w:rPr>
                <w:sz w:val="22"/>
                <w:szCs w:val="22"/>
              </w:rPr>
              <w:t>Neparedz stingrākas prasības.</w:t>
            </w:r>
          </w:p>
        </w:tc>
      </w:tr>
      <w:tr w:rsidR="00BA0DE8" w:rsidRPr="00BA0DE8" w14:paraId="4155DCA4" w14:textId="77777777" w:rsidTr="00133DFE">
        <w:trPr>
          <w:trHeight w:val="279"/>
        </w:trPr>
        <w:tc>
          <w:tcPr>
            <w:tcW w:w="1123" w:type="pct"/>
            <w:gridSpan w:val="2"/>
          </w:tcPr>
          <w:p w14:paraId="04323E44" w14:textId="77777777" w:rsidR="008F28C0" w:rsidRPr="00BA0DE8" w:rsidRDefault="008F28C0" w:rsidP="009956A8">
            <w:r w:rsidRPr="00BA0DE8">
              <w:t>Komisijas Lēmuma 90/256/EEK pielikuma II daļas 3.punkts</w:t>
            </w:r>
          </w:p>
        </w:tc>
        <w:tc>
          <w:tcPr>
            <w:tcW w:w="987" w:type="pct"/>
          </w:tcPr>
          <w:p w14:paraId="168B6F5A" w14:textId="7D7A6D65" w:rsidR="008F28C0" w:rsidRPr="00BA0DE8" w:rsidRDefault="00A75DEB" w:rsidP="009956A8">
            <w:pPr>
              <w:jc w:val="both"/>
            </w:pPr>
            <w:r w:rsidRPr="00BA0DE8">
              <w:t>Projekta 23</w:t>
            </w:r>
            <w:r w:rsidR="008F28C0" w:rsidRPr="00BA0DE8">
              <w:t>.</w:t>
            </w:r>
            <w:r w:rsidR="00393207" w:rsidRPr="00BA0DE8">
              <w:t xml:space="preserve">, 33. un 48. </w:t>
            </w:r>
            <w:r w:rsidR="008F28C0" w:rsidRPr="00BA0DE8">
              <w:t>punkts</w:t>
            </w:r>
          </w:p>
        </w:tc>
        <w:tc>
          <w:tcPr>
            <w:tcW w:w="1860" w:type="pct"/>
          </w:tcPr>
          <w:p w14:paraId="7E3B8F75" w14:textId="77777777" w:rsidR="008F28C0" w:rsidRPr="00BA0DE8" w:rsidRDefault="008F28C0" w:rsidP="009956A8">
            <w:pPr>
              <w:jc w:val="both"/>
            </w:pPr>
            <w:r w:rsidRPr="00BA0DE8">
              <w:t>Pārņemts pilnībā.</w:t>
            </w:r>
          </w:p>
        </w:tc>
        <w:tc>
          <w:tcPr>
            <w:tcW w:w="1030" w:type="pct"/>
          </w:tcPr>
          <w:p w14:paraId="4DFB6B72" w14:textId="77777777" w:rsidR="008F28C0" w:rsidRPr="00BA0DE8" w:rsidRDefault="008F28C0" w:rsidP="009956A8">
            <w:pPr>
              <w:jc w:val="center"/>
              <w:rPr>
                <w:sz w:val="22"/>
                <w:szCs w:val="22"/>
              </w:rPr>
            </w:pPr>
            <w:r w:rsidRPr="00BA0DE8">
              <w:rPr>
                <w:sz w:val="22"/>
                <w:szCs w:val="22"/>
              </w:rPr>
              <w:t>Neparedz stingrākas prasības.</w:t>
            </w:r>
          </w:p>
        </w:tc>
      </w:tr>
      <w:tr w:rsidR="00BA0DE8" w:rsidRPr="00BA0DE8" w14:paraId="5B23D137" w14:textId="77777777" w:rsidTr="00133DFE">
        <w:trPr>
          <w:trHeight w:val="279"/>
        </w:trPr>
        <w:tc>
          <w:tcPr>
            <w:tcW w:w="1123" w:type="pct"/>
            <w:gridSpan w:val="2"/>
          </w:tcPr>
          <w:p w14:paraId="15FE4C75" w14:textId="77777777" w:rsidR="008F28C0" w:rsidRPr="00BA0DE8" w:rsidRDefault="008F28C0" w:rsidP="009956A8">
            <w:r w:rsidRPr="00BA0DE8">
              <w:t>Komisijas Lēmuma 90/256/EEK pielikuma II daļas 4.punkts</w:t>
            </w:r>
          </w:p>
        </w:tc>
        <w:tc>
          <w:tcPr>
            <w:tcW w:w="987" w:type="pct"/>
          </w:tcPr>
          <w:p w14:paraId="57C7E5EA" w14:textId="721C9116" w:rsidR="008F28C0" w:rsidRPr="00BA0DE8" w:rsidRDefault="008F28C0" w:rsidP="00393207">
            <w:pPr>
              <w:jc w:val="both"/>
            </w:pPr>
            <w:r w:rsidRPr="00BA0DE8">
              <w:t xml:space="preserve">Projekta </w:t>
            </w:r>
            <w:r w:rsidR="00393207" w:rsidRPr="00BA0DE8">
              <w:t>15., 16., 18</w:t>
            </w:r>
            <w:r w:rsidRPr="00BA0DE8">
              <w:t>.</w:t>
            </w:r>
            <w:r w:rsidR="00393207" w:rsidRPr="00BA0DE8">
              <w:t>, 24.</w:t>
            </w:r>
            <w:r w:rsidR="000B43C3">
              <w:t>,</w:t>
            </w:r>
            <w:r w:rsidR="00393207" w:rsidRPr="00BA0DE8">
              <w:t xml:space="preserve"> 28.</w:t>
            </w:r>
            <w:r w:rsidR="000B43C3">
              <w:t xml:space="preserve"> un</w:t>
            </w:r>
            <w:r w:rsidR="00393207" w:rsidRPr="00BA0DE8">
              <w:t xml:space="preserve"> 51.punkts</w:t>
            </w:r>
          </w:p>
        </w:tc>
        <w:tc>
          <w:tcPr>
            <w:tcW w:w="1860" w:type="pct"/>
          </w:tcPr>
          <w:p w14:paraId="2ACC31CD" w14:textId="77777777" w:rsidR="008F28C0" w:rsidRPr="00BA0DE8" w:rsidRDefault="008F28C0" w:rsidP="009956A8">
            <w:pPr>
              <w:jc w:val="both"/>
            </w:pPr>
            <w:r w:rsidRPr="00BA0DE8">
              <w:t>Pārņemts pilnībā.</w:t>
            </w:r>
          </w:p>
        </w:tc>
        <w:tc>
          <w:tcPr>
            <w:tcW w:w="1030" w:type="pct"/>
          </w:tcPr>
          <w:p w14:paraId="769F5F9C" w14:textId="77777777" w:rsidR="008F28C0" w:rsidRPr="00BA0DE8" w:rsidRDefault="008F28C0" w:rsidP="009956A8">
            <w:pPr>
              <w:jc w:val="center"/>
              <w:rPr>
                <w:sz w:val="22"/>
                <w:szCs w:val="22"/>
              </w:rPr>
            </w:pPr>
            <w:r w:rsidRPr="00BA0DE8">
              <w:rPr>
                <w:sz w:val="22"/>
                <w:szCs w:val="22"/>
              </w:rPr>
              <w:t>Neparedz stingrākas prasības.</w:t>
            </w:r>
          </w:p>
        </w:tc>
      </w:tr>
      <w:tr w:rsidR="00BA0DE8" w:rsidRPr="00BA0DE8" w14:paraId="7CF90669" w14:textId="77777777" w:rsidTr="00133DFE">
        <w:trPr>
          <w:trHeight w:val="279"/>
        </w:trPr>
        <w:tc>
          <w:tcPr>
            <w:tcW w:w="1123" w:type="pct"/>
            <w:gridSpan w:val="2"/>
          </w:tcPr>
          <w:p w14:paraId="081E1A67" w14:textId="77777777" w:rsidR="008F28C0" w:rsidRPr="00BA0DE8" w:rsidRDefault="008F28C0" w:rsidP="009956A8">
            <w:r w:rsidRPr="00BA0DE8">
              <w:lastRenderedPageBreak/>
              <w:t>Komisijas Lēmuma 90/256/EEK pielikuma II daļas 5.punkts, III daļa</w:t>
            </w:r>
          </w:p>
        </w:tc>
        <w:tc>
          <w:tcPr>
            <w:tcW w:w="987" w:type="pct"/>
          </w:tcPr>
          <w:p w14:paraId="05E798B8" w14:textId="77777777" w:rsidR="008F28C0" w:rsidRPr="00BA0DE8" w:rsidRDefault="008F28C0" w:rsidP="009956A8">
            <w:pPr>
              <w:jc w:val="center"/>
            </w:pPr>
            <w:r w:rsidRPr="00BA0DE8">
              <w:t>–</w:t>
            </w:r>
          </w:p>
        </w:tc>
        <w:tc>
          <w:tcPr>
            <w:tcW w:w="1860" w:type="pct"/>
          </w:tcPr>
          <w:p w14:paraId="20DA8045" w14:textId="77777777" w:rsidR="008F28C0" w:rsidRPr="00BA0DE8" w:rsidRDefault="008F28C0" w:rsidP="009956A8">
            <w:pPr>
              <w:jc w:val="both"/>
            </w:pPr>
            <w:r w:rsidRPr="00BA0DE8">
              <w:t>Netiek pārņemts, jo šāda metode Latvijā netiek izmantota (saskaņā ar Komisijas Lēmuma 90/256/EEK 1.rindkopu kazu vērtību var aprēķināt, izmantojot vienu metodi vai kombinējot vairākas). Mazā pārraudzībā esošo kazu skaita dēļ pašlaik nav iespējams ar zinātniskām metodēm noteikt kazu ģenētisko vērtību, kā arī veikt pēcnācēju un sānu līniju radinieku pārbaudi.</w:t>
            </w:r>
          </w:p>
        </w:tc>
        <w:tc>
          <w:tcPr>
            <w:tcW w:w="1030" w:type="pct"/>
          </w:tcPr>
          <w:p w14:paraId="79779E18" w14:textId="77777777" w:rsidR="008F28C0" w:rsidRPr="00BA0DE8" w:rsidRDefault="008F28C0" w:rsidP="009956A8">
            <w:pPr>
              <w:jc w:val="center"/>
              <w:rPr>
                <w:sz w:val="22"/>
                <w:szCs w:val="22"/>
              </w:rPr>
            </w:pPr>
            <w:r w:rsidRPr="00BA0DE8">
              <w:rPr>
                <w:sz w:val="22"/>
                <w:szCs w:val="22"/>
              </w:rPr>
              <w:t>–</w:t>
            </w:r>
          </w:p>
        </w:tc>
      </w:tr>
      <w:tr w:rsidR="008F28C0" w:rsidRPr="00BA0DE8" w14:paraId="32CF3453" w14:textId="77777777" w:rsidTr="00133DFE">
        <w:trPr>
          <w:trHeight w:val="279"/>
        </w:trPr>
        <w:tc>
          <w:tcPr>
            <w:tcW w:w="1123" w:type="pct"/>
            <w:gridSpan w:val="2"/>
          </w:tcPr>
          <w:p w14:paraId="7877E88C" w14:textId="77777777" w:rsidR="008F28C0" w:rsidRPr="00BA0DE8" w:rsidRDefault="008F28C0" w:rsidP="009956A8">
            <w:pPr>
              <w:jc w:val="both"/>
            </w:pPr>
            <w:r w:rsidRPr="00BA0DE8">
              <w:rPr>
                <w:sz w:val="22"/>
                <w:szCs w:val="22"/>
              </w:rPr>
              <w:t>Cita informācija</w:t>
            </w:r>
          </w:p>
        </w:tc>
        <w:tc>
          <w:tcPr>
            <w:tcW w:w="3877" w:type="pct"/>
            <w:gridSpan w:val="3"/>
          </w:tcPr>
          <w:p w14:paraId="2B212D2F" w14:textId="77777777" w:rsidR="008F28C0" w:rsidRPr="00BA0DE8" w:rsidRDefault="008F28C0" w:rsidP="009956A8">
            <w:pPr>
              <w:jc w:val="both"/>
            </w:pPr>
            <w:r w:rsidRPr="00BA0DE8">
              <w:rPr>
                <w:sz w:val="22"/>
                <w:szCs w:val="22"/>
              </w:rPr>
              <w:t>Nav.</w:t>
            </w:r>
          </w:p>
        </w:tc>
      </w:tr>
    </w:tbl>
    <w:p w14:paraId="11F5FEE4" w14:textId="77777777" w:rsidR="00B60F97" w:rsidRPr="00BA0DE8" w:rsidRDefault="00B60F97" w:rsidP="008F28C0">
      <w:pPr>
        <w:pStyle w:val="naisf"/>
        <w:spacing w:before="0" w:beforeAutospacing="0" w:after="0" w:afterAutospacing="0"/>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1881"/>
        <w:gridCol w:w="6629"/>
      </w:tblGrid>
      <w:tr w:rsidR="00BA0DE8" w:rsidRPr="00BA0DE8" w14:paraId="2C80A1B0" w14:textId="77777777" w:rsidTr="00133DFE">
        <w:trPr>
          <w:trHeight w:val="279"/>
        </w:trPr>
        <w:tc>
          <w:tcPr>
            <w:tcW w:w="5000" w:type="pct"/>
            <w:gridSpan w:val="3"/>
          </w:tcPr>
          <w:p w14:paraId="25403D69" w14:textId="77777777" w:rsidR="00AC145B" w:rsidRPr="00BA0DE8" w:rsidRDefault="00AC145B" w:rsidP="003037FE">
            <w:pPr>
              <w:jc w:val="center"/>
              <w:rPr>
                <w:b/>
              </w:rPr>
            </w:pPr>
            <w:r w:rsidRPr="00BA0DE8">
              <w:rPr>
                <w:b/>
              </w:rPr>
              <w:t>VI. Sabiedrības līdzdalība un komunikācijas aktivitātes</w:t>
            </w:r>
          </w:p>
        </w:tc>
      </w:tr>
      <w:tr w:rsidR="00BA0DE8" w:rsidRPr="00BA0DE8" w14:paraId="201EAD28" w14:textId="77777777" w:rsidTr="00133DFE">
        <w:trPr>
          <w:trHeight w:val="279"/>
        </w:trPr>
        <w:tc>
          <w:tcPr>
            <w:tcW w:w="304" w:type="pct"/>
          </w:tcPr>
          <w:p w14:paraId="5DC7ADC9" w14:textId="77777777" w:rsidR="00AC145B" w:rsidRPr="00BA0DE8" w:rsidRDefault="00AC145B" w:rsidP="003037FE">
            <w:pPr>
              <w:jc w:val="both"/>
            </w:pPr>
            <w:r w:rsidRPr="00BA0DE8">
              <w:t>1.</w:t>
            </w:r>
          </w:p>
        </w:tc>
        <w:tc>
          <w:tcPr>
            <w:tcW w:w="1038" w:type="pct"/>
          </w:tcPr>
          <w:p w14:paraId="5062D17C" w14:textId="77777777" w:rsidR="00AC145B" w:rsidRPr="00BA0DE8" w:rsidRDefault="00AC145B" w:rsidP="00FC11EF">
            <w:r w:rsidRPr="00BA0DE8">
              <w:t>Plānotās sabiedrības līdzdalības un komunikācijas aktivitātes saistībā ar projektu</w:t>
            </w:r>
          </w:p>
        </w:tc>
        <w:tc>
          <w:tcPr>
            <w:tcW w:w="3659" w:type="pct"/>
          </w:tcPr>
          <w:p w14:paraId="7756FE40" w14:textId="77777777" w:rsidR="00C61931" w:rsidRPr="00BA0DE8" w:rsidRDefault="00EF0066" w:rsidP="003037FE">
            <w:pPr>
              <w:jc w:val="both"/>
            </w:pPr>
            <w:r w:rsidRPr="00BA0DE8">
              <w:t>Informāc</w:t>
            </w:r>
            <w:r w:rsidR="008339D3" w:rsidRPr="00BA0DE8">
              <w:t>ija par normatīvā akta projektu</w:t>
            </w:r>
            <w:r w:rsidR="00E043BC" w:rsidRPr="00BA0DE8">
              <w:t xml:space="preserve"> </w:t>
            </w:r>
            <w:r w:rsidRPr="00BA0DE8">
              <w:t xml:space="preserve">ievietota tīmekļa vietnē </w:t>
            </w:r>
            <w:proofErr w:type="spellStart"/>
            <w:r w:rsidRPr="00BA0DE8">
              <w:t>www.zm.gov.lv</w:t>
            </w:r>
            <w:proofErr w:type="spellEnd"/>
            <w:r w:rsidRPr="00BA0DE8">
              <w:t>.</w:t>
            </w:r>
            <w:r w:rsidR="00C61931" w:rsidRPr="00BA0DE8">
              <w:t xml:space="preserve"> </w:t>
            </w:r>
          </w:p>
          <w:p w14:paraId="7A0B573D" w14:textId="012B2440" w:rsidR="00C61931" w:rsidRPr="00BA0DE8" w:rsidRDefault="00C61931" w:rsidP="003037FE">
            <w:pPr>
              <w:jc w:val="both"/>
            </w:pPr>
            <w:r w:rsidRPr="00BA0DE8">
              <w:t>Projekts elektroniski nosūtīts saskaņošanai Lauksaimnieku organizāciju sadarbības padomei, Zemnieku saeimai, šķirnes lauksaimniecības dzīvnieku audzētāju organizācijām, kas darbojas piena lopkopības un kazkopības jomā, kā arī akreditētām piena kvalitātes analīžu laboratorijām un š.g.24.oktobrī organizēta sanāksme iesūtīto komentāru pārrunāšanai.</w:t>
            </w:r>
          </w:p>
        </w:tc>
      </w:tr>
      <w:tr w:rsidR="00BA0DE8" w:rsidRPr="00BA0DE8" w14:paraId="237FE7D7" w14:textId="77777777" w:rsidTr="00133DFE">
        <w:trPr>
          <w:trHeight w:val="279"/>
        </w:trPr>
        <w:tc>
          <w:tcPr>
            <w:tcW w:w="304" w:type="pct"/>
          </w:tcPr>
          <w:p w14:paraId="53E5A3E2" w14:textId="77777777" w:rsidR="00AC145B" w:rsidRPr="00BA0DE8" w:rsidRDefault="00AC145B" w:rsidP="003037FE">
            <w:pPr>
              <w:jc w:val="both"/>
            </w:pPr>
            <w:r w:rsidRPr="00BA0DE8">
              <w:t>2.</w:t>
            </w:r>
          </w:p>
        </w:tc>
        <w:tc>
          <w:tcPr>
            <w:tcW w:w="1038" w:type="pct"/>
          </w:tcPr>
          <w:p w14:paraId="2BCCF277" w14:textId="77777777" w:rsidR="00AC145B" w:rsidRPr="00BA0DE8" w:rsidRDefault="00AC145B" w:rsidP="003037FE">
            <w:pPr>
              <w:jc w:val="both"/>
            </w:pPr>
            <w:r w:rsidRPr="00BA0DE8">
              <w:t>Sabiedrības līdzdalība projekta izstrādē</w:t>
            </w:r>
          </w:p>
        </w:tc>
        <w:tc>
          <w:tcPr>
            <w:tcW w:w="3659" w:type="pct"/>
          </w:tcPr>
          <w:p w14:paraId="3FE085F5" w14:textId="4276B935" w:rsidR="0091351B" w:rsidRPr="00BA0DE8" w:rsidRDefault="00C61931" w:rsidP="00A25F9B">
            <w:pPr>
              <w:pStyle w:val="naiskr"/>
              <w:spacing w:before="0" w:beforeAutospacing="0" w:after="0" w:afterAutospacing="0"/>
              <w:jc w:val="both"/>
            </w:pPr>
            <w:r w:rsidRPr="00BA0DE8">
              <w:t>No vairākām nevalstiskajām organizācijām tika saņemti komentāri par noteikumu projektu.</w:t>
            </w:r>
          </w:p>
        </w:tc>
      </w:tr>
      <w:tr w:rsidR="00BA0DE8" w:rsidRPr="00BA0DE8" w14:paraId="0BA5FC62" w14:textId="77777777" w:rsidTr="00133DFE">
        <w:trPr>
          <w:trHeight w:val="279"/>
        </w:trPr>
        <w:tc>
          <w:tcPr>
            <w:tcW w:w="304" w:type="pct"/>
          </w:tcPr>
          <w:p w14:paraId="7CEDE2CB" w14:textId="17AA27A8" w:rsidR="00AC145B" w:rsidRPr="00BA0DE8" w:rsidRDefault="00AC145B" w:rsidP="003037FE">
            <w:pPr>
              <w:jc w:val="both"/>
            </w:pPr>
            <w:r w:rsidRPr="00BA0DE8">
              <w:t>3.</w:t>
            </w:r>
          </w:p>
        </w:tc>
        <w:tc>
          <w:tcPr>
            <w:tcW w:w="1038" w:type="pct"/>
          </w:tcPr>
          <w:p w14:paraId="4D226EB8" w14:textId="77777777" w:rsidR="00AC145B" w:rsidRPr="00BA0DE8" w:rsidRDefault="00AC145B" w:rsidP="003037FE">
            <w:pPr>
              <w:jc w:val="both"/>
            </w:pPr>
            <w:r w:rsidRPr="00BA0DE8">
              <w:t>Sabiedrības līdzdalības rezultāti</w:t>
            </w:r>
          </w:p>
        </w:tc>
        <w:tc>
          <w:tcPr>
            <w:tcW w:w="3659" w:type="pct"/>
          </w:tcPr>
          <w:p w14:paraId="08DFC570" w14:textId="44A3FFE4" w:rsidR="00FC11EF" w:rsidRPr="00BA0DE8" w:rsidRDefault="00C61931" w:rsidP="00FC11EF">
            <w:pPr>
              <w:pStyle w:val="naiskr"/>
              <w:spacing w:before="0" w:beforeAutospacing="0" w:after="0" w:afterAutospacing="0"/>
              <w:jc w:val="both"/>
            </w:pPr>
            <w:r w:rsidRPr="00BA0DE8">
              <w:t xml:space="preserve">Izteiktie komentāri un iebildumi </w:t>
            </w:r>
            <w:r w:rsidR="000A2D0B">
              <w:t xml:space="preserve">ir </w:t>
            </w:r>
            <w:r w:rsidRPr="00BA0DE8">
              <w:t>ņemti vērā, kā arī panākta vienošanās sanāksmē.</w:t>
            </w:r>
          </w:p>
        </w:tc>
      </w:tr>
      <w:tr w:rsidR="005C3223" w:rsidRPr="00BA0DE8" w14:paraId="4FB76134" w14:textId="77777777" w:rsidTr="00133DFE">
        <w:trPr>
          <w:trHeight w:val="279"/>
        </w:trPr>
        <w:tc>
          <w:tcPr>
            <w:tcW w:w="304" w:type="pct"/>
          </w:tcPr>
          <w:p w14:paraId="79CFF2E5" w14:textId="77777777" w:rsidR="00AC145B" w:rsidRPr="00BA0DE8" w:rsidRDefault="00AC145B" w:rsidP="003037FE">
            <w:pPr>
              <w:jc w:val="both"/>
            </w:pPr>
            <w:r w:rsidRPr="00BA0DE8">
              <w:t>4.</w:t>
            </w:r>
          </w:p>
        </w:tc>
        <w:tc>
          <w:tcPr>
            <w:tcW w:w="1038" w:type="pct"/>
          </w:tcPr>
          <w:p w14:paraId="39A63D58" w14:textId="77777777" w:rsidR="00AC145B" w:rsidRPr="00BA0DE8" w:rsidRDefault="00AC145B" w:rsidP="003037FE">
            <w:pPr>
              <w:jc w:val="both"/>
            </w:pPr>
            <w:r w:rsidRPr="00BA0DE8">
              <w:t>Cita informācija</w:t>
            </w:r>
          </w:p>
        </w:tc>
        <w:tc>
          <w:tcPr>
            <w:tcW w:w="3659" w:type="pct"/>
          </w:tcPr>
          <w:p w14:paraId="398C2014" w14:textId="77777777" w:rsidR="00AC145B" w:rsidRPr="00BA0DE8" w:rsidRDefault="00AC145B" w:rsidP="003037FE">
            <w:pPr>
              <w:jc w:val="both"/>
            </w:pPr>
            <w:r w:rsidRPr="00BA0DE8">
              <w:rPr>
                <w:sz w:val="22"/>
                <w:szCs w:val="22"/>
              </w:rPr>
              <w:t>Nav.</w:t>
            </w:r>
          </w:p>
        </w:tc>
      </w:tr>
    </w:tbl>
    <w:p w14:paraId="4918DBBC" w14:textId="77777777" w:rsidR="00AC145B" w:rsidRPr="00BA0DE8" w:rsidRDefault="00AC145B" w:rsidP="00AC145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3273"/>
        <w:gridCol w:w="5237"/>
      </w:tblGrid>
      <w:tr w:rsidR="00BA0DE8" w:rsidRPr="00BA0DE8" w14:paraId="3488C072" w14:textId="77777777" w:rsidTr="00133DFE">
        <w:trPr>
          <w:trHeight w:val="279"/>
        </w:trPr>
        <w:tc>
          <w:tcPr>
            <w:tcW w:w="5000" w:type="pct"/>
            <w:gridSpan w:val="3"/>
          </w:tcPr>
          <w:p w14:paraId="59B29EF3" w14:textId="77777777" w:rsidR="00AC145B" w:rsidRPr="00BA0DE8" w:rsidRDefault="00AC145B" w:rsidP="003037FE">
            <w:pPr>
              <w:jc w:val="center"/>
              <w:rPr>
                <w:b/>
              </w:rPr>
            </w:pPr>
            <w:r w:rsidRPr="00BA0DE8">
              <w:rPr>
                <w:b/>
              </w:rPr>
              <w:t>VII. Tiesību akta projekta izpildes nodrošināšana un tās ietekme uz institūcijām</w:t>
            </w:r>
          </w:p>
        </w:tc>
      </w:tr>
      <w:tr w:rsidR="00BA0DE8" w:rsidRPr="00BA0DE8" w14:paraId="5A56D705" w14:textId="77777777" w:rsidTr="00133DFE">
        <w:trPr>
          <w:trHeight w:val="279"/>
        </w:trPr>
        <w:tc>
          <w:tcPr>
            <w:tcW w:w="304" w:type="pct"/>
          </w:tcPr>
          <w:p w14:paraId="7D4BAC07" w14:textId="77777777" w:rsidR="00AC145B" w:rsidRPr="00BA0DE8" w:rsidRDefault="00AC145B" w:rsidP="003037FE">
            <w:pPr>
              <w:jc w:val="both"/>
            </w:pPr>
            <w:r w:rsidRPr="00BA0DE8">
              <w:t>1.</w:t>
            </w:r>
          </w:p>
        </w:tc>
        <w:tc>
          <w:tcPr>
            <w:tcW w:w="1806" w:type="pct"/>
          </w:tcPr>
          <w:p w14:paraId="5B1387D8" w14:textId="77777777" w:rsidR="00AC145B" w:rsidRPr="00BA0DE8" w:rsidRDefault="00AC145B" w:rsidP="003037FE">
            <w:pPr>
              <w:jc w:val="both"/>
            </w:pPr>
            <w:r w:rsidRPr="00BA0DE8">
              <w:t>Projekta izpildē iesaistītās institūcijas</w:t>
            </w:r>
          </w:p>
        </w:tc>
        <w:tc>
          <w:tcPr>
            <w:tcW w:w="2890" w:type="pct"/>
          </w:tcPr>
          <w:p w14:paraId="174F5AB0" w14:textId="3F3E7DFA" w:rsidR="00AC145B" w:rsidRPr="00BA0DE8" w:rsidRDefault="00AC145B" w:rsidP="003037FE">
            <w:pPr>
              <w:pStyle w:val="naisnod"/>
              <w:spacing w:before="0" w:after="0"/>
              <w:ind w:right="57"/>
              <w:jc w:val="both"/>
              <w:rPr>
                <w:b/>
              </w:rPr>
            </w:pPr>
            <w:r w:rsidRPr="00BA0DE8">
              <w:t>Lauksaimniecības datu centrs</w:t>
            </w:r>
          </w:p>
        </w:tc>
      </w:tr>
      <w:tr w:rsidR="00BA0DE8" w:rsidRPr="00BA0DE8" w14:paraId="02D0D3E6" w14:textId="77777777" w:rsidTr="00133DFE">
        <w:trPr>
          <w:trHeight w:val="279"/>
        </w:trPr>
        <w:tc>
          <w:tcPr>
            <w:tcW w:w="304" w:type="pct"/>
          </w:tcPr>
          <w:p w14:paraId="5083C6CA" w14:textId="77777777" w:rsidR="00AC145B" w:rsidRPr="00BA0DE8" w:rsidRDefault="00AC145B" w:rsidP="003037FE">
            <w:pPr>
              <w:jc w:val="both"/>
            </w:pPr>
            <w:r w:rsidRPr="00BA0DE8">
              <w:t>2.</w:t>
            </w:r>
          </w:p>
        </w:tc>
        <w:tc>
          <w:tcPr>
            <w:tcW w:w="1806" w:type="pct"/>
          </w:tcPr>
          <w:p w14:paraId="6A6E0367" w14:textId="77777777" w:rsidR="00AC145B" w:rsidRPr="00BA0DE8" w:rsidRDefault="00AC145B" w:rsidP="003037FE">
            <w:r w:rsidRPr="00BA0DE8">
              <w:t>Projekta izpildes ietekme uz pārvaldes funkcijām un institucionālo struktūru.</w:t>
            </w:r>
          </w:p>
          <w:p w14:paraId="19858653" w14:textId="77777777" w:rsidR="00AC145B" w:rsidRPr="00BA0DE8" w:rsidRDefault="00AC145B" w:rsidP="003037FE">
            <w:r w:rsidRPr="00BA0DE8">
              <w:t>Jaunu institūciju izveide, esošu institūciju likvidācija vai reorganizācija, to ietekme uz institūcijas cilvēkresursiem</w:t>
            </w:r>
          </w:p>
        </w:tc>
        <w:tc>
          <w:tcPr>
            <w:tcW w:w="2890" w:type="pct"/>
          </w:tcPr>
          <w:p w14:paraId="4695FB27" w14:textId="0406BDB9" w:rsidR="00AC145B" w:rsidRPr="00BA0DE8" w:rsidRDefault="00AC145B" w:rsidP="004F598D">
            <w:pPr>
              <w:pStyle w:val="naisnod"/>
              <w:spacing w:before="0" w:beforeAutospacing="0" w:after="0" w:afterAutospacing="0"/>
              <w:ind w:left="57" w:right="57"/>
              <w:jc w:val="both"/>
              <w:rPr>
                <w:b/>
              </w:rPr>
            </w:pPr>
            <w:r w:rsidRPr="00BA0DE8">
              <w:t>Projekts neietekmē pārvaldes funkcijas. Pr</w:t>
            </w:r>
            <w:r w:rsidR="004F598D" w:rsidRPr="00BA0DE8">
              <w:t>ojekta izpildei nav nepieciešama jaunu institūciju izveide, esošo likvidācija vai reorganizācija</w:t>
            </w:r>
            <w:r w:rsidRPr="00BA0DE8">
              <w:t>.</w:t>
            </w:r>
          </w:p>
        </w:tc>
      </w:tr>
      <w:tr w:rsidR="005C3223" w:rsidRPr="00BA0DE8" w14:paraId="44230E0E" w14:textId="77777777" w:rsidTr="00133DFE">
        <w:trPr>
          <w:trHeight w:val="279"/>
        </w:trPr>
        <w:tc>
          <w:tcPr>
            <w:tcW w:w="304" w:type="pct"/>
          </w:tcPr>
          <w:p w14:paraId="205DD208" w14:textId="77777777" w:rsidR="00AC145B" w:rsidRPr="00BA0DE8" w:rsidRDefault="00AC145B" w:rsidP="003037FE">
            <w:pPr>
              <w:jc w:val="both"/>
            </w:pPr>
            <w:r w:rsidRPr="00BA0DE8">
              <w:t>3.</w:t>
            </w:r>
          </w:p>
        </w:tc>
        <w:tc>
          <w:tcPr>
            <w:tcW w:w="1806" w:type="pct"/>
          </w:tcPr>
          <w:p w14:paraId="4A4F4E95" w14:textId="77777777" w:rsidR="00AC145B" w:rsidRPr="00BA0DE8" w:rsidRDefault="00AC145B" w:rsidP="003037FE">
            <w:pPr>
              <w:jc w:val="both"/>
            </w:pPr>
            <w:r w:rsidRPr="00BA0DE8">
              <w:t>Cita informācija</w:t>
            </w:r>
          </w:p>
        </w:tc>
        <w:tc>
          <w:tcPr>
            <w:tcW w:w="2890" w:type="pct"/>
          </w:tcPr>
          <w:p w14:paraId="5F867428" w14:textId="77777777" w:rsidR="00AC145B" w:rsidRPr="00BA0DE8" w:rsidRDefault="00AC145B" w:rsidP="003037FE">
            <w:pPr>
              <w:pStyle w:val="naiskr"/>
              <w:spacing w:before="0" w:after="0"/>
              <w:ind w:left="57" w:right="57"/>
            </w:pPr>
            <w:r w:rsidRPr="00BA0DE8">
              <w:t>Nav.</w:t>
            </w:r>
          </w:p>
        </w:tc>
      </w:tr>
    </w:tbl>
    <w:p w14:paraId="0FDEFBAA" w14:textId="77777777" w:rsidR="00E1791D" w:rsidRPr="00BA0DE8" w:rsidRDefault="00E1791D" w:rsidP="00F37F7E">
      <w:pPr>
        <w:pStyle w:val="naisf"/>
        <w:spacing w:before="0" w:beforeAutospacing="0" w:after="0" w:afterAutospacing="0"/>
        <w:ind w:firstLine="720"/>
        <w:rPr>
          <w:sz w:val="28"/>
          <w:szCs w:val="28"/>
        </w:rPr>
      </w:pPr>
    </w:p>
    <w:p w14:paraId="786974A8" w14:textId="2848A4EA" w:rsidR="00F37F7E" w:rsidRPr="00BA0DE8" w:rsidRDefault="00F37F7E" w:rsidP="00FF3D4D">
      <w:pPr>
        <w:pStyle w:val="naisf"/>
        <w:spacing w:before="0" w:beforeAutospacing="0" w:after="0" w:afterAutospacing="0"/>
        <w:rPr>
          <w:szCs w:val="28"/>
        </w:rPr>
      </w:pPr>
      <w:r w:rsidRPr="00BA0DE8">
        <w:rPr>
          <w:szCs w:val="28"/>
        </w:rPr>
        <w:t>Zemkopības ministr</w:t>
      </w:r>
      <w:r w:rsidR="00E01809" w:rsidRPr="00BA0DE8">
        <w:rPr>
          <w:szCs w:val="28"/>
        </w:rPr>
        <w:t>s</w:t>
      </w:r>
      <w:r w:rsidRPr="00BA0DE8">
        <w:rPr>
          <w:szCs w:val="28"/>
        </w:rPr>
        <w:tab/>
      </w:r>
      <w:r w:rsidRPr="00BA0DE8">
        <w:rPr>
          <w:szCs w:val="28"/>
        </w:rPr>
        <w:tab/>
      </w:r>
      <w:r w:rsidRPr="00BA0DE8">
        <w:rPr>
          <w:szCs w:val="28"/>
        </w:rPr>
        <w:tab/>
      </w:r>
      <w:r w:rsidRPr="00BA0DE8">
        <w:rPr>
          <w:szCs w:val="28"/>
        </w:rPr>
        <w:tab/>
      </w:r>
      <w:r w:rsidR="00FF3D4D">
        <w:rPr>
          <w:szCs w:val="28"/>
        </w:rPr>
        <w:tab/>
      </w:r>
      <w:r w:rsidR="00FF3D4D">
        <w:rPr>
          <w:szCs w:val="28"/>
        </w:rPr>
        <w:tab/>
      </w:r>
      <w:r w:rsidR="00FF3D4D">
        <w:rPr>
          <w:szCs w:val="28"/>
        </w:rPr>
        <w:tab/>
      </w:r>
      <w:r w:rsidR="00E01809" w:rsidRPr="00BA0DE8">
        <w:rPr>
          <w:szCs w:val="28"/>
        </w:rPr>
        <w:tab/>
      </w:r>
      <w:r w:rsidR="00E01809" w:rsidRPr="00BA0DE8">
        <w:rPr>
          <w:szCs w:val="28"/>
        </w:rPr>
        <w:tab/>
      </w:r>
      <w:proofErr w:type="spellStart"/>
      <w:r w:rsidR="00E01809" w:rsidRPr="00BA0DE8">
        <w:rPr>
          <w:szCs w:val="28"/>
        </w:rPr>
        <w:t>J.Dūklavs</w:t>
      </w:r>
      <w:proofErr w:type="spellEnd"/>
    </w:p>
    <w:p w14:paraId="00AD5150" w14:textId="77777777" w:rsidR="00652543" w:rsidRPr="00BA0DE8" w:rsidRDefault="00652543" w:rsidP="00AD4B66">
      <w:pPr>
        <w:pStyle w:val="naisf"/>
        <w:spacing w:before="0" w:beforeAutospacing="0" w:after="0" w:afterAutospacing="0"/>
        <w:rPr>
          <w:sz w:val="20"/>
          <w:szCs w:val="20"/>
        </w:rPr>
      </w:pPr>
    </w:p>
    <w:p w14:paraId="72622CA5" w14:textId="77777777" w:rsidR="00F8405A" w:rsidRDefault="00F8405A" w:rsidP="00AD4B66">
      <w:pPr>
        <w:pStyle w:val="naisf"/>
        <w:spacing w:before="0" w:beforeAutospacing="0" w:after="0" w:afterAutospacing="0"/>
        <w:rPr>
          <w:sz w:val="20"/>
          <w:szCs w:val="20"/>
        </w:rPr>
      </w:pPr>
    </w:p>
    <w:p w14:paraId="5F92AB87" w14:textId="77777777" w:rsidR="00FF3D4D" w:rsidRDefault="00FF3D4D" w:rsidP="00AD4B66">
      <w:pPr>
        <w:pStyle w:val="naisf"/>
        <w:spacing w:before="0" w:beforeAutospacing="0" w:after="0" w:afterAutospacing="0"/>
        <w:rPr>
          <w:sz w:val="20"/>
          <w:szCs w:val="20"/>
        </w:rPr>
      </w:pPr>
    </w:p>
    <w:p w14:paraId="480DA5B4" w14:textId="77777777" w:rsidR="00FF3D4D" w:rsidRPr="00BA0DE8" w:rsidRDefault="00FF3D4D" w:rsidP="00AD4B66">
      <w:pPr>
        <w:pStyle w:val="naisf"/>
        <w:spacing w:before="0" w:beforeAutospacing="0" w:after="0" w:afterAutospacing="0"/>
        <w:rPr>
          <w:sz w:val="20"/>
          <w:szCs w:val="20"/>
        </w:rPr>
      </w:pPr>
    </w:p>
    <w:p w14:paraId="34EFCDB5" w14:textId="77777777" w:rsidR="00FF3D4D" w:rsidRDefault="00FF3D4D" w:rsidP="0002029A">
      <w:pPr>
        <w:jc w:val="both"/>
        <w:rPr>
          <w:sz w:val="20"/>
          <w:szCs w:val="20"/>
        </w:rPr>
      </w:pPr>
      <w:r>
        <w:rPr>
          <w:sz w:val="20"/>
          <w:szCs w:val="20"/>
        </w:rPr>
        <w:t>25.11.2015. 9:42</w:t>
      </w:r>
    </w:p>
    <w:p w14:paraId="74BAC531" w14:textId="77777777" w:rsidR="00FF3D4D" w:rsidRDefault="00FF3D4D" w:rsidP="0002029A">
      <w:pPr>
        <w:jc w:val="both"/>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Pr>
          <w:noProof/>
          <w:sz w:val="20"/>
          <w:szCs w:val="20"/>
        </w:rPr>
        <w:t>1875</w:t>
      </w:r>
      <w:r>
        <w:rPr>
          <w:sz w:val="20"/>
          <w:szCs w:val="20"/>
        </w:rPr>
        <w:fldChar w:fldCharType="end"/>
      </w:r>
    </w:p>
    <w:p w14:paraId="575CD833" w14:textId="3C2BE628" w:rsidR="0002029A" w:rsidRPr="00BA0DE8" w:rsidRDefault="00AD4B66" w:rsidP="0002029A">
      <w:pPr>
        <w:jc w:val="both"/>
        <w:rPr>
          <w:sz w:val="20"/>
          <w:szCs w:val="20"/>
        </w:rPr>
      </w:pPr>
      <w:bookmarkStart w:id="0" w:name="_GoBack"/>
      <w:bookmarkEnd w:id="0"/>
      <w:r w:rsidRPr="00BA0DE8">
        <w:rPr>
          <w:sz w:val="20"/>
          <w:szCs w:val="20"/>
        </w:rPr>
        <w:t>L.Ozoliņa</w:t>
      </w:r>
    </w:p>
    <w:p w14:paraId="1FDEFAAD" w14:textId="77777777" w:rsidR="0002029A" w:rsidRPr="00BA0DE8" w:rsidRDefault="00AD4B66" w:rsidP="0002029A">
      <w:pPr>
        <w:jc w:val="both"/>
        <w:rPr>
          <w:sz w:val="20"/>
          <w:szCs w:val="20"/>
        </w:rPr>
      </w:pPr>
      <w:r w:rsidRPr="00BA0DE8">
        <w:rPr>
          <w:sz w:val="20"/>
          <w:szCs w:val="20"/>
        </w:rPr>
        <w:t>67027422, Ligija.Ozolina</w:t>
      </w:r>
      <w:r w:rsidR="0002029A" w:rsidRPr="00BA0DE8">
        <w:rPr>
          <w:sz w:val="20"/>
          <w:szCs w:val="20"/>
        </w:rPr>
        <w:t>@zm.gov.lv</w:t>
      </w:r>
    </w:p>
    <w:sectPr w:rsidR="0002029A" w:rsidRPr="00BA0DE8" w:rsidSect="00FF3D4D">
      <w:headerReference w:type="even" r:id="rId8"/>
      <w:headerReference w:type="default" r:id="rId9"/>
      <w:footerReference w:type="default" r:id="rId10"/>
      <w:footerReference w:type="first" r:id="rId11"/>
      <w:pgSz w:w="11906" w:h="16838" w:code="9"/>
      <w:pgMar w:top="1248" w:right="1134" w:bottom="1134" w:left="1701" w:header="709"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49E10C" w14:textId="77777777" w:rsidR="00AF606C" w:rsidRDefault="00AF606C" w:rsidP="00F37F7E">
      <w:pPr>
        <w:pStyle w:val="naiskr"/>
      </w:pPr>
      <w:r>
        <w:separator/>
      </w:r>
    </w:p>
  </w:endnote>
  <w:endnote w:type="continuationSeparator" w:id="0">
    <w:p w14:paraId="13A83E88" w14:textId="77777777" w:rsidR="00AF606C" w:rsidRDefault="00AF606C" w:rsidP="00F37F7E">
      <w:pPr>
        <w:pStyle w:val="naisk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F1444" w14:textId="367F1470" w:rsidR="009434A2" w:rsidRPr="0002029A" w:rsidRDefault="009434A2" w:rsidP="0002029A">
    <w:pPr>
      <w:pStyle w:val="Kjene"/>
      <w:jc w:val="both"/>
      <w:rPr>
        <w:sz w:val="20"/>
        <w:szCs w:val="20"/>
      </w:rPr>
    </w:pPr>
    <w:r>
      <w:rPr>
        <w:sz w:val="20"/>
        <w:szCs w:val="20"/>
      </w:rPr>
      <w:t>ZMA</w:t>
    </w:r>
    <w:r w:rsidR="005229C2">
      <w:rPr>
        <w:sz w:val="20"/>
        <w:szCs w:val="20"/>
      </w:rPr>
      <w:t>not_23</w:t>
    </w:r>
    <w:r w:rsidR="003A1B2D">
      <w:rPr>
        <w:sz w:val="20"/>
        <w:szCs w:val="20"/>
      </w:rPr>
      <w:t>11</w:t>
    </w:r>
    <w:r w:rsidR="003C2A47">
      <w:rPr>
        <w:sz w:val="20"/>
        <w:szCs w:val="20"/>
      </w:rPr>
      <w:t>15</w:t>
    </w:r>
    <w:r w:rsidR="001D3AC6">
      <w:rPr>
        <w:sz w:val="20"/>
        <w:szCs w:val="20"/>
      </w:rPr>
      <w:t>_</w:t>
    </w:r>
    <w:r w:rsidR="007E2460">
      <w:rPr>
        <w:sz w:val="20"/>
        <w:szCs w:val="20"/>
      </w:rPr>
      <w:t>govkazpar</w:t>
    </w:r>
    <w:r w:rsidRPr="0002029A">
      <w:rPr>
        <w:sz w:val="20"/>
        <w:szCs w:val="20"/>
      </w:rPr>
      <w:t xml:space="preserve">; </w:t>
    </w:r>
    <w:r w:rsidR="00CC3C39">
      <w:rPr>
        <w:sz w:val="20"/>
        <w:szCs w:val="20"/>
      </w:rPr>
      <w:t xml:space="preserve">Slaucamo govju un </w:t>
    </w:r>
    <w:r w:rsidR="003C2A47">
      <w:rPr>
        <w:sz w:val="20"/>
        <w:szCs w:val="20"/>
      </w:rPr>
      <w:t xml:space="preserve">slaucamo </w:t>
    </w:r>
    <w:r w:rsidR="00CC3C39">
      <w:rPr>
        <w:sz w:val="20"/>
        <w:szCs w:val="20"/>
      </w:rPr>
      <w:t>kazu pārraudzības kārtība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D06B3" w14:textId="5FBE3A45" w:rsidR="001D3AC6" w:rsidRPr="0002029A" w:rsidRDefault="001D3AC6" w:rsidP="001D3AC6">
    <w:pPr>
      <w:pStyle w:val="Kjene"/>
      <w:jc w:val="both"/>
      <w:rPr>
        <w:sz w:val="20"/>
        <w:szCs w:val="20"/>
      </w:rPr>
    </w:pPr>
    <w:r>
      <w:rPr>
        <w:sz w:val="20"/>
        <w:szCs w:val="20"/>
      </w:rPr>
      <w:t>ZM</w:t>
    </w:r>
    <w:r w:rsidR="00652543">
      <w:rPr>
        <w:sz w:val="20"/>
        <w:szCs w:val="20"/>
      </w:rPr>
      <w:t>Anot_</w:t>
    </w:r>
    <w:r w:rsidR="005229C2">
      <w:rPr>
        <w:sz w:val="20"/>
        <w:szCs w:val="20"/>
      </w:rPr>
      <w:t>23</w:t>
    </w:r>
    <w:r w:rsidR="003A1B2D">
      <w:rPr>
        <w:sz w:val="20"/>
        <w:szCs w:val="20"/>
      </w:rPr>
      <w:t>11</w:t>
    </w:r>
    <w:r w:rsidR="006606B7">
      <w:rPr>
        <w:sz w:val="20"/>
        <w:szCs w:val="20"/>
      </w:rPr>
      <w:t>15</w:t>
    </w:r>
    <w:r>
      <w:rPr>
        <w:sz w:val="20"/>
        <w:szCs w:val="20"/>
      </w:rPr>
      <w:t>_</w:t>
    </w:r>
    <w:r w:rsidR="006606B7">
      <w:rPr>
        <w:sz w:val="20"/>
        <w:szCs w:val="20"/>
      </w:rPr>
      <w:t>govkazpar</w:t>
    </w:r>
    <w:r w:rsidRPr="0002029A">
      <w:rPr>
        <w:sz w:val="20"/>
        <w:szCs w:val="20"/>
      </w:rPr>
      <w:t xml:space="preserve">; </w:t>
    </w:r>
    <w:r w:rsidR="00CC3C39">
      <w:rPr>
        <w:sz w:val="20"/>
        <w:szCs w:val="20"/>
      </w:rPr>
      <w:t xml:space="preserve">Slaucamo govju un </w:t>
    </w:r>
    <w:r w:rsidR="00966CB8">
      <w:rPr>
        <w:sz w:val="20"/>
        <w:szCs w:val="20"/>
      </w:rPr>
      <w:t xml:space="preserve">slaucamo </w:t>
    </w:r>
    <w:r w:rsidR="00CC3C39">
      <w:rPr>
        <w:sz w:val="20"/>
        <w:szCs w:val="20"/>
      </w:rPr>
      <w:t>kazu pārraudzības kārtība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F4009F" w14:textId="77777777" w:rsidR="00AF606C" w:rsidRDefault="00AF606C" w:rsidP="00F37F7E">
      <w:pPr>
        <w:pStyle w:val="naiskr"/>
      </w:pPr>
      <w:r>
        <w:separator/>
      </w:r>
    </w:p>
  </w:footnote>
  <w:footnote w:type="continuationSeparator" w:id="0">
    <w:p w14:paraId="40AFF37F" w14:textId="77777777" w:rsidR="00AF606C" w:rsidRDefault="00AF606C" w:rsidP="00F37F7E">
      <w:pPr>
        <w:pStyle w:val="naisk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16792" w14:textId="77777777" w:rsidR="009434A2" w:rsidRDefault="00BF7B52">
    <w:pPr>
      <w:pStyle w:val="Galvene"/>
      <w:framePr w:wrap="around" w:vAnchor="text" w:hAnchor="margin" w:xAlign="center" w:y="1"/>
      <w:rPr>
        <w:rStyle w:val="Lappusesnumurs"/>
      </w:rPr>
    </w:pPr>
    <w:r>
      <w:rPr>
        <w:rStyle w:val="Lappusesnumurs"/>
      </w:rPr>
      <w:fldChar w:fldCharType="begin"/>
    </w:r>
    <w:r w:rsidR="009434A2">
      <w:rPr>
        <w:rStyle w:val="Lappusesnumurs"/>
      </w:rPr>
      <w:instrText xml:space="preserve">PAGE  </w:instrText>
    </w:r>
    <w:r>
      <w:rPr>
        <w:rStyle w:val="Lappusesnumurs"/>
      </w:rPr>
      <w:fldChar w:fldCharType="end"/>
    </w:r>
  </w:p>
  <w:p w14:paraId="55FF177E" w14:textId="77777777" w:rsidR="009434A2" w:rsidRDefault="009434A2">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FFC87" w14:textId="77777777" w:rsidR="009434A2" w:rsidRDefault="00BF7B52">
    <w:pPr>
      <w:pStyle w:val="Galvene"/>
      <w:framePr w:wrap="around" w:vAnchor="text" w:hAnchor="margin" w:xAlign="center" w:y="1"/>
      <w:rPr>
        <w:rStyle w:val="Lappusesnumurs"/>
      </w:rPr>
    </w:pPr>
    <w:r>
      <w:rPr>
        <w:rStyle w:val="Lappusesnumurs"/>
      </w:rPr>
      <w:fldChar w:fldCharType="begin"/>
    </w:r>
    <w:r w:rsidR="009434A2">
      <w:rPr>
        <w:rStyle w:val="Lappusesnumurs"/>
      </w:rPr>
      <w:instrText xml:space="preserve">PAGE  </w:instrText>
    </w:r>
    <w:r>
      <w:rPr>
        <w:rStyle w:val="Lappusesnumurs"/>
      </w:rPr>
      <w:fldChar w:fldCharType="separate"/>
    </w:r>
    <w:r w:rsidR="00FF3D4D">
      <w:rPr>
        <w:rStyle w:val="Lappusesnumurs"/>
        <w:noProof/>
      </w:rPr>
      <w:t>6</w:t>
    </w:r>
    <w:r>
      <w:rPr>
        <w:rStyle w:val="Lappusesnumurs"/>
      </w:rPr>
      <w:fldChar w:fldCharType="end"/>
    </w:r>
  </w:p>
  <w:p w14:paraId="24F79A11" w14:textId="77777777" w:rsidR="009434A2" w:rsidRDefault="009434A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040211E"/>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1B1113AD"/>
    <w:multiLevelType w:val="hybridMultilevel"/>
    <w:tmpl w:val="E3F2598C"/>
    <w:lvl w:ilvl="0" w:tplc="9F90D43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CF00694"/>
    <w:multiLevelType w:val="hybridMultilevel"/>
    <w:tmpl w:val="3036E4F4"/>
    <w:lvl w:ilvl="0" w:tplc="042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8377FD"/>
    <w:multiLevelType w:val="hybridMultilevel"/>
    <w:tmpl w:val="5FBC2522"/>
    <w:lvl w:ilvl="0" w:tplc="17522E80">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99780C"/>
    <w:multiLevelType w:val="hybridMultilevel"/>
    <w:tmpl w:val="A6F47D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F7E"/>
    <w:rsid w:val="000004CF"/>
    <w:rsid w:val="00002015"/>
    <w:rsid w:val="000033B2"/>
    <w:rsid w:val="00015974"/>
    <w:rsid w:val="000160EE"/>
    <w:rsid w:val="00017851"/>
    <w:rsid w:val="0002029A"/>
    <w:rsid w:val="000242CD"/>
    <w:rsid w:val="00024B0B"/>
    <w:rsid w:val="000273EA"/>
    <w:rsid w:val="000319E9"/>
    <w:rsid w:val="000378F3"/>
    <w:rsid w:val="00037F77"/>
    <w:rsid w:val="00041376"/>
    <w:rsid w:val="00043064"/>
    <w:rsid w:val="000445E1"/>
    <w:rsid w:val="000500AE"/>
    <w:rsid w:val="00051187"/>
    <w:rsid w:val="00055CF3"/>
    <w:rsid w:val="00056F5F"/>
    <w:rsid w:val="00065E62"/>
    <w:rsid w:val="00067716"/>
    <w:rsid w:val="00067A11"/>
    <w:rsid w:val="00070FEB"/>
    <w:rsid w:val="000713AA"/>
    <w:rsid w:val="00074178"/>
    <w:rsid w:val="000813CF"/>
    <w:rsid w:val="0008641C"/>
    <w:rsid w:val="00093DC3"/>
    <w:rsid w:val="00094946"/>
    <w:rsid w:val="000956B0"/>
    <w:rsid w:val="000957DB"/>
    <w:rsid w:val="000A230B"/>
    <w:rsid w:val="000A2D0B"/>
    <w:rsid w:val="000B2338"/>
    <w:rsid w:val="000B43C3"/>
    <w:rsid w:val="000C1F1C"/>
    <w:rsid w:val="000C4826"/>
    <w:rsid w:val="000C5E19"/>
    <w:rsid w:val="000C6049"/>
    <w:rsid w:val="000C711D"/>
    <w:rsid w:val="000D5249"/>
    <w:rsid w:val="000D6A4F"/>
    <w:rsid w:val="000D7729"/>
    <w:rsid w:val="000D7FA2"/>
    <w:rsid w:val="000E10EC"/>
    <w:rsid w:val="000E674D"/>
    <w:rsid w:val="000F328E"/>
    <w:rsid w:val="000F3449"/>
    <w:rsid w:val="000F4B00"/>
    <w:rsid w:val="000F4ED4"/>
    <w:rsid w:val="000F4F14"/>
    <w:rsid w:val="00100684"/>
    <w:rsid w:val="0010345D"/>
    <w:rsid w:val="001039CA"/>
    <w:rsid w:val="00104613"/>
    <w:rsid w:val="00111DC0"/>
    <w:rsid w:val="00112881"/>
    <w:rsid w:val="00112DF5"/>
    <w:rsid w:val="0011697F"/>
    <w:rsid w:val="001175F8"/>
    <w:rsid w:val="0012150C"/>
    <w:rsid w:val="00124ACB"/>
    <w:rsid w:val="00126A8D"/>
    <w:rsid w:val="00127E82"/>
    <w:rsid w:val="001321D5"/>
    <w:rsid w:val="00133DFE"/>
    <w:rsid w:val="00135F2B"/>
    <w:rsid w:val="00143CB1"/>
    <w:rsid w:val="00145E1F"/>
    <w:rsid w:val="00147420"/>
    <w:rsid w:val="00152B50"/>
    <w:rsid w:val="00153834"/>
    <w:rsid w:val="00154FA1"/>
    <w:rsid w:val="00155DDA"/>
    <w:rsid w:val="001611DB"/>
    <w:rsid w:val="00172BC0"/>
    <w:rsid w:val="00174BD8"/>
    <w:rsid w:val="001814E3"/>
    <w:rsid w:val="00181867"/>
    <w:rsid w:val="00185A1F"/>
    <w:rsid w:val="00186CB1"/>
    <w:rsid w:val="00187944"/>
    <w:rsid w:val="00191CC1"/>
    <w:rsid w:val="001928BE"/>
    <w:rsid w:val="00193A34"/>
    <w:rsid w:val="00193C93"/>
    <w:rsid w:val="00193E2C"/>
    <w:rsid w:val="001A1C90"/>
    <w:rsid w:val="001A284C"/>
    <w:rsid w:val="001A7D16"/>
    <w:rsid w:val="001B6383"/>
    <w:rsid w:val="001B644E"/>
    <w:rsid w:val="001C0BDB"/>
    <w:rsid w:val="001C3321"/>
    <w:rsid w:val="001C600D"/>
    <w:rsid w:val="001D3AC6"/>
    <w:rsid w:val="001E0876"/>
    <w:rsid w:val="001E1059"/>
    <w:rsid w:val="001E133E"/>
    <w:rsid w:val="001E4DEC"/>
    <w:rsid w:val="001E68D0"/>
    <w:rsid w:val="001E6C66"/>
    <w:rsid w:val="001E71C9"/>
    <w:rsid w:val="001F6EB8"/>
    <w:rsid w:val="002100B3"/>
    <w:rsid w:val="0021150A"/>
    <w:rsid w:val="002124B5"/>
    <w:rsid w:val="00214D08"/>
    <w:rsid w:val="0022456A"/>
    <w:rsid w:val="00227F59"/>
    <w:rsid w:val="002305A0"/>
    <w:rsid w:val="00237909"/>
    <w:rsid w:val="00243D1D"/>
    <w:rsid w:val="002513DF"/>
    <w:rsid w:val="00252057"/>
    <w:rsid w:val="00257B87"/>
    <w:rsid w:val="00260221"/>
    <w:rsid w:val="002606DD"/>
    <w:rsid w:val="00264CFE"/>
    <w:rsid w:val="00266247"/>
    <w:rsid w:val="00266734"/>
    <w:rsid w:val="00277535"/>
    <w:rsid w:val="00277C39"/>
    <w:rsid w:val="00284E0B"/>
    <w:rsid w:val="00286B98"/>
    <w:rsid w:val="00286BE2"/>
    <w:rsid w:val="0028776A"/>
    <w:rsid w:val="002A69AC"/>
    <w:rsid w:val="002A7C64"/>
    <w:rsid w:val="002B092E"/>
    <w:rsid w:val="002B13BA"/>
    <w:rsid w:val="002B1522"/>
    <w:rsid w:val="002B436C"/>
    <w:rsid w:val="002B4887"/>
    <w:rsid w:val="002C2186"/>
    <w:rsid w:val="002C5FF8"/>
    <w:rsid w:val="002C60C7"/>
    <w:rsid w:val="002D0EFF"/>
    <w:rsid w:val="002D3117"/>
    <w:rsid w:val="002D429F"/>
    <w:rsid w:val="002D50B7"/>
    <w:rsid w:val="002E15E4"/>
    <w:rsid w:val="002E6873"/>
    <w:rsid w:val="002E69C0"/>
    <w:rsid w:val="002F2D08"/>
    <w:rsid w:val="002F38DB"/>
    <w:rsid w:val="002F6A27"/>
    <w:rsid w:val="002F739C"/>
    <w:rsid w:val="00301471"/>
    <w:rsid w:val="0030353C"/>
    <w:rsid w:val="003037FE"/>
    <w:rsid w:val="00307B77"/>
    <w:rsid w:val="00313B3C"/>
    <w:rsid w:val="003157FC"/>
    <w:rsid w:val="0032112A"/>
    <w:rsid w:val="003242DE"/>
    <w:rsid w:val="003257A4"/>
    <w:rsid w:val="00325A33"/>
    <w:rsid w:val="003274E7"/>
    <w:rsid w:val="0033095C"/>
    <w:rsid w:val="00331279"/>
    <w:rsid w:val="00342823"/>
    <w:rsid w:val="00343E26"/>
    <w:rsid w:val="00347B64"/>
    <w:rsid w:val="00350004"/>
    <w:rsid w:val="00351991"/>
    <w:rsid w:val="00354D7D"/>
    <w:rsid w:val="00355020"/>
    <w:rsid w:val="00355D4F"/>
    <w:rsid w:val="003561E6"/>
    <w:rsid w:val="00360A74"/>
    <w:rsid w:val="00360B91"/>
    <w:rsid w:val="003610A7"/>
    <w:rsid w:val="00362A82"/>
    <w:rsid w:val="00363DF8"/>
    <w:rsid w:val="00370A38"/>
    <w:rsid w:val="00371A65"/>
    <w:rsid w:val="00374754"/>
    <w:rsid w:val="003752C7"/>
    <w:rsid w:val="00380832"/>
    <w:rsid w:val="003831C3"/>
    <w:rsid w:val="00384D74"/>
    <w:rsid w:val="00391F7B"/>
    <w:rsid w:val="00393207"/>
    <w:rsid w:val="003937EE"/>
    <w:rsid w:val="00393F06"/>
    <w:rsid w:val="0039523C"/>
    <w:rsid w:val="003A1B2D"/>
    <w:rsid w:val="003A4096"/>
    <w:rsid w:val="003B2B59"/>
    <w:rsid w:val="003B7A18"/>
    <w:rsid w:val="003C1680"/>
    <w:rsid w:val="003C257A"/>
    <w:rsid w:val="003C2A47"/>
    <w:rsid w:val="003C3622"/>
    <w:rsid w:val="003C6AD2"/>
    <w:rsid w:val="003C7411"/>
    <w:rsid w:val="003D279C"/>
    <w:rsid w:val="003D3A27"/>
    <w:rsid w:val="003D4E3F"/>
    <w:rsid w:val="003D701C"/>
    <w:rsid w:val="003E413C"/>
    <w:rsid w:val="003F001C"/>
    <w:rsid w:val="003F4081"/>
    <w:rsid w:val="003F753E"/>
    <w:rsid w:val="00400503"/>
    <w:rsid w:val="00403858"/>
    <w:rsid w:val="00405D73"/>
    <w:rsid w:val="00406B8C"/>
    <w:rsid w:val="004121C8"/>
    <w:rsid w:val="00412F9C"/>
    <w:rsid w:val="00414B20"/>
    <w:rsid w:val="00415631"/>
    <w:rsid w:val="00415B80"/>
    <w:rsid w:val="00417A1B"/>
    <w:rsid w:val="00421391"/>
    <w:rsid w:val="00422AF6"/>
    <w:rsid w:val="00425E4D"/>
    <w:rsid w:val="0043328A"/>
    <w:rsid w:val="00433DA8"/>
    <w:rsid w:val="004357CE"/>
    <w:rsid w:val="00441E23"/>
    <w:rsid w:val="00444A7D"/>
    <w:rsid w:val="004464F7"/>
    <w:rsid w:val="0044738A"/>
    <w:rsid w:val="00447764"/>
    <w:rsid w:val="004511D3"/>
    <w:rsid w:val="004547A9"/>
    <w:rsid w:val="0045719F"/>
    <w:rsid w:val="00462078"/>
    <w:rsid w:val="004632CD"/>
    <w:rsid w:val="004639C0"/>
    <w:rsid w:val="00465A58"/>
    <w:rsid w:val="004662B4"/>
    <w:rsid w:val="00466CF9"/>
    <w:rsid w:val="004679FF"/>
    <w:rsid w:val="00467C61"/>
    <w:rsid w:val="004708A3"/>
    <w:rsid w:val="0047491E"/>
    <w:rsid w:val="00480EF1"/>
    <w:rsid w:val="00482A25"/>
    <w:rsid w:val="00487A8F"/>
    <w:rsid w:val="00495A25"/>
    <w:rsid w:val="004966B8"/>
    <w:rsid w:val="00496959"/>
    <w:rsid w:val="004A0EAB"/>
    <w:rsid w:val="004A6C18"/>
    <w:rsid w:val="004A708B"/>
    <w:rsid w:val="004B0271"/>
    <w:rsid w:val="004B28A8"/>
    <w:rsid w:val="004B5C4E"/>
    <w:rsid w:val="004C0ED0"/>
    <w:rsid w:val="004C4BC8"/>
    <w:rsid w:val="004C7C32"/>
    <w:rsid w:val="004D4F42"/>
    <w:rsid w:val="004D579E"/>
    <w:rsid w:val="004D64BE"/>
    <w:rsid w:val="004E1569"/>
    <w:rsid w:val="004E15D1"/>
    <w:rsid w:val="004E3F6C"/>
    <w:rsid w:val="004F2E8D"/>
    <w:rsid w:val="004F598D"/>
    <w:rsid w:val="004F7B57"/>
    <w:rsid w:val="00513790"/>
    <w:rsid w:val="00514AED"/>
    <w:rsid w:val="00516F18"/>
    <w:rsid w:val="00521C34"/>
    <w:rsid w:val="005229C2"/>
    <w:rsid w:val="005251F3"/>
    <w:rsid w:val="00533941"/>
    <w:rsid w:val="00536003"/>
    <w:rsid w:val="00537386"/>
    <w:rsid w:val="005376CA"/>
    <w:rsid w:val="0054083D"/>
    <w:rsid w:val="0054677F"/>
    <w:rsid w:val="005545C2"/>
    <w:rsid w:val="00556D60"/>
    <w:rsid w:val="0056210B"/>
    <w:rsid w:val="00563A77"/>
    <w:rsid w:val="005660EB"/>
    <w:rsid w:val="0057117B"/>
    <w:rsid w:val="00572009"/>
    <w:rsid w:val="0057499C"/>
    <w:rsid w:val="00580AE7"/>
    <w:rsid w:val="005827E6"/>
    <w:rsid w:val="00583239"/>
    <w:rsid w:val="00584D39"/>
    <w:rsid w:val="00590F7E"/>
    <w:rsid w:val="00591E61"/>
    <w:rsid w:val="0059419D"/>
    <w:rsid w:val="00595851"/>
    <w:rsid w:val="00596043"/>
    <w:rsid w:val="005A5CF6"/>
    <w:rsid w:val="005A76A3"/>
    <w:rsid w:val="005A771C"/>
    <w:rsid w:val="005C045F"/>
    <w:rsid w:val="005C2316"/>
    <w:rsid w:val="005C3223"/>
    <w:rsid w:val="005C37B4"/>
    <w:rsid w:val="005D0F57"/>
    <w:rsid w:val="005D16B1"/>
    <w:rsid w:val="005D3D68"/>
    <w:rsid w:val="005D782F"/>
    <w:rsid w:val="005F28C6"/>
    <w:rsid w:val="005F49F6"/>
    <w:rsid w:val="00601219"/>
    <w:rsid w:val="006056ED"/>
    <w:rsid w:val="0060636F"/>
    <w:rsid w:val="0060673F"/>
    <w:rsid w:val="00606F24"/>
    <w:rsid w:val="0060708E"/>
    <w:rsid w:val="0060719D"/>
    <w:rsid w:val="0061217E"/>
    <w:rsid w:val="00612ED0"/>
    <w:rsid w:val="00620D0D"/>
    <w:rsid w:val="00620DC4"/>
    <w:rsid w:val="006257A6"/>
    <w:rsid w:val="006266E3"/>
    <w:rsid w:val="006313A4"/>
    <w:rsid w:val="006368D6"/>
    <w:rsid w:val="00640AA9"/>
    <w:rsid w:val="00643797"/>
    <w:rsid w:val="0065138F"/>
    <w:rsid w:val="00652105"/>
    <w:rsid w:val="00652543"/>
    <w:rsid w:val="00654CED"/>
    <w:rsid w:val="00656C9A"/>
    <w:rsid w:val="006602BB"/>
    <w:rsid w:val="006606B7"/>
    <w:rsid w:val="00665362"/>
    <w:rsid w:val="006663BB"/>
    <w:rsid w:val="0066773A"/>
    <w:rsid w:val="00667A13"/>
    <w:rsid w:val="006714C5"/>
    <w:rsid w:val="0067366E"/>
    <w:rsid w:val="006748CD"/>
    <w:rsid w:val="00675CCE"/>
    <w:rsid w:val="006760F2"/>
    <w:rsid w:val="006820E7"/>
    <w:rsid w:val="00685243"/>
    <w:rsid w:val="006867F0"/>
    <w:rsid w:val="00697AF8"/>
    <w:rsid w:val="006A344D"/>
    <w:rsid w:val="006B07C9"/>
    <w:rsid w:val="006B33B5"/>
    <w:rsid w:val="006C17D2"/>
    <w:rsid w:val="006D1130"/>
    <w:rsid w:val="006D1959"/>
    <w:rsid w:val="006E0C24"/>
    <w:rsid w:val="006F122E"/>
    <w:rsid w:val="006F2E6E"/>
    <w:rsid w:val="006F69AA"/>
    <w:rsid w:val="007018E2"/>
    <w:rsid w:val="00702355"/>
    <w:rsid w:val="007028B5"/>
    <w:rsid w:val="00705B6F"/>
    <w:rsid w:val="00707AB8"/>
    <w:rsid w:val="0071167F"/>
    <w:rsid w:val="0071337A"/>
    <w:rsid w:val="00713450"/>
    <w:rsid w:val="00713A7C"/>
    <w:rsid w:val="0071757F"/>
    <w:rsid w:val="00717734"/>
    <w:rsid w:val="00717F6E"/>
    <w:rsid w:val="00720F8D"/>
    <w:rsid w:val="00721B97"/>
    <w:rsid w:val="00721E49"/>
    <w:rsid w:val="00725FCD"/>
    <w:rsid w:val="00727844"/>
    <w:rsid w:val="007300EF"/>
    <w:rsid w:val="00733095"/>
    <w:rsid w:val="00736CD7"/>
    <w:rsid w:val="00743D38"/>
    <w:rsid w:val="0074447B"/>
    <w:rsid w:val="00745821"/>
    <w:rsid w:val="00746954"/>
    <w:rsid w:val="0074755A"/>
    <w:rsid w:val="007523AC"/>
    <w:rsid w:val="00753382"/>
    <w:rsid w:val="00753DED"/>
    <w:rsid w:val="007546F1"/>
    <w:rsid w:val="00756BC2"/>
    <w:rsid w:val="00757876"/>
    <w:rsid w:val="00760085"/>
    <w:rsid w:val="00762EFD"/>
    <w:rsid w:val="00765966"/>
    <w:rsid w:val="00771FAC"/>
    <w:rsid w:val="0077256F"/>
    <w:rsid w:val="00773DA1"/>
    <w:rsid w:val="00776413"/>
    <w:rsid w:val="00776B2C"/>
    <w:rsid w:val="00781A15"/>
    <w:rsid w:val="00786F82"/>
    <w:rsid w:val="00791D65"/>
    <w:rsid w:val="00791E9E"/>
    <w:rsid w:val="0079264F"/>
    <w:rsid w:val="007926A0"/>
    <w:rsid w:val="00793143"/>
    <w:rsid w:val="00794BF1"/>
    <w:rsid w:val="007A180B"/>
    <w:rsid w:val="007A71A2"/>
    <w:rsid w:val="007B2E09"/>
    <w:rsid w:val="007B3774"/>
    <w:rsid w:val="007B45D1"/>
    <w:rsid w:val="007B579E"/>
    <w:rsid w:val="007B5EE0"/>
    <w:rsid w:val="007B603D"/>
    <w:rsid w:val="007B7B96"/>
    <w:rsid w:val="007B7D15"/>
    <w:rsid w:val="007C1074"/>
    <w:rsid w:val="007C3EDD"/>
    <w:rsid w:val="007C4473"/>
    <w:rsid w:val="007C68DE"/>
    <w:rsid w:val="007C72EA"/>
    <w:rsid w:val="007D44A6"/>
    <w:rsid w:val="007D4B81"/>
    <w:rsid w:val="007E2460"/>
    <w:rsid w:val="007E7FB5"/>
    <w:rsid w:val="007F1BBB"/>
    <w:rsid w:val="007F4ED1"/>
    <w:rsid w:val="00805705"/>
    <w:rsid w:val="00806EBD"/>
    <w:rsid w:val="00811225"/>
    <w:rsid w:val="008145F9"/>
    <w:rsid w:val="00817A87"/>
    <w:rsid w:val="00820FE9"/>
    <w:rsid w:val="00821E5D"/>
    <w:rsid w:val="00824538"/>
    <w:rsid w:val="0083086E"/>
    <w:rsid w:val="008339D3"/>
    <w:rsid w:val="00834142"/>
    <w:rsid w:val="008364B2"/>
    <w:rsid w:val="008370B1"/>
    <w:rsid w:val="008416D9"/>
    <w:rsid w:val="00843508"/>
    <w:rsid w:val="00845907"/>
    <w:rsid w:val="00845BDC"/>
    <w:rsid w:val="0084701F"/>
    <w:rsid w:val="008471F4"/>
    <w:rsid w:val="00852C45"/>
    <w:rsid w:val="00853192"/>
    <w:rsid w:val="008561EF"/>
    <w:rsid w:val="00861D12"/>
    <w:rsid w:val="00863976"/>
    <w:rsid w:val="00865B57"/>
    <w:rsid w:val="00870567"/>
    <w:rsid w:val="00870824"/>
    <w:rsid w:val="00872C23"/>
    <w:rsid w:val="008740F9"/>
    <w:rsid w:val="00880EF6"/>
    <w:rsid w:val="0088329E"/>
    <w:rsid w:val="00884A8B"/>
    <w:rsid w:val="00887B5B"/>
    <w:rsid w:val="00887D2F"/>
    <w:rsid w:val="008907B2"/>
    <w:rsid w:val="00891CE4"/>
    <w:rsid w:val="00894BA2"/>
    <w:rsid w:val="00895763"/>
    <w:rsid w:val="008A5E04"/>
    <w:rsid w:val="008A6594"/>
    <w:rsid w:val="008A6921"/>
    <w:rsid w:val="008A7D5D"/>
    <w:rsid w:val="008B00E7"/>
    <w:rsid w:val="008B094F"/>
    <w:rsid w:val="008B43A5"/>
    <w:rsid w:val="008B63FA"/>
    <w:rsid w:val="008C3213"/>
    <w:rsid w:val="008C65C8"/>
    <w:rsid w:val="008D0074"/>
    <w:rsid w:val="008D23D3"/>
    <w:rsid w:val="008D2811"/>
    <w:rsid w:val="008D3BCB"/>
    <w:rsid w:val="008E33DE"/>
    <w:rsid w:val="008E3636"/>
    <w:rsid w:val="008E4D95"/>
    <w:rsid w:val="008F28C0"/>
    <w:rsid w:val="008F7874"/>
    <w:rsid w:val="00900BC9"/>
    <w:rsid w:val="0091351B"/>
    <w:rsid w:val="00915FF3"/>
    <w:rsid w:val="00916CBE"/>
    <w:rsid w:val="00923C24"/>
    <w:rsid w:val="00927D6E"/>
    <w:rsid w:val="00930EA9"/>
    <w:rsid w:val="009434A2"/>
    <w:rsid w:val="00945674"/>
    <w:rsid w:val="009507A3"/>
    <w:rsid w:val="009527B3"/>
    <w:rsid w:val="0095373F"/>
    <w:rsid w:val="00954537"/>
    <w:rsid w:val="00956C17"/>
    <w:rsid w:val="009628DA"/>
    <w:rsid w:val="00964DAF"/>
    <w:rsid w:val="009665A9"/>
    <w:rsid w:val="00966CB8"/>
    <w:rsid w:val="00970CBF"/>
    <w:rsid w:val="00972058"/>
    <w:rsid w:val="00973CED"/>
    <w:rsid w:val="00982DC2"/>
    <w:rsid w:val="00984A7D"/>
    <w:rsid w:val="00984CB2"/>
    <w:rsid w:val="009956A8"/>
    <w:rsid w:val="009A177C"/>
    <w:rsid w:val="009B1042"/>
    <w:rsid w:val="009B26A9"/>
    <w:rsid w:val="009B2D95"/>
    <w:rsid w:val="009C001B"/>
    <w:rsid w:val="009C13CC"/>
    <w:rsid w:val="009C2867"/>
    <w:rsid w:val="009C58CE"/>
    <w:rsid w:val="009D1DBD"/>
    <w:rsid w:val="009D4048"/>
    <w:rsid w:val="009D40D0"/>
    <w:rsid w:val="009D5905"/>
    <w:rsid w:val="009D70DE"/>
    <w:rsid w:val="009E05E4"/>
    <w:rsid w:val="009E112D"/>
    <w:rsid w:val="009E41F0"/>
    <w:rsid w:val="009F2252"/>
    <w:rsid w:val="009F2EA3"/>
    <w:rsid w:val="009F3E52"/>
    <w:rsid w:val="009F72AE"/>
    <w:rsid w:val="009F7DE0"/>
    <w:rsid w:val="00A00570"/>
    <w:rsid w:val="00A164A1"/>
    <w:rsid w:val="00A16E36"/>
    <w:rsid w:val="00A179F9"/>
    <w:rsid w:val="00A21F1F"/>
    <w:rsid w:val="00A239E6"/>
    <w:rsid w:val="00A23E0B"/>
    <w:rsid w:val="00A25F9B"/>
    <w:rsid w:val="00A30F4A"/>
    <w:rsid w:val="00A36C8C"/>
    <w:rsid w:val="00A40267"/>
    <w:rsid w:val="00A42620"/>
    <w:rsid w:val="00A42FA4"/>
    <w:rsid w:val="00A50377"/>
    <w:rsid w:val="00A51C96"/>
    <w:rsid w:val="00A52300"/>
    <w:rsid w:val="00A53E68"/>
    <w:rsid w:val="00A54E08"/>
    <w:rsid w:val="00A559EF"/>
    <w:rsid w:val="00A6000F"/>
    <w:rsid w:val="00A61D9B"/>
    <w:rsid w:val="00A65C5A"/>
    <w:rsid w:val="00A708ED"/>
    <w:rsid w:val="00A7248A"/>
    <w:rsid w:val="00A75DEB"/>
    <w:rsid w:val="00A765C4"/>
    <w:rsid w:val="00A8230E"/>
    <w:rsid w:val="00A82E8C"/>
    <w:rsid w:val="00A8542D"/>
    <w:rsid w:val="00A8754B"/>
    <w:rsid w:val="00A92342"/>
    <w:rsid w:val="00AA3732"/>
    <w:rsid w:val="00AA61DA"/>
    <w:rsid w:val="00AA6478"/>
    <w:rsid w:val="00AB0041"/>
    <w:rsid w:val="00AB04E5"/>
    <w:rsid w:val="00AB170E"/>
    <w:rsid w:val="00AB350B"/>
    <w:rsid w:val="00AB416C"/>
    <w:rsid w:val="00AB596F"/>
    <w:rsid w:val="00AC145B"/>
    <w:rsid w:val="00AD22C0"/>
    <w:rsid w:val="00AD4B66"/>
    <w:rsid w:val="00AD645F"/>
    <w:rsid w:val="00AE5565"/>
    <w:rsid w:val="00AE7059"/>
    <w:rsid w:val="00AF0810"/>
    <w:rsid w:val="00AF0BAF"/>
    <w:rsid w:val="00AF142A"/>
    <w:rsid w:val="00AF606C"/>
    <w:rsid w:val="00AF61D4"/>
    <w:rsid w:val="00AF7945"/>
    <w:rsid w:val="00B01A2B"/>
    <w:rsid w:val="00B02CCF"/>
    <w:rsid w:val="00B05C53"/>
    <w:rsid w:val="00B11677"/>
    <w:rsid w:val="00B1481C"/>
    <w:rsid w:val="00B2596F"/>
    <w:rsid w:val="00B27F81"/>
    <w:rsid w:val="00B32B11"/>
    <w:rsid w:val="00B3458F"/>
    <w:rsid w:val="00B35402"/>
    <w:rsid w:val="00B42584"/>
    <w:rsid w:val="00B42FE7"/>
    <w:rsid w:val="00B44F97"/>
    <w:rsid w:val="00B46B32"/>
    <w:rsid w:val="00B47A4D"/>
    <w:rsid w:val="00B52182"/>
    <w:rsid w:val="00B53809"/>
    <w:rsid w:val="00B56189"/>
    <w:rsid w:val="00B60F97"/>
    <w:rsid w:val="00B64D11"/>
    <w:rsid w:val="00B67AC5"/>
    <w:rsid w:val="00B7046A"/>
    <w:rsid w:val="00B74565"/>
    <w:rsid w:val="00B7692E"/>
    <w:rsid w:val="00B76D1A"/>
    <w:rsid w:val="00B81F83"/>
    <w:rsid w:val="00B84A56"/>
    <w:rsid w:val="00B84F1C"/>
    <w:rsid w:val="00B87CD9"/>
    <w:rsid w:val="00B94A6C"/>
    <w:rsid w:val="00B95D4D"/>
    <w:rsid w:val="00B97126"/>
    <w:rsid w:val="00BA043A"/>
    <w:rsid w:val="00BA0943"/>
    <w:rsid w:val="00BA0DE8"/>
    <w:rsid w:val="00BA7BBE"/>
    <w:rsid w:val="00BB0BC4"/>
    <w:rsid w:val="00BB7716"/>
    <w:rsid w:val="00BC56DD"/>
    <w:rsid w:val="00BD5673"/>
    <w:rsid w:val="00BD74DA"/>
    <w:rsid w:val="00BE211D"/>
    <w:rsid w:val="00BE2AA0"/>
    <w:rsid w:val="00BE3935"/>
    <w:rsid w:val="00BE4880"/>
    <w:rsid w:val="00BE6367"/>
    <w:rsid w:val="00BE63D3"/>
    <w:rsid w:val="00BF1E02"/>
    <w:rsid w:val="00BF2133"/>
    <w:rsid w:val="00BF3762"/>
    <w:rsid w:val="00BF5E25"/>
    <w:rsid w:val="00BF7B52"/>
    <w:rsid w:val="00C038B5"/>
    <w:rsid w:val="00C057B7"/>
    <w:rsid w:val="00C10018"/>
    <w:rsid w:val="00C11675"/>
    <w:rsid w:val="00C11ED9"/>
    <w:rsid w:val="00C1471C"/>
    <w:rsid w:val="00C245C2"/>
    <w:rsid w:val="00C26A14"/>
    <w:rsid w:val="00C31017"/>
    <w:rsid w:val="00C36B8C"/>
    <w:rsid w:val="00C44519"/>
    <w:rsid w:val="00C44FE4"/>
    <w:rsid w:val="00C51545"/>
    <w:rsid w:val="00C5479E"/>
    <w:rsid w:val="00C573AC"/>
    <w:rsid w:val="00C609A3"/>
    <w:rsid w:val="00C6178F"/>
    <w:rsid w:val="00C61931"/>
    <w:rsid w:val="00C61BE0"/>
    <w:rsid w:val="00C64B59"/>
    <w:rsid w:val="00C65617"/>
    <w:rsid w:val="00C71503"/>
    <w:rsid w:val="00C71EFB"/>
    <w:rsid w:val="00C74EA5"/>
    <w:rsid w:val="00C7549F"/>
    <w:rsid w:val="00C762F7"/>
    <w:rsid w:val="00C82175"/>
    <w:rsid w:val="00C846EC"/>
    <w:rsid w:val="00C8499C"/>
    <w:rsid w:val="00C84FE9"/>
    <w:rsid w:val="00C91232"/>
    <w:rsid w:val="00CA2D36"/>
    <w:rsid w:val="00CC3C39"/>
    <w:rsid w:val="00CC54B7"/>
    <w:rsid w:val="00CD278A"/>
    <w:rsid w:val="00CD2CF8"/>
    <w:rsid w:val="00CD40FD"/>
    <w:rsid w:val="00CD47C9"/>
    <w:rsid w:val="00CE2C5E"/>
    <w:rsid w:val="00CE3E6C"/>
    <w:rsid w:val="00CE701B"/>
    <w:rsid w:val="00CE72CC"/>
    <w:rsid w:val="00CF0BD0"/>
    <w:rsid w:val="00CF229C"/>
    <w:rsid w:val="00CF2B44"/>
    <w:rsid w:val="00CF326A"/>
    <w:rsid w:val="00CF3C48"/>
    <w:rsid w:val="00CF5FA3"/>
    <w:rsid w:val="00CF7A2C"/>
    <w:rsid w:val="00D051D7"/>
    <w:rsid w:val="00D112F5"/>
    <w:rsid w:val="00D16DBA"/>
    <w:rsid w:val="00D17C53"/>
    <w:rsid w:val="00D20B27"/>
    <w:rsid w:val="00D23D5E"/>
    <w:rsid w:val="00D25A18"/>
    <w:rsid w:val="00D26560"/>
    <w:rsid w:val="00D27C66"/>
    <w:rsid w:val="00D33117"/>
    <w:rsid w:val="00D36A7D"/>
    <w:rsid w:val="00D36CAE"/>
    <w:rsid w:val="00D37A74"/>
    <w:rsid w:val="00D37FC0"/>
    <w:rsid w:val="00D4422B"/>
    <w:rsid w:val="00D467E4"/>
    <w:rsid w:val="00D51516"/>
    <w:rsid w:val="00D52881"/>
    <w:rsid w:val="00D531CA"/>
    <w:rsid w:val="00D5564A"/>
    <w:rsid w:val="00D55996"/>
    <w:rsid w:val="00D63687"/>
    <w:rsid w:val="00D63AF8"/>
    <w:rsid w:val="00D64F63"/>
    <w:rsid w:val="00D66DA8"/>
    <w:rsid w:val="00D77B91"/>
    <w:rsid w:val="00D80A54"/>
    <w:rsid w:val="00D80CFE"/>
    <w:rsid w:val="00D81591"/>
    <w:rsid w:val="00D90759"/>
    <w:rsid w:val="00D927BB"/>
    <w:rsid w:val="00D9756C"/>
    <w:rsid w:val="00DA00B0"/>
    <w:rsid w:val="00DA06A2"/>
    <w:rsid w:val="00DA0E46"/>
    <w:rsid w:val="00DA304A"/>
    <w:rsid w:val="00DA7E9A"/>
    <w:rsid w:val="00DB1932"/>
    <w:rsid w:val="00DB1F8B"/>
    <w:rsid w:val="00DB748F"/>
    <w:rsid w:val="00DC31BF"/>
    <w:rsid w:val="00DC3A48"/>
    <w:rsid w:val="00DD0F47"/>
    <w:rsid w:val="00DD3324"/>
    <w:rsid w:val="00DE1A75"/>
    <w:rsid w:val="00DE46F6"/>
    <w:rsid w:val="00DE4BBB"/>
    <w:rsid w:val="00DE4CFF"/>
    <w:rsid w:val="00DE622C"/>
    <w:rsid w:val="00DF07DA"/>
    <w:rsid w:val="00DF1527"/>
    <w:rsid w:val="00DF2343"/>
    <w:rsid w:val="00DF5EE4"/>
    <w:rsid w:val="00E01809"/>
    <w:rsid w:val="00E043BC"/>
    <w:rsid w:val="00E060F1"/>
    <w:rsid w:val="00E0680A"/>
    <w:rsid w:val="00E07A06"/>
    <w:rsid w:val="00E10A4B"/>
    <w:rsid w:val="00E13393"/>
    <w:rsid w:val="00E14D03"/>
    <w:rsid w:val="00E1791D"/>
    <w:rsid w:val="00E2396A"/>
    <w:rsid w:val="00E23E06"/>
    <w:rsid w:val="00E35E52"/>
    <w:rsid w:val="00E368CE"/>
    <w:rsid w:val="00E36DE9"/>
    <w:rsid w:val="00E46D4E"/>
    <w:rsid w:val="00E5394B"/>
    <w:rsid w:val="00E5642E"/>
    <w:rsid w:val="00E720E4"/>
    <w:rsid w:val="00E77889"/>
    <w:rsid w:val="00E80068"/>
    <w:rsid w:val="00E9412E"/>
    <w:rsid w:val="00EA544E"/>
    <w:rsid w:val="00EB4045"/>
    <w:rsid w:val="00EB5337"/>
    <w:rsid w:val="00EC0D69"/>
    <w:rsid w:val="00EC19B2"/>
    <w:rsid w:val="00ED20D4"/>
    <w:rsid w:val="00ED2F03"/>
    <w:rsid w:val="00ED3F12"/>
    <w:rsid w:val="00ED4BBC"/>
    <w:rsid w:val="00EE024A"/>
    <w:rsid w:val="00EE04DF"/>
    <w:rsid w:val="00EE2793"/>
    <w:rsid w:val="00EE2F67"/>
    <w:rsid w:val="00EE3DC6"/>
    <w:rsid w:val="00EE4375"/>
    <w:rsid w:val="00EF0066"/>
    <w:rsid w:val="00EF095D"/>
    <w:rsid w:val="00EF2B01"/>
    <w:rsid w:val="00EF678F"/>
    <w:rsid w:val="00F02737"/>
    <w:rsid w:val="00F039F3"/>
    <w:rsid w:val="00F04121"/>
    <w:rsid w:val="00F0538B"/>
    <w:rsid w:val="00F1003D"/>
    <w:rsid w:val="00F3056C"/>
    <w:rsid w:val="00F324CE"/>
    <w:rsid w:val="00F327DB"/>
    <w:rsid w:val="00F370A8"/>
    <w:rsid w:val="00F37F7E"/>
    <w:rsid w:val="00F42C6F"/>
    <w:rsid w:val="00F57847"/>
    <w:rsid w:val="00F60A2C"/>
    <w:rsid w:val="00F62952"/>
    <w:rsid w:val="00F63103"/>
    <w:rsid w:val="00F64E9A"/>
    <w:rsid w:val="00F76DCD"/>
    <w:rsid w:val="00F80460"/>
    <w:rsid w:val="00F83055"/>
    <w:rsid w:val="00F8405A"/>
    <w:rsid w:val="00F91DBE"/>
    <w:rsid w:val="00F93E87"/>
    <w:rsid w:val="00FA18A5"/>
    <w:rsid w:val="00FA5A46"/>
    <w:rsid w:val="00FB0955"/>
    <w:rsid w:val="00FB273F"/>
    <w:rsid w:val="00FB5D10"/>
    <w:rsid w:val="00FC11EF"/>
    <w:rsid w:val="00FD17A0"/>
    <w:rsid w:val="00FD3450"/>
    <w:rsid w:val="00FD41CD"/>
    <w:rsid w:val="00FD4A7A"/>
    <w:rsid w:val="00FE086E"/>
    <w:rsid w:val="00FE09A0"/>
    <w:rsid w:val="00FE1B60"/>
    <w:rsid w:val="00FE2A89"/>
    <w:rsid w:val="00FE2C4C"/>
    <w:rsid w:val="00FE2E62"/>
    <w:rsid w:val="00FE7CED"/>
    <w:rsid w:val="00FE7F3C"/>
    <w:rsid w:val="00FF391E"/>
    <w:rsid w:val="00FF3D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6145"/>
    <o:shapelayout v:ext="edit">
      <o:idmap v:ext="edit" data="1"/>
    </o:shapelayout>
  </w:shapeDefaults>
  <w:decimalSymbol w:val=","/>
  <w:listSeparator w:val=";"/>
  <w14:docId w14:val="47B5AA32"/>
  <w15:docId w15:val="{132622F1-46EA-4716-92BD-2048BFFD8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37F7E"/>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s"/>
    <w:rsid w:val="00F37F7E"/>
    <w:pPr>
      <w:spacing w:before="100" w:beforeAutospacing="1" w:after="100" w:afterAutospacing="1"/>
    </w:pPr>
  </w:style>
  <w:style w:type="paragraph" w:customStyle="1" w:styleId="naisnod">
    <w:name w:val="naisnod"/>
    <w:basedOn w:val="Parasts"/>
    <w:rsid w:val="00F37F7E"/>
    <w:pPr>
      <w:spacing w:before="100" w:beforeAutospacing="1" w:after="100" w:afterAutospacing="1"/>
    </w:pPr>
  </w:style>
  <w:style w:type="paragraph" w:customStyle="1" w:styleId="naiskr">
    <w:name w:val="naiskr"/>
    <w:basedOn w:val="Parasts"/>
    <w:rsid w:val="00F37F7E"/>
    <w:pPr>
      <w:spacing w:before="100" w:beforeAutospacing="1" w:after="100" w:afterAutospacing="1"/>
    </w:pPr>
  </w:style>
  <w:style w:type="paragraph" w:customStyle="1" w:styleId="naisf">
    <w:name w:val="naisf"/>
    <w:basedOn w:val="Parasts"/>
    <w:rsid w:val="00F37F7E"/>
    <w:pPr>
      <w:spacing w:before="100" w:beforeAutospacing="1" w:after="100" w:afterAutospacing="1"/>
    </w:pPr>
  </w:style>
  <w:style w:type="paragraph" w:styleId="Pamatteksts">
    <w:name w:val="Body Text"/>
    <w:basedOn w:val="Parasts"/>
    <w:link w:val="PamattekstsRakstz"/>
    <w:rsid w:val="00F37F7E"/>
    <w:pPr>
      <w:jc w:val="right"/>
    </w:pPr>
    <w:rPr>
      <w:b/>
      <w:sz w:val="28"/>
      <w:szCs w:val="20"/>
      <w:lang w:eastAsia="en-US"/>
    </w:rPr>
  </w:style>
  <w:style w:type="character" w:customStyle="1" w:styleId="PamattekstsRakstz">
    <w:name w:val="Pamatteksts Rakstz."/>
    <w:basedOn w:val="Noklusjumarindkopasfonts"/>
    <w:link w:val="Pamatteksts"/>
    <w:semiHidden/>
    <w:locked/>
    <w:rsid w:val="00F37F7E"/>
    <w:rPr>
      <w:b/>
      <w:sz w:val="28"/>
      <w:lang w:val="lv-LV" w:eastAsia="en-US" w:bidi="ar-SA"/>
    </w:rPr>
  </w:style>
  <w:style w:type="paragraph" w:styleId="Galvene">
    <w:name w:val="header"/>
    <w:basedOn w:val="Parasts"/>
    <w:link w:val="GalveneRakstz"/>
    <w:uiPriority w:val="99"/>
    <w:rsid w:val="00F37F7E"/>
    <w:pPr>
      <w:tabs>
        <w:tab w:val="center" w:pos="4153"/>
        <w:tab w:val="right" w:pos="8306"/>
      </w:tabs>
    </w:pPr>
  </w:style>
  <w:style w:type="character" w:customStyle="1" w:styleId="GalveneRakstz">
    <w:name w:val="Galvene Rakstz."/>
    <w:basedOn w:val="Noklusjumarindkopasfonts"/>
    <w:link w:val="Galvene"/>
    <w:uiPriority w:val="99"/>
    <w:locked/>
    <w:rsid w:val="00F37F7E"/>
    <w:rPr>
      <w:sz w:val="24"/>
      <w:szCs w:val="24"/>
      <w:lang w:val="lv-LV" w:eastAsia="lv-LV" w:bidi="ar-SA"/>
    </w:rPr>
  </w:style>
  <w:style w:type="character" w:styleId="Lappusesnumurs">
    <w:name w:val="page number"/>
    <w:basedOn w:val="Noklusjumarindkopasfonts"/>
    <w:rsid w:val="00F37F7E"/>
    <w:rPr>
      <w:rFonts w:cs="Times New Roman"/>
    </w:rPr>
  </w:style>
  <w:style w:type="paragraph" w:styleId="Kjene">
    <w:name w:val="footer"/>
    <w:basedOn w:val="Parasts"/>
    <w:link w:val="KjeneRakstz"/>
    <w:rsid w:val="00F37F7E"/>
    <w:pPr>
      <w:tabs>
        <w:tab w:val="center" w:pos="4153"/>
        <w:tab w:val="right" w:pos="8306"/>
      </w:tabs>
    </w:pPr>
  </w:style>
  <w:style w:type="character" w:customStyle="1" w:styleId="KjeneRakstz">
    <w:name w:val="Kājene Rakstz."/>
    <w:basedOn w:val="Noklusjumarindkopasfonts"/>
    <w:link w:val="Kjene"/>
    <w:semiHidden/>
    <w:locked/>
    <w:rsid w:val="00F37F7E"/>
    <w:rPr>
      <w:sz w:val="24"/>
      <w:szCs w:val="24"/>
      <w:lang w:val="lv-LV" w:eastAsia="lv-LV" w:bidi="ar-SA"/>
    </w:rPr>
  </w:style>
  <w:style w:type="character" w:styleId="Hipersaite">
    <w:name w:val="Hyperlink"/>
    <w:basedOn w:val="Noklusjumarindkopasfonts"/>
    <w:rsid w:val="000D7729"/>
    <w:rPr>
      <w:color w:val="0000FF"/>
      <w:u w:val="single"/>
    </w:rPr>
  </w:style>
  <w:style w:type="paragraph" w:styleId="Balonteksts">
    <w:name w:val="Balloon Text"/>
    <w:basedOn w:val="Parasts"/>
    <w:link w:val="BalontekstsRakstz"/>
    <w:rsid w:val="00A52300"/>
    <w:rPr>
      <w:rFonts w:ascii="Tahoma" w:hAnsi="Tahoma" w:cs="Tahoma"/>
      <w:sz w:val="16"/>
      <w:szCs w:val="16"/>
    </w:rPr>
  </w:style>
  <w:style w:type="character" w:customStyle="1" w:styleId="BalontekstsRakstz">
    <w:name w:val="Balonteksts Rakstz."/>
    <w:basedOn w:val="Noklusjumarindkopasfonts"/>
    <w:link w:val="Balonteksts"/>
    <w:rsid w:val="00A52300"/>
    <w:rPr>
      <w:rFonts w:ascii="Tahoma" w:hAnsi="Tahoma" w:cs="Tahoma"/>
      <w:sz w:val="16"/>
      <w:szCs w:val="16"/>
    </w:rPr>
  </w:style>
  <w:style w:type="character" w:styleId="Komentraatsauce">
    <w:name w:val="annotation reference"/>
    <w:basedOn w:val="Noklusjumarindkopasfonts"/>
    <w:rsid w:val="005A771C"/>
    <w:rPr>
      <w:sz w:val="16"/>
      <w:szCs w:val="16"/>
    </w:rPr>
  </w:style>
  <w:style w:type="paragraph" w:styleId="Komentrateksts">
    <w:name w:val="annotation text"/>
    <w:basedOn w:val="Parasts"/>
    <w:link w:val="KomentratekstsRakstz"/>
    <w:rsid w:val="005A771C"/>
    <w:rPr>
      <w:sz w:val="20"/>
      <w:szCs w:val="20"/>
    </w:rPr>
  </w:style>
  <w:style w:type="character" w:customStyle="1" w:styleId="KomentratekstsRakstz">
    <w:name w:val="Komentāra teksts Rakstz."/>
    <w:basedOn w:val="Noklusjumarindkopasfonts"/>
    <w:link w:val="Komentrateksts"/>
    <w:rsid w:val="005A771C"/>
  </w:style>
  <w:style w:type="paragraph" w:styleId="Komentratma">
    <w:name w:val="annotation subject"/>
    <w:basedOn w:val="Komentrateksts"/>
    <w:next w:val="Komentrateksts"/>
    <w:link w:val="KomentratmaRakstz"/>
    <w:rsid w:val="005A771C"/>
    <w:rPr>
      <w:b/>
      <w:bCs/>
    </w:rPr>
  </w:style>
  <w:style w:type="character" w:customStyle="1" w:styleId="KomentratmaRakstz">
    <w:name w:val="Komentāra tēma Rakstz."/>
    <w:basedOn w:val="KomentratekstsRakstz"/>
    <w:link w:val="Komentratma"/>
    <w:rsid w:val="005A771C"/>
    <w:rPr>
      <w:b/>
      <w:bCs/>
    </w:rPr>
  </w:style>
  <w:style w:type="paragraph" w:customStyle="1" w:styleId="naislab">
    <w:name w:val="naislab"/>
    <w:basedOn w:val="Parasts"/>
    <w:uiPriority w:val="99"/>
    <w:rsid w:val="0002029A"/>
    <w:pPr>
      <w:spacing w:before="75" w:after="75"/>
      <w:jc w:val="right"/>
    </w:pPr>
  </w:style>
  <w:style w:type="paragraph" w:customStyle="1" w:styleId="naispie">
    <w:name w:val="naispie"/>
    <w:basedOn w:val="Parasts"/>
    <w:rsid w:val="002513DF"/>
    <w:pPr>
      <w:spacing w:before="100" w:beforeAutospacing="1" w:after="100" w:afterAutospacing="1"/>
    </w:pPr>
  </w:style>
  <w:style w:type="paragraph" w:customStyle="1" w:styleId="Rakstz">
    <w:name w:val="Rakstz."/>
    <w:basedOn w:val="Parasts"/>
    <w:rsid w:val="00F42C6F"/>
    <w:pPr>
      <w:spacing w:before="40"/>
    </w:pPr>
    <w:rPr>
      <w:lang w:val="pl-PL" w:eastAsia="pl-PL"/>
    </w:rPr>
  </w:style>
  <w:style w:type="paragraph" w:styleId="Paraststmeklis">
    <w:name w:val="Normal (Web)"/>
    <w:basedOn w:val="Parasts"/>
    <w:rsid w:val="00350004"/>
    <w:pPr>
      <w:spacing w:before="100" w:beforeAutospacing="1" w:after="100" w:afterAutospacing="1"/>
    </w:pPr>
  </w:style>
  <w:style w:type="paragraph" w:styleId="Vresteksts">
    <w:name w:val="footnote text"/>
    <w:basedOn w:val="Parasts"/>
    <w:rsid w:val="00B60F97"/>
    <w:pPr>
      <w:jc w:val="both"/>
    </w:pPr>
    <w:rPr>
      <w:sz w:val="20"/>
      <w:szCs w:val="20"/>
      <w:lang w:eastAsia="en-US"/>
    </w:rPr>
  </w:style>
  <w:style w:type="character" w:styleId="Vresatsauce">
    <w:name w:val="footnote reference"/>
    <w:rsid w:val="00B60F97"/>
    <w:rPr>
      <w:vertAlign w:val="superscript"/>
    </w:rPr>
  </w:style>
  <w:style w:type="paragraph" w:styleId="Pamattekstaatkpe2">
    <w:name w:val="Body Text Indent 2"/>
    <w:basedOn w:val="Parasts"/>
    <w:link w:val="Pamattekstaatkpe2Rakstz"/>
    <w:semiHidden/>
    <w:unhideWhenUsed/>
    <w:rsid w:val="001611DB"/>
    <w:pPr>
      <w:spacing w:after="120" w:line="480" w:lineRule="auto"/>
      <w:ind w:left="283"/>
    </w:pPr>
  </w:style>
  <w:style w:type="character" w:customStyle="1" w:styleId="Pamattekstaatkpe2Rakstz">
    <w:name w:val="Pamatteksta atkāpe 2 Rakstz."/>
    <w:basedOn w:val="Noklusjumarindkopasfonts"/>
    <w:link w:val="Pamattekstaatkpe2"/>
    <w:semiHidden/>
    <w:rsid w:val="001611DB"/>
    <w:rPr>
      <w:sz w:val="24"/>
      <w:szCs w:val="24"/>
    </w:rPr>
  </w:style>
  <w:style w:type="paragraph" w:styleId="Sarakstaaizzme">
    <w:name w:val="List Bullet"/>
    <w:basedOn w:val="Parasts"/>
    <w:unhideWhenUsed/>
    <w:rsid w:val="00AC145B"/>
    <w:pPr>
      <w:numPr>
        <w:numId w:val="1"/>
      </w:numPr>
      <w:contextualSpacing/>
    </w:pPr>
  </w:style>
  <w:style w:type="paragraph" w:styleId="Sarakstarindkopa">
    <w:name w:val="List Paragraph"/>
    <w:basedOn w:val="Parasts"/>
    <w:uiPriority w:val="34"/>
    <w:qFormat/>
    <w:rsid w:val="000957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8CDAB-BA31-405F-AC81-528196C27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1893</Words>
  <Characters>13235</Characters>
  <Application>Microsoft Office Word</Application>
  <DocSecurity>0</DocSecurity>
  <Lines>601</Lines>
  <Paragraphs>201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Slaucamo govju un slaucamo kazu pārraudzības kārtība</vt:lpstr>
      <vt:lpstr>Slaucamo govju un slaucamo kazu pārraudzības kārtība</vt:lpstr>
    </vt:vector>
  </TitlesOfParts>
  <Company>Zemkopības ministrija</Company>
  <LinksUpToDate>false</LinksUpToDate>
  <CharactersWithSpaces>14927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Slaucamo govju un slaucamo kazu pārraudzības kārtība</dc:title>
  <dc:subject>Anotācija</dc:subject>
  <dc:creator>Ligija Ozoliņa</dc:creator>
  <cp:keywords/>
  <dc:description>Ligija.Ozolina@zm.gov.lv; 67027422</dc:description>
  <cp:lastModifiedBy>Antra Dāldere</cp:lastModifiedBy>
  <cp:revision>5</cp:revision>
  <dcterms:created xsi:type="dcterms:W3CDTF">2015-11-24T11:52:00Z</dcterms:created>
  <dcterms:modified xsi:type="dcterms:W3CDTF">2015-11-25T07:42:00Z</dcterms:modified>
</cp:coreProperties>
</file>