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04" w:rsidRDefault="004C1B2A" w:rsidP="00221C75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bookmarkStart w:id="0" w:name="OLE_LINK7"/>
      <w:bookmarkStart w:id="1" w:name="OLE_LINK8"/>
      <w:r w:rsidRPr="004C1B2A">
        <w:rPr>
          <w:b/>
          <w:lang w:val="lv-LV"/>
        </w:rPr>
        <w:t xml:space="preserve">Ministru kabineta noteikumu projekta </w:t>
      </w:r>
      <w:r w:rsidRPr="004C1B2A">
        <w:rPr>
          <w:b/>
          <w:bCs/>
          <w:lang w:val="lv-LV"/>
        </w:rPr>
        <w:t>„</w:t>
      </w:r>
      <w:r w:rsidRPr="004C1B2A">
        <w:rPr>
          <w:b/>
          <w:lang w:val="lv-LV"/>
        </w:rPr>
        <w:t xml:space="preserve">Grozījums Ministru kabineta </w:t>
      </w:r>
    </w:p>
    <w:p w:rsidR="004C1B2A" w:rsidRPr="004C1B2A" w:rsidRDefault="004C1B2A" w:rsidP="00221C75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4C1B2A">
        <w:rPr>
          <w:b/>
          <w:lang w:val="lv-LV"/>
        </w:rPr>
        <w:t>2007.</w:t>
      </w:r>
      <w:r w:rsidR="00436A04">
        <w:rPr>
          <w:b/>
          <w:lang w:val="lv-LV"/>
        </w:rPr>
        <w:t xml:space="preserve"> </w:t>
      </w:r>
      <w:r w:rsidRPr="004C1B2A">
        <w:rPr>
          <w:b/>
          <w:lang w:val="lv-LV"/>
        </w:rPr>
        <w:t>gada 19.</w:t>
      </w:r>
      <w:r w:rsidR="00436A04">
        <w:rPr>
          <w:b/>
          <w:lang w:val="lv-LV"/>
        </w:rPr>
        <w:t xml:space="preserve"> </w:t>
      </w:r>
      <w:r w:rsidRPr="004C1B2A">
        <w:rPr>
          <w:b/>
          <w:lang w:val="lv-LV"/>
        </w:rPr>
        <w:t>jūnija noteikumos Nr.405</w:t>
      </w:r>
      <w:r>
        <w:rPr>
          <w:b/>
          <w:lang w:val="lv-LV"/>
        </w:rPr>
        <w:t xml:space="preserve"> </w:t>
      </w:r>
      <w:r w:rsidRPr="004C1B2A">
        <w:rPr>
          <w:b/>
          <w:lang w:val="lv-LV"/>
        </w:rPr>
        <w:t>„</w:t>
      </w:r>
      <w:r w:rsidRPr="004C1B2A">
        <w:rPr>
          <w:b/>
          <w:bCs/>
          <w:lang w:val="lv-LV"/>
        </w:rPr>
        <w:t>Putnu gripas uzliesmojuma likvidēšanas un draudu novēršanas kārtība</w:t>
      </w:r>
      <w:r w:rsidRPr="004C1B2A">
        <w:rPr>
          <w:b/>
          <w:lang w:val="lv-LV"/>
        </w:rPr>
        <w:t>”</w:t>
      </w:r>
      <w:r w:rsidRPr="004C1B2A">
        <w:rPr>
          <w:b/>
          <w:bCs/>
          <w:lang w:val="lv-LV"/>
        </w:rPr>
        <w:t>”</w:t>
      </w:r>
    </w:p>
    <w:p w:rsidR="00221C75" w:rsidRPr="004C1B2A" w:rsidRDefault="004C1B2A" w:rsidP="000F47E9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4C1B2A">
        <w:rPr>
          <w:b/>
          <w:bCs/>
          <w:lang w:val="lv-LV"/>
        </w:rPr>
        <w:t>sākotnējās ietekmes novērtējuma ziņojums (anotācija)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0F47E9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0F47E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0F47E9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9125DB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9E2709" w:rsidRDefault="004C1B2A" w:rsidP="005D73DE">
            <w:pPr>
              <w:jc w:val="both"/>
              <w:rPr>
                <w:lang w:val="lv-LV"/>
              </w:rPr>
            </w:pPr>
            <w:r w:rsidRPr="004C1B2A">
              <w:rPr>
                <w:lang w:val="lv-LV"/>
              </w:rPr>
              <w:t xml:space="preserve">Veterinārmedicīnas likuma </w:t>
            </w:r>
            <w:proofErr w:type="gramStart"/>
            <w:r w:rsidRPr="004C1B2A">
              <w:rPr>
                <w:lang w:val="lv-LV"/>
              </w:rPr>
              <w:t>26.panta</w:t>
            </w:r>
            <w:proofErr w:type="gramEnd"/>
            <w:r w:rsidRPr="004C1B2A">
              <w:rPr>
                <w:lang w:val="lv-LV"/>
              </w:rPr>
              <w:t xml:space="preserve"> pirmā daļa un 27.panta trešā daļa.</w:t>
            </w:r>
          </w:p>
        </w:tc>
      </w:tr>
      <w:tr w:rsidR="005D73DE" w:rsidRPr="007C5DD0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4C1B2A" w:rsidRPr="004C1B2A" w:rsidRDefault="004C1B2A" w:rsidP="004C1B2A">
            <w:pPr>
              <w:jc w:val="both"/>
              <w:rPr>
                <w:bCs/>
                <w:lang w:val="lv-LV"/>
              </w:rPr>
            </w:pPr>
            <w:r w:rsidRPr="004C1B2A">
              <w:rPr>
                <w:lang w:val="lv-LV"/>
              </w:rPr>
              <w:t>Ministru kabineta 2007.</w:t>
            </w:r>
            <w:r w:rsidR="00436A04">
              <w:rPr>
                <w:lang w:val="lv-LV"/>
              </w:rPr>
              <w:t xml:space="preserve"> </w:t>
            </w:r>
            <w:r w:rsidRPr="004C1B2A">
              <w:rPr>
                <w:lang w:val="lv-LV"/>
              </w:rPr>
              <w:t>gada 19.</w:t>
            </w:r>
            <w:r w:rsidR="00436A04">
              <w:rPr>
                <w:lang w:val="lv-LV"/>
              </w:rPr>
              <w:t xml:space="preserve"> </w:t>
            </w:r>
            <w:r w:rsidRPr="004C1B2A">
              <w:rPr>
                <w:lang w:val="lv-LV"/>
              </w:rPr>
              <w:t>jūnija noteikumu Nr.405 „</w:t>
            </w:r>
            <w:r w:rsidRPr="004C1B2A">
              <w:rPr>
                <w:bCs/>
                <w:lang w:val="lv-LV"/>
              </w:rPr>
              <w:t>Putnu gripas uzliesmojuma likvidēšanas un draudu novēršanas kārtība</w:t>
            </w:r>
            <w:r w:rsidRPr="004C1B2A">
              <w:rPr>
                <w:lang w:val="lv-LV"/>
              </w:rPr>
              <w:t xml:space="preserve">” (turpmāk – noteikumi Nr.405) </w:t>
            </w:r>
            <w:r w:rsidRPr="004C1B2A">
              <w:rPr>
                <w:bCs/>
                <w:lang w:val="lv-LV"/>
              </w:rPr>
              <w:t>XVIII</w:t>
            </w:r>
            <w:r w:rsidRPr="004C1B2A">
              <w:rPr>
                <w:bCs/>
                <w:vertAlign w:val="superscript"/>
                <w:lang w:val="lv-LV"/>
              </w:rPr>
              <w:t>2</w:t>
            </w:r>
            <w:r w:rsidRPr="004C1B2A">
              <w:rPr>
                <w:bCs/>
                <w:lang w:val="lv-LV"/>
              </w:rPr>
              <w:t xml:space="preserve"> nodaļa, kas nosaka bioloģiskās drošības pasākumus, lai mazinātu augsti patogēno slimības ierosinātāju pārnešanas risku no savvaļas putniem uz mājputniem un citiem nebrīvē turētiem putniem</w:t>
            </w:r>
            <w:r w:rsidRPr="004C1B2A">
              <w:rPr>
                <w:lang w:val="lv-LV"/>
              </w:rPr>
              <w:t>, ir spēkā līdz 2015.</w:t>
            </w:r>
            <w:r w:rsidR="00436A04">
              <w:rPr>
                <w:lang w:val="lv-LV"/>
              </w:rPr>
              <w:t xml:space="preserve"> </w:t>
            </w:r>
            <w:r w:rsidRPr="004C1B2A">
              <w:rPr>
                <w:lang w:val="lv-LV"/>
              </w:rPr>
              <w:t>gada 31.</w:t>
            </w:r>
            <w:r w:rsidR="00436A04">
              <w:rPr>
                <w:lang w:val="lv-LV"/>
              </w:rPr>
              <w:t xml:space="preserve"> </w:t>
            </w:r>
            <w:r w:rsidRPr="004C1B2A">
              <w:rPr>
                <w:lang w:val="lv-LV"/>
              </w:rPr>
              <w:t xml:space="preserve">decembrim. Noteikumu Nr.405 </w:t>
            </w:r>
            <w:r w:rsidRPr="004C1B2A">
              <w:rPr>
                <w:bCs/>
                <w:lang w:val="lv-LV"/>
              </w:rPr>
              <w:t>XVIII</w:t>
            </w:r>
            <w:r w:rsidRPr="004C1B2A">
              <w:rPr>
                <w:bCs/>
                <w:vertAlign w:val="superscript"/>
                <w:lang w:val="lv-LV"/>
              </w:rPr>
              <w:t>2</w:t>
            </w:r>
            <w:r w:rsidRPr="004C1B2A">
              <w:rPr>
                <w:bCs/>
                <w:lang w:val="lv-LV"/>
              </w:rPr>
              <w:t xml:space="preserve"> nodaļa pārņem Komisijas 2005.</w:t>
            </w:r>
            <w:r w:rsidR="009125DB">
              <w:rPr>
                <w:bCs/>
                <w:lang w:val="lv-LV"/>
              </w:rPr>
              <w:t> </w:t>
            </w:r>
            <w:r w:rsidRPr="004C1B2A">
              <w:rPr>
                <w:bCs/>
                <w:lang w:val="lv-LV"/>
              </w:rPr>
              <w:t>gada 19.</w:t>
            </w:r>
            <w:r w:rsidR="00436A04">
              <w:rPr>
                <w:bCs/>
                <w:lang w:val="lv-LV"/>
              </w:rPr>
              <w:t xml:space="preserve"> </w:t>
            </w:r>
            <w:r w:rsidRPr="004C1B2A">
              <w:rPr>
                <w:bCs/>
                <w:lang w:val="lv-LV"/>
              </w:rPr>
              <w:t>oktobra Lēmumu 2005/734/EK, ar ko nosaka biodrošības pasākumus, lai mazinātu risku, ka ļoti patogēno putnu gripu, ko izraisa A tipa H5N1 apakštipa gripas vīruss, no savvaļas putniem varētu pārnest uz mājputniem un citiem nebrīvē turētiem putniem, un ar ko paredz agrīnas konstatācijas sistēmu īpaši apdraudētos apgabalos.</w:t>
            </w:r>
          </w:p>
          <w:p w:rsidR="00307454" w:rsidRDefault="009125DB" w:rsidP="004C1B2A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Tā kā ir</w:t>
            </w:r>
            <w:r w:rsidR="004C1B2A" w:rsidRPr="004C1B2A">
              <w:rPr>
                <w:bCs/>
                <w:lang w:val="lv-LV"/>
              </w:rPr>
              <w:t xml:space="preserve"> stājies spēkā Komisijas 2015.</w:t>
            </w:r>
            <w:r w:rsidR="00436A04">
              <w:rPr>
                <w:bCs/>
                <w:lang w:val="lv-LV"/>
              </w:rPr>
              <w:t xml:space="preserve"> </w:t>
            </w:r>
            <w:r w:rsidR="00221C75">
              <w:rPr>
                <w:bCs/>
                <w:lang w:val="lv-LV"/>
              </w:rPr>
              <w:t>gada 30. novembra Īstenošanas lēmums (ES) 2015/2225</w:t>
            </w:r>
            <w:r>
              <w:rPr>
                <w:bCs/>
                <w:lang w:val="lv-LV"/>
              </w:rPr>
              <w:t>,</w:t>
            </w:r>
            <w:r w:rsidR="00221C75">
              <w:rPr>
                <w:bCs/>
                <w:lang w:val="lv-LV"/>
              </w:rPr>
              <w:t xml:space="preserve"> ar ko groza Lēmumu</w:t>
            </w:r>
            <w:r w:rsidR="004C1B2A" w:rsidRPr="004C1B2A">
              <w:rPr>
                <w:bCs/>
                <w:lang w:val="lv-LV"/>
              </w:rPr>
              <w:t xml:space="preserve"> 2005/734/EK, 2006/415/EK</w:t>
            </w:r>
            <w:r w:rsidR="00221C75">
              <w:rPr>
                <w:bCs/>
                <w:lang w:val="lv-LV"/>
              </w:rPr>
              <w:t xml:space="preserve"> un</w:t>
            </w:r>
            <w:r w:rsidR="004C1B2A" w:rsidRPr="004C1B2A">
              <w:rPr>
                <w:bCs/>
                <w:lang w:val="lv-LV"/>
              </w:rPr>
              <w:t xml:space="preserve"> </w:t>
            </w:r>
            <w:r w:rsidR="00221C75" w:rsidRPr="004C1B2A">
              <w:rPr>
                <w:bCs/>
                <w:lang w:val="lv-LV"/>
              </w:rPr>
              <w:t xml:space="preserve">2007/25/EK </w:t>
            </w:r>
            <w:r w:rsidR="004C1B2A" w:rsidRPr="004C1B2A">
              <w:rPr>
                <w:bCs/>
                <w:lang w:val="lv-LV"/>
              </w:rPr>
              <w:t xml:space="preserve">un </w:t>
            </w:r>
            <w:r w:rsidR="00221C75">
              <w:rPr>
                <w:bCs/>
                <w:lang w:val="lv-LV"/>
              </w:rPr>
              <w:t xml:space="preserve">Īstenošanas lēmumu 2013/657/ES </w:t>
            </w:r>
            <w:r w:rsidR="004C1B2A" w:rsidRPr="004C1B2A">
              <w:rPr>
                <w:bCs/>
                <w:lang w:val="lv-LV"/>
              </w:rPr>
              <w:t>attiecībā uz to piemērošanas periodu</w:t>
            </w:r>
            <w:r>
              <w:rPr>
                <w:bCs/>
                <w:lang w:val="lv-LV"/>
              </w:rPr>
              <w:t>,</w:t>
            </w:r>
            <w:r w:rsidR="004C1B2A" w:rsidRPr="004C1B2A">
              <w:rPr>
                <w:bCs/>
                <w:lang w:val="lv-LV"/>
              </w:rPr>
              <w:t xml:space="preserve"> noteikumu Nr.405 XVIII</w:t>
            </w:r>
            <w:r w:rsidR="004C1B2A" w:rsidRPr="004C1B2A">
              <w:rPr>
                <w:bCs/>
                <w:vertAlign w:val="superscript"/>
                <w:lang w:val="lv-LV"/>
              </w:rPr>
              <w:t>2</w:t>
            </w:r>
            <w:r w:rsidR="004C1B2A" w:rsidRPr="004C1B2A">
              <w:rPr>
                <w:bCs/>
                <w:lang w:val="lv-LV"/>
              </w:rPr>
              <w:t xml:space="preserve"> nodaļā noteikto prasību piemērošan</w:t>
            </w:r>
            <w:r w:rsidR="00221C75">
              <w:rPr>
                <w:bCs/>
                <w:lang w:val="lv-LV"/>
              </w:rPr>
              <w:t>a jāpagarina attiecīgi līdz 2017</w:t>
            </w:r>
            <w:r w:rsidR="004C1B2A" w:rsidRPr="004C1B2A">
              <w:rPr>
                <w:bCs/>
                <w:lang w:val="lv-LV"/>
              </w:rPr>
              <w:t>.</w:t>
            </w:r>
            <w:r w:rsidR="00436A04">
              <w:rPr>
                <w:bCs/>
                <w:lang w:val="lv-LV"/>
              </w:rPr>
              <w:t xml:space="preserve"> </w:t>
            </w:r>
            <w:r w:rsidR="004C1B2A" w:rsidRPr="004C1B2A">
              <w:rPr>
                <w:bCs/>
                <w:lang w:val="lv-LV"/>
              </w:rPr>
              <w:t>gada 31.</w:t>
            </w:r>
            <w:r w:rsidR="00436A04">
              <w:rPr>
                <w:bCs/>
                <w:lang w:val="lv-LV"/>
              </w:rPr>
              <w:t xml:space="preserve"> </w:t>
            </w:r>
            <w:r w:rsidR="004C1B2A" w:rsidRPr="004C1B2A">
              <w:rPr>
                <w:bCs/>
                <w:lang w:val="lv-LV"/>
              </w:rPr>
              <w:t>decembrim.</w:t>
            </w:r>
          </w:p>
          <w:p w:rsidR="004C1B2A" w:rsidRPr="004C1B2A" w:rsidRDefault="004C1B2A" w:rsidP="004C1B2A">
            <w:pPr>
              <w:jc w:val="both"/>
              <w:rPr>
                <w:b/>
                <w:bCs/>
                <w:lang w:val="lv-LV"/>
              </w:rPr>
            </w:pPr>
            <w:r w:rsidRPr="004C1B2A">
              <w:rPr>
                <w:bCs/>
                <w:lang w:val="lv-LV"/>
              </w:rPr>
              <w:t>Ir sagatavots Ministru kabineta noteikumu projekts „Grozījums Ministru kabineta 2007.</w:t>
            </w:r>
            <w:r w:rsidR="00436A04">
              <w:rPr>
                <w:bCs/>
                <w:lang w:val="lv-LV"/>
              </w:rPr>
              <w:t xml:space="preserve"> </w:t>
            </w:r>
            <w:r w:rsidRPr="004C1B2A">
              <w:rPr>
                <w:bCs/>
                <w:lang w:val="lv-LV"/>
              </w:rPr>
              <w:t>gada 19.</w:t>
            </w:r>
            <w:r w:rsidR="00436A04">
              <w:rPr>
                <w:bCs/>
                <w:lang w:val="lv-LV"/>
              </w:rPr>
              <w:t xml:space="preserve"> </w:t>
            </w:r>
            <w:r w:rsidRPr="004C1B2A">
              <w:rPr>
                <w:bCs/>
                <w:lang w:val="lv-LV"/>
              </w:rPr>
              <w:t>jūnija noteikumos Nr.405 „Putnu gripas uzliesmojuma likvidēšanas un draudu novēršanas kārtība”” (turpmāk – noteikumu projekts), kas paredz noteikumu Nr.405 XVIII</w:t>
            </w:r>
            <w:r w:rsidRPr="004C1B2A">
              <w:rPr>
                <w:bCs/>
                <w:vertAlign w:val="superscript"/>
                <w:lang w:val="lv-LV"/>
              </w:rPr>
              <w:t>2</w:t>
            </w:r>
            <w:r w:rsidRPr="004C1B2A">
              <w:rPr>
                <w:bCs/>
                <w:lang w:val="lv-LV"/>
              </w:rPr>
              <w:t xml:space="preserve"> nodaļā noteikto pasākumu īstenošanu aizsardzībai pret</w:t>
            </w:r>
            <w:r w:rsidR="00221C75">
              <w:rPr>
                <w:bCs/>
                <w:lang w:val="lv-LV"/>
              </w:rPr>
              <w:t xml:space="preserve"> putnu gripu pagarināt līdz </w:t>
            </w:r>
            <w:proofErr w:type="gramStart"/>
            <w:r w:rsidR="00221C75">
              <w:rPr>
                <w:bCs/>
                <w:lang w:val="lv-LV"/>
              </w:rPr>
              <w:t>2017</w:t>
            </w:r>
            <w:r w:rsidRPr="004C1B2A">
              <w:rPr>
                <w:bCs/>
                <w:lang w:val="lv-LV"/>
              </w:rPr>
              <w:t>.gada</w:t>
            </w:r>
            <w:proofErr w:type="gramEnd"/>
            <w:r w:rsidRPr="004C1B2A">
              <w:rPr>
                <w:bCs/>
                <w:lang w:val="lv-LV"/>
              </w:rPr>
              <w:t xml:space="preserve"> 31.decembrim.</w:t>
            </w: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:rsidR="004D267D" w:rsidRPr="009E2709" w:rsidRDefault="004D267D">
      <w:pPr>
        <w:rPr>
          <w:lang w:val="lv-LV"/>
        </w:rPr>
      </w:pPr>
    </w:p>
    <w:tbl>
      <w:tblPr>
        <w:tblW w:w="4939" w:type="pct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"/>
        <w:gridCol w:w="2485"/>
        <w:gridCol w:w="6041"/>
      </w:tblGrid>
      <w:tr w:rsidR="005D73DE" w:rsidRPr="007C5DD0" w:rsidTr="000F47E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0F47E9" w:rsidRDefault="008F3459" w:rsidP="005D73DE">
            <w:pPr>
              <w:jc w:val="center"/>
              <w:rPr>
                <w:b/>
                <w:lang w:val="lv-LV"/>
              </w:rPr>
            </w:pPr>
            <w:r w:rsidRPr="000F47E9">
              <w:rPr>
                <w:b/>
                <w:lang w:val="lv-LV"/>
              </w:rPr>
              <w:t>II. Tiesību akta projekta ietekme uz sabiedrību</w:t>
            </w:r>
            <w:r w:rsidR="00D533EA" w:rsidRPr="000F47E9">
              <w:rPr>
                <w:b/>
                <w:lang w:val="lv-LV"/>
              </w:rPr>
              <w:t>,</w:t>
            </w:r>
            <w:r w:rsidR="00D533EA" w:rsidRPr="000F47E9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D73DE" w:rsidRPr="007C5DD0" w:rsidTr="000F47E9">
        <w:tc>
          <w:tcPr>
            <w:tcW w:w="2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E312B1" w:rsidRDefault="004C1B2A" w:rsidP="006A29A5">
            <w:pPr>
              <w:jc w:val="both"/>
              <w:rPr>
                <w:lang w:val="lv-LV"/>
              </w:rPr>
            </w:pPr>
            <w:r w:rsidRPr="004C1B2A">
              <w:rPr>
                <w:lang w:val="lv-LV"/>
              </w:rPr>
              <w:t>Noteikumu projekta tiesiskais regulējums attiecas uz lauksaimniecības dzīvnieku īpašniekiem, kas audzē un tur mājputnus un nebrīvē turētus putnus.</w:t>
            </w:r>
            <w:r w:rsidR="00221C75">
              <w:rPr>
                <w:lang w:val="lv-LV"/>
              </w:rPr>
              <w:t xml:space="preserve"> Pēc Lauksaimniecības datu centra informācijas</w:t>
            </w:r>
            <w:r w:rsidR="009125DB">
              <w:rPr>
                <w:lang w:val="lv-LV"/>
              </w:rPr>
              <w:t>,</w:t>
            </w:r>
            <w:r w:rsidR="00221C75">
              <w:rPr>
                <w:lang w:val="lv-LV"/>
              </w:rPr>
              <w:t xml:space="preserve"> 2015. gada 1. janvār</w:t>
            </w:r>
            <w:r w:rsidR="009125DB">
              <w:rPr>
                <w:lang w:val="lv-LV"/>
              </w:rPr>
              <w:t>ī</w:t>
            </w:r>
            <w:r w:rsidR="00221C75">
              <w:rPr>
                <w:lang w:val="lv-LV"/>
              </w:rPr>
              <w:t xml:space="preserve"> datubāzē bija reģistrēti </w:t>
            </w:r>
            <w:r w:rsidR="00221C75" w:rsidRPr="00221C75">
              <w:rPr>
                <w:lang w:val="lv-LV"/>
              </w:rPr>
              <w:t xml:space="preserve">4289 </w:t>
            </w:r>
            <w:r w:rsidR="00221C75">
              <w:rPr>
                <w:lang w:val="lv-LV"/>
              </w:rPr>
              <w:t>mājputnu īpašnieki.</w:t>
            </w:r>
          </w:p>
        </w:tc>
      </w:tr>
      <w:tr w:rsidR="005D73DE" w:rsidRPr="009125DB" w:rsidTr="000F47E9">
        <w:tc>
          <w:tcPr>
            <w:tcW w:w="2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Tiesiskā regulējuma ietekme uz </w:t>
            </w:r>
            <w:r w:rsidRPr="009E2709">
              <w:rPr>
                <w:lang w:val="lv-LV"/>
              </w:rPr>
              <w:lastRenderedPageBreak/>
              <w:t>tautsaimniecību un administratīvo slogu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7454" w:rsidRPr="00E04435" w:rsidRDefault="00BE7DED" w:rsidP="00FA7D73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Noteikumu projekts šo jomu neskar.</w:t>
            </w:r>
          </w:p>
        </w:tc>
      </w:tr>
      <w:tr w:rsidR="005D73DE" w:rsidRPr="009125DB" w:rsidTr="000F47E9">
        <w:tc>
          <w:tcPr>
            <w:tcW w:w="2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9E2709" w:rsidRDefault="00603F7B" w:rsidP="005D73DE">
            <w:pPr>
              <w:jc w:val="both"/>
              <w:rPr>
                <w:lang w:val="lv-LV"/>
              </w:rPr>
            </w:pPr>
            <w:r w:rsidRPr="00603F7B">
              <w:rPr>
                <w:lang w:val="lv-LV"/>
              </w:rPr>
              <w:t>Noteikumu projekts šo jomu neskar.</w:t>
            </w:r>
          </w:p>
        </w:tc>
      </w:tr>
      <w:tr w:rsidR="005D73DE" w:rsidRPr="009E2709" w:rsidTr="000F47E9">
        <w:tc>
          <w:tcPr>
            <w:tcW w:w="2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:rsidR="00B02ED1" w:rsidRPr="009E2709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>sadaļa 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051"/>
        <w:gridCol w:w="917"/>
        <w:gridCol w:w="2231"/>
        <w:gridCol w:w="15"/>
      </w:tblGrid>
      <w:tr w:rsidR="005D73DE" w:rsidRPr="009125DB" w:rsidTr="004C1B2A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0F47E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0F47E9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7C5DD0" w:rsidTr="004C1B2A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A04" w:rsidRDefault="00C14BAF" w:rsidP="0070041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projektā iekļautas tiesību normas, kas izriet no</w:t>
            </w:r>
            <w:r w:rsidR="005A2A04">
              <w:rPr>
                <w:lang w:val="lv-LV"/>
              </w:rPr>
              <w:t xml:space="preserve"> </w:t>
            </w:r>
          </w:p>
          <w:p w:rsidR="009E04D3" w:rsidRPr="005A2A04" w:rsidRDefault="00221C75" w:rsidP="005A2A04">
            <w:pPr>
              <w:jc w:val="both"/>
              <w:rPr>
                <w:lang w:val="lv-LV"/>
              </w:rPr>
            </w:pPr>
            <w:r w:rsidRPr="00221C75">
              <w:rPr>
                <w:bCs/>
                <w:lang w:val="lv-LV"/>
              </w:rPr>
              <w:t>Komisijas 2015. gada 30. novembra</w:t>
            </w:r>
            <w:r>
              <w:rPr>
                <w:bCs/>
                <w:lang w:val="lv-LV"/>
              </w:rPr>
              <w:t xml:space="preserve"> Īstenošanas lēmuma</w:t>
            </w:r>
            <w:r w:rsidRPr="00221C75">
              <w:rPr>
                <w:bCs/>
                <w:lang w:val="lv-LV"/>
              </w:rPr>
              <w:t xml:space="preserve"> (ES) 2015/2225</w:t>
            </w:r>
            <w:r w:rsidR="009125DB">
              <w:rPr>
                <w:bCs/>
                <w:lang w:val="lv-LV"/>
              </w:rPr>
              <w:t>,</w:t>
            </w:r>
            <w:r w:rsidRPr="00221C75">
              <w:rPr>
                <w:bCs/>
                <w:lang w:val="lv-LV"/>
              </w:rPr>
              <w:t xml:space="preserve"> ar ko groza Lēmumu 2005/734/EK, 2006/415/EK un 2007/25/EK un Īstenošanas lēmumu 2013/657/ES attiecībā uz to piemērošanas periodu.</w:t>
            </w:r>
          </w:p>
        </w:tc>
      </w:tr>
      <w:tr w:rsidR="005D73DE" w:rsidRPr="00F20442" w:rsidTr="004C1B2A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:rsidTr="004C1B2A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9125DB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8"/>
            <w:vAlign w:val="center"/>
          </w:tcPr>
          <w:p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7C5DD0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484" w:type="pct"/>
            <w:gridSpan w:val="6"/>
          </w:tcPr>
          <w:p w:rsidR="00FB20CF" w:rsidRPr="00221C75" w:rsidRDefault="00221C75" w:rsidP="00FC7853">
            <w:pPr>
              <w:pStyle w:val="naiskr"/>
              <w:spacing w:before="0" w:beforeAutospacing="0" w:after="0" w:afterAutospacing="0"/>
              <w:jc w:val="both"/>
            </w:pPr>
            <w:r w:rsidRPr="00221C75">
              <w:rPr>
                <w:bCs/>
              </w:rPr>
              <w:t>Komisijas 2015. gada 30. novembra Īstenošanas lēmums (ES) 2015/2225</w:t>
            </w:r>
            <w:r w:rsidR="009125DB">
              <w:rPr>
                <w:bCs/>
              </w:rPr>
              <w:t>,</w:t>
            </w:r>
            <w:r w:rsidRPr="00221C75">
              <w:rPr>
                <w:bCs/>
              </w:rPr>
              <w:t xml:space="preserve"> ar ko groza Lēmumu 2005/734/EK, 2006/415/EK un 2007/25/EK un Īstenošanas lēmumu 2013/657/ES attiecībā uz to piemērošanas periodu</w:t>
            </w:r>
            <w:r>
              <w:rPr>
                <w:bCs/>
              </w:rPr>
              <w:t xml:space="preserve"> (turpmāk – Īstenošanas lēmums 2015/2225)</w:t>
            </w:r>
            <w:r w:rsidRPr="00221C75">
              <w:rPr>
                <w:bCs/>
              </w:rPr>
              <w:t>.</w:t>
            </w:r>
          </w:p>
        </w:tc>
      </w:tr>
      <w:tr w:rsidR="005D73DE" w:rsidRPr="00384CF4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7C5DD0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  <w:gridSpan w:val="2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</w:t>
            </w:r>
            <w:proofErr w:type="gramStart"/>
            <w:r w:rsidRPr="009E2709">
              <w:t xml:space="preserve">  </w:t>
            </w:r>
            <w:proofErr w:type="gramEnd"/>
            <w:r w:rsidRPr="009E2709">
              <w:t>sniedz attiecīgu skaidrojumu, kā arī precīzi norāda, kad un kādā veidā ES tiesību akta vienība tiks pārņemta vai ieviesta pilnībā.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Norāda iespējamās alternatīvas (t.sk. alternatīvas, kas neparedz tiesiskā regulējuma izstrādi) – kādos gadījumos būtu iespējams izvairīties no stingrāku prasību noteikšanas, nekā </w:t>
            </w:r>
            <w:r w:rsidRPr="009E2709">
              <w:lastRenderedPageBreak/>
              <w:t>paredzēts attiecīgajos ES tiesību aktos</w:t>
            </w:r>
          </w:p>
        </w:tc>
      </w:tr>
      <w:tr w:rsidR="00D062E2" w:rsidRPr="007C5DD0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D062E2" w:rsidRDefault="00D062E2" w:rsidP="004C1B2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Īstenošanas lēmuma </w:t>
            </w:r>
            <w:r w:rsidR="00221C75">
              <w:rPr>
                <w:lang w:val="lv-LV"/>
              </w:rPr>
              <w:t xml:space="preserve">2015/2225 </w:t>
            </w:r>
            <w:proofErr w:type="gramStart"/>
            <w:r>
              <w:rPr>
                <w:lang w:val="lv-LV"/>
              </w:rPr>
              <w:t>1.pants</w:t>
            </w:r>
            <w:proofErr w:type="gramEnd"/>
          </w:p>
        </w:tc>
        <w:tc>
          <w:tcPr>
            <w:tcW w:w="1163" w:type="pct"/>
            <w:gridSpan w:val="2"/>
            <w:vAlign w:val="center"/>
          </w:tcPr>
          <w:p w:rsidR="00D062E2" w:rsidRDefault="004C1B2A" w:rsidP="004C1B2A">
            <w:pPr>
              <w:pStyle w:val="naiskr"/>
              <w:spacing w:before="0" w:beforeAutospacing="0" w:after="0" w:afterAutospacing="0"/>
              <w:jc w:val="both"/>
            </w:pPr>
            <w:r>
              <w:t>1</w:t>
            </w:r>
            <w:r w:rsidR="005A2A04">
              <w:t>. punkts</w:t>
            </w:r>
          </w:p>
        </w:tc>
        <w:tc>
          <w:tcPr>
            <w:tcW w:w="1084" w:type="pct"/>
            <w:gridSpan w:val="2"/>
          </w:tcPr>
          <w:p w:rsidR="00D062E2" w:rsidRPr="00FE4461" w:rsidRDefault="00D062E2" w:rsidP="005D73DE">
            <w:pPr>
              <w:pStyle w:val="naiskr"/>
              <w:spacing w:before="0" w:beforeAutospacing="0" w:after="0" w:afterAutospacing="0"/>
              <w:jc w:val="both"/>
            </w:pPr>
            <w:r w:rsidRPr="005A2A04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062E2" w:rsidRPr="00E312B1" w:rsidRDefault="00D062E2" w:rsidP="005D73DE">
            <w:pPr>
              <w:pStyle w:val="naiskr"/>
              <w:spacing w:before="0" w:beforeAutospacing="0" w:after="0" w:afterAutospacing="0"/>
              <w:jc w:val="both"/>
            </w:pPr>
            <w:r w:rsidRPr="00D062E2">
              <w:t>Attiecīgais noteikumu projekta punkts neparedz stingrākas prasības kā ES tiesību aktā.</w:t>
            </w:r>
          </w:p>
        </w:tc>
      </w:tr>
      <w:tr w:rsidR="005D73DE" w:rsidRPr="009125DB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t>Kā ir izmantota ES tiesību aktā paredzētā rīcības brīvība dalībvalstij pārņemt vai ieviest</w:t>
            </w:r>
            <w:proofErr w:type="gramEnd"/>
            <w:r w:rsidRPr="009E2709">
              <w:t xml:space="preserve"> noteiktas ES tiesību akta normas. Kādēļ?</w:t>
            </w:r>
          </w:p>
        </w:tc>
        <w:tc>
          <w:tcPr>
            <w:tcW w:w="3484" w:type="pct"/>
            <w:gridSpan w:val="6"/>
          </w:tcPr>
          <w:p w:rsidR="00F517A7" w:rsidRPr="009E2709" w:rsidRDefault="00F20442" w:rsidP="00E77B06">
            <w:pPr>
              <w:pStyle w:val="naiskr"/>
              <w:spacing w:before="0" w:beforeAutospacing="0" w:after="0" w:afterAutospacing="0"/>
              <w:jc w:val="both"/>
            </w:pPr>
            <w:r>
              <w:t>Noteikumu projekts šo jomu neskar.</w:t>
            </w:r>
          </w:p>
        </w:tc>
      </w:tr>
      <w:tr w:rsidR="005D73DE" w:rsidRPr="009125DB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6"/>
          </w:tcPr>
          <w:p w:rsidR="00F517A7" w:rsidRPr="009E2709" w:rsidRDefault="00603F7B" w:rsidP="00603F7B">
            <w:pPr>
              <w:pStyle w:val="naiskr"/>
              <w:spacing w:before="0" w:beforeAutospacing="0" w:after="0" w:afterAutospacing="0"/>
            </w:pPr>
            <w:r>
              <w:t>Noteikumu p</w:t>
            </w:r>
            <w:r w:rsidR="0031149B">
              <w:t>rojekts šo jomu neskar.</w:t>
            </w:r>
          </w:p>
        </w:tc>
      </w:tr>
      <w:tr w:rsidR="005D73DE" w:rsidRPr="009E2709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:rsidR="00F517A7" w:rsidRPr="009E2709" w:rsidRDefault="0031149B" w:rsidP="005D73DE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  <w:tr w:rsidR="005D73DE" w:rsidRPr="009E2709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8"/>
          </w:tcPr>
          <w:p w:rsidR="009C6B02" w:rsidRPr="009E2709" w:rsidRDefault="009C6B02" w:rsidP="009E2709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5D73DE" w:rsidRPr="009125DB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9E2709" w:rsidRDefault="009C6B02" w:rsidP="009E2709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84" w:type="pct"/>
            <w:gridSpan w:val="6"/>
          </w:tcPr>
          <w:p w:rsidR="009C6B02" w:rsidRPr="009E2709" w:rsidRDefault="00603F7B" w:rsidP="009E2709">
            <w:pPr>
              <w:pStyle w:val="naiskr"/>
              <w:spacing w:before="0" w:beforeAutospacing="0" w:after="0" w:afterAutospacing="0"/>
              <w:jc w:val="both"/>
            </w:pPr>
            <w:r w:rsidRPr="00957F30">
              <w:t>Noteikumu projekts šo jomu neskar.</w:t>
            </w:r>
          </w:p>
        </w:tc>
      </w:tr>
      <w:tr w:rsidR="005D73DE" w:rsidRPr="009E2709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A</w:t>
            </w:r>
          </w:p>
        </w:tc>
        <w:tc>
          <w:tcPr>
            <w:tcW w:w="1742" w:type="pct"/>
            <w:gridSpan w:val="3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B</w:t>
            </w:r>
          </w:p>
        </w:tc>
        <w:tc>
          <w:tcPr>
            <w:tcW w:w="1742" w:type="pct"/>
            <w:gridSpan w:val="3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C</w:t>
            </w:r>
          </w:p>
        </w:tc>
      </w:tr>
      <w:tr w:rsidR="005D73DE" w:rsidRPr="007C5DD0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Starptautiskās saistības (pēc būtības), kas izriet no norādītā starptautiskā dokumenta. 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Konkrēti veicamie pasākumi vai uzdevumi, kas nepieciešami šo starptautisko saistību izpildei</w:t>
            </w:r>
          </w:p>
        </w:tc>
        <w:tc>
          <w:tcPr>
            <w:tcW w:w="1742" w:type="pct"/>
            <w:gridSpan w:val="3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742" w:type="pct"/>
            <w:gridSpan w:val="3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Informācija par to, vai starptautiskās saistības, kas minētas šīs tabulas A ailē, tiek izpildītas pilnībā vai daļēji. 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Norāda institūciju, kas ir atbildīga par šo saistību izpildi pilnībā</w:t>
            </w:r>
          </w:p>
        </w:tc>
      </w:tr>
      <w:tr w:rsidR="00077EA4" w:rsidRPr="007C5DD0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077EA4" w:rsidRPr="009E2709" w:rsidRDefault="00077EA4" w:rsidP="005D73DE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742" w:type="pct"/>
            <w:gridSpan w:val="3"/>
          </w:tcPr>
          <w:p w:rsidR="00077EA4" w:rsidRPr="009E2709" w:rsidRDefault="00077EA4" w:rsidP="005D73DE">
            <w:pPr>
              <w:pStyle w:val="naiskr"/>
              <w:spacing w:before="0" w:beforeAutospacing="0" w:after="0" w:afterAutospacing="0"/>
            </w:pPr>
          </w:p>
        </w:tc>
        <w:tc>
          <w:tcPr>
            <w:tcW w:w="1742" w:type="pct"/>
            <w:gridSpan w:val="3"/>
          </w:tcPr>
          <w:p w:rsidR="00077EA4" w:rsidRPr="009E2709" w:rsidRDefault="00077EA4" w:rsidP="005D73DE">
            <w:pPr>
              <w:pStyle w:val="naiskr"/>
              <w:spacing w:before="0" w:beforeAutospacing="0" w:after="0" w:afterAutospacing="0"/>
            </w:pPr>
          </w:p>
        </w:tc>
      </w:tr>
      <w:tr w:rsidR="005D73DE" w:rsidRPr="009125DB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9E2709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Vai starptautiskajā dokumentā paredzētās saistības nav pretrunā ar jau esošajām Latvijas Republikas starptautiskajām saistībām</w:t>
            </w:r>
          </w:p>
        </w:tc>
        <w:tc>
          <w:tcPr>
            <w:tcW w:w="3484" w:type="pct"/>
            <w:gridSpan w:val="6"/>
          </w:tcPr>
          <w:p w:rsidR="009C6B02" w:rsidRPr="009E2709" w:rsidRDefault="00603F7B" w:rsidP="005D73DE">
            <w:pPr>
              <w:pStyle w:val="naiskr"/>
              <w:spacing w:before="0" w:beforeAutospacing="0" w:after="0" w:afterAutospacing="0"/>
            </w:pPr>
            <w:r w:rsidRPr="00957F30">
              <w:t>Noteikumu projekts šo jomu neskar.</w:t>
            </w:r>
          </w:p>
        </w:tc>
      </w:tr>
      <w:tr w:rsidR="005D73DE" w:rsidRPr="009E2709" w:rsidTr="004C1B2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9E2709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:rsidR="009C6B02" w:rsidRPr="009E2709" w:rsidRDefault="00603F7B" w:rsidP="005D73DE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:rsidR="009E04D3" w:rsidRDefault="009E04D3" w:rsidP="005D73DE">
      <w:pPr>
        <w:rPr>
          <w:u w:val="single"/>
          <w:lang w:val="lv-LV" w:eastAsia="lv-LV"/>
        </w:rPr>
      </w:pPr>
    </w:p>
    <w:tbl>
      <w:tblPr>
        <w:tblW w:w="5000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110"/>
        <w:gridCol w:w="2544"/>
        <w:gridCol w:w="5956"/>
      </w:tblGrid>
      <w:tr w:rsidR="00457BB2" w:rsidRPr="007C5DD0" w:rsidTr="00457B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BB2" w:rsidRPr="000F47E9" w:rsidRDefault="00457BB2" w:rsidP="001D47DA">
            <w:pPr>
              <w:jc w:val="center"/>
              <w:rPr>
                <w:b/>
                <w:bCs/>
                <w:lang w:val="lv-LV" w:eastAsia="lv-LV"/>
              </w:rPr>
            </w:pPr>
            <w:r w:rsidRPr="000F47E9">
              <w:rPr>
                <w:b/>
                <w:bCs/>
                <w:lang w:val="lv-LV" w:eastAsia="lv-LV"/>
              </w:rPr>
              <w:t xml:space="preserve">VI. Sabiedrības līdzdalība </w:t>
            </w:r>
            <w:r w:rsidRPr="000F47E9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457BB2" w:rsidRPr="009125DB" w:rsidTr="0045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gridSpan w:val="2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1405" w:type="pct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89" w:type="pct"/>
          </w:tcPr>
          <w:p w:rsidR="00457BB2" w:rsidRPr="009E2709" w:rsidRDefault="00457BB2" w:rsidP="001D47DA">
            <w:pPr>
              <w:jc w:val="both"/>
              <w:rPr>
                <w:lang w:val="lv-LV"/>
              </w:rPr>
            </w:pPr>
            <w:r w:rsidRPr="00457BB2">
              <w:rPr>
                <w:lang w:val="lv-LV"/>
              </w:rPr>
              <w:t>Noteikumu projekts ievietots Zemkopības</w:t>
            </w:r>
            <w:r>
              <w:rPr>
                <w:lang w:val="lv-LV"/>
              </w:rPr>
              <w:t xml:space="preserve"> ministrijas tīmekļa vietnē 2015</w:t>
            </w:r>
            <w:r w:rsidRPr="00457BB2">
              <w:rPr>
                <w:lang w:val="lv-LV"/>
              </w:rPr>
              <w:t>.</w:t>
            </w:r>
            <w:r>
              <w:rPr>
                <w:lang w:val="lv-LV"/>
              </w:rPr>
              <w:t xml:space="preserve"> gada 3. decembrī.</w:t>
            </w:r>
          </w:p>
        </w:tc>
      </w:tr>
      <w:tr w:rsidR="00457BB2" w:rsidRPr="009E2709" w:rsidTr="0045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gridSpan w:val="2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05" w:type="pct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89" w:type="pct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>
              <w:t>Viedokļi nav saņemti.</w:t>
            </w:r>
          </w:p>
        </w:tc>
      </w:tr>
      <w:tr w:rsidR="00457BB2" w:rsidRPr="009E2709" w:rsidTr="0045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gridSpan w:val="2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05" w:type="pct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89" w:type="pct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Viedokļi nav saņemti.</w:t>
            </w:r>
          </w:p>
        </w:tc>
      </w:tr>
      <w:tr w:rsidR="00457BB2" w:rsidRPr="009E2709" w:rsidTr="0045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gridSpan w:val="2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1405" w:type="pct"/>
          </w:tcPr>
          <w:p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89" w:type="pct"/>
          </w:tcPr>
          <w:p w:rsidR="00457BB2" w:rsidRPr="009E2709" w:rsidRDefault="00457BB2" w:rsidP="001D47DA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457BB2" w:rsidTr="00457BB2">
        <w:tc>
          <w:tcPr>
            <w:tcW w:w="499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0F47E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0F47E9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:rsidTr="00457BB2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9125DB" w:rsidTr="00457BB2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9E2709" w:rsidRDefault="00713C15" w:rsidP="004C1B2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9E2709" w:rsidRDefault="00603F7B" w:rsidP="00603F7B">
            <w:pPr>
              <w:pStyle w:val="naiskr"/>
              <w:spacing w:before="0" w:beforeAutospacing="0" w:after="0" w:afterAutospacing="0"/>
              <w:jc w:val="both"/>
            </w:pPr>
            <w:r>
              <w:t>Noteikumu p</w:t>
            </w:r>
            <w:r w:rsidR="001532AD">
              <w:t>rojekts šo jomu neskar.</w:t>
            </w:r>
          </w:p>
        </w:tc>
      </w:tr>
      <w:tr w:rsidR="005D73DE" w:rsidRPr="009E2709" w:rsidTr="00457BB2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E2709" w:rsidRPr="007C5DD0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:rsidR="004C7C51" w:rsidRPr="007C5DD0" w:rsidRDefault="004C7C51" w:rsidP="005D73DE">
      <w:pPr>
        <w:pStyle w:val="naisf"/>
        <w:spacing w:before="0" w:beforeAutospacing="0" w:after="0" w:afterAutospacing="0"/>
        <w:rPr>
          <w:lang w:val="lv-LV"/>
        </w:rPr>
      </w:pPr>
    </w:p>
    <w:p w:rsidR="00105AE2" w:rsidRPr="007C5DD0" w:rsidRDefault="00096D79" w:rsidP="007C5DD0">
      <w:pPr>
        <w:pStyle w:val="Virsraksts1"/>
        <w:keepNext w:val="0"/>
        <w:widowControl w:val="0"/>
        <w:jc w:val="left"/>
        <w:rPr>
          <w:b w:val="0"/>
          <w:sz w:val="24"/>
        </w:rPr>
      </w:pPr>
      <w:r w:rsidRPr="007C5DD0">
        <w:rPr>
          <w:b w:val="0"/>
          <w:sz w:val="24"/>
        </w:rPr>
        <w:t xml:space="preserve">Zemkopības </w:t>
      </w:r>
      <w:r w:rsidR="001532AD" w:rsidRPr="007C5DD0">
        <w:rPr>
          <w:b w:val="0"/>
          <w:sz w:val="24"/>
        </w:rPr>
        <w:t>ministrs</w:t>
      </w:r>
      <w:r w:rsidR="00105AE2" w:rsidRPr="007C5DD0">
        <w:rPr>
          <w:b w:val="0"/>
          <w:sz w:val="24"/>
        </w:rPr>
        <w:tab/>
      </w:r>
      <w:r w:rsidR="00A22819" w:rsidRPr="007C5DD0">
        <w:rPr>
          <w:b w:val="0"/>
          <w:sz w:val="24"/>
        </w:rPr>
        <w:tab/>
      </w:r>
      <w:r w:rsidR="007C5DD0">
        <w:rPr>
          <w:b w:val="0"/>
          <w:sz w:val="24"/>
        </w:rPr>
        <w:tab/>
      </w:r>
      <w:r w:rsidR="007C5DD0">
        <w:rPr>
          <w:b w:val="0"/>
          <w:sz w:val="24"/>
        </w:rPr>
        <w:tab/>
      </w:r>
      <w:r w:rsidR="007C5DD0">
        <w:rPr>
          <w:b w:val="0"/>
          <w:sz w:val="24"/>
        </w:rPr>
        <w:tab/>
      </w:r>
      <w:r w:rsidR="00A22819" w:rsidRPr="007C5DD0">
        <w:rPr>
          <w:b w:val="0"/>
          <w:sz w:val="24"/>
        </w:rPr>
        <w:tab/>
      </w:r>
      <w:r w:rsidR="00A22819" w:rsidRPr="007C5DD0">
        <w:rPr>
          <w:b w:val="0"/>
          <w:sz w:val="24"/>
        </w:rPr>
        <w:tab/>
      </w:r>
      <w:r w:rsidR="00A22819" w:rsidRPr="007C5DD0">
        <w:rPr>
          <w:b w:val="0"/>
          <w:sz w:val="24"/>
        </w:rPr>
        <w:tab/>
      </w:r>
      <w:r w:rsidR="00105AE2" w:rsidRPr="007C5DD0">
        <w:rPr>
          <w:b w:val="0"/>
          <w:sz w:val="24"/>
        </w:rPr>
        <w:tab/>
      </w:r>
      <w:proofErr w:type="spellStart"/>
      <w:r w:rsidR="001532AD" w:rsidRPr="007C5DD0">
        <w:rPr>
          <w:b w:val="0"/>
          <w:sz w:val="24"/>
        </w:rPr>
        <w:t>J.Dūklavs</w:t>
      </w:r>
      <w:proofErr w:type="spellEnd"/>
    </w:p>
    <w:p w:rsidR="004D267D" w:rsidRDefault="004D267D" w:rsidP="005D73DE">
      <w:pPr>
        <w:jc w:val="both"/>
        <w:rPr>
          <w:lang w:val="lv-LV"/>
        </w:rPr>
      </w:pPr>
    </w:p>
    <w:p w:rsidR="004C7C51" w:rsidRDefault="004C7C51" w:rsidP="005D73DE">
      <w:pPr>
        <w:jc w:val="both"/>
        <w:rPr>
          <w:lang w:val="lv-LV"/>
        </w:rPr>
      </w:pPr>
    </w:p>
    <w:p w:rsidR="007C5DD0" w:rsidRDefault="007C5DD0" w:rsidP="005D73DE">
      <w:pPr>
        <w:jc w:val="both"/>
        <w:rPr>
          <w:lang w:val="lv-LV"/>
        </w:rPr>
      </w:pPr>
    </w:p>
    <w:p w:rsidR="007C5DD0" w:rsidRDefault="007C5DD0" w:rsidP="005D73DE">
      <w:pPr>
        <w:jc w:val="both"/>
        <w:rPr>
          <w:lang w:val="lv-LV"/>
        </w:rPr>
      </w:pPr>
    </w:p>
    <w:p w:rsidR="007C5DD0" w:rsidRDefault="007C5DD0" w:rsidP="005D73DE">
      <w:pPr>
        <w:jc w:val="both"/>
        <w:rPr>
          <w:lang w:val="lv-LV"/>
        </w:rPr>
      </w:pPr>
    </w:p>
    <w:p w:rsidR="007C5DD0" w:rsidRDefault="007C5DD0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17.12.2015. 15:23</w:t>
      </w:r>
    </w:p>
    <w:p w:rsidR="007C5DD0" w:rsidRDefault="007C5DD0" w:rsidP="001532A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999</w:t>
      </w:r>
      <w:r>
        <w:rPr>
          <w:sz w:val="20"/>
          <w:szCs w:val="20"/>
        </w:rPr>
        <w:fldChar w:fldCharType="end"/>
      </w:r>
    </w:p>
    <w:p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1532AD">
        <w:rPr>
          <w:sz w:val="20"/>
          <w:szCs w:val="20"/>
          <w:lang w:val="lv-LV"/>
        </w:rPr>
        <w:t>O.Vecuma-Veco</w:t>
      </w:r>
    </w:p>
    <w:p w:rsidR="00C20792" w:rsidRPr="007C5DD0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67027551, Olita.Vecuma-Veco@zm.gov.lv</w:t>
      </w:r>
    </w:p>
    <w:sectPr w:rsidR="00C20792" w:rsidRPr="007C5DD0" w:rsidSect="007C5DD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CA" w:rsidRDefault="004164CA">
      <w:r>
        <w:separator/>
      </w:r>
    </w:p>
  </w:endnote>
  <w:endnote w:type="continuationSeparator" w:id="0">
    <w:p w:rsidR="004164CA" w:rsidRDefault="0041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2A" w:rsidRPr="004C1B2A" w:rsidRDefault="0031149B" w:rsidP="004C1B2A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3C1714">
      <w:rPr>
        <w:sz w:val="20"/>
        <w:szCs w:val="20"/>
        <w:lang w:val="lv-LV"/>
      </w:rPr>
      <w:t>anot_17</w:t>
    </w:r>
    <w:r w:rsidR="00221C75">
      <w:rPr>
        <w:sz w:val="20"/>
        <w:szCs w:val="20"/>
        <w:lang w:val="lv-LV"/>
      </w:rPr>
      <w:t>12</w:t>
    </w:r>
    <w:r w:rsidRPr="00A17DD9">
      <w:rPr>
        <w:sz w:val="20"/>
        <w:szCs w:val="20"/>
        <w:lang w:val="lv-LV"/>
      </w:rPr>
      <w:t>1</w:t>
    </w:r>
    <w:r w:rsidR="00EF74B6">
      <w:rPr>
        <w:sz w:val="20"/>
        <w:szCs w:val="20"/>
        <w:lang w:val="lv-LV"/>
      </w:rPr>
      <w:t>5</w:t>
    </w:r>
    <w:r w:rsidR="004C1B2A">
      <w:rPr>
        <w:sz w:val="20"/>
        <w:szCs w:val="20"/>
        <w:lang w:val="lv-LV"/>
      </w:rPr>
      <w:t>_putnugripa</w:t>
    </w:r>
    <w:r w:rsidRPr="00A17DD9">
      <w:rPr>
        <w:sz w:val="20"/>
        <w:szCs w:val="20"/>
        <w:lang w:val="lv-LV"/>
      </w:rPr>
      <w:t xml:space="preserve">; </w:t>
    </w:r>
    <w:r w:rsidR="004C1B2A">
      <w:rPr>
        <w:sz w:val="20"/>
        <w:szCs w:val="20"/>
        <w:lang w:val="lv-LV"/>
      </w:rPr>
      <w:t>Ministru kabineta noteikumu projekta “</w:t>
    </w:r>
    <w:r w:rsidR="004C1B2A" w:rsidRPr="004C1B2A">
      <w:rPr>
        <w:sz w:val="20"/>
        <w:szCs w:val="20"/>
        <w:lang w:val="lv-LV"/>
      </w:rPr>
      <w:t xml:space="preserve">Grozījums Ministru kabineta </w:t>
    </w:r>
    <w:proofErr w:type="gramStart"/>
    <w:r w:rsidR="004C1B2A" w:rsidRPr="004C1B2A">
      <w:rPr>
        <w:sz w:val="20"/>
        <w:szCs w:val="20"/>
        <w:lang w:val="lv-LV"/>
      </w:rPr>
      <w:t>2007.gada</w:t>
    </w:r>
    <w:proofErr w:type="gramEnd"/>
    <w:r w:rsidR="004C1B2A" w:rsidRPr="004C1B2A">
      <w:rPr>
        <w:sz w:val="20"/>
        <w:szCs w:val="20"/>
        <w:lang w:val="lv-LV"/>
      </w:rPr>
      <w:t xml:space="preserve"> 19.jūnija noteikumos Nr.405 „</w:t>
    </w:r>
    <w:r w:rsidR="004C1B2A" w:rsidRPr="004C1B2A">
      <w:rPr>
        <w:bCs/>
        <w:sz w:val="20"/>
        <w:szCs w:val="20"/>
        <w:lang w:val="lv-LV"/>
      </w:rPr>
      <w:t>Putnu gripas uzliesmojuma likvidēšanas un draudu novēršanas kārtība</w:t>
    </w:r>
    <w:r w:rsidR="004C1B2A" w:rsidRPr="004C1B2A">
      <w:rPr>
        <w:sz w:val="20"/>
        <w:szCs w:val="20"/>
        <w:lang w:val="lv-LV"/>
      </w:rPr>
      <w:t>”</w:t>
    </w:r>
    <w:r w:rsidR="004C1B2A">
      <w:rPr>
        <w:sz w:val="20"/>
        <w:szCs w:val="20"/>
        <w:lang w:val="lv-LV"/>
      </w:rPr>
      <w:t>”</w:t>
    </w:r>
  </w:p>
  <w:p w:rsidR="0031149B" w:rsidRPr="001532AD" w:rsidRDefault="0031149B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2A" w:rsidRPr="004C1B2A" w:rsidRDefault="004C1B2A" w:rsidP="004C1B2A">
    <w:pPr>
      <w:pStyle w:val="Kjene"/>
      <w:rPr>
        <w:rFonts w:ascii="Times New Roman" w:hAnsi="Times New Roman"/>
        <w:sz w:val="20"/>
      </w:rPr>
    </w:pPr>
    <w:r w:rsidRPr="004C1B2A">
      <w:rPr>
        <w:rFonts w:ascii="Times New Roman" w:hAnsi="Times New Roman"/>
        <w:sz w:val="20"/>
      </w:rPr>
      <w:t>Z</w:t>
    </w:r>
    <w:r w:rsidR="003C1714">
      <w:rPr>
        <w:rFonts w:ascii="Times New Roman" w:hAnsi="Times New Roman"/>
        <w:sz w:val="20"/>
      </w:rPr>
      <w:t>Manot_17</w:t>
    </w:r>
    <w:r w:rsidR="00221C75">
      <w:rPr>
        <w:rFonts w:ascii="Times New Roman" w:hAnsi="Times New Roman"/>
        <w:sz w:val="20"/>
      </w:rPr>
      <w:t>12</w:t>
    </w:r>
    <w:r w:rsidRPr="004C1B2A">
      <w:rPr>
        <w:rFonts w:ascii="Times New Roman" w:hAnsi="Times New Roman"/>
        <w:sz w:val="20"/>
      </w:rPr>
      <w:t xml:space="preserve">15_putnugripa; Ministru kabineta noteikumu projekta “Grozījums Ministru kabineta </w:t>
    </w:r>
    <w:proofErr w:type="gramStart"/>
    <w:r w:rsidRPr="004C1B2A">
      <w:rPr>
        <w:rFonts w:ascii="Times New Roman" w:hAnsi="Times New Roman"/>
        <w:sz w:val="20"/>
      </w:rPr>
      <w:t>2007.gada</w:t>
    </w:r>
    <w:proofErr w:type="gramEnd"/>
    <w:r w:rsidRPr="004C1B2A">
      <w:rPr>
        <w:rFonts w:ascii="Times New Roman" w:hAnsi="Times New Roman"/>
        <w:sz w:val="20"/>
      </w:rPr>
      <w:t xml:space="preserve"> 19.jūnija noteikumos Nr.405 „</w:t>
    </w:r>
    <w:r w:rsidRPr="004C1B2A">
      <w:rPr>
        <w:rFonts w:ascii="Times New Roman" w:hAnsi="Times New Roman"/>
        <w:bCs/>
        <w:sz w:val="20"/>
      </w:rPr>
      <w:t>Putnu gripas uzliesmojuma likvidēšanas un draudu novēršanas kārtība</w:t>
    </w:r>
    <w:r w:rsidRPr="004C1B2A">
      <w:rPr>
        <w:rFonts w:ascii="Times New Roman" w:hAnsi="Times New Roman"/>
        <w:sz w:val="20"/>
      </w:rPr>
      <w:t>””</w:t>
    </w:r>
  </w:p>
  <w:p w:rsidR="0031149B" w:rsidRPr="004C1B2A" w:rsidRDefault="004C1B2A" w:rsidP="004C1B2A">
    <w:pPr>
      <w:pStyle w:val="Kjene"/>
      <w:rPr>
        <w:rFonts w:ascii="Times New Roman" w:hAnsi="Times New Roman"/>
      </w:rPr>
    </w:pPr>
    <w:r w:rsidRPr="004C1B2A">
      <w:rPr>
        <w:rFonts w:ascii="Times New Roman" w:hAnsi="Times New Roman"/>
        <w:sz w:val="20"/>
      </w:rPr>
      <w:t>sākotnējās ietekmes novērtējuma ziņojums</w:t>
    </w:r>
    <w:r w:rsidRPr="004C1B2A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CA" w:rsidRDefault="004164CA">
      <w:r>
        <w:separator/>
      </w:r>
    </w:p>
  </w:footnote>
  <w:footnote w:type="continuationSeparator" w:id="0">
    <w:p w:rsidR="004164CA" w:rsidRDefault="0041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5DD0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3E75"/>
    <w:rsid w:val="00004B99"/>
    <w:rsid w:val="00004DF0"/>
    <w:rsid w:val="00005589"/>
    <w:rsid w:val="00011500"/>
    <w:rsid w:val="0001274B"/>
    <w:rsid w:val="00012769"/>
    <w:rsid w:val="000147B2"/>
    <w:rsid w:val="00015A39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EE5"/>
    <w:rsid w:val="000463AC"/>
    <w:rsid w:val="00046472"/>
    <w:rsid w:val="00054536"/>
    <w:rsid w:val="00056991"/>
    <w:rsid w:val="00057FBC"/>
    <w:rsid w:val="0006719B"/>
    <w:rsid w:val="0007255F"/>
    <w:rsid w:val="00072622"/>
    <w:rsid w:val="00074423"/>
    <w:rsid w:val="000744AE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47E9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E4A"/>
    <w:rsid w:val="0011310D"/>
    <w:rsid w:val="0011601E"/>
    <w:rsid w:val="00116784"/>
    <w:rsid w:val="001177FE"/>
    <w:rsid w:val="001178E3"/>
    <w:rsid w:val="00122B9A"/>
    <w:rsid w:val="001304F1"/>
    <w:rsid w:val="001306C1"/>
    <w:rsid w:val="0013088C"/>
    <w:rsid w:val="001316FA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201"/>
    <w:rsid w:val="00150011"/>
    <w:rsid w:val="0015254E"/>
    <w:rsid w:val="001532AD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0801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200B32"/>
    <w:rsid w:val="002027AF"/>
    <w:rsid w:val="00203134"/>
    <w:rsid w:val="002043DB"/>
    <w:rsid w:val="00205C1E"/>
    <w:rsid w:val="0020639A"/>
    <w:rsid w:val="00210E44"/>
    <w:rsid w:val="00212025"/>
    <w:rsid w:val="0021306B"/>
    <w:rsid w:val="0021364F"/>
    <w:rsid w:val="00221C75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07EA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3977"/>
    <w:rsid w:val="002849D1"/>
    <w:rsid w:val="00286469"/>
    <w:rsid w:val="0029114F"/>
    <w:rsid w:val="002915A2"/>
    <w:rsid w:val="00294063"/>
    <w:rsid w:val="0029410D"/>
    <w:rsid w:val="00294367"/>
    <w:rsid w:val="0029700C"/>
    <w:rsid w:val="00297244"/>
    <w:rsid w:val="002979F1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7CF9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3410"/>
    <w:rsid w:val="0032382E"/>
    <w:rsid w:val="00326D8C"/>
    <w:rsid w:val="003309B4"/>
    <w:rsid w:val="0033350D"/>
    <w:rsid w:val="00333737"/>
    <w:rsid w:val="003352D4"/>
    <w:rsid w:val="003353AA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379"/>
    <w:rsid w:val="003A68EB"/>
    <w:rsid w:val="003B4687"/>
    <w:rsid w:val="003B6C47"/>
    <w:rsid w:val="003C1714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1930"/>
    <w:rsid w:val="003E1A05"/>
    <w:rsid w:val="003E36E3"/>
    <w:rsid w:val="003E42F6"/>
    <w:rsid w:val="003E745F"/>
    <w:rsid w:val="003F02D7"/>
    <w:rsid w:val="003F1B23"/>
    <w:rsid w:val="003F21DA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64CA"/>
    <w:rsid w:val="0041773E"/>
    <w:rsid w:val="004208C4"/>
    <w:rsid w:val="00421107"/>
    <w:rsid w:val="00421F53"/>
    <w:rsid w:val="00422143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6A04"/>
    <w:rsid w:val="00437C04"/>
    <w:rsid w:val="004412D9"/>
    <w:rsid w:val="00443182"/>
    <w:rsid w:val="0044545F"/>
    <w:rsid w:val="004477F4"/>
    <w:rsid w:val="00453031"/>
    <w:rsid w:val="00454E19"/>
    <w:rsid w:val="00457BB2"/>
    <w:rsid w:val="00457FF3"/>
    <w:rsid w:val="00460952"/>
    <w:rsid w:val="00461A70"/>
    <w:rsid w:val="0046268C"/>
    <w:rsid w:val="0046446B"/>
    <w:rsid w:val="004645B8"/>
    <w:rsid w:val="00464F3F"/>
    <w:rsid w:val="00467FF3"/>
    <w:rsid w:val="004706C4"/>
    <w:rsid w:val="004727CF"/>
    <w:rsid w:val="00473AB2"/>
    <w:rsid w:val="00473DBB"/>
    <w:rsid w:val="00474A28"/>
    <w:rsid w:val="004751A0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091"/>
    <w:rsid w:val="004A19ED"/>
    <w:rsid w:val="004A4BC4"/>
    <w:rsid w:val="004A54FF"/>
    <w:rsid w:val="004A62E4"/>
    <w:rsid w:val="004A7293"/>
    <w:rsid w:val="004B0C51"/>
    <w:rsid w:val="004B3171"/>
    <w:rsid w:val="004B55B6"/>
    <w:rsid w:val="004B6F89"/>
    <w:rsid w:val="004B7338"/>
    <w:rsid w:val="004C07F8"/>
    <w:rsid w:val="004C1820"/>
    <w:rsid w:val="004C1B2A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E0F9E"/>
    <w:rsid w:val="004E202E"/>
    <w:rsid w:val="004E4242"/>
    <w:rsid w:val="004E78C9"/>
    <w:rsid w:val="004F158A"/>
    <w:rsid w:val="004F1BDB"/>
    <w:rsid w:val="004F2EFC"/>
    <w:rsid w:val="004F407F"/>
    <w:rsid w:val="0050091A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174AF"/>
    <w:rsid w:val="005206CF"/>
    <w:rsid w:val="00521C50"/>
    <w:rsid w:val="0052640F"/>
    <w:rsid w:val="00526F5F"/>
    <w:rsid w:val="00532F5F"/>
    <w:rsid w:val="0053351C"/>
    <w:rsid w:val="0053460D"/>
    <w:rsid w:val="0053651B"/>
    <w:rsid w:val="00537316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7B70"/>
    <w:rsid w:val="00570BD3"/>
    <w:rsid w:val="00571E48"/>
    <w:rsid w:val="00572BC9"/>
    <w:rsid w:val="0057449E"/>
    <w:rsid w:val="00575B15"/>
    <w:rsid w:val="00581A16"/>
    <w:rsid w:val="005820CE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2A04"/>
    <w:rsid w:val="005A3B29"/>
    <w:rsid w:val="005A6AF8"/>
    <w:rsid w:val="005A71C2"/>
    <w:rsid w:val="005A7D0E"/>
    <w:rsid w:val="005B0543"/>
    <w:rsid w:val="005B1AAA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1986"/>
    <w:rsid w:val="005F548A"/>
    <w:rsid w:val="005F571F"/>
    <w:rsid w:val="00602628"/>
    <w:rsid w:val="00603F7B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28E"/>
    <w:rsid w:val="00631891"/>
    <w:rsid w:val="00633C24"/>
    <w:rsid w:val="00634084"/>
    <w:rsid w:val="006342C4"/>
    <w:rsid w:val="006345D8"/>
    <w:rsid w:val="00634701"/>
    <w:rsid w:val="00637747"/>
    <w:rsid w:val="0063784C"/>
    <w:rsid w:val="00637DC1"/>
    <w:rsid w:val="006409CE"/>
    <w:rsid w:val="0064573A"/>
    <w:rsid w:val="00645761"/>
    <w:rsid w:val="00651925"/>
    <w:rsid w:val="00653C1C"/>
    <w:rsid w:val="00654998"/>
    <w:rsid w:val="00655ACE"/>
    <w:rsid w:val="00655BA4"/>
    <w:rsid w:val="00655EBB"/>
    <w:rsid w:val="00656C23"/>
    <w:rsid w:val="00657962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7712"/>
    <w:rsid w:val="00680B20"/>
    <w:rsid w:val="00680E5A"/>
    <w:rsid w:val="0068171E"/>
    <w:rsid w:val="00681AA8"/>
    <w:rsid w:val="00683A17"/>
    <w:rsid w:val="00683E47"/>
    <w:rsid w:val="00684DF8"/>
    <w:rsid w:val="0069043D"/>
    <w:rsid w:val="00691CB0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4629"/>
    <w:rsid w:val="006B574E"/>
    <w:rsid w:val="006B581B"/>
    <w:rsid w:val="006B6730"/>
    <w:rsid w:val="006B7B67"/>
    <w:rsid w:val="006B7EA9"/>
    <w:rsid w:val="006C0110"/>
    <w:rsid w:val="006C0A3A"/>
    <w:rsid w:val="006C172A"/>
    <w:rsid w:val="006C21FF"/>
    <w:rsid w:val="006C34C4"/>
    <w:rsid w:val="006C6551"/>
    <w:rsid w:val="006D02E2"/>
    <w:rsid w:val="006D1AD8"/>
    <w:rsid w:val="006D42DC"/>
    <w:rsid w:val="006D4AD9"/>
    <w:rsid w:val="006D5174"/>
    <w:rsid w:val="006D5E50"/>
    <w:rsid w:val="006E0585"/>
    <w:rsid w:val="006E3915"/>
    <w:rsid w:val="006E4A20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80D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C1935"/>
    <w:rsid w:val="007C3E31"/>
    <w:rsid w:val="007C4B74"/>
    <w:rsid w:val="007C5DD0"/>
    <w:rsid w:val="007C77C6"/>
    <w:rsid w:val="007D0664"/>
    <w:rsid w:val="007D3B45"/>
    <w:rsid w:val="007D44C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7D05"/>
    <w:rsid w:val="00801836"/>
    <w:rsid w:val="00801D1A"/>
    <w:rsid w:val="00805453"/>
    <w:rsid w:val="00807460"/>
    <w:rsid w:val="00810D6E"/>
    <w:rsid w:val="00810FD8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33A9"/>
    <w:rsid w:val="008A4B6E"/>
    <w:rsid w:val="008A54A5"/>
    <w:rsid w:val="008B07A1"/>
    <w:rsid w:val="008B0F1E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36E0"/>
    <w:rsid w:val="009125DB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989"/>
    <w:rsid w:val="00965F99"/>
    <w:rsid w:val="00967B46"/>
    <w:rsid w:val="00970789"/>
    <w:rsid w:val="0097195C"/>
    <w:rsid w:val="00975D4C"/>
    <w:rsid w:val="009816F5"/>
    <w:rsid w:val="00982973"/>
    <w:rsid w:val="0098399E"/>
    <w:rsid w:val="00983B1F"/>
    <w:rsid w:val="00985B95"/>
    <w:rsid w:val="0099066A"/>
    <w:rsid w:val="0099390A"/>
    <w:rsid w:val="00996A3D"/>
    <w:rsid w:val="009A24CA"/>
    <w:rsid w:val="009A49E1"/>
    <w:rsid w:val="009A678E"/>
    <w:rsid w:val="009A7AFC"/>
    <w:rsid w:val="009B071B"/>
    <w:rsid w:val="009B3028"/>
    <w:rsid w:val="009B3D43"/>
    <w:rsid w:val="009B4F7D"/>
    <w:rsid w:val="009B7FF9"/>
    <w:rsid w:val="009C2A21"/>
    <w:rsid w:val="009C3E14"/>
    <w:rsid w:val="009C61C1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4C1C"/>
    <w:rsid w:val="009E76E9"/>
    <w:rsid w:val="009F3D1F"/>
    <w:rsid w:val="009F4C7E"/>
    <w:rsid w:val="009F5B68"/>
    <w:rsid w:val="00A0091D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5A60"/>
    <w:rsid w:val="00AC0691"/>
    <w:rsid w:val="00AC18A0"/>
    <w:rsid w:val="00AC2439"/>
    <w:rsid w:val="00AC7264"/>
    <w:rsid w:val="00AD3AF0"/>
    <w:rsid w:val="00AD3FDA"/>
    <w:rsid w:val="00AE02A3"/>
    <w:rsid w:val="00AE3ECB"/>
    <w:rsid w:val="00AE500B"/>
    <w:rsid w:val="00AF1735"/>
    <w:rsid w:val="00AF66A5"/>
    <w:rsid w:val="00AF7992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26C16"/>
    <w:rsid w:val="00B26E52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EA8"/>
    <w:rsid w:val="00B6023B"/>
    <w:rsid w:val="00B61C51"/>
    <w:rsid w:val="00B61E57"/>
    <w:rsid w:val="00B63B5F"/>
    <w:rsid w:val="00B64C44"/>
    <w:rsid w:val="00B64EEF"/>
    <w:rsid w:val="00B65FEE"/>
    <w:rsid w:val="00B66D04"/>
    <w:rsid w:val="00B67002"/>
    <w:rsid w:val="00B71D8C"/>
    <w:rsid w:val="00B736F5"/>
    <w:rsid w:val="00B75F5C"/>
    <w:rsid w:val="00B77BE8"/>
    <w:rsid w:val="00B829FB"/>
    <w:rsid w:val="00B82F71"/>
    <w:rsid w:val="00B83230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513C"/>
    <w:rsid w:val="00BA6631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6039"/>
    <w:rsid w:val="00BD6E6E"/>
    <w:rsid w:val="00BD7395"/>
    <w:rsid w:val="00BD7692"/>
    <w:rsid w:val="00BE26B5"/>
    <w:rsid w:val="00BE2EDE"/>
    <w:rsid w:val="00BE3ED7"/>
    <w:rsid w:val="00BE4408"/>
    <w:rsid w:val="00BE594B"/>
    <w:rsid w:val="00BE7DED"/>
    <w:rsid w:val="00BE7E71"/>
    <w:rsid w:val="00BF0AB8"/>
    <w:rsid w:val="00BF407A"/>
    <w:rsid w:val="00BF49C9"/>
    <w:rsid w:val="00BF50BA"/>
    <w:rsid w:val="00C018B4"/>
    <w:rsid w:val="00C01D97"/>
    <w:rsid w:val="00C0292C"/>
    <w:rsid w:val="00C03D98"/>
    <w:rsid w:val="00C05396"/>
    <w:rsid w:val="00C07314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3837"/>
    <w:rsid w:val="00C76CD0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867"/>
    <w:rsid w:val="00CC5A4B"/>
    <w:rsid w:val="00CC6D1C"/>
    <w:rsid w:val="00CC709B"/>
    <w:rsid w:val="00CD02E8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D005C1"/>
    <w:rsid w:val="00D0116A"/>
    <w:rsid w:val="00D016CE"/>
    <w:rsid w:val="00D026C2"/>
    <w:rsid w:val="00D03D95"/>
    <w:rsid w:val="00D042D0"/>
    <w:rsid w:val="00D062E2"/>
    <w:rsid w:val="00D069FC"/>
    <w:rsid w:val="00D073A2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325"/>
    <w:rsid w:val="00D31E5B"/>
    <w:rsid w:val="00D32FFA"/>
    <w:rsid w:val="00D34862"/>
    <w:rsid w:val="00D37002"/>
    <w:rsid w:val="00D45515"/>
    <w:rsid w:val="00D50196"/>
    <w:rsid w:val="00D509B4"/>
    <w:rsid w:val="00D52BB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5642"/>
    <w:rsid w:val="00DD60C1"/>
    <w:rsid w:val="00DD7EA0"/>
    <w:rsid w:val="00DE0C6C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4CDF"/>
    <w:rsid w:val="00E2125C"/>
    <w:rsid w:val="00E212B0"/>
    <w:rsid w:val="00E2273F"/>
    <w:rsid w:val="00E22EFF"/>
    <w:rsid w:val="00E312B1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6B01"/>
    <w:rsid w:val="00E57F7B"/>
    <w:rsid w:val="00E61540"/>
    <w:rsid w:val="00E61761"/>
    <w:rsid w:val="00E61AD5"/>
    <w:rsid w:val="00E63114"/>
    <w:rsid w:val="00E664C7"/>
    <w:rsid w:val="00E666F4"/>
    <w:rsid w:val="00E677AB"/>
    <w:rsid w:val="00E73750"/>
    <w:rsid w:val="00E77B06"/>
    <w:rsid w:val="00E800E6"/>
    <w:rsid w:val="00E81221"/>
    <w:rsid w:val="00E82751"/>
    <w:rsid w:val="00E850A5"/>
    <w:rsid w:val="00E85136"/>
    <w:rsid w:val="00E8584F"/>
    <w:rsid w:val="00E900CF"/>
    <w:rsid w:val="00E90845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3684"/>
    <w:rsid w:val="00EA4AD5"/>
    <w:rsid w:val="00EB078B"/>
    <w:rsid w:val="00EB346F"/>
    <w:rsid w:val="00EB35CE"/>
    <w:rsid w:val="00EB395A"/>
    <w:rsid w:val="00EB4DFC"/>
    <w:rsid w:val="00EB59AA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CD7"/>
    <w:rsid w:val="00EE0E6E"/>
    <w:rsid w:val="00EE34B2"/>
    <w:rsid w:val="00EE5A45"/>
    <w:rsid w:val="00EE5B1D"/>
    <w:rsid w:val="00EE6AA3"/>
    <w:rsid w:val="00EE7139"/>
    <w:rsid w:val="00EF22FA"/>
    <w:rsid w:val="00EF3C41"/>
    <w:rsid w:val="00EF74B6"/>
    <w:rsid w:val="00EF7A30"/>
    <w:rsid w:val="00F01AFC"/>
    <w:rsid w:val="00F040F5"/>
    <w:rsid w:val="00F0454C"/>
    <w:rsid w:val="00F10386"/>
    <w:rsid w:val="00F10CA9"/>
    <w:rsid w:val="00F13546"/>
    <w:rsid w:val="00F15953"/>
    <w:rsid w:val="00F15B4A"/>
    <w:rsid w:val="00F17899"/>
    <w:rsid w:val="00F20442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4461"/>
    <w:rsid w:val="00FE4D8A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6EE91F-A1D3-4298-B911-CE4F036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6812</Characters>
  <Application>Microsoft Office Word</Application>
  <DocSecurity>0</DocSecurity>
  <Lines>324</Lines>
  <Paragraphs>130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Olita Vecuma-Veco</dc:creator>
  <dc:description>___________.___________@zm.gov.lv
tālr. ________________</dc:description>
  <cp:lastModifiedBy>Antra Dāldere</cp:lastModifiedBy>
  <cp:revision>5</cp:revision>
  <cp:lastPrinted>2010-10-15T13:18:00Z</cp:lastPrinted>
  <dcterms:created xsi:type="dcterms:W3CDTF">2015-12-04T08:38:00Z</dcterms:created>
  <dcterms:modified xsi:type="dcterms:W3CDTF">2015-12-17T13:24:00Z</dcterms:modified>
</cp:coreProperties>
</file>