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006C0" w14:textId="77777777" w:rsidR="0018086A" w:rsidRDefault="0018086A">
      <w:pPr>
        <w:jc w:val="center"/>
        <w:rPr>
          <w:b/>
          <w:sz w:val="28"/>
          <w:szCs w:val="28"/>
        </w:rPr>
      </w:pPr>
      <w:r>
        <w:rPr>
          <w:b/>
          <w:sz w:val="28"/>
          <w:szCs w:val="28"/>
        </w:rPr>
        <w:t xml:space="preserve">Likumprojekta </w:t>
      </w:r>
    </w:p>
    <w:p w14:paraId="556FD083" w14:textId="77777777" w:rsidR="00C102FC" w:rsidRDefault="0018086A" w:rsidP="003E422F">
      <w:pPr>
        <w:pStyle w:val="naislab"/>
        <w:jc w:val="center"/>
        <w:outlineLvl w:val="0"/>
        <w:rPr>
          <w:b/>
          <w:bCs/>
          <w:sz w:val="28"/>
          <w:szCs w:val="28"/>
        </w:rPr>
      </w:pPr>
      <w:r>
        <w:rPr>
          <w:b/>
          <w:bCs/>
          <w:sz w:val="28"/>
          <w:szCs w:val="28"/>
        </w:rPr>
        <w:t>"</w:t>
      </w:r>
      <w:r w:rsidR="000E639F">
        <w:rPr>
          <w:b/>
          <w:bCs/>
          <w:sz w:val="28"/>
          <w:szCs w:val="28"/>
        </w:rPr>
        <w:t>Grozījumi F</w:t>
      </w:r>
      <w:r w:rsidR="00CE5F93">
        <w:rPr>
          <w:b/>
          <w:bCs/>
          <w:sz w:val="28"/>
          <w:szCs w:val="28"/>
        </w:rPr>
        <w:t>inanšu instrumentu tirgus likumā</w:t>
      </w:r>
      <w:r w:rsidR="005B64FE">
        <w:rPr>
          <w:b/>
          <w:bCs/>
          <w:sz w:val="28"/>
          <w:szCs w:val="28"/>
        </w:rPr>
        <w:t>"</w:t>
      </w:r>
    </w:p>
    <w:p w14:paraId="3D9F11F3" w14:textId="77777777" w:rsidR="003E422F" w:rsidRPr="003E422F" w:rsidRDefault="003E422F" w:rsidP="003E422F">
      <w:pPr>
        <w:pStyle w:val="naislab"/>
        <w:jc w:val="center"/>
        <w:outlineLvl w:val="0"/>
        <w:rPr>
          <w:b/>
          <w:bCs/>
          <w:sz w:val="28"/>
          <w:szCs w:val="28"/>
        </w:rPr>
      </w:pPr>
      <w:r w:rsidRPr="003E422F">
        <w:rPr>
          <w:b/>
          <w:bCs/>
          <w:sz w:val="28"/>
          <w:szCs w:val="28"/>
        </w:rPr>
        <w:t>sākotnējās ietekmes novērtējuma ziņojums</w:t>
      </w:r>
    </w:p>
    <w:p w14:paraId="1A806162" w14:textId="77777777" w:rsidR="0018086A" w:rsidRPr="003E422F" w:rsidRDefault="003E422F" w:rsidP="003E422F">
      <w:pPr>
        <w:pStyle w:val="naislab"/>
        <w:jc w:val="center"/>
        <w:outlineLvl w:val="0"/>
        <w:rPr>
          <w:b/>
          <w:bCs/>
          <w:sz w:val="28"/>
          <w:szCs w:val="28"/>
        </w:rPr>
      </w:pPr>
      <w:r w:rsidRPr="003E422F">
        <w:rPr>
          <w:b/>
          <w:bCs/>
          <w:sz w:val="28"/>
          <w:szCs w:val="28"/>
        </w:rPr>
        <w:t>(anotācija)</w:t>
      </w:r>
    </w:p>
    <w:p w14:paraId="4A24B8BA" w14:textId="77777777" w:rsidR="0018086A" w:rsidRDefault="0018086A">
      <w:pPr>
        <w:pStyle w:val="naislab"/>
        <w:spacing w:before="0" w:after="0"/>
        <w:jc w:val="center"/>
        <w:outlineLvl w:val="0"/>
        <w:rPr>
          <w:b/>
          <w:sz w:val="28"/>
          <w:szCs w:val="28"/>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1908"/>
        <w:gridCol w:w="6941"/>
      </w:tblGrid>
      <w:tr w:rsidR="0018086A" w14:paraId="222F169B" w14:textId="77777777">
        <w:trPr>
          <w:trHeight w:val="51"/>
          <w:jc w:val="center"/>
        </w:trPr>
        <w:tc>
          <w:tcPr>
            <w:tcW w:w="9348" w:type="dxa"/>
            <w:gridSpan w:val="3"/>
            <w:vAlign w:val="center"/>
          </w:tcPr>
          <w:p w14:paraId="7DCFA663" w14:textId="77777777" w:rsidR="0018086A" w:rsidRDefault="0018086A">
            <w:pPr>
              <w:pStyle w:val="naisnod"/>
              <w:spacing w:before="0" w:after="120"/>
            </w:pPr>
            <w:r>
              <w:t>I. Tiesību akta projekta izstrādes nepieciešamība</w:t>
            </w:r>
          </w:p>
        </w:tc>
      </w:tr>
      <w:tr w:rsidR="00CE5F93" w14:paraId="659A794F" w14:textId="77777777">
        <w:trPr>
          <w:trHeight w:val="224"/>
          <w:jc w:val="center"/>
        </w:trPr>
        <w:tc>
          <w:tcPr>
            <w:tcW w:w="499" w:type="dxa"/>
          </w:tcPr>
          <w:p w14:paraId="03830EDB" w14:textId="77777777" w:rsidR="00CE5F93" w:rsidRDefault="00CE5F93">
            <w:pPr>
              <w:pStyle w:val="naiskr"/>
              <w:spacing w:before="0" w:after="0"/>
              <w:jc w:val="center"/>
            </w:pPr>
            <w:r>
              <w:t>1.</w:t>
            </w:r>
          </w:p>
        </w:tc>
        <w:tc>
          <w:tcPr>
            <w:tcW w:w="1908" w:type="dxa"/>
          </w:tcPr>
          <w:p w14:paraId="55DD932A" w14:textId="77777777" w:rsidR="00CE5F93" w:rsidRDefault="00CE5F93">
            <w:pPr>
              <w:pStyle w:val="naiskr"/>
              <w:spacing w:before="0" w:after="0"/>
              <w:ind w:left="193" w:hanging="10"/>
              <w:jc w:val="both"/>
            </w:pPr>
            <w:r>
              <w:t>Pamatojums</w:t>
            </w:r>
          </w:p>
        </w:tc>
        <w:tc>
          <w:tcPr>
            <w:tcW w:w="6941" w:type="dxa"/>
          </w:tcPr>
          <w:p w14:paraId="7A1E7D6B" w14:textId="77777777" w:rsidR="00CE5F93" w:rsidRDefault="00CE5F93" w:rsidP="006F324E">
            <w:pPr>
              <w:spacing w:before="100" w:beforeAutospacing="1" w:after="100" w:afterAutospacing="1"/>
              <w:jc w:val="both"/>
            </w:pPr>
            <w:r w:rsidRPr="00486CB0">
              <w:t>Likumprojekts "</w:t>
            </w:r>
            <w:r>
              <w:t>Grozījumi Finanšu instrumentu tirgus likumā</w:t>
            </w:r>
            <w:r w:rsidRPr="00486CB0">
              <w:t>" (turpmāk – Likumprojekts) izstrādāts</w:t>
            </w:r>
            <w:r>
              <w:t>:</w:t>
            </w:r>
          </w:p>
          <w:p w14:paraId="7EBE657B" w14:textId="5A660FE2" w:rsidR="00CE5F93" w:rsidRDefault="00CE5F93" w:rsidP="006F324E">
            <w:pPr>
              <w:spacing w:before="100" w:beforeAutospacing="1" w:after="100" w:afterAutospacing="1"/>
              <w:jc w:val="both"/>
            </w:pPr>
            <w:r>
              <w:t>1</w:t>
            </w:r>
            <w:r w:rsidR="000E639F">
              <w:t>)</w:t>
            </w:r>
            <w:r>
              <w:t>  lai</w:t>
            </w:r>
            <w:r w:rsidRPr="00486CB0">
              <w:t xml:space="preserve"> pārņemt</w:t>
            </w:r>
            <w:r>
              <w:t>u</w:t>
            </w:r>
            <w:r w:rsidRPr="00486CB0">
              <w:t xml:space="preserve"> </w:t>
            </w:r>
            <w:r w:rsidRPr="003B2C8B">
              <w:t>E</w:t>
            </w:r>
            <w:r>
              <w:t xml:space="preserve">iropas Parlamenta un Padomes 2013. gada 22. oktobra direktīvas </w:t>
            </w:r>
            <w:r w:rsidRPr="003B2C8B">
              <w:t>2013/50/ES, ar kuru groza Eiropas Parlamenta un Padomes Direktīvu 2004/109/EK par atklātības prasību saskaņošanu attiecībā uz informāciju par emitentiem, kuru vērtspapīrus atļauts tirgot regulētā tirgū, Eiropas Parlamenta un Padomes Direktīvu 2003/71/EK par prospektu, kurš jāpublicē, publiski piedāvājot vērtspapīrus vai atļaujot to tirdzniecību, un Komisijas Direktīvu 2007/14/EK, ar ko nosaka sīki izstrādātus noteikumus Direktīvas 2004/109/EK atsevišķu noteikumu īstenošanai</w:t>
            </w:r>
            <w:r>
              <w:t xml:space="preserve"> </w:t>
            </w:r>
            <w:r w:rsidRPr="00486CB0">
              <w:t>(turpmāk – Direktīva</w:t>
            </w:r>
            <w:r w:rsidR="000052FB">
              <w:t xml:space="preserve"> </w:t>
            </w:r>
            <w:r w:rsidR="000052FB" w:rsidRPr="003B2C8B">
              <w:t>2013/50/ES</w:t>
            </w:r>
            <w:r w:rsidRPr="00486CB0">
              <w:t xml:space="preserve">) Latvijas tiesību aktos. Direktīvas prasības ir jāpārņem līdz 2015. gada </w:t>
            </w:r>
            <w:r>
              <w:t>27.novembrim</w:t>
            </w:r>
            <w:r w:rsidR="000E639F">
              <w:t>;</w:t>
            </w:r>
            <w:r>
              <w:t xml:space="preserve"> </w:t>
            </w:r>
          </w:p>
          <w:p w14:paraId="69482A60" w14:textId="69A74893" w:rsidR="00CE5F93" w:rsidRDefault="00CE5F93" w:rsidP="006F324E">
            <w:pPr>
              <w:spacing w:before="100" w:beforeAutospacing="1" w:after="100" w:afterAutospacing="1"/>
              <w:jc w:val="both"/>
            </w:pPr>
            <w:r>
              <w:t>2</w:t>
            </w:r>
            <w:r w:rsidR="000E639F">
              <w:t>)</w:t>
            </w:r>
            <w:r>
              <w:t xml:space="preserve"> lai noregulētu Finanšu un kapitāla tirgus komisijas tiesības</w:t>
            </w:r>
            <w:r w:rsidRPr="00486CB0">
              <w:t xml:space="preserve"> un</w:t>
            </w:r>
            <w:r>
              <w:t xml:space="preserve"> pienākumus, kas izriet no Eiropas Parlamenta un Padomes 2014. gada 16. </w:t>
            </w:r>
            <w:r w:rsidR="000E639F">
              <w:t>a</w:t>
            </w:r>
            <w:r>
              <w:t>prīļa regulas Nr. 596/2014 par tirgus ļaunprātīgu izmantošanu (tirgus ļaunprātīgas izmantošanas regula) un ar ko atceļ Eiropas Parlamenta un Padomes Direktīvu 2003/6/EK un Komisijas Direktīvas 2003/124/EK, 2003/125/EK un 2004/72/EK (turpmāk</w:t>
            </w:r>
            <w:r w:rsidR="005959DF">
              <w:t>-</w:t>
            </w:r>
            <w:r>
              <w:t xml:space="preserve"> Regula</w:t>
            </w:r>
            <w:r w:rsidR="000052FB">
              <w:t xml:space="preserve"> Nr. 596/2014</w:t>
            </w:r>
            <w:r>
              <w:t>). Minētie pasākumi jānodrošina līdz 2016.gada 3.jūlijam</w:t>
            </w:r>
            <w:r w:rsidR="000E639F">
              <w:t>;</w:t>
            </w:r>
            <w:r>
              <w:t xml:space="preserve"> </w:t>
            </w:r>
          </w:p>
          <w:p w14:paraId="46E1F5AB" w14:textId="5C044312" w:rsidR="00CE5F93" w:rsidRPr="00ED24B5" w:rsidRDefault="00CE5F93" w:rsidP="00300732">
            <w:pPr>
              <w:spacing w:before="100" w:beforeAutospacing="1" w:after="100" w:afterAutospacing="1"/>
              <w:jc w:val="both"/>
            </w:pPr>
            <w:r>
              <w:t>3</w:t>
            </w:r>
            <w:r w:rsidR="000E639F">
              <w:t>)</w:t>
            </w:r>
            <w:r>
              <w:t xml:space="preserve"> lai precizētu Finanšu instrumentu tirgus likumu attiecībā uz prasībām </w:t>
            </w:r>
            <w:r w:rsidRPr="003B2C8B">
              <w:t>prospekt</w:t>
            </w:r>
            <w:r>
              <w:t>iem, kas</w:t>
            </w:r>
            <w:r w:rsidRPr="003B2C8B">
              <w:t xml:space="preserve"> jāpublicē, publiski piedāvājot vērtspapīrus vai atļaujot to tirdzniecību</w:t>
            </w:r>
            <w:r>
              <w:t>, ņemot vērā E</w:t>
            </w:r>
            <w:r w:rsidR="005959DF">
              <w:t>S</w:t>
            </w:r>
            <w:r>
              <w:t xml:space="preserve"> Pilot lietu 6446/14/MARK</w:t>
            </w:r>
            <w:r w:rsidR="00300732">
              <w:t>.</w:t>
            </w:r>
          </w:p>
        </w:tc>
      </w:tr>
      <w:tr w:rsidR="00CE5F93" w14:paraId="790BF19E" w14:textId="77777777">
        <w:trPr>
          <w:trHeight w:val="168"/>
          <w:jc w:val="center"/>
        </w:trPr>
        <w:tc>
          <w:tcPr>
            <w:tcW w:w="499" w:type="dxa"/>
          </w:tcPr>
          <w:p w14:paraId="722CC3E2" w14:textId="77777777" w:rsidR="00CE5F93" w:rsidRDefault="00CE5F93">
            <w:pPr>
              <w:pStyle w:val="naiskr"/>
              <w:spacing w:before="0" w:after="0"/>
              <w:jc w:val="center"/>
            </w:pPr>
            <w:r>
              <w:t>2.</w:t>
            </w:r>
          </w:p>
        </w:tc>
        <w:tc>
          <w:tcPr>
            <w:tcW w:w="1908" w:type="dxa"/>
          </w:tcPr>
          <w:p w14:paraId="3A639C6E" w14:textId="77777777" w:rsidR="008A37FE" w:rsidRDefault="00CE5F93">
            <w:pPr>
              <w:pStyle w:val="naiskr"/>
              <w:tabs>
                <w:tab w:val="left" w:pos="170"/>
              </w:tabs>
              <w:spacing w:before="0" w:after="0"/>
            </w:pPr>
            <w:r w:rsidRPr="00575F9E">
              <w:t>Pašreizējā situācija un problēmas, kuru risināšanai tiesību akta projekts izstrādāts, tiesiskā regulējuma mērķis un būtība</w:t>
            </w:r>
          </w:p>
          <w:p w14:paraId="1A74EE06" w14:textId="77777777" w:rsidR="006B6A46" w:rsidRDefault="006B6A46" w:rsidP="00B43559">
            <w:pPr>
              <w:jc w:val="center"/>
            </w:pPr>
          </w:p>
          <w:p w14:paraId="12DC094A" w14:textId="77777777" w:rsidR="006B6A46" w:rsidRDefault="006B6A46" w:rsidP="00B43559"/>
          <w:p w14:paraId="1E5D1CB3" w14:textId="77777777" w:rsidR="006B6A46" w:rsidRDefault="006B6A46" w:rsidP="00B43559"/>
          <w:p w14:paraId="7522B712" w14:textId="77777777" w:rsidR="006B6A46" w:rsidRDefault="006B6A46" w:rsidP="00B43559"/>
          <w:p w14:paraId="4FD628A5" w14:textId="77777777" w:rsidR="006B6A46" w:rsidRDefault="006B6A46" w:rsidP="00B43559"/>
        </w:tc>
        <w:tc>
          <w:tcPr>
            <w:tcW w:w="6941" w:type="dxa"/>
          </w:tcPr>
          <w:p w14:paraId="65E22C90" w14:textId="77777777" w:rsidR="00CE5F93" w:rsidRDefault="00CE5F93" w:rsidP="00CE5F93">
            <w:pPr>
              <w:pStyle w:val="Default"/>
              <w:ind w:firstLine="505"/>
              <w:jc w:val="both"/>
            </w:pPr>
            <w:r w:rsidRPr="00A41D5B">
              <w:rPr>
                <w:b/>
              </w:rPr>
              <w:t>I</w:t>
            </w:r>
            <w:r>
              <w:t xml:space="preserve"> Pašlaik Latvijā saskaņā ar spēkā esošajām Eiropas Savienības  direktīvām  </w:t>
            </w:r>
            <w:r w:rsidRPr="003B2C8B">
              <w:t>atklātības prasīb</w:t>
            </w:r>
            <w:r>
              <w:t xml:space="preserve">as </w:t>
            </w:r>
            <w:r w:rsidRPr="003B2C8B">
              <w:t>attiecībā uz informāciju par emitentiem, kuru vērtspapīrus atļauts tirgot regulētā tirgū,</w:t>
            </w:r>
            <w:r>
              <w:t xml:space="preserve"> nodrošina Finanšu instrumentu tirgus likumā iekļautās prasības, kas izriet no </w:t>
            </w:r>
            <w:r w:rsidRPr="003B2C8B">
              <w:t xml:space="preserve">Eiropas Parlamenta un Padomes </w:t>
            </w:r>
            <w:r>
              <w:t>2004.gada 15.decembra d</w:t>
            </w:r>
            <w:r w:rsidRPr="003B2C8B">
              <w:t>irektīv</w:t>
            </w:r>
            <w:r>
              <w:t>as</w:t>
            </w:r>
            <w:r w:rsidRPr="003B2C8B">
              <w:t xml:space="preserve"> 2004/109/EK par atklātības prasību saskaņošanu attiecībā uz informāciju par emitentiem</w:t>
            </w:r>
            <w:r>
              <w:t>, kuru vērtspapīrus atļauts tirgot regulētā tirgū un par grozījumiem Direktīvā 2001/34/EK. Pārskatot Eiropas Savienībā, t.sk. Latvijā, esošo praksi, konstatējams, ka nepieciešams</w:t>
            </w:r>
            <w:r w:rsidRPr="00FC6EA5">
              <w:t xml:space="preserve"> vienkāršot dažus emitentu pienākumus, lai regulētie tirgi kļūtu pievilcīgāki maziem un vidējiem emit</w:t>
            </w:r>
            <w:r>
              <w:t xml:space="preserve">entiem, kuri piesaista kapitālu, kā arī, </w:t>
            </w:r>
            <w:r w:rsidRPr="00FC6EA5">
              <w:t>jāuzlabo pastāvošā atklātības režīma efektivitāte, jo īpaši attiecībā uz korporatīvo īpašumtiesību struktūras atklāšanu</w:t>
            </w:r>
            <w:r>
              <w:t>, ņemot vērā straujo dažādu finanšu instrumentu un to īpašumtiesību attīstību, tai pat laikā paredzot nozīmīgākas sankcijas par kapitāla tirgū izdarītajiem pārkāpumiem.</w:t>
            </w:r>
          </w:p>
          <w:p w14:paraId="30D47C5C" w14:textId="77777777" w:rsidR="00CE5F93" w:rsidRDefault="00CE5F93" w:rsidP="00CE5F93">
            <w:pPr>
              <w:pStyle w:val="Default"/>
              <w:ind w:firstLine="505"/>
              <w:jc w:val="both"/>
            </w:pPr>
            <w:r>
              <w:t>Tādējādi:</w:t>
            </w:r>
          </w:p>
          <w:p w14:paraId="62B3AC69" w14:textId="7E50FC51" w:rsidR="00CE5F93" w:rsidRPr="00566ABB" w:rsidRDefault="00CE5F93" w:rsidP="00CE5F93">
            <w:pPr>
              <w:pStyle w:val="Default"/>
              <w:ind w:firstLine="505"/>
              <w:jc w:val="both"/>
            </w:pPr>
            <w:r>
              <w:lastRenderedPageBreak/>
              <w:t xml:space="preserve">1. lai nodrošinātu administratīvā sloga samazināšanu emitentiem paredzēts samazināt emitentu </w:t>
            </w:r>
            <w:proofErr w:type="spellStart"/>
            <w:r>
              <w:t>starpperiodu</w:t>
            </w:r>
            <w:proofErr w:type="spellEnd"/>
            <w:r>
              <w:t xml:space="preserve"> pārskatu un </w:t>
            </w:r>
            <w:r w:rsidRPr="00566ABB">
              <w:t>periodiski publicējamās papildu finanšu informācijas biežumu un apjomu</w:t>
            </w:r>
            <w:r w:rsidR="000931FC" w:rsidRPr="00665313">
              <w:t>, Latvijai atsakoti</w:t>
            </w:r>
            <w:r w:rsidR="006674CB">
              <w:t xml:space="preserve">es no prasības par </w:t>
            </w:r>
            <w:proofErr w:type="spellStart"/>
            <w:r w:rsidR="006674CB">
              <w:t>starpperiodu</w:t>
            </w:r>
            <w:proofErr w:type="spellEnd"/>
            <w:r w:rsidR="006674CB">
              <w:t xml:space="preserve"> pārskata par divpadsmit mēnešiem sniegšanas, un attiecībā uz informāciju, kas jāsniedz par pārskata gada pirmajiem sešiem mēnešiem un pārskata gada trim un deviņiem mēnešiem izvirzot nedaudz mazākas prasības iesniedzamās informācijas apjomam, nekā tas ir gada pārskatam (piemēram, sniedzot </w:t>
            </w:r>
            <w:proofErr w:type="spellStart"/>
            <w:r w:rsidR="006674CB">
              <w:t>starpperioda</w:t>
            </w:r>
            <w:proofErr w:type="spellEnd"/>
            <w:r w:rsidR="006674CB">
              <w:t xml:space="preserve"> pārskatu, tiek pieprasīts saīsinātais finanšu pārskats, </w:t>
            </w:r>
            <w:r w:rsidR="00665313">
              <w:t xml:space="preserve"> </w:t>
            </w:r>
            <w:r w:rsidR="006D12DD" w:rsidRPr="00665313">
              <w:t>savuk</w:t>
            </w:r>
            <w:r w:rsidR="006674CB">
              <w:t xml:space="preserve">ārt, sniedzot finanšu informāciju par trim un deviņiem mēnešiem, </w:t>
            </w:r>
            <w:r w:rsidR="006674CB" w:rsidRPr="0090751B">
              <w:t xml:space="preserve">netiek </w:t>
            </w:r>
            <w:r w:rsidR="006D12DD" w:rsidRPr="00665313">
              <w:t>prasīt</w:t>
            </w:r>
            <w:r w:rsidR="006674CB" w:rsidRPr="0090751B">
              <w:t xml:space="preserve">s </w:t>
            </w:r>
            <w:r w:rsidR="00665313" w:rsidRPr="00665313">
              <w:t>iesniegt pielikumu.</w:t>
            </w:r>
            <w:r w:rsidR="00665313">
              <w:t xml:space="preserve"> </w:t>
            </w:r>
          </w:p>
          <w:p w14:paraId="21EA33EE" w14:textId="22C5B5FA" w:rsidR="00CE5F93" w:rsidRPr="00EF7D89" w:rsidRDefault="00871912" w:rsidP="00CE5F93">
            <w:pPr>
              <w:pStyle w:val="Default"/>
              <w:ind w:firstLine="505"/>
              <w:jc w:val="both"/>
            </w:pPr>
            <w:r>
              <w:t>2</w:t>
            </w:r>
            <w:r w:rsidR="00CE5F93" w:rsidRPr="00B32DFC">
              <w:t>.</w:t>
            </w:r>
            <w:r w:rsidR="00300732">
              <w:t>L</w:t>
            </w:r>
            <w:r w:rsidR="00CE5F93" w:rsidRPr="00B32DFC">
              <w:t xml:space="preserve">ai nodrošinātu </w:t>
            </w:r>
            <w:r w:rsidR="00CE5F93">
              <w:t>valsts iestādēm</w:t>
            </w:r>
            <w:r w:rsidR="00CE5F93" w:rsidRPr="00B32DFC">
              <w:t xml:space="preserve"> veiktu maksājumu lielāku atklātību, emitentiem, kuru vērtspapīrus atļauts tirgot regulētā tirgū un kuri darbojas ieguves rūpniecībā vai pirmatnējo mežu izstrādes jomā, reizi gadā atsevišķā ziņojumā būtu jādara zināmi atklātībai maksājumi </w:t>
            </w:r>
            <w:r w:rsidR="00CE5F93">
              <w:t xml:space="preserve">valsts </w:t>
            </w:r>
            <w:r w:rsidR="00CE5F93" w:rsidRPr="00EF7D89">
              <w:t>iestādēm valstīs, kurās tie veic komercdarbību;</w:t>
            </w:r>
          </w:p>
          <w:p w14:paraId="30D6E7A3" w14:textId="41ED204B" w:rsidR="00CE5F93" w:rsidRDefault="00871912" w:rsidP="00CE5F93">
            <w:pPr>
              <w:pStyle w:val="Default"/>
              <w:ind w:firstLine="505"/>
              <w:jc w:val="both"/>
            </w:pPr>
            <w:r>
              <w:t>3</w:t>
            </w:r>
            <w:r w:rsidR="00CE5F93" w:rsidRPr="00EF7D89">
              <w:t xml:space="preserve">. </w:t>
            </w:r>
            <w:r w:rsidR="00300732">
              <w:t>L</w:t>
            </w:r>
            <w:r w:rsidR="00CE5F93" w:rsidRPr="00EF7D89">
              <w:t>ai veicinātu pārrobežu ieguldījumus</w:t>
            </w:r>
            <w:r w:rsidR="00CE5F93">
              <w:t xml:space="preserve"> likumprojekts paredz nodrošināt</w:t>
            </w:r>
            <w:r w:rsidR="00CE5F93" w:rsidRPr="00EF7D89">
              <w:t xml:space="preserve"> ieguldītājiem </w:t>
            </w:r>
            <w:r w:rsidR="00CE5F93">
              <w:t>ātru</w:t>
            </w:r>
            <w:r w:rsidR="00CE5F93" w:rsidRPr="00EF7D89">
              <w:t xml:space="preserve"> piekļuv</w:t>
            </w:r>
            <w:r w:rsidR="00CE5F93">
              <w:t>i</w:t>
            </w:r>
            <w:r w:rsidR="00CE5F93" w:rsidRPr="00EF7D89">
              <w:t xml:space="preserve"> regulētai informācijai par visām </w:t>
            </w:r>
            <w:r w:rsidR="00CE5F93">
              <w:t>regulētajā tirgū</w:t>
            </w:r>
            <w:r w:rsidR="00CE5F93" w:rsidRPr="00EF7D89">
              <w:t xml:space="preserve"> sarakstā iekļautām </w:t>
            </w:r>
            <w:r w:rsidR="00CE5F93">
              <w:t xml:space="preserve">akciju </w:t>
            </w:r>
            <w:r w:rsidR="00CE5F93" w:rsidRPr="00EF7D89">
              <w:t xml:space="preserve">sabiedrībām </w:t>
            </w:r>
            <w:r w:rsidR="00CE5F93">
              <w:t xml:space="preserve">Eiropas </w:t>
            </w:r>
            <w:r w:rsidR="00CE5F93" w:rsidRPr="00EF7D89">
              <w:t>Savienībā</w:t>
            </w:r>
            <w:r w:rsidR="00CE5F93">
              <w:t xml:space="preserve">, izveidojot vienotu piekļuves punktu visām </w:t>
            </w:r>
            <w:r w:rsidR="00CE5F93" w:rsidRPr="00EF7D89">
              <w:t>regulētas informācijas centralizētas glabāšanas sistē</w:t>
            </w:r>
            <w:r w:rsidR="00CE5F93">
              <w:t xml:space="preserve">mām, tā kā </w:t>
            </w:r>
            <w:r w:rsidR="00CE5F93" w:rsidRPr="00EF7D89">
              <w:t xml:space="preserve">pašreizējais valstu oficiāli noteikto regulētas informācijas centralizētas glabāšanas sistēmu tīkls nenodrošina šādas informācijas vienkāršu meklēšanu visā </w:t>
            </w:r>
            <w:r w:rsidR="00CE5F93">
              <w:t xml:space="preserve">Eiropas </w:t>
            </w:r>
            <w:r w:rsidR="00CE5F93" w:rsidRPr="00EF7D89">
              <w:t xml:space="preserve">Savienībā. </w:t>
            </w:r>
          </w:p>
          <w:p w14:paraId="3F811834" w14:textId="77777777" w:rsidR="00CE5F93" w:rsidRDefault="00871912" w:rsidP="00CE5F93">
            <w:pPr>
              <w:pStyle w:val="Default"/>
              <w:ind w:firstLine="505"/>
              <w:jc w:val="both"/>
            </w:pPr>
            <w:r>
              <w:t>4</w:t>
            </w:r>
            <w:r w:rsidR="00CE5F93">
              <w:t>. Tā kā i</w:t>
            </w:r>
            <w:r w:rsidR="00CE5F93" w:rsidRPr="00EF7D89">
              <w:t xml:space="preserve">novācijas finanšu jomā ir radījušas jauna veida finanšu instrumentus, kas ļauj ieguldītājiem veidot ekonomiska rakstura riska darījumus ar sabiedrībām, bet par kuriem </w:t>
            </w:r>
            <w:r w:rsidR="00CE5F93">
              <w:t xml:space="preserve">iepriekš normatīvie akti neparedzēja </w:t>
            </w:r>
            <w:r w:rsidR="00CE5F93" w:rsidRPr="00EF7D89">
              <w:t xml:space="preserve">atklāt informāciju. </w:t>
            </w:r>
            <w:r w:rsidR="00CE5F93">
              <w:t>Lai novērstu situācijas, ka š</w:t>
            </w:r>
            <w:r w:rsidR="00CE5F93" w:rsidRPr="00EF7D89">
              <w:t xml:space="preserve">ādus instrumentus varētu izmantot, lai slepeni iegādātos akcijas </w:t>
            </w:r>
            <w:r w:rsidR="00CE5F93">
              <w:t xml:space="preserve">akciju </w:t>
            </w:r>
            <w:r w:rsidR="00CE5F93" w:rsidRPr="00EF7D89">
              <w:t xml:space="preserve">sabiedrībās, kā rezultātā varētu notikt ļaunprātīga tirgus izmantošana un rasties nepatiess un maldinošs priekšstats par </w:t>
            </w:r>
            <w:r w:rsidR="00CE5F93">
              <w:t>regulētajā tirgū</w:t>
            </w:r>
            <w:r w:rsidR="00CE5F93" w:rsidRPr="00EF7D89">
              <w:t xml:space="preserve"> iekļauto </w:t>
            </w:r>
            <w:r w:rsidR="00CE5F93">
              <w:t xml:space="preserve">akciju </w:t>
            </w:r>
            <w:r w:rsidR="00CE5F93" w:rsidRPr="00EF7D89">
              <w:t>sabiedrību ekonomiskajām īpašumtiesībām</w:t>
            </w:r>
            <w:r w:rsidR="00CE5F93">
              <w:t xml:space="preserve">, paredzēts finanšu instrumentu turētājiem atklāt informāciju par īpašumtiesībām par </w:t>
            </w:r>
            <w:r w:rsidR="00CE5F93" w:rsidRPr="000D491B">
              <w:t>visiem finanšu instrumentiem, kuru ekonomiskā ietekme ir līdzīga līdzdalībai akcijās un tiesībās iegādāties akcijas.</w:t>
            </w:r>
          </w:p>
          <w:p w14:paraId="568A6160" w14:textId="77777777" w:rsidR="00CE5F93" w:rsidRPr="000D491B" w:rsidRDefault="00871912" w:rsidP="00CE5F93">
            <w:pPr>
              <w:pStyle w:val="Default"/>
              <w:ind w:firstLine="505"/>
              <w:jc w:val="both"/>
            </w:pPr>
            <w:r>
              <w:t>5</w:t>
            </w:r>
            <w:r w:rsidR="00CE5F93" w:rsidRPr="000D491B">
              <w:t xml:space="preserve">. Ņemot vērā finanšu tirgus attīstību  ir </w:t>
            </w:r>
            <w:r w:rsidR="00CE5F93">
              <w:t xml:space="preserve">nepieciešams </w:t>
            </w:r>
            <w:r w:rsidR="00CE5F93" w:rsidRPr="000D491B">
              <w:t xml:space="preserve">pastiprināt sankcijas par atklātības prasību pārkāpumiem atbilstoši Eiropas Komisijas 2010.gada 9. decembra ''Paziņojumam par sankciju režīmu pastiprināšanu finanšu pakalpojumu nozarē'', </w:t>
            </w:r>
            <w:r w:rsidR="00CE5F93">
              <w:t xml:space="preserve">tādējādi efektīvāk nodrošinot šo sankciju </w:t>
            </w:r>
            <w:r w:rsidR="00CE5F93" w:rsidRPr="000D491B">
              <w:t>atturoš</w:t>
            </w:r>
            <w:r w:rsidR="00CE5F93">
              <w:t>o</w:t>
            </w:r>
            <w:r w:rsidR="00CE5F93" w:rsidRPr="000D491B">
              <w:t xml:space="preserve"> ietekm</w:t>
            </w:r>
            <w:r w:rsidR="00CE5F93">
              <w:t xml:space="preserve">i uz sabiedrību kopumā. Būtiski ir arī publicēt minētās sankcijas un personas, kurām tās ir piemērotas, kas pastiprina sankciju atturošo efektu, kā arī </w:t>
            </w:r>
            <w:r w:rsidR="00CE5F93" w:rsidRPr="000D491B">
              <w:t>veicin</w:t>
            </w:r>
            <w:r w:rsidR="00CE5F93">
              <w:t>a</w:t>
            </w:r>
            <w:r w:rsidR="00CE5F93" w:rsidRPr="000D491B">
              <w:t xml:space="preserve"> plašāku izpratni par labu praksi tirgus dalībnieku vidū.</w:t>
            </w:r>
          </w:p>
          <w:p w14:paraId="15C67B97" w14:textId="77777777" w:rsidR="00CE5F93" w:rsidRDefault="00CE5F93" w:rsidP="00CE5F93">
            <w:pPr>
              <w:ind w:firstLine="505"/>
              <w:jc w:val="both"/>
            </w:pPr>
            <w:r w:rsidRPr="00A41D5B">
              <w:rPr>
                <w:b/>
              </w:rPr>
              <w:t>II</w:t>
            </w:r>
            <w:r>
              <w:t xml:space="preserve"> Lai kapitāla tirgus netiktu ļaunprātīgi izmantots, kā arī novērstu un izmeklētu </w:t>
            </w:r>
            <w:r w:rsidR="00871912">
              <w:t xml:space="preserve">tirgus </w:t>
            </w:r>
            <w:r>
              <w:t xml:space="preserve">manipulāciju gadījumus līdz šim katra Eiropas Savienības dalībvalsts noteica sev raksturīgākās normatīvās prasības šajā tirgus uzraudzības segmentā, par pamatu ņemot Eiropas Parlamenta un Padomes 2003. gada 28. janvāra direktīvu 2003/6/EK par iekšējās </w:t>
            </w:r>
            <w:r>
              <w:lastRenderedPageBreak/>
              <w:t xml:space="preserve">informācijas ļaunprātīgu izmantošanu un tirgus manipulācijām (tirgus ļaunprātīgu izmantošanu). </w:t>
            </w:r>
          </w:p>
          <w:p w14:paraId="7A800FEA" w14:textId="77777777" w:rsidR="00CE5F93" w:rsidRDefault="00CE5F93" w:rsidP="00CE5F93">
            <w:pPr>
              <w:ind w:firstLine="505"/>
              <w:jc w:val="both"/>
            </w:pPr>
            <w:r>
              <w:t xml:space="preserve">Kapitāla tirgus un tehnoloģiju attīstības tendences kopš minētās direktīvas stāšanās spēkā ir būtiski mainījušas finanšu vidi, kas radījis ne tikai priekšnoteikumu pēc jaunas mūsdienīgas normatīvās bāzes izveides tirgus manipulāciju un ļaunprātīgas izmantošanas mazināšanai, bet arī lai nodrošinātu vienādus noteikumus visās dalībvalstīs šajā tirgus segmentā, ņemot vērā tā izteikto pārrobežu raksturu. Ņemot vērā minēto 2014.gada 16.aprīlī tika pieņemta Regula, kas paredz vienotāku un stingrāku regulējumu, lai saglabātu tirgus integritāti, izvairītos no iespējamas </w:t>
            </w:r>
            <w:r w:rsidRPr="007E669F">
              <w:t>regulatīvās arbitrāžas</w:t>
            </w:r>
            <w:r>
              <w:t>, garantētu saukšanu pie atbildības manipulācijas mēģinājuma gadījumā, un lai nodrošinātu lielāku tiesisko noteiktību un mazāku regulējuma sarežģītību un daudzveidību tirgus dalībniekiem, kas tikai veicinās Eiropas Savienības iekšējā tirgus pareizu darbību.</w:t>
            </w:r>
          </w:p>
          <w:p w14:paraId="1DEF8FD4" w14:textId="2A4B62F7" w:rsidR="00CE5F93" w:rsidRPr="00EA0C09" w:rsidRDefault="00CE5F93" w:rsidP="00EA0C09">
            <w:pPr>
              <w:pStyle w:val="doc-ti"/>
              <w:shd w:val="clear" w:color="auto" w:fill="FFFFFF"/>
              <w:spacing w:before="200" w:beforeAutospacing="0" w:afterAutospacing="0" w:line="312" w:lineRule="atLeast"/>
              <w:jc w:val="both"/>
              <w:textAlignment w:val="baseline"/>
              <w:rPr>
                <w:bCs/>
              </w:rPr>
            </w:pPr>
            <w:r>
              <w:t xml:space="preserve">Stājoties spēkā Regulai, no Finanšu instrumentu tirgus likuma ir izslēdzamas normas, kas tika transponētas ar Eiropas Parlamenta un Padomes 2003. gada 28. janvāra direktīvu 2003/6/EK par iekšējās informācijas ļaunprātīgu izmantošanu un tirgus manipulācijām (tirgus </w:t>
            </w:r>
            <w:r w:rsidRPr="00EA0C09">
              <w:t xml:space="preserve">ļaunprātīgu izmantošanu), </w:t>
            </w:r>
            <w:r w:rsidR="00F14001">
              <w:t>tostarp arī Finanšu instrumentu tirgus likuma 59. pants, kurā Latvija bija sniegusi tās informācijas uzskaitījumu, kura saskaņā ar Finanšu instrumentu tirgus likumu vienmēr uzskatāma par emitenta iekšējo informāciju, un tādējādi emitentam saskaņā ar Finanšu instrumentu tirgus likumu bija jāatklāj obligāti</w:t>
            </w:r>
            <w:r w:rsidR="00D6023F">
              <w:t xml:space="preserve"> (vispārīgs </w:t>
            </w:r>
            <w:r w:rsidR="00F14001">
              <w:t>iekšējā informācija</w:t>
            </w:r>
            <w:r w:rsidR="00D6023F">
              <w:t xml:space="preserve">s publicēšanas pienākums ir noteikts Finanšu instrumentu tirgus likuma 87. panta pirmajā un otrajā daļā), </w:t>
            </w:r>
            <w:r w:rsidRPr="00EA0C09">
              <w:t xml:space="preserve">tai pat laikā atbilstoši Regulā </w:t>
            </w:r>
            <w:r w:rsidR="00EA0C09" w:rsidRPr="00EA0C09">
              <w:t xml:space="preserve">un Eiropas Parlamenta un Padomes 2014.gada 16.aprīļa direktīvā </w:t>
            </w:r>
            <w:r w:rsidR="00EA0C09" w:rsidRPr="00EA0C09">
              <w:rPr>
                <w:bCs/>
              </w:rPr>
              <w:t>2014/57/ES</w:t>
            </w:r>
            <w:r w:rsidR="00EA0C09">
              <w:rPr>
                <w:bCs/>
              </w:rPr>
              <w:t xml:space="preserve"> </w:t>
            </w:r>
            <w:r w:rsidR="00EA0C09" w:rsidRPr="00EA0C09">
              <w:rPr>
                <w:bCs/>
              </w:rPr>
              <w:t xml:space="preserve">par kriminālsodiem par tirgus ļaunprātīgu izmantošanu (tirgus ļaunprātīgas izmantošanas direktīva) </w:t>
            </w:r>
            <w:r w:rsidRPr="00EA0C09">
              <w:t xml:space="preserve">noteiktajam pienākumam papildinot Finanšu instrumentu tirgus likumu ar Finanšu un kapitāla tirgus komisijas kā Regulas </w:t>
            </w:r>
            <w:r w:rsidRPr="00CC7000">
              <w:t>Nr.596/</w:t>
            </w:r>
            <w:r w:rsidR="000C2E08" w:rsidRPr="0090751B">
              <w:t>2</w:t>
            </w:r>
            <w:r w:rsidRPr="00CC7000">
              <w:t>0</w:t>
            </w:r>
            <w:r w:rsidR="000C2E08" w:rsidRPr="0090751B">
              <w:t>1</w:t>
            </w:r>
            <w:r w:rsidRPr="00CC7000">
              <w:t>4</w:t>
            </w:r>
            <w:r w:rsidRPr="00EA0C09">
              <w:t xml:space="preserve"> piemērošanas un izpildes kompetentās institūcijas tiesībām un pienākumiem iekšējās informācijas izmantošanas un tirgus</w:t>
            </w:r>
            <w:r>
              <w:t xml:space="preserve"> manipulāciju uzraudzībā:</w:t>
            </w:r>
          </w:p>
          <w:p w14:paraId="0A6D6966" w14:textId="5B8AEDA7" w:rsidR="00CE5F93" w:rsidRDefault="00300732" w:rsidP="00CE5F93">
            <w:pPr>
              <w:numPr>
                <w:ilvl w:val="0"/>
                <w:numId w:val="15"/>
              </w:numPr>
              <w:ind w:firstLine="505"/>
              <w:jc w:val="both"/>
            </w:pPr>
            <w:r>
              <w:t>T</w:t>
            </w:r>
            <w:r w:rsidR="00CE5F93">
              <w:t>iesībām izdot normatīvo</w:t>
            </w:r>
            <w:r w:rsidR="00D6023F">
              <w:t>s</w:t>
            </w:r>
            <w:r w:rsidR="00CE5F93">
              <w:t xml:space="preserve"> noteikumus, kas izriet no Regulā </w:t>
            </w:r>
            <w:r w:rsidR="000052FB">
              <w:t>Nr.</w:t>
            </w:r>
            <w:r w:rsidRPr="00CC7000">
              <w:t>596/</w:t>
            </w:r>
            <w:r w:rsidRPr="0090751B">
              <w:t>2</w:t>
            </w:r>
            <w:r w:rsidRPr="00CC7000">
              <w:t>0</w:t>
            </w:r>
            <w:r w:rsidRPr="0090751B">
              <w:t>1</w:t>
            </w:r>
            <w:r w:rsidRPr="00CC7000">
              <w:t>4</w:t>
            </w:r>
            <w:r>
              <w:t xml:space="preserve"> </w:t>
            </w:r>
            <w:r w:rsidR="00CE5F93">
              <w:t>noteiktā;</w:t>
            </w:r>
          </w:p>
          <w:p w14:paraId="22711612" w14:textId="2F78AAC1" w:rsidR="00CE5F93" w:rsidRDefault="00300732" w:rsidP="00CE5F93">
            <w:pPr>
              <w:numPr>
                <w:ilvl w:val="0"/>
                <w:numId w:val="15"/>
              </w:numPr>
              <w:ind w:firstLine="505"/>
              <w:jc w:val="both"/>
            </w:pPr>
            <w:r>
              <w:t>T</w:t>
            </w:r>
            <w:r w:rsidR="00CE5F93">
              <w:t>iesībām piemērot konkrētas sankcijas un uzraudzības pasākumus;</w:t>
            </w:r>
          </w:p>
          <w:p w14:paraId="676863DD" w14:textId="4BCA3229" w:rsidR="00CE5F93" w:rsidRDefault="00300732" w:rsidP="00CE5F93">
            <w:pPr>
              <w:numPr>
                <w:ilvl w:val="0"/>
                <w:numId w:val="15"/>
              </w:numPr>
              <w:ind w:firstLine="505"/>
              <w:jc w:val="both"/>
            </w:pPr>
            <w:r>
              <w:t>T</w:t>
            </w:r>
            <w:r w:rsidR="00CE5F93">
              <w:t xml:space="preserve">iesībām izveidot un uzturēt ziņošanas sistēmu par Regulas </w:t>
            </w:r>
            <w:r w:rsidR="000052FB">
              <w:t>Nr.</w:t>
            </w:r>
            <w:r w:rsidR="00CE5F93">
              <w:t>596/2014 iespējamajiem un faktiskajiem pārkāpumiem.</w:t>
            </w:r>
          </w:p>
          <w:p w14:paraId="2ACBFF63" w14:textId="77777777" w:rsidR="00CE5F93" w:rsidRPr="00300732" w:rsidRDefault="00CE5F93" w:rsidP="00CE5F93">
            <w:pPr>
              <w:pStyle w:val="doc-ti"/>
              <w:shd w:val="clear" w:color="auto" w:fill="FFFFFF"/>
              <w:spacing w:before="0" w:beforeAutospacing="0" w:after="0" w:afterAutospacing="0"/>
              <w:ind w:firstLine="505"/>
              <w:jc w:val="both"/>
              <w:rPr>
                <w:color w:val="000000"/>
              </w:rPr>
            </w:pPr>
            <w:r w:rsidRPr="007E0F7F">
              <w:rPr>
                <w:rFonts w:cs="EUAlbertina"/>
                <w:b/>
                <w:color w:val="000000"/>
              </w:rPr>
              <w:t xml:space="preserve">III </w:t>
            </w:r>
            <w:r w:rsidRPr="009C3C7E">
              <w:t>Prospektu reģistrācija Finanšu un kapitāla tirgus komisija</w:t>
            </w:r>
            <w:r w:rsidR="008B669C">
              <w:t xml:space="preserve"> (turpmāk- FKTK)</w:t>
            </w:r>
            <w:r w:rsidRPr="009C3C7E">
              <w:t xml:space="preserve"> veic, pamatojoties uz Finanšu instrumentu tirgus likuma normām, kas pārņemtas ar </w:t>
            </w:r>
            <w:r w:rsidRPr="009C3C7E">
              <w:rPr>
                <w:bdr w:val="none" w:sz="0" w:space="0" w:color="auto" w:frame="1"/>
              </w:rPr>
              <w:t xml:space="preserve">Eiropas Parlamenta un Padomes 2003. gada 4.novembra direktīvu 2003/71/EK par prospektu, kurš jāpublicē, publiski piedāvājot vērtspapīrus vai atļaujot to tirdzniecību, un par Direktīvas 2001/34/EK grozījumiem, kā arī Eiropas Parlamenta un </w:t>
            </w:r>
            <w:r w:rsidRPr="009C3C7E">
              <w:rPr>
                <w:bdr w:val="none" w:sz="0" w:space="0" w:color="auto" w:frame="1"/>
              </w:rPr>
              <w:lastRenderedPageBreak/>
              <w:t xml:space="preserve">Padomes </w:t>
            </w:r>
            <w:r>
              <w:rPr>
                <w:color w:val="000000"/>
              </w:rPr>
              <w:t>2010. gada 24.novembra</w:t>
            </w:r>
            <w:r w:rsidRPr="009C3C7E">
              <w:rPr>
                <w:color w:val="000000"/>
              </w:rPr>
              <w:t xml:space="preserve"> </w:t>
            </w:r>
            <w:r>
              <w:rPr>
                <w:color w:val="000000"/>
              </w:rPr>
              <w:t xml:space="preserve">direktīvu </w:t>
            </w:r>
            <w:r w:rsidRPr="009C3C7E">
              <w:rPr>
                <w:color w:val="000000"/>
              </w:rPr>
              <w:t>2010/73/ES,</w:t>
            </w:r>
            <w:r>
              <w:rPr>
                <w:color w:val="000000"/>
              </w:rPr>
              <w:t xml:space="preserve"> a</w:t>
            </w:r>
            <w:r w:rsidRPr="009C3C7E">
              <w:rPr>
                <w:color w:val="000000"/>
              </w:rPr>
              <w:t xml:space="preserve">r ko groza </w:t>
            </w:r>
            <w:r w:rsidRPr="009C3C7E">
              <w:t>Direktīvu</w:t>
            </w:r>
            <w:r w:rsidRPr="009C3C7E">
              <w:rPr>
                <w:rStyle w:val="apple-converted-space"/>
              </w:rPr>
              <w:t> </w:t>
            </w:r>
            <w:hyperlink r:id="rId8" w:tooltip="Eiropas Parlamenta un padomes Direktīva 2003/71/EK (2003. gada 4. novembris) par prospektu, kurš jāpublicē, publiski piedāvājot vērtspapīrus vai atļaujot to tirdzniecību, un par Direktīvas 2001/34/EK grozījumiemDokuments attiecas uz EEZ." w:history="1">
              <w:r w:rsidRPr="009C3C7E">
                <w:rPr>
                  <w:rStyle w:val="Hyperlink"/>
                </w:rPr>
                <w:t>2003/71/EK</w:t>
              </w:r>
            </w:hyperlink>
            <w:r w:rsidRPr="009C3C7E">
              <w:rPr>
                <w:rStyle w:val="apple-converted-space"/>
              </w:rPr>
              <w:t> </w:t>
            </w:r>
            <w:r w:rsidRPr="009C3C7E">
              <w:t>par prospektu, kurš jāpublicē, publiski piedāvājot</w:t>
            </w:r>
            <w:r w:rsidRPr="009C3C7E">
              <w:rPr>
                <w:rStyle w:val="apple-converted-space"/>
              </w:rPr>
              <w:t> </w:t>
            </w:r>
            <w:hyperlink r:id="rId9" w:history="1">
              <w:r w:rsidRPr="009C3C7E">
                <w:rPr>
                  <w:rStyle w:val="Hyperlink"/>
                </w:rPr>
                <w:t>vērtspapīrus</w:t>
              </w:r>
            </w:hyperlink>
            <w:r w:rsidRPr="009C3C7E">
              <w:rPr>
                <w:rStyle w:val="apple-converted-space"/>
              </w:rPr>
              <w:t> </w:t>
            </w:r>
            <w:r w:rsidRPr="009C3C7E">
              <w:t>vai atļaujot to tirdzniecību, un Direktīvu</w:t>
            </w:r>
            <w:r>
              <w:t xml:space="preserve"> </w:t>
            </w:r>
            <w:hyperlink r:id="rId10" w:tooltip="Eiropas Parlamenta un Padomes Direktīva 2004/109/EK (2004. gada 15. decembris) par atklātības prasību saskaņošanu attiecībā uz informāciju par emitentiem, kuru vērtspapīrus atļauts tirgot regulētā tirgū, un par grozījumiem Direktīvā 2001/34/EK" w:history="1">
              <w:r w:rsidRPr="009C3C7E">
                <w:rPr>
                  <w:rStyle w:val="Hyperlink"/>
                </w:rPr>
                <w:t>2004/109/EK</w:t>
              </w:r>
            </w:hyperlink>
            <w:r w:rsidRPr="009C3C7E">
              <w:rPr>
                <w:rStyle w:val="apple-converted-space"/>
              </w:rPr>
              <w:t> </w:t>
            </w:r>
            <w:r w:rsidRPr="009C3C7E">
              <w:t>par atklātības</w:t>
            </w:r>
            <w:r w:rsidRPr="009C3C7E">
              <w:rPr>
                <w:color w:val="000000"/>
              </w:rPr>
              <w:t xml:space="preserve"> prasību saskaņošanu attiecībā uz </w:t>
            </w:r>
            <w:r>
              <w:rPr>
                <w:color w:val="000000"/>
              </w:rPr>
              <w:t>i</w:t>
            </w:r>
            <w:r w:rsidRPr="009C3C7E">
              <w:t>nformāciju</w:t>
            </w:r>
            <w:r>
              <w:t xml:space="preserve"> p</w:t>
            </w:r>
            <w:r w:rsidRPr="009C3C7E">
              <w:t>ar</w:t>
            </w:r>
            <w:r>
              <w:t xml:space="preserve"> e</w:t>
            </w:r>
            <w:r w:rsidRPr="009C3C7E">
              <w:t>mitentiem</w:t>
            </w:r>
            <w:r w:rsidRPr="009C3C7E">
              <w:rPr>
                <w:color w:val="000000"/>
              </w:rPr>
              <w:t>,</w:t>
            </w:r>
            <w:r>
              <w:rPr>
                <w:color w:val="000000"/>
              </w:rPr>
              <w:t xml:space="preserve"> </w:t>
            </w:r>
            <w:r w:rsidRPr="00300732">
              <w:rPr>
                <w:color w:val="000000"/>
              </w:rPr>
              <w:t>kuru</w:t>
            </w:r>
            <w:r w:rsidRPr="00300732">
              <w:rPr>
                <w:rStyle w:val="apple-converted-space"/>
                <w:color w:val="000000"/>
              </w:rPr>
              <w:t> </w:t>
            </w:r>
            <w:hyperlink r:id="rId11" w:history="1">
              <w:r w:rsidRPr="00300732">
                <w:rPr>
                  <w:rStyle w:val="Hyperlink"/>
                  <w:color w:val="000000"/>
                  <w:u w:val="none"/>
                </w:rPr>
                <w:t>vērtspapīrus</w:t>
              </w:r>
            </w:hyperlink>
            <w:r w:rsidRPr="00300732">
              <w:rPr>
                <w:rStyle w:val="apple-converted-space"/>
                <w:color w:val="000000"/>
              </w:rPr>
              <w:t> </w:t>
            </w:r>
            <w:r w:rsidRPr="00300732">
              <w:rPr>
                <w:color w:val="000000"/>
              </w:rPr>
              <w:t>atļauts</w:t>
            </w:r>
            <w:r w:rsidRPr="00300732">
              <w:rPr>
                <w:rStyle w:val="apple-converted-space"/>
                <w:color w:val="000000"/>
              </w:rPr>
              <w:t> </w:t>
            </w:r>
            <w:hyperlink r:id="rId12" w:history="1">
              <w:r w:rsidRPr="00300732">
                <w:rPr>
                  <w:rStyle w:val="Hyperlink"/>
                  <w:color w:val="000000"/>
                  <w:u w:val="none"/>
                </w:rPr>
                <w:t>tirgot</w:t>
              </w:r>
            </w:hyperlink>
            <w:r w:rsidRPr="00300732">
              <w:rPr>
                <w:rStyle w:val="apple-converted-space"/>
                <w:color w:val="000000"/>
              </w:rPr>
              <w:t> </w:t>
            </w:r>
            <w:r w:rsidRPr="00300732">
              <w:rPr>
                <w:color w:val="000000"/>
              </w:rPr>
              <w:t>regulētajā</w:t>
            </w:r>
            <w:r w:rsidRPr="00300732">
              <w:rPr>
                <w:rStyle w:val="apple-converted-space"/>
                <w:color w:val="000000"/>
              </w:rPr>
              <w:t> </w:t>
            </w:r>
            <w:hyperlink r:id="rId13" w:history="1">
              <w:r w:rsidRPr="00300732">
                <w:rPr>
                  <w:rStyle w:val="Hyperlink"/>
                  <w:color w:val="000000"/>
                  <w:u w:val="none"/>
                </w:rPr>
                <w:t>tirgū</w:t>
              </w:r>
            </w:hyperlink>
            <w:r w:rsidRPr="00300732">
              <w:rPr>
                <w:color w:val="000000"/>
              </w:rPr>
              <w:t>.</w:t>
            </w:r>
          </w:p>
          <w:p w14:paraId="6F11343B" w14:textId="5FBECD64" w:rsidR="00CE5F93" w:rsidRDefault="006674CB" w:rsidP="00CE5F93">
            <w:pPr>
              <w:pStyle w:val="Default"/>
              <w:ind w:firstLine="505"/>
              <w:jc w:val="both"/>
            </w:pPr>
            <w:r w:rsidRPr="006403F1">
              <w:t>Ņemot vērā E</w:t>
            </w:r>
            <w:r w:rsidR="000052FB">
              <w:t>U</w:t>
            </w:r>
            <w:r w:rsidRPr="006403F1">
              <w:t xml:space="preserve"> Pilot lietā 6446/14/MARK norādītos argumentus par minēto direktīvu atsevišķu normu precīzu neieviešanu Finanšu instrumentu tirgus likumā, Latvija ir apņēmusies līdz 2015.gada 31.decembrim precizēt Finanšu instrumentu tirgus likuma normas attiecībā uz prospektu sagatavošanu un publicēšanu, konkrēti precizējot normas par prospektā atklājamo informāciju un kopsavilkumā norādāmo informāciju.</w:t>
            </w:r>
          </w:p>
          <w:p w14:paraId="020DAF47" w14:textId="1E2EF84A" w:rsidR="00CE5F93" w:rsidRPr="00CD4869" w:rsidRDefault="00CE5F93" w:rsidP="00CE5F93">
            <w:pPr>
              <w:ind w:firstLine="505"/>
              <w:jc w:val="both"/>
              <w:rPr>
                <w:noProof/>
              </w:rPr>
            </w:pPr>
            <w:r w:rsidRPr="009C3C7E">
              <w:rPr>
                <w:b/>
              </w:rPr>
              <w:t>IV</w:t>
            </w:r>
            <w:r>
              <w:rPr>
                <w:b/>
              </w:rPr>
              <w:t xml:space="preserve"> </w:t>
            </w:r>
            <w:r w:rsidRPr="00CD4869">
              <w:t>2006. gadā Finanšu instrumentu tirgus likumā tika ieviestas Eiropas</w:t>
            </w:r>
            <w:r w:rsidRPr="009F3FB3">
              <w:t xml:space="preserve"> Parlamenta un Padomes 2004.gada 21.aprīļa </w:t>
            </w:r>
            <w:r w:rsidRPr="00CD4869">
              <w:t>direktīvas </w:t>
            </w:r>
            <w:hyperlink r:id="rId14" w:tgtFrame="_blank" w:history="1">
              <w:r w:rsidRPr="00CD4869">
                <w:t>2004/25/EK</w:t>
              </w:r>
            </w:hyperlink>
            <w:r w:rsidRPr="009F3FB3">
              <w:t> par pārņemšanas piedāvājumiem</w:t>
            </w:r>
            <w:r>
              <w:t xml:space="preserve"> </w:t>
            </w:r>
            <w:r w:rsidRPr="00CD4869">
              <w:rPr>
                <w:noProof/>
              </w:rPr>
              <w:t>normas attiecībā uz akciju atpirkšanas piedāvājumiem. Kopš minētā laika akciju atpirkšanas piedāvājuma izteikšanas normu interpretācija dažādos aspektos ir radījusi daudz jautājumu gan mazākumakcionāru tiesību jomā, gan akciju atpirkšanas pienākuma definēšanas jomā. Direktīva daudzus jautājumus līdz šim ir atstājusi dalībvalstu regulēšanas ziņā</w:t>
            </w:r>
            <w:r w:rsidR="00300732">
              <w:rPr>
                <w:noProof/>
              </w:rPr>
              <w:t>.</w:t>
            </w:r>
            <w:r w:rsidRPr="00CD4869">
              <w:rPr>
                <w:noProof/>
              </w:rPr>
              <w:t xml:space="preserve"> </w:t>
            </w:r>
          </w:p>
          <w:p w14:paraId="5E0B7082" w14:textId="0DDFDA9A" w:rsidR="006B29D7" w:rsidRDefault="006B29D7" w:rsidP="006B29D7">
            <w:pPr>
              <w:ind w:firstLine="647"/>
              <w:jc w:val="both"/>
              <w:rPr>
                <w:rFonts w:eastAsia="Arial Unicode MS" w:cs="Mangal"/>
                <w:kern w:val="1"/>
                <w:lang w:eastAsia="hi-IN" w:bidi="hi-IN"/>
              </w:rPr>
            </w:pPr>
            <w:r>
              <w:rPr>
                <w:rFonts w:eastAsia="Arial Unicode MS" w:cs="Mangal"/>
                <w:kern w:val="1"/>
                <w:lang w:eastAsia="hi-IN" w:bidi="hi-IN"/>
              </w:rPr>
              <w:t xml:space="preserve">Izvērtējot šobrīd Finanšu instrumentu tirgus likuma 148.pantā noteikto soda apmēru par likuma 66.panta nosacījumu neizpildi, FKTK  secinājusi, ka minētais soda naudas apmērs 14 200 </w:t>
            </w:r>
            <w:proofErr w:type="spellStart"/>
            <w:r w:rsidRPr="006D04A6">
              <w:rPr>
                <w:rFonts w:eastAsia="Arial Unicode MS" w:cs="Mangal"/>
                <w:i/>
                <w:kern w:val="1"/>
                <w:lang w:eastAsia="hi-IN" w:bidi="hi-IN"/>
              </w:rPr>
              <w:t>euro</w:t>
            </w:r>
            <w:proofErr w:type="spellEnd"/>
            <w:r>
              <w:rPr>
                <w:rFonts w:eastAsia="Arial Unicode MS" w:cs="Mangal"/>
                <w:kern w:val="1"/>
                <w:lang w:eastAsia="hi-IN" w:bidi="hi-IN"/>
              </w:rPr>
              <w:t xml:space="preserve"> apmērā nesasniedz Administratīvā procesa likuma noteikto mērķi. </w:t>
            </w:r>
            <w:r w:rsidRPr="00631B83">
              <w:rPr>
                <w:rFonts w:eastAsia="Arial Unicode MS" w:cs="Mangal"/>
                <w:kern w:val="1"/>
                <w:lang w:eastAsia="hi-IN" w:bidi="hi-IN"/>
              </w:rPr>
              <w:t xml:space="preserve">Līdz šim atkārtoti, vai pat trīs reizes par </w:t>
            </w:r>
            <w:r>
              <w:rPr>
                <w:rFonts w:eastAsia="Arial Unicode MS" w:cs="Mangal"/>
                <w:kern w:val="1"/>
                <w:lang w:eastAsia="hi-IN" w:bidi="hi-IN"/>
              </w:rPr>
              <w:t xml:space="preserve">Finanšu instrumentu tirgus </w:t>
            </w:r>
            <w:r w:rsidRPr="00631B83">
              <w:rPr>
                <w:rFonts w:eastAsia="Arial Unicode MS" w:cs="Mangal"/>
                <w:kern w:val="1"/>
                <w:lang w:eastAsia="hi-IN" w:bidi="hi-IN"/>
              </w:rPr>
              <w:t>likuma 66.panta pārkāpumiem sodītas personas, kas saistītas ar 7 emitentiem</w:t>
            </w:r>
            <w:r>
              <w:rPr>
                <w:rFonts w:eastAsia="Arial Unicode MS" w:cs="Mangal"/>
                <w:kern w:val="1"/>
                <w:lang w:eastAsia="hi-IN" w:bidi="hi-IN"/>
              </w:rPr>
              <w:t xml:space="preserve"> un izvērtējot minēto personu rīcību, FKTK secina, ka līdzšinējais maksimāli noteiktais soda apmērs par Finanšu instrumentu tirgus likuma 66.panta pārkāpumu nav samērīgs pret līdzekļiem, kas personai jāiegulda, lai minētajā likuma pantā noteikto pienākumu izpildītu. Proti, personai ir izdevīgāk pārkāpt Finanšu instrumentu tirgus likuma 66.panta nosacījumus un samaksāt FKTK uzlikto sodu, nevis izpildīt Finanšu instrumentu tirgus likuma normā noteikto pienākumu. Minētais secinājums radies, izvērtējot finanšu instrumentu tirgus attīstību Latvijā un analizējot personu izdarīto Finanšu instrumentu tirgus likuma 66.panta nosacījumu neievērošanas biežumu un pārkāpumu būtību.</w:t>
            </w:r>
          </w:p>
          <w:p w14:paraId="7A6329BB" w14:textId="77E4EEFA" w:rsidR="00935862" w:rsidRDefault="006B29D7" w:rsidP="00CE5F93">
            <w:pPr>
              <w:pStyle w:val="BodyTextIndent"/>
              <w:ind w:firstLine="0"/>
              <w:rPr>
                <w:rFonts w:eastAsia="Arial Unicode MS" w:cs="Mangal"/>
                <w:kern w:val="1"/>
                <w:lang w:eastAsia="hi-IN" w:bidi="hi-IN"/>
              </w:rPr>
            </w:pPr>
            <w:r>
              <w:rPr>
                <w:rFonts w:eastAsia="Arial Unicode MS" w:cs="Mangal"/>
                <w:kern w:val="1"/>
                <w:lang w:eastAsia="hi-IN" w:bidi="hi-IN"/>
              </w:rPr>
              <w:t xml:space="preserve">Ņemot vērā minēto, FKTK piedāvā </w:t>
            </w:r>
            <w:r w:rsidR="0090751B">
              <w:rPr>
                <w:rFonts w:eastAsia="Arial Unicode MS" w:cs="Mangal"/>
                <w:kern w:val="1"/>
                <w:lang w:eastAsia="hi-IN" w:bidi="hi-IN"/>
              </w:rPr>
              <w:t xml:space="preserve">ar likumprojektu </w:t>
            </w:r>
            <w:r>
              <w:rPr>
                <w:rFonts w:eastAsia="Arial Unicode MS" w:cs="Mangal"/>
                <w:kern w:val="1"/>
                <w:lang w:eastAsia="hi-IN" w:bidi="hi-IN"/>
              </w:rPr>
              <w:t xml:space="preserve">veikt grozījumus </w:t>
            </w:r>
            <w:r w:rsidR="00E05FD6">
              <w:rPr>
                <w:rFonts w:eastAsia="Arial Unicode MS" w:cs="Mangal"/>
                <w:kern w:val="1"/>
                <w:lang w:eastAsia="hi-IN" w:bidi="hi-IN"/>
              </w:rPr>
              <w:t xml:space="preserve">Finanšu instrumentu tirgus </w:t>
            </w:r>
            <w:r>
              <w:rPr>
                <w:rFonts w:eastAsia="Arial Unicode MS" w:cs="Mangal"/>
                <w:kern w:val="1"/>
                <w:lang w:eastAsia="hi-IN" w:bidi="hi-IN"/>
              </w:rPr>
              <w:t xml:space="preserve">likuma 148.pantā, palielinot </w:t>
            </w:r>
            <w:r w:rsidR="0090751B">
              <w:rPr>
                <w:rFonts w:eastAsia="Arial Unicode MS" w:cs="Mangal"/>
                <w:kern w:val="1"/>
                <w:lang w:eastAsia="hi-IN" w:bidi="hi-IN"/>
              </w:rPr>
              <w:t>Finanšu instrumentu tirgus likuma 148.</w:t>
            </w:r>
            <w:r>
              <w:rPr>
                <w:rFonts w:eastAsia="Arial Unicode MS" w:cs="Mangal"/>
                <w:kern w:val="1"/>
                <w:lang w:eastAsia="hi-IN" w:bidi="hi-IN"/>
              </w:rPr>
              <w:t xml:space="preserve"> panta ceturtajā daļā noteikto soda apmēru no 14 200 </w:t>
            </w:r>
            <w:proofErr w:type="spellStart"/>
            <w:r w:rsidRPr="00527558">
              <w:rPr>
                <w:rFonts w:eastAsia="Arial Unicode MS" w:cs="Mangal"/>
                <w:i/>
                <w:kern w:val="1"/>
                <w:lang w:eastAsia="hi-IN" w:bidi="hi-IN"/>
              </w:rPr>
              <w:t>euro</w:t>
            </w:r>
            <w:proofErr w:type="spellEnd"/>
            <w:r>
              <w:rPr>
                <w:rFonts w:eastAsia="Arial Unicode MS" w:cs="Mangal"/>
                <w:kern w:val="1"/>
                <w:lang w:eastAsia="hi-IN" w:bidi="hi-IN"/>
              </w:rPr>
              <w:t xml:space="preserve"> līdz 700 000 </w:t>
            </w:r>
            <w:proofErr w:type="spellStart"/>
            <w:r w:rsidRPr="00527558">
              <w:rPr>
                <w:rFonts w:eastAsia="Arial Unicode MS" w:cs="Mangal"/>
                <w:i/>
                <w:kern w:val="1"/>
                <w:lang w:eastAsia="hi-IN" w:bidi="hi-IN"/>
              </w:rPr>
              <w:t>euro</w:t>
            </w:r>
            <w:proofErr w:type="spellEnd"/>
            <w:r>
              <w:rPr>
                <w:rFonts w:eastAsia="Arial Unicode MS" w:cs="Mangal"/>
                <w:kern w:val="1"/>
                <w:lang w:eastAsia="hi-IN" w:bidi="hi-IN"/>
              </w:rPr>
              <w:t>. Konkrētais soda naudas apmērs izvēlēts</w:t>
            </w:r>
            <w:r w:rsidR="00E05FD6">
              <w:rPr>
                <w:rFonts w:eastAsia="Arial Unicode MS" w:cs="Mangal"/>
                <w:kern w:val="1"/>
                <w:lang w:eastAsia="hi-IN" w:bidi="hi-IN"/>
              </w:rPr>
              <w:t>,</w:t>
            </w:r>
            <w:r>
              <w:rPr>
                <w:rFonts w:eastAsia="Arial Unicode MS" w:cs="Mangal"/>
                <w:kern w:val="1"/>
                <w:lang w:eastAsia="hi-IN" w:bidi="hi-IN"/>
              </w:rPr>
              <w:t xml:space="preserve"> izvērtējot šīs anotācijas II sadaļā minētajā </w:t>
            </w:r>
            <w:r w:rsidR="00F82D21">
              <w:t xml:space="preserve">Eiropas Parlamenta un Padomes 2014. gada 16. aprīļa </w:t>
            </w:r>
            <w:r w:rsidR="00E05FD6">
              <w:t>r</w:t>
            </w:r>
            <w:r w:rsidR="00F82D21">
              <w:t xml:space="preserve">egulas Nr. 596/2014 par tirgus ļaunprātīgu izmantošanu </w:t>
            </w:r>
            <w:r>
              <w:rPr>
                <w:rFonts w:eastAsia="Arial Unicode MS" w:cs="Mangal"/>
                <w:kern w:val="1"/>
                <w:lang w:eastAsia="hi-IN" w:bidi="hi-IN"/>
              </w:rPr>
              <w:t>noteikto soda sankciju apmēru</w:t>
            </w:r>
            <w:r w:rsidR="00F82D21">
              <w:rPr>
                <w:rFonts w:eastAsia="Arial Unicode MS" w:cs="Mangal"/>
                <w:kern w:val="1"/>
                <w:lang w:eastAsia="hi-IN" w:bidi="hi-IN"/>
              </w:rPr>
              <w:t>.</w:t>
            </w:r>
            <w:r w:rsidR="0090751B">
              <w:rPr>
                <w:rFonts w:eastAsia="Arial Unicode MS" w:cs="Mangal"/>
                <w:kern w:val="1"/>
                <w:lang w:eastAsia="hi-IN" w:bidi="hi-IN"/>
              </w:rPr>
              <w:t xml:space="preserve"> </w:t>
            </w:r>
          </w:p>
          <w:p w14:paraId="5870B278" w14:textId="7C550C6E" w:rsidR="00535E2F" w:rsidRDefault="00535E2F" w:rsidP="00CE5F93">
            <w:pPr>
              <w:pStyle w:val="BodyTextIndent"/>
              <w:ind w:firstLine="0"/>
              <w:rPr>
                <w:rFonts w:eastAsia="Arial Unicode MS" w:cs="Mangal"/>
                <w:kern w:val="1"/>
                <w:lang w:eastAsia="hi-IN" w:bidi="hi-IN"/>
              </w:rPr>
            </w:pPr>
            <w:r w:rsidRPr="0052013C">
              <w:rPr>
                <w:rFonts w:eastAsia="Arial Unicode MS" w:cs="Mangal"/>
                <w:kern w:val="1"/>
                <w:lang w:eastAsia="hi-IN" w:bidi="hi-IN"/>
              </w:rPr>
              <w:t xml:space="preserve">Likumprojektā, nosakot, kāda informācija emitentam ir jāatklāj </w:t>
            </w:r>
            <w:r w:rsidR="000931FC" w:rsidRPr="0052013C">
              <w:rPr>
                <w:rFonts w:eastAsia="Arial Unicode MS" w:cs="Mangal"/>
                <w:kern w:val="1"/>
                <w:lang w:eastAsia="hi-IN" w:bidi="hi-IN"/>
              </w:rPr>
              <w:t xml:space="preserve">tā </w:t>
            </w:r>
            <w:proofErr w:type="spellStart"/>
            <w:r w:rsidR="000931FC" w:rsidRPr="0052013C">
              <w:rPr>
                <w:rFonts w:eastAsia="Arial Unicode MS" w:cs="Mangal"/>
                <w:kern w:val="1"/>
                <w:lang w:eastAsia="hi-IN" w:bidi="hi-IN"/>
              </w:rPr>
              <w:t>starpperioda</w:t>
            </w:r>
            <w:proofErr w:type="spellEnd"/>
            <w:r w:rsidR="000931FC" w:rsidRPr="0052013C">
              <w:rPr>
                <w:rFonts w:eastAsia="Arial Unicode MS" w:cs="Mangal"/>
                <w:kern w:val="1"/>
                <w:lang w:eastAsia="hi-IN" w:bidi="hi-IN"/>
              </w:rPr>
              <w:t xml:space="preserve"> pārskatā (par pirmajiem pārskata gada sešiem mēnešiem), un k</w:t>
            </w:r>
            <w:r w:rsidR="006674CB">
              <w:rPr>
                <w:rFonts w:eastAsia="Arial Unicode MS" w:cs="Mangal"/>
                <w:kern w:val="1"/>
                <w:lang w:eastAsia="hi-IN" w:bidi="hi-IN"/>
              </w:rPr>
              <w:t xml:space="preserve">āda jāsniedz, sagatavojot finanšu informāciju par trim un deviņiem </w:t>
            </w:r>
            <w:r w:rsidR="000931FC" w:rsidRPr="0052013C">
              <w:rPr>
                <w:rFonts w:eastAsia="Arial Unicode MS" w:cs="Mangal"/>
                <w:kern w:val="1"/>
                <w:lang w:eastAsia="hi-IN" w:bidi="hi-IN"/>
              </w:rPr>
              <w:t xml:space="preserve">mēnešiem, </w:t>
            </w:r>
            <w:r w:rsidR="00F82D21">
              <w:rPr>
                <w:rFonts w:eastAsia="Arial Unicode MS" w:cs="Mangal"/>
                <w:kern w:val="1"/>
                <w:lang w:eastAsia="hi-IN" w:bidi="hi-IN"/>
              </w:rPr>
              <w:t>FKTK</w:t>
            </w:r>
            <w:r w:rsidR="000931FC" w:rsidRPr="0052013C">
              <w:rPr>
                <w:rFonts w:eastAsia="Arial Unicode MS" w:cs="Mangal"/>
                <w:kern w:val="1"/>
                <w:lang w:eastAsia="hi-IN" w:bidi="hi-IN"/>
              </w:rPr>
              <w:t xml:space="preserve"> ir noteikusi prasības, kuras </w:t>
            </w:r>
            <w:r w:rsidR="006674CB" w:rsidRPr="0090751B">
              <w:rPr>
                <w:rFonts w:eastAsia="Arial Unicode MS" w:cs="Mangal"/>
                <w:kern w:val="1"/>
                <w:lang w:eastAsia="hi-IN" w:bidi="hi-IN"/>
              </w:rPr>
              <w:t xml:space="preserve">jāņem vērā kapitālsabiedrībām, sagatavojot </w:t>
            </w:r>
            <w:r w:rsidR="00E05FD6">
              <w:rPr>
                <w:rFonts w:eastAsia="Arial Unicode MS" w:cs="Mangal"/>
                <w:kern w:val="1"/>
                <w:lang w:eastAsia="hi-IN" w:bidi="hi-IN"/>
              </w:rPr>
              <w:t>likumprojekta</w:t>
            </w:r>
            <w:r w:rsidR="00CC215E">
              <w:rPr>
                <w:rFonts w:eastAsia="Arial Unicode MS" w:cs="Mangal"/>
                <w:kern w:val="1"/>
                <w:lang w:eastAsia="hi-IN" w:bidi="hi-IN"/>
              </w:rPr>
              <w:t xml:space="preserve"> 23.pantā ietverto</w:t>
            </w:r>
            <w:r w:rsidR="00E05FD6">
              <w:rPr>
                <w:rFonts w:eastAsia="Arial Unicode MS" w:cs="Mangal"/>
                <w:kern w:val="1"/>
                <w:lang w:eastAsia="hi-IN" w:bidi="hi-IN"/>
              </w:rPr>
              <w:t xml:space="preserve"> </w:t>
            </w:r>
            <w:r w:rsidR="006674CB" w:rsidRPr="0090751B">
              <w:rPr>
                <w:rFonts w:eastAsia="Arial Unicode MS" w:cs="Mangal"/>
                <w:kern w:val="1"/>
                <w:lang w:eastAsia="hi-IN" w:bidi="hi-IN"/>
              </w:rPr>
              <w:t xml:space="preserve">Finanšu </w:t>
            </w:r>
            <w:r w:rsidR="006674CB" w:rsidRPr="0090751B">
              <w:rPr>
                <w:rFonts w:eastAsia="Arial Unicode MS" w:cs="Mangal"/>
                <w:kern w:val="1"/>
                <w:lang w:eastAsia="hi-IN" w:bidi="hi-IN"/>
              </w:rPr>
              <w:lastRenderedPageBreak/>
              <w:t>instrumentu tirgus likuma 57. pantā minēto informāciju</w:t>
            </w:r>
            <w:r w:rsidR="0052013C">
              <w:rPr>
                <w:rFonts w:eastAsia="Arial Unicode MS" w:cs="Mangal"/>
                <w:kern w:val="1"/>
                <w:lang w:eastAsia="hi-IN" w:bidi="hi-IN"/>
              </w:rPr>
              <w:t xml:space="preserve">, atkarībā no tā, pēc kādām prasībām tiek sagatavota minētā informācija (saskaņā ar </w:t>
            </w:r>
            <w:r w:rsidR="0052013C" w:rsidRPr="001D1F7A">
              <w:rPr>
                <w:rFonts w:eastAsia="Arial Unicode MS" w:cs="Mangal"/>
                <w:kern w:val="1"/>
                <w:lang w:eastAsia="hi-IN" w:bidi="hi-IN"/>
              </w:rPr>
              <w:t xml:space="preserve">izcelsmes dalībvalsts </w:t>
            </w:r>
            <w:r w:rsidR="0052013C">
              <w:rPr>
                <w:rFonts w:eastAsia="Arial Unicode MS" w:cs="Mangal"/>
                <w:kern w:val="1"/>
                <w:lang w:eastAsia="hi-IN" w:bidi="hi-IN"/>
              </w:rPr>
              <w:t xml:space="preserve">prasībām, Starptautiskajiem finanšu pārskatu standartiem vai arī izmatojot arī </w:t>
            </w:r>
            <w:r w:rsidR="0052013C" w:rsidRPr="00276D21">
              <w:rPr>
                <w:rFonts w:eastAsia="Arial Unicode MS" w:cs="Mangal"/>
                <w:kern w:val="1"/>
                <w:lang w:eastAsia="hi-IN" w:bidi="hi-IN"/>
              </w:rPr>
              <w:t>Starptautiskos finanšu pārskatu standartu posteņu atzīšanas un novērtēšanas principus</w:t>
            </w:r>
            <w:r w:rsidR="0052013C">
              <w:rPr>
                <w:rFonts w:eastAsia="Arial Unicode MS" w:cs="Mangal"/>
                <w:kern w:val="1"/>
                <w:lang w:eastAsia="hi-IN" w:bidi="hi-IN"/>
              </w:rPr>
              <w:t xml:space="preserve">), </w:t>
            </w:r>
            <w:r w:rsidR="004F6833" w:rsidRPr="0052013C">
              <w:rPr>
                <w:rFonts w:eastAsia="Arial Unicode MS" w:cs="Mangal"/>
                <w:kern w:val="1"/>
                <w:lang w:eastAsia="hi-IN" w:bidi="hi-IN"/>
              </w:rPr>
              <w:t>k</w:t>
            </w:r>
            <w:r w:rsidR="000931FC" w:rsidRPr="0052013C">
              <w:rPr>
                <w:rFonts w:eastAsia="Arial Unicode MS" w:cs="Mangal"/>
                <w:kern w:val="1"/>
                <w:lang w:eastAsia="hi-IN" w:bidi="hi-IN"/>
              </w:rPr>
              <w:t>ā arī ir noteikts, no kā sastāv saīsinātais finan</w:t>
            </w:r>
            <w:r w:rsidR="006674CB">
              <w:rPr>
                <w:rFonts w:eastAsia="Arial Unicode MS" w:cs="Mangal"/>
                <w:kern w:val="1"/>
                <w:lang w:eastAsia="hi-IN" w:bidi="hi-IN"/>
              </w:rPr>
              <w:t>šu pārskats (kas sniedzams par pārskata gada pirmajiem sešiem mēnešiem), un kādi posteņi un starpsummas iekļaujamas, sniedzot finanšu informāciju par pārskata gada trim un deviņiem mēnešiem.</w:t>
            </w:r>
            <w:r w:rsidR="004F6833">
              <w:rPr>
                <w:rFonts w:eastAsia="Arial Unicode MS" w:cs="Mangal"/>
                <w:kern w:val="1"/>
                <w:lang w:eastAsia="hi-IN" w:bidi="hi-IN"/>
              </w:rPr>
              <w:t xml:space="preserve"> </w:t>
            </w:r>
            <w:r w:rsidR="000931FC">
              <w:rPr>
                <w:rFonts w:eastAsia="Arial Unicode MS" w:cs="Mangal"/>
                <w:kern w:val="1"/>
                <w:lang w:eastAsia="hi-IN" w:bidi="hi-IN"/>
              </w:rPr>
              <w:t xml:space="preserve">   </w:t>
            </w:r>
          </w:p>
          <w:p w14:paraId="220A1D1F" w14:textId="77777777" w:rsidR="00554757" w:rsidRDefault="00554757" w:rsidP="0090751B">
            <w:pPr>
              <w:jc w:val="both"/>
            </w:pPr>
          </w:p>
        </w:tc>
      </w:tr>
      <w:tr w:rsidR="00CE5F93" w14:paraId="62B9D301" w14:textId="77777777" w:rsidTr="00575F9E">
        <w:trPr>
          <w:trHeight w:val="169"/>
          <w:jc w:val="center"/>
        </w:trPr>
        <w:tc>
          <w:tcPr>
            <w:tcW w:w="499" w:type="dxa"/>
            <w:vAlign w:val="center"/>
          </w:tcPr>
          <w:p w14:paraId="5A4145EA" w14:textId="073B682B" w:rsidR="00CE5F93" w:rsidRDefault="00CE5F93" w:rsidP="00575F9E">
            <w:pPr>
              <w:pStyle w:val="naiskr"/>
              <w:spacing w:before="0" w:after="0"/>
              <w:ind w:left="-355"/>
              <w:jc w:val="center"/>
            </w:pPr>
            <w:r>
              <w:lastRenderedPageBreak/>
              <w:t xml:space="preserve">      3.</w:t>
            </w:r>
          </w:p>
        </w:tc>
        <w:tc>
          <w:tcPr>
            <w:tcW w:w="1908" w:type="dxa"/>
          </w:tcPr>
          <w:p w14:paraId="1524043E" w14:textId="77777777" w:rsidR="00CE5F93" w:rsidRDefault="00CE5F93">
            <w:pPr>
              <w:pStyle w:val="naiskr"/>
              <w:spacing w:before="0" w:after="0"/>
            </w:pPr>
            <w:r>
              <w:t>Projekta izstrādē iesaistītās institūcijas</w:t>
            </w:r>
          </w:p>
        </w:tc>
        <w:tc>
          <w:tcPr>
            <w:tcW w:w="6941" w:type="dxa"/>
          </w:tcPr>
          <w:p w14:paraId="21C37706" w14:textId="77777777" w:rsidR="00CE5F93" w:rsidRDefault="00CE5F93" w:rsidP="00CE5F93">
            <w:pPr>
              <w:spacing w:after="120"/>
              <w:jc w:val="both"/>
            </w:pPr>
            <w:r>
              <w:t>Finanšu un kapitāla tirgus komisija</w:t>
            </w:r>
            <w:r w:rsidRPr="00D31544">
              <w:t xml:space="preserve">, Latvijas </w:t>
            </w:r>
            <w:r>
              <w:t xml:space="preserve">Komercbanku asociācija, Latvijas Finanšu instrumentu tirgus asociācija, </w:t>
            </w:r>
            <w:proofErr w:type="spellStart"/>
            <w:r>
              <w:t>Nasdaq</w:t>
            </w:r>
            <w:proofErr w:type="spellEnd"/>
            <w:r>
              <w:t xml:space="preserve"> </w:t>
            </w:r>
            <w:proofErr w:type="spellStart"/>
            <w:r>
              <w:t>Riga</w:t>
            </w:r>
            <w:proofErr w:type="spellEnd"/>
            <w:r>
              <w:t>, AS.</w:t>
            </w:r>
          </w:p>
        </w:tc>
      </w:tr>
      <w:tr w:rsidR="00CE5F93" w14:paraId="15C801BE" w14:textId="77777777">
        <w:trPr>
          <w:trHeight w:val="339"/>
          <w:jc w:val="center"/>
        </w:trPr>
        <w:tc>
          <w:tcPr>
            <w:tcW w:w="499" w:type="dxa"/>
          </w:tcPr>
          <w:p w14:paraId="0DE0C58D" w14:textId="77777777" w:rsidR="00CE5F93" w:rsidRDefault="00CE5F93">
            <w:pPr>
              <w:pStyle w:val="naiskr"/>
              <w:spacing w:before="0" w:after="0"/>
              <w:jc w:val="center"/>
            </w:pPr>
            <w:r>
              <w:t>4.</w:t>
            </w:r>
          </w:p>
        </w:tc>
        <w:tc>
          <w:tcPr>
            <w:tcW w:w="1908" w:type="dxa"/>
          </w:tcPr>
          <w:p w14:paraId="03077331" w14:textId="77777777" w:rsidR="00CE5F93" w:rsidRDefault="00CE5F93">
            <w:pPr>
              <w:pStyle w:val="naiskr"/>
              <w:spacing w:before="0" w:after="0"/>
            </w:pPr>
            <w:r>
              <w:t>Cita informācija</w:t>
            </w:r>
          </w:p>
        </w:tc>
        <w:tc>
          <w:tcPr>
            <w:tcW w:w="6941" w:type="dxa"/>
          </w:tcPr>
          <w:p w14:paraId="4FDABE6B" w14:textId="77777777" w:rsidR="00CE5F93" w:rsidRDefault="00CE5F93" w:rsidP="00BC4BE3">
            <w:pPr>
              <w:pStyle w:val="naiskr"/>
              <w:spacing w:before="0" w:after="0"/>
              <w:jc w:val="both"/>
            </w:pPr>
            <w:r>
              <w:t>Nav.</w:t>
            </w:r>
          </w:p>
        </w:tc>
      </w:tr>
    </w:tbl>
    <w:p w14:paraId="34F78B99" w14:textId="77777777" w:rsidR="0018086A" w:rsidRDefault="0018086A">
      <w:pPr>
        <w:pStyle w:val="naisf"/>
        <w:spacing w:before="0" w:after="0"/>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4575"/>
        <w:gridCol w:w="4316"/>
      </w:tblGrid>
      <w:tr w:rsidR="0018086A" w14:paraId="52E69750" w14:textId="77777777">
        <w:trPr>
          <w:jc w:val="center"/>
        </w:trPr>
        <w:tc>
          <w:tcPr>
            <w:tcW w:w="9346" w:type="dxa"/>
            <w:gridSpan w:val="3"/>
            <w:vAlign w:val="center"/>
          </w:tcPr>
          <w:p w14:paraId="17B3418E" w14:textId="77777777" w:rsidR="0018086A" w:rsidRDefault="0018086A">
            <w:pPr>
              <w:pStyle w:val="naisnod"/>
              <w:spacing w:before="0" w:after="120"/>
              <w:rPr>
                <w:highlight w:val="yellow"/>
              </w:rPr>
            </w:pPr>
            <w:r>
              <w:t>II. Tiesību akta projekta ietekme uz sabiedrību</w:t>
            </w:r>
          </w:p>
        </w:tc>
      </w:tr>
      <w:tr w:rsidR="0018086A" w14:paraId="79AA48A4" w14:textId="77777777">
        <w:trPr>
          <w:trHeight w:val="38"/>
          <w:jc w:val="center"/>
        </w:trPr>
        <w:tc>
          <w:tcPr>
            <w:tcW w:w="455" w:type="dxa"/>
            <w:vAlign w:val="center"/>
          </w:tcPr>
          <w:p w14:paraId="7347B0C6" w14:textId="77777777" w:rsidR="0018086A" w:rsidRDefault="0018086A">
            <w:pPr>
              <w:pStyle w:val="naisnod"/>
              <w:spacing w:before="0" w:after="0"/>
              <w:rPr>
                <w:b w:val="0"/>
              </w:rPr>
            </w:pPr>
            <w:r>
              <w:rPr>
                <w:b w:val="0"/>
              </w:rPr>
              <w:t>1.</w:t>
            </w:r>
          </w:p>
        </w:tc>
        <w:tc>
          <w:tcPr>
            <w:tcW w:w="0" w:type="auto"/>
            <w:vAlign w:val="center"/>
          </w:tcPr>
          <w:p w14:paraId="20559E88" w14:textId="77777777" w:rsidR="0018086A" w:rsidRPr="00575F9E" w:rsidRDefault="00575F9E">
            <w:pPr>
              <w:spacing w:before="100" w:beforeAutospacing="1" w:after="100" w:afterAutospacing="1"/>
            </w:pPr>
            <w:r w:rsidRPr="00575F9E">
              <w:t xml:space="preserve">Sabiedrības </w:t>
            </w:r>
            <w:proofErr w:type="spellStart"/>
            <w:r w:rsidRPr="00575F9E">
              <w:t>mērķgrupas</w:t>
            </w:r>
            <w:proofErr w:type="spellEnd"/>
            <w:r w:rsidRPr="00575F9E">
              <w:t>, kuras tiesiskais regulējums ietekmē vai varētu ietekmēt</w:t>
            </w:r>
          </w:p>
        </w:tc>
        <w:tc>
          <w:tcPr>
            <w:tcW w:w="0" w:type="auto"/>
            <w:vAlign w:val="center"/>
          </w:tcPr>
          <w:p w14:paraId="0FAF91F7" w14:textId="77777777" w:rsidR="0018086A" w:rsidRDefault="00486CB0" w:rsidP="006B009C">
            <w:pPr>
              <w:pStyle w:val="naisnod"/>
              <w:spacing w:before="0" w:after="120"/>
              <w:jc w:val="both"/>
              <w:rPr>
                <w:b w:val="0"/>
              </w:rPr>
            </w:pPr>
            <w:r w:rsidRPr="00D31544">
              <w:rPr>
                <w:b w:val="0"/>
              </w:rPr>
              <w:t xml:space="preserve">Likumprojekta tiesiskais regulējums attiecas uz </w:t>
            </w:r>
            <w:r w:rsidR="00CE5F93">
              <w:rPr>
                <w:b w:val="0"/>
              </w:rPr>
              <w:t>finanšu tirgus dalībniekiem.</w:t>
            </w:r>
          </w:p>
          <w:p w14:paraId="5D7F59F1" w14:textId="77777777" w:rsidR="00486CB0" w:rsidRDefault="00486CB0" w:rsidP="00A3159E">
            <w:pPr>
              <w:pStyle w:val="naisnod"/>
              <w:spacing w:before="0" w:after="120"/>
              <w:jc w:val="both"/>
              <w:rPr>
                <w:b w:val="0"/>
                <w:highlight w:val="yellow"/>
              </w:rPr>
            </w:pPr>
          </w:p>
        </w:tc>
      </w:tr>
      <w:tr w:rsidR="0018086A" w14:paraId="4C2ED80A" w14:textId="77777777">
        <w:trPr>
          <w:trHeight w:val="34"/>
          <w:jc w:val="center"/>
        </w:trPr>
        <w:tc>
          <w:tcPr>
            <w:tcW w:w="455" w:type="dxa"/>
            <w:vAlign w:val="center"/>
          </w:tcPr>
          <w:p w14:paraId="14B1B078" w14:textId="77777777" w:rsidR="0018086A" w:rsidRDefault="00575F9E">
            <w:pPr>
              <w:pStyle w:val="naisnod"/>
              <w:spacing w:before="0" w:after="0"/>
              <w:rPr>
                <w:b w:val="0"/>
              </w:rPr>
            </w:pPr>
            <w:r>
              <w:rPr>
                <w:b w:val="0"/>
              </w:rPr>
              <w:t>2</w:t>
            </w:r>
            <w:r w:rsidR="0018086A">
              <w:rPr>
                <w:b w:val="0"/>
              </w:rPr>
              <w:t>.</w:t>
            </w:r>
          </w:p>
        </w:tc>
        <w:tc>
          <w:tcPr>
            <w:tcW w:w="0" w:type="auto"/>
            <w:vAlign w:val="center"/>
          </w:tcPr>
          <w:p w14:paraId="7FCBACDA" w14:textId="77777777" w:rsidR="0018086A" w:rsidRPr="00575F9E" w:rsidRDefault="00575F9E">
            <w:pPr>
              <w:spacing w:before="100" w:beforeAutospacing="1" w:after="100" w:afterAutospacing="1"/>
            </w:pPr>
            <w:r w:rsidRPr="00575F9E">
              <w:t>Tiesiskā regulējuma ietekme uz tautsaimniecību un administratīvo slogu</w:t>
            </w:r>
          </w:p>
        </w:tc>
        <w:tc>
          <w:tcPr>
            <w:tcW w:w="0" w:type="auto"/>
            <w:vAlign w:val="center"/>
          </w:tcPr>
          <w:p w14:paraId="43B32F6A" w14:textId="77777777" w:rsidR="0018086A" w:rsidRPr="00935862" w:rsidRDefault="001951E5" w:rsidP="00E513B6">
            <w:pPr>
              <w:spacing w:after="120"/>
              <w:jc w:val="both"/>
            </w:pPr>
            <w:r w:rsidRPr="00935862">
              <w:t>Projekts šo jomu neskar</w:t>
            </w:r>
            <w:r w:rsidR="00B3558E" w:rsidRPr="00935862">
              <w:t>.</w:t>
            </w:r>
          </w:p>
        </w:tc>
      </w:tr>
      <w:tr w:rsidR="0018086A" w14:paraId="1879FC2A" w14:textId="77777777">
        <w:trPr>
          <w:trHeight w:val="34"/>
          <w:jc w:val="center"/>
        </w:trPr>
        <w:tc>
          <w:tcPr>
            <w:tcW w:w="455" w:type="dxa"/>
            <w:vAlign w:val="center"/>
          </w:tcPr>
          <w:p w14:paraId="3C22CC01" w14:textId="77777777" w:rsidR="0018086A" w:rsidRDefault="00575F9E">
            <w:pPr>
              <w:pStyle w:val="naisnod"/>
              <w:spacing w:before="0" w:after="0"/>
              <w:rPr>
                <w:b w:val="0"/>
              </w:rPr>
            </w:pPr>
            <w:r>
              <w:rPr>
                <w:b w:val="0"/>
              </w:rPr>
              <w:t>3</w:t>
            </w:r>
            <w:r w:rsidR="0018086A">
              <w:rPr>
                <w:b w:val="0"/>
              </w:rPr>
              <w:t>.</w:t>
            </w:r>
          </w:p>
        </w:tc>
        <w:tc>
          <w:tcPr>
            <w:tcW w:w="0" w:type="auto"/>
            <w:vAlign w:val="center"/>
          </w:tcPr>
          <w:p w14:paraId="1DF90A12" w14:textId="77777777" w:rsidR="0018086A" w:rsidRDefault="0018086A">
            <w:pPr>
              <w:spacing w:before="100" w:beforeAutospacing="1" w:after="100" w:afterAutospacing="1"/>
              <w:rPr>
                <w:b/>
              </w:rPr>
            </w:pPr>
            <w:r>
              <w:t>Administratīvo izmaksu monetārs novērtējums</w:t>
            </w:r>
          </w:p>
        </w:tc>
        <w:tc>
          <w:tcPr>
            <w:tcW w:w="0" w:type="auto"/>
            <w:vAlign w:val="center"/>
          </w:tcPr>
          <w:p w14:paraId="760427DB" w14:textId="77777777" w:rsidR="0018086A" w:rsidRPr="00935862" w:rsidRDefault="001951E5" w:rsidP="006B009C">
            <w:pPr>
              <w:pStyle w:val="naisnod"/>
              <w:spacing w:before="0" w:after="0"/>
              <w:jc w:val="both"/>
              <w:rPr>
                <w:b w:val="0"/>
              </w:rPr>
            </w:pPr>
            <w:r w:rsidRPr="00935862">
              <w:rPr>
                <w:b w:val="0"/>
              </w:rPr>
              <w:t>Projekts šo jomu neskar</w:t>
            </w:r>
            <w:r w:rsidR="00B3558E" w:rsidRPr="00935862">
              <w:rPr>
                <w:b w:val="0"/>
              </w:rPr>
              <w:t>.</w:t>
            </w:r>
          </w:p>
        </w:tc>
      </w:tr>
      <w:tr w:rsidR="0018086A" w14:paraId="40C3B426" w14:textId="77777777">
        <w:trPr>
          <w:trHeight w:val="34"/>
          <w:jc w:val="center"/>
        </w:trPr>
        <w:tc>
          <w:tcPr>
            <w:tcW w:w="455" w:type="dxa"/>
            <w:vAlign w:val="center"/>
          </w:tcPr>
          <w:p w14:paraId="1ACB97A0" w14:textId="77777777" w:rsidR="0018086A" w:rsidRDefault="0018086A">
            <w:pPr>
              <w:pStyle w:val="naisnod"/>
              <w:spacing w:before="0" w:after="0"/>
              <w:rPr>
                <w:b w:val="0"/>
              </w:rPr>
            </w:pPr>
            <w:r>
              <w:rPr>
                <w:b w:val="0"/>
              </w:rPr>
              <w:t>7.</w:t>
            </w:r>
          </w:p>
        </w:tc>
        <w:tc>
          <w:tcPr>
            <w:tcW w:w="0" w:type="auto"/>
            <w:vAlign w:val="center"/>
          </w:tcPr>
          <w:p w14:paraId="0F8489BA" w14:textId="77777777" w:rsidR="0018086A" w:rsidRDefault="0018086A">
            <w:pPr>
              <w:pStyle w:val="naisc"/>
              <w:spacing w:before="100" w:beforeAutospacing="1" w:after="100" w:afterAutospacing="1"/>
              <w:jc w:val="left"/>
              <w:rPr>
                <w:b/>
              </w:rPr>
            </w:pPr>
            <w:r>
              <w:t>Cita informācija</w:t>
            </w:r>
          </w:p>
        </w:tc>
        <w:tc>
          <w:tcPr>
            <w:tcW w:w="0" w:type="auto"/>
            <w:vAlign w:val="center"/>
          </w:tcPr>
          <w:p w14:paraId="6AA46BAD" w14:textId="77777777" w:rsidR="0018086A" w:rsidRDefault="0018086A" w:rsidP="006B009C">
            <w:pPr>
              <w:pStyle w:val="naisnod"/>
              <w:spacing w:before="0" w:after="0"/>
              <w:jc w:val="left"/>
              <w:rPr>
                <w:b w:val="0"/>
              </w:rPr>
            </w:pPr>
            <w:r>
              <w:rPr>
                <w:b w:val="0"/>
              </w:rPr>
              <w:t>Nav</w:t>
            </w:r>
            <w:r w:rsidR="00745F3A">
              <w:rPr>
                <w:b w:val="0"/>
              </w:rPr>
              <w:t>.</w:t>
            </w:r>
          </w:p>
        </w:tc>
      </w:tr>
    </w:tbl>
    <w:p w14:paraId="2EE2E9A7" w14:textId="77777777" w:rsidR="0018086A" w:rsidRDefault="0018086A">
      <w:pPr>
        <w:pStyle w:val="naiskr"/>
        <w:tabs>
          <w:tab w:val="left" w:pos="2628"/>
        </w:tabs>
        <w:spacing w:before="0" w:after="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296"/>
        <w:gridCol w:w="1331"/>
        <w:gridCol w:w="1344"/>
        <w:gridCol w:w="1345"/>
        <w:gridCol w:w="1401"/>
      </w:tblGrid>
      <w:tr w:rsidR="00B85895" w:rsidRPr="0090751B" w14:paraId="40096F2C" w14:textId="77777777" w:rsidTr="000052FB">
        <w:trPr>
          <w:trHeight w:val="652"/>
          <w:jc w:val="center"/>
        </w:trPr>
        <w:tc>
          <w:tcPr>
            <w:tcW w:w="9351" w:type="dxa"/>
            <w:gridSpan w:val="6"/>
            <w:tcBorders>
              <w:top w:val="single" w:sz="4" w:space="0" w:color="auto"/>
              <w:left w:val="single" w:sz="4" w:space="0" w:color="auto"/>
              <w:bottom w:val="single" w:sz="4" w:space="0" w:color="auto"/>
              <w:right w:val="single" w:sz="4" w:space="0" w:color="auto"/>
            </w:tcBorders>
          </w:tcPr>
          <w:p w14:paraId="522A68F5" w14:textId="77777777" w:rsidR="00B85895" w:rsidRPr="0090751B" w:rsidRDefault="00B85895" w:rsidP="00B85895">
            <w:pPr>
              <w:pStyle w:val="naisnod"/>
              <w:spacing w:before="0" w:after="0"/>
              <w:rPr>
                <w:i/>
              </w:rPr>
            </w:pPr>
            <w:r w:rsidRPr="0090751B">
              <w:rPr>
                <w:b w:val="0"/>
                <w:bCs w:val="0"/>
              </w:rPr>
              <w:br w:type="page"/>
            </w:r>
            <w:r w:rsidRPr="0090751B">
              <w:t>III. Tiesību akta projekta ietekme uz valsts budžetu un pašvaldību budžetiem</w:t>
            </w:r>
          </w:p>
        </w:tc>
      </w:tr>
      <w:tr w:rsidR="00B85895" w:rsidRPr="0090751B" w14:paraId="28EF7301" w14:textId="77777777" w:rsidTr="000052FB">
        <w:trPr>
          <w:jc w:val="center"/>
        </w:trPr>
        <w:tc>
          <w:tcPr>
            <w:tcW w:w="2634" w:type="dxa"/>
            <w:vMerge w:val="restart"/>
            <w:tcBorders>
              <w:top w:val="single" w:sz="4" w:space="0" w:color="auto"/>
              <w:left w:val="single" w:sz="4" w:space="0" w:color="auto"/>
              <w:bottom w:val="single" w:sz="4" w:space="0" w:color="auto"/>
              <w:right w:val="single" w:sz="4" w:space="0" w:color="auto"/>
            </w:tcBorders>
            <w:vAlign w:val="center"/>
          </w:tcPr>
          <w:p w14:paraId="44FAC19A" w14:textId="77777777" w:rsidR="00B85895" w:rsidRPr="0090751B" w:rsidRDefault="00B85895" w:rsidP="00B85895">
            <w:pPr>
              <w:pStyle w:val="naisf"/>
              <w:spacing w:before="0" w:after="0"/>
              <w:ind w:firstLine="0"/>
              <w:jc w:val="center"/>
              <w:rPr>
                <w:b/>
              </w:rPr>
            </w:pPr>
            <w:r w:rsidRPr="0090751B">
              <w:rPr>
                <w:b/>
              </w:rPr>
              <w:t>Rādītāji</w:t>
            </w:r>
          </w:p>
        </w:tc>
        <w:tc>
          <w:tcPr>
            <w:tcW w:w="2627" w:type="dxa"/>
            <w:gridSpan w:val="2"/>
            <w:vMerge w:val="restart"/>
            <w:tcBorders>
              <w:top w:val="single" w:sz="4" w:space="0" w:color="auto"/>
              <w:left w:val="single" w:sz="4" w:space="0" w:color="auto"/>
              <w:bottom w:val="single" w:sz="4" w:space="0" w:color="auto"/>
              <w:right w:val="single" w:sz="4" w:space="0" w:color="auto"/>
            </w:tcBorders>
            <w:vAlign w:val="center"/>
          </w:tcPr>
          <w:p w14:paraId="62E209E2" w14:textId="77777777" w:rsidR="00B85895" w:rsidRPr="0090751B" w:rsidRDefault="00B85895" w:rsidP="00486CB0">
            <w:pPr>
              <w:pStyle w:val="naisf"/>
              <w:spacing w:before="0" w:after="0"/>
              <w:ind w:firstLine="0"/>
              <w:jc w:val="center"/>
              <w:rPr>
                <w:b/>
              </w:rPr>
            </w:pPr>
            <w:r w:rsidRPr="0090751B">
              <w:rPr>
                <w:b/>
              </w:rPr>
              <w:t>201</w:t>
            </w:r>
            <w:r w:rsidR="00486CB0" w:rsidRPr="0090751B">
              <w:rPr>
                <w:b/>
              </w:rPr>
              <w:t>4</w:t>
            </w:r>
            <w:r w:rsidRPr="0090751B">
              <w:rPr>
                <w:b/>
              </w:rPr>
              <w:t>.gads</w:t>
            </w:r>
          </w:p>
        </w:tc>
        <w:tc>
          <w:tcPr>
            <w:tcW w:w="4090" w:type="dxa"/>
            <w:gridSpan w:val="3"/>
            <w:tcBorders>
              <w:top w:val="single" w:sz="4" w:space="0" w:color="auto"/>
              <w:left w:val="single" w:sz="4" w:space="0" w:color="auto"/>
              <w:bottom w:val="single" w:sz="4" w:space="0" w:color="auto"/>
              <w:right w:val="single" w:sz="4" w:space="0" w:color="auto"/>
            </w:tcBorders>
            <w:vAlign w:val="center"/>
          </w:tcPr>
          <w:p w14:paraId="14A2143F" w14:textId="77777777" w:rsidR="00B85895" w:rsidRPr="0090751B" w:rsidRDefault="00B85895" w:rsidP="00B85895">
            <w:pPr>
              <w:pStyle w:val="naisf"/>
              <w:spacing w:before="0" w:after="0"/>
              <w:ind w:firstLine="0"/>
              <w:jc w:val="center"/>
              <w:rPr>
                <w:b/>
                <w:i/>
              </w:rPr>
            </w:pPr>
            <w:r w:rsidRPr="0090751B">
              <w:t xml:space="preserve">Turpmākie trīs gadi (tūkst. </w:t>
            </w:r>
            <w:proofErr w:type="spellStart"/>
            <w:r w:rsidRPr="0090751B">
              <w:rPr>
                <w:i/>
              </w:rPr>
              <w:t>euro</w:t>
            </w:r>
            <w:proofErr w:type="spellEnd"/>
            <w:r w:rsidRPr="0090751B">
              <w:t>)</w:t>
            </w:r>
          </w:p>
        </w:tc>
      </w:tr>
      <w:tr w:rsidR="00B85895" w:rsidRPr="0090751B" w14:paraId="49D35F43" w14:textId="77777777" w:rsidTr="000052FB">
        <w:trPr>
          <w:jc w:val="center"/>
        </w:trPr>
        <w:tc>
          <w:tcPr>
            <w:tcW w:w="2634" w:type="dxa"/>
            <w:vMerge/>
            <w:tcBorders>
              <w:top w:val="single" w:sz="4" w:space="0" w:color="auto"/>
              <w:left w:val="single" w:sz="4" w:space="0" w:color="auto"/>
              <w:bottom w:val="single" w:sz="4" w:space="0" w:color="auto"/>
              <w:right w:val="single" w:sz="4" w:space="0" w:color="auto"/>
            </w:tcBorders>
            <w:vAlign w:val="center"/>
          </w:tcPr>
          <w:p w14:paraId="051BB719" w14:textId="77777777" w:rsidR="00B85895" w:rsidRPr="0090751B" w:rsidRDefault="00B85895" w:rsidP="00B85895">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34BE35F" w14:textId="77777777" w:rsidR="00B85895" w:rsidRPr="0090751B" w:rsidRDefault="00B85895" w:rsidP="00B85895">
            <w:pPr>
              <w:rPr>
                <w:b/>
              </w:rPr>
            </w:pPr>
          </w:p>
        </w:tc>
        <w:tc>
          <w:tcPr>
            <w:tcW w:w="1344" w:type="dxa"/>
            <w:tcBorders>
              <w:top w:val="single" w:sz="4" w:space="0" w:color="auto"/>
              <w:left w:val="single" w:sz="4" w:space="0" w:color="auto"/>
              <w:bottom w:val="single" w:sz="4" w:space="0" w:color="auto"/>
              <w:right w:val="single" w:sz="4" w:space="0" w:color="auto"/>
            </w:tcBorders>
            <w:vAlign w:val="center"/>
          </w:tcPr>
          <w:p w14:paraId="615E6A35" w14:textId="77777777" w:rsidR="00B85895" w:rsidRPr="0090751B" w:rsidRDefault="00B85895" w:rsidP="00486CB0">
            <w:pPr>
              <w:pStyle w:val="naisf"/>
              <w:spacing w:before="0" w:after="0"/>
              <w:ind w:firstLine="0"/>
              <w:jc w:val="center"/>
              <w:rPr>
                <w:b/>
                <w:i/>
              </w:rPr>
            </w:pPr>
            <w:r w:rsidRPr="0090751B">
              <w:rPr>
                <w:b/>
              </w:rPr>
              <w:t>201</w:t>
            </w:r>
            <w:r w:rsidR="00486CB0" w:rsidRPr="0090751B">
              <w:rPr>
                <w:b/>
              </w:rPr>
              <w:t>5</w:t>
            </w:r>
            <w:r w:rsidRPr="0090751B">
              <w:rPr>
                <w:b/>
              </w:rPr>
              <w:t>.gads</w:t>
            </w:r>
          </w:p>
        </w:tc>
        <w:tc>
          <w:tcPr>
            <w:tcW w:w="1345" w:type="dxa"/>
            <w:tcBorders>
              <w:top w:val="single" w:sz="4" w:space="0" w:color="auto"/>
              <w:left w:val="single" w:sz="4" w:space="0" w:color="auto"/>
              <w:bottom w:val="single" w:sz="4" w:space="0" w:color="auto"/>
              <w:right w:val="single" w:sz="4" w:space="0" w:color="auto"/>
            </w:tcBorders>
            <w:vAlign w:val="center"/>
          </w:tcPr>
          <w:p w14:paraId="7E1D6404" w14:textId="77777777" w:rsidR="00B85895" w:rsidRPr="0090751B" w:rsidRDefault="00B85895" w:rsidP="00486CB0">
            <w:pPr>
              <w:pStyle w:val="naisf"/>
              <w:spacing w:before="0" w:after="0"/>
              <w:ind w:firstLine="0"/>
              <w:jc w:val="center"/>
              <w:rPr>
                <w:b/>
                <w:i/>
              </w:rPr>
            </w:pPr>
            <w:r w:rsidRPr="0090751B">
              <w:rPr>
                <w:b/>
              </w:rPr>
              <w:t>201</w:t>
            </w:r>
            <w:r w:rsidR="00486CB0" w:rsidRPr="0090751B">
              <w:rPr>
                <w:b/>
              </w:rPr>
              <w:t>6</w:t>
            </w:r>
            <w:r w:rsidRPr="0090751B">
              <w:rPr>
                <w:b/>
              </w:rPr>
              <w:t>.gads</w:t>
            </w:r>
          </w:p>
        </w:tc>
        <w:tc>
          <w:tcPr>
            <w:tcW w:w="1401" w:type="dxa"/>
            <w:tcBorders>
              <w:top w:val="single" w:sz="4" w:space="0" w:color="auto"/>
              <w:left w:val="single" w:sz="4" w:space="0" w:color="auto"/>
              <w:bottom w:val="single" w:sz="4" w:space="0" w:color="auto"/>
              <w:right w:val="single" w:sz="4" w:space="0" w:color="auto"/>
            </w:tcBorders>
            <w:vAlign w:val="center"/>
          </w:tcPr>
          <w:p w14:paraId="4892FBD1" w14:textId="77777777" w:rsidR="00B85895" w:rsidRPr="0090751B" w:rsidRDefault="00B85895" w:rsidP="00486CB0">
            <w:pPr>
              <w:pStyle w:val="naisf"/>
              <w:spacing w:before="0" w:after="0"/>
              <w:ind w:firstLine="0"/>
              <w:jc w:val="center"/>
              <w:rPr>
                <w:b/>
                <w:i/>
              </w:rPr>
            </w:pPr>
            <w:r w:rsidRPr="0090751B">
              <w:rPr>
                <w:b/>
              </w:rPr>
              <w:t>201</w:t>
            </w:r>
            <w:r w:rsidR="00486CB0" w:rsidRPr="0090751B">
              <w:rPr>
                <w:b/>
              </w:rPr>
              <w:t>7</w:t>
            </w:r>
            <w:r w:rsidRPr="0090751B">
              <w:rPr>
                <w:b/>
              </w:rPr>
              <w:t>.gads</w:t>
            </w:r>
          </w:p>
        </w:tc>
      </w:tr>
      <w:tr w:rsidR="00B85895" w:rsidRPr="0090751B" w14:paraId="7EF5A2DE" w14:textId="77777777" w:rsidTr="000052FB">
        <w:trPr>
          <w:jc w:val="center"/>
        </w:trPr>
        <w:tc>
          <w:tcPr>
            <w:tcW w:w="2634" w:type="dxa"/>
            <w:vMerge/>
            <w:tcBorders>
              <w:top w:val="single" w:sz="4" w:space="0" w:color="auto"/>
              <w:left w:val="single" w:sz="4" w:space="0" w:color="auto"/>
              <w:bottom w:val="single" w:sz="4" w:space="0" w:color="auto"/>
              <w:right w:val="single" w:sz="4" w:space="0" w:color="auto"/>
            </w:tcBorders>
            <w:vAlign w:val="center"/>
          </w:tcPr>
          <w:p w14:paraId="4CFA5B1D" w14:textId="77777777" w:rsidR="00B85895" w:rsidRPr="0090751B" w:rsidRDefault="00B85895" w:rsidP="00B85895">
            <w:pPr>
              <w:rPr>
                <w:b/>
              </w:rPr>
            </w:pPr>
          </w:p>
        </w:tc>
        <w:tc>
          <w:tcPr>
            <w:tcW w:w="1296" w:type="dxa"/>
            <w:tcBorders>
              <w:top w:val="single" w:sz="4" w:space="0" w:color="auto"/>
              <w:left w:val="single" w:sz="4" w:space="0" w:color="auto"/>
              <w:bottom w:val="single" w:sz="4" w:space="0" w:color="auto"/>
              <w:right w:val="single" w:sz="4" w:space="0" w:color="auto"/>
            </w:tcBorders>
            <w:vAlign w:val="center"/>
          </w:tcPr>
          <w:p w14:paraId="3B865634" w14:textId="77777777" w:rsidR="00B85895" w:rsidRPr="0090751B" w:rsidRDefault="00B85895" w:rsidP="00B85895">
            <w:pPr>
              <w:pStyle w:val="naisf"/>
              <w:spacing w:before="0" w:after="0"/>
              <w:ind w:firstLine="0"/>
              <w:jc w:val="center"/>
              <w:rPr>
                <w:b/>
                <w:i/>
              </w:rPr>
            </w:pPr>
            <w:r w:rsidRPr="0090751B">
              <w:t>Saskaņā ar valsts budžetu kārtējam gadam</w:t>
            </w:r>
          </w:p>
        </w:tc>
        <w:tc>
          <w:tcPr>
            <w:tcW w:w="1331" w:type="dxa"/>
            <w:tcBorders>
              <w:top w:val="single" w:sz="4" w:space="0" w:color="auto"/>
              <w:left w:val="single" w:sz="4" w:space="0" w:color="auto"/>
              <w:bottom w:val="single" w:sz="4" w:space="0" w:color="auto"/>
              <w:right w:val="single" w:sz="4" w:space="0" w:color="auto"/>
            </w:tcBorders>
            <w:vAlign w:val="center"/>
          </w:tcPr>
          <w:p w14:paraId="2BA5ED99" w14:textId="77777777" w:rsidR="00B85895" w:rsidRPr="0090751B" w:rsidRDefault="00B85895" w:rsidP="00B85895">
            <w:pPr>
              <w:pStyle w:val="naisf"/>
              <w:spacing w:before="0" w:after="0"/>
              <w:ind w:firstLine="0"/>
              <w:jc w:val="center"/>
              <w:rPr>
                <w:b/>
                <w:i/>
              </w:rPr>
            </w:pPr>
            <w:r w:rsidRPr="0090751B">
              <w:t>Izmaiņas kārtējā gadā, salīdzinot ar budžetu kārtējam gadam</w:t>
            </w:r>
          </w:p>
        </w:tc>
        <w:tc>
          <w:tcPr>
            <w:tcW w:w="1344" w:type="dxa"/>
            <w:tcBorders>
              <w:top w:val="single" w:sz="4" w:space="0" w:color="auto"/>
              <w:left w:val="single" w:sz="4" w:space="0" w:color="auto"/>
              <w:bottom w:val="single" w:sz="4" w:space="0" w:color="auto"/>
              <w:right w:val="single" w:sz="4" w:space="0" w:color="auto"/>
            </w:tcBorders>
            <w:vAlign w:val="center"/>
          </w:tcPr>
          <w:p w14:paraId="1798BEDB" w14:textId="77777777" w:rsidR="00B85895" w:rsidRPr="0090751B" w:rsidRDefault="00B85895" w:rsidP="00B85895">
            <w:pPr>
              <w:pStyle w:val="naisf"/>
              <w:spacing w:before="0" w:after="0"/>
              <w:ind w:firstLine="0"/>
              <w:jc w:val="center"/>
              <w:rPr>
                <w:b/>
                <w:i/>
              </w:rPr>
            </w:pPr>
            <w:r w:rsidRPr="0090751B">
              <w:t>Izmaiņas, salīdzinot ar kārtējo 2013.gadu</w:t>
            </w:r>
          </w:p>
        </w:tc>
        <w:tc>
          <w:tcPr>
            <w:tcW w:w="1345" w:type="dxa"/>
            <w:tcBorders>
              <w:top w:val="single" w:sz="4" w:space="0" w:color="auto"/>
              <w:left w:val="single" w:sz="4" w:space="0" w:color="auto"/>
              <w:bottom w:val="single" w:sz="4" w:space="0" w:color="auto"/>
              <w:right w:val="single" w:sz="4" w:space="0" w:color="auto"/>
            </w:tcBorders>
            <w:vAlign w:val="center"/>
          </w:tcPr>
          <w:p w14:paraId="59DE9AD8" w14:textId="77777777" w:rsidR="00B85895" w:rsidRPr="0090751B" w:rsidRDefault="00B85895" w:rsidP="00B85895">
            <w:pPr>
              <w:pStyle w:val="naisf"/>
              <w:spacing w:before="0" w:after="0"/>
              <w:ind w:firstLine="0"/>
              <w:jc w:val="center"/>
              <w:rPr>
                <w:b/>
                <w:i/>
              </w:rPr>
            </w:pPr>
            <w:r w:rsidRPr="0090751B">
              <w:t>Izmaiņas, salīdzinot ar kārtējo 2013.gadu</w:t>
            </w:r>
          </w:p>
        </w:tc>
        <w:tc>
          <w:tcPr>
            <w:tcW w:w="1401" w:type="dxa"/>
            <w:tcBorders>
              <w:top w:val="single" w:sz="4" w:space="0" w:color="auto"/>
              <w:left w:val="single" w:sz="4" w:space="0" w:color="auto"/>
              <w:bottom w:val="single" w:sz="4" w:space="0" w:color="auto"/>
              <w:right w:val="single" w:sz="4" w:space="0" w:color="auto"/>
            </w:tcBorders>
            <w:vAlign w:val="center"/>
          </w:tcPr>
          <w:p w14:paraId="4BE72EA7" w14:textId="77777777" w:rsidR="00B85895" w:rsidRPr="0090751B" w:rsidRDefault="00B85895" w:rsidP="00B85895">
            <w:pPr>
              <w:pStyle w:val="naisf"/>
              <w:spacing w:before="0" w:after="0"/>
              <w:ind w:firstLine="0"/>
              <w:jc w:val="center"/>
              <w:rPr>
                <w:b/>
                <w:i/>
              </w:rPr>
            </w:pPr>
            <w:r w:rsidRPr="0090751B">
              <w:t>Izmaiņas, salīdzinot ar kārtējo 2013.gadu</w:t>
            </w:r>
          </w:p>
        </w:tc>
      </w:tr>
      <w:tr w:rsidR="00B85895" w:rsidRPr="0090751B" w14:paraId="384EC52E"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vAlign w:val="center"/>
          </w:tcPr>
          <w:p w14:paraId="30761590" w14:textId="77777777" w:rsidR="00B85895" w:rsidRPr="0090751B" w:rsidRDefault="00B85895" w:rsidP="00B85895">
            <w:pPr>
              <w:pStyle w:val="naisf"/>
              <w:spacing w:before="0" w:after="0"/>
              <w:ind w:firstLine="0"/>
              <w:jc w:val="center"/>
              <w:rPr>
                <w:bCs/>
              </w:rPr>
            </w:pPr>
            <w:r w:rsidRPr="0090751B">
              <w:rPr>
                <w:bCs/>
              </w:rPr>
              <w:t>1</w:t>
            </w:r>
          </w:p>
        </w:tc>
        <w:tc>
          <w:tcPr>
            <w:tcW w:w="1296" w:type="dxa"/>
            <w:tcBorders>
              <w:top w:val="single" w:sz="4" w:space="0" w:color="auto"/>
              <w:left w:val="single" w:sz="4" w:space="0" w:color="auto"/>
              <w:bottom w:val="single" w:sz="4" w:space="0" w:color="auto"/>
              <w:right w:val="single" w:sz="4" w:space="0" w:color="auto"/>
            </w:tcBorders>
            <w:vAlign w:val="center"/>
          </w:tcPr>
          <w:p w14:paraId="3D25F2FB" w14:textId="77777777" w:rsidR="00B85895" w:rsidRPr="0090751B" w:rsidRDefault="00B85895" w:rsidP="00B85895">
            <w:pPr>
              <w:pStyle w:val="naisf"/>
              <w:spacing w:before="0" w:after="0"/>
              <w:ind w:firstLine="0"/>
              <w:jc w:val="center"/>
              <w:rPr>
                <w:bCs/>
              </w:rPr>
            </w:pPr>
            <w:r w:rsidRPr="0090751B">
              <w:rPr>
                <w:bCs/>
              </w:rPr>
              <w:t>2</w:t>
            </w:r>
          </w:p>
        </w:tc>
        <w:tc>
          <w:tcPr>
            <w:tcW w:w="1331" w:type="dxa"/>
            <w:tcBorders>
              <w:top w:val="single" w:sz="4" w:space="0" w:color="auto"/>
              <w:left w:val="single" w:sz="4" w:space="0" w:color="auto"/>
              <w:bottom w:val="single" w:sz="4" w:space="0" w:color="auto"/>
              <w:right w:val="single" w:sz="4" w:space="0" w:color="auto"/>
            </w:tcBorders>
            <w:vAlign w:val="center"/>
          </w:tcPr>
          <w:p w14:paraId="73E74D77" w14:textId="77777777" w:rsidR="00B85895" w:rsidRPr="0090751B" w:rsidRDefault="00B85895" w:rsidP="00B85895">
            <w:pPr>
              <w:pStyle w:val="naisf"/>
              <w:spacing w:before="0" w:after="0"/>
              <w:ind w:firstLine="0"/>
              <w:jc w:val="center"/>
              <w:rPr>
                <w:bCs/>
              </w:rPr>
            </w:pPr>
            <w:r w:rsidRPr="0090751B">
              <w:rPr>
                <w:bCs/>
              </w:rPr>
              <w:t>3</w:t>
            </w:r>
          </w:p>
        </w:tc>
        <w:tc>
          <w:tcPr>
            <w:tcW w:w="1344" w:type="dxa"/>
            <w:tcBorders>
              <w:top w:val="single" w:sz="4" w:space="0" w:color="auto"/>
              <w:left w:val="single" w:sz="4" w:space="0" w:color="auto"/>
              <w:bottom w:val="single" w:sz="4" w:space="0" w:color="auto"/>
              <w:right w:val="single" w:sz="4" w:space="0" w:color="auto"/>
            </w:tcBorders>
            <w:vAlign w:val="center"/>
          </w:tcPr>
          <w:p w14:paraId="0B93B69C" w14:textId="77777777" w:rsidR="00B85895" w:rsidRPr="0090751B" w:rsidRDefault="00B85895" w:rsidP="00B85895">
            <w:pPr>
              <w:pStyle w:val="naisf"/>
              <w:spacing w:before="0" w:after="0"/>
              <w:ind w:firstLine="0"/>
              <w:jc w:val="center"/>
              <w:rPr>
                <w:bCs/>
              </w:rPr>
            </w:pPr>
            <w:r w:rsidRPr="0090751B">
              <w:rPr>
                <w:bCs/>
              </w:rPr>
              <w:t>4</w:t>
            </w:r>
          </w:p>
        </w:tc>
        <w:tc>
          <w:tcPr>
            <w:tcW w:w="1345" w:type="dxa"/>
            <w:tcBorders>
              <w:top w:val="single" w:sz="4" w:space="0" w:color="auto"/>
              <w:left w:val="single" w:sz="4" w:space="0" w:color="auto"/>
              <w:bottom w:val="single" w:sz="4" w:space="0" w:color="auto"/>
              <w:right w:val="single" w:sz="4" w:space="0" w:color="auto"/>
            </w:tcBorders>
            <w:vAlign w:val="center"/>
          </w:tcPr>
          <w:p w14:paraId="3CD13332" w14:textId="77777777" w:rsidR="00B85895" w:rsidRPr="0090751B" w:rsidRDefault="00B85895" w:rsidP="00B85895">
            <w:pPr>
              <w:pStyle w:val="naisf"/>
              <w:spacing w:before="0" w:after="0"/>
              <w:ind w:firstLine="0"/>
              <w:jc w:val="center"/>
              <w:rPr>
                <w:bCs/>
              </w:rPr>
            </w:pPr>
            <w:r w:rsidRPr="0090751B">
              <w:rPr>
                <w:bCs/>
              </w:rPr>
              <w:t>5</w:t>
            </w:r>
          </w:p>
        </w:tc>
        <w:tc>
          <w:tcPr>
            <w:tcW w:w="1401" w:type="dxa"/>
            <w:tcBorders>
              <w:top w:val="single" w:sz="4" w:space="0" w:color="auto"/>
              <w:left w:val="single" w:sz="4" w:space="0" w:color="auto"/>
              <w:bottom w:val="single" w:sz="4" w:space="0" w:color="auto"/>
              <w:right w:val="single" w:sz="4" w:space="0" w:color="auto"/>
            </w:tcBorders>
            <w:vAlign w:val="center"/>
          </w:tcPr>
          <w:p w14:paraId="40A5EBAB" w14:textId="77777777" w:rsidR="00B85895" w:rsidRPr="0090751B" w:rsidRDefault="00B85895" w:rsidP="00B85895">
            <w:pPr>
              <w:pStyle w:val="naisf"/>
              <w:spacing w:before="0" w:after="0"/>
              <w:ind w:firstLine="0"/>
              <w:jc w:val="center"/>
              <w:rPr>
                <w:bCs/>
              </w:rPr>
            </w:pPr>
            <w:r w:rsidRPr="0090751B">
              <w:rPr>
                <w:bCs/>
              </w:rPr>
              <w:t>6</w:t>
            </w:r>
          </w:p>
        </w:tc>
      </w:tr>
      <w:tr w:rsidR="00B85895" w:rsidRPr="0090751B" w14:paraId="3477F9C7"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40EF492E" w14:textId="77777777" w:rsidR="00B85895" w:rsidRPr="0090751B" w:rsidRDefault="00B85895" w:rsidP="00B85895">
            <w:pPr>
              <w:pStyle w:val="naisf"/>
              <w:spacing w:before="0" w:after="0"/>
              <w:ind w:firstLine="0"/>
              <w:rPr>
                <w:i/>
              </w:rPr>
            </w:pPr>
            <w:r w:rsidRPr="0090751B">
              <w:t>1. Budžeta ieņēmumi:</w:t>
            </w:r>
          </w:p>
        </w:tc>
        <w:tc>
          <w:tcPr>
            <w:tcW w:w="1296" w:type="dxa"/>
            <w:tcBorders>
              <w:top w:val="single" w:sz="4" w:space="0" w:color="auto"/>
              <w:left w:val="single" w:sz="4" w:space="0" w:color="auto"/>
              <w:bottom w:val="single" w:sz="4" w:space="0" w:color="auto"/>
              <w:right w:val="single" w:sz="4" w:space="0" w:color="auto"/>
            </w:tcBorders>
          </w:tcPr>
          <w:p w14:paraId="36D750E3"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7D46F2DF"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25E0501F"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296E7986"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0E38CF5E" w14:textId="77777777" w:rsidR="00B85895" w:rsidRPr="0090751B" w:rsidRDefault="00B85895" w:rsidP="00B85895">
            <w:pPr>
              <w:pStyle w:val="naisf"/>
              <w:spacing w:before="0" w:after="0"/>
              <w:ind w:firstLine="0"/>
              <w:jc w:val="center"/>
            </w:pPr>
            <w:r w:rsidRPr="0090751B">
              <w:t>0</w:t>
            </w:r>
          </w:p>
        </w:tc>
      </w:tr>
      <w:tr w:rsidR="00B85895" w:rsidRPr="0090751B" w14:paraId="010A72D3"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79B61CB5" w14:textId="77777777" w:rsidR="00B85895" w:rsidRPr="0090751B" w:rsidRDefault="00B85895" w:rsidP="00B85895">
            <w:pPr>
              <w:pStyle w:val="naisf"/>
              <w:spacing w:before="0" w:after="0"/>
              <w:ind w:firstLine="0"/>
              <w:rPr>
                <w:i/>
              </w:rPr>
            </w:pPr>
            <w:r w:rsidRPr="0090751B">
              <w:t>1.1. valsts pamatbudžets, tai skaitā ieņēmumi no maksas pakalpojumiem un citi pašu ieņēmumi</w:t>
            </w:r>
          </w:p>
        </w:tc>
        <w:tc>
          <w:tcPr>
            <w:tcW w:w="1296" w:type="dxa"/>
            <w:tcBorders>
              <w:top w:val="single" w:sz="4" w:space="0" w:color="auto"/>
              <w:left w:val="single" w:sz="4" w:space="0" w:color="auto"/>
              <w:bottom w:val="single" w:sz="4" w:space="0" w:color="auto"/>
              <w:right w:val="single" w:sz="4" w:space="0" w:color="auto"/>
            </w:tcBorders>
          </w:tcPr>
          <w:p w14:paraId="5A784EA7"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546E4318"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2510D52C"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11CED094"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46247E34" w14:textId="77777777" w:rsidR="00B85895" w:rsidRPr="0090751B" w:rsidRDefault="00B85895" w:rsidP="00B85895">
            <w:pPr>
              <w:pStyle w:val="naisf"/>
              <w:spacing w:before="0" w:after="0"/>
              <w:ind w:firstLine="0"/>
              <w:jc w:val="center"/>
            </w:pPr>
            <w:r w:rsidRPr="0090751B">
              <w:t>0</w:t>
            </w:r>
          </w:p>
        </w:tc>
      </w:tr>
      <w:tr w:rsidR="00B85895" w:rsidRPr="0090751B" w14:paraId="1B48BA96"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08E3CBA4" w14:textId="77777777" w:rsidR="00B85895" w:rsidRPr="0090751B" w:rsidRDefault="00B85895" w:rsidP="00B85895">
            <w:pPr>
              <w:pStyle w:val="naisf"/>
              <w:spacing w:before="0" w:after="0"/>
              <w:ind w:firstLine="0"/>
              <w:rPr>
                <w:i/>
              </w:rPr>
            </w:pPr>
            <w:r w:rsidRPr="0090751B">
              <w:t>1.2. valsts speciālais budžets</w:t>
            </w:r>
          </w:p>
        </w:tc>
        <w:tc>
          <w:tcPr>
            <w:tcW w:w="1296" w:type="dxa"/>
            <w:tcBorders>
              <w:top w:val="single" w:sz="4" w:space="0" w:color="auto"/>
              <w:left w:val="single" w:sz="4" w:space="0" w:color="auto"/>
              <w:bottom w:val="single" w:sz="4" w:space="0" w:color="auto"/>
              <w:right w:val="single" w:sz="4" w:space="0" w:color="auto"/>
            </w:tcBorders>
          </w:tcPr>
          <w:p w14:paraId="260814E5"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1F164AA8"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353AC65E"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2AD8D03D"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5AB98C50" w14:textId="77777777" w:rsidR="00B85895" w:rsidRPr="0090751B" w:rsidRDefault="00B85895" w:rsidP="00B85895">
            <w:pPr>
              <w:pStyle w:val="naisf"/>
              <w:spacing w:before="0" w:after="0"/>
              <w:ind w:firstLine="0"/>
              <w:jc w:val="center"/>
            </w:pPr>
            <w:r w:rsidRPr="0090751B">
              <w:t>0</w:t>
            </w:r>
          </w:p>
        </w:tc>
      </w:tr>
      <w:tr w:rsidR="00B85895" w:rsidRPr="0090751B" w14:paraId="08D87FE6"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502ABC4C" w14:textId="77777777" w:rsidR="00B85895" w:rsidRPr="0090751B" w:rsidRDefault="00B85895" w:rsidP="00B85895">
            <w:pPr>
              <w:pStyle w:val="naisf"/>
              <w:spacing w:before="0" w:after="0"/>
              <w:ind w:firstLine="0"/>
              <w:rPr>
                <w:i/>
              </w:rPr>
            </w:pPr>
            <w:r w:rsidRPr="0090751B">
              <w:t>1.3. pašvaldību budžets</w:t>
            </w:r>
          </w:p>
        </w:tc>
        <w:tc>
          <w:tcPr>
            <w:tcW w:w="1296" w:type="dxa"/>
            <w:tcBorders>
              <w:top w:val="single" w:sz="4" w:space="0" w:color="auto"/>
              <w:left w:val="single" w:sz="4" w:space="0" w:color="auto"/>
              <w:bottom w:val="single" w:sz="4" w:space="0" w:color="auto"/>
              <w:right w:val="single" w:sz="4" w:space="0" w:color="auto"/>
            </w:tcBorders>
          </w:tcPr>
          <w:p w14:paraId="1286851B"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4DAD19F3"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04C96183"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3CAE9716"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10E6FF30" w14:textId="77777777" w:rsidR="00B85895" w:rsidRPr="0090751B" w:rsidRDefault="00B85895" w:rsidP="00B85895">
            <w:pPr>
              <w:pStyle w:val="naisf"/>
              <w:spacing w:before="0" w:after="0"/>
              <w:ind w:firstLine="0"/>
              <w:jc w:val="center"/>
            </w:pPr>
            <w:r w:rsidRPr="0090751B">
              <w:t>0</w:t>
            </w:r>
          </w:p>
        </w:tc>
      </w:tr>
      <w:tr w:rsidR="00B85895" w:rsidRPr="0090751B" w14:paraId="0258F192"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74AF5B84" w14:textId="77777777" w:rsidR="00B85895" w:rsidRPr="0090751B" w:rsidRDefault="00B85895" w:rsidP="00B85895">
            <w:pPr>
              <w:jc w:val="both"/>
            </w:pPr>
            <w:r w:rsidRPr="0090751B">
              <w:t>2. Budžeta izdevumi:</w:t>
            </w:r>
          </w:p>
        </w:tc>
        <w:tc>
          <w:tcPr>
            <w:tcW w:w="1296" w:type="dxa"/>
            <w:tcBorders>
              <w:top w:val="single" w:sz="4" w:space="0" w:color="auto"/>
              <w:left w:val="single" w:sz="4" w:space="0" w:color="auto"/>
              <w:bottom w:val="single" w:sz="4" w:space="0" w:color="auto"/>
              <w:right w:val="single" w:sz="4" w:space="0" w:color="auto"/>
            </w:tcBorders>
          </w:tcPr>
          <w:p w14:paraId="0656C34E"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498F2DA0"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14D62600"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767C7D6D"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20E4BDFA" w14:textId="77777777" w:rsidR="00B85895" w:rsidRPr="0090751B" w:rsidRDefault="00B85895" w:rsidP="00B85895">
            <w:pPr>
              <w:pStyle w:val="naisf"/>
              <w:spacing w:before="0" w:after="0"/>
              <w:ind w:firstLine="0"/>
              <w:jc w:val="center"/>
            </w:pPr>
            <w:r w:rsidRPr="0090751B">
              <w:t>0</w:t>
            </w:r>
          </w:p>
        </w:tc>
      </w:tr>
      <w:tr w:rsidR="00B85895" w:rsidRPr="0090751B" w14:paraId="2E1001BA"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29382809" w14:textId="77777777" w:rsidR="00B85895" w:rsidRPr="0090751B" w:rsidRDefault="00B85895" w:rsidP="00B85895">
            <w:pPr>
              <w:jc w:val="both"/>
            </w:pPr>
            <w:r w:rsidRPr="0090751B">
              <w:t>2.1. valsts pamatbudžets</w:t>
            </w:r>
          </w:p>
        </w:tc>
        <w:tc>
          <w:tcPr>
            <w:tcW w:w="1296" w:type="dxa"/>
            <w:tcBorders>
              <w:top w:val="single" w:sz="4" w:space="0" w:color="auto"/>
              <w:left w:val="single" w:sz="4" w:space="0" w:color="auto"/>
              <w:bottom w:val="single" w:sz="4" w:space="0" w:color="auto"/>
              <w:right w:val="single" w:sz="4" w:space="0" w:color="auto"/>
            </w:tcBorders>
          </w:tcPr>
          <w:p w14:paraId="6A64AB60"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330F6502"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70A2BD1D"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2E3DF500"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19ECD765" w14:textId="77777777" w:rsidR="00B85895" w:rsidRPr="0090751B" w:rsidRDefault="00B85895" w:rsidP="00B85895">
            <w:pPr>
              <w:pStyle w:val="naisf"/>
              <w:spacing w:before="0" w:after="0"/>
              <w:ind w:firstLine="0"/>
              <w:jc w:val="center"/>
            </w:pPr>
            <w:r w:rsidRPr="0090751B">
              <w:t>0</w:t>
            </w:r>
          </w:p>
        </w:tc>
      </w:tr>
      <w:tr w:rsidR="00B85895" w:rsidRPr="0090751B" w14:paraId="51B382F0"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371F13B6" w14:textId="77777777" w:rsidR="00B85895" w:rsidRPr="0090751B" w:rsidRDefault="00B85895" w:rsidP="00B85895">
            <w:pPr>
              <w:jc w:val="both"/>
            </w:pPr>
            <w:r w:rsidRPr="0090751B">
              <w:lastRenderedPageBreak/>
              <w:t>2.2. valsts speciālais budžets</w:t>
            </w:r>
          </w:p>
        </w:tc>
        <w:tc>
          <w:tcPr>
            <w:tcW w:w="1296" w:type="dxa"/>
            <w:tcBorders>
              <w:top w:val="single" w:sz="4" w:space="0" w:color="auto"/>
              <w:left w:val="single" w:sz="4" w:space="0" w:color="auto"/>
              <w:bottom w:val="single" w:sz="4" w:space="0" w:color="auto"/>
              <w:right w:val="single" w:sz="4" w:space="0" w:color="auto"/>
            </w:tcBorders>
          </w:tcPr>
          <w:p w14:paraId="3E441079"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5438C640"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211A6C5B"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0DBB9024"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6F956794" w14:textId="77777777" w:rsidR="00B85895" w:rsidRPr="0090751B" w:rsidRDefault="00B85895" w:rsidP="00B85895">
            <w:pPr>
              <w:pStyle w:val="naisf"/>
              <w:spacing w:before="0" w:after="0"/>
              <w:ind w:firstLine="0"/>
              <w:jc w:val="center"/>
            </w:pPr>
            <w:r w:rsidRPr="0090751B">
              <w:t>0</w:t>
            </w:r>
          </w:p>
        </w:tc>
      </w:tr>
      <w:tr w:rsidR="00B85895" w:rsidRPr="0090751B" w14:paraId="74F46A82"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6EB319DC" w14:textId="77777777" w:rsidR="00B85895" w:rsidRPr="0090751B" w:rsidRDefault="00B85895" w:rsidP="00B85895">
            <w:pPr>
              <w:jc w:val="both"/>
            </w:pPr>
            <w:r w:rsidRPr="0090751B">
              <w:t xml:space="preserve">2.3. pašvaldību budžets </w:t>
            </w:r>
          </w:p>
        </w:tc>
        <w:tc>
          <w:tcPr>
            <w:tcW w:w="1296" w:type="dxa"/>
            <w:tcBorders>
              <w:top w:val="single" w:sz="4" w:space="0" w:color="auto"/>
              <w:left w:val="single" w:sz="4" w:space="0" w:color="auto"/>
              <w:bottom w:val="single" w:sz="4" w:space="0" w:color="auto"/>
              <w:right w:val="single" w:sz="4" w:space="0" w:color="auto"/>
            </w:tcBorders>
          </w:tcPr>
          <w:p w14:paraId="67F4039B"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173B46B9"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5814F2E2"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36B6B37A"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1A100DF7" w14:textId="77777777" w:rsidR="00B85895" w:rsidRPr="0090751B" w:rsidRDefault="00B85895" w:rsidP="00B85895">
            <w:pPr>
              <w:pStyle w:val="naisf"/>
              <w:spacing w:before="0" w:after="0"/>
              <w:ind w:firstLine="0"/>
              <w:jc w:val="center"/>
            </w:pPr>
            <w:r w:rsidRPr="0090751B">
              <w:t>0</w:t>
            </w:r>
          </w:p>
        </w:tc>
      </w:tr>
      <w:tr w:rsidR="00B85895" w:rsidRPr="0090751B" w14:paraId="4042EC69"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5FA6FCC1" w14:textId="77777777" w:rsidR="00B85895" w:rsidRPr="0090751B" w:rsidRDefault="00B85895" w:rsidP="00B85895">
            <w:pPr>
              <w:jc w:val="both"/>
            </w:pPr>
            <w:r w:rsidRPr="0090751B">
              <w:t>3. Finansiālā ietekme:</w:t>
            </w:r>
          </w:p>
        </w:tc>
        <w:tc>
          <w:tcPr>
            <w:tcW w:w="1296" w:type="dxa"/>
            <w:tcBorders>
              <w:top w:val="single" w:sz="4" w:space="0" w:color="auto"/>
              <w:left w:val="single" w:sz="4" w:space="0" w:color="auto"/>
              <w:bottom w:val="single" w:sz="4" w:space="0" w:color="auto"/>
              <w:right w:val="single" w:sz="4" w:space="0" w:color="auto"/>
            </w:tcBorders>
            <w:vAlign w:val="center"/>
          </w:tcPr>
          <w:p w14:paraId="243B57F3"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13A9C4F8"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72F620B4"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67518596"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3D7EB06C" w14:textId="77777777" w:rsidR="00B85895" w:rsidRPr="0090751B" w:rsidRDefault="00B85895" w:rsidP="00B85895">
            <w:pPr>
              <w:pStyle w:val="naisf"/>
              <w:spacing w:before="0" w:after="0"/>
              <w:ind w:firstLine="0"/>
              <w:jc w:val="center"/>
            </w:pPr>
            <w:r w:rsidRPr="0090751B">
              <w:t>0</w:t>
            </w:r>
          </w:p>
        </w:tc>
      </w:tr>
      <w:tr w:rsidR="00B85895" w:rsidRPr="0090751B" w14:paraId="2DFF24BE"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6274556E" w14:textId="77777777" w:rsidR="00B85895" w:rsidRPr="0090751B" w:rsidRDefault="00B85895" w:rsidP="00B85895">
            <w:pPr>
              <w:jc w:val="both"/>
            </w:pPr>
            <w:r w:rsidRPr="0090751B">
              <w:t>3.1. valsts pamatbudžets</w:t>
            </w:r>
          </w:p>
        </w:tc>
        <w:tc>
          <w:tcPr>
            <w:tcW w:w="1296" w:type="dxa"/>
            <w:tcBorders>
              <w:top w:val="single" w:sz="4" w:space="0" w:color="auto"/>
              <w:left w:val="single" w:sz="4" w:space="0" w:color="auto"/>
              <w:bottom w:val="single" w:sz="4" w:space="0" w:color="auto"/>
              <w:right w:val="single" w:sz="4" w:space="0" w:color="auto"/>
            </w:tcBorders>
          </w:tcPr>
          <w:p w14:paraId="23FE3C46"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6B5AFEB4"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1CEA1EDA"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5CAE548E"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26EEB0BE" w14:textId="77777777" w:rsidR="00B85895" w:rsidRPr="0090751B" w:rsidRDefault="00B85895" w:rsidP="00B85895">
            <w:pPr>
              <w:pStyle w:val="naisf"/>
              <w:spacing w:before="0" w:after="0"/>
              <w:ind w:firstLine="0"/>
              <w:jc w:val="center"/>
            </w:pPr>
            <w:r w:rsidRPr="0090751B">
              <w:t>0</w:t>
            </w:r>
          </w:p>
        </w:tc>
      </w:tr>
      <w:tr w:rsidR="00B85895" w:rsidRPr="0090751B" w14:paraId="4F473B9D"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30315DF3" w14:textId="77777777" w:rsidR="00B85895" w:rsidRPr="0090751B" w:rsidRDefault="00B85895" w:rsidP="00B85895">
            <w:pPr>
              <w:jc w:val="both"/>
            </w:pPr>
            <w:r w:rsidRPr="0090751B">
              <w:t>3.2. speciālais budžets</w:t>
            </w:r>
          </w:p>
        </w:tc>
        <w:tc>
          <w:tcPr>
            <w:tcW w:w="1296" w:type="dxa"/>
            <w:tcBorders>
              <w:top w:val="single" w:sz="4" w:space="0" w:color="auto"/>
              <w:left w:val="single" w:sz="4" w:space="0" w:color="auto"/>
              <w:bottom w:val="single" w:sz="4" w:space="0" w:color="auto"/>
              <w:right w:val="single" w:sz="4" w:space="0" w:color="auto"/>
            </w:tcBorders>
          </w:tcPr>
          <w:p w14:paraId="70EDED58"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72B74067"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7B2E9DEF"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466DD708"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7EDF1576" w14:textId="77777777" w:rsidR="00B85895" w:rsidRPr="0090751B" w:rsidRDefault="00B85895" w:rsidP="00B85895">
            <w:pPr>
              <w:pStyle w:val="naisf"/>
              <w:spacing w:before="0" w:after="0"/>
              <w:ind w:firstLine="0"/>
              <w:jc w:val="center"/>
            </w:pPr>
            <w:r w:rsidRPr="0090751B">
              <w:t>0</w:t>
            </w:r>
          </w:p>
        </w:tc>
      </w:tr>
      <w:tr w:rsidR="00B85895" w:rsidRPr="0090751B" w14:paraId="3F3313EC"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7AC6D7AA" w14:textId="77777777" w:rsidR="00B85895" w:rsidRPr="0090751B" w:rsidRDefault="00B85895" w:rsidP="00B85895">
            <w:pPr>
              <w:jc w:val="both"/>
            </w:pPr>
            <w:r w:rsidRPr="0090751B">
              <w:t xml:space="preserve">3.3. pašvaldību budžets </w:t>
            </w:r>
          </w:p>
        </w:tc>
        <w:tc>
          <w:tcPr>
            <w:tcW w:w="1296" w:type="dxa"/>
            <w:tcBorders>
              <w:top w:val="single" w:sz="4" w:space="0" w:color="auto"/>
              <w:left w:val="single" w:sz="4" w:space="0" w:color="auto"/>
              <w:bottom w:val="single" w:sz="4" w:space="0" w:color="auto"/>
              <w:right w:val="single" w:sz="4" w:space="0" w:color="auto"/>
            </w:tcBorders>
          </w:tcPr>
          <w:p w14:paraId="394C8899" w14:textId="77777777" w:rsidR="00B85895" w:rsidRPr="0090751B" w:rsidRDefault="00B85895" w:rsidP="00B85895">
            <w:pPr>
              <w:pStyle w:val="naisf"/>
              <w:spacing w:before="0" w:after="0"/>
              <w:ind w:firstLine="0"/>
              <w:jc w:val="center"/>
            </w:pPr>
            <w:r w:rsidRPr="0090751B">
              <w:t>0</w:t>
            </w:r>
          </w:p>
        </w:tc>
        <w:tc>
          <w:tcPr>
            <w:tcW w:w="1331" w:type="dxa"/>
            <w:tcBorders>
              <w:top w:val="single" w:sz="4" w:space="0" w:color="auto"/>
              <w:left w:val="single" w:sz="4" w:space="0" w:color="auto"/>
              <w:bottom w:val="single" w:sz="4" w:space="0" w:color="auto"/>
              <w:right w:val="single" w:sz="4" w:space="0" w:color="auto"/>
            </w:tcBorders>
          </w:tcPr>
          <w:p w14:paraId="48212887"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3B1C9FCE"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542B76BB"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2276B60F" w14:textId="77777777" w:rsidR="00B85895" w:rsidRPr="0090751B" w:rsidRDefault="00B85895" w:rsidP="00B85895">
            <w:pPr>
              <w:pStyle w:val="naisf"/>
              <w:spacing w:before="0" w:after="0"/>
              <w:ind w:firstLine="0"/>
              <w:jc w:val="center"/>
            </w:pPr>
            <w:r w:rsidRPr="0090751B">
              <w:t>0</w:t>
            </w:r>
          </w:p>
        </w:tc>
      </w:tr>
      <w:tr w:rsidR="00B85895" w:rsidRPr="0090751B" w14:paraId="714CB8C5" w14:textId="77777777" w:rsidTr="000052FB">
        <w:trPr>
          <w:jc w:val="center"/>
        </w:trPr>
        <w:tc>
          <w:tcPr>
            <w:tcW w:w="2634" w:type="dxa"/>
            <w:vMerge w:val="restart"/>
            <w:tcBorders>
              <w:top w:val="single" w:sz="4" w:space="0" w:color="auto"/>
              <w:left w:val="single" w:sz="4" w:space="0" w:color="auto"/>
              <w:bottom w:val="single" w:sz="4" w:space="0" w:color="auto"/>
              <w:right w:val="single" w:sz="4" w:space="0" w:color="auto"/>
            </w:tcBorders>
          </w:tcPr>
          <w:p w14:paraId="25902099" w14:textId="77777777" w:rsidR="00B85895" w:rsidRPr="0090751B" w:rsidRDefault="00B85895" w:rsidP="00B85895">
            <w:pPr>
              <w:jc w:val="both"/>
            </w:pPr>
            <w:r w:rsidRPr="0090751B">
              <w:t>4. Finanšu līdzekļi papildu izde</w:t>
            </w:r>
            <w:r w:rsidRPr="0090751B">
              <w:softHyphen/>
              <w:t>vumu finansēšanai (kompensējošu izdevumu samazinājumu norāda ar "+" zīmi)</w:t>
            </w:r>
          </w:p>
        </w:tc>
        <w:tc>
          <w:tcPr>
            <w:tcW w:w="1296" w:type="dxa"/>
            <w:vMerge w:val="restart"/>
            <w:tcBorders>
              <w:top w:val="single" w:sz="4" w:space="0" w:color="auto"/>
              <w:left w:val="single" w:sz="4" w:space="0" w:color="auto"/>
              <w:bottom w:val="single" w:sz="4" w:space="0" w:color="auto"/>
              <w:right w:val="single" w:sz="4" w:space="0" w:color="auto"/>
            </w:tcBorders>
          </w:tcPr>
          <w:p w14:paraId="253F5B96" w14:textId="77777777" w:rsidR="00B85895" w:rsidRPr="0090751B" w:rsidRDefault="00B85895" w:rsidP="00B85895">
            <w:pPr>
              <w:pStyle w:val="naisf"/>
              <w:spacing w:before="0" w:after="0"/>
              <w:ind w:firstLine="0"/>
              <w:jc w:val="center"/>
              <w:rPr>
                <w:i/>
              </w:rPr>
            </w:pPr>
            <w:r w:rsidRPr="0090751B">
              <w:t>X</w:t>
            </w:r>
          </w:p>
        </w:tc>
        <w:tc>
          <w:tcPr>
            <w:tcW w:w="1331" w:type="dxa"/>
            <w:tcBorders>
              <w:top w:val="single" w:sz="4" w:space="0" w:color="auto"/>
              <w:left w:val="single" w:sz="4" w:space="0" w:color="auto"/>
              <w:bottom w:val="single" w:sz="4" w:space="0" w:color="auto"/>
              <w:right w:val="single" w:sz="4" w:space="0" w:color="auto"/>
            </w:tcBorders>
          </w:tcPr>
          <w:p w14:paraId="0AA94058"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1A1621F3"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5E2120AC"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37EF4592" w14:textId="77777777" w:rsidR="00B85895" w:rsidRPr="0090751B" w:rsidRDefault="00B85895" w:rsidP="00B85895">
            <w:pPr>
              <w:pStyle w:val="naisf"/>
              <w:spacing w:before="0" w:after="0"/>
              <w:ind w:firstLine="0"/>
              <w:jc w:val="center"/>
            </w:pPr>
            <w:r w:rsidRPr="0090751B">
              <w:t>0</w:t>
            </w:r>
          </w:p>
        </w:tc>
      </w:tr>
      <w:tr w:rsidR="00B85895" w:rsidRPr="0090751B" w14:paraId="55705961" w14:textId="77777777" w:rsidTr="000052FB">
        <w:trPr>
          <w:jc w:val="center"/>
        </w:trPr>
        <w:tc>
          <w:tcPr>
            <w:tcW w:w="2634" w:type="dxa"/>
            <w:vMerge/>
            <w:tcBorders>
              <w:top w:val="single" w:sz="4" w:space="0" w:color="auto"/>
              <w:left w:val="single" w:sz="4" w:space="0" w:color="auto"/>
              <w:bottom w:val="single" w:sz="4" w:space="0" w:color="auto"/>
              <w:right w:val="single" w:sz="4" w:space="0" w:color="auto"/>
            </w:tcBorders>
            <w:vAlign w:val="center"/>
          </w:tcPr>
          <w:p w14:paraId="27594964" w14:textId="77777777" w:rsidR="00B85895" w:rsidRPr="0090751B" w:rsidRDefault="00B85895" w:rsidP="00B85895"/>
        </w:tc>
        <w:tc>
          <w:tcPr>
            <w:tcW w:w="0" w:type="auto"/>
            <w:vMerge/>
            <w:tcBorders>
              <w:top w:val="single" w:sz="4" w:space="0" w:color="auto"/>
              <w:left w:val="single" w:sz="4" w:space="0" w:color="auto"/>
              <w:bottom w:val="single" w:sz="4" w:space="0" w:color="auto"/>
              <w:right w:val="single" w:sz="4" w:space="0" w:color="auto"/>
            </w:tcBorders>
            <w:vAlign w:val="center"/>
          </w:tcPr>
          <w:p w14:paraId="2761437E" w14:textId="77777777" w:rsidR="00B85895" w:rsidRPr="0090751B" w:rsidRDefault="00B85895" w:rsidP="00B85895">
            <w:pPr>
              <w:rPr>
                <w:i/>
              </w:rPr>
            </w:pPr>
          </w:p>
        </w:tc>
        <w:tc>
          <w:tcPr>
            <w:tcW w:w="1331" w:type="dxa"/>
            <w:tcBorders>
              <w:top w:val="single" w:sz="4" w:space="0" w:color="auto"/>
              <w:left w:val="single" w:sz="4" w:space="0" w:color="auto"/>
              <w:bottom w:val="single" w:sz="4" w:space="0" w:color="auto"/>
              <w:right w:val="single" w:sz="4" w:space="0" w:color="auto"/>
            </w:tcBorders>
          </w:tcPr>
          <w:p w14:paraId="5966FB29"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5EBE2B2F"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408B9B5E"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46D43133" w14:textId="77777777" w:rsidR="00B85895" w:rsidRPr="0090751B" w:rsidRDefault="00B85895" w:rsidP="00B85895">
            <w:pPr>
              <w:pStyle w:val="naisf"/>
              <w:spacing w:before="0" w:after="0"/>
              <w:ind w:firstLine="0"/>
              <w:jc w:val="center"/>
            </w:pPr>
            <w:r w:rsidRPr="0090751B">
              <w:t>0</w:t>
            </w:r>
          </w:p>
        </w:tc>
      </w:tr>
      <w:tr w:rsidR="00B85895" w:rsidRPr="0090751B" w14:paraId="1827FEF1" w14:textId="77777777" w:rsidTr="000052FB">
        <w:trPr>
          <w:jc w:val="center"/>
        </w:trPr>
        <w:tc>
          <w:tcPr>
            <w:tcW w:w="2634" w:type="dxa"/>
            <w:vMerge/>
            <w:tcBorders>
              <w:top w:val="single" w:sz="4" w:space="0" w:color="auto"/>
              <w:left w:val="single" w:sz="4" w:space="0" w:color="auto"/>
              <w:bottom w:val="single" w:sz="4" w:space="0" w:color="auto"/>
              <w:right w:val="single" w:sz="4" w:space="0" w:color="auto"/>
            </w:tcBorders>
            <w:vAlign w:val="center"/>
          </w:tcPr>
          <w:p w14:paraId="5221AEA3" w14:textId="77777777" w:rsidR="00B85895" w:rsidRPr="0090751B" w:rsidRDefault="00B85895" w:rsidP="00B85895"/>
        </w:tc>
        <w:tc>
          <w:tcPr>
            <w:tcW w:w="0" w:type="auto"/>
            <w:vMerge/>
            <w:tcBorders>
              <w:top w:val="single" w:sz="4" w:space="0" w:color="auto"/>
              <w:left w:val="single" w:sz="4" w:space="0" w:color="auto"/>
              <w:bottom w:val="single" w:sz="4" w:space="0" w:color="auto"/>
              <w:right w:val="single" w:sz="4" w:space="0" w:color="auto"/>
            </w:tcBorders>
            <w:vAlign w:val="center"/>
          </w:tcPr>
          <w:p w14:paraId="7135793B" w14:textId="77777777" w:rsidR="00B85895" w:rsidRPr="0090751B" w:rsidRDefault="00B85895" w:rsidP="00B85895">
            <w:pPr>
              <w:rPr>
                <w:i/>
              </w:rPr>
            </w:pPr>
          </w:p>
        </w:tc>
        <w:tc>
          <w:tcPr>
            <w:tcW w:w="1331" w:type="dxa"/>
            <w:tcBorders>
              <w:top w:val="single" w:sz="4" w:space="0" w:color="auto"/>
              <w:left w:val="single" w:sz="4" w:space="0" w:color="auto"/>
              <w:bottom w:val="single" w:sz="4" w:space="0" w:color="auto"/>
              <w:right w:val="single" w:sz="4" w:space="0" w:color="auto"/>
            </w:tcBorders>
          </w:tcPr>
          <w:p w14:paraId="2B78BA5B"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5191FA84"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68448267"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274B8B34" w14:textId="77777777" w:rsidR="00B85895" w:rsidRPr="0090751B" w:rsidRDefault="00B85895" w:rsidP="00B85895">
            <w:pPr>
              <w:pStyle w:val="naisf"/>
              <w:spacing w:before="0" w:after="0"/>
              <w:ind w:firstLine="0"/>
              <w:jc w:val="center"/>
            </w:pPr>
            <w:r w:rsidRPr="0090751B">
              <w:t>0</w:t>
            </w:r>
          </w:p>
        </w:tc>
      </w:tr>
      <w:tr w:rsidR="00B85895" w:rsidRPr="0090751B" w14:paraId="11B12781"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516C2E1B" w14:textId="77777777" w:rsidR="00B85895" w:rsidRPr="0090751B" w:rsidRDefault="00B85895" w:rsidP="00B85895">
            <w:pPr>
              <w:jc w:val="both"/>
            </w:pPr>
            <w:r w:rsidRPr="0090751B">
              <w:t>5. Precizēta finansiālā ietekme:</w:t>
            </w:r>
          </w:p>
        </w:tc>
        <w:tc>
          <w:tcPr>
            <w:tcW w:w="1296" w:type="dxa"/>
            <w:vMerge w:val="restart"/>
            <w:tcBorders>
              <w:top w:val="single" w:sz="4" w:space="0" w:color="auto"/>
              <w:left w:val="single" w:sz="4" w:space="0" w:color="auto"/>
              <w:bottom w:val="single" w:sz="4" w:space="0" w:color="auto"/>
              <w:right w:val="single" w:sz="4" w:space="0" w:color="auto"/>
            </w:tcBorders>
          </w:tcPr>
          <w:p w14:paraId="3E319162" w14:textId="77777777" w:rsidR="00B85895" w:rsidRPr="0090751B" w:rsidRDefault="00B85895" w:rsidP="00B85895">
            <w:pPr>
              <w:pStyle w:val="naisf"/>
              <w:spacing w:before="0" w:after="0"/>
              <w:ind w:firstLine="0"/>
              <w:jc w:val="center"/>
              <w:rPr>
                <w:i/>
              </w:rPr>
            </w:pPr>
            <w:r w:rsidRPr="0090751B">
              <w:t>X</w:t>
            </w:r>
          </w:p>
        </w:tc>
        <w:tc>
          <w:tcPr>
            <w:tcW w:w="1331" w:type="dxa"/>
            <w:tcBorders>
              <w:top w:val="single" w:sz="4" w:space="0" w:color="auto"/>
              <w:left w:val="single" w:sz="4" w:space="0" w:color="auto"/>
              <w:bottom w:val="single" w:sz="4" w:space="0" w:color="auto"/>
              <w:right w:val="single" w:sz="4" w:space="0" w:color="auto"/>
            </w:tcBorders>
          </w:tcPr>
          <w:p w14:paraId="0EA332B3"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25DCA531"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1CBA0A11"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2820E9AC" w14:textId="77777777" w:rsidR="00B85895" w:rsidRPr="0090751B" w:rsidRDefault="00B85895" w:rsidP="00B85895">
            <w:pPr>
              <w:pStyle w:val="naisf"/>
              <w:spacing w:before="0" w:after="0"/>
              <w:ind w:firstLine="0"/>
              <w:jc w:val="center"/>
            </w:pPr>
            <w:r w:rsidRPr="0090751B">
              <w:t>0</w:t>
            </w:r>
          </w:p>
        </w:tc>
      </w:tr>
      <w:tr w:rsidR="00B85895" w:rsidRPr="0090751B" w14:paraId="63392109"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5445464C" w14:textId="77777777" w:rsidR="00B85895" w:rsidRPr="0090751B" w:rsidRDefault="00B85895" w:rsidP="00B85895">
            <w:pPr>
              <w:jc w:val="both"/>
            </w:pPr>
            <w:r w:rsidRPr="0090751B">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tcPr>
          <w:p w14:paraId="00A6A190" w14:textId="77777777" w:rsidR="00B85895" w:rsidRPr="0090751B" w:rsidRDefault="00B85895" w:rsidP="00B85895">
            <w:pPr>
              <w:rPr>
                <w:i/>
              </w:rPr>
            </w:pPr>
          </w:p>
        </w:tc>
        <w:tc>
          <w:tcPr>
            <w:tcW w:w="1331" w:type="dxa"/>
            <w:tcBorders>
              <w:top w:val="single" w:sz="4" w:space="0" w:color="auto"/>
              <w:left w:val="single" w:sz="4" w:space="0" w:color="auto"/>
              <w:bottom w:val="single" w:sz="4" w:space="0" w:color="auto"/>
              <w:right w:val="single" w:sz="4" w:space="0" w:color="auto"/>
            </w:tcBorders>
          </w:tcPr>
          <w:p w14:paraId="1390BD86"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32C3779A"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0FD01D96"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3E0BBC07" w14:textId="77777777" w:rsidR="00B85895" w:rsidRPr="0090751B" w:rsidRDefault="00B85895" w:rsidP="00B85895">
            <w:pPr>
              <w:pStyle w:val="naisf"/>
              <w:spacing w:before="0" w:after="0"/>
              <w:ind w:firstLine="0"/>
              <w:jc w:val="center"/>
            </w:pPr>
            <w:r w:rsidRPr="0090751B">
              <w:t>0</w:t>
            </w:r>
          </w:p>
        </w:tc>
      </w:tr>
      <w:tr w:rsidR="00B85895" w:rsidRPr="0090751B" w14:paraId="28F64DAC"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21B5392D" w14:textId="77777777" w:rsidR="00B85895" w:rsidRPr="0090751B" w:rsidRDefault="00B85895" w:rsidP="00B85895">
            <w:pPr>
              <w:jc w:val="both"/>
            </w:pPr>
            <w:r w:rsidRPr="0090751B">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tcPr>
          <w:p w14:paraId="405F4432" w14:textId="77777777" w:rsidR="00B85895" w:rsidRPr="0090751B" w:rsidRDefault="00B85895" w:rsidP="00B85895">
            <w:pPr>
              <w:rPr>
                <w:i/>
              </w:rPr>
            </w:pPr>
          </w:p>
        </w:tc>
        <w:tc>
          <w:tcPr>
            <w:tcW w:w="1331" w:type="dxa"/>
            <w:tcBorders>
              <w:top w:val="single" w:sz="4" w:space="0" w:color="auto"/>
              <w:left w:val="single" w:sz="4" w:space="0" w:color="auto"/>
              <w:bottom w:val="single" w:sz="4" w:space="0" w:color="auto"/>
              <w:right w:val="single" w:sz="4" w:space="0" w:color="auto"/>
            </w:tcBorders>
          </w:tcPr>
          <w:p w14:paraId="21C80BA1"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1272F4AF"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5F21A534"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28CBAE9C" w14:textId="77777777" w:rsidR="00B85895" w:rsidRPr="0090751B" w:rsidRDefault="00B85895" w:rsidP="00B85895">
            <w:pPr>
              <w:pStyle w:val="naisf"/>
              <w:spacing w:before="0" w:after="0"/>
              <w:ind w:firstLine="0"/>
              <w:jc w:val="center"/>
            </w:pPr>
            <w:r w:rsidRPr="0090751B">
              <w:t>0</w:t>
            </w:r>
          </w:p>
        </w:tc>
      </w:tr>
      <w:tr w:rsidR="00B85895" w:rsidRPr="0090751B" w14:paraId="27E6BBE9"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0C0E7F67" w14:textId="77777777" w:rsidR="00B85895" w:rsidRPr="0090751B" w:rsidRDefault="00B85895" w:rsidP="00B85895">
            <w:pPr>
              <w:jc w:val="both"/>
            </w:pPr>
            <w:r w:rsidRPr="0090751B">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tcPr>
          <w:p w14:paraId="233A4393" w14:textId="77777777" w:rsidR="00B85895" w:rsidRPr="0090751B" w:rsidRDefault="00B85895" w:rsidP="00B85895">
            <w:pPr>
              <w:rPr>
                <w:i/>
              </w:rPr>
            </w:pPr>
          </w:p>
        </w:tc>
        <w:tc>
          <w:tcPr>
            <w:tcW w:w="1331" w:type="dxa"/>
            <w:tcBorders>
              <w:top w:val="single" w:sz="4" w:space="0" w:color="auto"/>
              <w:left w:val="single" w:sz="4" w:space="0" w:color="auto"/>
              <w:bottom w:val="single" w:sz="4" w:space="0" w:color="auto"/>
              <w:right w:val="single" w:sz="4" w:space="0" w:color="auto"/>
            </w:tcBorders>
          </w:tcPr>
          <w:p w14:paraId="0D3F17E0" w14:textId="77777777" w:rsidR="00B85895" w:rsidRPr="0090751B" w:rsidRDefault="00B85895" w:rsidP="00B85895">
            <w:pPr>
              <w:pStyle w:val="naisf"/>
              <w:spacing w:before="0" w:after="0"/>
              <w:ind w:firstLine="0"/>
              <w:jc w:val="center"/>
            </w:pPr>
            <w:r w:rsidRPr="0090751B">
              <w:t>0</w:t>
            </w:r>
          </w:p>
        </w:tc>
        <w:tc>
          <w:tcPr>
            <w:tcW w:w="1344" w:type="dxa"/>
            <w:tcBorders>
              <w:top w:val="single" w:sz="4" w:space="0" w:color="auto"/>
              <w:left w:val="single" w:sz="4" w:space="0" w:color="auto"/>
              <w:bottom w:val="single" w:sz="4" w:space="0" w:color="auto"/>
              <w:right w:val="single" w:sz="4" w:space="0" w:color="auto"/>
            </w:tcBorders>
          </w:tcPr>
          <w:p w14:paraId="4883AC10" w14:textId="77777777" w:rsidR="00B85895" w:rsidRPr="0090751B" w:rsidRDefault="00B85895" w:rsidP="00B85895">
            <w:pPr>
              <w:pStyle w:val="naisf"/>
              <w:spacing w:before="0" w:after="0"/>
              <w:ind w:firstLine="0"/>
              <w:jc w:val="center"/>
            </w:pPr>
            <w:r w:rsidRPr="0090751B">
              <w:t>0</w:t>
            </w:r>
          </w:p>
        </w:tc>
        <w:tc>
          <w:tcPr>
            <w:tcW w:w="1345" w:type="dxa"/>
            <w:tcBorders>
              <w:top w:val="single" w:sz="4" w:space="0" w:color="auto"/>
              <w:left w:val="single" w:sz="4" w:space="0" w:color="auto"/>
              <w:bottom w:val="single" w:sz="4" w:space="0" w:color="auto"/>
              <w:right w:val="single" w:sz="4" w:space="0" w:color="auto"/>
            </w:tcBorders>
          </w:tcPr>
          <w:p w14:paraId="7E6CCAC9" w14:textId="77777777" w:rsidR="00B85895" w:rsidRPr="0090751B" w:rsidRDefault="00B85895" w:rsidP="00B85895">
            <w:pPr>
              <w:pStyle w:val="naisf"/>
              <w:spacing w:before="0" w:after="0"/>
              <w:ind w:firstLine="0"/>
              <w:jc w:val="center"/>
            </w:pPr>
            <w:r w:rsidRPr="0090751B">
              <w:t>0</w:t>
            </w:r>
          </w:p>
        </w:tc>
        <w:tc>
          <w:tcPr>
            <w:tcW w:w="1401" w:type="dxa"/>
            <w:tcBorders>
              <w:top w:val="single" w:sz="4" w:space="0" w:color="auto"/>
              <w:left w:val="single" w:sz="4" w:space="0" w:color="auto"/>
              <w:bottom w:val="single" w:sz="4" w:space="0" w:color="auto"/>
              <w:right w:val="single" w:sz="4" w:space="0" w:color="auto"/>
            </w:tcBorders>
          </w:tcPr>
          <w:p w14:paraId="2EAC6D38" w14:textId="77777777" w:rsidR="00B85895" w:rsidRPr="0090751B" w:rsidRDefault="00B85895" w:rsidP="00B85895">
            <w:pPr>
              <w:pStyle w:val="naisf"/>
              <w:spacing w:before="0" w:after="0"/>
              <w:ind w:firstLine="0"/>
              <w:jc w:val="center"/>
            </w:pPr>
            <w:r w:rsidRPr="0090751B">
              <w:t>0</w:t>
            </w:r>
          </w:p>
        </w:tc>
      </w:tr>
      <w:tr w:rsidR="00B85895" w:rsidRPr="0090751B" w14:paraId="55071DB6"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59C3A6D2" w14:textId="77777777" w:rsidR="00B85895" w:rsidRPr="0090751B" w:rsidRDefault="00B85895" w:rsidP="00B85895">
            <w:pPr>
              <w:jc w:val="both"/>
            </w:pPr>
            <w:r w:rsidRPr="0090751B">
              <w:t>6. Detalizēts ieņēmumu un izdevu</w:t>
            </w:r>
            <w:r w:rsidRPr="0090751B">
              <w:softHyphen/>
              <w:t>mu aprēķins (ja nepieciešams, detalizētu ieņēmumu un izdevumu aprēķinu var pievienot anotācijas pielikumā):</w:t>
            </w:r>
          </w:p>
        </w:tc>
        <w:tc>
          <w:tcPr>
            <w:tcW w:w="6717" w:type="dxa"/>
            <w:gridSpan w:val="5"/>
            <w:vMerge w:val="restart"/>
            <w:tcBorders>
              <w:top w:val="single" w:sz="4" w:space="0" w:color="auto"/>
              <w:left w:val="single" w:sz="4" w:space="0" w:color="auto"/>
              <w:bottom w:val="single" w:sz="4" w:space="0" w:color="auto"/>
              <w:right w:val="single" w:sz="4" w:space="0" w:color="auto"/>
            </w:tcBorders>
          </w:tcPr>
          <w:p w14:paraId="41E3A393" w14:textId="77777777" w:rsidR="00B85895" w:rsidRPr="0090751B" w:rsidRDefault="00B85895" w:rsidP="00E05FD6">
            <w:pPr>
              <w:pStyle w:val="naisf"/>
              <w:spacing w:before="0" w:after="0"/>
              <w:ind w:firstLine="0"/>
              <w:jc w:val="left"/>
            </w:pPr>
            <w:r w:rsidRPr="0090751B">
              <w:t>Projekts šo jomu neskar</w:t>
            </w:r>
            <w:r w:rsidR="00347CC6" w:rsidRPr="0090751B">
              <w:t>.</w:t>
            </w:r>
          </w:p>
        </w:tc>
      </w:tr>
      <w:tr w:rsidR="00B85895" w:rsidRPr="0090751B" w14:paraId="5E1E039D"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0D0BAAC2" w14:textId="77777777" w:rsidR="00B85895" w:rsidRPr="0090751B" w:rsidRDefault="00B85895" w:rsidP="00B85895">
            <w:pPr>
              <w:jc w:val="both"/>
            </w:pPr>
            <w:r w:rsidRPr="0090751B">
              <w:t>6.1. detalizēts ieņēmumu aprēķins</w:t>
            </w:r>
          </w:p>
        </w:tc>
        <w:tc>
          <w:tcPr>
            <w:tcW w:w="6717" w:type="dxa"/>
            <w:gridSpan w:val="5"/>
            <w:vMerge/>
            <w:tcBorders>
              <w:top w:val="single" w:sz="4" w:space="0" w:color="auto"/>
              <w:left w:val="single" w:sz="4" w:space="0" w:color="auto"/>
              <w:bottom w:val="single" w:sz="4" w:space="0" w:color="auto"/>
              <w:right w:val="single" w:sz="4" w:space="0" w:color="auto"/>
            </w:tcBorders>
            <w:vAlign w:val="center"/>
          </w:tcPr>
          <w:p w14:paraId="13A28D93" w14:textId="77777777" w:rsidR="00B85895" w:rsidRPr="0090751B" w:rsidRDefault="00B85895" w:rsidP="00E05FD6"/>
        </w:tc>
      </w:tr>
      <w:tr w:rsidR="00B85895" w:rsidRPr="0090751B" w14:paraId="56579193"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407D7541" w14:textId="77777777" w:rsidR="00B85895" w:rsidRPr="0090751B" w:rsidRDefault="00B85895" w:rsidP="00B85895">
            <w:pPr>
              <w:jc w:val="both"/>
            </w:pPr>
            <w:r w:rsidRPr="0090751B">
              <w:t>6.2. detalizēts izdevumu aprēķins</w:t>
            </w:r>
          </w:p>
        </w:tc>
        <w:tc>
          <w:tcPr>
            <w:tcW w:w="6717" w:type="dxa"/>
            <w:gridSpan w:val="5"/>
            <w:vMerge/>
            <w:tcBorders>
              <w:top w:val="single" w:sz="4" w:space="0" w:color="auto"/>
              <w:left w:val="single" w:sz="4" w:space="0" w:color="auto"/>
              <w:bottom w:val="single" w:sz="4" w:space="0" w:color="auto"/>
              <w:right w:val="single" w:sz="4" w:space="0" w:color="auto"/>
            </w:tcBorders>
            <w:vAlign w:val="center"/>
          </w:tcPr>
          <w:p w14:paraId="28080293" w14:textId="77777777" w:rsidR="00B85895" w:rsidRPr="0090751B" w:rsidRDefault="00B85895" w:rsidP="00E05FD6"/>
        </w:tc>
      </w:tr>
      <w:tr w:rsidR="00B85895" w:rsidRPr="0090751B" w14:paraId="29D149A8" w14:textId="77777777" w:rsidTr="000052FB">
        <w:trPr>
          <w:jc w:val="center"/>
        </w:trPr>
        <w:tc>
          <w:tcPr>
            <w:tcW w:w="2634" w:type="dxa"/>
            <w:tcBorders>
              <w:top w:val="single" w:sz="4" w:space="0" w:color="auto"/>
              <w:left w:val="single" w:sz="4" w:space="0" w:color="auto"/>
              <w:bottom w:val="single" w:sz="4" w:space="0" w:color="auto"/>
              <w:right w:val="single" w:sz="4" w:space="0" w:color="auto"/>
            </w:tcBorders>
          </w:tcPr>
          <w:p w14:paraId="78789BE0" w14:textId="77777777" w:rsidR="00B85895" w:rsidRPr="0090751B" w:rsidRDefault="00B85895" w:rsidP="00B85895">
            <w:pPr>
              <w:jc w:val="both"/>
            </w:pPr>
            <w:r w:rsidRPr="0090751B">
              <w:t>7. Cita informācija</w:t>
            </w:r>
          </w:p>
        </w:tc>
        <w:tc>
          <w:tcPr>
            <w:tcW w:w="6717" w:type="dxa"/>
            <w:gridSpan w:val="5"/>
            <w:tcBorders>
              <w:top w:val="single" w:sz="4" w:space="0" w:color="auto"/>
              <w:left w:val="single" w:sz="4" w:space="0" w:color="auto"/>
              <w:bottom w:val="single" w:sz="4" w:space="0" w:color="auto"/>
              <w:right w:val="single" w:sz="4" w:space="0" w:color="auto"/>
            </w:tcBorders>
          </w:tcPr>
          <w:p w14:paraId="4600DAA8" w14:textId="77777777" w:rsidR="00B85895" w:rsidRPr="0090751B" w:rsidRDefault="00486CB0" w:rsidP="00E05FD6">
            <w:pPr>
              <w:pStyle w:val="naisf"/>
              <w:spacing w:before="0" w:after="0"/>
              <w:ind w:firstLine="0"/>
              <w:jc w:val="left"/>
              <w:rPr>
                <w:highlight w:val="yellow"/>
              </w:rPr>
            </w:pPr>
            <w:r w:rsidRPr="0090751B">
              <w:t>Projekts šo jomu neskar.</w:t>
            </w:r>
          </w:p>
        </w:tc>
      </w:tr>
    </w:tbl>
    <w:p w14:paraId="5D0377B7" w14:textId="77777777" w:rsidR="00B85895" w:rsidRDefault="00B85895">
      <w:pPr>
        <w:pStyle w:val="naiskr"/>
        <w:tabs>
          <w:tab w:val="left" w:pos="2628"/>
        </w:tabs>
        <w:spacing w:before="0" w:after="0"/>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2126"/>
        <w:gridCol w:w="6688"/>
      </w:tblGrid>
      <w:tr w:rsidR="004570D0" w:rsidRPr="00E84EF4" w14:paraId="3221E86A" w14:textId="77777777" w:rsidTr="000052FB">
        <w:tc>
          <w:tcPr>
            <w:tcW w:w="9356" w:type="dxa"/>
            <w:gridSpan w:val="3"/>
          </w:tcPr>
          <w:p w14:paraId="69147E78" w14:textId="77777777" w:rsidR="004570D0" w:rsidRPr="00E84EF4" w:rsidRDefault="004570D0" w:rsidP="004570D0">
            <w:pPr>
              <w:jc w:val="center"/>
              <w:rPr>
                <w:b/>
              </w:rPr>
            </w:pPr>
            <w:r w:rsidRPr="00E84EF4">
              <w:rPr>
                <w:b/>
              </w:rPr>
              <w:t> IV. Tiesību akta projekta ietekme uz spēkā esošo tiesību normu sistēmu</w:t>
            </w:r>
          </w:p>
          <w:p w14:paraId="5244BD60" w14:textId="77777777" w:rsidR="004570D0" w:rsidRPr="00E84EF4" w:rsidRDefault="004570D0" w:rsidP="004570D0">
            <w:pPr>
              <w:jc w:val="center"/>
            </w:pPr>
          </w:p>
        </w:tc>
      </w:tr>
      <w:tr w:rsidR="004570D0" w:rsidRPr="00E84EF4" w14:paraId="73336C0D" w14:textId="77777777" w:rsidTr="000052FB">
        <w:tc>
          <w:tcPr>
            <w:tcW w:w="542" w:type="dxa"/>
          </w:tcPr>
          <w:p w14:paraId="59DDEA7F" w14:textId="77777777" w:rsidR="004570D0" w:rsidRPr="00E84EF4" w:rsidRDefault="004570D0" w:rsidP="004570D0">
            <w:pPr>
              <w:ind w:right="-57"/>
            </w:pPr>
            <w:r w:rsidRPr="00E84EF4">
              <w:t>1.</w:t>
            </w:r>
          </w:p>
        </w:tc>
        <w:tc>
          <w:tcPr>
            <w:tcW w:w="2126" w:type="dxa"/>
          </w:tcPr>
          <w:p w14:paraId="3179E89F" w14:textId="77777777" w:rsidR="004570D0" w:rsidRPr="00E84EF4" w:rsidRDefault="004570D0" w:rsidP="004570D0">
            <w:pPr>
              <w:ind w:right="-57"/>
            </w:pPr>
            <w:r w:rsidRPr="00E84EF4">
              <w:t>Nepieciešamie saistītie tiesību aktu projekti</w:t>
            </w:r>
          </w:p>
          <w:p w14:paraId="2CDDF77A" w14:textId="77777777" w:rsidR="004570D0" w:rsidRPr="00E84EF4" w:rsidRDefault="004570D0" w:rsidP="004570D0">
            <w:pPr>
              <w:ind w:right="-57"/>
            </w:pPr>
          </w:p>
        </w:tc>
        <w:tc>
          <w:tcPr>
            <w:tcW w:w="6688" w:type="dxa"/>
          </w:tcPr>
          <w:p w14:paraId="5A6BC362" w14:textId="77777777" w:rsidR="004570D0" w:rsidRPr="004570D0" w:rsidRDefault="009647D4" w:rsidP="009647D4">
            <w:pPr>
              <w:pStyle w:val="Footer"/>
              <w:tabs>
                <w:tab w:val="clear" w:pos="4153"/>
                <w:tab w:val="clear" w:pos="8306"/>
                <w:tab w:val="left" w:pos="3150"/>
              </w:tabs>
              <w:jc w:val="both"/>
            </w:pPr>
            <w:r>
              <w:t>Lai pilnībā pārņemtu Direktīvas prasības, Likumprojekts paredz pakārtotu normatīvo aktu izstrādi.</w:t>
            </w:r>
          </w:p>
        </w:tc>
      </w:tr>
      <w:tr w:rsidR="00575F9E" w:rsidRPr="00E84EF4" w14:paraId="295C520A" w14:textId="77777777" w:rsidTr="000052FB">
        <w:tc>
          <w:tcPr>
            <w:tcW w:w="542" w:type="dxa"/>
          </w:tcPr>
          <w:p w14:paraId="16C52CAE" w14:textId="77777777" w:rsidR="00575F9E" w:rsidRPr="00E84EF4" w:rsidRDefault="00575F9E" w:rsidP="004570D0">
            <w:pPr>
              <w:ind w:right="-57"/>
            </w:pPr>
            <w:r>
              <w:t xml:space="preserve">2. </w:t>
            </w:r>
          </w:p>
        </w:tc>
        <w:tc>
          <w:tcPr>
            <w:tcW w:w="2126" w:type="dxa"/>
          </w:tcPr>
          <w:p w14:paraId="254FCFBA" w14:textId="77777777" w:rsidR="00575F9E" w:rsidRPr="00575F9E" w:rsidRDefault="00575F9E" w:rsidP="004570D0">
            <w:pPr>
              <w:ind w:right="-57"/>
            </w:pPr>
            <w:r w:rsidRPr="00575F9E">
              <w:t>Atbildīgā institūcija</w:t>
            </w:r>
          </w:p>
        </w:tc>
        <w:tc>
          <w:tcPr>
            <w:tcW w:w="6688" w:type="dxa"/>
          </w:tcPr>
          <w:p w14:paraId="01E0D51C" w14:textId="77777777" w:rsidR="00575F9E" w:rsidRDefault="009647D4" w:rsidP="004570D0">
            <w:pPr>
              <w:pStyle w:val="Footer"/>
              <w:tabs>
                <w:tab w:val="clear" w:pos="4153"/>
                <w:tab w:val="clear" w:pos="8306"/>
                <w:tab w:val="left" w:pos="3150"/>
              </w:tabs>
              <w:jc w:val="both"/>
            </w:pPr>
            <w:r>
              <w:t>Finanšu un kapitāla tirgus komisija</w:t>
            </w:r>
            <w:r w:rsidR="00575F9E">
              <w:t>.</w:t>
            </w:r>
          </w:p>
        </w:tc>
      </w:tr>
      <w:tr w:rsidR="004570D0" w:rsidRPr="00E84EF4" w14:paraId="6AC7A2BD" w14:textId="77777777" w:rsidTr="000052FB">
        <w:tc>
          <w:tcPr>
            <w:tcW w:w="542" w:type="dxa"/>
          </w:tcPr>
          <w:p w14:paraId="55C40C52" w14:textId="77777777" w:rsidR="004570D0" w:rsidRPr="00E84EF4" w:rsidRDefault="00575F9E" w:rsidP="004570D0">
            <w:r>
              <w:t>3.</w:t>
            </w:r>
          </w:p>
        </w:tc>
        <w:tc>
          <w:tcPr>
            <w:tcW w:w="2126" w:type="dxa"/>
          </w:tcPr>
          <w:p w14:paraId="5D198998" w14:textId="77777777" w:rsidR="004570D0" w:rsidRPr="00E84EF4" w:rsidRDefault="004570D0" w:rsidP="004570D0">
            <w:r w:rsidRPr="00E84EF4">
              <w:t xml:space="preserve">Cita informācija </w:t>
            </w:r>
          </w:p>
        </w:tc>
        <w:tc>
          <w:tcPr>
            <w:tcW w:w="6688" w:type="dxa"/>
          </w:tcPr>
          <w:p w14:paraId="37C063F6" w14:textId="77777777" w:rsidR="004570D0" w:rsidRPr="00E84EF4" w:rsidRDefault="004570D0" w:rsidP="004570D0">
            <w:pPr>
              <w:ind w:firstLine="34"/>
              <w:jc w:val="both"/>
            </w:pPr>
            <w:r w:rsidRPr="00E84EF4">
              <w:t>Nav.</w:t>
            </w:r>
          </w:p>
        </w:tc>
      </w:tr>
    </w:tbl>
    <w:p w14:paraId="07BB2CB7" w14:textId="77777777" w:rsidR="0018086A" w:rsidRDefault="0018086A">
      <w:pPr>
        <w:pStyle w:val="naiskr"/>
        <w:tabs>
          <w:tab w:val="left" w:pos="2628"/>
        </w:tabs>
        <w:spacing w:before="0" w:after="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71"/>
        <w:gridCol w:w="6163"/>
      </w:tblGrid>
      <w:tr w:rsidR="0018086A" w14:paraId="0542FB7D" w14:textId="77777777" w:rsidTr="000052FB">
        <w:trPr>
          <w:jc w:val="center"/>
        </w:trPr>
        <w:tc>
          <w:tcPr>
            <w:tcW w:w="9351" w:type="dxa"/>
            <w:gridSpan w:val="3"/>
          </w:tcPr>
          <w:p w14:paraId="32AF2C4B" w14:textId="77777777" w:rsidR="0018086A" w:rsidRDefault="0018086A">
            <w:pPr>
              <w:pStyle w:val="naisnod"/>
              <w:spacing w:before="0" w:after="0"/>
              <w:jc w:val="both"/>
            </w:pPr>
            <w:r>
              <w:t>V. Tiesību akta projekta atbilstība Latvijas Republikas starptautiskajām saistībām</w:t>
            </w:r>
          </w:p>
        </w:tc>
      </w:tr>
      <w:tr w:rsidR="0018086A" w14:paraId="23A65F0A" w14:textId="77777777" w:rsidTr="000052FB">
        <w:trPr>
          <w:jc w:val="center"/>
        </w:trPr>
        <w:tc>
          <w:tcPr>
            <w:tcW w:w="417" w:type="dxa"/>
          </w:tcPr>
          <w:p w14:paraId="75B68D66" w14:textId="77777777" w:rsidR="0018086A" w:rsidRDefault="0018086A">
            <w:pPr>
              <w:pStyle w:val="naiskr"/>
              <w:tabs>
                <w:tab w:val="left" w:pos="2628"/>
              </w:tabs>
              <w:spacing w:before="0" w:after="0"/>
              <w:jc w:val="center"/>
              <w:rPr>
                <w:iCs/>
              </w:rPr>
            </w:pPr>
            <w:r>
              <w:rPr>
                <w:iCs/>
              </w:rPr>
              <w:t>1.</w:t>
            </w:r>
          </w:p>
        </w:tc>
        <w:tc>
          <w:tcPr>
            <w:tcW w:w="2771" w:type="dxa"/>
          </w:tcPr>
          <w:p w14:paraId="775B7B96" w14:textId="77777777" w:rsidR="0018086A" w:rsidRDefault="0018086A">
            <w:pPr>
              <w:pStyle w:val="naiskr"/>
              <w:tabs>
                <w:tab w:val="left" w:pos="2628"/>
              </w:tabs>
              <w:spacing w:before="0" w:after="0"/>
              <w:jc w:val="both"/>
              <w:rPr>
                <w:iCs/>
              </w:rPr>
            </w:pPr>
            <w:r>
              <w:t>Saistības pret Eiropas Savienību</w:t>
            </w:r>
          </w:p>
        </w:tc>
        <w:tc>
          <w:tcPr>
            <w:tcW w:w="6163" w:type="dxa"/>
          </w:tcPr>
          <w:p w14:paraId="0BA11B50" w14:textId="1910F509" w:rsidR="00CE5F93" w:rsidRDefault="00CE5F93" w:rsidP="00CE5F93">
            <w:pPr>
              <w:spacing w:before="100" w:beforeAutospacing="1" w:after="100" w:afterAutospacing="1"/>
              <w:jc w:val="both"/>
            </w:pPr>
            <w:r w:rsidRPr="003B2C8B">
              <w:t>E</w:t>
            </w:r>
            <w:r>
              <w:t xml:space="preserve">iropas Parlamenta un Padomes 2013. gada 22. oktobra direktīvas </w:t>
            </w:r>
            <w:r w:rsidRPr="003B2C8B">
              <w:t xml:space="preserve">2013/50/ES, ar kuru groza Eiropas Parlamenta un Padomes Direktīvu 2004/109/EK par atklātības prasību saskaņošanu attiecībā uz informāciju par emitentiem, kuru vērtspapīrus atļauts tirgot regulētā tirgū, Eiropas Parlamenta un Padomes Direktīvu 2003/71/EK par prospektu, kurš jāpublicē, publiski piedāvājot vērtspapīrus vai atļaujot to </w:t>
            </w:r>
            <w:r w:rsidRPr="003B2C8B">
              <w:lastRenderedPageBreak/>
              <w:t>tirdzniecību, un Komisijas Direktīvu 2007/14/EK, ar ko nosaka sīki izstrādātus noteikumus Direktīvas 2004/109/EK atsevišķu noteikumu īstenošanai</w:t>
            </w:r>
            <w:r>
              <w:t xml:space="preserve"> </w:t>
            </w:r>
            <w:r w:rsidR="000052FB">
              <w:t>L</w:t>
            </w:r>
            <w:r w:rsidRPr="00486CB0">
              <w:t xml:space="preserve">atvijas tiesību aktos. </w:t>
            </w:r>
          </w:p>
          <w:p w14:paraId="3EA17C3E" w14:textId="3A95079A" w:rsidR="00CE5F93" w:rsidRDefault="00CE5F93" w:rsidP="00CE5F93">
            <w:pPr>
              <w:spacing w:before="100" w:beforeAutospacing="1" w:after="100" w:afterAutospacing="1"/>
              <w:jc w:val="both"/>
            </w:pPr>
            <w:r>
              <w:t xml:space="preserve">Eiropas Parlamenta un Padomes 2014. gada 16. </w:t>
            </w:r>
            <w:r w:rsidR="00F82D21">
              <w:t>a</w:t>
            </w:r>
            <w:r>
              <w:t xml:space="preserve">prīļa regulas Nr. 596/2014 par tirgus ļaunprātīgu izmantošanu (tirgus ļaunprātīgas izmantošanas regula) un ar ko atceļ Eiropas Parlamenta un Padomes Direktīvu 2003/6/EK un Komisijas Direktīvas 2003/124/EK, 2003/125/EK un 2004/72/EK </w:t>
            </w:r>
            <w:r w:rsidR="00E05FD6">
              <w:t>nosacījumi</w:t>
            </w:r>
            <w:r>
              <w:t xml:space="preserve">. Minētie pasākumi jānodrošina līdz 2016.gada 3.jūlijam. </w:t>
            </w:r>
          </w:p>
          <w:p w14:paraId="5428287E" w14:textId="277A23B2" w:rsidR="00846DCE" w:rsidRPr="001D13E9" w:rsidRDefault="00CE5F93" w:rsidP="00F95B7E">
            <w:pPr>
              <w:spacing w:before="100" w:beforeAutospacing="1" w:after="100" w:afterAutospacing="1"/>
              <w:jc w:val="both"/>
            </w:pPr>
            <w:r>
              <w:t>E</w:t>
            </w:r>
            <w:r w:rsidR="00F95B7E">
              <w:t>U</w:t>
            </w:r>
            <w:r>
              <w:t xml:space="preserve"> Pilot lieta 6446/14/MARK.</w:t>
            </w:r>
          </w:p>
        </w:tc>
      </w:tr>
      <w:tr w:rsidR="0018086A" w14:paraId="145995EE" w14:textId="77777777" w:rsidTr="000052FB">
        <w:trPr>
          <w:jc w:val="center"/>
        </w:trPr>
        <w:tc>
          <w:tcPr>
            <w:tcW w:w="417" w:type="dxa"/>
          </w:tcPr>
          <w:p w14:paraId="4098C060" w14:textId="77777777" w:rsidR="0018086A" w:rsidRDefault="0018086A">
            <w:pPr>
              <w:pStyle w:val="naiskr"/>
              <w:tabs>
                <w:tab w:val="left" w:pos="2628"/>
              </w:tabs>
              <w:spacing w:before="0" w:after="0"/>
              <w:jc w:val="center"/>
              <w:rPr>
                <w:iCs/>
              </w:rPr>
            </w:pPr>
            <w:r>
              <w:rPr>
                <w:iCs/>
              </w:rPr>
              <w:lastRenderedPageBreak/>
              <w:t>2.</w:t>
            </w:r>
          </w:p>
        </w:tc>
        <w:tc>
          <w:tcPr>
            <w:tcW w:w="2771" w:type="dxa"/>
          </w:tcPr>
          <w:p w14:paraId="3F18F020" w14:textId="77777777" w:rsidR="0018086A" w:rsidRDefault="0018086A">
            <w:pPr>
              <w:pStyle w:val="naiskr"/>
              <w:tabs>
                <w:tab w:val="left" w:pos="2628"/>
              </w:tabs>
              <w:spacing w:before="0" w:after="0"/>
              <w:jc w:val="both"/>
              <w:rPr>
                <w:iCs/>
              </w:rPr>
            </w:pPr>
            <w:r>
              <w:t>Citas starptautiskās saistības</w:t>
            </w:r>
          </w:p>
        </w:tc>
        <w:tc>
          <w:tcPr>
            <w:tcW w:w="6163" w:type="dxa"/>
          </w:tcPr>
          <w:p w14:paraId="3AC0DFE1" w14:textId="77777777" w:rsidR="0018086A" w:rsidRPr="00935862" w:rsidRDefault="001951E5">
            <w:pPr>
              <w:rPr>
                <w:iCs/>
              </w:rPr>
            </w:pPr>
            <w:r w:rsidRPr="00935862">
              <w:t>Projekts šo jomu neskar</w:t>
            </w:r>
            <w:r w:rsidR="00B3558E" w:rsidRPr="00935862">
              <w:t>.</w:t>
            </w:r>
            <w:r w:rsidRPr="00935862">
              <w:rPr>
                <w:iCs/>
              </w:rPr>
              <w:t xml:space="preserve"> </w:t>
            </w:r>
          </w:p>
        </w:tc>
      </w:tr>
      <w:tr w:rsidR="0018086A" w14:paraId="7C0D4C50" w14:textId="77777777" w:rsidTr="000052FB">
        <w:trPr>
          <w:jc w:val="center"/>
        </w:trPr>
        <w:tc>
          <w:tcPr>
            <w:tcW w:w="417" w:type="dxa"/>
          </w:tcPr>
          <w:p w14:paraId="4BD9811C" w14:textId="77777777" w:rsidR="0018086A" w:rsidRDefault="0018086A">
            <w:pPr>
              <w:pStyle w:val="naiskr"/>
              <w:tabs>
                <w:tab w:val="left" w:pos="2628"/>
              </w:tabs>
              <w:spacing w:before="0" w:after="0"/>
              <w:jc w:val="center"/>
              <w:rPr>
                <w:iCs/>
              </w:rPr>
            </w:pPr>
            <w:r>
              <w:rPr>
                <w:iCs/>
              </w:rPr>
              <w:t>3.</w:t>
            </w:r>
          </w:p>
        </w:tc>
        <w:tc>
          <w:tcPr>
            <w:tcW w:w="2771" w:type="dxa"/>
          </w:tcPr>
          <w:p w14:paraId="723AEB1B" w14:textId="77777777" w:rsidR="0018086A" w:rsidRDefault="0018086A">
            <w:pPr>
              <w:pStyle w:val="naiskr"/>
              <w:tabs>
                <w:tab w:val="left" w:pos="2628"/>
              </w:tabs>
              <w:spacing w:before="0" w:after="0"/>
              <w:jc w:val="both"/>
            </w:pPr>
            <w:r>
              <w:t>Cita informācija</w:t>
            </w:r>
          </w:p>
        </w:tc>
        <w:tc>
          <w:tcPr>
            <w:tcW w:w="6163" w:type="dxa"/>
          </w:tcPr>
          <w:p w14:paraId="595A6624" w14:textId="77777777" w:rsidR="00987981" w:rsidRPr="000D64BE" w:rsidRDefault="009647D4" w:rsidP="000D64BE">
            <w:pPr>
              <w:autoSpaceDE w:val="0"/>
              <w:autoSpaceDN w:val="0"/>
              <w:adjustRightInd w:val="0"/>
              <w:jc w:val="both"/>
              <w:rPr>
                <w:iCs/>
              </w:rPr>
            </w:pPr>
            <w:r>
              <w:rPr>
                <w:iCs/>
              </w:rPr>
              <w:t>Nav.</w:t>
            </w:r>
          </w:p>
        </w:tc>
      </w:tr>
    </w:tbl>
    <w:p w14:paraId="2535A614" w14:textId="77777777" w:rsidR="0018086A" w:rsidRDefault="0018086A">
      <w:pPr>
        <w:pStyle w:val="naisf"/>
        <w:spacing w:before="0" w:after="0"/>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26"/>
        <w:gridCol w:w="3047"/>
        <w:gridCol w:w="2783"/>
        <w:gridCol w:w="1850"/>
      </w:tblGrid>
      <w:tr w:rsidR="005959DF" w:rsidRPr="005959DF" w14:paraId="21A68D90" w14:textId="77777777" w:rsidTr="00631B83">
        <w:trPr>
          <w:trHeight w:val="523"/>
          <w:jc w:val="center"/>
        </w:trPr>
        <w:tc>
          <w:tcPr>
            <w:tcW w:w="9306" w:type="dxa"/>
            <w:gridSpan w:val="4"/>
            <w:vAlign w:val="center"/>
          </w:tcPr>
          <w:p w14:paraId="034634A1" w14:textId="77777777" w:rsidR="005959DF" w:rsidRPr="005959DF" w:rsidRDefault="005959DF" w:rsidP="005959DF">
            <w:pPr>
              <w:jc w:val="center"/>
              <w:rPr>
                <w:b/>
                <w:bCs/>
              </w:rPr>
            </w:pPr>
            <w:r w:rsidRPr="005959DF">
              <w:rPr>
                <w:b/>
                <w:bCs/>
              </w:rPr>
              <w:t xml:space="preserve">1. tabula </w:t>
            </w:r>
          </w:p>
          <w:p w14:paraId="375DB99D" w14:textId="77777777" w:rsidR="005959DF" w:rsidRPr="005959DF" w:rsidRDefault="005959DF" w:rsidP="005959DF">
            <w:pPr>
              <w:jc w:val="center"/>
              <w:rPr>
                <w:b/>
                <w:bCs/>
                <w:i/>
              </w:rPr>
            </w:pPr>
            <w:r w:rsidRPr="005959DF">
              <w:rPr>
                <w:b/>
                <w:bCs/>
              </w:rPr>
              <w:t>Tiesību akta projekta atbilstība ES tiesību aktiem</w:t>
            </w:r>
          </w:p>
        </w:tc>
      </w:tr>
      <w:tr w:rsidR="005959DF" w:rsidRPr="005959DF" w14:paraId="7B7F5EE6" w14:textId="77777777" w:rsidTr="00631B83">
        <w:trPr>
          <w:trHeight w:val="1058"/>
          <w:jc w:val="center"/>
        </w:trPr>
        <w:tc>
          <w:tcPr>
            <w:tcW w:w="1626" w:type="dxa"/>
            <w:vAlign w:val="center"/>
          </w:tcPr>
          <w:p w14:paraId="0D918969" w14:textId="77777777" w:rsidR="005959DF" w:rsidRPr="005959DF" w:rsidRDefault="005959DF" w:rsidP="005959DF">
            <w:pPr>
              <w:ind w:hanging="10"/>
              <w:jc w:val="center"/>
            </w:pPr>
            <w:r w:rsidRPr="005959DF">
              <w:t>Direktīva 2013/50/ES</w:t>
            </w:r>
          </w:p>
        </w:tc>
        <w:tc>
          <w:tcPr>
            <w:tcW w:w="7680" w:type="dxa"/>
            <w:gridSpan w:val="3"/>
            <w:vAlign w:val="center"/>
          </w:tcPr>
          <w:p w14:paraId="2351282F" w14:textId="77777777" w:rsidR="005959DF" w:rsidRPr="005959DF" w:rsidRDefault="005959DF" w:rsidP="005959DF">
            <w:pPr>
              <w:jc w:val="center"/>
            </w:pPr>
            <w:r w:rsidRPr="005959DF">
              <w:t>Aizpilda, ja ar projektu tiek pārņemts vai ieviests vairāk nekā viens ES tiesību akts, – jānorāda tā pati informācija, kas prasīta instrukcijas 55.1. apakšpunktā un jau tikusi norādīta arī V sadaļas 1. punkta ietvaros.</w:t>
            </w:r>
          </w:p>
        </w:tc>
      </w:tr>
      <w:tr w:rsidR="005959DF" w:rsidRPr="005959DF" w14:paraId="57F51256" w14:textId="77777777" w:rsidTr="00631B83">
        <w:trPr>
          <w:trHeight w:val="165"/>
          <w:jc w:val="center"/>
        </w:trPr>
        <w:tc>
          <w:tcPr>
            <w:tcW w:w="1626" w:type="dxa"/>
            <w:vAlign w:val="center"/>
          </w:tcPr>
          <w:p w14:paraId="606896DD" w14:textId="77777777" w:rsidR="005959DF" w:rsidRPr="005959DF" w:rsidRDefault="005959DF" w:rsidP="005959DF">
            <w:pPr>
              <w:jc w:val="both"/>
            </w:pPr>
            <w:r w:rsidRPr="005959DF">
              <w:t>A</w:t>
            </w:r>
          </w:p>
        </w:tc>
        <w:tc>
          <w:tcPr>
            <w:tcW w:w="3047" w:type="dxa"/>
            <w:vAlign w:val="center"/>
          </w:tcPr>
          <w:p w14:paraId="27707920" w14:textId="77777777" w:rsidR="005959DF" w:rsidRPr="005959DF" w:rsidRDefault="005959DF" w:rsidP="005959DF">
            <w:pPr>
              <w:jc w:val="center"/>
            </w:pPr>
            <w:r w:rsidRPr="005959DF">
              <w:t>B</w:t>
            </w:r>
          </w:p>
        </w:tc>
        <w:tc>
          <w:tcPr>
            <w:tcW w:w="2783" w:type="dxa"/>
            <w:vAlign w:val="center"/>
          </w:tcPr>
          <w:p w14:paraId="20E37620" w14:textId="77777777" w:rsidR="005959DF" w:rsidRPr="005959DF" w:rsidRDefault="005959DF" w:rsidP="005959DF">
            <w:pPr>
              <w:jc w:val="center"/>
            </w:pPr>
            <w:r w:rsidRPr="005959DF">
              <w:t>C</w:t>
            </w:r>
          </w:p>
        </w:tc>
        <w:tc>
          <w:tcPr>
            <w:tcW w:w="1850" w:type="dxa"/>
            <w:vAlign w:val="center"/>
          </w:tcPr>
          <w:p w14:paraId="513777A0" w14:textId="77777777" w:rsidR="005959DF" w:rsidRPr="005959DF" w:rsidRDefault="005959DF" w:rsidP="005959DF">
            <w:pPr>
              <w:jc w:val="center"/>
            </w:pPr>
            <w:r w:rsidRPr="005959DF">
              <w:t>D</w:t>
            </w:r>
          </w:p>
        </w:tc>
      </w:tr>
      <w:tr w:rsidR="005959DF" w:rsidRPr="005959DF" w14:paraId="4F946BB9" w14:textId="77777777" w:rsidTr="00631B83">
        <w:trPr>
          <w:trHeight w:val="4708"/>
          <w:jc w:val="center"/>
        </w:trPr>
        <w:tc>
          <w:tcPr>
            <w:tcW w:w="1626" w:type="dxa"/>
          </w:tcPr>
          <w:p w14:paraId="6FCD4594" w14:textId="77777777" w:rsidR="005959DF" w:rsidRPr="005959DF" w:rsidRDefault="005959DF" w:rsidP="005959DF">
            <w:pPr>
              <w:jc w:val="both"/>
            </w:pPr>
            <w:r w:rsidRPr="005959DF">
              <w:rPr>
                <w:color w:val="000000"/>
              </w:rPr>
              <w:t>Attiecīgā ES tiesību akta panta numurs (uzskaitot katru tiesību akta</w:t>
            </w:r>
            <w:r w:rsidRPr="005959DF">
              <w:rPr>
                <w:color w:val="000000"/>
              </w:rPr>
              <w:br/>
              <w:t>vienību - pantu, daļu, punktu, apakšpunktu)</w:t>
            </w:r>
          </w:p>
        </w:tc>
        <w:tc>
          <w:tcPr>
            <w:tcW w:w="3047" w:type="dxa"/>
          </w:tcPr>
          <w:p w14:paraId="30F344E3" w14:textId="77777777" w:rsidR="005959DF" w:rsidRPr="005959DF" w:rsidRDefault="005959DF" w:rsidP="005959DF">
            <w:pPr>
              <w:jc w:val="both"/>
            </w:pPr>
            <w:r w:rsidRPr="005959DF">
              <w:rPr>
                <w:color w:val="000000"/>
              </w:rPr>
              <w:t>Projekta vienība, kas pārņem vai ievieš katru šīs tabulas A ailē minēto ES tiesību akta vienību</w:t>
            </w:r>
          </w:p>
        </w:tc>
        <w:tc>
          <w:tcPr>
            <w:tcW w:w="2783" w:type="dxa"/>
          </w:tcPr>
          <w:p w14:paraId="7FA697B2" w14:textId="77777777" w:rsidR="005959DF" w:rsidRPr="005959DF" w:rsidRDefault="005959DF" w:rsidP="005959DF">
            <w:pPr>
              <w:spacing w:before="100" w:beforeAutospacing="1" w:after="100" w:afterAutospacing="1"/>
              <w:jc w:val="both"/>
              <w:rPr>
                <w:color w:val="000000"/>
              </w:rPr>
            </w:pPr>
            <w:r w:rsidRPr="005959DF">
              <w:rPr>
                <w:color w:val="000000"/>
              </w:rPr>
              <w:t>Informācija par to, vai šīs tabulas A ailē minētās ES tiesību akta vienības tiek pārņemtas vai ieviestas pilnībā vai daļēji.</w:t>
            </w:r>
          </w:p>
          <w:p w14:paraId="351682B3" w14:textId="77777777" w:rsidR="005959DF" w:rsidRPr="005959DF" w:rsidRDefault="005959DF" w:rsidP="005959DF">
            <w:pPr>
              <w:spacing w:before="100" w:beforeAutospacing="1" w:after="100" w:afterAutospacing="1"/>
              <w:jc w:val="both"/>
              <w:rPr>
                <w:color w:val="000000"/>
              </w:rPr>
            </w:pPr>
            <w:r w:rsidRPr="005959DF">
              <w:rPr>
                <w:color w:val="000000"/>
              </w:rPr>
              <w:t>Ja attiecīgā ES tiesību akta vienība tiek pārņemta vai ieviesta daļēji, - sniedz attiecīgu skaidrojumu, kā arī precīzi norāda, kad un kādā veidā ES tiesību akta vienība tiks pārņemta vai ieviesta pilnībā.</w:t>
            </w:r>
          </w:p>
          <w:p w14:paraId="3BA0CA65" w14:textId="77777777" w:rsidR="005959DF" w:rsidRPr="005959DF" w:rsidRDefault="005959DF" w:rsidP="005959DF">
            <w:pPr>
              <w:jc w:val="both"/>
            </w:pPr>
            <w:r w:rsidRPr="005959DF">
              <w:rPr>
                <w:color w:val="000000"/>
              </w:rPr>
              <w:t>Norāda institūciju, kas ir atbildīga par šo saistību izpildi pilnībā.</w:t>
            </w:r>
          </w:p>
        </w:tc>
        <w:tc>
          <w:tcPr>
            <w:tcW w:w="1850" w:type="dxa"/>
          </w:tcPr>
          <w:p w14:paraId="22815577" w14:textId="77777777" w:rsidR="005959DF" w:rsidRPr="005959DF" w:rsidRDefault="005959DF" w:rsidP="005959DF">
            <w:pPr>
              <w:spacing w:before="100" w:beforeAutospacing="1" w:after="100" w:afterAutospacing="1"/>
              <w:jc w:val="both"/>
              <w:rPr>
                <w:color w:val="000000"/>
              </w:rPr>
            </w:pPr>
            <w:r w:rsidRPr="005959DF">
              <w:rPr>
                <w:color w:val="000000"/>
              </w:rPr>
              <w:t>Informācija par to, vai šīs tabulas B ailē minētās projekta vienības paredz stingrākas prasības nekā šīs tabulas A ailē minētās ES tiesību akta vienības.</w:t>
            </w:r>
          </w:p>
          <w:p w14:paraId="56B888BA" w14:textId="77777777" w:rsidR="005959DF" w:rsidRPr="005959DF" w:rsidRDefault="005959DF" w:rsidP="005959DF">
            <w:pPr>
              <w:spacing w:before="100" w:beforeAutospacing="1" w:after="100" w:afterAutospacing="1"/>
              <w:jc w:val="both"/>
              <w:rPr>
                <w:color w:val="000000"/>
              </w:rPr>
            </w:pPr>
            <w:r w:rsidRPr="005959DF">
              <w:rPr>
                <w:color w:val="000000"/>
              </w:rPr>
              <w:t>Ja projekts satur stingrākas prasības nekā attiecīgais ES tiesību akts, - norāda pamatojumu un samērīgumu.</w:t>
            </w:r>
          </w:p>
          <w:p w14:paraId="006220E4" w14:textId="77777777" w:rsidR="005959DF" w:rsidRPr="005959DF" w:rsidRDefault="005959DF" w:rsidP="005959DF">
            <w:pPr>
              <w:jc w:val="both"/>
            </w:pPr>
            <w:r w:rsidRPr="005959DF">
              <w:rPr>
                <w:color w:val="000000"/>
              </w:rPr>
              <w:t xml:space="preserve">Norāda iespējamās alternatīvas (t.sk. alternatīvas, kas </w:t>
            </w:r>
            <w:r w:rsidRPr="005959DF">
              <w:rPr>
                <w:color w:val="000000"/>
              </w:rPr>
              <w:lastRenderedPageBreak/>
              <w:t>neparedz tiesiskā regulējuma izstrādi) - kādos gadījumos būtu iespējams izvairīties no stingrāku prasību noteikšanas, nekā paredzēts attiecīgajos ES tiesību aktos</w:t>
            </w:r>
          </w:p>
        </w:tc>
      </w:tr>
      <w:tr w:rsidR="005959DF" w:rsidRPr="005959DF" w14:paraId="13C5816D" w14:textId="77777777" w:rsidTr="00631B83">
        <w:trPr>
          <w:trHeight w:val="289"/>
          <w:jc w:val="center"/>
        </w:trPr>
        <w:tc>
          <w:tcPr>
            <w:tcW w:w="1626" w:type="dxa"/>
          </w:tcPr>
          <w:p w14:paraId="0BF56816" w14:textId="50E2783F" w:rsidR="005959DF" w:rsidRPr="005959DF" w:rsidRDefault="005959DF" w:rsidP="005959DF">
            <w:pPr>
              <w:jc w:val="center"/>
            </w:pPr>
            <w:r w:rsidRPr="005959DF">
              <w:lastRenderedPageBreak/>
              <w:t>1. panta a) punkta i)</w:t>
            </w:r>
            <w:r>
              <w:t xml:space="preserve"> </w:t>
            </w:r>
            <w:r w:rsidRPr="005959DF">
              <w:t>apakšpunkts</w:t>
            </w:r>
          </w:p>
        </w:tc>
        <w:tc>
          <w:tcPr>
            <w:tcW w:w="3047" w:type="dxa"/>
          </w:tcPr>
          <w:p w14:paraId="60A6C79E" w14:textId="7B2F3968" w:rsidR="005959DF" w:rsidRPr="005959DF" w:rsidRDefault="002B16B1" w:rsidP="005959DF">
            <w:pPr>
              <w:jc w:val="center"/>
            </w:pPr>
            <w:r>
              <w:t xml:space="preserve">Likumprojekta 2. pantā ietvertais Finanšu instrumentu tirgus likuma </w:t>
            </w:r>
            <w:r w:rsidR="005959DF" w:rsidRPr="005959DF">
              <w:t>1. panta 12.punkts</w:t>
            </w:r>
          </w:p>
        </w:tc>
        <w:tc>
          <w:tcPr>
            <w:tcW w:w="2783" w:type="dxa"/>
          </w:tcPr>
          <w:p w14:paraId="7944D801" w14:textId="77777777" w:rsidR="005959DF" w:rsidRPr="005959DF" w:rsidRDefault="005959DF" w:rsidP="005959DF">
            <w:pPr>
              <w:jc w:val="center"/>
            </w:pPr>
            <w:r w:rsidRPr="005959DF">
              <w:rPr>
                <w:spacing w:val="-2"/>
              </w:rPr>
              <w:t>Ieviests pilnībā.</w:t>
            </w:r>
          </w:p>
        </w:tc>
        <w:tc>
          <w:tcPr>
            <w:tcW w:w="1850" w:type="dxa"/>
          </w:tcPr>
          <w:p w14:paraId="611F95DF" w14:textId="77777777" w:rsidR="005959DF" w:rsidRPr="005959DF" w:rsidRDefault="005959DF" w:rsidP="005959DF">
            <w:pPr>
              <w:jc w:val="center"/>
            </w:pPr>
            <w:r w:rsidRPr="005959DF">
              <w:rPr>
                <w:spacing w:val="-2"/>
              </w:rPr>
              <w:t>Likumprojekts nenosaka stingrākas prasības kā ES tiesību akts</w:t>
            </w:r>
          </w:p>
        </w:tc>
      </w:tr>
      <w:tr w:rsidR="005959DF" w:rsidRPr="005959DF" w14:paraId="49138565" w14:textId="77777777" w:rsidTr="00631B83">
        <w:trPr>
          <w:trHeight w:val="289"/>
          <w:jc w:val="center"/>
        </w:trPr>
        <w:tc>
          <w:tcPr>
            <w:tcW w:w="1626" w:type="dxa"/>
          </w:tcPr>
          <w:p w14:paraId="1B02FE47" w14:textId="77777777" w:rsidR="005959DF" w:rsidRPr="005959DF" w:rsidRDefault="005959DF" w:rsidP="005959DF">
            <w:pPr>
              <w:jc w:val="center"/>
            </w:pPr>
            <w:r w:rsidRPr="005959DF">
              <w:t>1. panta ii) punkts</w:t>
            </w:r>
          </w:p>
        </w:tc>
        <w:tc>
          <w:tcPr>
            <w:tcW w:w="3047" w:type="dxa"/>
          </w:tcPr>
          <w:p w14:paraId="5CE1AECD" w14:textId="57B4BD27" w:rsidR="005959DF" w:rsidRPr="005959DF" w:rsidRDefault="002B16B1" w:rsidP="002B16B1">
            <w:pPr>
              <w:jc w:val="center"/>
            </w:pPr>
            <w:r>
              <w:t>Likumprojekta 4. pantā ietvertais Finanšu instrumentu tirgus likuma</w:t>
            </w:r>
            <w:r w:rsidRPr="005959DF">
              <w:t xml:space="preserve"> </w:t>
            </w:r>
            <w:r w:rsidR="005959DF" w:rsidRPr="005959DF">
              <w:t>3.</w:t>
            </w:r>
            <w:r w:rsidR="005959DF" w:rsidRPr="005959DF">
              <w:rPr>
                <w:vertAlign w:val="superscript"/>
              </w:rPr>
              <w:t>1</w:t>
            </w:r>
            <w:r w:rsidR="005959DF" w:rsidRPr="005959DF">
              <w:t xml:space="preserve"> panta ceturtās daļas 3.punkts</w:t>
            </w:r>
          </w:p>
        </w:tc>
        <w:tc>
          <w:tcPr>
            <w:tcW w:w="2783" w:type="dxa"/>
          </w:tcPr>
          <w:p w14:paraId="58FBD37A" w14:textId="77777777" w:rsidR="005959DF" w:rsidRPr="005959DF" w:rsidRDefault="005959DF" w:rsidP="005959DF">
            <w:pPr>
              <w:jc w:val="center"/>
            </w:pPr>
            <w:r w:rsidRPr="005959DF">
              <w:rPr>
                <w:spacing w:val="-2"/>
              </w:rPr>
              <w:t>Ieviests pilnībā.</w:t>
            </w:r>
          </w:p>
        </w:tc>
        <w:tc>
          <w:tcPr>
            <w:tcW w:w="1850" w:type="dxa"/>
          </w:tcPr>
          <w:p w14:paraId="4FECC377" w14:textId="77777777" w:rsidR="005959DF" w:rsidRPr="005959DF" w:rsidRDefault="005959DF" w:rsidP="005959DF">
            <w:pPr>
              <w:jc w:val="center"/>
            </w:pPr>
            <w:r w:rsidRPr="005959DF">
              <w:rPr>
                <w:spacing w:val="-2"/>
              </w:rPr>
              <w:t>Likumprojekts nenosaka stingrākas prasības kā ES tiesību akts</w:t>
            </w:r>
          </w:p>
        </w:tc>
      </w:tr>
      <w:tr w:rsidR="005959DF" w:rsidRPr="005959DF" w14:paraId="0187F184" w14:textId="77777777" w:rsidTr="00631B83">
        <w:trPr>
          <w:trHeight w:val="289"/>
          <w:jc w:val="center"/>
        </w:trPr>
        <w:tc>
          <w:tcPr>
            <w:tcW w:w="1626" w:type="dxa"/>
          </w:tcPr>
          <w:p w14:paraId="0CF15361" w14:textId="77777777" w:rsidR="005959DF" w:rsidRPr="005959DF" w:rsidRDefault="005959DF" w:rsidP="005959DF">
            <w:pPr>
              <w:jc w:val="center"/>
            </w:pPr>
            <w:r w:rsidRPr="005959DF">
              <w:t>6.pants</w:t>
            </w:r>
          </w:p>
        </w:tc>
        <w:tc>
          <w:tcPr>
            <w:tcW w:w="3047" w:type="dxa"/>
          </w:tcPr>
          <w:p w14:paraId="211861FE" w14:textId="6716C48F" w:rsidR="005959DF" w:rsidRPr="005959DF" w:rsidRDefault="0048437A" w:rsidP="005959DF">
            <w:pPr>
              <w:jc w:val="center"/>
            </w:pPr>
            <w:r>
              <w:t>Likumprojekta 24. pantā ietvertais Finanšu instrumentu tirgus likuma</w:t>
            </w:r>
            <w:r w:rsidRPr="005959DF">
              <w:t xml:space="preserve"> </w:t>
            </w:r>
            <w:r w:rsidRPr="00631B83">
              <w:t>57.</w:t>
            </w:r>
            <w:r w:rsidRPr="00631B83">
              <w:rPr>
                <w:vertAlign w:val="superscript"/>
              </w:rPr>
              <w:t xml:space="preserve">2 </w:t>
            </w:r>
            <w:r w:rsidRPr="00631B83">
              <w:t>pants</w:t>
            </w:r>
          </w:p>
        </w:tc>
        <w:tc>
          <w:tcPr>
            <w:tcW w:w="2783" w:type="dxa"/>
          </w:tcPr>
          <w:p w14:paraId="3F741821" w14:textId="16418978" w:rsidR="005959DF" w:rsidRPr="005959DF" w:rsidRDefault="0048437A" w:rsidP="005959DF">
            <w:pPr>
              <w:jc w:val="center"/>
              <w:rPr>
                <w:spacing w:val="-2"/>
              </w:rPr>
            </w:pPr>
            <w:r>
              <w:rPr>
                <w:spacing w:val="-2"/>
              </w:rPr>
              <w:t>Ieviests pilnībā</w:t>
            </w:r>
          </w:p>
        </w:tc>
        <w:tc>
          <w:tcPr>
            <w:tcW w:w="1850" w:type="dxa"/>
          </w:tcPr>
          <w:p w14:paraId="63CE6F12" w14:textId="057BF6DE" w:rsidR="005959DF" w:rsidRPr="005959DF" w:rsidRDefault="0048437A" w:rsidP="005959DF">
            <w:pPr>
              <w:jc w:val="center"/>
              <w:rPr>
                <w:spacing w:val="-2"/>
              </w:rPr>
            </w:pPr>
            <w:r w:rsidRPr="005959DF">
              <w:rPr>
                <w:spacing w:val="-2"/>
              </w:rPr>
              <w:t>Likumprojekts nenosaka stingrākas prasības kā ES tiesību akts</w:t>
            </w:r>
          </w:p>
        </w:tc>
      </w:tr>
      <w:tr w:rsidR="005959DF" w:rsidRPr="005959DF" w14:paraId="5DDF866F" w14:textId="77777777" w:rsidTr="00631B83">
        <w:trPr>
          <w:trHeight w:val="289"/>
          <w:jc w:val="center"/>
        </w:trPr>
        <w:tc>
          <w:tcPr>
            <w:tcW w:w="1626" w:type="dxa"/>
          </w:tcPr>
          <w:p w14:paraId="5748FE9D" w14:textId="77777777" w:rsidR="005959DF" w:rsidRPr="005959DF" w:rsidRDefault="005959DF" w:rsidP="005959DF">
            <w:pPr>
              <w:jc w:val="center"/>
            </w:pPr>
            <w:r w:rsidRPr="005959DF">
              <w:t>13.a pants</w:t>
            </w:r>
          </w:p>
        </w:tc>
        <w:tc>
          <w:tcPr>
            <w:tcW w:w="3047" w:type="dxa"/>
          </w:tcPr>
          <w:p w14:paraId="265CA694" w14:textId="77777777" w:rsidR="005959DF" w:rsidRPr="005959DF" w:rsidRDefault="005959DF" w:rsidP="005959DF">
            <w:pPr>
              <w:jc w:val="center"/>
            </w:pPr>
            <w:r w:rsidRPr="005959DF">
              <w:t>Nav saistošs</w:t>
            </w:r>
          </w:p>
        </w:tc>
        <w:tc>
          <w:tcPr>
            <w:tcW w:w="2783" w:type="dxa"/>
          </w:tcPr>
          <w:p w14:paraId="4B6F3D07" w14:textId="77777777" w:rsidR="005959DF" w:rsidRPr="005959DF" w:rsidRDefault="005959DF" w:rsidP="005959DF">
            <w:pPr>
              <w:jc w:val="center"/>
              <w:rPr>
                <w:spacing w:val="-2"/>
              </w:rPr>
            </w:pPr>
            <w:r w:rsidRPr="005959DF">
              <w:t>Nav saistošs</w:t>
            </w:r>
          </w:p>
        </w:tc>
        <w:tc>
          <w:tcPr>
            <w:tcW w:w="1850" w:type="dxa"/>
          </w:tcPr>
          <w:p w14:paraId="05851767" w14:textId="77777777" w:rsidR="005959DF" w:rsidRPr="005959DF" w:rsidRDefault="005959DF" w:rsidP="005959DF">
            <w:pPr>
              <w:jc w:val="center"/>
              <w:rPr>
                <w:spacing w:val="-2"/>
              </w:rPr>
            </w:pPr>
          </w:p>
        </w:tc>
      </w:tr>
      <w:tr w:rsidR="005959DF" w:rsidRPr="005959DF" w14:paraId="69A3EF76" w14:textId="77777777" w:rsidTr="00631B83">
        <w:trPr>
          <w:trHeight w:val="289"/>
          <w:jc w:val="center"/>
        </w:trPr>
        <w:tc>
          <w:tcPr>
            <w:tcW w:w="1626" w:type="dxa"/>
          </w:tcPr>
          <w:p w14:paraId="2026F538" w14:textId="77777777" w:rsidR="005959DF" w:rsidRPr="005959DF" w:rsidRDefault="005959DF" w:rsidP="005959DF">
            <w:pPr>
              <w:jc w:val="center"/>
            </w:pPr>
            <w:r w:rsidRPr="005959DF">
              <w:t>22.pants</w:t>
            </w:r>
          </w:p>
        </w:tc>
        <w:tc>
          <w:tcPr>
            <w:tcW w:w="3047" w:type="dxa"/>
          </w:tcPr>
          <w:p w14:paraId="119A2D6E" w14:textId="77777777" w:rsidR="005959DF" w:rsidRPr="005959DF" w:rsidRDefault="005959DF" w:rsidP="005959DF">
            <w:pPr>
              <w:jc w:val="center"/>
            </w:pPr>
            <w:r w:rsidRPr="005959DF">
              <w:t>Nav saistošs</w:t>
            </w:r>
          </w:p>
        </w:tc>
        <w:tc>
          <w:tcPr>
            <w:tcW w:w="2783" w:type="dxa"/>
          </w:tcPr>
          <w:p w14:paraId="62CD7E65" w14:textId="77777777" w:rsidR="005959DF" w:rsidRPr="005959DF" w:rsidRDefault="005959DF" w:rsidP="005959DF">
            <w:pPr>
              <w:jc w:val="center"/>
              <w:rPr>
                <w:spacing w:val="-2"/>
              </w:rPr>
            </w:pPr>
            <w:r w:rsidRPr="005959DF">
              <w:t>Nav saistošs</w:t>
            </w:r>
          </w:p>
        </w:tc>
        <w:tc>
          <w:tcPr>
            <w:tcW w:w="1850" w:type="dxa"/>
          </w:tcPr>
          <w:p w14:paraId="0076D3B1" w14:textId="77777777" w:rsidR="005959DF" w:rsidRPr="005959DF" w:rsidRDefault="005959DF" w:rsidP="005959DF">
            <w:pPr>
              <w:jc w:val="center"/>
              <w:rPr>
                <w:spacing w:val="-2"/>
              </w:rPr>
            </w:pPr>
          </w:p>
        </w:tc>
      </w:tr>
      <w:tr w:rsidR="005959DF" w:rsidRPr="005959DF" w14:paraId="384E59EC" w14:textId="77777777" w:rsidTr="00631B83">
        <w:trPr>
          <w:trHeight w:val="289"/>
          <w:jc w:val="center"/>
        </w:trPr>
        <w:tc>
          <w:tcPr>
            <w:tcW w:w="1626" w:type="dxa"/>
          </w:tcPr>
          <w:p w14:paraId="51266A9E" w14:textId="77777777" w:rsidR="005959DF" w:rsidRPr="005959DF" w:rsidRDefault="005959DF" w:rsidP="005959DF">
            <w:pPr>
              <w:jc w:val="center"/>
            </w:pPr>
            <w:r w:rsidRPr="005959DF">
              <w:t>28.pants</w:t>
            </w:r>
          </w:p>
        </w:tc>
        <w:tc>
          <w:tcPr>
            <w:tcW w:w="3047" w:type="dxa"/>
          </w:tcPr>
          <w:p w14:paraId="49D51227" w14:textId="77777777" w:rsidR="005959DF" w:rsidRPr="005959DF" w:rsidRDefault="005959DF" w:rsidP="005959DF">
            <w:pPr>
              <w:jc w:val="center"/>
            </w:pPr>
            <w:r w:rsidRPr="005959DF">
              <w:t>Nav saistošs</w:t>
            </w:r>
          </w:p>
        </w:tc>
        <w:tc>
          <w:tcPr>
            <w:tcW w:w="2783" w:type="dxa"/>
          </w:tcPr>
          <w:p w14:paraId="0E264B72" w14:textId="77777777" w:rsidR="005959DF" w:rsidRPr="005959DF" w:rsidRDefault="005959DF" w:rsidP="005959DF">
            <w:pPr>
              <w:jc w:val="center"/>
              <w:rPr>
                <w:spacing w:val="-2"/>
              </w:rPr>
            </w:pPr>
            <w:r w:rsidRPr="005959DF">
              <w:t>Nav saistošs</w:t>
            </w:r>
          </w:p>
        </w:tc>
        <w:tc>
          <w:tcPr>
            <w:tcW w:w="1850" w:type="dxa"/>
          </w:tcPr>
          <w:p w14:paraId="6E290FC1" w14:textId="77777777" w:rsidR="005959DF" w:rsidRPr="005959DF" w:rsidRDefault="005959DF" w:rsidP="005959DF">
            <w:pPr>
              <w:jc w:val="center"/>
              <w:rPr>
                <w:spacing w:val="-2"/>
              </w:rPr>
            </w:pPr>
          </w:p>
        </w:tc>
      </w:tr>
      <w:tr w:rsidR="005959DF" w:rsidRPr="005959DF" w14:paraId="0FD5B51A" w14:textId="77777777" w:rsidTr="00631B83">
        <w:trPr>
          <w:trHeight w:val="289"/>
          <w:jc w:val="center"/>
        </w:trPr>
        <w:tc>
          <w:tcPr>
            <w:tcW w:w="1626" w:type="dxa"/>
          </w:tcPr>
          <w:p w14:paraId="30DC817C" w14:textId="77777777" w:rsidR="005959DF" w:rsidRPr="005959DF" w:rsidRDefault="005959DF" w:rsidP="005959DF">
            <w:pPr>
              <w:jc w:val="center"/>
            </w:pPr>
            <w:r w:rsidRPr="005959DF">
              <w:t>28.a pants</w:t>
            </w:r>
          </w:p>
        </w:tc>
        <w:tc>
          <w:tcPr>
            <w:tcW w:w="3047" w:type="dxa"/>
          </w:tcPr>
          <w:p w14:paraId="16604838" w14:textId="77777777" w:rsidR="005959DF" w:rsidRPr="005959DF" w:rsidRDefault="005959DF" w:rsidP="005959DF">
            <w:pPr>
              <w:jc w:val="center"/>
            </w:pPr>
            <w:r w:rsidRPr="005959DF">
              <w:t>Nav saistošs</w:t>
            </w:r>
          </w:p>
        </w:tc>
        <w:tc>
          <w:tcPr>
            <w:tcW w:w="2783" w:type="dxa"/>
          </w:tcPr>
          <w:p w14:paraId="06BF3B7A" w14:textId="77777777" w:rsidR="005959DF" w:rsidRPr="005959DF" w:rsidRDefault="005959DF" w:rsidP="005959DF">
            <w:pPr>
              <w:jc w:val="center"/>
              <w:rPr>
                <w:spacing w:val="-2"/>
              </w:rPr>
            </w:pPr>
            <w:r w:rsidRPr="005959DF">
              <w:t>Nav saistošs</w:t>
            </w:r>
          </w:p>
        </w:tc>
        <w:tc>
          <w:tcPr>
            <w:tcW w:w="1850" w:type="dxa"/>
          </w:tcPr>
          <w:p w14:paraId="71597476" w14:textId="77777777" w:rsidR="005959DF" w:rsidRPr="005959DF" w:rsidRDefault="005959DF" w:rsidP="005959DF">
            <w:pPr>
              <w:jc w:val="center"/>
              <w:rPr>
                <w:spacing w:val="-2"/>
              </w:rPr>
            </w:pPr>
          </w:p>
        </w:tc>
      </w:tr>
      <w:tr w:rsidR="005959DF" w:rsidRPr="005959DF" w14:paraId="7C65E175" w14:textId="77777777" w:rsidTr="00631B83">
        <w:trPr>
          <w:trHeight w:val="289"/>
          <w:jc w:val="center"/>
        </w:trPr>
        <w:tc>
          <w:tcPr>
            <w:tcW w:w="1626" w:type="dxa"/>
          </w:tcPr>
          <w:p w14:paraId="14915F05" w14:textId="77777777" w:rsidR="005959DF" w:rsidRPr="005959DF" w:rsidRDefault="005959DF" w:rsidP="005959DF">
            <w:pPr>
              <w:jc w:val="center"/>
            </w:pPr>
            <w:r w:rsidRPr="005959DF">
              <w:t>28.b pants</w:t>
            </w:r>
          </w:p>
        </w:tc>
        <w:tc>
          <w:tcPr>
            <w:tcW w:w="3047" w:type="dxa"/>
          </w:tcPr>
          <w:p w14:paraId="27F6FB9D" w14:textId="77777777" w:rsidR="005959DF" w:rsidRPr="005959DF" w:rsidRDefault="005959DF" w:rsidP="005959DF">
            <w:pPr>
              <w:jc w:val="center"/>
            </w:pPr>
            <w:r w:rsidRPr="005959DF">
              <w:t>Nav saistošs</w:t>
            </w:r>
          </w:p>
        </w:tc>
        <w:tc>
          <w:tcPr>
            <w:tcW w:w="2783" w:type="dxa"/>
          </w:tcPr>
          <w:p w14:paraId="491F83BC" w14:textId="77777777" w:rsidR="005959DF" w:rsidRPr="005959DF" w:rsidRDefault="005959DF" w:rsidP="005959DF">
            <w:pPr>
              <w:jc w:val="center"/>
              <w:rPr>
                <w:spacing w:val="-2"/>
              </w:rPr>
            </w:pPr>
            <w:r w:rsidRPr="005959DF">
              <w:t>Nav saistošs</w:t>
            </w:r>
          </w:p>
        </w:tc>
        <w:tc>
          <w:tcPr>
            <w:tcW w:w="1850" w:type="dxa"/>
          </w:tcPr>
          <w:p w14:paraId="590DAAFF" w14:textId="77777777" w:rsidR="005959DF" w:rsidRPr="005959DF" w:rsidRDefault="005959DF" w:rsidP="005959DF">
            <w:pPr>
              <w:jc w:val="center"/>
              <w:rPr>
                <w:spacing w:val="-2"/>
              </w:rPr>
            </w:pPr>
          </w:p>
        </w:tc>
      </w:tr>
      <w:tr w:rsidR="005959DF" w:rsidRPr="005959DF" w14:paraId="5BE0B788" w14:textId="77777777" w:rsidTr="00631B83">
        <w:trPr>
          <w:trHeight w:val="289"/>
          <w:jc w:val="center"/>
        </w:trPr>
        <w:tc>
          <w:tcPr>
            <w:tcW w:w="1626" w:type="dxa"/>
          </w:tcPr>
          <w:p w14:paraId="6B874A20" w14:textId="77777777" w:rsidR="005959DF" w:rsidRPr="005959DF" w:rsidRDefault="005959DF" w:rsidP="005959DF">
            <w:pPr>
              <w:jc w:val="center"/>
            </w:pPr>
            <w:r w:rsidRPr="005959DF">
              <w:t>28.c pants</w:t>
            </w:r>
          </w:p>
        </w:tc>
        <w:tc>
          <w:tcPr>
            <w:tcW w:w="3047" w:type="dxa"/>
          </w:tcPr>
          <w:p w14:paraId="40339AF2" w14:textId="77777777" w:rsidR="005959DF" w:rsidRPr="005959DF" w:rsidRDefault="005959DF" w:rsidP="005959DF">
            <w:pPr>
              <w:jc w:val="center"/>
            </w:pPr>
            <w:r w:rsidRPr="005959DF">
              <w:t>Nav saistošs</w:t>
            </w:r>
          </w:p>
        </w:tc>
        <w:tc>
          <w:tcPr>
            <w:tcW w:w="2783" w:type="dxa"/>
          </w:tcPr>
          <w:p w14:paraId="16CC105B" w14:textId="77777777" w:rsidR="005959DF" w:rsidRPr="005959DF" w:rsidRDefault="005959DF" w:rsidP="005959DF">
            <w:pPr>
              <w:jc w:val="center"/>
              <w:rPr>
                <w:spacing w:val="-2"/>
              </w:rPr>
            </w:pPr>
            <w:r w:rsidRPr="005959DF">
              <w:t>Nav saistošs</w:t>
            </w:r>
          </w:p>
        </w:tc>
        <w:tc>
          <w:tcPr>
            <w:tcW w:w="1850" w:type="dxa"/>
          </w:tcPr>
          <w:p w14:paraId="2D9C2FC1" w14:textId="77777777" w:rsidR="005959DF" w:rsidRPr="005959DF" w:rsidRDefault="005959DF" w:rsidP="005959DF">
            <w:pPr>
              <w:jc w:val="center"/>
              <w:rPr>
                <w:spacing w:val="-2"/>
              </w:rPr>
            </w:pPr>
          </w:p>
        </w:tc>
      </w:tr>
      <w:tr w:rsidR="005959DF" w:rsidRPr="005959DF" w14:paraId="538D2E5D" w14:textId="77777777" w:rsidTr="00631B83">
        <w:trPr>
          <w:trHeight w:val="289"/>
          <w:jc w:val="center"/>
        </w:trPr>
        <w:tc>
          <w:tcPr>
            <w:tcW w:w="1626" w:type="dxa"/>
          </w:tcPr>
          <w:p w14:paraId="56EDD3FE" w14:textId="77777777" w:rsidR="005959DF" w:rsidRPr="005959DF" w:rsidRDefault="005959DF" w:rsidP="005959DF">
            <w:pPr>
              <w:jc w:val="center"/>
            </w:pPr>
            <w:r w:rsidRPr="005959DF">
              <w:t>29.pants</w:t>
            </w:r>
          </w:p>
        </w:tc>
        <w:tc>
          <w:tcPr>
            <w:tcW w:w="3047" w:type="dxa"/>
          </w:tcPr>
          <w:p w14:paraId="7CEA8D36" w14:textId="77777777" w:rsidR="005959DF" w:rsidRPr="005959DF" w:rsidRDefault="005959DF" w:rsidP="005959DF">
            <w:pPr>
              <w:jc w:val="center"/>
            </w:pPr>
            <w:r w:rsidRPr="005959DF">
              <w:t>Nav saistošs</w:t>
            </w:r>
          </w:p>
        </w:tc>
        <w:tc>
          <w:tcPr>
            <w:tcW w:w="2783" w:type="dxa"/>
          </w:tcPr>
          <w:p w14:paraId="4D385DEE" w14:textId="77777777" w:rsidR="005959DF" w:rsidRPr="005959DF" w:rsidRDefault="005959DF" w:rsidP="005959DF">
            <w:pPr>
              <w:jc w:val="center"/>
              <w:rPr>
                <w:spacing w:val="-2"/>
              </w:rPr>
            </w:pPr>
            <w:r w:rsidRPr="005959DF">
              <w:t>Nav saistošs</w:t>
            </w:r>
          </w:p>
        </w:tc>
        <w:tc>
          <w:tcPr>
            <w:tcW w:w="1850" w:type="dxa"/>
          </w:tcPr>
          <w:p w14:paraId="0678637C" w14:textId="77777777" w:rsidR="005959DF" w:rsidRPr="005959DF" w:rsidRDefault="005959DF" w:rsidP="005959DF">
            <w:pPr>
              <w:jc w:val="center"/>
              <w:rPr>
                <w:spacing w:val="-2"/>
              </w:rPr>
            </w:pPr>
          </w:p>
        </w:tc>
      </w:tr>
      <w:tr w:rsidR="005959DF" w:rsidRPr="005959DF" w14:paraId="01BE6ACA" w14:textId="77777777" w:rsidTr="00631B83">
        <w:trPr>
          <w:trHeight w:val="1058"/>
          <w:jc w:val="center"/>
        </w:trPr>
        <w:tc>
          <w:tcPr>
            <w:tcW w:w="1626" w:type="dxa"/>
            <w:vAlign w:val="center"/>
          </w:tcPr>
          <w:p w14:paraId="6A3886F7" w14:textId="77777777" w:rsidR="005959DF" w:rsidRPr="005959DF" w:rsidRDefault="005959DF" w:rsidP="005959DF">
            <w:pPr>
              <w:ind w:hanging="10"/>
              <w:jc w:val="center"/>
            </w:pPr>
            <w:r w:rsidRPr="005959DF">
              <w:t>Direktīva 2014/51/ES</w:t>
            </w:r>
          </w:p>
        </w:tc>
        <w:tc>
          <w:tcPr>
            <w:tcW w:w="7680" w:type="dxa"/>
            <w:gridSpan w:val="3"/>
            <w:vAlign w:val="center"/>
          </w:tcPr>
          <w:p w14:paraId="159EA220" w14:textId="77777777" w:rsidR="005959DF" w:rsidRPr="005959DF" w:rsidRDefault="005959DF" w:rsidP="005959DF">
            <w:pPr>
              <w:jc w:val="center"/>
            </w:pPr>
            <w:r w:rsidRPr="005959DF">
              <w:t>Aizpilda, ja ar projektu tiek pārņemts vai ieviests vairāk nekā viens ES tiesību akts, – jānorāda tā pati informācija, kas prasīta instrukcijas 55.1. apakšpunktā un jau tikusi norādīta arī V sadaļas 1. punkta ietvaros.</w:t>
            </w:r>
          </w:p>
        </w:tc>
      </w:tr>
      <w:tr w:rsidR="005959DF" w:rsidRPr="005959DF" w14:paraId="61C9779F" w14:textId="77777777" w:rsidTr="00631B83">
        <w:trPr>
          <w:trHeight w:val="289"/>
          <w:jc w:val="center"/>
        </w:trPr>
        <w:tc>
          <w:tcPr>
            <w:tcW w:w="1626" w:type="dxa"/>
          </w:tcPr>
          <w:p w14:paraId="01136D9A" w14:textId="77777777" w:rsidR="005959DF" w:rsidRPr="005959DF" w:rsidRDefault="005959DF" w:rsidP="005959DF">
            <w:pPr>
              <w:jc w:val="center"/>
            </w:pPr>
            <w:r w:rsidRPr="005959DF">
              <w:t>1. panta 3. punkts</w:t>
            </w:r>
          </w:p>
        </w:tc>
        <w:tc>
          <w:tcPr>
            <w:tcW w:w="3047" w:type="dxa"/>
          </w:tcPr>
          <w:p w14:paraId="6160527C" w14:textId="6645F3DC" w:rsidR="005959DF" w:rsidRPr="005959DF" w:rsidRDefault="002B16B1" w:rsidP="002B16B1">
            <w:pPr>
              <w:jc w:val="center"/>
            </w:pPr>
            <w:r>
              <w:t>Likumprojekta 6. pantā ietvertā Finanšu instrumentu tirgus likuma</w:t>
            </w:r>
            <w:r w:rsidRPr="005959DF">
              <w:t xml:space="preserve"> </w:t>
            </w:r>
            <w:r w:rsidR="005959DF" w:rsidRPr="005959DF">
              <w:t>14.panta vienpadsmitā daļa</w:t>
            </w:r>
          </w:p>
        </w:tc>
        <w:tc>
          <w:tcPr>
            <w:tcW w:w="2783" w:type="dxa"/>
          </w:tcPr>
          <w:p w14:paraId="47494FF5" w14:textId="4821A964" w:rsidR="005959DF" w:rsidRPr="005959DF" w:rsidRDefault="0048437A" w:rsidP="005959DF">
            <w:pPr>
              <w:jc w:val="center"/>
            </w:pPr>
            <w:r>
              <w:rPr>
                <w:spacing w:val="-2"/>
              </w:rPr>
              <w:t>Ieviests pilnībā</w:t>
            </w:r>
          </w:p>
        </w:tc>
        <w:tc>
          <w:tcPr>
            <w:tcW w:w="1850" w:type="dxa"/>
          </w:tcPr>
          <w:p w14:paraId="628D4CD5" w14:textId="77777777" w:rsidR="005959DF" w:rsidRPr="005959DF" w:rsidRDefault="005959DF" w:rsidP="005959DF">
            <w:pPr>
              <w:jc w:val="center"/>
            </w:pPr>
            <w:r w:rsidRPr="005959DF">
              <w:rPr>
                <w:spacing w:val="-2"/>
              </w:rPr>
              <w:t>Likumprojekts nenosaka stingrākas prasības kā ES tiesību akts</w:t>
            </w:r>
          </w:p>
        </w:tc>
      </w:tr>
      <w:tr w:rsidR="005959DF" w:rsidRPr="005959DF" w14:paraId="23B03AE0" w14:textId="77777777" w:rsidTr="00631B83">
        <w:trPr>
          <w:trHeight w:val="289"/>
          <w:jc w:val="center"/>
        </w:trPr>
        <w:tc>
          <w:tcPr>
            <w:tcW w:w="1626" w:type="dxa"/>
          </w:tcPr>
          <w:p w14:paraId="08FEEC5A" w14:textId="77777777" w:rsidR="005959DF" w:rsidRPr="005959DF" w:rsidRDefault="005959DF" w:rsidP="005959DF">
            <w:pPr>
              <w:jc w:val="center"/>
            </w:pPr>
            <w:r w:rsidRPr="005959DF">
              <w:lastRenderedPageBreak/>
              <w:t>1.panta 2.punkts</w:t>
            </w:r>
          </w:p>
        </w:tc>
        <w:tc>
          <w:tcPr>
            <w:tcW w:w="3047" w:type="dxa"/>
          </w:tcPr>
          <w:p w14:paraId="36BDE727" w14:textId="3C4800EA" w:rsidR="005959DF" w:rsidRPr="005959DF" w:rsidRDefault="002B16B1" w:rsidP="002B16B1">
            <w:pPr>
              <w:jc w:val="center"/>
            </w:pPr>
            <w:r>
              <w:t>Likumprojekta 9. pantā ietvertais Finanšu instrumentu tirgus likuma</w:t>
            </w:r>
            <w:r w:rsidRPr="005959DF">
              <w:t xml:space="preserve"> </w:t>
            </w:r>
            <w:r w:rsidR="005959DF" w:rsidRPr="005959DF">
              <w:t>17.</w:t>
            </w:r>
            <w:r w:rsidR="005959DF" w:rsidRPr="005959DF">
              <w:rPr>
                <w:vertAlign w:val="superscript"/>
              </w:rPr>
              <w:t>2</w:t>
            </w:r>
            <w:r w:rsidR="005959DF" w:rsidRPr="005959DF">
              <w:t xml:space="preserve"> pant</w:t>
            </w:r>
            <w:r>
              <w:t>a pirmā un otrā daļa</w:t>
            </w:r>
          </w:p>
        </w:tc>
        <w:tc>
          <w:tcPr>
            <w:tcW w:w="2783" w:type="dxa"/>
          </w:tcPr>
          <w:p w14:paraId="2E598E53" w14:textId="277785B2" w:rsidR="005959DF" w:rsidRPr="005959DF" w:rsidRDefault="0048437A" w:rsidP="005959DF">
            <w:pPr>
              <w:jc w:val="center"/>
            </w:pPr>
            <w:r>
              <w:rPr>
                <w:spacing w:val="-2"/>
              </w:rPr>
              <w:t>Ieviests pilnībā</w:t>
            </w:r>
          </w:p>
        </w:tc>
        <w:tc>
          <w:tcPr>
            <w:tcW w:w="1850" w:type="dxa"/>
          </w:tcPr>
          <w:p w14:paraId="3CB5C0BF" w14:textId="77777777" w:rsidR="005959DF" w:rsidRPr="005959DF" w:rsidRDefault="005959DF" w:rsidP="005959DF">
            <w:pPr>
              <w:jc w:val="center"/>
            </w:pPr>
            <w:r w:rsidRPr="005959DF">
              <w:rPr>
                <w:spacing w:val="-2"/>
              </w:rPr>
              <w:t>Likumprojekts nenosaka stingrākas prasības kā ES tiesību akts</w:t>
            </w:r>
          </w:p>
        </w:tc>
      </w:tr>
      <w:tr w:rsidR="005959DF" w:rsidRPr="005959DF" w14:paraId="29BD47A5" w14:textId="77777777" w:rsidTr="00631B83">
        <w:trPr>
          <w:trHeight w:val="289"/>
          <w:jc w:val="center"/>
        </w:trPr>
        <w:tc>
          <w:tcPr>
            <w:tcW w:w="1626" w:type="dxa"/>
          </w:tcPr>
          <w:p w14:paraId="3ACF74E6" w14:textId="77777777" w:rsidR="005959DF" w:rsidRPr="005959DF" w:rsidRDefault="005959DF" w:rsidP="005959DF">
            <w:pPr>
              <w:jc w:val="center"/>
            </w:pPr>
            <w:r w:rsidRPr="005959DF">
              <w:t xml:space="preserve">1.panta 4.punkts </w:t>
            </w:r>
          </w:p>
        </w:tc>
        <w:tc>
          <w:tcPr>
            <w:tcW w:w="3047" w:type="dxa"/>
          </w:tcPr>
          <w:p w14:paraId="4B3EC20D" w14:textId="0BB36FA8" w:rsidR="002B16B1" w:rsidRDefault="002B16B1" w:rsidP="005959DF">
            <w:pPr>
              <w:jc w:val="center"/>
            </w:pPr>
            <w:r>
              <w:t xml:space="preserve">Likumprojekta </w:t>
            </w:r>
            <w:r w:rsidR="00E4091F">
              <w:t>11</w:t>
            </w:r>
            <w:r>
              <w:t>. pantā ietvertā Finanšu instrumentu tirgus likuma</w:t>
            </w:r>
            <w:r w:rsidRPr="005959DF">
              <w:t xml:space="preserve"> </w:t>
            </w:r>
            <w:r w:rsidR="005959DF" w:rsidRPr="005959DF">
              <w:t>21.panta devītā daļa</w:t>
            </w:r>
            <w:r>
              <w:t>;</w:t>
            </w:r>
          </w:p>
          <w:p w14:paraId="757A0798" w14:textId="7DCF3B99" w:rsidR="002B16B1" w:rsidRDefault="005959DF" w:rsidP="005959DF">
            <w:pPr>
              <w:jc w:val="center"/>
            </w:pPr>
            <w:r w:rsidRPr="005959DF">
              <w:t xml:space="preserve"> </w:t>
            </w:r>
            <w:r w:rsidR="002B16B1">
              <w:t xml:space="preserve">Likumprojekta </w:t>
            </w:r>
            <w:r w:rsidR="00E4091F">
              <w:t>20</w:t>
            </w:r>
            <w:r w:rsidR="002B16B1">
              <w:t>. pantā ietvertais Finanšu instrumentu tirgus likuma</w:t>
            </w:r>
          </w:p>
          <w:p w14:paraId="43C46702" w14:textId="270B7EF0" w:rsidR="005959DF" w:rsidRPr="005959DF" w:rsidRDefault="005959DF" w:rsidP="00BD1DCF">
            <w:pPr>
              <w:jc w:val="center"/>
            </w:pPr>
            <w:r w:rsidRPr="005959DF">
              <w:t>5</w:t>
            </w:r>
            <w:r w:rsidR="00BD1DCF">
              <w:t>5</w:t>
            </w:r>
            <w:r w:rsidRPr="005959DF">
              <w:t xml:space="preserve">.pants </w:t>
            </w:r>
          </w:p>
        </w:tc>
        <w:tc>
          <w:tcPr>
            <w:tcW w:w="2783" w:type="dxa"/>
          </w:tcPr>
          <w:p w14:paraId="60B08E31" w14:textId="463DFD06" w:rsidR="005959DF" w:rsidRPr="005959DF" w:rsidRDefault="0048437A" w:rsidP="005959DF">
            <w:pPr>
              <w:jc w:val="center"/>
            </w:pPr>
            <w:r>
              <w:rPr>
                <w:spacing w:val="-2"/>
              </w:rPr>
              <w:t>Ieviests pilnībā</w:t>
            </w:r>
          </w:p>
        </w:tc>
        <w:tc>
          <w:tcPr>
            <w:tcW w:w="1850" w:type="dxa"/>
          </w:tcPr>
          <w:p w14:paraId="704BDF2A" w14:textId="77777777" w:rsidR="005959DF" w:rsidRPr="005959DF" w:rsidRDefault="005959DF" w:rsidP="005959DF">
            <w:pPr>
              <w:jc w:val="center"/>
            </w:pPr>
            <w:r w:rsidRPr="005959DF">
              <w:rPr>
                <w:spacing w:val="-2"/>
              </w:rPr>
              <w:t>Likumprojekts nenosaka stingrākas prasības kā ES tiesību akts</w:t>
            </w:r>
          </w:p>
        </w:tc>
      </w:tr>
      <w:tr w:rsidR="005959DF" w:rsidRPr="005959DF" w14:paraId="151677C3" w14:textId="77777777" w:rsidTr="00631B83">
        <w:trPr>
          <w:trHeight w:val="289"/>
          <w:jc w:val="center"/>
        </w:trPr>
        <w:tc>
          <w:tcPr>
            <w:tcW w:w="1626" w:type="dxa"/>
          </w:tcPr>
          <w:p w14:paraId="5D72424E" w14:textId="41A75A7E" w:rsidR="005959DF" w:rsidRPr="005959DF" w:rsidRDefault="005959DF" w:rsidP="005959DF">
            <w:pPr>
              <w:jc w:val="center"/>
            </w:pPr>
            <w:r w:rsidRPr="005959DF">
              <w:t>1.panta 5.punkts</w:t>
            </w:r>
          </w:p>
        </w:tc>
        <w:tc>
          <w:tcPr>
            <w:tcW w:w="3047" w:type="dxa"/>
          </w:tcPr>
          <w:p w14:paraId="161AF6A9" w14:textId="621A0949" w:rsidR="00E4091F" w:rsidRDefault="00E4091F" w:rsidP="00E4091F">
            <w:pPr>
              <w:jc w:val="center"/>
            </w:pPr>
            <w:r>
              <w:t>Likumprojekta 12. pantā ietvertā Finanšu instrumentu tirgus likuma</w:t>
            </w:r>
            <w:r w:rsidRPr="005959DF">
              <w:t xml:space="preserve"> </w:t>
            </w:r>
            <w:r w:rsidR="005959DF" w:rsidRPr="005959DF">
              <w:t>24.panta piektā daļa</w:t>
            </w:r>
            <w:r>
              <w:t>;</w:t>
            </w:r>
          </w:p>
          <w:p w14:paraId="0366A17A" w14:textId="23CF486B" w:rsidR="005959DF" w:rsidRPr="005959DF" w:rsidRDefault="00E4091F" w:rsidP="00E4091F">
            <w:pPr>
              <w:jc w:val="center"/>
            </w:pPr>
            <w:r>
              <w:t>Likumprojekta 17. pantā ietvertā Finanšu instrumentu tirgus likuma</w:t>
            </w:r>
            <w:r w:rsidR="005959DF" w:rsidRPr="005959DF">
              <w:t xml:space="preserve"> 52.panta piektā daļa</w:t>
            </w:r>
          </w:p>
        </w:tc>
        <w:tc>
          <w:tcPr>
            <w:tcW w:w="2783" w:type="dxa"/>
          </w:tcPr>
          <w:p w14:paraId="134D7175" w14:textId="29511BD9" w:rsidR="005959DF" w:rsidRPr="005959DF" w:rsidRDefault="0048437A" w:rsidP="005959DF">
            <w:pPr>
              <w:jc w:val="center"/>
            </w:pPr>
            <w:r>
              <w:rPr>
                <w:spacing w:val="-2"/>
              </w:rPr>
              <w:t>Ieviests pilnībā</w:t>
            </w:r>
          </w:p>
        </w:tc>
        <w:tc>
          <w:tcPr>
            <w:tcW w:w="1850" w:type="dxa"/>
          </w:tcPr>
          <w:p w14:paraId="1D064875" w14:textId="77777777" w:rsidR="005959DF" w:rsidRPr="005959DF" w:rsidRDefault="005959DF" w:rsidP="005959DF">
            <w:pPr>
              <w:jc w:val="center"/>
            </w:pPr>
            <w:r w:rsidRPr="005959DF">
              <w:rPr>
                <w:spacing w:val="-2"/>
              </w:rPr>
              <w:t>Likumprojekts nenosaka stingrākas prasības kā ES tiesību akts</w:t>
            </w:r>
          </w:p>
        </w:tc>
      </w:tr>
      <w:tr w:rsidR="009667C3" w:rsidRPr="005959DF" w14:paraId="495135C0" w14:textId="77777777" w:rsidTr="00631B83">
        <w:trPr>
          <w:trHeight w:val="281"/>
          <w:jc w:val="center"/>
        </w:trPr>
        <w:tc>
          <w:tcPr>
            <w:tcW w:w="1626" w:type="dxa"/>
            <w:vAlign w:val="center"/>
          </w:tcPr>
          <w:p w14:paraId="49AF2777" w14:textId="739EA9CB" w:rsidR="009667C3" w:rsidRPr="005959DF" w:rsidRDefault="009667C3" w:rsidP="00BB52CD">
            <w:pPr>
              <w:jc w:val="center"/>
            </w:pPr>
            <w:r>
              <w:t>Regula Nr. 596/2014</w:t>
            </w:r>
          </w:p>
        </w:tc>
        <w:tc>
          <w:tcPr>
            <w:tcW w:w="7680" w:type="dxa"/>
            <w:gridSpan w:val="3"/>
          </w:tcPr>
          <w:p w14:paraId="5F89ECE0" w14:textId="45B70896" w:rsidR="009667C3" w:rsidRPr="005959DF" w:rsidRDefault="009667C3" w:rsidP="00E05FD6">
            <w:pPr>
              <w:spacing w:before="75" w:after="75"/>
              <w:jc w:val="both"/>
            </w:pPr>
            <w:r w:rsidRPr="005959DF">
              <w:t>Aizpilda, ja ar projektu tiek pārņemts vai ieviests vairāk nekā viens ES tiesību akts, – jānorāda tā pati informācija, kas prasīta instrukcijas 55.1. apakšpunktā un jau tikusi norādīta arī V sadaļas 1. punkta ietvaros.</w:t>
            </w:r>
          </w:p>
        </w:tc>
      </w:tr>
      <w:tr w:rsidR="009667C3" w:rsidRPr="005959DF" w14:paraId="6DAEE38F" w14:textId="77777777" w:rsidTr="008736E4">
        <w:trPr>
          <w:trHeight w:val="289"/>
          <w:jc w:val="center"/>
        </w:trPr>
        <w:tc>
          <w:tcPr>
            <w:tcW w:w="1626" w:type="dxa"/>
          </w:tcPr>
          <w:p w14:paraId="071BADA6" w14:textId="2F99B123" w:rsidR="009667C3" w:rsidRPr="005959DF" w:rsidRDefault="009667C3" w:rsidP="009667C3">
            <w:pPr>
              <w:jc w:val="center"/>
            </w:pPr>
            <w:r w:rsidRPr="005959DF">
              <w:t>1.</w:t>
            </w:r>
            <w:r>
              <w:t>-3.</w:t>
            </w:r>
            <w:r w:rsidRPr="005959DF">
              <w:t xml:space="preserve"> pant</w:t>
            </w:r>
            <w:r>
              <w:t>s</w:t>
            </w:r>
            <w:r w:rsidRPr="005959DF">
              <w:t xml:space="preserve"> </w:t>
            </w:r>
          </w:p>
        </w:tc>
        <w:tc>
          <w:tcPr>
            <w:tcW w:w="3047" w:type="dxa"/>
          </w:tcPr>
          <w:p w14:paraId="4BE15E05" w14:textId="2A593AAD" w:rsidR="009667C3" w:rsidRPr="005959DF" w:rsidRDefault="009667C3" w:rsidP="00CF3B3C">
            <w:pPr>
              <w:jc w:val="center"/>
            </w:pPr>
            <w:r>
              <w:t xml:space="preserve">Likumprojekta </w:t>
            </w:r>
            <w:r w:rsidR="00CF3B3C">
              <w:t>34</w:t>
            </w:r>
            <w:r>
              <w:t>. pantā ietvertā Finanšu instrumentu tirgus likuma</w:t>
            </w:r>
            <w:r w:rsidRPr="005959DF">
              <w:t xml:space="preserve"> </w:t>
            </w:r>
            <w:r>
              <w:t>84</w:t>
            </w:r>
            <w:r w:rsidRPr="005959DF">
              <w:t>.pant</w:t>
            </w:r>
            <w:r>
              <w:t>s</w:t>
            </w:r>
            <w:r w:rsidRPr="005959DF">
              <w:t xml:space="preserve"> </w:t>
            </w:r>
          </w:p>
        </w:tc>
        <w:tc>
          <w:tcPr>
            <w:tcW w:w="2783" w:type="dxa"/>
          </w:tcPr>
          <w:p w14:paraId="1FE0BFCF" w14:textId="77777777" w:rsidR="009667C3" w:rsidRPr="005959DF" w:rsidRDefault="009667C3" w:rsidP="008736E4">
            <w:pPr>
              <w:jc w:val="center"/>
            </w:pPr>
            <w:r>
              <w:rPr>
                <w:spacing w:val="-2"/>
              </w:rPr>
              <w:t>Ieviests pilnībā</w:t>
            </w:r>
          </w:p>
        </w:tc>
        <w:tc>
          <w:tcPr>
            <w:tcW w:w="1850" w:type="dxa"/>
          </w:tcPr>
          <w:p w14:paraId="0C2B2173" w14:textId="77777777" w:rsidR="009667C3" w:rsidRPr="005959DF" w:rsidRDefault="009667C3" w:rsidP="008736E4">
            <w:pPr>
              <w:jc w:val="center"/>
            </w:pPr>
            <w:r w:rsidRPr="005959DF">
              <w:rPr>
                <w:spacing w:val="-2"/>
              </w:rPr>
              <w:t>Likumprojekts nenosaka stingrākas prasības kā ES tiesību akts</w:t>
            </w:r>
          </w:p>
        </w:tc>
      </w:tr>
      <w:tr w:rsidR="009667C3" w:rsidRPr="005959DF" w14:paraId="6642F76D" w14:textId="77777777" w:rsidTr="008736E4">
        <w:trPr>
          <w:trHeight w:val="289"/>
          <w:jc w:val="center"/>
        </w:trPr>
        <w:tc>
          <w:tcPr>
            <w:tcW w:w="1626" w:type="dxa"/>
          </w:tcPr>
          <w:p w14:paraId="3BC9EC0D" w14:textId="5E780BC1" w:rsidR="009667C3" w:rsidRPr="005959DF" w:rsidRDefault="00CF3B3C" w:rsidP="00CF3B3C">
            <w:pPr>
              <w:jc w:val="center"/>
            </w:pPr>
            <w:r>
              <w:t xml:space="preserve">8.pants, </w:t>
            </w:r>
            <w:r w:rsidR="009667C3" w:rsidRPr="005959DF">
              <w:t>1</w:t>
            </w:r>
            <w:r>
              <w:t>4</w:t>
            </w:r>
            <w:r w:rsidR="009667C3" w:rsidRPr="005959DF">
              <w:t>. pant</w:t>
            </w:r>
            <w:r>
              <w:t>a a), b) apakšpunkts,</w:t>
            </w:r>
            <w:r w:rsidR="009667C3" w:rsidRPr="005959DF">
              <w:t xml:space="preserve"> </w:t>
            </w:r>
          </w:p>
        </w:tc>
        <w:tc>
          <w:tcPr>
            <w:tcW w:w="3047" w:type="dxa"/>
          </w:tcPr>
          <w:p w14:paraId="3BA6DABE" w14:textId="77777777" w:rsidR="00CF3B3C" w:rsidRDefault="009667C3" w:rsidP="00CF3B3C">
            <w:pPr>
              <w:jc w:val="center"/>
            </w:pPr>
            <w:r>
              <w:t xml:space="preserve">Likumprojekta </w:t>
            </w:r>
            <w:r w:rsidR="00CF3B3C">
              <w:t>35</w:t>
            </w:r>
            <w:r>
              <w:t>.pantā ietvertā Finanšu instrumentu tirgus likuma</w:t>
            </w:r>
            <w:r w:rsidR="00CF3B3C">
              <w:t xml:space="preserve"> </w:t>
            </w:r>
            <w:r w:rsidR="00CF3B3C" w:rsidRPr="00CF3B3C">
              <w:t>84.</w:t>
            </w:r>
            <w:r w:rsidR="00CF3B3C" w:rsidRPr="00CF3B3C">
              <w:rPr>
                <w:vertAlign w:val="superscript"/>
              </w:rPr>
              <w:t>1</w:t>
            </w:r>
            <w:r w:rsidR="00CF3B3C">
              <w:rPr>
                <w:vertAlign w:val="superscript"/>
              </w:rPr>
              <w:t xml:space="preserve"> </w:t>
            </w:r>
            <w:r w:rsidR="00CF3B3C">
              <w:t xml:space="preserve">pants, </w:t>
            </w:r>
          </w:p>
          <w:p w14:paraId="4C7188F0" w14:textId="34A7BC26" w:rsidR="009667C3" w:rsidRPr="005959DF" w:rsidRDefault="00CF3B3C" w:rsidP="00E41DAD">
            <w:pPr>
              <w:jc w:val="center"/>
            </w:pPr>
            <w:r>
              <w:t xml:space="preserve">Likumprojekta </w:t>
            </w:r>
            <w:r w:rsidR="00E41DAD">
              <w:t>40.pantā ietvertā Finanšu instrumentu tirgus likuma 148.pants</w:t>
            </w:r>
            <w:r w:rsidR="009667C3" w:rsidRPr="005959DF">
              <w:t xml:space="preserve"> </w:t>
            </w:r>
          </w:p>
        </w:tc>
        <w:tc>
          <w:tcPr>
            <w:tcW w:w="2783" w:type="dxa"/>
          </w:tcPr>
          <w:p w14:paraId="3A9F2D57" w14:textId="77777777" w:rsidR="009667C3" w:rsidRPr="005959DF" w:rsidRDefault="009667C3" w:rsidP="008736E4">
            <w:pPr>
              <w:jc w:val="center"/>
            </w:pPr>
            <w:r>
              <w:rPr>
                <w:spacing w:val="-2"/>
              </w:rPr>
              <w:t>Ieviests pilnībā</w:t>
            </w:r>
          </w:p>
        </w:tc>
        <w:tc>
          <w:tcPr>
            <w:tcW w:w="1850" w:type="dxa"/>
          </w:tcPr>
          <w:p w14:paraId="079B2765" w14:textId="77777777" w:rsidR="009667C3" w:rsidRPr="005959DF" w:rsidRDefault="009667C3" w:rsidP="008736E4">
            <w:pPr>
              <w:jc w:val="center"/>
            </w:pPr>
            <w:r w:rsidRPr="005959DF">
              <w:rPr>
                <w:spacing w:val="-2"/>
              </w:rPr>
              <w:t>Likumprojekts nenosaka stingrākas prasības kā ES tiesību akts</w:t>
            </w:r>
          </w:p>
        </w:tc>
      </w:tr>
      <w:tr w:rsidR="009667C3" w:rsidRPr="005959DF" w14:paraId="308BA40D" w14:textId="77777777" w:rsidTr="008736E4">
        <w:trPr>
          <w:trHeight w:val="289"/>
          <w:jc w:val="center"/>
        </w:trPr>
        <w:tc>
          <w:tcPr>
            <w:tcW w:w="1626" w:type="dxa"/>
          </w:tcPr>
          <w:p w14:paraId="321AF11B" w14:textId="5E228C56" w:rsidR="009667C3" w:rsidRPr="005959DF" w:rsidRDefault="00E41DAD" w:rsidP="00F95B7E">
            <w:pPr>
              <w:jc w:val="center"/>
            </w:pPr>
            <w:r w:rsidRPr="00E41DAD">
              <w:t>14. un 15.pant</w:t>
            </w:r>
            <w:r w:rsidR="00F95B7E">
              <w:t>s</w:t>
            </w:r>
            <w:r w:rsidRPr="00E41DAD">
              <w:t>, 16.panta 1.</w:t>
            </w:r>
            <w:r>
              <w:t>,</w:t>
            </w:r>
            <w:r w:rsidRPr="00E41DAD">
              <w:t>2.punkt</w:t>
            </w:r>
            <w:r>
              <w:t>s</w:t>
            </w:r>
            <w:r w:rsidRPr="00E41DAD">
              <w:t>, 17.panta 1., 2., 4., 5., un 8.punkt</w:t>
            </w:r>
            <w:r>
              <w:t>s</w:t>
            </w:r>
            <w:r w:rsidRPr="00E41DAD">
              <w:t>, 18.panta 1., 2., 3., 4., 5. un 6.punkt</w:t>
            </w:r>
            <w:r>
              <w:t>s</w:t>
            </w:r>
            <w:r w:rsidRPr="00E41DAD">
              <w:t>, 19.panta 1., 2., 3., 5., 6., 7. un 11.punkt</w:t>
            </w:r>
            <w:r>
              <w:t>s,</w:t>
            </w:r>
            <w:r w:rsidRPr="00E41DAD">
              <w:t xml:space="preserve"> </w:t>
            </w:r>
            <w:r w:rsidRPr="00E41DAD">
              <w:lastRenderedPageBreak/>
              <w:t>20.panta 1.punkt</w:t>
            </w:r>
            <w:r>
              <w:t>s</w:t>
            </w:r>
          </w:p>
        </w:tc>
        <w:tc>
          <w:tcPr>
            <w:tcW w:w="3047" w:type="dxa"/>
          </w:tcPr>
          <w:p w14:paraId="1FF08976" w14:textId="77777777" w:rsidR="009667C3" w:rsidRDefault="009667C3" w:rsidP="00E41DAD">
            <w:pPr>
              <w:jc w:val="center"/>
            </w:pPr>
            <w:r>
              <w:lastRenderedPageBreak/>
              <w:t xml:space="preserve">Likumprojekta </w:t>
            </w:r>
            <w:r w:rsidR="00E41DAD">
              <w:t>40</w:t>
            </w:r>
            <w:r>
              <w:t>. pantā ietvertā Finanšu instrumentu tirgus likuma</w:t>
            </w:r>
            <w:r w:rsidRPr="005959DF">
              <w:t xml:space="preserve"> 14</w:t>
            </w:r>
            <w:r w:rsidR="00E41DAD">
              <w:t>8</w:t>
            </w:r>
            <w:r w:rsidRPr="005959DF">
              <w:t xml:space="preserve">.panta </w:t>
            </w:r>
            <w:r w:rsidR="00E41DAD">
              <w:t xml:space="preserve">septiņpadsmitā </w:t>
            </w:r>
            <w:r w:rsidRPr="005959DF">
              <w:t>daļa</w:t>
            </w:r>
            <w:r w:rsidR="00D7256B">
              <w:t>;</w:t>
            </w:r>
          </w:p>
          <w:p w14:paraId="4EA070D9" w14:textId="5A612B28" w:rsidR="00D7256B" w:rsidRPr="005959DF" w:rsidRDefault="00D7256B" w:rsidP="00D7256B">
            <w:pPr>
              <w:jc w:val="center"/>
            </w:pPr>
            <w:r>
              <w:t>Likumprojekta 41. pantā ietvertā Finanšu instrumentu tirgus likuma</w:t>
            </w:r>
            <w:r w:rsidRPr="005959DF">
              <w:t xml:space="preserve"> 1</w:t>
            </w:r>
            <w:r>
              <w:t>50</w:t>
            </w:r>
            <w:r w:rsidRPr="005959DF">
              <w:t>.panta</w:t>
            </w:r>
            <w:r>
              <w:t xml:space="preserve"> ceturtā daļa</w:t>
            </w:r>
          </w:p>
        </w:tc>
        <w:tc>
          <w:tcPr>
            <w:tcW w:w="2783" w:type="dxa"/>
          </w:tcPr>
          <w:p w14:paraId="7C161F14" w14:textId="77777777" w:rsidR="009667C3" w:rsidRPr="005959DF" w:rsidRDefault="009667C3" w:rsidP="008736E4">
            <w:pPr>
              <w:jc w:val="center"/>
            </w:pPr>
            <w:r>
              <w:rPr>
                <w:spacing w:val="-2"/>
              </w:rPr>
              <w:t>Ieviests pilnībā</w:t>
            </w:r>
          </w:p>
        </w:tc>
        <w:tc>
          <w:tcPr>
            <w:tcW w:w="1850" w:type="dxa"/>
          </w:tcPr>
          <w:p w14:paraId="77B331D5" w14:textId="77777777" w:rsidR="009667C3" w:rsidRPr="005959DF" w:rsidRDefault="009667C3" w:rsidP="008736E4">
            <w:pPr>
              <w:jc w:val="center"/>
            </w:pPr>
            <w:r w:rsidRPr="005959DF">
              <w:rPr>
                <w:spacing w:val="-2"/>
              </w:rPr>
              <w:t>Likumprojekts nenosaka stingrākas prasības kā ES tiesību akts</w:t>
            </w:r>
          </w:p>
        </w:tc>
      </w:tr>
      <w:tr w:rsidR="005959DF" w:rsidRPr="005959DF" w14:paraId="34940508" w14:textId="77777777" w:rsidTr="00631B83">
        <w:trPr>
          <w:trHeight w:val="281"/>
          <w:jc w:val="center"/>
        </w:trPr>
        <w:tc>
          <w:tcPr>
            <w:tcW w:w="1626" w:type="dxa"/>
            <w:vAlign w:val="center"/>
          </w:tcPr>
          <w:p w14:paraId="19FD43B7" w14:textId="69D6423D" w:rsidR="005959DF" w:rsidRPr="005959DF" w:rsidRDefault="005959DF" w:rsidP="005959DF">
            <w:r w:rsidRPr="005959DF">
              <w:lastRenderedPageBreak/>
              <w:t>Kā ir izmantota ES tiesību aktā paredzētā rīcības brīvība dalībvalstij pārņemt vai ieviest noteiktas ES tiesību akta normas.</w:t>
            </w:r>
          </w:p>
          <w:p w14:paraId="241B8F16" w14:textId="77777777" w:rsidR="005959DF" w:rsidRPr="005959DF" w:rsidRDefault="005959DF" w:rsidP="005959DF">
            <w:r w:rsidRPr="005959DF">
              <w:t>Kādēļ?</w:t>
            </w:r>
          </w:p>
        </w:tc>
        <w:tc>
          <w:tcPr>
            <w:tcW w:w="7680" w:type="dxa"/>
            <w:gridSpan w:val="3"/>
          </w:tcPr>
          <w:p w14:paraId="504CFD08" w14:textId="52000E9E" w:rsidR="005959DF" w:rsidRPr="005959DF" w:rsidRDefault="005959DF" w:rsidP="00E05FD6">
            <w:pPr>
              <w:spacing w:before="75" w:after="75"/>
              <w:jc w:val="both"/>
            </w:pPr>
            <w:r w:rsidRPr="005959DF">
              <w:t>Gadījumos, kur ir izvēles iespēja, atbilstoši dalībvalsts izvēles tiesībām ir izdarīta izvēle pārņemt direktīvas prasības nacionālajā normat</w:t>
            </w:r>
            <w:r w:rsidR="005769B7">
              <w:t xml:space="preserve">īvajā regulējumā, lai </w:t>
            </w:r>
            <w:r w:rsidRPr="005959DF">
              <w:t>nodrošinātu efektīvu tirgus dalībnieku uzraudzību.</w:t>
            </w:r>
          </w:p>
        </w:tc>
      </w:tr>
      <w:tr w:rsidR="005959DF" w:rsidRPr="005959DF" w14:paraId="164B29B3" w14:textId="77777777" w:rsidTr="00631B83">
        <w:trPr>
          <w:trHeight w:val="913"/>
          <w:jc w:val="center"/>
        </w:trPr>
        <w:tc>
          <w:tcPr>
            <w:tcW w:w="1626" w:type="dxa"/>
            <w:vAlign w:val="center"/>
          </w:tcPr>
          <w:p w14:paraId="2D91D7AD" w14:textId="77777777" w:rsidR="005959DF" w:rsidRPr="005959DF" w:rsidRDefault="005959DF" w:rsidP="00E05FD6">
            <w:pPr>
              <w:jc w:val="both"/>
              <w:rPr>
                <w:i/>
                <w:highlight w:val="yellow"/>
              </w:rPr>
            </w:pPr>
            <w:r w:rsidRPr="005959D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80" w:type="dxa"/>
            <w:gridSpan w:val="3"/>
          </w:tcPr>
          <w:p w14:paraId="4F0BE489" w14:textId="77777777" w:rsidR="005959DF" w:rsidRPr="005959DF" w:rsidRDefault="005959DF" w:rsidP="00935862">
            <w:pPr>
              <w:rPr>
                <w:highlight w:val="yellow"/>
              </w:rPr>
            </w:pPr>
            <w:r w:rsidRPr="005959DF">
              <w:t>Projekts šo jomu neskar.</w:t>
            </w:r>
          </w:p>
        </w:tc>
      </w:tr>
      <w:tr w:rsidR="005959DF" w:rsidRPr="005959DF" w14:paraId="7AB55767" w14:textId="77777777" w:rsidTr="00631B83">
        <w:trPr>
          <w:trHeight w:val="579"/>
          <w:jc w:val="center"/>
        </w:trPr>
        <w:tc>
          <w:tcPr>
            <w:tcW w:w="1626" w:type="dxa"/>
          </w:tcPr>
          <w:p w14:paraId="5C8B67E8" w14:textId="77777777" w:rsidR="005959DF" w:rsidRPr="005959DF" w:rsidRDefault="005959DF" w:rsidP="005959DF">
            <w:r w:rsidRPr="005959DF">
              <w:t>Cita informācija</w:t>
            </w:r>
          </w:p>
        </w:tc>
        <w:tc>
          <w:tcPr>
            <w:tcW w:w="7680" w:type="dxa"/>
            <w:gridSpan w:val="3"/>
          </w:tcPr>
          <w:p w14:paraId="6B1E0BBE" w14:textId="77777777" w:rsidR="005959DF" w:rsidRPr="005959DF" w:rsidRDefault="005959DF" w:rsidP="005959DF">
            <w:r w:rsidRPr="005959DF">
              <w:t>Nav.</w:t>
            </w:r>
          </w:p>
        </w:tc>
      </w:tr>
    </w:tbl>
    <w:p w14:paraId="19E71377" w14:textId="77777777" w:rsidR="005959DF" w:rsidRPr="005959DF" w:rsidRDefault="005959DF" w:rsidP="005959DF"/>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236"/>
        <w:gridCol w:w="5836"/>
      </w:tblGrid>
      <w:tr w:rsidR="0018086A" w14:paraId="0E9380E3" w14:textId="77777777" w:rsidTr="004E38DE">
        <w:trPr>
          <w:jc w:val="center"/>
        </w:trPr>
        <w:tc>
          <w:tcPr>
            <w:tcW w:w="9377" w:type="dxa"/>
            <w:gridSpan w:val="3"/>
          </w:tcPr>
          <w:p w14:paraId="46282EAD" w14:textId="77777777" w:rsidR="0018086A" w:rsidRDefault="0018086A">
            <w:pPr>
              <w:pStyle w:val="naisnod"/>
              <w:spacing w:before="0" w:after="0"/>
              <w:ind w:left="57" w:right="57"/>
            </w:pPr>
            <w:r>
              <w:t>VI. Sabiedrības līdzdalība un šīs līdzdalības rezultāti</w:t>
            </w:r>
          </w:p>
        </w:tc>
      </w:tr>
      <w:tr w:rsidR="0018086A" w14:paraId="3F17070D" w14:textId="77777777" w:rsidTr="00575F9E">
        <w:trPr>
          <w:trHeight w:val="375"/>
          <w:jc w:val="center"/>
        </w:trPr>
        <w:tc>
          <w:tcPr>
            <w:tcW w:w="305" w:type="dxa"/>
          </w:tcPr>
          <w:p w14:paraId="4BC4365E" w14:textId="77777777" w:rsidR="0018086A" w:rsidRDefault="0018086A">
            <w:pPr>
              <w:pStyle w:val="naiskr"/>
              <w:spacing w:before="0" w:after="0"/>
              <w:ind w:left="57" w:right="57"/>
              <w:rPr>
                <w:bCs/>
              </w:rPr>
            </w:pPr>
            <w:r>
              <w:rPr>
                <w:bCs/>
              </w:rPr>
              <w:t>1.</w:t>
            </w:r>
          </w:p>
        </w:tc>
        <w:tc>
          <w:tcPr>
            <w:tcW w:w="3236" w:type="dxa"/>
          </w:tcPr>
          <w:p w14:paraId="41668CF0" w14:textId="77777777" w:rsidR="0018086A" w:rsidRPr="00575F9E" w:rsidRDefault="00575F9E">
            <w:pPr>
              <w:pStyle w:val="naiskr"/>
              <w:tabs>
                <w:tab w:val="left" w:pos="170"/>
              </w:tabs>
              <w:spacing w:before="0" w:after="0"/>
              <w:ind w:left="57" w:right="57"/>
            </w:pPr>
            <w:r w:rsidRPr="00575F9E">
              <w:t>Plānotās sabiedrības līdzdalības un komunikācijas aktivitātes saistībā ar projektu</w:t>
            </w:r>
          </w:p>
        </w:tc>
        <w:tc>
          <w:tcPr>
            <w:tcW w:w="5836" w:type="dxa"/>
          </w:tcPr>
          <w:p w14:paraId="1639B665" w14:textId="7E86B8DC" w:rsidR="0018086A" w:rsidRDefault="009647D4" w:rsidP="00F82D21">
            <w:pPr>
              <w:pStyle w:val="naiskr"/>
              <w:spacing w:before="0" w:after="120"/>
              <w:ind w:left="57" w:right="57"/>
              <w:jc w:val="both"/>
            </w:pPr>
            <w:r>
              <w:t xml:space="preserve">Par Likumprojekta izstrādes </w:t>
            </w:r>
            <w:r w:rsidRPr="00E44DF3">
              <w:t xml:space="preserve">sākšanu tika informēta </w:t>
            </w:r>
            <w:r w:rsidR="000479B4" w:rsidRPr="00D31544">
              <w:t xml:space="preserve">Latvijas </w:t>
            </w:r>
            <w:r w:rsidR="000479B4">
              <w:t xml:space="preserve">Komercbanku asociācija, Latvijas Finanšu instrumentu tirgus asociācija, </w:t>
            </w:r>
            <w:proofErr w:type="spellStart"/>
            <w:r w:rsidR="000479B4">
              <w:t>Nasdaq</w:t>
            </w:r>
            <w:proofErr w:type="spellEnd"/>
            <w:r w:rsidR="000479B4">
              <w:t xml:space="preserve"> </w:t>
            </w:r>
            <w:proofErr w:type="spellStart"/>
            <w:r w:rsidR="000479B4">
              <w:t>Riga</w:t>
            </w:r>
            <w:proofErr w:type="spellEnd"/>
            <w:r w:rsidR="000479B4">
              <w:t>, AS</w:t>
            </w:r>
            <w:r>
              <w:t xml:space="preserve">, kā arī projekts tika ievietots </w:t>
            </w:r>
            <w:r w:rsidR="00F82D21">
              <w:t xml:space="preserve">FKTK </w:t>
            </w:r>
            <w:r>
              <w:t>mājas lapā.</w:t>
            </w:r>
          </w:p>
        </w:tc>
      </w:tr>
      <w:tr w:rsidR="0018086A" w14:paraId="0785D3AA" w14:textId="77777777" w:rsidTr="00575F9E">
        <w:trPr>
          <w:trHeight w:val="375"/>
          <w:jc w:val="center"/>
        </w:trPr>
        <w:tc>
          <w:tcPr>
            <w:tcW w:w="305" w:type="dxa"/>
          </w:tcPr>
          <w:p w14:paraId="717646B3" w14:textId="77777777" w:rsidR="0018086A" w:rsidRDefault="0018086A">
            <w:pPr>
              <w:pStyle w:val="naiskr"/>
              <w:spacing w:before="0" w:after="0"/>
              <w:ind w:left="57" w:right="57"/>
              <w:rPr>
                <w:bCs/>
              </w:rPr>
            </w:pPr>
            <w:r>
              <w:rPr>
                <w:bCs/>
              </w:rPr>
              <w:t>2.</w:t>
            </w:r>
          </w:p>
        </w:tc>
        <w:tc>
          <w:tcPr>
            <w:tcW w:w="3236" w:type="dxa"/>
          </w:tcPr>
          <w:p w14:paraId="61833E15" w14:textId="77777777" w:rsidR="0018086A" w:rsidRDefault="0018086A">
            <w:pPr>
              <w:pStyle w:val="naiskr"/>
              <w:spacing w:before="0" w:after="0"/>
              <w:ind w:left="57" w:right="57"/>
            </w:pPr>
            <w:r>
              <w:t xml:space="preserve">Sabiedrības līdzdalība projekta izstrādē </w:t>
            </w:r>
          </w:p>
        </w:tc>
        <w:tc>
          <w:tcPr>
            <w:tcW w:w="5836" w:type="dxa"/>
          </w:tcPr>
          <w:p w14:paraId="02F18B9E" w14:textId="77777777" w:rsidR="0018086A" w:rsidRDefault="009647D4">
            <w:pPr>
              <w:pStyle w:val="naiskr"/>
              <w:spacing w:before="0" w:after="0"/>
              <w:ind w:left="57" w:right="57"/>
              <w:jc w:val="both"/>
            </w:pPr>
            <w:r w:rsidRPr="00E44DF3">
              <w:t xml:space="preserve">Likumprojekts tika nosūtīts saskaņošanai </w:t>
            </w:r>
            <w:r w:rsidR="000479B4" w:rsidRPr="00D31544">
              <w:t xml:space="preserve">Latvijas </w:t>
            </w:r>
            <w:r w:rsidR="000479B4">
              <w:t>Komercbanku asociācija</w:t>
            </w:r>
            <w:r w:rsidR="009D262C">
              <w:t>i</w:t>
            </w:r>
            <w:r w:rsidR="000479B4">
              <w:t>, Latvijas Finanšu instrumentu tirgus asociācija</w:t>
            </w:r>
            <w:r w:rsidR="009D262C">
              <w:t>i</w:t>
            </w:r>
            <w:r w:rsidR="000479B4">
              <w:t xml:space="preserve">, </w:t>
            </w:r>
            <w:proofErr w:type="spellStart"/>
            <w:r w:rsidR="000479B4">
              <w:t>Nasdaq</w:t>
            </w:r>
            <w:proofErr w:type="spellEnd"/>
            <w:r w:rsidR="000479B4">
              <w:t xml:space="preserve"> </w:t>
            </w:r>
            <w:proofErr w:type="spellStart"/>
            <w:r w:rsidR="000479B4">
              <w:t>Riga</w:t>
            </w:r>
            <w:proofErr w:type="spellEnd"/>
            <w:r w:rsidR="000479B4">
              <w:t>, AS.</w:t>
            </w:r>
          </w:p>
        </w:tc>
      </w:tr>
      <w:tr w:rsidR="0018086A" w14:paraId="05F29EA6" w14:textId="77777777" w:rsidTr="00575F9E">
        <w:trPr>
          <w:trHeight w:val="375"/>
          <w:jc w:val="center"/>
        </w:trPr>
        <w:tc>
          <w:tcPr>
            <w:tcW w:w="305" w:type="dxa"/>
          </w:tcPr>
          <w:p w14:paraId="3415DB21" w14:textId="77777777" w:rsidR="0018086A" w:rsidRDefault="0018086A">
            <w:pPr>
              <w:pStyle w:val="naiskr"/>
              <w:spacing w:before="0" w:after="0"/>
              <w:ind w:left="57" w:right="57"/>
              <w:rPr>
                <w:bCs/>
              </w:rPr>
            </w:pPr>
            <w:r>
              <w:rPr>
                <w:bCs/>
              </w:rPr>
              <w:t>3.</w:t>
            </w:r>
          </w:p>
        </w:tc>
        <w:tc>
          <w:tcPr>
            <w:tcW w:w="3236" w:type="dxa"/>
          </w:tcPr>
          <w:p w14:paraId="45845E90" w14:textId="77777777" w:rsidR="0018086A" w:rsidRDefault="0018086A">
            <w:pPr>
              <w:pStyle w:val="naiskr"/>
              <w:spacing w:before="0" w:after="0"/>
              <w:ind w:left="57" w:right="57"/>
            </w:pPr>
            <w:r>
              <w:t xml:space="preserve">Sabiedrības līdzdalības rezultāti </w:t>
            </w:r>
          </w:p>
        </w:tc>
        <w:tc>
          <w:tcPr>
            <w:tcW w:w="5836" w:type="dxa"/>
          </w:tcPr>
          <w:p w14:paraId="022CA640" w14:textId="5BCAC37B" w:rsidR="0018086A" w:rsidRDefault="009D262C" w:rsidP="000052FB">
            <w:pPr>
              <w:pStyle w:val="naiskr"/>
              <w:spacing w:before="0" w:after="0"/>
              <w:ind w:right="57"/>
              <w:jc w:val="both"/>
            </w:pPr>
            <w:r w:rsidRPr="00D31544">
              <w:t xml:space="preserve">Latvijas </w:t>
            </w:r>
            <w:r>
              <w:t xml:space="preserve">Komercbanku asociācijas, </w:t>
            </w:r>
            <w:proofErr w:type="spellStart"/>
            <w:r>
              <w:t>Nasdaq</w:t>
            </w:r>
            <w:proofErr w:type="spellEnd"/>
            <w:r>
              <w:t xml:space="preserve"> </w:t>
            </w:r>
            <w:proofErr w:type="spellStart"/>
            <w:r>
              <w:t>Riga</w:t>
            </w:r>
            <w:proofErr w:type="spellEnd"/>
            <w:r>
              <w:t>, AS iebildumi un prie</w:t>
            </w:r>
            <w:r w:rsidR="00626E3B">
              <w:t xml:space="preserve">kšlikumi ņemti vērā daļēji – </w:t>
            </w:r>
            <w:r w:rsidR="000052FB">
              <w:t>likumprojekts</w:t>
            </w:r>
            <w:r w:rsidR="00626E3B">
              <w:t xml:space="preserve"> precizē</w:t>
            </w:r>
            <w:r w:rsidR="000052FB">
              <w:t>ts</w:t>
            </w:r>
            <w:r w:rsidR="00626E3B">
              <w:t xml:space="preserve"> likumprojektu attiecībā uz d</w:t>
            </w:r>
            <w:r w:rsidR="00333910">
              <w:t xml:space="preserve">aļu no saņemtajiem iebildumiem, kā arī ir sniegti uzraudzības iestādes </w:t>
            </w:r>
            <w:r w:rsidR="00333910">
              <w:lastRenderedPageBreak/>
              <w:t xml:space="preserve">skaidrojumi tirgus dalībniekiem par regulējuma piemērošanu daļai no priekšlikumiem. </w:t>
            </w:r>
            <w:r>
              <w:t>Latvijas Finanšu instrumentu tirgus asociācij</w:t>
            </w:r>
            <w:r w:rsidR="000052FB">
              <w:t>as priekšlikumi tika ņemti vērā</w:t>
            </w:r>
            <w:r>
              <w:t>.</w:t>
            </w:r>
          </w:p>
        </w:tc>
      </w:tr>
      <w:tr w:rsidR="0018086A" w14:paraId="0975EBE6" w14:textId="77777777" w:rsidTr="00575F9E">
        <w:trPr>
          <w:trHeight w:val="397"/>
          <w:jc w:val="center"/>
        </w:trPr>
        <w:tc>
          <w:tcPr>
            <w:tcW w:w="305" w:type="dxa"/>
          </w:tcPr>
          <w:p w14:paraId="47BCFF07" w14:textId="77777777" w:rsidR="0018086A" w:rsidRDefault="0018086A">
            <w:pPr>
              <w:pStyle w:val="naiskr"/>
              <w:spacing w:before="0" w:after="0"/>
              <w:ind w:left="57" w:right="57"/>
              <w:rPr>
                <w:bCs/>
              </w:rPr>
            </w:pPr>
            <w:r>
              <w:rPr>
                <w:bCs/>
              </w:rPr>
              <w:lastRenderedPageBreak/>
              <w:t>4.</w:t>
            </w:r>
          </w:p>
        </w:tc>
        <w:tc>
          <w:tcPr>
            <w:tcW w:w="3236" w:type="dxa"/>
          </w:tcPr>
          <w:p w14:paraId="38908D45" w14:textId="77777777" w:rsidR="00575F9E" w:rsidRDefault="00575F9E" w:rsidP="00575F9E">
            <w:pPr>
              <w:pStyle w:val="naiskr"/>
              <w:spacing w:before="0" w:after="0"/>
              <w:ind w:left="57" w:right="57"/>
            </w:pPr>
            <w:r>
              <w:t>Cita informācija</w:t>
            </w:r>
          </w:p>
          <w:p w14:paraId="1C88638A" w14:textId="77777777" w:rsidR="0018086A" w:rsidRDefault="0018086A">
            <w:pPr>
              <w:pStyle w:val="naiskr"/>
              <w:spacing w:before="0" w:after="0"/>
              <w:ind w:left="57" w:right="57"/>
            </w:pPr>
          </w:p>
        </w:tc>
        <w:tc>
          <w:tcPr>
            <w:tcW w:w="5836" w:type="dxa"/>
          </w:tcPr>
          <w:p w14:paraId="375F65F2" w14:textId="77777777" w:rsidR="009647D4" w:rsidRDefault="009647D4" w:rsidP="009647D4">
            <w:pPr>
              <w:spacing w:after="120"/>
              <w:jc w:val="both"/>
            </w:pPr>
            <w:r>
              <w:t xml:space="preserve">Sabiedrība pēc normatīvā akta pieņemšanas tiks informēta ar publikāciju laikrakstā "Latvijas Vēstnesis", kā arī ievietojot to bezmaksas normatīvo aktu datu bāzē </w:t>
            </w:r>
            <w:r w:rsidRPr="00AB5327">
              <w:rPr>
                <w:rFonts w:eastAsia="Calibri"/>
              </w:rPr>
              <w:t>www.likumi.lv</w:t>
            </w:r>
            <w:r>
              <w:t>.</w:t>
            </w:r>
          </w:p>
          <w:p w14:paraId="61D6D352" w14:textId="116ECCFB" w:rsidR="005E4028" w:rsidRPr="00912FD2" w:rsidRDefault="009647D4" w:rsidP="00F82D21">
            <w:pPr>
              <w:jc w:val="both"/>
              <w:rPr>
                <w:b/>
              </w:rPr>
            </w:pPr>
            <w:r>
              <w:t xml:space="preserve">Likums tiks ievietots arī </w:t>
            </w:r>
            <w:r w:rsidR="00F82D21">
              <w:t xml:space="preserve">FKTK </w:t>
            </w:r>
            <w:r>
              <w:t>mājas lapā internetā.</w:t>
            </w:r>
          </w:p>
        </w:tc>
      </w:tr>
    </w:tbl>
    <w:p w14:paraId="7A9C3F75" w14:textId="0CBA3D0C" w:rsidR="00CC215E" w:rsidRDefault="00CC215E"/>
    <w:p w14:paraId="514FA928" w14:textId="77777777" w:rsidR="0018086A" w:rsidRDefault="0018086A" w:rsidP="004E38DE">
      <w:pPr>
        <w:pStyle w:val="naisf"/>
        <w:spacing w:before="0" w:after="0"/>
        <w:ind w:firstLine="0"/>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903"/>
        <w:gridCol w:w="4961"/>
      </w:tblGrid>
      <w:tr w:rsidR="0018086A" w14:paraId="52D612C6" w14:textId="77777777" w:rsidTr="004E38DE">
        <w:tc>
          <w:tcPr>
            <w:tcW w:w="9356" w:type="dxa"/>
            <w:gridSpan w:val="3"/>
            <w:tcBorders>
              <w:top w:val="single" w:sz="4" w:space="0" w:color="auto"/>
            </w:tcBorders>
          </w:tcPr>
          <w:p w14:paraId="4F2829BD" w14:textId="77777777" w:rsidR="0018086A" w:rsidRDefault="0018086A">
            <w:pPr>
              <w:pStyle w:val="naisnod"/>
              <w:spacing w:before="0" w:after="0"/>
              <w:ind w:left="57" w:right="57"/>
            </w:pPr>
            <w:r>
              <w:t>VII. Tiesību akta projekta izpildes nodrošināšana un tās ietekme uz institūcijām</w:t>
            </w:r>
          </w:p>
        </w:tc>
      </w:tr>
      <w:tr w:rsidR="0018086A" w14:paraId="42D72536" w14:textId="77777777" w:rsidTr="004E38DE">
        <w:trPr>
          <w:trHeight w:val="427"/>
        </w:trPr>
        <w:tc>
          <w:tcPr>
            <w:tcW w:w="492" w:type="dxa"/>
          </w:tcPr>
          <w:p w14:paraId="799B0AF8" w14:textId="77777777" w:rsidR="0018086A" w:rsidRDefault="0018086A">
            <w:pPr>
              <w:pStyle w:val="naisnod"/>
              <w:spacing w:before="0" w:after="0"/>
              <w:ind w:left="57" w:right="57"/>
              <w:jc w:val="left"/>
              <w:rPr>
                <w:b w:val="0"/>
              </w:rPr>
            </w:pPr>
            <w:r>
              <w:rPr>
                <w:b w:val="0"/>
              </w:rPr>
              <w:t>1.</w:t>
            </w:r>
          </w:p>
        </w:tc>
        <w:tc>
          <w:tcPr>
            <w:tcW w:w="3903" w:type="dxa"/>
          </w:tcPr>
          <w:p w14:paraId="4C00D284" w14:textId="77777777" w:rsidR="0018086A" w:rsidRDefault="0018086A">
            <w:pPr>
              <w:pStyle w:val="naisf"/>
              <w:spacing w:before="0" w:after="0"/>
              <w:ind w:left="57" w:right="57" w:firstLine="0"/>
              <w:jc w:val="left"/>
            </w:pPr>
            <w:r>
              <w:t xml:space="preserve">Projekta izpildē iesaistītās institūcijas </w:t>
            </w:r>
          </w:p>
        </w:tc>
        <w:tc>
          <w:tcPr>
            <w:tcW w:w="4961" w:type="dxa"/>
          </w:tcPr>
          <w:p w14:paraId="5698E6B2" w14:textId="25D31677" w:rsidR="0018086A" w:rsidRDefault="0018086A" w:rsidP="00F82D21">
            <w:pPr>
              <w:pStyle w:val="naisnod"/>
              <w:spacing w:before="0" w:after="0"/>
              <w:ind w:left="57" w:right="57"/>
              <w:jc w:val="left"/>
              <w:rPr>
                <w:b w:val="0"/>
              </w:rPr>
            </w:pPr>
            <w:r>
              <w:rPr>
                <w:b w:val="0"/>
              </w:rPr>
              <w:t>Likumprojekta prasību izpildi nodrošin</w:t>
            </w:r>
            <w:r w:rsidR="00507371">
              <w:rPr>
                <w:b w:val="0"/>
              </w:rPr>
              <w:t xml:space="preserve">ās </w:t>
            </w:r>
            <w:r w:rsidR="00F82D21">
              <w:rPr>
                <w:b w:val="0"/>
              </w:rPr>
              <w:t>FKTK.</w:t>
            </w:r>
          </w:p>
        </w:tc>
      </w:tr>
      <w:tr w:rsidR="0018086A" w14:paraId="0BDE850D" w14:textId="77777777" w:rsidTr="004E38DE">
        <w:trPr>
          <w:trHeight w:val="725"/>
        </w:trPr>
        <w:tc>
          <w:tcPr>
            <w:tcW w:w="492" w:type="dxa"/>
          </w:tcPr>
          <w:p w14:paraId="52BB6DB2" w14:textId="77777777" w:rsidR="0018086A" w:rsidRDefault="00E32447">
            <w:pPr>
              <w:pStyle w:val="naisnod"/>
              <w:spacing w:before="0" w:after="0"/>
              <w:ind w:left="57" w:right="57"/>
              <w:jc w:val="left"/>
              <w:rPr>
                <w:b w:val="0"/>
              </w:rPr>
            </w:pPr>
            <w:r>
              <w:rPr>
                <w:b w:val="0"/>
              </w:rPr>
              <w:t>2</w:t>
            </w:r>
            <w:r w:rsidR="0018086A">
              <w:rPr>
                <w:b w:val="0"/>
              </w:rPr>
              <w:t>.</w:t>
            </w:r>
          </w:p>
        </w:tc>
        <w:tc>
          <w:tcPr>
            <w:tcW w:w="3903" w:type="dxa"/>
          </w:tcPr>
          <w:p w14:paraId="7B6C20C6" w14:textId="77777777" w:rsidR="00575F9E" w:rsidRDefault="00575F9E" w:rsidP="00575F9E">
            <w:pPr>
              <w:pStyle w:val="naisf"/>
              <w:ind w:left="57" w:right="57" w:firstLine="105"/>
            </w:pPr>
            <w:r>
              <w:t>Projekta izpildes ietekme uz pārvaldes funkcijām un institucionālo struktūru.</w:t>
            </w:r>
          </w:p>
          <w:p w14:paraId="7E324755" w14:textId="77777777" w:rsidR="0018086A" w:rsidRDefault="00575F9E" w:rsidP="00575F9E">
            <w:pPr>
              <w:pStyle w:val="naisf"/>
              <w:ind w:left="57" w:right="57" w:firstLine="105"/>
            </w:pPr>
            <w:r>
              <w:t>Jaunu institūciju izveide, esošu institūciju likvidācija vai reorganizācija, to ietekme uz institūcijas cilvēkresursiem</w:t>
            </w:r>
          </w:p>
        </w:tc>
        <w:tc>
          <w:tcPr>
            <w:tcW w:w="4961" w:type="dxa"/>
          </w:tcPr>
          <w:p w14:paraId="69E78E5F" w14:textId="77777777" w:rsidR="0018086A" w:rsidRDefault="0018086A">
            <w:pPr>
              <w:pStyle w:val="naisnod"/>
              <w:spacing w:before="0" w:after="0"/>
              <w:ind w:left="57" w:right="57"/>
              <w:jc w:val="left"/>
              <w:rPr>
                <w:b w:val="0"/>
                <w:color w:val="000000"/>
              </w:rPr>
            </w:pPr>
            <w:r>
              <w:rPr>
                <w:b w:val="0"/>
                <w:color w:val="000000"/>
              </w:rPr>
              <w:t xml:space="preserve">Nav ietekmes. </w:t>
            </w:r>
          </w:p>
          <w:p w14:paraId="734DD482" w14:textId="77777777" w:rsidR="0018086A" w:rsidRDefault="0018086A">
            <w:pPr>
              <w:pStyle w:val="naisnod"/>
              <w:spacing w:before="0" w:after="0"/>
              <w:ind w:left="57" w:right="57"/>
              <w:jc w:val="left"/>
              <w:rPr>
                <w:b w:val="0"/>
              </w:rPr>
            </w:pPr>
            <w:r>
              <w:rPr>
                <w:b w:val="0"/>
                <w:color w:val="000000"/>
              </w:rPr>
              <w:t>Jaunu institūciju izveide</w:t>
            </w:r>
            <w:r w:rsidR="009647D4">
              <w:rPr>
                <w:b w:val="0"/>
                <w:color w:val="000000"/>
              </w:rPr>
              <w:t>, esošo likvidācija vai reorganizācija</w:t>
            </w:r>
            <w:r>
              <w:rPr>
                <w:b w:val="0"/>
                <w:color w:val="000000"/>
              </w:rPr>
              <w:t xml:space="preserve"> netiek paredzēta. </w:t>
            </w:r>
          </w:p>
        </w:tc>
      </w:tr>
      <w:tr w:rsidR="0018086A" w14:paraId="42BD1266" w14:textId="77777777" w:rsidTr="004E38DE">
        <w:trPr>
          <w:trHeight w:val="476"/>
        </w:trPr>
        <w:tc>
          <w:tcPr>
            <w:tcW w:w="492" w:type="dxa"/>
          </w:tcPr>
          <w:p w14:paraId="72A30715" w14:textId="77777777" w:rsidR="0018086A" w:rsidRDefault="00E32447">
            <w:pPr>
              <w:pStyle w:val="naiskr"/>
              <w:spacing w:before="0" w:after="0"/>
              <w:ind w:left="57" w:right="57"/>
            </w:pPr>
            <w:r>
              <w:t>3</w:t>
            </w:r>
            <w:r w:rsidR="0018086A">
              <w:t>.</w:t>
            </w:r>
          </w:p>
        </w:tc>
        <w:tc>
          <w:tcPr>
            <w:tcW w:w="3903" w:type="dxa"/>
          </w:tcPr>
          <w:p w14:paraId="735395C8" w14:textId="77777777" w:rsidR="0018086A" w:rsidRDefault="0018086A">
            <w:pPr>
              <w:pStyle w:val="naiskr"/>
              <w:spacing w:before="0" w:after="0"/>
              <w:ind w:left="57" w:right="57"/>
            </w:pPr>
            <w:r>
              <w:t>Cita informācija</w:t>
            </w:r>
          </w:p>
        </w:tc>
        <w:tc>
          <w:tcPr>
            <w:tcW w:w="4961" w:type="dxa"/>
          </w:tcPr>
          <w:p w14:paraId="68A5FBE3" w14:textId="77777777" w:rsidR="0018086A" w:rsidRDefault="0018086A">
            <w:pPr>
              <w:pStyle w:val="naiskr"/>
              <w:spacing w:before="0" w:after="0"/>
              <w:ind w:left="57" w:right="57"/>
            </w:pPr>
            <w:r>
              <w:t>Nav</w:t>
            </w:r>
            <w:r w:rsidR="00745F3A">
              <w:t>.</w:t>
            </w:r>
          </w:p>
        </w:tc>
      </w:tr>
    </w:tbl>
    <w:p w14:paraId="6A77B236" w14:textId="77777777" w:rsidR="004E38DE" w:rsidRDefault="004E38DE" w:rsidP="007F4758">
      <w:pPr>
        <w:pStyle w:val="naisf"/>
        <w:tabs>
          <w:tab w:val="left" w:pos="5760"/>
        </w:tabs>
        <w:spacing w:before="0" w:after="0"/>
        <w:ind w:firstLine="0"/>
      </w:pPr>
    </w:p>
    <w:p w14:paraId="0CFCB5AF" w14:textId="77777777" w:rsidR="0093787C" w:rsidRDefault="0093787C" w:rsidP="007F4758">
      <w:pPr>
        <w:pStyle w:val="naisf"/>
        <w:tabs>
          <w:tab w:val="left" w:pos="5760"/>
        </w:tabs>
        <w:spacing w:before="0" w:after="0"/>
        <w:ind w:firstLine="0"/>
      </w:pPr>
    </w:p>
    <w:p w14:paraId="573B669C" w14:textId="77777777" w:rsidR="00CC215E" w:rsidRDefault="00CC215E">
      <w:pPr>
        <w:pStyle w:val="NormalWeb"/>
        <w:spacing w:before="0" w:beforeAutospacing="0" w:after="0" w:afterAutospacing="0"/>
        <w:ind w:left="540"/>
      </w:pPr>
    </w:p>
    <w:p w14:paraId="1CDC594C" w14:textId="77777777" w:rsidR="00CC215E" w:rsidRDefault="00CC215E">
      <w:pPr>
        <w:pStyle w:val="NormalWeb"/>
        <w:spacing w:before="0" w:beforeAutospacing="0" w:after="0" w:afterAutospacing="0"/>
        <w:ind w:left="540"/>
      </w:pPr>
    </w:p>
    <w:p w14:paraId="7A38A2BA" w14:textId="77777777" w:rsidR="00DD3EDF" w:rsidRDefault="004E38DE">
      <w:pPr>
        <w:pStyle w:val="NormalWeb"/>
        <w:spacing w:before="0" w:beforeAutospacing="0" w:after="0" w:afterAutospacing="0"/>
        <w:ind w:left="540"/>
      </w:pPr>
      <w:r>
        <w:t>F</w:t>
      </w:r>
      <w:r w:rsidR="00B06A2F">
        <w:t>inanšu ministr</w:t>
      </w:r>
      <w:r w:rsidR="00DD3EDF">
        <w:t>a vietā-</w:t>
      </w:r>
    </w:p>
    <w:p w14:paraId="55D2BBE9" w14:textId="419AD0A1" w:rsidR="0018086A" w:rsidRDefault="00DD3EDF">
      <w:pPr>
        <w:pStyle w:val="NormalWeb"/>
        <w:spacing w:before="0" w:beforeAutospacing="0" w:after="0" w:afterAutospacing="0"/>
        <w:ind w:left="540"/>
      </w:pPr>
      <w:r>
        <w:t>ārlietu ministrs</w:t>
      </w:r>
      <w:r w:rsidR="00B06A2F">
        <w:t xml:space="preserve"> </w:t>
      </w:r>
      <w:r w:rsidR="00B06A2F">
        <w:tab/>
      </w:r>
      <w:r w:rsidR="00B06A2F">
        <w:tab/>
      </w:r>
      <w:r w:rsidR="00B06A2F">
        <w:tab/>
      </w:r>
      <w:r w:rsidR="00B06A2F">
        <w:tab/>
      </w:r>
      <w:r w:rsidR="00B06A2F">
        <w:tab/>
      </w:r>
      <w:r w:rsidR="00B06A2F">
        <w:tab/>
      </w:r>
      <w:r w:rsidR="009A6D7A">
        <w:tab/>
      </w:r>
      <w:r>
        <w:tab/>
      </w:r>
      <w:proofErr w:type="spellStart"/>
      <w:r>
        <w:t>E.Rinkēvičs</w:t>
      </w:r>
      <w:proofErr w:type="spellEnd"/>
    </w:p>
    <w:p w14:paraId="107FC279" w14:textId="77777777" w:rsidR="007F4758" w:rsidRDefault="007F4758">
      <w:pPr>
        <w:pStyle w:val="NormalWeb"/>
        <w:spacing w:before="0" w:beforeAutospacing="0" w:after="0" w:afterAutospacing="0"/>
        <w:ind w:left="540"/>
      </w:pPr>
    </w:p>
    <w:p w14:paraId="105453DB" w14:textId="77777777" w:rsidR="007F4758" w:rsidRDefault="007F4758">
      <w:pPr>
        <w:pStyle w:val="NormalWeb"/>
        <w:spacing w:before="0" w:beforeAutospacing="0" w:after="0" w:afterAutospacing="0"/>
        <w:ind w:left="540"/>
      </w:pPr>
    </w:p>
    <w:p w14:paraId="4C5A7E4B" w14:textId="77777777" w:rsidR="00CC215E" w:rsidRDefault="00CC215E">
      <w:pPr>
        <w:rPr>
          <w:sz w:val="20"/>
          <w:szCs w:val="20"/>
        </w:rPr>
      </w:pPr>
    </w:p>
    <w:p w14:paraId="46ABDA3D" w14:textId="77777777" w:rsidR="00CC215E" w:rsidRDefault="00CC215E">
      <w:pPr>
        <w:rPr>
          <w:sz w:val="20"/>
          <w:szCs w:val="20"/>
        </w:rPr>
      </w:pPr>
    </w:p>
    <w:p w14:paraId="49E02B94" w14:textId="77777777" w:rsidR="00CC215E" w:rsidRDefault="00CC215E">
      <w:pPr>
        <w:rPr>
          <w:sz w:val="20"/>
          <w:szCs w:val="20"/>
        </w:rPr>
      </w:pPr>
    </w:p>
    <w:p w14:paraId="37F4A94E" w14:textId="77777777" w:rsidR="00CC215E" w:rsidRDefault="00CC215E">
      <w:pPr>
        <w:rPr>
          <w:sz w:val="20"/>
          <w:szCs w:val="20"/>
        </w:rPr>
      </w:pPr>
    </w:p>
    <w:p w14:paraId="0E21BF5F" w14:textId="2D84AB64" w:rsidR="0018086A" w:rsidRPr="000B4551" w:rsidRDefault="00333910">
      <w:pPr>
        <w:rPr>
          <w:sz w:val="20"/>
          <w:szCs w:val="20"/>
        </w:rPr>
      </w:pPr>
      <w:r>
        <w:rPr>
          <w:sz w:val="20"/>
          <w:szCs w:val="20"/>
        </w:rPr>
        <w:t>26</w:t>
      </w:r>
      <w:r w:rsidR="001D629F">
        <w:rPr>
          <w:sz w:val="20"/>
          <w:szCs w:val="20"/>
        </w:rPr>
        <w:t>.</w:t>
      </w:r>
      <w:r w:rsidR="00F72D1F">
        <w:rPr>
          <w:sz w:val="20"/>
          <w:szCs w:val="20"/>
        </w:rPr>
        <w:t>01</w:t>
      </w:r>
      <w:r w:rsidR="001D629F">
        <w:rPr>
          <w:sz w:val="20"/>
          <w:szCs w:val="20"/>
        </w:rPr>
        <w:t>.201</w:t>
      </w:r>
      <w:r w:rsidR="00F72D1F">
        <w:rPr>
          <w:sz w:val="20"/>
          <w:szCs w:val="20"/>
        </w:rPr>
        <w:t>6</w:t>
      </w:r>
      <w:r w:rsidR="0056649E">
        <w:rPr>
          <w:sz w:val="20"/>
          <w:szCs w:val="20"/>
        </w:rPr>
        <w:t>.</w:t>
      </w:r>
      <w:r w:rsidR="001D13E9" w:rsidRPr="000B4551">
        <w:rPr>
          <w:sz w:val="20"/>
          <w:szCs w:val="20"/>
        </w:rPr>
        <w:t xml:space="preserve"> </w:t>
      </w:r>
      <w:r w:rsidR="00B43559">
        <w:rPr>
          <w:sz w:val="20"/>
          <w:szCs w:val="20"/>
        </w:rPr>
        <w:t>1</w:t>
      </w:r>
      <w:r>
        <w:rPr>
          <w:sz w:val="20"/>
          <w:szCs w:val="20"/>
        </w:rPr>
        <w:t>4</w:t>
      </w:r>
      <w:r w:rsidR="001D629F">
        <w:rPr>
          <w:sz w:val="20"/>
          <w:szCs w:val="20"/>
        </w:rPr>
        <w:t>:</w:t>
      </w:r>
      <w:r>
        <w:rPr>
          <w:sz w:val="20"/>
          <w:szCs w:val="20"/>
        </w:rPr>
        <w:t>5</w:t>
      </w:r>
      <w:r w:rsidR="00E05FD6">
        <w:rPr>
          <w:sz w:val="20"/>
          <w:szCs w:val="20"/>
        </w:rPr>
        <w:t>0</w:t>
      </w:r>
    </w:p>
    <w:p w14:paraId="59EABF3A" w14:textId="6A736B94" w:rsidR="00E05FD6" w:rsidRDefault="00333910" w:rsidP="001D629F">
      <w:pPr>
        <w:tabs>
          <w:tab w:val="left" w:pos="7088"/>
        </w:tabs>
        <w:rPr>
          <w:sz w:val="20"/>
          <w:szCs w:val="20"/>
        </w:rPr>
      </w:pPr>
      <w:r>
        <w:rPr>
          <w:sz w:val="20"/>
          <w:szCs w:val="20"/>
        </w:rPr>
        <w:t>2</w:t>
      </w:r>
      <w:r w:rsidR="00DD3EDF">
        <w:rPr>
          <w:sz w:val="20"/>
          <w:szCs w:val="20"/>
        </w:rPr>
        <w:t>9</w:t>
      </w:r>
      <w:r w:rsidR="000052FB">
        <w:rPr>
          <w:sz w:val="20"/>
          <w:szCs w:val="20"/>
        </w:rPr>
        <w:t>5</w:t>
      </w:r>
      <w:r w:rsidR="00BB52CD">
        <w:rPr>
          <w:sz w:val="20"/>
          <w:szCs w:val="20"/>
        </w:rPr>
        <w:t>9</w:t>
      </w:r>
    </w:p>
    <w:p w14:paraId="74F4FCBA" w14:textId="1DB70A89" w:rsidR="001D629F" w:rsidRPr="006C1130" w:rsidRDefault="001D629F" w:rsidP="001D629F">
      <w:pPr>
        <w:tabs>
          <w:tab w:val="left" w:pos="7088"/>
        </w:tabs>
        <w:rPr>
          <w:sz w:val="20"/>
        </w:rPr>
      </w:pPr>
      <w:bookmarkStart w:id="0" w:name="_GoBack"/>
      <w:proofErr w:type="spellStart"/>
      <w:r w:rsidRPr="006C1130">
        <w:rPr>
          <w:sz w:val="20"/>
        </w:rPr>
        <w:t>K.Bērze</w:t>
      </w:r>
      <w:proofErr w:type="spellEnd"/>
      <w:r w:rsidRPr="006C1130">
        <w:rPr>
          <w:sz w:val="20"/>
        </w:rPr>
        <w:t>-Bērziņa</w:t>
      </w:r>
    </w:p>
    <w:p w14:paraId="75907416" w14:textId="6D757025" w:rsidR="001D629F" w:rsidRPr="006C1130" w:rsidRDefault="001D629F" w:rsidP="0090751B">
      <w:pPr>
        <w:tabs>
          <w:tab w:val="center" w:pos="4535"/>
        </w:tabs>
        <w:rPr>
          <w:sz w:val="20"/>
        </w:rPr>
      </w:pPr>
      <w:r w:rsidRPr="006C1130">
        <w:rPr>
          <w:sz w:val="20"/>
        </w:rPr>
        <w:t>67083857; Krista.Berze-Berzina@fm.gov.lv</w:t>
      </w:r>
      <w:r w:rsidR="00E4091F">
        <w:rPr>
          <w:sz w:val="20"/>
        </w:rPr>
        <w:tab/>
      </w:r>
    </w:p>
    <w:p w14:paraId="41C26E65" w14:textId="77777777" w:rsidR="001D629F" w:rsidRDefault="001D629F" w:rsidP="004E38DE">
      <w:pPr>
        <w:rPr>
          <w:sz w:val="20"/>
          <w:szCs w:val="20"/>
        </w:rPr>
      </w:pPr>
    </w:p>
    <w:p w14:paraId="5B120303" w14:textId="77777777" w:rsidR="000E639F" w:rsidRDefault="000E639F" w:rsidP="004E38DE">
      <w:pPr>
        <w:rPr>
          <w:sz w:val="20"/>
          <w:szCs w:val="20"/>
        </w:rPr>
      </w:pPr>
      <w:proofErr w:type="spellStart"/>
      <w:r>
        <w:rPr>
          <w:sz w:val="20"/>
          <w:szCs w:val="20"/>
        </w:rPr>
        <w:t>L.Tiltiņa</w:t>
      </w:r>
      <w:proofErr w:type="spellEnd"/>
    </w:p>
    <w:bookmarkEnd w:id="0"/>
    <w:p w14:paraId="5D0A80A0" w14:textId="77777777" w:rsidR="000E639F" w:rsidRPr="004E38DE" w:rsidRDefault="000E639F" w:rsidP="004E38DE">
      <w:pPr>
        <w:rPr>
          <w:sz w:val="20"/>
          <w:szCs w:val="20"/>
        </w:rPr>
      </w:pPr>
      <w:r>
        <w:rPr>
          <w:sz w:val="20"/>
          <w:szCs w:val="20"/>
        </w:rPr>
        <w:t>67774936; Laura.Tiltina@fktk.lv</w:t>
      </w:r>
    </w:p>
    <w:sectPr w:rsidR="000E639F" w:rsidRPr="004E38DE" w:rsidSect="00AF18C7">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EC7D0" w14:textId="77777777" w:rsidR="008D56AB" w:rsidRDefault="008D56AB">
      <w:r>
        <w:separator/>
      </w:r>
    </w:p>
  </w:endnote>
  <w:endnote w:type="continuationSeparator" w:id="0">
    <w:p w14:paraId="71061C36" w14:textId="77777777" w:rsidR="008D56AB" w:rsidRDefault="008D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eutonica">
    <w:altName w:val="Times New Roman"/>
    <w:panose1 w:val="00000000000000000000"/>
    <w:charset w:val="BA"/>
    <w:family w:val="roman"/>
    <w:notTrueType/>
    <w:pitch w:val="variable"/>
    <w:sig w:usb0="00000001" w:usb1="00000000" w:usb2="00000000" w:usb3="00000000" w:csb0="0000008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5298" w14:textId="77777777" w:rsidR="00333910" w:rsidRDefault="00333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A493" w14:textId="77777777" w:rsidR="006B29D7" w:rsidRDefault="006B29D7" w:rsidP="008A37FE">
    <w:pPr>
      <w:pStyle w:val="Header"/>
    </w:pPr>
  </w:p>
  <w:p w14:paraId="59DE5851" w14:textId="77777777" w:rsidR="006B29D7" w:rsidRDefault="006B29D7" w:rsidP="008A37FE"/>
  <w:p w14:paraId="41EF0F1E" w14:textId="3E4AAD52" w:rsidR="006B29D7" w:rsidRPr="00356DAB" w:rsidRDefault="008D56AB" w:rsidP="008A37FE">
    <w:pPr>
      <w:pStyle w:val="Footer"/>
      <w:jc w:val="both"/>
      <w:rPr>
        <w:sz w:val="20"/>
        <w:szCs w:val="20"/>
      </w:rPr>
    </w:pPr>
    <w:r>
      <w:fldChar w:fldCharType="begin"/>
    </w:r>
    <w:r>
      <w:instrText xml:space="preserve"> FILENAME   \* MERGEFORMAT </w:instrText>
    </w:r>
    <w:r>
      <w:fldChar w:fldCharType="separate"/>
    </w:r>
    <w:r w:rsidR="00D7256B" w:rsidRPr="00D7256B">
      <w:rPr>
        <w:noProof/>
        <w:sz w:val="20"/>
        <w:szCs w:val="20"/>
        <w:lang w:val="pl-PL"/>
      </w:rPr>
      <w:t>FManot_260116_FITL.docx</w:t>
    </w:r>
    <w:r>
      <w:rPr>
        <w:noProof/>
        <w:sz w:val="20"/>
        <w:szCs w:val="20"/>
        <w:lang w:val="pl-PL"/>
      </w:rPr>
      <w:fldChar w:fldCharType="end"/>
    </w:r>
    <w:r w:rsidR="006B29D7" w:rsidRPr="00425F7D">
      <w:rPr>
        <w:noProof/>
        <w:sz w:val="20"/>
        <w:szCs w:val="20"/>
        <w:lang w:val="pl-PL"/>
      </w:rPr>
      <w:t>;</w:t>
    </w:r>
    <w:r w:rsidR="006B29D7" w:rsidRPr="00425F7D">
      <w:rPr>
        <w:sz w:val="20"/>
        <w:szCs w:val="20"/>
        <w:lang w:val="pl-PL"/>
      </w:rPr>
      <w:t xml:space="preserve"> Likumprojekta </w:t>
    </w:r>
    <w:r w:rsidR="006B29D7" w:rsidRPr="00425F7D">
      <w:rPr>
        <w:sz w:val="20"/>
        <w:szCs w:val="20"/>
      </w:rPr>
      <w:t>“</w:t>
    </w:r>
    <w:r w:rsidR="006B29D7">
      <w:rPr>
        <w:sz w:val="20"/>
        <w:szCs w:val="20"/>
      </w:rPr>
      <w:t>Grozījumi Finanšu instrumentu tirgus likumā</w:t>
    </w:r>
    <w:r w:rsidR="006B29D7" w:rsidRPr="00425F7D">
      <w:rPr>
        <w:sz w:val="20"/>
        <w:szCs w:val="20"/>
      </w:rPr>
      <w:t xml:space="preserve">” </w:t>
    </w:r>
    <w:r w:rsidR="006B29D7" w:rsidRPr="003E422F">
      <w:rPr>
        <w:sz w:val="20"/>
        <w:szCs w:val="20"/>
        <w:lang w:val="pl-PL"/>
      </w:rPr>
      <w:t>sākotnējās ietekmes novērtējuma ziņojums (anotācija)</w:t>
    </w:r>
  </w:p>
  <w:p w14:paraId="0B23B6C3" w14:textId="77777777" w:rsidR="006B29D7" w:rsidRPr="00425F7D" w:rsidRDefault="006B29D7">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BF59" w14:textId="75597C3D" w:rsidR="00333910" w:rsidRPr="00356DAB" w:rsidRDefault="008D56AB" w:rsidP="00333910">
    <w:pPr>
      <w:pStyle w:val="Footer"/>
      <w:jc w:val="both"/>
      <w:rPr>
        <w:sz w:val="20"/>
        <w:szCs w:val="20"/>
      </w:rPr>
    </w:pPr>
    <w:r>
      <w:fldChar w:fldCharType="begin"/>
    </w:r>
    <w:r>
      <w:instrText xml:space="preserve"> FILENAME   \* MERGEFORMAT </w:instrText>
    </w:r>
    <w:r>
      <w:fldChar w:fldCharType="separate"/>
    </w:r>
    <w:r w:rsidR="00D7256B" w:rsidRPr="00D7256B">
      <w:rPr>
        <w:noProof/>
        <w:sz w:val="20"/>
        <w:szCs w:val="20"/>
        <w:lang w:val="pl-PL"/>
      </w:rPr>
      <w:t>FManot_260116_FITL.docx</w:t>
    </w:r>
    <w:r>
      <w:rPr>
        <w:noProof/>
        <w:sz w:val="20"/>
        <w:szCs w:val="20"/>
        <w:lang w:val="pl-PL"/>
      </w:rPr>
      <w:fldChar w:fldCharType="end"/>
    </w:r>
    <w:r w:rsidR="00333910" w:rsidRPr="00425F7D">
      <w:rPr>
        <w:noProof/>
        <w:sz w:val="20"/>
        <w:szCs w:val="20"/>
        <w:lang w:val="pl-PL"/>
      </w:rPr>
      <w:t>;</w:t>
    </w:r>
    <w:r w:rsidR="00333910" w:rsidRPr="00425F7D">
      <w:rPr>
        <w:sz w:val="20"/>
        <w:szCs w:val="20"/>
        <w:lang w:val="pl-PL"/>
      </w:rPr>
      <w:t xml:space="preserve"> Likumprojekta </w:t>
    </w:r>
    <w:r w:rsidR="00333910" w:rsidRPr="00425F7D">
      <w:rPr>
        <w:sz w:val="20"/>
        <w:szCs w:val="20"/>
      </w:rPr>
      <w:t>“</w:t>
    </w:r>
    <w:r w:rsidR="00333910">
      <w:rPr>
        <w:sz w:val="20"/>
        <w:szCs w:val="20"/>
      </w:rPr>
      <w:t>Grozījumi Finanšu instrumentu tirgus likumā</w:t>
    </w:r>
    <w:r w:rsidR="00333910" w:rsidRPr="00425F7D">
      <w:rPr>
        <w:sz w:val="20"/>
        <w:szCs w:val="20"/>
      </w:rPr>
      <w:t xml:space="preserve">” </w:t>
    </w:r>
    <w:r w:rsidR="00333910" w:rsidRPr="003E422F">
      <w:rPr>
        <w:sz w:val="20"/>
        <w:szCs w:val="20"/>
        <w:lang w:val="pl-PL"/>
      </w:rPr>
      <w:t>sākotnējās ietekmes novērtējuma ziņojums (anotācija)</w:t>
    </w:r>
  </w:p>
  <w:p w14:paraId="67AB4858" w14:textId="6C18B5D7" w:rsidR="00F72D1F" w:rsidRDefault="00F72D1F" w:rsidP="00356DAB">
    <w:pPr>
      <w:pStyle w:val="Footer"/>
      <w:jc w:val="both"/>
      <w:rPr>
        <w:sz w:val="20"/>
        <w:szCs w:val="20"/>
        <w:lang w:val="pl-PL"/>
      </w:rPr>
    </w:pPr>
  </w:p>
  <w:p w14:paraId="18593BE3" w14:textId="2DD3EF03" w:rsidR="006B29D7" w:rsidRPr="00356DAB" w:rsidRDefault="006B29D7" w:rsidP="00356DAB">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C7FC1" w14:textId="77777777" w:rsidR="008D56AB" w:rsidRDefault="008D56AB">
      <w:r>
        <w:separator/>
      </w:r>
    </w:p>
  </w:footnote>
  <w:footnote w:type="continuationSeparator" w:id="0">
    <w:p w14:paraId="32B03C4E" w14:textId="77777777" w:rsidR="008D56AB" w:rsidRDefault="008D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EAF2" w14:textId="77777777" w:rsidR="006B29D7" w:rsidRDefault="006B29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93243" w14:textId="77777777" w:rsidR="006B29D7" w:rsidRDefault="006B2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2368" w14:textId="77777777" w:rsidR="006B29D7" w:rsidRDefault="006B29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EE0">
      <w:rPr>
        <w:rStyle w:val="PageNumber"/>
        <w:noProof/>
      </w:rPr>
      <w:t>11</w:t>
    </w:r>
    <w:r>
      <w:rPr>
        <w:rStyle w:val="PageNumber"/>
      </w:rPr>
      <w:fldChar w:fldCharType="end"/>
    </w:r>
  </w:p>
  <w:p w14:paraId="35AE0474" w14:textId="77777777" w:rsidR="006B29D7" w:rsidRDefault="006B2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72B5" w14:textId="77777777" w:rsidR="00333910" w:rsidRDefault="0033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302F5D"/>
    <w:multiLevelType w:val="hybridMultilevel"/>
    <w:tmpl w:val="881E8E72"/>
    <w:lvl w:ilvl="0" w:tplc="C7EE6AE6">
      <w:start w:val="1"/>
      <w:numFmt w:val="decimal"/>
      <w:lvlText w:val="%1."/>
      <w:lvlJc w:val="left"/>
      <w:pPr>
        <w:ind w:left="1221" w:hanging="360"/>
      </w:pPr>
      <w:rPr>
        <w:rFonts w:hint="default"/>
      </w:r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A96391"/>
    <w:multiLevelType w:val="hybridMultilevel"/>
    <w:tmpl w:val="22EE4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
  </w:num>
  <w:num w:numId="5">
    <w:abstractNumId w:val="0"/>
  </w:num>
  <w:num w:numId="6">
    <w:abstractNumId w:val="9"/>
  </w:num>
  <w:num w:numId="7">
    <w:abstractNumId w:val="14"/>
  </w:num>
  <w:num w:numId="8">
    <w:abstractNumId w:val="6"/>
  </w:num>
  <w:num w:numId="9">
    <w:abstractNumId w:val="3"/>
  </w:num>
  <w:num w:numId="10">
    <w:abstractNumId w:val="7"/>
  </w:num>
  <w:num w:numId="11">
    <w:abstractNumId w:val="8"/>
  </w:num>
  <w:num w:numId="12">
    <w:abstractNumId w:val="10"/>
  </w:num>
  <w:num w:numId="13">
    <w:abstractNumId w:val="11"/>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E4"/>
    <w:rsid w:val="000052FB"/>
    <w:rsid w:val="00007401"/>
    <w:rsid w:val="00013B15"/>
    <w:rsid w:val="00014476"/>
    <w:rsid w:val="00015493"/>
    <w:rsid w:val="00020698"/>
    <w:rsid w:val="00024297"/>
    <w:rsid w:val="00024FCF"/>
    <w:rsid w:val="00026F6F"/>
    <w:rsid w:val="000319E4"/>
    <w:rsid w:val="000326A6"/>
    <w:rsid w:val="00034D2D"/>
    <w:rsid w:val="00036163"/>
    <w:rsid w:val="000449F0"/>
    <w:rsid w:val="000479B4"/>
    <w:rsid w:val="0005036E"/>
    <w:rsid w:val="00050B3D"/>
    <w:rsid w:val="00054174"/>
    <w:rsid w:val="00085B9D"/>
    <w:rsid w:val="00087FF2"/>
    <w:rsid w:val="000931FC"/>
    <w:rsid w:val="00094DF0"/>
    <w:rsid w:val="000970C3"/>
    <w:rsid w:val="00097CB6"/>
    <w:rsid w:val="000A2242"/>
    <w:rsid w:val="000B3526"/>
    <w:rsid w:val="000B4551"/>
    <w:rsid w:val="000C0F1D"/>
    <w:rsid w:val="000C2E08"/>
    <w:rsid w:val="000C2E4E"/>
    <w:rsid w:val="000C4D00"/>
    <w:rsid w:val="000D471E"/>
    <w:rsid w:val="000D4AAC"/>
    <w:rsid w:val="000D64BE"/>
    <w:rsid w:val="000D6F67"/>
    <w:rsid w:val="000E1323"/>
    <w:rsid w:val="000E639F"/>
    <w:rsid w:val="000E75B0"/>
    <w:rsid w:val="000F3B52"/>
    <w:rsid w:val="001003A6"/>
    <w:rsid w:val="001130F2"/>
    <w:rsid w:val="0011684B"/>
    <w:rsid w:val="00116EC3"/>
    <w:rsid w:val="00121203"/>
    <w:rsid w:val="00123894"/>
    <w:rsid w:val="00131236"/>
    <w:rsid w:val="00134021"/>
    <w:rsid w:val="00134B9A"/>
    <w:rsid w:val="0013696D"/>
    <w:rsid w:val="00137FF5"/>
    <w:rsid w:val="00143BC2"/>
    <w:rsid w:val="001444ED"/>
    <w:rsid w:val="001479B8"/>
    <w:rsid w:val="001603A9"/>
    <w:rsid w:val="001610D1"/>
    <w:rsid w:val="00167461"/>
    <w:rsid w:val="0018086A"/>
    <w:rsid w:val="001879AA"/>
    <w:rsid w:val="001951E5"/>
    <w:rsid w:val="001A2976"/>
    <w:rsid w:val="001A2DA2"/>
    <w:rsid w:val="001A4FFE"/>
    <w:rsid w:val="001A52DE"/>
    <w:rsid w:val="001B0434"/>
    <w:rsid w:val="001B7143"/>
    <w:rsid w:val="001B727E"/>
    <w:rsid w:val="001C3DC9"/>
    <w:rsid w:val="001D13E9"/>
    <w:rsid w:val="001D232C"/>
    <w:rsid w:val="001D45FB"/>
    <w:rsid w:val="001D629F"/>
    <w:rsid w:val="001E17DF"/>
    <w:rsid w:val="001E46BF"/>
    <w:rsid w:val="001F1EA4"/>
    <w:rsid w:val="002036A9"/>
    <w:rsid w:val="00205139"/>
    <w:rsid w:val="00211D5E"/>
    <w:rsid w:val="00212898"/>
    <w:rsid w:val="00215C0F"/>
    <w:rsid w:val="002241D9"/>
    <w:rsid w:val="002247EC"/>
    <w:rsid w:val="002277A3"/>
    <w:rsid w:val="00233D8E"/>
    <w:rsid w:val="002401B9"/>
    <w:rsid w:val="002406FA"/>
    <w:rsid w:val="00260B62"/>
    <w:rsid w:val="00264DC1"/>
    <w:rsid w:val="002668E4"/>
    <w:rsid w:val="00270E01"/>
    <w:rsid w:val="0027615C"/>
    <w:rsid w:val="002779D5"/>
    <w:rsid w:val="00282FE8"/>
    <w:rsid w:val="00284822"/>
    <w:rsid w:val="00291EEC"/>
    <w:rsid w:val="00293279"/>
    <w:rsid w:val="0029522A"/>
    <w:rsid w:val="002A2E72"/>
    <w:rsid w:val="002A576F"/>
    <w:rsid w:val="002B1476"/>
    <w:rsid w:val="002B16B1"/>
    <w:rsid w:val="002B234E"/>
    <w:rsid w:val="002B7992"/>
    <w:rsid w:val="002C29C1"/>
    <w:rsid w:val="002D45FD"/>
    <w:rsid w:val="002D72E5"/>
    <w:rsid w:val="002E20F5"/>
    <w:rsid w:val="002E7310"/>
    <w:rsid w:val="002F6DE4"/>
    <w:rsid w:val="002F7FC1"/>
    <w:rsid w:val="00300732"/>
    <w:rsid w:val="003036C9"/>
    <w:rsid w:val="003068B4"/>
    <w:rsid w:val="0030789E"/>
    <w:rsid w:val="00307968"/>
    <w:rsid w:val="003101B6"/>
    <w:rsid w:val="003116AA"/>
    <w:rsid w:val="003153D4"/>
    <w:rsid w:val="00315DDC"/>
    <w:rsid w:val="00317A34"/>
    <w:rsid w:val="003200A5"/>
    <w:rsid w:val="003205C2"/>
    <w:rsid w:val="00321793"/>
    <w:rsid w:val="00333365"/>
    <w:rsid w:val="00333910"/>
    <w:rsid w:val="003350EB"/>
    <w:rsid w:val="00341FD4"/>
    <w:rsid w:val="00344D2A"/>
    <w:rsid w:val="00347CC6"/>
    <w:rsid w:val="00356DAB"/>
    <w:rsid w:val="003600AD"/>
    <w:rsid w:val="00385710"/>
    <w:rsid w:val="00397711"/>
    <w:rsid w:val="003A431F"/>
    <w:rsid w:val="003A47A1"/>
    <w:rsid w:val="003A514C"/>
    <w:rsid w:val="003C140E"/>
    <w:rsid w:val="003C1CF2"/>
    <w:rsid w:val="003C4122"/>
    <w:rsid w:val="003C51F3"/>
    <w:rsid w:val="003D1F7D"/>
    <w:rsid w:val="003E2700"/>
    <w:rsid w:val="003E422F"/>
    <w:rsid w:val="003F3D52"/>
    <w:rsid w:val="003F4A4C"/>
    <w:rsid w:val="0040260A"/>
    <w:rsid w:val="00404896"/>
    <w:rsid w:val="00412950"/>
    <w:rsid w:val="004148B2"/>
    <w:rsid w:val="0041791B"/>
    <w:rsid w:val="00425E4C"/>
    <w:rsid w:val="00425F7D"/>
    <w:rsid w:val="0043075A"/>
    <w:rsid w:val="00431504"/>
    <w:rsid w:val="00434C5D"/>
    <w:rsid w:val="004369BA"/>
    <w:rsid w:val="00437EA4"/>
    <w:rsid w:val="00440721"/>
    <w:rsid w:val="0044120F"/>
    <w:rsid w:val="004518D7"/>
    <w:rsid w:val="00451A0A"/>
    <w:rsid w:val="004528C9"/>
    <w:rsid w:val="004570D0"/>
    <w:rsid w:val="00465A42"/>
    <w:rsid w:val="00471C12"/>
    <w:rsid w:val="0047298C"/>
    <w:rsid w:val="004759BB"/>
    <w:rsid w:val="00482431"/>
    <w:rsid w:val="0048437A"/>
    <w:rsid w:val="00486CB0"/>
    <w:rsid w:val="00492147"/>
    <w:rsid w:val="00493872"/>
    <w:rsid w:val="004949E9"/>
    <w:rsid w:val="00494E56"/>
    <w:rsid w:val="004956EE"/>
    <w:rsid w:val="00497C75"/>
    <w:rsid w:val="004B5AB3"/>
    <w:rsid w:val="004C404C"/>
    <w:rsid w:val="004C6E6E"/>
    <w:rsid w:val="004E0BA3"/>
    <w:rsid w:val="004E38DE"/>
    <w:rsid w:val="004E4501"/>
    <w:rsid w:val="004F60D9"/>
    <w:rsid w:val="004F6833"/>
    <w:rsid w:val="00504660"/>
    <w:rsid w:val="00507371"/>
    <w:rsid w:val="005142EF"/>
    <w:rsid w:val="0052013C"/>
    <w:rsid w:val="00521DF3"/>
    <w:rsid w:val="00527E12"/>
    <w:rsid w:val="00535E2F"/>
    <w:rsid w:val="005434C0"/>
    <w:rsid w:val="00553E51"/>
    <w:rsid w:val="00554757"/>
    <w:rsid w:val="005562C4"/>
    <w:rsid w:val="00560C83"/>
    <w:rsid w:val="00561F19"/>
    <w:rsid w:val="00564684"/>
    <w:rsid w:val="0056649E"/>
    <w:rsid w:val="00567D28"/>
    <w:rsid w:val="00575F9E"/>
    <w:rsid w:val="005769B7"/>
    <w:rsid w:val="005959DF"/>
    <w:rsid w:val="00595E3F"/>
    <w:rsid w:val="005A3A1E"/>
    <w:rsid w:val="005A4788"/>
    <w:rsid w:val="005B0F31"/>
    <w:rsid w:val="005B51A3"/>
    <w:rsid w:val="005B64FE"/>
    <w:rsid w:val="005D486D"/>
    <w:rsid w:val="005E0394"/>
    <w:rsid w:val="005E2760"/>
    <w:rsid w:val="005E312F"/>
    <w:rsid w:val="005E4028"/>
    <w:rsid w:val="005F7D6D"/>
    <w:rsid w:val="00600B57"/>
    <w:rsid w:val="00604BC3"/>
    <w:rsid w:val="00606B8A"/>
    <w:rsid w:val="00607300"/>
    <w:rsid w:val="00610952"/>
    <w:rsid w:val="006111BE"/>
    <w:rsid w:val="00616762"/>
    <w:rsid w:val="00626D14"/>
    <w:rsid w:val="00626E3B"/>
    <w:rsid w:val="006271A7"/>
    <w:rsid w:val="00634A04"/>
    <w:rsid w:val="00636046"/>
    <w:rsid w:val="006403F1"/>
    <w:rsid w:val="0064324A"/>
    <w:rsid w:val="006549DB"/>
    <w:rsid w:val="00664CFF"/>
    <w:rsid w:val="00665313"/>
    <w:rsid w:val="006674CB"/>
    <w:rsid w:val="006715CE"/>
    <w:rsid w:val="006758E9"/>
    <w:rsid w:val="00684B1F"/>
    <w:rsid w:val="0069013A"/>
    <w:rsid w:val="006A21B0"/>
    <w:rsid w:val="006A5155"/>
    <w:rsid w:val="006B009C"/>
    <w:rsid w:val="006B29D7"/>
    <w:rsid w:val="006B499D"/>
    <w:rsid w:val="006B6A46"/>
    <w:rsid w:val="006C0BD0"/>
    <w:rsid w:val="006C3E83"/>
    <w:rsid w:val="006D12DD"/>
    <w:rsid w:val="006E368B"/>
    <w:rsid w:val="006E56F8"/>
    <w:rsid w:val="006E5763"/>
    <w:rsid w:val="006F324E"/>
    <w:rsid w:val="00701D83"/>
    <w:rsid w:val="00703B0A"/>
    <w:rsid w:val="0071090C"/>
    <w:rsid w:val="00714366"/>
    <w:rsid w:val="007228AC"/>
    <w:rsid w:val="007307B8"/>
    <w:rsid w:val="00730988"/>
    <w:rsid w:val="00735E29"/>
    <w:rsid w:val="00736193"/>
    <w:rsid w:val="00744546"/>
    <w:rsid w:val="00745F3A"/>
    <w:rsid w:val="007507C0"/>
    <w:rsid w:val="00757FC1"/>
    <w:rsid w:val="0076240A"/>
    <w:rsid w:val="00774023"/>
    <w:rsid w:val="007870C5"/>
    <w:rsid w:val="00796D8D"/>
    <w:rsid w:val="007A0FEF"/>
    <w:rsid w:val="007B0320"/>
    <w:rsid w:val="007B1A2B"/>
    <w:rsid w:val="007B50A5"/>
    <w:rsid w:val="007B7C7B"/>
    <w:rsid w:val="007B7ED0"/>
    <w:rsid w:val="007C05DA"/>
    <w:rsid w:val="007C3F90"/>
    <w:rsid w:val="007C42CC"/>
    <w:rsid w:val="007C56F4"/>
    <w:rsid w:val="007D149F"/>
    <w:rsid w:val="007D6147"/>
    <w:rsid w:val="007E6E53"/>
    <w:rsid w:val="007F0B51"/>
    <w:rsid w:val="007F4758"/>
    <w:rsid w:val="00811B5F"/>
    <w:rsid w:val="00812681"/>
    <w:rsid w:val="008209A0"/>
    <w:rsid w:val="00822A2F"/>
    <w:rsid w:val="00843C4C"/>
    <w:rsid w:val="00843EFF"/>
    <w:rsid w:val="00845A62"/>
    <w:rsid w:val="00846DCE"/>
    <w:rsid w:val="00847602"/>
    <w:rsid w:val="00850472"/>
    <w:rsid w:val="00850A5D"/>
    <w:rsid w:val="008528B1"/>
    <w:rsid w:val="0085425A"/>
    <w:rsid w:val="0086560A"/>
    <w:rsid w:val="00865DAD"/>
    <w:rsid w:val="00871912"/>
    <w:rsid w:val="00874E42"/>
    <w:rsid w:val="008808EB"/>
    <w:rsid w:val="008862F4"/>
    <w:rsid w:val="0088680E"/>
    <w:rsid w:val="008871EB"/>
    <w:rsid w:val="00894A6F"/>
    <w:rsid w:val="00897632"/>
    <w:rsid w:val="008A37FE"/>
    <w:rsid w:val="008A3A47"/>
    <w:rsid w:val="008A3C71"/>
    <w:rsid w:val="008B0607"/>
    <w:rsid w:val="008B4D12"/>
    <w:rsid w:val="008B669C"/>
    <w:rsid w:val="008B77E0"/>
    <w:rsid w:val="008B78EF"/>
    <w:rsid w:val="008C2BA7"/>
    <w:rsid w:val="008D06BD"/>
    <w:rsid w:val="008D121B"/>
    <w:rsid w:val="008D1EAC"/>
    <w:rsid w:val="008D56AB"/>
    <w:rsid w:val="008D580D"/>
    <w:rsid w:val="008D7A07"/>
    <w:rsid w:val="008E6D16"/>
    <w:rsid w:val="008F1EFA"/>
    <w:rsid w:val="008F2908"/>
    <w:rsid w:val="008F3E4A"/>
    <w:rsid w:val="008F6128"/>
    <w:rsid w:val="008F7E5A"/>
    <w:rsid w:val="00900551"/>
    <w:rsid w:val="0090751B"/>
    <w:rsid w:val="00907590"/>
    <w:rsid w:val="00912FD2"/>
    <w:rsid w:val="0091469D"/>
    <w:rsid w:val="00917C29"/>
    <w:rsid w:val="00920459"/>
    <w:rsid w:val="00920A18"/>
    <w:rsid w:val="0092240D"/>
    <w:rsid w:val="00923594"/>
    <w:rsid w:val="00923E21"/>
    <w:rsid w:val="00926AF0"/>
    <w:rsid w:val="0092770A"/>
    <w:rsid w:val="009277FC"/>
    <w:rsid w:val="00932D89"/>
    <w:rsid w:val="00934657"/>
    <w:rsid w:val="00934EE0"/>
    <w:rsid w:val="00935862"/>
    <w:rsid w:val="00937431"/>
    <w:rsid w:val="0093787C"/>
    <w:rsid w:val="00950420"/>
    <w:rsid w:val="00955802"/>
    <w:rsid w:val="00955DBE"/>
    <w:rsid w:val="0096151B"/>
    <w:rsid w:val="009647D4"/>
    <w:rsid w:val="009667C3"/>
    <w:rsid w:val="00972807"/>
    <w:rsid w:val="009729AD"/>
    <w:rsid w:val="00974A2D"/>
    <w:rsid w:val="0098021A"/>
    <w:rsid w:val="00982CD2"/>
    <w:rsid w:val="009831F7"/>
    <w:rsid w:val="0098693D"/>
    <w:rsid w:val="00987981"/>
    <w:rsid w:val="009918F5"/>
    <w:rsid w:val="00991B67"/>
    <w:rsid w:val="009A5AEE"/>
    <w:rsid w:val="009A6D7A"/>
    <w:rsid w:val="009B4DE8"/>
    <w:rsid w:val="009B745A"/>
    <w:rsid w:val="009C1525"/>
    <w:rsid w:val="009C658B"/>
    <w:rsid w:val="009C6B04"/>
    <w:rsid w:val="009D262C"/>
    <w:rsid w:val="009D7522"/>
    <w:rsid w:val="009E00DF"/>
    <w:rsid w:val="009E32F8"/>
    <w:rsid w:val="009E47F5"/>
    <w:rsid w:val="009F0297"/>
    <w:rsid w:val="009F1479"/>
    <w:rsid w:val="009F2934"/>
    <w:rsid w:val="009F389C"/>
    <w:rsid w:val="009F4F47"/>
    <w:rsid w:val="00A13B0D"/>
    <w:rsid w:val="00A161A9"/>
    <w:rsid w:val="00A20F75"/>
    <w:rsid w:val="00A2185A"/>
    <w:rsid w:val="00A22667"/>
    <w:rsid w:val="00A2751F"/>
    <w:rsid w:val="00A3159E"/>
    <w:rsid w:val="00A4000E"/>
    <w:rsid w:val="00A4455B"/>
    <w:rsid w:val="00A60AA1"/>
    <w:rsid w:val="00A61B05"/>
    <w:rsid w:val="00A62C05"/>
    <w:rsid w:val="00A65B2E"/>
    <w:rsid w:val="00A675E2"/>
    <w:rsid w:val="00A708DE"/>
    <w:rsid w:val="00A7368F"/>
    <w:rsid w:val="00A7429D"/>
    <w:rsid w:val="00A7507D"/>
    <w:rsid w:val="00A81CBE"/>
    <w:rsid w:val="00A84339"/>
    <w:rsid w:val="00A97AEC"/>
    <w:rsid w:val="00AA1D2D"/>
    <w:rsid w:val="00AA1E6C"/>
    <w:rsid w:val="00AA3BD7"/>
    <w:rsid w:val="00AB0E01"/>
    <w:rsid w:val="00AB16E7"/>
    <w:rsid w:val="00AB5327"/>
    <w:rsid w:val="00AB728F"/>
    <w:rsid w:val="00AB7599"/>
    <w:rsid w:val="00AC7A86"/>
    <w:rsid w:val="00AD0D5E"/>
    <w:rsid w:val="00AD305F"/>
    <w:rsid w:val="00AD3A54"/>
    <w:rsid w:val="00AE34C6"/>
    <w:rsid w:val="00AE36F5"/>
    <w:rsid w:val="00AE529F"/>
    <w:rsid w:val="00AE5FF0"/>
    <w:rsid w:val="00AF171E"/>
    <w:rsid w:val="00AF18C7"/>
    <w:rsid w:val="00AF53F8"/>
    <w:rsid w:val="00B027CD"/>
    <w:rsid w:val="00B05B8E"/>
    <w:rsid w:val="00B06A2F"/>
    <w:rsid w:val="00B07429"/>
    <w:rsid w:val="00B10A3A"/>
    <w:rsid w:val="00B10AB3"/>
    <w:rsid w:val="00B15462"/>
    <w:rsid w:val="00B24880"/>
    <w:rsid w:val="00B31640"/>
    <w:rsid w:val="00B31A9B"/>
    <w:rsid w:val="00B3558E"/>
    <w:rsid w:val="00B413C3"/>
    <w:rsid w:val="00B43559"/>
    <w:rsid w:val="00B437B4"/>
    <w:rsid w:val="00B44F29"/>
    <w:rsid w:val="00B66BDF"/>
    <w:rsid w:val="00B7303A"/>
    <w:rsid w:val="00B75456"/>
    <w:rsid w:val="00B81DB9"/>
    <w:rsid w:val="00B83631"/>
    <w:rsid w:val="00B847D2"/>
    <w:rsid w:val="00B85895"/>
    <w:rsid w:val="00B86BA0"/>
    <w:rsid w:val="00B90EEB"/>
    <w:rsid w:val="00BA03EF"/>
    <w:rsid w:val="00BA0628"/>
    <w:rsid w:val="00BA2C99"/>
    <w:rsid w:val="00BB4F9A"/>
    <w:rsid w:val="00BB52CD"/>
    <w:rsid w:val="00BC4BE3"/>
    <w:rsid w:val="00BC4CE1"/>
    <w:rsid w:val="00BC51B8"/>
    <w:rsid w:val="00BC6804"/>
    <w:rsid w:val="00BD1DCF"/>
    <w:rsid w:val="00BD3F50"/>
    <w:rsid w:val="00BD4058"/>
    <w:rsid w:val="00BD65FF"/>
    <w:rsid w:val="00BE1A50"/>
    <w:rsid w:val="00BE75D9"/>
    <w:rsid w:val="00BF0588"/>
    <w:rsid w:val="00C01551"/>
    <w:rsid w:val="00C04568"/>
    <w:rsid w:val="00C070DA"/>
    <w:rsid w:val="00C0757B"/>
    <w:rsid w:val="00C102FC"/>
    <w:rsid w:val="00C16726"/>
    <w:rsid w:val="00C22166"/>
    <w:rsid w:val="00C27F6C"/>
    <w:rsid w:val="00C349C2"/>
    <w:rsid w:val="00C34B85"/>
    <w:rsid w:val="00C4196E"/>
    <w:rsid w:val="00C444BA"/>
    <w:rsid w:val="00C47615"/>
    <w:rsid w:val="00C47FB2"/>
    <w:rsid w:val="00C52ABF"/>
    <w:rsid w:val="00C63DEF"/>
    <w:rsid w:val="00C75132"/>
    <w:rsid w:val="00C76F24"/>
    <w:rsid w:val="00C85D6C"/>
    <w:rsid w:val="00C87D10"/>
    <w:rsid w:val="00CA1468"/>
    <w:rsid w:val="00CA1BFF"/>
    <w:rsid w:val="00CB474F"/>
    <w:rsid w:val="00CC215E"/>
    <w:rsid w:val="00CC49C2"/>
    <w:rsid w:val="00CC688D"/>
    <w:rsid w:val="00CC7000"/>
    <w:rsid w:val="00CD09D6"/>
    <w:rsid w:val="00CE0C0D"/>
    <w:rsid w:val="00CE389C"/>
    <w:rsid w:val="00CE5F93"/>
    <w:rsid w:val="00CE6AE0"/>
    <w:rsid w:val="00CF362F"/>
    <w:rsid w:val="00CF3B3C"/>
    <w:rsid w:val="00CF4403"/>
    <w:rsid w:val="00D047E2"/>
    <w:rsid w:val="00D226CB"/>
    <w:rsid w:val="00D24354"/>
    <w:rsid w:val="00D259B7"/>
    <w:rsid w:val="00D27AEE"/>
    <w:rsid w:val="00D33F53"/>
    <w:rsid w:val="00D42DD4"/>
    <w:rsid w:val="00D4629E"/>
    <w:rsid w:val="00D51C05"/>
    <w:rsid w:val="00D54E1B"/>
    <w:rsid w:val="00D57F9A"/>
    <w:rsid w:val="00D6023F"/>
    <w:rsid w:val="00D7045D"/>
    <w:rsid w:val="00D7256B"/>
    <w:rsid w:val="00D73689"/>
    <w:rsid w:val="00D773CA"/>
    <w:rsid w:val="00D84FCA"/>
    <w:rsid w:val="00D910FF"/>
    <w:rsid w:val="00D91204"/>
    <w:rsid w:val="00D964B6"/>
    <w:rsid w:val="00DA6873"/>
    <w:rsid w:val="00DB2489"/>
    <w:rsid w:val="00DB41D4"/>
    <w:rsid w:val="00DB530E"/>
    <w:rsid w:val="00DB7DF1"/>
    <w:rsid w:val="00DC4E79"/>
    <w:rsid w:val="00DD3B54"/>
    <w:rsid w:val="00DD3EDF"/>
    <w:rsid w:val="00DE6DAF"/>
    <w:rsid w:val="00DF0222"/>
    <w:rsid w:val="00DF32FA"/>
    <w:rsid w:val="00DF3DC1"/>
    <w:rsid w:val="00E01C93"/>
    <w:rsid w:val="00E05FD6"/>
    <w:rsid w:val="00E17F4C"/>
    <w:rsid w:val="00E2406D"/>
    <w:rsid w:val="00E30D35"/>
    <w:rsid w:val="00E32447"/>
    <w:rsid w:val="00E3468B"/>
    <w:rsid w:val="00E37154"/>
    <w:rsid w:val="00E4091F"/>
    <w:rsid w:val="00E41DAD"/>
    <w:rsid w:val="00E513B6"/>
    <w:rsid w:val="00E51DC3"/>
    <w:rsid w:val="00E62389"/>
    <w:rsid w:val="00E65832"/>
    <w:rsid w:val="00E7376B"/>
    <w:rsid w:val="00E74FAE"/>
    <w:rsid w:val="00E77CF3"/>
    <w:rsid w:val="00E95ADD"/>
    <w:rsid w:val="00E9632C"/>
    <w:rsid w:val="00E96BD1"/>
    <w:rsid w:val="00EA0C09"/>
    <w:rsid w:val="00EA4F69"/>
    <w:rsid w:val="00EB1143"/>
    <w:rsid w:val="00EB731F"/>
    <w:rsid w:val="00EC0E7A"/>
    <w:rsid w:val="00EC5AE3"/>
    <w:rsid w:val="00ED2860"/>
    <w:rsid w:val="00ED3D57"/>
    <w:rsid w:val="00ED4406"/>
    <w:rsid w:val="00EE3AAF"/>
    <w:rsid w:val="00EE505C"/>
    <w:rsid w:val="00EE666D"/>
    <w:rsid w:val="00EF06EE"/>
    <w:rsid w:val="00EF157F"/>
    <w:rsid w:val="00EF4B86"/>
    <w:rsid w:val="00F02CE4"/>
    <w:rsid w:val="00F0559B"/>
    <w:rsid w:val="00F06DD8"/>
    <w:rsid w:val="00F07AAC"/>
    <w:rsid w:val="00F10172"/>
    <w:rsid w:val="00F14001"/>
    <w:rsid w:val="00F14DA5"/>
    <w:rsid w:val="00F16902"/>
    <w:rsid w:val="00F16C32"/>
    <w:rsid w:val="00F24D37"/>
    <w:rsid w:val="00F26B8B"/>
    <w:rsid w:val="00F368B9"/>
    <w:rsid w:val="00F41E3F"/>
    <w:rsid w:val="00F43A91"/>
    <w:rsid w:val="00F50197"/>
    <w:rsid w:val="00F56B49"/>
    <w:rsid w:val="00F72D1F"/>
    <w:rsid w:val="00F73918"/>
    <w:rsid w:val="00F82D21"/>
    <w:rsid w:val="00F85060"/>
    <w:rsid w:val="00F86EC3"/>
    <w:rsid w:val="00F86F09"/>
    <w:rsid w:val="00F90F36"/>
    <w:rsid w:val="00F95ABF"/>
    <w:rsid w:val="00F95B7E"/>
    <w:rsid w:val="00F96A82"/>
    <w:rsid w:val="00FA0F91"/>
    <w:rsid w:val="00FB2F13"/>
    <w:rsid w:val="00FB585D"/>
    <w:rsid w:val="00FB77EC"/>
    <w:rsid w:val="00FC5880"/>
    <w:rsid w:val="00FC6F73"/>
    <w:rsid w:val="00FD05CF"/>
    <w:rsid w:val="00FD35D1"/>
    <w:rsid w:val="00FD5B92"/>
    <w:rsid w:val="00FD75E9"/>
    <w:rsid w:val="00FE4856"/>
    <w:rsid w:val="00FE636D"/>
    <w:rsid w:val="00FF272C"/>
    <w:rsid w:val="00FF31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B4149"/>
  <w15:docId w15:val="{B94555D2-1561-41AD-9EB7-973FDE7A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51"/>
    <w:rPr>
      <w:sz w:val="24"/>
      <w:szCs w:val="24"/>
    </w:rPr>
  </w:style>
  <w:style w:type="paragraph" w:styleId="Heading4">
    <w:name w:val="heading 4"/>
    <w:basedOn w:val="Normal"/>
    <w:next w:val="Normal"/>
    <w:qFormat/>
    <w:rsid w:val="00C01551"/>
    <w:pPr>
      <w:keepNext/>
      <w:jc w:val="center"/>
      <w:outlineLvl w:val="3"/>
    </w:pPr>
    <w:rPr>
      <w:rFonts w:eastAsia="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01551"/>
    <w:pPr>
      <w:tabs>
        <w:tab w:val="center" w:pos="4153"/>
        <w:tab w:val="right" w:pos="8306"/>
      </w:tabs>
    </w:pPr>
  </w:style>
  <w:style w:type="character" w:styleId="PageNumber">
    <w:name w:val="page number"/>
    <w:basedOn w:val="DefaultParagraphFont"/>
    <w:semiHidden/>
    <w:rsid w:val="00C01551"/>
  </w:style>
  <w:style w:type="paragraph" w:customStyle="1" w:styleId="naisf">
    <w:name w:val="naisf"/>
    <w:basedOn w:val="Normal"/>
    <w:rsid w:val="00C01551"/>
    <w:pPr>
      <w:spacing w:before="75" w:after="75"/>
      <w:ind w:firstLine="375"/>
      <w:jc w:val="both"/>
    </w:pPr>
  </w:style>
  <w:style w:type="paragraph" w:customStyle="1" w:styleId="naisnod">
    <w:name w:val="naisnod"/>
    <w:basedOn w:val="Normal"/>
    <w:rsid w:val="00C01551"/>
    <w:pPr>
      <w:spacing w:before="150" w:after="150"/>
      <w:jc w:val="center"/>
    </w:pPr>
    <w:rPr>
      <w:b/>
      <w:bCs/>
    </w:rPr>
  </w:style>
  <w:style w:type="paragraph" w:customStyle="1" w:styleId="naislab">
    <w:name w:val="naislab"/>
    <w:basedOn w:val="Normal"/>
    <w:rsid w:val="00C01551"/>
    <w:pPr>
      <w:spacing w:before="75" w:after="75"/>
      <w:jc w:val="right"/>
    </w:pPr>
  </w:style>
  <w:style w:type="paragraph" w:customStyle="1" w:styleId="naiskr">
    <w:name w:val="naiskr"/>
    <w:basedOn w:val="Normal"/>
    <w:rsid w:val="00C01551"/>
    <w:pPr>
      <w:spacing w:before="75" w:after="75"/>
    </w:pPr>
  </w:style>
  <w:style w:type="paragraph" w:customStyle="1" w:styleId="naisc">
    <w:name w:val="naisc"/>
    <w:basedOn w:val="Normal"/>
    <w:rsid w:val="00C01551"/>
    <w:pPr>
      <w:spacing w:before="75" w:after="75"/>
      <w:jc w:val="center"/>
    </w:pPr>
  </w:style>
  <w:style w:type="character" w:customStyle="1" w:styleId="th1">
    <w:name w:val="th1"/>
    <w:rsid w:val="00C01551"/>
    <w:rPr>
      <w:b/>
      <w:bCs/>
      <w:color w:val="333333"/>
    </w:rPr>
  </w:style>
  <w:style w:type="character" w:styleId="CommentReference">
    <w:name w:val="annotation reference"/>
    <w:semiHidden/>
    <w:rsid w:val="00C01551"/>
    <w:rPr>
      <w:sz w:val="16"/>
      <w:szCs w:val="16"/>
    </w:rPr>
  </w:style>
  <w:style w:type="paragraph" w:styleId="CommentText">
    <w:name w:val="annotation text"/>
    <w:basedOn w:val="Normal"/>
    <w:semiHidden/>
    <w:rsid w:val="00C01551"/>
    <w:rPr>
      <w:sz w:val="20"/>
      <w:szCs w:val="20"/>
    </w:rPr>
  </w:style>
  <w:style w:type="character" w:customStyle="1" w:styleId="CommentTextChar">
    <w:name w:val="Comment Text Char"/>
    <w:semiHidden/>
    <w:rsid w:val="00C01551"/>
    <w:rPr>
      <w:lang w:val="lv-LV" w:eastAsia="lv-LV" w:bidi="ar-SA"/>
    </w:rPr>
  </w:style>
  <w:style w:type="paragraph" w:styleId="BalloonText">
    <w:name w:val="Balloon Text"/>
    <w:basedOn w:val="Normal"/>
    <w:semiHidden/>
    <w:rsid w:val="00C01551"/>
    <w:rPr>
      <w:rFonts w:ascii="Tahoma" w:hAnsi="Tahoma" w:cs="Tahoma"/>
      <w:sz w:val="16"/>
      <w:szCs w:val="16"/>
    </w:rPr>
  </w:style>
  <w:style w:type="paragraph" w:styleId="BodyTextIndent">
    <w:name w:val="Body Text Indent"/>
    <w:basedOn w:val="Normal"/>
    <w:link w:val="BodyTextIndentChar"/>
    <w:semiHidden/>
    <w:rsid w:val="00C01551"/>
    <w:pPr>
      <w:ind w:firstLine="720"/>
      <w:jc w:val="both"/>
    </w:pPr>
  </w:style>
  <w:style w:type="paragraph" w:styleId="FootnoteText">
    <w:name w:val="footnote text"/>
    <w:basedOn w:val="Normal"/>
    <w:link w:val="FootnoteTextChar"/>
    <w:uiPriority w:val="99"/>
    <w:rsid w:val="00C01551"/>
    <w:rPr>
      <w:sz w:val="20"/>
      <w:szCs w:val="20"/>
    </w:rPr>
  </w:style>
  <w:style w:type="character" w:styleId="FootnoteReference">
    <w:name w:val="footnote reference"/>
    <w:uiPriority w:val="99"/>
    <w:semiHidden/>
    <w:rsid w:val="00C01551"/>
    <w:rPr>
      <w:vertAlign w:val="superscript"/>
    </w:rPr>
  </w:style>
  <w:style w:type="paragraph" w:styleId="CommentSubject">
    <w:name w:val="annotation subject"/>
    <w:basedOn w:val="CommentText"/>
    <w:next w:val="CommentText"/>
    <w:semiHidden/>
    <w:rsid w:val="00C01551"/>
    <w:rPr>
      <w:b/>
      <w:bCs/>
    </w:rPr>
  </w:style>
  <w:style w:type="paragraph" w:styleId="Footer">
    <w:name w:val="footer"/>
    <w:basedOn w:val="Normal"/>
    <w:rsid w:val="00C01551"/>
    <w:pPr>
      <w:tabs>
        <w:tab w:val="center" w:pos="4153"/>
        <w:tab w:val="right" w:pos="8306"/>
      </w:tabs>
    </w:pPr>
  </w:style>
  <w:style w:type="character" w:customStyle="1" w:styleId="FooterChar">
    <w:name w:val="Footer Char"/>
    <w:rsid w:val="00C01551"/>
    <w:rPr>
      <w:sz w:val="24"/>
      <w:szCs w:val="24"/>
      <w:lang w:val="lv-LV" w:eastAsia="lv-LV" w:bidi="ar-SA"/>
    </w:rPr>
  </w:style>
  <w:style w:type="character" w:styleId="Hyperlink">
    <w:name w:val="Hyperlink"/>
    <w:semiHidden/>
    <w:rsid w:val="00C01551"/>
    <w:rPr>
      <w:color w:val="0000FF"/>
      <w:u w:val="single"/>
    </w:rPr>
  </w:style>
  <w:style w:type="paragraph" w:styleId="DocumentMap">
    <w:name w:val="Document Map"/>
    <w:basedOn w:val="Normal"/>
    <w:semiHidden/>
    <w:rsid w:val="00C01551"/>
    <w:pPr>
      <w:shd w:val="clear" w:color="auto" w:fill="000080"/>
    </w:pPr>
    <w:rPr>
      <w:rFonts w:ascii="Tahoma" w:hAnsi="Tahoma" w:cs="Tahoma"/>
      <w:sz w:val="20"/>
      <w:szCs w:val="20"/>
    </w:rPr>
  </w:style>
  <w:style w:type="paragraph" w:styleId="NormalWeb">
    <w:name w:val="Normal (Web)"/>
    <w:basedOn w:val="Normal"/>
    <w:semiHidden/>
    <w:rsid w:val="00C01551"/>
    <w:pPr>
      <w:spacing w:before="100" w:beforeAutospacing="1" w:after="100" w:afterAutospacing="1"/>
    </w:pPr>
  </w:style>
  <w:style w:type="character" w:customStyle="1" w:styleId="HeaderChar">
    <w:name w:val="Header Char"/>
    <w:locked/>
    <w:rsid w:val="00C01551"/>
    <w:rPr>
      <w:sz w:val="24"/>
      <w:szCs w:val="24"/>
    </w:rPr>
  </w:style>
  <w:style w:type="character" w:styleId="Strong">
    <w:name w:val="Strong"/>
    <w:qFormat/>
    <w:rsid w:val="00C01551"/>
    <w:rPr>
      <w:rFonts w:cs="Times New Roman"/>
      <w:b/>
      <w:bCs/>
    </w:rPr>
  </w:style>
  <w:style w:type="character" w:customStyle="1" w:styleId="Heading4Char">
    <w:name w:val="Heading 4 Char"/>
    <w:rsid w:val="00C01551"/>
    <w:rPr>
      <w:rFonts w:eastAsia="Calibri"/>
      <w:b/>
      <w:bCs/>
      <w:sz w:val="28"/>
      <w:szCs w:val="28"/>
      <w:lang w:eastAsia="en-US"/>
    </w:rPr>
  </w:style>
  <w:style w:type="paragraph" w:styleId="BodyText3">
    <w:name w:val="Body Text 3"/>
    <w:basedOn w:val="Normal"/>
    <w:semiHidden/>
    <w:rsid w:val="00C01551"/>
    <w:pPr>
      <w:spacing w:after="120"/>
    </w:pPr>
    <w:rPr>
      <w:sz w:val="16"/>
      <w:szCs w:val="16"/>
      <w:lang w:val="en-GB" w:eastAsia="en-US"/>
    </w:rPr>
  </w:style>
  <w:style w:type="character" w:customStyle="1" w:styleId="BodyText3Char">
    <w:name w:val="Body Text 3 Char"/>
    <w:rsid w:val="00C01551"/>
    <w:rPr>
      <w:sz w:val="16"/>
      <w:szCs w:val="16"/>
      <w:lang w:val="en-GB" w:eastAsia="en-US"/>
    </w:rPr>
  </w:style>
  <w:style w:type="character" w:customStyle="1" w:styleId="spelle">
    <w:name w:val="spelle"/>
    <w:basedOn w:val="DefaultParagraphFont"/>
    <w:rsid w:val="00C01551"/>
  </w:style>
  <w:style w:type="paragraph" w:styleId="BodyText2">
    <w:name w:val="Body Text 2"/>
    <w:basedOn w:val="Normal"/>
    <w:semiHidden/>
    <w:rsid w:val="00C01551"/>
    <w:pPr>
      <w:spacing w:after="120" w:line="480" w:lineRule="auto"/>
    </w:pPr>
  </w:style>
  <w:style w:type="paragraph" w:customStyle="1" w:styleId="CharCharRakstzRakstzCharCharRakstzRakstz">
    <w:name w:val="Char Char Rakstz. Rakstz. Char Char Rakstz. Rakstz."/>
    <w:basedOn w:val="Normal"/>
    <w:autoRedefine/>
    <w:rsid w:val="00C01551"/>
    <w:pPr>
      <w:spacing w:before="40"/>
    </w:pPr>
    <w:rPr>
      <w:lang w:val="pl-PL" w:eastAsia="pl-PL"/>
    </w:rPr>
  </w:style>
  <w:style w:type="paragraph" w:styleId="NoSpacing">
    <w:name w:val="No Spacing"/>
    <w:qFormat/>
    <w:rsid w:val="00C01551"/>
    <w:rPr>
      <w:rFonts w:ascii="Calibri" w:hAnsi="Calibri"/>
      <w:sz w:val="22"/>
      <w:szCs w:val="22"/>
      <w:lang w:val="en-US" w:eastAsia="en-US"/>
    </w:rPr>
  </w:style>
  <w:style w:type="character" w:customStyle="1" w:styleId="NormalWebChar">
    <w:name w:val="Normal (Web) Char"/>
    <w:locked/>
    <w:rsid w:val="00C01551"/>
    <w:rPr>
      <w:sz w:val="24"/>
      <w:szCs w:val="24"/>
      <w:lang w:val="lv-LV" w:eastAsia="lv-LV" w:bidi="ar-SA"/>
    </w:rPr>
  </w:style>
  <w:style w:type="paragraph" w:styleId="BodyTextIndent2">
    <w:name w:val="Body Text Indent 2"/>
    <w:basedOn w:val="Normal"/>
    <w:semiHidden/>
    <w:rsid w:val="00C01551"/>
    <w:pPr>
      <w:spacing w:after="120"/>
      <w:ind w:firstLine="432"/>
      <w:jc w:val="both"/>
    </w:pPr>
  </w:style>
  <w:style w:type="paragraph" w:styleId="BodyTextIndent3">
    <w:name w:val="Body Text Indent 3"/>
    <w:basedOn w:val="Normal"/>
    <w:semiHidden/>
    <w:rsid w:val="00C01551"/>
    <w:pPr>
      <w:ind w:firstLine="431"/>
      <w:jc w:val="both"/>
    </w:pPr>
    <w:rPr>
      <w:bCs/>
    </w:rPr>
  </w:style>
  <w:style w:type="paragraph" w:styleId="BodyText">
    <w:name w:val="Body Text"/>
    <w:basedOn w:val="Normal"/>
    <w:link w:val="BodyTextChar"/>
    <w:uiPriority w:val="99"/>
    <w:unhideWhenUsed/>
    <w:rsid w:val="0096151B"/>
    <w:pPr>
      <w:spacing w:after="120"/>
    </w:pPr>
  </w:style>
  <w:style w:type="character" w:customStyle="1" w:styleId="BodyTextChar">
    <w:name w:val="Body Text Char"/>
    <w:link w:val="BodyText"/>
    <w:uiPriority w:val="99"/>
    <w:rsid w:val="0096151B"/>
    <w:rPr>
      <w:sz w:val="24"/>
      <w:szCs w:val="24"/>
    </w:rPr>
  </w:style>
  <w:style w:type="paragraph" w:customStyle="1" w:styleId="Text1">
    <w:name w:val="Text 1"/>
    <w:basedOn w:val="Normal"/>
    <w:rsid w:val="0096151B"/>
    <w:pPr>
      <w:spacing w:before="120" w:after="120"/>
      <w:ind w:left="850"/>
      <w:jc w:val="both"/>
    </w:pPr>
    <w:rPr>
      <w:szCs w:val="20"/>
      <w:lang w:eastAsia="zh-CN"/>
    </w:rPr>
  </w:style>
  <w:style w:type="paragraph" w:customStyle="1" w:styleId="rxvirsraksts">
    <w:name w:val="rx_virsraksts"/>
    <w:basedOn w:val="Normal"/>
    <w:rsid w:val="00987981"/>
    <w:pPr>
      <w:spacing w:before="100" w:beforeAutospacing="1" w:after="100" w:afterAutospacing="1"/>
      <w:jc w:val="both"/>
    </w:pPr>
    <w:rPr>
      <w:color w:val="666666"/>
    </w:rPr>
  </w:style>
  <w:style w:type="character" w:customStyle="1" w:styleId="apple-converted-space">
    <w:name w:val="apple-converted-space"/>
    <w:basedOn w:val="DefaultParagraphFont"/>
    <w:rsid w:val="00987981"/>
  </w:style>
  <w:style w:type="paragraph" w:styleId="Revision">
    <w:name w:val="Revision"/>
    <w:hidden/>
    <w:uiPriority w:val="99"/>
    <w:semiHidden/>
    <w:rsid w:val="005A3A1E"/>
    <w:rPr>
      <w:sz w:val="24"/>
      <w:szCs w:val="24"/>
    </w:rPr>
  </w:style>
  <w:style w:type="paragraph" w:customStyle="1" w:styleId="Mazaisvirsraksts">
    <w:name w:val="Mazais virsraksts"/>
    <w:basedOn w:val="Normal"/>
    <w:rsid w:val="00CE5F93"/>
    <w:pPr>
      <w:spacing w:before="240" w:after="120"/>
    </w:pPr>
    <w:rPr>
      <w:rFonts w:ascii="Teutonica" w:hAnsi="Teutonica"/>
      <w:b/>
      <w:smallCaps/>
      <w:szCs w:val="20"/>
      <w:lang w:eastAsia="en-US"/>
    </w:rPr>
  </w:style>
  <w:style w:type="paragraph" w:customStyle="1" w:styleId="Default">
    <w:name w:val="Default"/>
    <w:rsid w:val="00CE5F93"/>
    <w:pPr>
      <w:autoSpaceDE w:val="0"/>
      <w:autoSpaceDN w:val="0"/>
      <w:adjustRightInd w:val="0"/>
    </w:pPr>
    <w:rPr>
      <w:rFonts w:eastAsia="Calibri"/>
      <w:color w:val="000000"/>
      <w:sz w:val="24"/>
      <w:szCs w:val="24"/>
    </w:rPr>
  </w:style>
  <w:style w:type="paragraph" w:customStyle="1" w:styleId="doc-ti">
    <w:name w:val="doc-ti"/>
    <w:basedOn w:val="Normal"/>
    <w:rsid w:val="00CE5F93"/>
    <w:pPr>
      <w:spacing w:before="100" w:beforeAutospacing="1" w:after="100" w:afterAutospacing="1"/>
    </w:pPr>
  </w:style>
  <w:style w:type="character" w:customStyle="1" w:styleId="FootnoteTextChar">
    <w:name w:val="Footnote Text Char"/>
    <w:basedOn w:val="DefaultParagraphFont"/>
    <w:link w:val="FootnoteText"/>
    <w:uiPriority w:val="99"/>
    <w:rsid w:val="00CE5F93"/>
  </w:style>
  <w:style w:type="character" w:customStyle="1" w:styleId="FootnoteAnchor">
    <w:name w:val="Footnote Anchor"/>
    <w:rsid w:val="00CE5F93"/>
    <w:rPr>
      <w:vertAlign w:val="superscript"/>
    </w:rPr>
  </w:style>
  <w:style w:type="character" w:customStyle="1" w:styleId="InternetLink">
    <w:name w:val="Internet Link"/>
    <w:rsid w:val="00CE5F93"/>
    <w:rPr>
      <w:color w:val="000080"/>
      <w:u w:val="single"/>
    </w:rPr>
  </w:style>
  <w:style w:type="paragraph" w:customStyle="1" w:styleId="Footnote">
    <w:name w:val="Footnote"/>
    <w:basedOn w:val="Normal"/>
    <w:rsid w:val="00CE5F93"/>
    <w:pPr>
      <w:suppressAutoHyphens/>
    </w:pPr>
    <w:rPr>
      <w:sz w:val="20"/>
      <w:szCs w:val="20"/>
      <w:lang w:eastAsia="zh-CN"/>
    </w:rPr>
  </w:style>
  <w:style w:type="character" w:customStyle="1" w:styleId="s6b621b36">
    <w:name w:val="s6b621b36"/>
    <w:basedOn w:val="DefaultParagraphFont"/>
    <w:rsid w:val="00CE5F93"/>
  </w:style>
  <w:style w:type="character" w:customStyle="1" w:styleId="sf6541cea">
    <w:name w:val="sf6541cea"/>
    <w:basedOn w:val="DefaultParagraphFont"/>
    <w:rsid w:val="00CE5F93"/>
  </w:style>
  <w:style w:type="paragraph" w:customStyle="1" w:styleId="TextBody">
    <w:name w:val="Text Body"/>
    <w:basedOn w:val="Normal"/>
    <w:rsid w:val="00CE5F93"/>
    <w:pPr>
      <w:suppressAutoHyphens/>
      <w:spacing w:after="140" w:line="288" w:lineRule="auto"/>
    </w:pPr>
    <w:rPr>
      <w:lang w:eastAsia="zh-CN"/>
    </w:rPr>
  </w:style>
  <w:style w:type="character" w:customStyle="1" w:styleId="textcolumn">
    <w:name w:val="textcolumn"/>
    <w:basedOn w:val="DefaultParagraphFont"/>
    <w:rsid w:val="00CE5F93"/>
  </w:style>
  <w:style w:type="character" w:customStyle="1" w:styleId="summarytext">
    <w:name w:val="summarytext"/>
    <w:basedOn w:val="DefaultParagraphFont"/>
    <w:rsid w:val="00CE5F93"/>
  </w:style>
  <w:style w:type="character" w:customStyle="1" w:styleId="fulltext">
    <w:name w:val="fulltext"/>
    <w:basedOn w:val="DefaultParagraphFont"/>
    <w:rsid w:val="00CE5F93"/>
  </w:style>
  <w:style w:type="paragraph" w:styleId="ListParagraph">
    <w:name w:val="List Paragraph"/>
    <w:basedOn w:val="Normal"/>
    <w:uiPriority w:val="34"/>
    <w:qFormat/>
    <w:rsid w:val="00521DF3"/>
    <w:pPr>
      <w:ind w:left="720"/>
      <w:contextualSpacing/>
    </w:pPr>
  </w:style>
  <w:style w:type="character" w:customStyle="1" w:styleId="BodyTextIndentChar">
    <w:name w:val="Body Text Indent Char"/>
    <w:basedOn w:val="DefaultParagraphFont"/>
    <w:link w:val="BodyTextIndent"/>
    <w:semiHidden/>
    <w:rsid w:val="006B2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3398">
      <w:bodyDiv w:val="1"/>
      <w:marLeft w:val="0"/>
      <w:marRight w:val="0"/>
      <w:marTop w:val="0"/>
      <w:marBottom w:val="0"/>
      <w:divBdr>
        <w:top w:val="none" w:sz="0" w:space="0" w:color="auto"/>
        <w:left w:val="none" w:sz="0" w:space="0" w:color="auto"/>
        <w:bottom w:val="none" w:sz="0" w:space="0" w:color="auto"/>
        <w:right w:val="none" w:sz="0" w:space="0" w:color="auto"/>
      </w:divBdr>
    </w:div>
    <w:div w:id="738290598">
      <w:bodyDiv w:val="1"/>
      <w:marLeft w:val="0"/>
      <w:marRight w:val="0"/>
      <w:marTop w:val="0"/>
      <w:marBottom w:val="0"/>
      <w:divBdr>
        <w:top w:val="none" w:sz="0" w:space="0" w:color="auto"/>
        <w:left w:val="none" w:sz="0" w:space="0" w:color="auto"/>
        <w:bottom w:val="none" w:sz="0" w:space="0" w:color="auto"/>
        <w:right w:val="none" w:sz="0" w:space="0" w:color="auto"/>
      </w:divBdr>
    </w:div>
    <w:div w:id="20928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eul.php?i=8916" TargetMode="External"/><Relationship Id="rId13" Type="http://schemas.openxmlformats.org/officeDocument/2006/relationships/hyperlink" Target="http://www.l2d.lv/l.php?doc_id=7379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2d.lv/l.php?doc_id=737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1732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2d.lv/leul.php?i=849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2d.lv/l.php?doc_id=173270" TargetMode="External"/><Relationship Id="rId14" Type="http://schemas.openxmlformats.org/officeDocument/2006/relationships/hyperlink" Target="http://eur-lex.europa.eu/LexUriServ/LexUriServ.do?uri=CELEX:32004L0025:LV: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A79DC-9E2B-4743-95C8-B7812EA3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15273</Words>
  <Characters>8706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FManot_260116_FITL.docx; Likumprojekta “Grozījumi Finanšu instrumentu tirgus likumā” sākotnējās ietekmes novērtējuma ziņojums (anotācija)</vt:lpstr>
    </vt:vector>
  </TitlesOfParts>
  <Company>FKTK</Company>
  <LinksUpToDate>false</LinksUpToDate>
  <CharactersWithSpaces>23932</CharactersWithSpaces>
  <SharedDoc>false</SharedDoc>
  <HyperlinkBase/>
  <HLinks>
    <vt:vector size="336" baseType="variant">
      <vt:variant>
        <vt:i4>4194344</vt:i4>
      </vt:variant>
      <vt:variant>
        <vt:i4>24</vt:i4>
      </vt:variant>
      <vt:variant>
        <vt:i4>0</vt:i4>
      </vt:variant>
      <vt:variant>
        <vt:i4>5</vt:i4>
      </vt:variant>
      <vt:variant>
        <vt:lpwstr>mailto:laura.tiltina@fktk.lv</vt:lpwstr>
      </vt:variant>
      <vt:variant>
        <vt:lpwstr/>
      </vt:variant>
      <vt:variant>
        <vt:i4>4063269</vt:i4>
      </vt:variant>
      <vt:variant>
        <vt:i4>21</vt:i4>
      </vt:variant>
      <vt:variant>
        <vt:i4>0</vt:i4>
      </vt:variant>
      <vt:variant>
        <vt:i4>5</vt:i4>
      </vt:variant>
      <vt:variant>
        <vt:lpwstr>http://www.esma.europa.eu/documents/overview/10?page=6</vt:lpwstr>
      </vt:variant>
      <vt:variant>
        <vt:lpwstr/>
      </vt:variant>
      <vt:variant>
        <vt:i4>3997808</vt:i4>
      </vt:variant>
      <vt:variant>
        <vt:i4>18</vt:i4>
      </vt:variant>
      <vt:variant>
        <vt:i4>0</vt:i4>
      </vt:variant>
      <vt:variant>
        <vt:i4>5</vt:i4>
      </vt:variant>
      <vt:variant>
        <vt:lpwstr>http://eur-lex.europa.eu/LexUriServ/LexUriServ.do?uri=CELEX:32004L0025:LV:HTML</vt:lpwstr>
      </vt:variant>
      <vt:variant>
        <vt:lpwstr/>
      </vt:variant>
      <vt:variant>
        <vt:i4>7602191</vt:i4>
      </vt:variant>
      <vt:variant>
        <vt:i4>15</vt:i4>
      </vt:variant>
      <vt:variant>
        <vt:i4>0</vt:i4>
      </vt:variant>
      <vt:variant>
        <vt:i4>5</vt:i4>
      </vt:variant>
      <vt:variant>
        <vt:lpwstr>http://www.l2d.lv/l.php?doc_id=73799</vt:lpwstr>
      </vt:variant>
      <vt:variant>
        <vt:lpwstr/>
      </vt:variant>
      <vt:variant>
        <vt:i4>7602191</vt:i4>
      </vt:variant>
      <vt:variant>
        <vt:i4>12</vt:i4>
      </vt:variant>
      <vt:variant>
        <vt:i4>0</vt:i4>
      </vt:variant>
      <vt:variant>
        <vt:i4>5</vt:i4>
      </vt:variant>
      <vt:variant>
        <vt:lpwstr>http://www.l2d.lv/l.php?doc_id=73799</vt:lpwstr>
      </vt:variant>
      <vt:variant>
        <vt:lpwstr/>
      </vt:variant>
      <vt:variant>
        <vt:i4>7864320</vt:i4>
      </vt:variant>
      <vt:variant>
        <vt:i4>9</vt:i4>
      </vt:variant>
      <vt:variant>
        <vt:i4>0</vt:i4>
      </vt:variant>
      <vt:variant>
        <vt:i4>5</vt:i4>
      </vt:variant>
      <vt:variant>
        <vt:lpwstr>http://www.l2d.lv/l.php?doc_id=173270</vt:lpwstr>
      </vt:variant>
      <vt:variant>
        <vt:lpwstr/>
      </vt:variant>
      <vt:variant>
        <vt:i4>65619</vt:i4>
      </vt:variant>
      <vt:variant>
        <vt:i4>6</vt:i4>
      </vt:variant>
      <vt:variant>
        <vt:i4>0</vt:i4>
      </vt:variant>
      <vt:variant>
        <vt:i4>5</vt:i4>
      </vt:variant>
      <vt:variant>
        <vt:lpwstr>http://www.l2d.lv/leul.php?i=8491</vt:lpwstr>
      </vt:variant>
      <vt:variant>
        <vt:lpwstr/>
      </vt:variant>
      <vt:variant>
        <vt:i4>7864320</vt:i4>
      </vt:variant>
      <vt:variant>
        <vt:i4>3</vt:i4>
      </vt:variant>
      <vt:variant>
        <vt:i4>0</vt:i4>
      </vt:variant>
      <vt:variant>
        <vt:i4>5</vt:i4>
      </vt:variant>
      <vt:variant>
        <vt:lpwstr>http://www.l2d.lv/l.php?doc_id=173270</vt:lpwstr>
      </vt:variant>
      <vt:variant>
        <vt:lpwstr/>
      </vt:variant>
      <vt:variant>
        <vt:i4>589918</vt:i4>
      </vt:variant>
      <vt:variant>
        <vt:i4>0</vt:i4>
      </vt:variant>
      <vt:variant>
        <vt:i4>0</vt:i4>
      </vt:variant>
      <vt:variant>
        <vt:i4>5</vt:i4>
      </vt:variant>
      <vt:variant>
        <vt:lpwstr>http://www.l2d.lv/leul.php?i=8916</vt:lpwstr>
      </vt:variant>
      <vt:variant>
        <vt:lpwstr/>
      </vt:variant>
      <vt:variant>
        <vt:i4>1638487</vt:i4>
      </vt:variant>
      <vt:variant>
        <vt:i4>138</vt:i4>
      </vt:variant>
      <vt:variant>
        <vt:i4>0</vt:i4>
      </vt:variant>
      <vt:variant>
        <vt:i4>5</vt:i4>
      </vt:variant>
      <vt:variant>
        <vt:lpwstr>http://www.echr.coe.int/echr/</vt:lpwstr>
      </vt:variant>
      <vt:variant>
        <vt:lpwstr/>
      </vt:variant>
      <vt:variant>
        <vt:i4>1638487</vt:i4>
      </vt:variant>
      <vt:variant>
        <vt:i4>135</vt:i4>
      </vt:variant>
      <vt:variant>
        <vt:i4>0</vt:i4>
      </vt:variant>
      <vt:variant>
        <vt:i4>5</vt:i4>
      </vt:variant>
      <vt:variant>
        <vt:lpwstr>http://www.echr.coe.int/echr/</vt:lpwstr>
      </vt:variant>
      <vt:variant>
        <vt:lpwstr/>
      </vt:variant>
      <vt:variant>
        <vt:i4>1638487</vt:i4>
      </vt:variant>
      <vt:variant>
        <vt:i4>132</vt:i4>
      </vt:variant>
      <vt:variant>
        <vt:i4>0</vt:i4>
      </vt:variant>
      <vt:variant>
        <vt:i4>5</vt:i4>
      </vt:variant>
      <vt:variant>
        <vt:lpwstr>http://www.echr.coe.int/echr/</vt:lpwstr>
      </vt:variant>
      <vt:variant>
        <vt:lpwstr/>
      </vt:variant>
      <vt:variant>
        <vt:i4>1638487</vt:i4>
      </vt:variant>
      <vt:variant>
        <vt:i4>129</vt:i4>
      </vt:variant>
      <vt:variant>
        <vt:i4>0</vt:i4>
      </vt:variant>
      <vt:variant>
        <vt:i4>5</vt:i4>
      </vt:variant>
      <vt:variant>
        <vt:lpwstr>http://www.echr.coe.int/echr/</vt:lpwstr>
      </vt:variant>
      <vt:variant>
        <vt:lpwstr/>
      </vt:variant>
      <vt:variant>
        <vt:i4>1638487</vt:i4>
      </vt:variant>
      <vt:variant>
        <vt:i4>126</vt:i4>
      </vt:variant>
      <vt:variant>
        <vt:i4>0</vt:i4>
      </vt:variant>
      <vt:variant>
        <vt:i4>5</vt:i4>
      </vt:variant>
      <vt:variant>
        <vt:lpwstr>http://www.echr.coe.int/echr/</vt:lpwstr>
      </vt:variant>
      <vt:variant>
        <vt:lpwstr/>
      </vt:variant>
      <vt:variant>
        <vt:i4>5177349</vt:i4>
      </vt:variant>
      <vt:variant>
        <vt:i4>123</vt:i4>
      </vt:variant>
      <vt:variant>
        <vt:i4>0</vt:i4>
      </vt:variant>
      <vt:variant>
        <vt:i4>5</vt:i4>
      </vt:variant>
      <vt:variant>
        <vt:lpwstr>http://hudoc.echr.coe.int/sites/eng/Pages/search.aspx</vt:lpwstr>
      </vt:variant>
      <vt:variant>
        <vt:lpwstr>{"appno":["8793/79"]}</vt:lpwstr>
      </vt:variant>
      <vt:variant>
        <vt:i4>1638487</vt:i4>
      </vt:variant>
      <vt:variant>
        <vt:i4>120</vt:i4>
      </vt:variant>
      <vt:variant>
        <vt:i4>0</vt:i4>
      </vt:variant>
      <vt:variant>
        <vt:i4>5</vt:i4>
      </vt:variant>
      <vt:variant>
        <vt:lpwstr>http://www.echr.coe.int/echr/</vt:lpwstr>
      </vt:variant>
      <vt:variant>
        <vt:lpwstr/>
      </vt:variant>
      <vt:variant>
        <vt:i4>5701717</vt:i4>
      </vt:variant>
      <vt:variant>
        <vt:i4>117</vt:i4>
      </vt:variant>
      <vt:variant>
        <vt:i4>0</vt:i4>
      </vt:variant>
      <vt:variant>
        <vt:i4>5</vt:i4>
      </vt:variant>
      <vt:variant>
        <vt:lpwstr>http://hudoc.echr.coe.int/sites/eng/Pages/search.aspx</vt:lpwstr>
      </vt:variant>
      <vt:variant>
        <vt:lpwstr>{"appno":["31443/96"]}</vt:lpwstr>
      </vt:variant>
      <vt:variant>
        <vt:i4>1638487</vt:i4>
      </vt:variant>
      <vt:variant>
        <vt:i4>114</vt:i4>
      </vt:variant>
      <vt:variant>
        <vt:i4>0</vt:i4>
      </vt:variant>
      <vt:variant>
        <vt:i4>5</vt:i4>
      </vt:variant>
      <vt:variant>
        <vt:lpwstr>http://www.echr.coe.int/echr/</vt:lpwstr>
      </vt:variant>
      <vt:variant>
        <vt:lpwstr/>
      </vt:variant>
      <vt:variant>
        <vt:i4>1638487</vt:i4>
      </vt:variant>
      <vt:variant>
        <vt:i4>111</vt:i4>
      </vt:variant>
      <vt:variant>
        <vt:i4>0</vt:i4>
      </vt:variant>
      <vt:variant>
        <vt:i4>5</vt:i4>
      </vt:variant>
      <vt:variant>
        <vt:lpwstr>http://www.echr.coe.int/echr/</vt:lpwstr>
      </vt:variant>
      <vt:variant>
        <vt:lpwstr/>
      </vt:variant>
      <vt:variant>
        <vt:i4>5701717</vt:i4>
      </vt:variant>
      <vt:variant>
        <vt:i4>108</vt:i4>
      </vt:variant>
      <vt:variant>
        <vt:i4>0</vt:i4>
      </vt:variant>
      <vt:variant>
        <vt:i4>5</vt:i4>
      </vt:variant>
      <vt:variant>
        <vt:lpwstr>http://hudoc.echr.coe.int/sites/eng/Pages/search.aspx</vt:lpwstr>
      </vt:variant>
      <vt:variant>
        <vt:lpwstr>{"appno":["31443/96"]}</vt:lpwstr>
      </vt:variant>
      <vt:variant>
        <vt:i4>1638487</vt:i4>
      </vt:variant>
      <vt:variant>
        <vt:i4>105</vt:i4>
      </vt:variant>
      <vt:variant>
        <vt:i4>0</vt:i4>
      </vt:variant>
      <vt:variant>
        <vt:i4>5</vt:i4>
      </vt:variant>
      <vt:variant>
        <vt:lpwstr>http://www.echr.coe.int/echr/</vt:lpwstr>
      </vt:variant>
      <vt:variant>
        <vt:lpwstr/>
      </vt:variant>
      <vt:variant>
        <vt:i4>5701717</vt:i4>
      </vt:variant>
      <vt:variant>
        <vt:i4>102</vt:i4>
      </vt:variant>
      <vt:variant>
        <vt:i4>0</vt:i4>
      </vt:variant>
      <vt:variant>
        <vt:i4>5</vt:i4>
      </vt:variant>
      <vt:variant>
        <vt:lpwstr>http://hudoc.echr.coe.int/sites/eng/Pages/search.aspx</vt:lpwstr>
      </vt:variant>
      <vt:variant>
        <vt:lpwstr>{"appno":["31443/96"]}</vt:lpwstr>
      </vt:variant>
      <vt:variant>
        <vt:i4>1638487</vt:i4>
      </vt:variant>
      <vt:variant>
        <vt:i4>99</vt:i4>
      </vt:variant>
      <vt:variant>
        <vt:i4>0</vt:i4>
      </vt:variant>
      <vt:variant>
        <vt:i4>5</vt:i4>
      </vt:variant>
      <vt:variant>
        <vt:lpwstr>http://www.echr.coe.int/echr/</vt:lpwstr>
      </vt:variant>
      <vt:variant>
        <vt:lpwstr/>
      </vt:variant>
      <vt:variant>
        <vt:i4>1638487</vt:i4>
      </vt:variant>
      <vt:variant>
        <vt:i4>96</vt:i4>
      </vt:variant>
      <vt:variant>
        <vt:i4>0</vt:i4>
      </vt:variant>
      <vt:variant>
        <vt:i4>5</vt:i4>
      </vt:variant>
      <vt:variant>
        <vt:lpwstr>http://www.echr.coe.int/echr/</vt:lpwstr>
      </vt:variant>
      <vt:variant>
        <vt:lpwstr/>
      </vt:variant>
      <vt:variant>
        <vt:i4>1638487</vt:i4>
      </vt:variant>
      <vt:variant>
        <vt:i4>93</vt:i4>
      </vt:variant>
      <vt:variant>
        <vt:i4>0</vt:i4>
      </vt:variant>
      <vt:variant>
        <vt:i4>5</vt:i4>
      </vt:variant>
      <vt:variant>
        <vt:lpwstr>http://www.echr.coe.int/echr/</vt:lpwstr>
      </vt:variant>
      <vt:variant>
        <vt:lpwstr/>
      </vt:variant>
      <vt:variant>
        <vt:i4>5177351</vt:i4>
      </vt:variant>
      <vt:variant>
        <vt:i4>90</vt:i4>
      </vt:variant>
      <vt:variant>
        <vt:i4>0</vt:i4>
      </vt:variant>
      <vt:variant>
        <vt:i4>5</vt:i4>
      </vt:variant>
      <vt:variant>
        <vt:lpwstr>http://hudoc.echr.coe.int/sites/eng/Pages/search.aspx</vt:lpwstr>
      </vt:variant>
      <vt:variant>
        <vt:lpwstr>{"appno":["9118/80"]}</vt:lpwstr>
      </vt:variant>
      <vt:variant>
        <vt:i4>1638487</vt:i4>
      </vt:variant>
      <vt:variant>
        <vt:i4>87</vt:i4>
      </vt:variant>
      <vt:variant>
        <vt:i4>0</vt:i4>
      </vt:variant>
      <vt:variant>
        <vt:i4>5</vt:i4>
      </vt:variant>
      <vt:variant>
        <vt:lpwstr>http://www.echr.coe.int/echr/</vt:lpwstr>
      </vt:variant>
      <vt:variant>
        <vt:lpwstr/>
      </vt:variant>
      <vt:variant>
        <vt:i4>5701717</vt:i4>
      </vt:variant>
      <vt:variant>
        <vt:i4>84</vt:i4>
      </vt:variant>
      <vt:variant>
        <vt:i4>0</vt:i4>
      </vt:variant>
      <vt:variant>
        <vt:i4>5</vt:i4>
      </vt:variant>
      <vt:variant>
        <vt:lpwstr>http://hudoc.echr.coe.int/sites/eng/Pages/search.aspx</vt:lpwstr>
      </vt:variant>
      <vt:variant>
        <vt:lpwstr>{"appno":["31443/96"]}</vt:lpwstr>
      </vt:variant>
      <vt:variant>
        <vt:i4>5242922</vt:i4>
      </vt:variant>
      <vt:variant>
        <vt:i4>81</vt:i4>
      </vt:variant>
      <vt:variant>
        <vt:i4>0</vt:i4>
      </vt:variant>
      <vt:variant>
        <vt:i4>5</vt:i4>
      </vt:variant>
      <vt:variant>
        <vt:lpwstr>http://www.echr.coe.int/Documents/Convention_LAV.pdf</vt:lpwstr>
      </vt:variant>
      <vt:variant>
        <vt:lpwstr/>
      </vt:variant>
      <vt:variant>
        <vt:i4>1638487</vt:i4>
      </vt:variant>
      <vt:variant>
        <vt:i4>78</vt:i4>
      </vt:variant>
      <vt:variant>
        <vt:i4>0</vt:i4>
      </vt:variant>
      <vt:variant>
        <vt:i4>5</vt:i4>
      </vt:variant>
      <vt:variant>
        <vt:lpwstr>http://www.echr.coe.int/echr/</vt:lpwstr>
      </vt:variant>
      <vt:variant>
        <vt:lpwstr/>
      </vt:variant>
      <vt:variant>
        <vt:i4>5374040</vt:i4>
      </vt:variant>
      <vt:variant>
        <vt:i4>75</vt:i4>
      </vt:variant>
      <vt:variant>
        <vt:i4>0</vt:i4>
      </vt:variant>
      <vt:variant>
        <vt:i4>5</vt:i4>
      </vt:variant>
      <vt:variant>
        <vt:lpwstr>http://hudoc.echr.coe.int/sites/eng/Pages/search.aspx</vt:lpwstr>
      </vt:variant>
      <vt:variant>
        <vt:lpwstr>{"appno":["41673/98"]}</vt:lpwstr>
      </vt:variant>
      <vt:variant>
        <vt:i4>1638487</vt:i4>
      </vt:variant>
      <vt:variant>
        <vt:i4>72</vt:i4>
      </vt:variant>
      <vt:variant>
        <vt:i4>0</vt:i4>
      </vt:variant>
      <vt:variant>
        <vt:i4>5</vt:i4>
      </vt:variant>
      <vt:variant>
        <vt:lpwstr>http://www.echr.coe.int/echr/</vt:lpwstr>
      </vt:variant>
      <vt:variant>
        <vt:lpwstr/>
      </vt:variant>
      <vt:variant>
        <vt:i4>1638487</vt:i4>
      </vt:variant>
      <vt:variant>
        <vt:i4>69</vt:i4>
      </vt:variant>
      <vt:variant>
        <vt:i4>0</vt:i4>
      </vt:variant>
      <vt:variant>
        <vt:i4>5</vt:i4>
      </vt:variant>
      <vt:variant>
        <vt:lpwstr>http://www.echr.coe.int/echr/</vt:lpwstr>
      </vt:variant>
      <vt:variant>
        <vt:lpwstr/>
      </vt:variant>
      <vt:variant>
        <vt:i4>4194306</vt:i4>
      </vt:variant>
      <vt:variant>
        <vt:i4>66</vt:i4>
      </vt:variant>
      <vt:variant>
        <vt:i4>0</vt:i4>
      </vt:variant>
      <vt:variant>
        <vt:i4>5</vt:i4>
      </vt:variant>
      <vt:variant>
        <vt:lpwstr>http://hudoc.echr.coe.int/sites/eng/Pages/search.aspx</vt:lpwstr>
      </vt:variant>
      <vt:variant>
        <vt:lpwstr>{"appno":["7152/75"]}</vt:lpwstr>
      </vt:variant>
      <vt:variant>
        <vt:i4>1638487</vt:i4>
      </vt:variant>
      <vt:variant>
        <vt:i4>63</vt:i4>
      </vt:variant>
      <vt:variant>
        <vt:i4>0</vt:i4>
      </vt:variant>
      <vt:variant>
        <vt:i4>5</vt:i4>
      </vt:variant>
      <vt:variant>
        <vt:lpwstr>http://www.echr.coe.int/echr/</vt:lpwstr>
      </vt:variant>
      <vt:variant>
        <vt:lpwstr/>
      </vt:variant>
      <vt:variant>
        <vt:i4>5374040</vt:i4>
      </vt:variant>
      <vt:variant>
        <vt:i4>60</vt:i4>
      </vt:variant>
      <vt:variant>
        <vt:i4>0</vt:i4>
      </vt:variant>
      <vt:variant>
        <vt:i4>5</vt:i4>
      </vt:variant>
      <vt:variant>
        <vt:lpwstr>http://hudoc.echr.coe.int/sites/eng/Pages/search.aspx</vt:lpwstr>
      </vt:variant>
      <vt:variant>
        <vt:lpwstr>{"appno":["41673/98"]}</vt:lpwstr>
      </vt:variant>
      <vt:variant>
        <vt:i4>1638487</vt:i4>
      </vt:variant>
      <vt:variant>
        <vt:i4>57</vt:i4>
      </vt:variant>
      <vt:variant>
        <vt:i4>0</vt:i4>
      </vt:variant>
      <vt:variant>
        <vt:i4>5</vt:i4>
      </vt:variant>
      <vt:variant>
        <vt:lpwstr>http://www.echr.coe.int/echr/</vt:lpwstr>
      </vt:variant>
      <vt:variant>
        <vt:lpwstr/>
      </vt:variant>
      <vt:variant>
        <vt:i4>5701717</vt:i4>
      </vt:variant>
      <vt:variant>
        <vt:i4>54</vt:i4>
      </vt:variant>
      <vt:variant>
        <vt:i4>0</vt:i4>
      </vt:variant>
      <vt:variant>
        <vt:i4>5</vt:i4>
      </vt:variant>
      <vt:variant>
        <vt:lpwstr>http://hudoc.echr.coe.int/sites/eng/Pages/search.aspx</vt:lpwstr>
      </vt:variant>
      <vt:variant>
        <vt:lpwstr>{"appno":["31443/96"]}</vt:lpwstr>
      </vt:variant>
      <vt:variant>
        <vt:i4>1638487</vt:i4>
      </vt:variant>
      <vt:variant>
        <vt:i4>51</vt:i4>
      </vt:variant>
      <vt:variant>
        <vt:i4>0</vt:i4>
      </vt:variant>
      <vt:variant>
        <vt:i4>5</vt:i4>
      </vt:variant>
      <vt:variant>
        <vt:lpwstr>http://www.echr.coe.int/echr/</vt:lpwstr>
      </vt:variant>
      <vt:variant>
        <vt:lpwstr/>
      </vt:variant>
      <vt:variant>
        <vt:i4>5439581</vt:i4>
      </vt:variant>
      <vt:variant>
        <vt:i4>48</vt:i4>
      </vt:variant>
      <vt:variant>
        <vt:i4>0</vt:i4>
      </vt:variant>
      <vt:variant>
        <vt:i4>5</vt:i4>
      </vt:variant>
      <vt:variant>
        <vt:lpwstr>http://hudoc.echr.coe.int/sites/eng/Pages/search.aspx</vt:lpwstr>
      </vt:variant>
      <vt:variant>
        <vt:lpwstr>{"appno":["15777/89"]}</vt:lpwstr>
      </vt:variant>
      <vt:variant>
        <vt:i4>1638487</vt:i4>
      </vt:variant>
      <vt:variant>
        <vt:i4>45</vt:i4>
      </vt:variant>
      <vt:variant>
        <vt:i4>0</vt:i4>
      </vt:variant>
      <vt:variant>
        <vt:i4>5</vt:i4>
      </vt:variant>
      <vt:variant>
        <vt:lpwstr>http://www.echr.coe.int/echr/</vt:lpwstr>
      </vt:variant>
      <vt:variant>
        <vt:lpwstr/>
      </vt:variant>
      <vt:variant>
        <vt:i4>5242961</vt:i4>
      </vt:variant>
      <vt:variant>
        <vt:i4>42</vt:i4>
      </vt:variant>
      <vt:variant>
        <vt:i4>0</vt:i4>
      </vt:variant>
      <vt:variant>
        <vt:i4>5</vt:i4>
      </vt:variant>
      <vt:variant>
        <vt:lpwstr>http://hudoc.echr.coe.int/sites/eng/Pages/search.aspx</vt:lpwstr>
      </vt:variant>
      <vt:variant>
        <vt:lpwstr>{"appno":["12033/86"]}</vt:lpwstr>
      </vt:variant>
      <vt:variant>
        <vt:i4>1638487</vt:i4>
      </vt:variant>
      <vt:variant>
        <vt:i4>39</vt:i4>
      </vt:variant>
      <vt:variant>
        <vt:i4>0</vt:i4>
      </vt:variant>
      <vt:variant>
        <vt:i4>5</vt:i4>
      </vt:variant>
      <vt:variant>
        <vt:lpwstr>http://www.echr.coe.int/echr/</vt:lpwstr>
      </vt:variant>
      <vt:variant>
        <vt:lpwstr/>
      </vt:variant>
      <vt:variant>
        <vt:i4>1638487</vt:i4>
      </vt:variant>
      <vt:variant>
        <vt:i4>36</vt:i4>
      </vt:variant>
      <vt:variant>
        <vt:i4>0</vt:i4>
      </vt:variant>
      <vt:variant>
        <vt:i4>5</vt:i4>
      </vt:variant>
      <vt:variant>
        <vt:lpwstr>http://www.echr.coe.int/echr/</vt:lpwstr>
      </vt:variant>
      <vt:variant>
        <vt:lpwstr/>
      </vt:variant>
      <vt:variant>
        <vt:i4>5111822</vt:i4>
      </vt:variant>
      <vt:variant>
        <vt:i4>33</vt:i4>
      </vt:variant>
      <vt:variant>
        <vt:i4>0</vt:i4>
      </vt:variant>
      <vt:variant>
        <vt:i4>5</vt:i4>
      </vt:variant>
      <vt:variant>
        <vt:lpwstr>http://hudoc.echr.coe.int/sites/eng/Pages/search.aspx</vt:lpwstr>
      </vt:variant>
      <vt:variant>
        <vt:lpwstr>{"appno":["9616/81"]}</vt:lpwstr>
      </vt:variant>
      <vt:variant>
        <vt:i4>1638487</vt:i4>
      </vt:variant>
      <vt:variant>
        <vt:i4>30</vt:i4>
      </vt:variant>
      <vt:variant>
        <vt:i4>0</vt:i4>
      </vt:variant>
      <vt:variant>
        <vt:i4>5</vt:i4>
      </vt:variant>
      <vt:variant>
        <vt:lpwstr>http://www.echr.coe.int/echr/</vt:lpwstr>
      </vt:variant>
      <vt:variant>
        <vt:lpwstr/>
      </vt:variant>
      <vt:variant>
        <vt:i4>5177351</vt:i4>
      </vt:variant>
      <vt:variant>
        <vt:i4>27</vt:i4>
      </vt:variant>
      <vt:variant>
        <vt:i4>0</vt:i4>
      </vt:variant>
      <vt:variant>
        <vt:i4>5</vt:i4>
      </vt:variant>
      <vt:variant>
        <vt:lpwstr>http://hudoc.echr.coe.int/sites/eng/Pages/search.aspx</vt:lpwstr>
      </vt:variant>
      <vt:variant>
        <vt:lpwstr>{"appno":["9118/80"]}</vt:lpwstr>
      </vt:variant>
      <vt:variant>
        <vt:i4>1638487</vt:i4>
      </vt:variant>
      <vt:variant>
        <vt:i4>24</vt:i4>
      </vt:variant>
      <vt:variant>
        <vt:i4>0</vt:i4>
      </vt:variant>
      <vt:variant>
        <vt:i4>5</vt:i4>
      </vt:variant>
      <vt:variant>
        <vt:lpwstr>http://www.echr.coe.int/echr/</vt:lpwstr>
      </vt:variant>
      <vt:variant>
        <vt:lpwstr/>
      </vt:variant>
      <vt:variant>
        <vt:i4>5177359</vt:i4>
      </vt:variant>
      <vt:variant>
        <vt:i4>21</vt:i4>
      </vt:variant>
      <vt:variant>
        <vt:i4>0</vt:i4>
      </vt:variant>
      <vt:variant>
        <vt:i4>5</vt:i4>
      </vt:variant>
      <vt:variant>
        <vt:lpwstr>http://hudoc.echr.coe.int/sites/eng/Pages/search.aspx</vt:lpwstr>
      </vt:variant>
      <vt:variant>
        <vt:lpwstr>{"appno":["9405/81"]}</vt:lpwstr>
      </vt:variant>
      <vt:variant>
        <vt:i4>1638487</vt:i4>
      </vt:variant>
      <vt:variant>
        <vt:i4>18</vt:i4>
      </vt:variant>
      <vt:variant>
        <vt:i4>0</vt:i4>
      </vt:variant>
      <vt:variant>
        <vt:i4>5</vt:i4>
      </vt:variant>
      <vt:variant>
        <vt:lpwstr>http://www.echr.coe.int/echr/</vt:lpwstr>
      </vt:variant>
      <vt:variant>
        <vt:lpwstr/>
      </vt:variant>
      <vt:variant>
        <vt:i4>5177349</vt:i4>
      </vt:variant>
      <vt:variant>
        <vt:i4>15</vt:i4>
      </vt:variant>
      <vt:variant>
        <vt:i4>0</vt:i4>
      </vt:variant>
      <vt:variant>
        <vt:i4>5</vt:i4>
      </vt:variant>
      <vt:variant>
        <vt:lpwstr>http://hudoc.echr.coe.int/sites/eng/Pages/search.aspx</vt:lpwstr>
      </vt:variant>
      <vt:variant>
        <vt:lpwstr>{"appno":["8793/79"]}</vt:lpwstr>
      </vt:variant>
      <vt:variant>
        <vt:i4>1638487</vt:i4>
      </vt:variant>
      <vt:variant>
        <vt:i4>12</vt:i4>
      </vt:variant>
      <vt:variant>
        <vt:i4>0</vt:i4>
      </vt:variant>
      <vt:variant>
        <vt:i4>5</vt:i4>
      </vt:variant>
      <vt:variant>
        <vt:lpwstr>http://www.echr.coe.int/echr/</vt:lpwstr>
      </vt:variant>
      <vt:variant>
        <vt:lpwstr/>
      </vt:variant>
      <vt:variant>
        <vt:i4>4194306</vt:i4>
      </vt:variant>
      <vt:variant>
        <vt:i4>9</vt:i4>
      </vt:variant>
      <vt:variant>
        <vt:i4>0</vt:i4>
      </vt:variant>
      <vt:variant>
        <vt:i4>5</vt:i4>
      </vt:variant>
      <vt:variant>
        <vt:lpwstr>http://hudoc.echr.coe.int/sites/eng/Pages/search.aspx</vt:lpwstr>
      </vt:variant>
      <vt:variant>
        <vt:lpwstr>{"appno":["7152/75"]}</vt:lpwstr>
      </vt:variant>
      <vt:variant>
        <vt:i4>6357110</vt:i4>
      </vt:variant>
      <vt:variant>
        <vt:i4>6</vt:i4>
      </vt:variant>
      <vt:variant>
        <vt:i4>0</vt:i4>
      </vt:variant>
      <vt:variant>
        <vt:i4>5</vt:i4>
      </vt:variant>
      <vt:variant>
        <vt:lpwstr>http://www.europarl.europa.eu/aboutparliament/lv/0003fbe4e5/ES-Pamatties%C4%ABbu-harta.html</vt:lpwstr>
      </vt:variant>
      <vt:variant>
        <vt:lpwstr/>
      </vt:variant>
      <vt:variant>
        <vt:i4>5242922</vt:i4>
      </vt:variant>
      <vt:variant>
        <vt:i4>3</vt:i4>
      </vt:variant>
      <vt:variant>
        <vt:i4>0</vt:i4>
      </vt:variant>
      <vt:variant>
        <vt:i4>5</vt:i4>
      </vt:variant>
      <vt:variant>
        <vt:lpwstr>http://www.echr.coe.int/Documents/Convention_LAV.pdf</vt:lpwstr>
      </vt:variant>
      <vt:variant>
        <vt:lpwstr/>
      </vt:variant>
      <vt:variant>
        <vt:i4>2228297</vt:i4>
      </vt:variant>
      <vt:variant>
        <vt:i4>0</vt:i4>
      </vt:variant>
      <vt:variant>
        <vt:i4>0</vt:i4>
      </vt:variant>
      <vt:variant>
        <vt:i4>5</vt:i4>
      </vt:variant>
      <vt:variant>
        <vt:lpwstr>http://www.ohchr.org/EN/UDHR/Documents/UDHR_Translations/lat.pdf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FManot_260116_FITL.docx; Likumprojekta “Grozījumi Finanšu instrumentu tirgus likumā” sākotnējās ietekmes novērtējuma ziņojums (anotācija)</dc:title>
  <dc:subject>anotācija</dc:subject>
  <dc:creator>krista.berze-berzina@fm.gov.lv</dc:creator>
  <cp:keywords>Krista Bērze-Bērziņa, Finanšu ministrijas Finanšu tirgus politikas departaments, Finanšu sektora pārvaldības nodaļas jurskonsulte, tālr. 67095857, e- pasts: Krista.Berze-Berzina@fm.gov.lv</cp:keywords>
  <dc:description>K.Bērze-Bērziņa
67083857; Krista.Berze-Berzina@fm.gov.lv                     </dc:description>
  <cp:lastModifiedBy>Gunta Puidīte</cp:lastModifiedBy>
  <cp:revision>23</cp:revision>
  <cp:lastPrinted>2016-01-26T14:01:00Z</cp:lastPrinted>
  <dcterms:created xsi:type="dcterms:W3CDTF">2016-01-26T12:53:00Z</dcterms:created>
  <dcterms:modified xsi:type="dcterms:W3CDTF">2016-01-28T13:04:00Z</dcterms:modified>
</cp:coreProperties>
</file>