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FF" w:rsidRPr="00E72955" w:rsidRDefault="000C7012" w:rsidP="00945D1F">
      <w:pPr>
        <w:spacing w:after="0" w:line="240" w:lineRule="auto"/>
        <w:jc w:val="center"/>
        <w:rPr>
          <w:rFonts w:ascii="Times New Roman" w:hAnsi="Times New Roman" w:cs="Times New Roman"/>
          <w:b/>
          <w:sz w:val="28"/>
          <w:szCs w:val="28"/>
        </w:rPr>
      </w:pPr>
      <w:r w:rsidRPr="00E72955">
        <w:rPr>
          <w:rFonts w:ascii="Times New Roman" w:hAnsi="Times New Roman" w:cs="Times New Roman"/>
          <w:b/>
          <w:sz w:val="28"/>
          <w:szCs w:val="28"/>
        </w:rPr>
        <w:t>Informatīvais ziņojums</w:t>
      </w:r>
    </w:p>
    <w:p w:rsidR="000C7012" w:rsidRPr="00E72955" w:rsidRDefault="000C7012" w:rsidP="00945D1F">
      <w:pPr>
        <w:spacing w:after="0" w:line="240" w:lineRule="auto"/>
        <w:jc w:val="center"/>
        <w:rPr>
          <w:rFonts w:ascii="Times New Roman" w:hAnsi="Times New Roman" w:cs="Times New Roman"/>
          <w:b/>
          <w:sz w:val="28"/>
          <w:szCs w:val="28"/>
        </w:rPr>
      </w:pPr>
      <w:r w:rsidRPr="00E72955">
        <w:rPr>
          <w:rFonts w:ascii="Times New Roman" w:hAnsi="Times New Roman" w:cs="Times New Roman"/>
          <w:b/>
          <w:sz w:val="28"/>
          <w:szCs w:val="28"/>
        </w:rPr>
        <w:t>par normatīvajos aktos noteiktās valsts nodevas par īpašuma tiesību nostiprināšanu zemesgrāmatā diferenciācijas ietekmi uz savlaicīgu īpašuma tiesību nostiprināšanu zemesgrāmatā</w:t>
      </w:r>
    </w:p>
    <w:p w:rsidR="000C7012" w:rsidRPr="00E72955" w:rsidRDefault="000C7012" w:rsidP="00945D1F">
      <w:pPr>
        <w:spacing w:after="0" w:line="240" w:lineRule="auto"/>
        <w:jc w:val="both"/>
        <w:rPr>
          <w:rFonts w:ascii="Times New Roman" w:hAnsi="Times New Roman" w:cs="Times New Roman"/>
          <w:sz w:val="28"/>
          <w:szCs w:val="28"/>
        </w:rPr>
      </w:pPr>
    </w:p>
    <w:p w:rsidR="000C7012" w:rsidRPr="004B2796" w:rsidRDefault="00945D1F" w:rsidP="00945D1F">
      <w:pPr>
        <w:spacing w:after="0" w:line="240" w:lineRule="auto"/>
        <w:jc w:val="both"/>
        <w:rPr>
          <w:rFonts w:ascii="Times New Roman" w:hAnsi="Times New Roman" w:cs="Times New Roman"/>
          <w:sz w:val="28"/>
          <w:szCs w:val="28"/>
        </w:rPr>
      </w:pPr>
      <w:r w:rsidRPr="004B2796">
        <w:rPr>
          <w:rFonts w:ascii="Times New Roman" w:hAnsi="Times New Roman" w:cs="Times New Roman"/>
          <w:sz w:val="28"/>
          <w:szCs w:val="28"/>
        </w:rPr>
        <w:tab/>
      </w:r>
      <w:r w:rsidR="00A91C41" w:rsidRPr="00A91C41">
        <w:rPr>
          <w:rFonts w:ascii="Times New Roman" w:hAnsi="Times New Roman" w:cs="Times New Roman"/>
          <w:sz w:val="28"/>
          <w:szCs w:val="28"/>
          <w:u w:val="single"/>
        </w:rPr>
        <w:t xml:space="preserve">Iesniegšanas pamatojums - </w:t>
      </w:r>
      <w:r w:rsidR="000C7012" w:rsidRPr="004B2796">
        <w:rPr>
          <w:rFonts w:ascii="Times New Roman" w:hAnsi="Times New Roman" w:cs="Times New Roman"/>
          <w:sz w:val="28"/>
          <w:szCs w:val="28"/>
        </w:rPr>
        <w:t>Zemesgrāmatu likuma pārejas noteikumu 17.</w:t>
      </w:r>
      <w:r w:rsidR="00534249" w:rsidRPr="004B2796">
        <w:rPr>
          <w:rFonts w:ascii="Times New Roman" w:hAnsi="Times New Roman" w:cs="Times New Roman"/>
          <w:sz w:val="28"/>
          <w:szCs w:val="28"/>
        </w:rPr>
        <w:t>p</w:t>
      </w:r>
      <w:r w:rsidR="000C7012" w:rsidRPr="004B2796">
        <w:rPr>
          <w:rFonts w:ascii="Times New Roman" w:hAnsi="Times New Roman" w:cs="Times New Roman"/>
          <w:sz w:val="28"/>
          <w:szCs w:val="28"/>
        </w:rPr>
        <w:t xml:space="preserve">unkts paredz, ka Ministru kabinets izvērtē normatīvajos aktos noteiktās valsts nodevas par īpašuma tiesību nostiprināšanu zemesgrāmatā diferenciācijas ietekmi uz savlaicīgu īpašuma tiesību nostiprināšanu zemesgrāmatā un līdz </w:t>
      </w:r>
      <w:proofErr w:type="gramStart"/>
      <w:r w:rsidR="000C7012" w:rsidRPr="004B2796">
        <w:rPr>
          <w:rFonts w:ascii="Times New Roman" w:hAnsi="Times New Roman" w:cs="Times New Roman"/>
          <w:sz w:val="28"/>
          <w:szCs w:val="28"/>
        </w:rPr>
        <w:t>2016.gada</w:t>
      </w:r>
      <w:proofErr w:type="gramEnd"/>
      <w:r w:rsidR="000C7012" w:rsidRPr="004B2796">
        <w:rPr>
          <w:rFonts w:ascii="Times New Roman" w:hAnsi="Times New Roman" w:cs="Times New Roman"/>
          <w:sz w:val="28"/>
          <w:szCs w:val="28"/>
        </w:rPr>
        <w:t xml:space="preserve"> 1.martam iesniedz Saeimai ziņojumu par to.</w:t>
      </w:r>
    </w:p>
    <w:p w:rsidR="00A91C41" w:rsidRDefault="00945D1F" w:rsidP="00945D1F">
      <w:pPr>
        <w:spacing w:after="0" w:line="240" w:lineRule="auto"/>
        <w:jc w:val="both"/>
        <w:rPr>
          <w:rFonts w:ascii="Times New Roman" w:hAnsi="Times New Roman" w:cs="Times New Roman"/>
          <w:bCs/>
          <w:sz w:val="28"/>
          <w:szCs w:val="28"/>
        </w:rPr>
      </w:pPr>
      <w:r w:rsidRPr="004B2796">
        <w:rPr>
          <w:rFonts w:ascii="Times New Roman" w:hAnsi="Times New Roman" w:cs="Times New Roman"/>
          <w:bCs/>
          <w:sz w:val="28"/>
          <w:szCs w:val="28"/>
        </w:rPr>
        <w:tab/>
      </w:r>
    </w:p>
    <w:p w:rsidR="000C7012" w:rsidRPr="004B2796" w:rsidRDefault="00A91C41" w:rsidP="00945D1F">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Pr="00A91C41">
        <w:rPr>
          <w:rFonts w:ascii="Times New Roman" w:hAnsi="Times New Roman" w:cs="Times New Roman"/>
          <w:bCs/>
          <w:sz w:val="28"/>
          <w:szCs w:val="28"/>
          <w:u w:val="single"/>
        </w:rPr>
        <w:t>Regulējuma būtība, mērķis un veiktie pasākumi tā sasniegšanā</w:t>
      </w:r>
      <w:r>
        <w:rPr>
          <w:rFonts w:ascii="Times New Roman" w:hAnsi="Times New Roman" w:cs="Times New Roman"/>
          <w:bCs/>
          <w:sz w:val="28"/>
          <w:szCs w:val="28"/>
        </w:rPr>
        <w:t xml:space="preserve"> - </w:t>
      </w:r>
      <w:r w:rsidR="000C7012" w:rsidRPr="004B2796">
        <w:rPr>
          <w:rFonts w:ascii="Times New Roman" w:hAnsi="Times New Roman" w:cs="Times New Roman"/>
          <w:bCs/>
          <w:sz w:val="28"/>
          <w:szCs w:val="28"/>
        </w:rPr>
        <w:t xml:space="preserve">Ministru kabineta </w:t>
      </w:r>
      <w:proofErr w:type="gramStart"/>
      <w:r w:rsidR="000C7012" w:rsidRPr="004B2796">
        <w:rPr>
          <w:rFonts w:ascii="Times New Roman" w:hAnsi="Times New Roman" w:cs="Times New Roman"/>
          <w:bCs/>
          <w:sz w:val="28"/>
          <w:szCs w:val="28"/>
        </w:rPr>
        <w:t>2009.gada</w:t>
      </w:r>
      <w:proofErr w:type="gramEnd"/>
      <w:r w:rsidR="000C7012" w:rsidRPr="004B2796">
        <w:rPr>
          <w:rFonts w:ascii="Times New Roman" w:hAnsi="Times New Roman" w:cs="Times New Roman"/>
          <w:bCs/>
          <w:sz w:val="28"/>
          <w:szCs w:val="28"/>
        </w:rPr>
        <w:t xml:space="preserve"> 27.oktobra noteikumu Nr.1250 </w:t>
      </w:r>
      <w:r w:rsidR="003074E6">
        <w:rPr>
          <w:rFonts w:ascii="Times New Roman" w:hAnsi="Times New Roman" w:cs="Times New Roman"/>
          <w:bCs/>
          <w:sz w:val="28"/>
          <w:szCs w:val="28"/>
        </w:rPr>
        <w:t>“</w:t>
      </w:r>
      <w:r w:rsidR="000C7012" w:rsidRPr="004B2796">
        <w:rPr>
          <w:rFonts w:ascii="Times New Roman" w:hAnsi="Times New Roman" w:cs="Times New Roman"/>
          <w:bCs/>
          <w:sz w:val="28"/>
          <w:szCs w:val="28"/>
        </w:rPr>
        <w:t>Noteikumi par valsts nodevu par īpašuma tiesību un ķīlas tiesību nostiprināšanu zemesgrāmatā</w:t>
      </w:r>
      <w:r w:rsidR="003074E6">
        <w:rPr>
          <w:rFonts w:ascii="Times New Roman" w:hAnsi="Times New Roman" w:cs="Times New Roman"/>
          <w:bCs/>
          <w:sz w:val="28"/>
          <w:szCs w:val="28"/>
        </w:rPr>
        <w:t>”</w:t>
      </w:r>
      <w:r w:rsidR="000C7012" w:rsidRPr="004B2796">
        <w:rPr>
          <w:rFonts w:ascii="Times New Roman" w:hAnsi="Times New Roman" w:cs="Times New Roman"/>
          <w:bCs/>
          <w:sz w:val="28"/>
          <w:szCs w:val="28"/>
        </w:rPr>
        <w:t xml:space="preserve"> </w:t>
      </w:r>
      <w:r w:rsidR="00654D13">
        <w:rPr>
          <w:rFonts w:ascii="Times New Roman" w:hAnsi="Times New Roman" w:cs="Times New Roman"/>
          <w:bCs/>
          <w:sz w:val="28"/>
          <w:szCs w:val="28"/>
        </w:rPr>
        <w:t xml:space="preserve">(turpmāk – Noteikumi Nr.1250) </w:t>
      </w:r>
      <w:r w:rsidR="000C7012" w:rsidRPr="004B2796">
        <w:rPr>
          <w:rFonts w:ascii="Times New Roman" w:hAnsi="Times New Roman" w:cs="Times New Roman"/>
          <w:bCs/>
          <w:sz w:val="28"/>
          <w:szCs w:val="28"/>
        </w:rPr>
        <w:t>16.</w:t>
      </w:r>
      <w:r w:rsidR="000C7012" w:rsidRPr="004B2796">
        <w:rPr>
          <w:rFonts w:ascii="Times New Roman" w:hAnsi="Times New Roman" w:cs="Times New Roman"/>
          <w:bCs/>
          <w:sz w:val="28"/>
          <w:szCs w:val="28"/>
          <w:vertAlign w:val="superscript"/>
        </w:rPr>
        <w:t>1</w:t>
      </w:r>
      <w:r w:rsidR="000C7012" w:rsidRPr="004B2796">
        <w:rPr>
          <w:rFonts w:ascii="Times New Roman" w:hAnsi="Times New Roman" w:cs="Times New Roman"/>
          <w:bCs/>
          <w:sz w:val="28"/>
          <w:szCs w:val="28"/>
        </w:rPr>
        <w:t>punkts (spēkā no 2014.gada 1.jūlija) paredz, ka v</w:t>
      </w:r>
      <w:r w:rsidR="000C7012" w:rsidRPr="004B2796">
        <w:rPr>
          <w:rFonts w:ascii="Times New Roman" w:hAnsi="Times New Roman" w:cs="Times New Roman"/>
          <w:sz w:val="28"/>
          <w:szCs w:val="28"/>
        </w:rPr>
        <w:t>alsts nodevu par īpašuma tiesību nostiprināšanu zemesgrāmatā</w:t>
      </w:r>
      <w:r w:rsidR="00654D13">
        <w:rPr>
          <w:rFonts w:ascii="Times New Roman" w:hAnsi="Times New Roman" w:cs="Times New Roman"/>
          <w:sz w:val="28"/>
          <w:szCs w:val="28"/>
        </w:rPr>
        <w:t xml:space="preserve"> (turpmāk – Īpašuma tiesību valsts nodeva) </w:t>
      </w:r>
      <w:r w:rsidR="000C7012" w:rsidRPr="004B2796">
        <w:rPr>
          <w:rFonts w:ascii="Times New Roman" w:hAnsi="Times New Roman" w:cs="Times New Roman"/>
          <w:sz w:val="28"/>
          <w:szCs w:val="28"/>
        </w:rPr>
        <w:t>nosaka, piemērojot koeficientu 1,5, ja no dienas, kad parakstīts dokuments, kas apliecina nostiprināmās tiesības, vai tādas atzīmes dzēšanas, kas kavē labprātīgu tiesību nostiprinājumu, pagājuši vairāk nekā seši mēneši.</w:t>
      </w:r>
    </w:p>
    <w:p w:rsidR="00B22A4B" w:rsidRPr="004B2796" w:rsidRDefault="00945D1F" w:rsidP="00945D1F">
      <w:pPr>
        <w:spacing w:after="0" w:line="240" w:lineRule="auto"/>
        <w:jc w:val="both"/>
        <w:rPr>
          <w:rFonts w:ascii="Times New Roman" w:hAnsi="Times New Roman" w:cs="Times New Roman"/>
          <w:sz w:val="28"/>
          <w:szCs w:val="28"/>
        </w:rPr>
      </w:pPr>
      <w:r w:rsidRPr="004B2796">
        <w:rPr>
          <w:rFonts w:ascii="Times New Roman" w:hAnsi="Times New Roman" w:cs="Times New Roman"/>
          <w:sz w:val="28"/>
          <w:szCs w:val="28"/>
        </w:rPr>
        <w:tab/>
      </w:r>
      <w:r w:rsidR="000C7012" w:rsidRPr="004B2796">
        <w:rPr>
          <w:rFonts w:ascii="Times New Roman" w:hAnsi="Times New Roman" w:cs="Times New Roman"/>
          <w:sz w:val="28"/>
          <w:szCs w:val="28"/>
        </w:rPr>
        <w:t>Šāds regulējums</w:t>
      </w:r>
      <w:r w:rsidR="00E30CAF">
        <w:rPr>
          <w:rFonts w:ascii="Times New Roman" w:hAnsi="Times New Roman" w:cs="Times New Roman"/>
          <w:sz w:val="28"/>
          <w:szCs w:val="28"/>
        </w:rPr>
        <w:t xml:space="preserve"> tika</w:t>
      </w:r>
      <w:r w:rsidR="000C7012" w:rsidRPr="004B2796">
        <w:rPr>
          <w:rFonts w:ascii="Times New Roman" w:hAnsi="Times New Roman" w:cs="Times New Roman"/>
          <w:sz w:val="28"/>
          <w:szCs w:val="28"/>
        </w:rPr>
        <w:t xml:space="preserve"> noteikts ar mērķi veicināt savlaicīgu īpašuma tiesību nostiprināšanu, </w:t>
      </w:r>
      <w:r w:rsidR="00E30CAF">
        <w:rPr>
          <w:rFonts w:ascii="Times New Roman" w:hAnsi="Times New Roman" w:cs="Times New Roman"/>
          <w:sz w:val="28"/>
          <w:szCs w:val="28"/>
        </w:rPr>
        <w:t>un tā izstrādē tika ņemts vērā</w:t>
      </w:r>
      <w:r w:rsidR="000C7012" w:rsidRPr="004B2796">
        <w:rPr>
          <w:rFonts w:ascii="Times New Roman" w:hAnsi="Times New Roman" w:cs="Times New Roman"/>
          <w:sz w:val="28"/>
          <w:szCs w:val="28"/>
        </w:rPr>
        <w:t xml:space="preserve">, ka no Eiropas Cilvēktiesību un pamatbrīvību aizsardzības konvencijas 1.protokola </w:t>
      </w:r>
      <w:proofErr w:type="gramStart"/>
      <w:r w:rsidR="000C7012" w:rsidRPr="004B2796">
        <w:rPr>
          <w:rFonts w:ascii="Times New Roman" w:hAnsi="Times New Roman" w:cs="Times New Roman"/>
          <w:sz w:val="28"/>
          <w:szCs w:val="28"/>
        </w:rPr>
        <w:t>1.panta</w:t>
      </w:r>
      <w:proofErr w:type="gramEnd"/>
      <w:r w:rsidR="000C7012" w:rsidRPr="004B2796">
        <w:rPr>
          <w:rFonts w:ascii="Times New Roman" w:hAnsi="Times New Roman" w:cs="Times New Roman"/>
          <w:sz w:val="28"/>
          <w:szCs w:val="28"/>
        </w:rPr>
        <w:t xml:space="preserve">, kura saturs ir līdzīgs arī </w:t>
      </w:r>
      <w:r w:rsidR="00D64062">
        <w:rPr>
          <w:rFonts w:ascii="Times New Roman" w:hAnsi="Times New Roman" w:cs="Times New Roman"/>
          <w:sz w:val="28"/>
          <w:szCs w:val="28"/>
        </w:rPr>
        <w:t xml:space="preserve">Latvijas Republikas </w:t>
      </w:r>
      <w:r w:rsidR="000C7012" w:rsidRPr="004B2796">
        <w:rPr>
          <w:rFonts w:ascii="Times New Roman" w:hAnsi="Times New Roman" w:cs="Times New Roman"/>
          <w:sz w:val="28"/>
          <w:szCs w:val="28"/>
        </w:rPr>
        <w:t>Satversmes</w:t>
      </w:r>
      <w:r w:rsidR="00D64062">
        <w:rPr>
          <w:rFonts w:ascii="Times New Roman" w:hAnsi="Times New Roman" w:cs="Times New Roman"/>
          <w:sz w:val="28"/>
          <w:szCs w:val="28"/>
        </w:rPr>
        <w:t xml:space="preserve"> (turpmāk – Satversme)</w:t>
      </w:r>
      <w:r w:rsidR="000C7012" w:rsidRPr="004B2796">
        <w:rPr>
          <w:rFonts w:ascii="Times New Roman" w:hAnsi="Times New Roman" w:cs="Times New Roman"/>
          <w:sz w:val="28"/>
          <w:szCs w:val="28"/>
        </w:rPr>
        <w:t xml:space="preserve"> 105.pantam, izriet va</w:t>
      </w:r>
      <w:r w:rsidR="00F27C60">
        <w:rPr>
          <w:rFonts w:ascii="Times New Roman" w:hAnsi="Times New Roman" w:cs="Times New Roman"/>
          <w:sz w:val="28"/>
          <w:szCs w:val="28"/>
        </w:rPr>
        <w:t>lsts</w:t>
      </w:r>
      <w:r w:rsidR="000C7012" w:rsidRPr="004B2796">
        <w:rPr>
          <w:rFonts w:ascii="Times New Roman" w:hAnsi="Times New Roman" w:cs="Times New Roman"/>
          <w:sz w:val="28"/>
          <w:szCs w:val="28"/>
        </w:rPr>
        <w:t xml:space="preserve"> rīcības brīvība noteikt nodokļu un nodevu veidus, to apmērus un ar tiem sasniedzamos mērķus. </w:t>
      </w:r>
      <w:r w:rsidR="00B22A4B" w:rsidRPr="004B2796">
        <w:rPr>
          <w:rFonts w:ascii="Times New Roman" w:hAnsi="Times New Roman" w:cs="Times New Roman"/>
          <w:sz w:val="28"/>
          <w:szCs w:val="28"/>
        </w:rPr>
        <w:t xml:space="preserve">Ar </w:t>
      </w:r>
      <w:proofErr w:type="gramStart"/>
      <w:r w:rsidR="00B22A4B" w:rsidRPr="004B2796">
        <w:rPr>
          <w:rFonts w:ascii="Times New Roman" w:hAnsi="Times New Roman" w:cs="Times New Roman"/>
          <w:sz w:val="28"/>
          <w:szCs w:val="28"/>
        </w:rPr>
        <w:t>2013.gada</w:t>
      </w:r>
      <w:proofErr w:type="gramEnd"/>
      <w:r w:rsidR="00B22A4B" w:rsidRPr="004B2796">
        <w:rPr>
          <w:rFonts w:ascii="Times New Roman" w:hAnsi="Times New Roman" w:cs="Times New Roman"/>
          <w:sz w:val="28"/>
          <w:szCs w:val="28"/>
        </w:rPr>
        <w:t xml:space="preserve"> 14.marta</w:t>
      </w:r>
      <w:r w:rsidR="00B22A4B" w:rsidRPr="004B2796">
        <w:rPr>
          <w:rFonts w:ascii="Times New Roman" w:hAnsi="Times New Roman" w:cs="Times New Roman"/>
          <w:b/>
          <w:sz w:val="28"/>
          <w:szCs w:val="28"/>
        </w:rPr>
        <w:t xml:space="preserve"> </w:t>
      </w:r>
      <w:r w:rsidR="00B22A4B" w:rsidRPr="004B2796">
        <w:rPr>
          <w:rFonts w:ascii="Times New Roman" w:hAnsi="Times New Roman" w:cs="Times New Roman"/>
          <w:sz w:val="28"/>
          <w:szCs w:val="28"/>
        </w:rPr>
        <w:t>likumu „Grozījumi likumā „Par nodokļiem un nodevām””, precizēta valsts nodevas definīcija, nosakot, ka valsts nodeva ir obligāts maksājums valsts budžetā vai šajā likumā noteiktajos gadījumos pašvaldības budžetā par valsts vai pašvaldības institūcijas veicamo darbību, kas izriet no šīs institūcijas funkcijām. Valsts nodevas mērķis ir personu darbību regulēšana (kontrolēšana, veicināšana, ierobežošana), tas ir</w:t>
      </w:r>
      <w:r w:rsidR="003074E6">
        <w:rPr>
          <w:rFonts w:ascii="Times New Roman" w:hAnsi="Times New Roman" w:cs="Times New Roman"/>
          <w:sz w:val="28"/>
          <w:szCs w:val="28"/>
        </w:rPr>
        <w:t xml:space="preserve"> </w:t>
      </w:r>
      <w:r w:rsidR="00B22A4B" w:rsidRPr="004B2796">
        <w:rPr>
          <w:rFonts w:ascii="Times New Roman" w:hAnsi="Times New Roman" w:cs="Times New Roman"/>
          <w:sz w:val="28"/>
          <w:szCs w:val="28"/>
        </w:rPr>
        <w:t>ietekmēt ekonomisko subjektu uzvedību. Valsts nodevas, kam piemīt regulējošs raksturs, apmērs nav tiešā veidā saistīts ar institūciju veikto darbību izmaksu segšanu.</w:t>
      </w:r>
    </w:p>
    <w:p w:rsidR="00F27C60" w:rsidRDefault="00B22A4B" w:rsidP="00945D1F">
      <w:pPr>
        <w:spacing w:after="0" w:line="240" w:lineRule="auto"/>
        <w:jc w:val="both"/>
        <w:rPr>
          <w:rFonts w:ascii="Times New Roman" w:hAnsi="Times New Roman" w:cs="Times New Roman"/>
          <w:sz w:val="28"/>
          <w:szCs w:val="28"/>
        </w:rPr>
      </w:pPr>
      <w:r w:rsidRPr="004B2796">
        <w:rPr>
          <w:rFonts w:ascii="Times New Roman" w:hAnsi="Times New Roman" w:cs="Times New Roman"/>
          <w:sz w:val="28"/>
          <w:szCs w:val="28"/>
        </w:rPr>
        <w:tab/>
      </w:r>
      <w:r w:rsidR="000C7012" w:rsidRPr="004B2796">
        <w:rPr>
          <w:rFonts w:ascii="Times New Roman" w:hAnsi="Times New Roman" w:cs="Times New Roman"/>
          <w:sz w:val="28"/>
          <w:szCs w:val="28"/>
        </w:rPr>
        <w:t xml:space="preserve">Ievērojot Satversmes 105.panta ietvaru, </w:t>
      </w:r>
      <w:r w:rsidR="00E30CAF">
        <w:rPr>
          <w:rFonts w:ascii="Times New Roman" w:hAnsi="Times New Roman" w:cs="Times New Roman"/>
          <w:sz w:val="28"/>
          <w:szCs w:val="28"/>
        </w:rPr>
        <w:t>regulējuma izstrādes laikā tika secināts</w:t>
      </w:r>
      <w:r w:rsidR="000C7012" w:rsidRPr="004B2796">
        <w:rPr>
          <w:rFonts w:ascii="Times New Roman" w:hAnsi="Times New Roman" w:cs="Times New Roman"/>
          <w:sz w:val="28"/>
          <w:szCs w:val="28"/>
        </w:rPr>
        <w:t>, ka palielināta</w:t>
      </w:r>
      <w:r w:rsidR="00E30CAF">
        <w:rPr>
          <w:rFonts w:ascii="Times New Roman" w:hAnsi="Times New Roman" w:cs="Times New Roman"/>
          <w:sz w:val="28"/>
          <w:szCs w:val="28"/>
        </w:rPr>
        <w:t>i</w:t>
      </w:r>
      <w:r w:rsidR="000C7012" w:rsidRPr="004B2796">
        <w:rPr>
          <w:rFonts w:ascii="Times New Roman" w:hAnsi="Times New Roman" w:cs="Times New Roman"/>
          <w:sz w:val="28"/>
          <w:szCs w:val="28"/>
        </w:rPr>
        <w:t xml:space="preserve"> </w:t>
      </w:r>
      <w:r w:rsidR="00654D13">
        <w:rPr>
          <w:rFonts w:ascii="Times New Roman" w:hAnsi="Times New Roman" w:cs="Times New Roman"/>
          <w:sz w:val="28"/>
          <w:szCs w:val="28"/>
        </w:rPr>
        <w:t>Ī</w:t>
      </w:r>
      <w:r w:rsidRPr="004B2796">
        <w:rPr>
          <w:rFonts w:ascii="Times New Roman" w:hAnsi="Times New Roman" w:cs="Times New Roman"/>
          <w:sz w:val="28"/>
          <w:szCs w:val="28"/>
        </w:rPr>
        <w:t xml:space="preserve">pašuma tiesību </w:t>
      </w:r>
      <w:r w:rsidR="00654D13">
        <w:rPr>
          <w:rFonts w:ascii="Times New Roman" w:hAnsi="Times New Roman" w:cs="Times New Roman"/>
          <w:sz w:val="28"/>
          <w:szCs w:val="28"/>
        </w:rPr>
        <w:t>valsts nodeva</w:t>
      </w:r>
      <w:r w:rsidR="000C7012" w:rsidRPr="004B2796">
        <w:rPr>
          <w:rFonts w:ascii="Times New Roman" w:hAnsi="Times New Roman" w:cs="Times New Roman"/>
          <w:sz w:val="28"/>
          <w:szCs w:val="28"/>
        </w:rPr>
        <w:t xml:space="preserve"> gadījumā, ja persona savlaicīgi</w:t>
      </w:r>
      <w:r w:rsidR="00654D13">
        <w:rPr>
          <w:rFonts w:ascii="Times New Roman" w:hAnsi="Times New Roman" w:cs="Times New Roman"/>
          <w:sz w:val="28"/>
          <w:szCs w:val="28"/>
        </w:rPr>
        <w:t xml:space="preserve"> neiesniedz nostiprinājuma lūgumu īpašuma tiesību nostiprināšanai</w:t>
      </w:r>
      <w:r w:rsidR="000C7012" w:rsidRPr="004B2796">
        <w:rPr>
          <w:rFonts w:ascii="Times New Roman" w:hAnsi="Times New Roman" w:cs="Times New Roman"/>
          <w:sz w:val="28"/>
          <w:szCs w:val="28"/>
        </w:rPr>
        <w:t xml:space="preserve">, ir leģitīms mērķis, proti, </w:t>
      </w:r>
      <w:r w:rsidR="00654D13">
        <w:rPr>
          <w:rFonts w:ascii="Times New Roman" w:hAnsi="Times New Roman" w:cs="Times New Roman"/>
          <w:sz w:val="28"/>
          <w:szCs w:val="28"/>
        </w:rPr>
        <w:t xml:space="preserve">nodrošināt, lai </w:t>
      </w:r>
      <w:r w:rsidR="000C7012" w:rsidRPr="004B2796">
        <w:rPr>
          <w:rFonts w:ascii="Times New Roman" w:hAnsi="Times New Roman" w:cs="Times New Roman"/>
          <w:sz w:val="28"/>
          <w:szCs w:val="28"/>
        </w:rPr>
        <w:t>personas savlaicīgi nostiprinātu īpašuma tiesības zemesgrāmatā</w:t>
      </w:r>
      <w:r w:rsidR="00F27C60">
        <w:rPr>
          <w:rFonts w:ascii="Times New Roman" w:hAnsi="Times New Roman" w:cs="Times New Roman"/>
          <w:sz w:val="28"/>
          <w:szCs w:val="28"/>
        </w:rPr>
        <w:t xml:space="preserve"> </w:t>
      </w:r>
      <w:r w:rsidR="00654D13">
        <w:rPr>
          <w:rFonts w:ascii="Times New Roman" w:hAnsi="Times New Roman" w:cs="Times New Roman"/>
          <w:sz w:val="28"/>
          <w:szCs w:val="28"/>
        </w:rPr>
        <w:t>un mazinātu riskus, ko rada nesavlaicīga īpašuma tiesību nostiprināšana. Tāpat savlaicīga īpašuma tiesību nostiprināšana</w:t>
      </w:r>
      <w:r w:rsidR="00F27C60">
        <w:rPr>
          <w:rFonts w:ascii="Times New Roman" w:hAnsi="Times New Roman" w:cs="Times New Roman"/>
          <w:sz w:val="28"/>
          <w:szCs w:val="28"/>
        </w:rPr>
        <w:t xml:space="preserve"> nodrošin</w:t>
      </w:r>
      <w:r w:rsidR="00654D13">
        <w:rPr>
          <w:rFonts w:ascii="Times New Roman" w:hAnsi="Times New Roman" w:cs="Times New Roman"/>
          <w:sz w:val="28"/>
          <w:szCs w:val="28"/>
        </w:rPr>
        <w:t>a</w:t>
      </w:r>
      <w:r w:rsidRPr="004B2796">
        <w:rPr>
          <w:rFonts w:ascii="Times New Roman" w:hAnsi="Times New Roman" w:cs="Times New Roman"/>
          <w:sz w:val="28"/>
          <w:szCs w:val="28"/>
        </w:rPr>
        <w:t xml:space="preserve"> zemesgrāmatas kā publiska reģistra mērķi – sniegt publiski ticamu informāciju par nekustamā īpašuma īpašnieku</w:t>
      </w:r>
      <w:r w:rsidR="000C7012" w:rsidRPr="004B2796">
        <w:rPr>
          <w:rFonts w:ascii="Times New Roman" w:hAnsi="Times New Roman" w:cs="Times New Roman"/>
          <w:sz w:val="28"/>
          <w:szCs w:val="28"/>
        </w:rPr>
        <w:t>.</w:t>
      </w:r>
    </w:p>
    <w:p w:rsidR="000C7012" w:rsidRPr="004B2796" w:rsidRDefault="00B22A4B" w:rsidP="00945D1F">
      <w:pPr>
        <w:spacing w:after="0" w:line="240" w:lineRule="auto"/>
        <w:jc w:val="both"/>
        <w:rPr>
          <w:rFonts w:ascii="Times New Roman" w:hAnsi="Times New Roman" w:cs="Times New Roman"/>
          <w:sz w:val="28"/>
          <w:szCs w:val="28"/>
        </w:rPr>
      </w:pPr>
      <w:r w:rsidRPr="00E30CAF">
        <w:rPr>
          <w:rFonts w:ascii="Times New Roman" w:hAnsi="Times New Roman" w:cs="Times New Roman"/>
          <w:sz w:val="28"/>
          <w:szCs w:val="28"/>
        </w:rPr>
        <w:lastRenderedPageBreak/>
        <w:tab/>
      </w:r>
      <w:r w:rsidR="00E30CAF" w:rsidRPr="00E30CAF">
        <w:rPr>
          <w:rFonts w:ascii="Times New Roman" w:hAnsi="Times New Roman" w:cs="Times New Roman"/>
          <w:sz w:val="28"/>
          <w:szCs w:val="28"/>
        </w:rPr>
        <w:t>Regulējums izstrādes laikā t</w:t>
      </w:r>
      <w:r w:rsidRPr="00E30CAF">
        <w:rPr>
          <w:rFonts w:ascii="Times New Roman" w:hAnsi="Times New Roman" w:cs="Times New Roman"/>
          <w:sz w:val="28"/>
          <w:szCs w:val="28"/>
        </w:rPr>
        <w:t>ika atzīts, ka savlaicīgā īpašuma tiesību</w:t>
      </w:r>
      <w:r w:rsidRPr="004B2796">
        <w:rPr>
          <w:rFonts w:ascii="Times New Roman" w:hAnsi="Times New Roman" w:cs="Times New Roman"/>
          <w:sz w:val="28"/>
          <w:szCs w:val="28"/>
        </w:rPr>
        <w:t xml:space="preserve"> nostiprināšanā ir ieinteresēts ne tikai nekustamā īpašuma ieguvējs, bet arī </w:t>
      </w:r>
      <w:r w:rsidR="000C7012" w:rsidRPr="004B2796">
        <w:rPr>
          <w:rFonts w:ascii="Times New Roman" w:hAnsi="Times New Roman" w:cs="Times New Roman"/>
          <w:sz w:val="28"/>
          <w:szCs w:val="28"/>
        </w:rPr>
        <w:t>nekustamā īpašuma atsavinātājs. Savlaicīga īpašuma tiesību nenostiprināšana zemesgrāmatā var radīt un bieži vien rada finansiālus izdevumus, piemēram, saistībā ar nekustamā īpašuma nodokļa nomaksu, nekustamā īpašuma atsavinātājam, kaut arī viņš īpašumu jau</w:t>
      </w:r>
      <w:r w:rsidR="000C7012" w:rsidRPr="004B2796">
        <w:rPr>
          <w:rFonts w:ascii="Times New Roman" w:hAnsi="Times New Roman" w:cs="Times New Roman"/>
          <w:color w:val="FF0000"/>
          <w:sz w:val="28"/>
          <w:szCs w:val="28"/>
        </w:rPr>
        <w:t xml:space="preserve"> </w:t>
      </w:r>
      <w:r w:rsidR="000C7012" w:rsidRPr="004B2796">
        <w:rPr>
          <w:rFonts w:ascii="Times New Roman" w:hAnsi="Times New Roman" w:cs="Times New Roman"/>
          <w:sz w:val="28"/>
          <w:szCs w:val="28"/>
        </w:rPr>
        <w:t>nodevis lietošanā nekustamā īpašuma ieguvējam.</w:t>
      </w:r>
    </w:p>
    <w:p w:rsidR="00B22A4B" w:rsidRPr="00F87237" w:rsidRDefault="00B22A4B" w:rsidP="00B22A4B">
      <w:pPr>
        <w:pStyle w:val="Komentrateksts"/>
        <w:ind w:firstLine="425"/>
        <w:jc w:val="both"/>
        <w:rPr>
          <w:sz w:val="28"/>
          <w:szCs w:val="28"/>
        </w:rPr>
      </w:pPr>
      <w:r w:rsidRPr="00F87237">
        <w:rPr>
          <w:sz w:val="28"/>
          <w:szCs w:val="28"/>
        </w:rPr>
        <w:tab/>
      </w:r>
      <w:r w:rsidR="00E30CAF">
        <w:rPr>
          <w:sz w:val="28"/>
          <w:szCs w:val="28"/>
        </w:rPr>
        <w:t xml:space="preserve">Regulējums izstrādes laikā </w:t>
      </w:r>
      <w:r w:rsidRPr="00F87237">
        <w:rPr>
          <w:sz w:val="28"/>
          <w:szCs w:val="28"/>
        </w:rPr>
        <w:t xml:space="preserve">tika </w:t>
      </w:r>
      <w:r w:rsidR="00945D1F" w:rsidRPr="00F87237">
        <w:rPr>
          <w:sz w:val="28"/>
          <w:szCs w:val="28"/>
        </w:rPr>
        <w:t>atzīts, ka</w:t>
      </w:r>
      <w:r w:rsidR="003076F5">
        <w:rPr>
          <w:sz w:val="28"/>
          <w:szCs w:val="28"/>
        </w:rPr>
        <w:t xml:space="preserve"> Īpašuma tiesību</w:t>
      </w:r>
      <w:r w:rsidR="00945D1F" w:rsidRPr="00F87237">
        <w:rPr>
          <w:sz w:val="28"/>
          <w:szCs w:val="28"/>
        </w:rPr>
        <w:t xml:space="preserve"> </w:t>
      </w:r>
      <w:r w:rsidR="000C7012" w:rsidRPr="00F87237">
        <w:rPr>
          <w:sz w:val="28"/>
          <w:szCs w:val="28"/>
        </w:rPr>
        <w:t>valsts nodeva</w:t>
      </w:r>
      <w:r w:rsidR="00F27C60">
        <w:rPr>
          <w:sz w:val="28"/>
          <w:szCs w:val="28"/>
        </w:rPr>
        <w:t>s</w:t>
      </w:r>
      <w:r w:rsidR="000C7012" w:rsidRPr="00F87237">
        <w:rPr>
          <w:sz w:val="28"/>
          <w:szCs w:val="28"/>
        </w:rPr>
        <w:t xml:space="preserve"> diferencēšanai nav </w:t>
      </w:r>
      <w:r w:rsidRPr="00F87237">
        <w:rPr>
          <w:sz w:val="28"/>
          <w:szCs w:val="28"/>
        </w:rPr>
        <w:t>piešķirams sodošs</w:t>
      </w:r>
      <w:r w:rsidR="000C7012" w:rsidRPr="00F87237">
        <w:rPr>
          <w:sz w:val="28"/>
          <w:szCs w:val="28"/>
        </w:rPr>
        <w:t xml:space="preserve"> rakstur</w:t>
      </w:r>
      <w:r w:rsidRPr="00F87237">
        <w:rPr>
          <w:sz w:val="28"/>
          <w:szCs w:val="28"/>
        </w:rPr>
        <w:t xml:space="preserve">s un rodams līdzsvars starp </w:t>
      </w:r>
      <w:r w:rsidR="003076F5">
        <w:rPr>
          <w:sz w:val="28"/>
          <w:szCs w:val="28"/>
        </w:rPr>
        <w:t>Īpašuma tiesību</w:t>
      </w:r>
      <w:r w:rsidR="003076F5" w:rsidRPr="00F87237">
        <w:rPr>
          <w:sz w:val="28"/>
          <w:szCs w:val="28"/>
        </w:rPr>
        <w:t xml:space="preserve"> </w:t>
      </w:r>
      <w:r w:rsidRPr="00F87237">
        <w:rPr>
          <w:sz w:val="28"/>
          <w:szCs w:val="28"/>
        </w:rPr>
        <w:t>valsts nodev</w:t>
      </w:r>
      <w:r w:rsidR="003076F5">
        <w:rPr>
          <w:sz w:val="28"/>
          <w:szCs w:val="28"/>
        </w:rPr>
        <w:t>as</w:t>
      </w:r>
      <w:r w:rsidRPr="00F87237">
        <w:rPr>
          <w:sz w:val="28"/>
          <w:szCs w:val="28"/>
        </w:rPr>
        <w:t xml:space="preserve"> apmēra pieaugumu, lai tas neradītu šķēršļus īpašuma tiesību nos</w:t>
      </w:r>
      <w:r w:rsidR="00654D13">
        <w:rPr>
          <w:sz w:val="28"/>
          <w:szCs w:val="28"/>
        </w:rPr>
        <w:t>tiprināšanai kā tādai. Noteikumos Nr.1250</w:t>
      </w:r>
      <w:r w:rsidRPr="00F87237">
        <w:rPr>
          <w:sz w:val="28"/>
          <w:szCs w:val="28"/>
        </w:rPr>
        <w:t xml:space="preserve"> paredzētais sešu mēnešu termiņš noteikts, ņemot vērā iespējamās darbības, kas nekustamā īpašuma ieguvējam būtu jāveic pēc dokumenta, kas apliecina nostiprināmās tiesības, parakstīšanas (darbības aizņem ne vairāk kā trīs mēnešus). Tāpat piešķirts papildu laiks (vismaz trīs </w:t>
      </w:r>
      <w:r w:rsidR="00F27C60">
        <w:rPr>
          <w:sz w:val="28"/>
          <w:szCs w:val="28"/>
        </w:rPr>
        <w:t>mēneši), kura laikā personai būtu</w:t>
      </w:r>
      <w:r w:rsidRPr="00F87237">
        <w:rPr>
          <w:sz w:val="28"/>
          <w:szCs w:val="28"/>
        </w:rPr>
        <w:t xml:space="preserve"> iespējams novērst iepriekš neparedzētus šķēršļus (piemēram, slimība vai prombūtne) vai arī veikt citas nepieciešamās darbības (piemēram, pilnvarot pārstāvi), kas nepieciešamas tiesību nostiprināšanai.</w:t>
      </w:r>
    </w:p>
    <w:p w:rsidR="001A6ECF" w:rsidRPr="00F87237" w:rsidRDefault="00B22A4B" w:rsidP="001A6ECF">
      <w:pPr>
        <w:spacing w:after="0" w:line="240" w:lineRule="auto"/>
        <w:jc w:val="both"/>
        <w:rPr>
          <w:rFonts w:ascii="Times New Roman" w:hAnsi="Times New Roman" w:cs="Times New Roman"/>
          <w:sz w:val="28"/>
          <w:szCs w:val="28"/>
        </w:rPr>
      </w:pPr>
      <w:r w:rsidRPr="00F87237">
        <w:rPr>
          <w:rFonts w:ascii="Times New Roman" w:hAnsi="Times New Roman" w:cs="Times New Roman"/>
          <w:sz w:val="28"/>
          <w:szCs w:val="28"/>
        </w:rPr>
        <w:tab/>
      </w:r>
      <w:r w:rsidR="001A6ECF" w:rsidRPr="00F87237">
        <w:rPr>
          <w:rFonts w:ascii="Times New Roman" w:hAnsi="Times New Roman" w:cs="Times New Roman"/>
          <w:sz w:val="28"/>
          <w:szCs w:val="28"/>
        </w:rPr>
        <w:t xml:space="preserve">Jautājumā par īpašuma tiesību nostiprināšanu personas darbojas </w:t>
      </w:r>
      <w:r w:rsidR="001A6ECF" w:rsidRPr="00654D13">
        <w:rPr>
          <w:rFonts w:ascii="Times New Roman" w:hAnsi="Times New Roman" w:cs="Times New Roman"/>
          <w:sz w:val="28"/>
          <w:szCs w:val="28"/>
        </w:rPr>
        <w:t>privāttiesiskās</w:t>
      </w:r>
      <w:r w:rsidR="001A6ECF" w:rsidRPr="00F87237">
        <w:rPr>
          <w:rFonts w:ascii="Times New Roman" w:hAnsi="Times New Roman" w:cs="Times New Roman"/>
          <w:sz w:val="28"/>
          <w:szCs w:val="28"/>
        </w:rPr>
        <w:t xml:space="preserve"> </w:t>
      </w:r>
      <w:r w:rsidR="00F27C60">
        <w:rPr>
          <w:rFonts w:ascii="Times New Roman" w:hAnsi="Times New Roman" w:cs="Times New Roman"/>
          <w:sz w:val="28"/>
          <w:szCs w:val="28"/>
        </w:rPr>
        <w:t>attiecībās un uz tām attiecināmas</w:t>
      </w:r>
      <w:r w:rsidR="001A6ECF" w:rsidRPr="00F87237">
        <w:rPr>
          <w:rFonts w:ascii="Times New Roman" w:hAnsi="Times New Roman" w:cs="Times New Roman"/>
          <w:sz w:val="28"/>
          <w:szCs w:val="28"/>
        </w:rPr>
        <w:t xml:space="preserve"> gan tiesības, gan arī pienākumi, ko uzliek nekustams īpašums. Proti, īpašums raksturojams kā tiesību un pienākumu kopums</w:t>
      </w:r>
      <w:r w:rsidR="007D2B62">
        <w:rPr>
          <w:rFonts w:ascii="Times New Roman" w:hAnsi="Times New Roman" w:cs="Times New Roman"/>
          <w:sz w:val="28"/>
          <w:szCs w:val="28"/>
        </w:rPr>
        <w:t>,</w:t>
      </w:r>
      <w:r w:rsidR="001A6ECF" w:rsidRPr="00F87237">
        <w:rPr>
          <w:rFonts w:ascii="Times New Roman" w:hAnsi="Times New Roman" w:cs="Times New Roman"/>
          <w:sz w:val="28"/>
          <w:szCs w:val="28"/>
        </w:rPr>
        <w:t xml:space="preserve"> un īpašnieka pienākumi nav uzskatāmi vienīgi par izņēmumiem attiecībā pret viņa tiesību, bet gan īpašuma būtību veidojošiem elementiem. </w:t>
      </w:r>
      <w:r w:rsidR="00F87237" w:rsidRPr="00F87237">
        <w:rPr>
          <w:rFonts w:ascii="Times New Roman" w:hAnsi="Times New Roman" w:cs="Times New Roman"/>
          <w:sz w:val="28"/>
          <w:szCs w:val="28"/>
        </w:rPr>
        <w:t>Proti</w:t>
      </w:r>
      <w:r w:rsidR="001A6ECF" w:rsidRPr="00F87237">
        <w:rPr>
          <w:rFonts w:ascii="Times New Roman" w:hAnsi="Times New Roman" w:cs="Times New Roman"/>
          <w:sz w:val="28"/>
          <w:szCs w:val="28"/>
        </w:rPr>
        <w:t>,  īpašums piešķir ne tikai tiesības, bet arī uzliek pienākumu</w:t>
      </w:r>
      <w:r w:rsidR="00F27C60">
        <w:rPr>
          <w:rFonts w:ascii="Times New Roman" w:hAnsi="Times New Roman" w:cs="Times New Roman"/>
          <w:sz w:val="28"/>
          <w:szCs w:val="28"/>
        </w:rPr>
        <w:t>s</w:t>
      </w:r>
      <w:r w:rsidR="001A6ECF" w:rsidRPr="00F87237">
        <w:rPr>
          <w:rFonts w:ascii="Times New Roman" w:hAnsi="Times New Roman" w:cs="Times New Roman"/>
          <w:sz w:val="28"/>
          <w:szCs w:val="28"/>
        </w:rPr>
        <w:t>, tostarp, veikt visas nepieciešamās darbības, kādas likums izvirzījis tās īpašniekam.</w:t>
      </w:r>
    </w:p>
    <w:p w:rsidR="00F87237" w:rsidRPr="00F87237" w:rsidRDefault="00F87237" w:rsidP="00F87237">
      <w:pPr>
        <w:pStyle w:val="Komentrateksts"/>
        <w:jc w:val="both"/>
        <w:rPr>
          <w:sz w:val="28"/>
          <w:szCs w:val="28"/>
        </w:rPr>
      </w:pPr>
      <w:r w:rsidRPr="00F87237">
        <w:rPr>
          <w:sz w:val="28"/>
          <w:szCs w:val="28"/>
        </w:rPr>
        <w:tab/>
        <w:t>I</w:t>
      </w:r>
      <w:r w:rsidR="001A6ECF" w:rsidRPr="00F87237">
        <w:rPr>
          <w:sz w:val="28"/>
          <w:szCs w:val="28"/>
        </w:rPr>
        <w:t xml:space="preserve">evērojot civiltiesībās pastāvošo </w:t>
      </w:r>
      <w:proofErr w:type="spellStart"/>
      <w:r w:rsidR="001A6ECF" w:rsidRPr="00F87237">
        <w:rPr>
          <w:sz w:val="28"/>
          <w:szCs w:val="28"/>
        </w:rPr>
        <w:t>privātautonomijas</w:t>
      </w:r>
      <w:proofErr w:type="spellEnd"/>
      <w:r w:rsidR="001A6ECF" w:rsidRPr="00F87237">
        <w:rPr>
          <w:sz w:val="28"/>
          <w:szCs w:val="28"/>
        </w:rPr>
        <w:t xml:space="preserve"> principu, jebkuram tiesiskā darījuma dalībniekam jāapzinās sava atbildība un jāveic visas iespējamās un nepieciešamās darbības, lai sasniegtu ar tiesisko darījumu sasniedzamo rezultātu, un mazinātu iespējamo risku darījuma pienācīgai neizpildei. </w:t>
      </w:r>
      <w:r w:rsidR="00654D13">
        <w:rPr>
          <w:sz w:val="28"/>
          <w:szCs w:val="28"/>
        </w:rPr>
        <w:t>I</w:t>
      </w:r>
      <w:r w:rsidR="001A6ECF" w:rsidRPr="00F87237">
        <w:rPr>
          <w:sz w:val="28"/>
          <w:szCs w:val="28"/>
        </w:rPr>
        <w:t xml:space="preserve">evērojot Civillikuma </w:t>
      </w:r>
      <w:proofErr w:type="gramStart"/>
      <w:r w:rsidR="001A6ECF" w:rsidRPr="00F87237">
        <w:rPr>
          <w:sz w:val="28"/>
          <w:szCs w:val="28"/>
        </w:rPr>
        <w:t>993.</w:t>
      </w:r>
      <w:r w:rsidR="00D64062">
        <w:rPr>
          <w:sz w:val="28"/>
          <w:szCs w:val="28"/>
        </w:rPr>
        <w:t xml:space="preserve"> </w:t>
      </w:r>
      <w:r w:rsidR="00D64062" w:rsidRPr="004B2796">
        <w:rPr>
          <w:sz w:val="28"/>
          <w:szCs w:val="28"/>
        </w:rPr>
        <w:t>–</w:t>
      </w:r>
      <w:r w:rsidR="00D64062">
        <w:rPr>
          <w:sz w:val="28"/>
          <w:szCs w:val="28"/>
        </w:rPr>
        <w:t xml:space="preserve"> </w:t>
      </w:r>
      <w:r w:rsidR="001A6ECF" w:rsidRPr="00F87237">
        <w:rPr>
          <w:sz w:val="28"/>
          <w:szCs w:val="28"/>
        </w:rPr>
        <w:t>994.</w:t>
      </w:r>
      <w:proofErr w:type="gramEnd"/>
      <w:r w:rsidR="001A6ECF" w:rsidRPr="00F87237">
        <w:rPr>
          <w:sz w:val="28"/>
          <w:szCs w:val="28"/>
        </w:rPr>
        <w:t xml:space="preserve"> un 1477.pantā noteikto, tikai ar ieguvēja īpašuma tiesību nostiprināšanu uzskatāms, ka, līgums, ar kuru iegūtas tiesības uz nekustamo īpašumu, izpildīts pilnīgi, tas ir, ka puses ir pienācīgi izpildījušas savas saistības.</w:t>
      </w:r>
    </w:p>
    <w:p w:rsidR="001A6ECF" w:rsidRDefault="00F87237" w:rsidP="00F87237">
      <w:pPr>
        <w:pStyle w:val="Komentrateksts"/>
        <w:jc w:val="both"/>
        <w:rPr>
          <w:sz w:val="28"/>
          <w:szCs w:val="28"/>
        </w:rPr>
      </w:pPr>
      <w:r w:rsidRPr="00F87237">
        <w:rPr>
          <w:sz w:val="28"/>
          <w:szCs w:val="28"/>
        </w:rPr>
        <w:tab/>
        <w:t xml:space="preserve">Līdz ar to </w:t>
      </w:r>
      <w:r w:rsidR="003076F5">
        <w:rPr>
          <w:sz w:val="28"/>
          <w:szCs w:val="28"/>
        </w:rPr>
        <w:t xml:space="preserve">Īpašuma tiesību </w:t>
      </w:r>
      <w:r w:rsidRPr="00F87237">
        <w:rPr>
          <w:sz w:val="28"/>
          <w:szCs w:val="28"/>
        </w:rPr>
        <w:t>valsts nodevas diferenciācija pati par sevi var nedot vēlamo rezultātu, ja darījuma puses, izvērtējot katra konkrētā gadījuma faktiskos un tiesiskos apstākļus, neizvēlēsies atbilstošu</w:t>
      </w:r>
      <w:r w:rsidR="00F27C60">
        <w:rPr>
          <w:sz w:val="28"/>
          <w:szCs w:val="28"/>
        </w:rPr>
        <w:t>s</w:t>
      </w:r>
      <w:r w:rsidRPr="00F87237">
        <w:rPr>
          <w:sz w:val="28"/>
          <w:szCs w:val="28"/>
        </w:rPr>
        <w:t xml:space="preserve"> ti</w:t>
      </w:r>
      <w:r w:rsidR="00F27C60">
        <w:rPr>
          <w:sz w:val="28"/>
          <w:szCs w:val="28"/>
        </w:rPr>
        <w:t>esiskos instrumentus</w:t>
      </w:r>
      <w:r w:rsidRPr="00F87237">
        <w:rPr>
          <w:sz w:val="28"/>
          <w:szCs w:val="28"/>
        </w:rPr>
        <w:t xml:space="preserve"> savu ar likumu aizsargāto interešu aizsardzībai. Vienlaikus uzskatām, ka</w:t>
      </w:r>
      <w:r w:rsidR="001A6ECF" w:rsidRPr="00F87237">
        <w:rPr>
          <w:sz w:val="28"/>
          <w:szCs w:val="28"/>
        </w:rPr>
        <w:t xml:space="preserve"> izvēle par atbilstošāko tiesiskā instrumenta piemērošanu, piemēram, vai darījumu slēgt notariālā akta kārtībā vai pieprasīt pirms darījuma parakstīšanas notariālā kārtībā sastādītu ieguvēja piekrišanu tiesību iegūšanai, nebūtu pakārtojama </w:t>
      </w:r>
      <w:r w:rsidR="001A6ECF" w:rsidRPr="00F87237">
        <w:rPr>
          <w:sz w:val="28"/>
          <w:szCs w:val="28"/>
        </w:rPr>
        <w:lastRenderedPageBreak/>
        <w:t>finansiālā ieguldījuma apmēram, it īpaši, tādējādi, ka nekustamā īpašuma savlaicīgas nenostiprināšanas gadījumā, nekustamā īpašuma nodokļa maksāšanas pienākums gulstas uz nekustamā īpašuma īpašnieku, kas par tādu ierakstīts zemesgrāmatā.</w:t>
      </w:r>
    </w:p>
    <w:p w:rsidR="003E6C20" w:rsidRDefault="00F27C60" w:rsidP="003E6C20">
      <w:pPr>
        <w:pStyle w:val="Komentrateksts"/>
        <w:jc w:val="both"/>
        <w:rPr>
          <w:sz w:val="28"/>
          <w:szCs w:val="28"/>
        </w:rPr>
      </w:pPr>
      <w:r>
        <w:rPr>
          <w:sz w:val="28"/>
          <w:szCs w:val="28"/>
        </w:rPr>
        <w:tab/>
      </w:r>
      <w:r w:rsidRPr="003E6C20">
        <w:rPr>
          <w:sz w:val="28"/>
          <w:szCs w:val="28"/>
        </w:rPr>
        <w:t>Pēc Ministru</w:t>
      </w:r>
      <w:r w:rsidR="00654D13">
        <w:rPr>
          <w:sz w:val="28"/>
          <w:szCs w:val="28"/>
        </w:rPr>
        <w:t xml:space="preserve"> kabineta noteikumu, kas ievies</w:t>
      </w:r>
      <w:r w:rsidRPr="003E6C20">
        <w:rPr>
          <w:sz w:val="28"/>
          <w:szCs w:val="28"/>
        </w:rPr>
        <w:t xml:space="preserve">a </w:t>
      </w:r>
      <w:r w:rsidR="003076F5">
        <w:rPr>
          <w:sz w:val="28"/>
          <w:szCs w:val="28"/>
        </w:rPr>
        <w:t xml:space="preserve">Īpašuma tiesību </w:t>
      </w:r>
      <w:r w:rsidRPr="003E6C20">
        <w:rPr>
          <w:sz w:val="28"/>
          <w:szCs w:val="28"/>
        </w:rPr>
        <w:t>valsts nodevas diferenciāciju</w:t>
      </w:r>
      <w:r w:rsidR="003E6C20">
        <w:rPr>
          <w:sz w:val="28"/>
          <w:szCs w:val="28"/>
        </w:rPr>
        <w:t>, pieņemšanas</w:t>
      </w:r>
      <w:r w:rsidRPr="003E6C20">
        <w:rPr>
          <w:sz w:val="28"/>
          <w:szCs w:val="28"/>
        </w:rPr>
        <w:t xml:space="preserve"> Tieslietu ministrija sadarbībā ar Tiesu administrāciju iespēju robežās veica sabiedrības informēšanas pasākumus, ievietojot informāciju gan valsts vienotās datorizētās zemesgrāmatas </w:t>
      </w:r>
      <w:proofErr w:type="gramStart"/>
      <w:r w:rsidRPr="003E6C20">
        <w:rPr>
          <w:sz w:val="28"/>
          <w:szCs w:val="28"/>
        </w:rPr>
        <w:t>mājas lapā</w:t>
      </w:r>
      <w:proofErr w:type="gramEnd"/>
      <w:r w:rsidRPr="003E6C20">
        <w:rPr>
          <w:sz w:val="28"/>
          <w:szCs w:val="28"/>
        </w:rPr>
        <w:t xml:space="preserve"> </w:t>
      </w:r>
      <w:proofErr w:type="spellStart"/>
      <w:r w:rsidR="007D2B62" w:rsidRPr="00E30CAF">
        <w:t>www.zemesgramata.lv</w:t>
      </w:r>
      <w:proofErr w:type="spellEnd"/>
      <w:r w:rsidR="00654D13">
        <w:rPr>
          <w:sz w:val="28"/>
          <w:szCs w:val="28"/>
        </w:rPr>
        <w:t xml:space="preserve"> un</w:t>
      </w:r>
      <w:r w:rsidRPr="003E6C20">
        <w:rPr>
          <w:sz w:val="28"/>
          <w:szCs w:val="28"/>
        </w:rPr>
        <w:t xml:space="preserve"> sociālajos tīklos, gan ar preses relīžu starpniecību. </w:t>
      </w:r>
      <w:r w:rsidR="003E6C20" w:rsidRPr="003E6C20">
        <w:rPr>
          <w:sz w:val="28"/>
          <w:szCs w:val="28"/>
        </w:rPr>
        <w:t>Tāpat Tieslietu ministrija vērsās Latvijas Zvērinātu notāru padomē un Latvijas Pašvaldību savienībā ar lūgumu par ievie</w:t>
      </w:r>
      <w:r w:rsidR="00654D13">
        <w:rPr>
          <w:sz w:val="28"/>
          <w:szCs w:val="28"/>
        </w:rPr>
        <w:t>s</w:t>
      </w:r>
      <w:r w:rsidR="003E6C20" w:rsidRPr="003E6C20">
        <w:rPr>
          <w:sz w:val="28"/>
          <w:szCs w:val="28"/>
        </w:rPr>
        <w:t xml:space="preserve">tajām izmaiņām informēt zvērinātus notārus un bāriņtiesas, </w:t>
      </w:r>
      <w:r w:rsidR="00654D13">
        <w:rPr>
          <w:sz w:val="28"/>
          <w:szCs w:val="28"/>
        </w:rPr>
        <w:t>proti</w:t>
      </w:r>
      <w:r w:rsidR="003E6C20" w:rsidRPr="003E6C20">
        <w:rPr>
          <w:sz w:val="28"/>
          <w:szCs w:val="28"/>
        </w:rPr>
        <w:t xml:space="preserve">, tās amatpersonas vai iestādes, pie kurām nostiprinājuma lūdzēji vēršas, lai iegūtu informāciju par </w:t>
      </w:r>
      <w:r w:rsidR="00654D13">
        <w:rPr>
          <w:sz w:val="28"/>
          <w:szCs w:val="28"/>
        </w:rPr>
        <w:t>veicamajām darbībām,</w:t>
      </w:r>
      <w:r w:rsidR="003E6C20" w:rsidRPr="003E6C20">
        <w:rPr>
          <w:sz w:val="28"/>
          <w:szCs w:val="28"/>
        </w:rPr>
        <w:t xml:space="preserve"> lai iegūtu īpašuma tiesības uz nekustamo īpašumu.</w:t>
      </w:r>
      <w:r w:rsidR="003E6C20">
        <w:rPr>
          <w:sz w:val="28"/>
          <w:szCs w:val="28"/>
        </w:rPr>
        <w:t xml:space="preserve"> I</w:t>
      </w:r>
      <w:r w:rsidRPr="003E6C20">
        <w:rPr>
          <w:sz w:val="28"/>
          <w:szCs w:val="28"/>
        </w:rPr>
        <w:t xml:space="preserve">nformācija par ieviestajām izmaiņām </w:t>
      </w:r>
      <w:r w:rsidR="00654D13">
        <w:rPr>
          <w:sz w:val="28"/>
          <w:szCs w:val="28"/>
        </w:rPr>
        <w:t>saistībā ar</w:t>
      </w:r>
      <w:r w:rsidRPr="003E6C20">
        <w:rPr>
          <w:sz w:val="28"/>
          <w:szCs w:val="28"/>
        </w:rPr>
        <w:t xml:space="preserve"> </w:t>
      </w:r>
      <w:r w:rsidR="003076F5">
        <w:rPr>
          <w:sz w:val="28"/>
          <w:szCs w:val="28"/>
        </w:rPr>
        <w:t xml:space="preserve">Īpašuma tiesību </w:t>
      </w:r>
      <w:r w:rsidRPr="003E6C20">
        <w:rPr>
          <w:sz w:val="28"/>
          <w:szCs w:val="28"/>
        </w:rPr>
        <w:t xml:space="preserve">valsts nodevas diferenciāciju sniegta </w:t>
      </w:r>
      <w:r w:rsidR="003E6C20">
        <w:rPr>
          <w:sz w:val="28"/>
          <w:szCs w:val="28"/>
        </w:rPr>
        <w:t xml:space="preserve">arī </w:t>
      </w:r>
      <w:r w:rsidRPr="003E6C20">
        <w:rPr>
          <w:sz w:val="28"/>
          <w:szCs w:val="28"/>
        </w:rPr>
        <w:t>TV 24</w:t>
      </w:r>
      <w:r w:rsidR="003E6C20">
        <w:rPr>
          <w:sz w:val="28"/>
          <w:szCs w:val="28"/>
        </w:rPr>
        <w:t xml:space="preserve"> </w:t>
      </w:r>
      <w:proofErr w:type="gramStart"/>
      <w:r w:rsidR="003E6C20">
        <w:rPr>
          <w:sz w:val="28"/>
          <w:szCs w:val="28"/>
        </w:rPr>
        <w:t>2015.gada</w:t>
      </w:r>
      <w:proofErr w:type="gramEnd"/>
      <w:r w:rsidR="003E6C20">
        <w:rPr>
          <w:sz w:val="28"/>
          <w:szCs w:val="28"/>
        </w:rPr>
        <w:t xml:space="preserve"> 28.janvāra</w:t>
      </w:r>
      <w:r w:rsidRPr="003E6C20">
        <w:rPr>
          <w:sz w:val="28"/>
          <w:szCs w:val="28"/>
        </w:rPr>
        <w:t xml:space="preserve"> raidījumā </w:t>
      </w:r>
      <w:r w:rsidR="00654D13">
        <w:rPr>
          <w:sz w:val="28"/>
          <w:szCs w:val="28"/>
        </w:rPr>
        <w:t>“</w:t>
      </w:r>
      <w:r w:rsidRPr="003E6C20">
        <w:rPr>
          <w:sz w:val="28"/>
          <w:szCs w:val="28"/>
        </w:rPr>
        <w:t>Jūsu tiesības</w:t>
      </w:r>
      <w:r w:rsidR="00654D13">
        <w:rPr>
          <w:sz w:val="28"/>
          <w:szCs w:val="28"/>
        </w:rPr>
        <w:t>”</w:t>
      </w:r>
      <w:r w:rsidRPr="003E6C20">
        <w:rPr>
          <w:sz w:val="28"/>
          <w:szCs w:val="28"/>
        </w:rPr>
        <w:t>.</w:t>
      </w:r>
    </w:p>
    <w:p w:rsidR="00654D13" w:rsidRDefault="00654D13" w:rsidP="003E6C20">
      <w:pPr>
        <w:pStyle w:val="Komentrateksts"/>
        <w:jc w:val="both"/>
        <w:rPr>
          <w:sz w:val="28"/>
          <w:szCs w:val="28"/>
        </w:rPr>
      </w:pPr>
    </w:p>
    <w:p w:rsidR="00654D13" w:rsidRDefault="00654D13" w:rsidP="00C117D6">
      <w:pPr>
        <w:pStyle w:val="Komentrateksts"/>
        <w:jc w:val="both"/>
        <w:rPr>
          <w:sz w:val="28"/>
          <w:szCs w:val="28"/>
        </w:rPr>
      </w:pPr>
      <w:r w:rsidRPr="00654D13">
        <w:rPr>
          <w:sz w:val="28"/>
          <w:szCs w:val="28"/>
        </w:rPr>
        <w:tab/>
      </w:r>
      <w:r w:rsidRPr="00654D13">
        <w:rPr>
          <w:sz w:val="28"/>
          <w:szCs w:val="28"/>
          <w:u w:val="single"/>
        </w:rPr>
        <w:t>Īpašuma tiesību valsts nodevas diferenciācijas ietekme uz savlaicīgu īpašuma tiesību nostiprināšanu</w:t>
      </w:r>
      <w:r w:rsidRPr="00654D13">
        <w:rPr>
          <w:sz w:val="28"/>
          <w:szCs w:val="28"/>
        </w:rPr>
        <w:t xml:space="preserve">. </w:t>
      </w:r>
      <w:r w:rsidR="003E6C20" w:rsidRPr="00654D13">
        <w:rPr>
          <w:sz w:val="28"/>
          <w:szCs w:val="28"/>
          <w:u w:val="single"/>
        </w:rPr>
        <w:tab/>
      </w:r>
      <w:r>
        <w:rPr>
          <w:sz w:val="28"/>
          <w:szCs w:val="28"/>
        </w:rPr>
        <w:t>L</w:t>
      </w:r>
      <w:r w:rsidR="003E6C20" w:rsidRPr="003E6C20">
        <w:rPr>
          <w:sz w:val="28"/>
          <w:szCs w:val="28"/>
        </w:rPr>
        <w:t>ai novērtētu ieviestās</w:t>
      </w:r>
      <w:r w:rsidR="003076F5">
        <w:rPr>
          <w:sz w:val="28"/>
          <w:szCs w:val="28"/>
        </w:rPr>
        <w:t xml:space="preserve"> Īpašuma tiesību </w:t>
      </w:r>
      <w:r w:rsidR="003E6C20" w:rsidRPr="003E6C20">
        <w:rPr>
          <w:sz w:val="28"/>
          <w:szCs w:val="28"/>
        </w:rPr>
        <w:t xml:space="preserve">valsts nodevas diferenciācijas ietekmi, </w:t>
      </w:r>
      <w:r w:rsidR="004A7EE1" w:rsidRPr="003E6C20">
        <w:rPr>
          <w:sz w:val="28"/>
          <w:szCs w:val="28"/>
        </w:rPr>
        <w:t>izmantota</w:t>
      </w:r>
      <w:r w:rsidR="004A7EE1" w:rsidRPr="00F87237">
        <w:rPr>
          <w:sz w:val="28"/>
          <w:szCs w:val="28"/>
        </w:rPr>
        <w:t xml:space="preserve"> Tiesu</w:t>
      </w:r>
      <w:r w:rsidR="004A7EE1" w:rsidRPr="009D1F18">
        <w:rPr>
          <w:sz w:val="28"/>
          <w:szCs w:val="28"/>
        </w:rPr>
        <w:t xml:space="preserve"> administrācijas</w:t>
      </w:r>
      <w:r w:rsidR="004A7EE1" w:rsidRPr="00AD7C71">
        <w:rPr>
          <w:sz w:val="28"/>
          <w:szCs w:val="28"/>
        </w:rPr>
        <w:t xml:space="preserve"> kā valsts vienotās datorizētās zemesgrāmatas</w:t>
      </w:r>
      <w:r w:rsidR="004A7EE1">
        <w:rPr>
          <w:sz w:val="28"/>
          <w:szCs w:val="28"/>
        </w:rPr>
        <w:t xml:space="preserve"> turētāja sniegtā informācija </w:t>
      </w:r>
      <w:r>
        <w:rPr>
          <w:sz w:val="28"/>
          <w:szCs w:val="28"/>
        </w:rPr>
        <w:t xml:space="preserve">par </w:t>
      </w:r>
      <w:proofErr w:type="gramStart"/>
      <w:r>
        <w:rPr>
          <w:sz w:val="28"/>
          <w:szCs w:val="28"/>
        </w:rPr>
        <w:t>2013.gad</w:t>
      </w:r>
      <w:r w:rsidR="003F20B3">
        <w:rPr>
          <w:sz w:val="28"/>
          <w:szCs w:val="28"/>
        </w:rPr>
        <w:t>u</w:t>
      </w:r>
      <w:proofErr w:type="gramEnd"/>
      <w:r>
        <w:rPr>
          <w:sz w:val="28"/>
          <w:szCs w:val="28"/>
        </w:rPr>
        <w:t>, to</w:t>
      </w:r>
      <w:r w:rsidR="00F87237">
        <w:rPr>
          <w:sz w:val="28"/>
          <w:szCs w:val="28"/>
        </w:rPr>
        <w:t xml:space="preserve"> salīdzinot </w:t>
      </w:r>
      <w:r>
        <w:rPr>
          <w:sz w:val="28"/>
          <w:szCs w:val="28"/>
        </w:rPr>
        <w:t xml:space="preserve">ar </w:t>
      </w:r>
      <w:r w:rsidR="00F87237">
        <w:rPr>
          <w:sz w:val="28"/>
          <w:szCs w:val="28"/>
        </w:rPr>
        <w:t>2014.</w:t>
      </w:r>
      <w:r w:rsidR="00F87237" w:rsidRPr="00E30CAF">
        <w:rPr>
          <w:sz w:val="28"/>
          <w:szCs w:val="28"/>
        </w:rPr>
        <w:t xml:space="preserve">gada </w:t>
      </w:r>
      <w:r w:rsidRPr="00E30CAF">
        <w:rPr>
          <w:sz w:val="28"/>
          <w:szCs w:val="28"/>
        </w:rPr>
        <w:t>3.</w:t>
      </w:r>
      <w:r w:rsidR="00F87237" w:rsidRPr="00E30CAF">
        <w:rPr>
          <w:sz w:val="28"/>
          <w:szCs w:val="28"/>
        </w:rPr>
        <w:t>ceturkšņa</w:t>
      </w:r>
      <w:r w:rsidR="00F87237">
        <w:rPr>
          <w:sz w:val="28"/>
          <w:szCs w:val="28"/>
        </w:rPr>
        <w:t xml:space="preserve"> </w:t>
      </w:r>
      <w:r>
        <w:rPr>
          <w:sz w:val="28"/>
          <w:szCs w:val="28"/>
        </w:rPr>
        <w:t>un</w:t>
      </w:r>
      <w:r w:rsidR="00F87237">
        <w:rPr>
          <w:sz w:val="28"/>
          <w:szCs w:val="28"/>
        </w:rPr>
        <w:t xml:space="preserve"> atbilstoš</w:t>
      </w:r>
      <w:r>
        <w:rPr>
          <w:sz w:val="28"/>
          <w:szCs w:val="28"/>
        </w:rPr>
        <w:t>a perioda</w:t>
      </w:r>
      <w:r w:rsidR="00F87237">
        <w:rPr>
          <w:sz w:val="28"/>
          <w:szCs w:val="28"/>
        </w:rPr>
        <w:t xml:space="preserve"> 2015.gadā</w:t>
      </w:r>
      <w:r>
        <w:rPr>
          <w:sz w:val="28"/>
          <w:szCs w:val="28"/>
        </w:rPr>
        <w:t xml:space="preserve"> datiem</w:t>
      </w:r>
      <w:r w:rsidR="00F87237">
        <w:rPr>
          <w:sz w:val="28"/>
          <w:szCs w:val="28"/>
        </w:rPr>
        <w:t>, nodrošinot, ka dati ir savstarpēji salīdzināmi.</w:t>
      </w:r>
    </w:p>
    <w:p w:rsidR="00C117D6" w:rsidRDefault="00654D13" w:rsidP="00C117D6">
      <w:pPr>
        <w:pStyle w:val="Komentrateksts"/>
        <w:jc w:val="both"/>
        <w:rPr>
          <w:sz w:val="28"/>
          <w:szCs w:val="28"/>
        </w:rPr>
      </w:pPr>
      <w:r>
        <w:rPr>
          <w:sz w:val="28"/>
          <w:szCs w:val="28"/>
        </w:rPr>
        <w:tab/>
      </w:r>
      <w:r w:rsidR="004A7EE1">
        <w:rPr>
          <w:sz w:val="28"/>
          <w:szCs w:val="28"/>
        </w:rPr>
        <w:t xml:space="preserve">Ņemot vērā, </w:t>
      </w:r>
      <w:r w:rsidR="00F87237">
        <w:rPr>
          <w:sz w:val="28"/>
          <w:szCs w:val="28"/>
        </w:rPr>
        <w:t xml:space="preserve">Zemesgrāmatu likuma pārejas noteikumu 17.punktā dotā uzdevuma </w:t>
      </w:r>
      <w:r w:rsidR="004A7EE1">
        <w:rPr>
          <w:sz w:val="28"/>
          <w:szCs w:val="28"/>
        </w:rPr>
        <w:t>ietvaru, analizēti tie gadījumi, kad saskaņā ar Noteikumiem Nr.1250 maksājama valsts nodeva</w:t>
      </w:r>
      <w:r w:rsidR="00F87237">
        <w:rPr>
          <w:sz w:val="28"/>
          <w:szCs w:val="28"/>
        </w:rPr>
        <w:t xml:space="preserve"> par īpašuma tiesību nostiprināšanu</w:t>
      </w:r>
      <w:r w:rsidR="00C117D6">
        <w:rPr>
          <w:sz w:val="28"/>
          <w:szCs w:val="28"/>
        </w:rPr>
        <w:t xml:space="preserve"> zemesgrāmatā</w:t>
      </w:r>
      <w:r w:rsidR="004A7EE1">
        <w:rPr>
          <w:sz w:val="28"/>
          <w:szCs w:val="28"/>
        </w:rPr>
        <w:t xml:space="preserve">, proti, </w:t>
      </w:r>
      <w:r w:rsidR="00C117D6">
        <w:rPr>
          <w:sz w:val="28"/>
          <w:szCs w:val="28"/>
        </w:rPr>
        <w:t xml:space="preserve">tajos gadījumos, kad nostiprinājuma lūguma pamatā ir </w:t>
      </w:r>
      <w:r w:rsidR="004A7EE1">
        <w:rPr>
          <w:sz w:val="28"/>
          <w:szCs w:val="28"/>
        </w:rPr>
        <w:t>pirkuma</w:t>
      </w:r>
      <w:r w:rsidR="00C117D6">
        <w:rPr>
          <w:sz w:val="28"/>
          <w:szCs w:val="28"/>
        </w:rPr>
        <w:t xml:space="preserve"> līgums</w:t>
      </w:r>
      <w:r w:rsidR="004A7EE1">
        <w:rPr>
          <w:sz w:val="28"/>
          <w:szCs w:val="28"/>
        </w:rPr>
        <w:t xml:space="preserve">, dāvinājuma līgumus, </w:t>
      </w:r>
      <w:r w:rsidR="00C117D6" w:rsidRPr="002E2F46">
        <w:rPr>
          <w:sz w:val="28"/>
          <w:szCs w:val="28"/>
        </w:rPr>
        <w:t xml:space="preserve">kā arī </w:t>
      </w:r>
      <w:r w:rsidR="004A7EE1" w:rsidRPr="002E2F46">
        <w:rPr>
          <w:sz w:val="28"/>
          <w:szCs w:val="28"/>
        </w:rPr>
        <w:t>īpašuma iegūšana un tie</w:t>
      </w:r>
      <w:r w:rsidR="00C117D6" w:rsidRPr="002E2F46">
        <w:rPr>
          <w:sz w:val="28"/>
          <w:szCs w:val="28"/>
        </w:rPr>
        <w:t xml:space="preserve">sas nolēmuma pamata </w:t>
      </w:r>
      <w:r w:rsidR="00A4411A" w:rsidRPr="002E2F46">
        <w:rPr>
          <w:sz w:val="28"/>
          <w:szCs w:val="28"/>
        </w:rPr>
        <w:t>vai lietās par apstiprināšanu mantojuma tiesībās</w:t>
      </w:r>
      <w:r>
        <w:rPr>
          <w:sz w:val="28"/>
          <w:szCs w:val="28"/>
        </w:rPr>
        <w:t>,</w:t>
      </w:r>
      <w:r w:rsidR="00A4411A" w:rsidRPr="002E2F46">
        <w:rPr>
          <w:sz w:val="28"/>
          <w:szCs w:val="28"/>
        </w:rPr>
        <w:t xml:space="preserve"> lietās par pēdējās gribas rīkojuma akta vai mantojuma līguma stāšanos likumīgā spēkā (turpmāk – Mantošanas lietās)</w:t>
      </w:r>
      <w:r w:rsidR="004A7EE1" w:rsidRPr="002E2F46">
        <w:rPr>
          <w:sz w:val="28"/>
          <w:szCs w:val="28"/>
        </w:rPr>
        <w:t xml:space="preserve">. </w:t>
      </w:r>
      <w:r w:rsidR="00F87237" w:rsidRPr="002E2F46">
        <w:rPr>
          <w:sz w:val="28"/>
          <w:szCs w:val="28"/>
        </w:rPr>
        <w:t>Ņemot vērā gadījumu, kad nekustamais īpašums ieguldīts kapitālsab</w:t>
      </w:r>
      <w:r w:rsidR="00F819B7" w:rsidRPr="002E2F46">
        <w:rPr>
          <w:sz w:val="28"/>
          <w:szCs w:val="28"/>
        </w:rPr>
        <w:t>iedrības</w:t>
      </w:r>
      <w:r w:rsidR="00F819B7" w:rsidRPr="00673B20">
        <w:rPr>
          <w:sz w:val="28"/>
          <w:szCs w:val="28"/>
        </w:rPr>
        <w:t xml:space="preserve"> pamatkapitālā</w:t>
      </w:r>
      <w:r w:rsidR="006C58A7" w:rsidRPr="00673B20">
        <w:rPr>
          <w:sz w:val="28"/>
          <w:szCs w:val="28"/>
        </w:rPr>
        <w:t xml:space="preserve"> (0,1</w:t>
      </w:r>
      <w:r w:rsidR="007D2B62">
        <w:rPr>
          <w:sz w:val="28"/>
          <w:szCs w:val="28"/>
        </w:rPr>
        <w:t> </w:t>
      </w:r>
      <w:r w:rsidR="006C58A7" w:rsidRPr="00673B20">
        <w:rPr>
          <w:sz w:val="28"/>
          <w:szCs w:val="28"/>
        </w:rPr>
        <w:t>% no visiem darījumiem), maiņas līguma (0,7%</w:t>
      </w:r>
      <w:r w:rsidR="00F819B7" w:rsidRPr="00673B20">
        <w:rPr>
          <w:sz w:val="28"/>
          <w:szCs w:val="28"/>
        </w:rPr>
        <w:t xml:space="preserve"> </w:t>
      </w:r>
      <w:r w:rsidR="006C58A7" w:rsidRPr="00673B20">
        <w:rPr>
          <w:sz w:val="28"/>
          <w:szCs w:val="28"/>
        </w:rPr>
        <w:t xml:space="preserve">no visiem darījumiem) un uztura līguma (1% no visiem darījumiem) </w:t>
      </w:r>
      <w:r w:rsidR="00F819B7" w:rsidRPr="00673B20">
        <w:rPr>
          <w:sz w:val="28"/>
          <w:szCs w:val="28"/>
        </w:rPr>
        <w:t>nebūtisko apjomu</w:t>
      </w:r>
      <w:r w:rsidR="006C58A7" w:rsidRPr="00673B20">
        <w:rPr>
          <w:sz w:val="28"/>
          <w:szCs w:val="28"/>
        </w:rPr>
        <w:t xml:space="preserve">, </w:t>
      </w:r>
      <w:r w:rsidR="00F819B7" w:rsidRPr="00673B20">
        <w:rPr>
          <w:sz w:val="28"/>
          <w:szCs w:val="28"/>
        </w:rPr>
        <w:t xml:space="preserve">datu analīzē </w:t>
      </w:r>
      <w:r w:rsidR="006C58A7" w:rsidRPr="00673B20">
        <w:rPr>
          <w:sz w:val="28"/>
          <w:szCs w:val="28"/>
        </w:rPr>
        <w:t>šie gadījumi</w:t>
      </w:r>
      <w:r w:rsidR="00F819B7" w:rsidRPr="00673B20">
        <w:rPr>
          <w:sz w:val="28"/>
          <w:szCs w:val="28"/>
        </w:rPr>
        <w:t xml:space="preserve"> netiek iekļauti.</w:t>
      </w:r>
    </w:p>
    <w:p w:rsidR="00673B20" w:rsidRDefault="00673B20" w:rsidP="00C117D6">
      <w:pPr>
        <w:pStyle w:val="Komentrateksts"/>
        <w:jc w:val="both"/>
        <w:rPr>
          <w:sz w:val="28"/>
          <w:szCs w:val="28"/>
        </w:rPr>
      </w:pPr>
      <w:r w:rsidRPr="005825FF">
        <w:rPr>
          <w:sz w:val="28"/>
          <w:szCs w:val="28"/>
        </w:rPr>
        <w:tab/>
        <w:t xml:space="preserve">Atkarībā no </w:t>
      </w:r>
      <w:r w:rsidR="005825FF" w:rsidRPr="005825FF">
        <w:rPr>
          <w:sz w:val="28"/>
          <w:szCs w:val="28"/>
        </w:rPr>
        <w:t xml:space="preserve">atsavināšanas </w:t>
      </w:r>
      <w:r w:rsidR="005825FF">
        <w:rPr>
          <w:sz w:val="28"/>
          <w:szCs w:val="28"/>
        </w:rPr>
        <w:t>veida</w:t>
      </w:r>
      <w:r w:rsidRPr="005825FF">
        <w:rPr>
          <w:sz w:val="28"/>
          <w:szCs w:val="28"/>
        </w:rPr>
        <w:t xml:space="preserve"> var būt atšķirīgi to izpildes nosacījumi, piemēram,</w:t>
      </w:r>
      <w:r w:rsidR="005825FF" w:rsidRPr="005825FF">
        <w:rPr>
          <w:sz w:val="28"/>
          <w:szCs w:val="28"/>
        </w:rPr>
        <w:t xml:space="preserve"> pirkuma līguma gadījumā, ja tiek atsavināt</w:t>
      </w:r>
      <w:r w:rsidR="00505DF1">
        <w:rPr>
          <w:sz w:val="28"/>
          <w:szCs w:val="28"/>
        </w:rPr>
        <w:t>s</w:t>
      </w:r>
      <w:r w:rsidR="00654D13">
        <w:rPr>
          <w:sz w:val="28"/>
          <w:szCs w:val="28"/>
        </w:rPr>
        <w:t xml:space="preserve"> nekustamais īpašums, kura sastāvā ir zeme</w:t>
      </w:r>
      <w:r w:rsidR="005825FF" w:rsidRPr="005825FF">
        <w:rPr>
          <w:sz w:val="28"/>
          <w:szCs w:val="28"/>
        </w:rPr>
        <w:t xml:space="preserve">, </w:t>
      </w:r>
      <w:r w:rsidR="00654D13">
        <w:rPr>
          <w:sz w:val="28"/>
          <w:szCs w:val="28"/>
        </w:rPr>
        <w:t xml:space="preserve">pēc pirkuma līguma noslēgšanas tas </w:t>
      </w:r>
      <w:r w:rsidR="005825FF" w:rsidRPr="005825FF">
        <w:rPr>
          <w:sz w:val="28"/>
          <w:szCs w:val="28"/>
        </w:rPr>
        <w:t>iesnied</w:t>
      </w:r>
      <w:r w:rsidR="00654D13">
        <w:rPr>
          <w:sz w:val="28"/>
          <w:szCs w:val="28"/>
        </w:rPr>
        <w:t>zams pašvaldībā, lai tā izlemtu par pirmpirkuma tiesību izmantošanu,</w:t>
      </w:r>
      <w:r w:rsidR="005825FF" w:rsidRPr="005825FF">
        <w:rPr>
          <w:sz w:val="28"/>
          <w:szCs w:val="28"/>
        </w:rPr>
        <w:t xml:space="preserve"> vai arī lai saņemtu pašvaldības prie</w:t>
      </w:r>
      <w:r w:rsidR="00654D13">
        <w:rPr>
          <w:sz w:val="28"/>
          <w:szCs w:val="28"/>
        </w:rPr>
        <w:t>kšsēdētāja piekrišanu darījumam. S</w:t>
      </w:r>
      <w:r w:rsidR="005825FF" w:rsidRPr="005825FF">
        <w:rPr>
          <w:sz w:val="28"/>
          <w:szCs w:val="28"/>
        </w:rPr>
        <w:t>avukārt</w:t>
      </w:r>
      <w:r w:rsidRPr="005825FF">
        <w:rPr>
          <w:sz w:val="28"/>
          <w:szCs w:val="28"/>
        </w:rPr>
        <w:t xml:space="preserve"> tiesas nolēmuma gadījumā </w:t>
      </w:r>
      <w:r w:rsidR="005825FF" w:rsidRPr="005825FF">
        <w:rPr>
          <w:sz w:val="28"/>
          <w:szCs w:val="28"/>
        </w:rPr>
        <w:t xml:space="preserve">tikai </w:t>
      </w:r>
      <w:r w:rsidR="005825FF" w:rsidRPr="005825FF">
        <w:rPr>
          <w:iCs/>
          <w:sz w:val="28"/>
          <w:szCs w:val="28"/>
        </w:rPr>
        <w:t xml:space="preserve">ar tiesas nolēmuma spēkā stāšanās datumu var tikt </w:t>
      </w:r>
      <w:r w:rsidR="00654D13">
        <w:rPr>
          <w:iCs/>
          <w:sz w:val="28"/>
          <w:szCs w:val="28"/>
        </w:rPr>
        <w:t>iesniegts</w:t>
      </w:r>
      <w:r w:rsidR="005825FF" w:rsidRPr="005825FF">
        <w:rPr>
          <w:iCs/>
          <w:sz w:val="28"/>
          <w:szCs w:val="28"/>
        </w:rPr>
        <w:t xml:space="preserve"> nostiprinājuma lūgums tiesību nostiprināšana</w:t>
      </w:r>
      <w:r w:rsidRPr="005825FF">
        <w:rPr>
          <w:sz w:val="28"/>
          <w:szCs w:val="28"/>
        </w:rPr>
        <w:t xml:space="preserve">. </w:t>
      </w:r>
      <w:r w:rsidR="005825FF">
        <w:rPr>
          <w:sz w:val="28"/>
          <w:szCs w:val="28"/>
        </w:rPr>
        <w:t xml:space="preserve">Ievērojot minēto, </w:t>
      </w:r>
      <w:r w:rsidR="00654D13">
        <w:rPr>
          <w:sz w:val="28"/>
          <w:szCs w:val="28"/>
        </w:rPr>
        <w:t xml:space="preserve">lai </w:t>
      </w:r>
      <w:r w:rsidR="00654D13">
        <w:rPr>
          <w:sz w:val="28"/>
          <w:szCs w:val="28"/>
        </w:rPr>
        <w:lastRenderedPageBreak/>
        <w:t xml:space="preserve">gūtu </w:t>
      </w:r>
      <w:r w:rsidR="005825FF">
        <w:rPr>
          <w:sz w:val="28"/>
          <w:szCs w:val="28"/>
        </w:rPr>
        <w:t>vispusīgu</w:t>
      </w:r>
      <w:r w:rsidR="00654D13">
        <w:rPr>
          <w:sz w:val="28"/>
          <w:szCs w:val="28"/>
        </w:rPr>
        <w:t xml:space="preserve"> novērtējumu par</w:t>
      </w:r>
      <w:r w:rsidR="003076F5">
        <w:rPr>
          <w:sz w:val="28"/>
          <w:szCs w:val="28"/>
        </w:rPr>
        <w:t xml:space="preserve"> Īpašuma tiesību</w:t>
      </w:r>
      <w:r w:rsidR="005825FF">
        <w:rPr>
          <w:sz w:val="28"/>
          <w:szCs w:val="28"/>
        </w:rPr>
        <w:t xml:space="preserve"> valsts nodevas diferenciāci</w:t>
      </w:r>
      <w:r w:rsidR="00654D13">
        <w:rPr>
          <w:sz w:val="28"/>
          <w:szCs w:val="28"/>
        </w:rPr>
        <w:t>jas ietekmi, to ietekme analizēt</w:t>
      </w:r>
      <w:r w:rsidR="00505DF1">
        <w:rPr>
          <w:sz w:val="28"/>
          <w:szCs w:val="28"/>
        </w:rPr>
        <w:t>a</w:t>
      </w:r>
      <w:r w:rsidR="00654D13">
        <w:rPr>
          <w:sz w:val="28"/>
          <w:szCs w:val="28"/>
        </w:rPr>
        <w:t xml:space="preserve"> pret katru iepriekš minēto nekustamā īpašuma atsavināšanas veidu. </w:t>
      </w:r>
    </w:p>
    <w:p w:rsidR="00EB3A4C" w:rsidRDefault="00EB3A4C" w:rsidP="00C117D6">
      <w:pPr>
        <w:pStyle w:val="Komentrateksts"/>
        <w:tabs>
          <w:tab w:val="left" w:pos="720"/>
          <w:tab w:val="left" w:pos="5190"/>
        </w:tabs>
        <w:jc w:val="both"/>
        <w:rPr>
          <w:sz w:val="28"/>
          <w:szCs w:val="28"/>
        </w:rPr>
      </w:pPr>
      <w:r>
        <w:rPr>
          <w:sz w:val="28"/>
          <w:szCs w:val="28"/>
        </w:rPr>
        <w:tab/>
        <w:t>Pirkum</w:t>
      </w:r>
      <w:r w:rsidR="00505DF1">
        <w:rPr>
          <w:sz w:val="28"/>
          <w:szCs w:val="28"/>
        </w:rPr>
        <w:t>a</w:t>
      </w:r>
      <w:r>
        <w:rPr>
          <w:sz w:val="28"/>
          <w:szCs w:val="28"/>
        </w:rPr>
        <w:t xml:space="preserve"> līgums ir viens no populārākajiem īpašuma iegūšanas veidiem</w:t>
      </w:r>
      <w:r w:rsidR="005825FF">
        <w:rPr>
          <w:sz w:val="28"/>
          <w:szCs w:val="28"/>
        </w:rPr>
        <w:t>. Sa</w:t>
      </w:r>
      <w:r w:rsidR="00352D1D">
        <w:rPr>
          <w:sz w:val="28"/>
          <w:szCs w:val="28"/>
        </w:rPr>
        <w:t xml:space="preserve">līdzinot pret visiem </w:t>
      </w:r>
      <w:r w:rsidR="00654D13">
        <w:rPr>
          <w:sz w:val="28"/>
          <w:szCs w:val="28"/>
        </w:rPr>
        <w:t>īpašuma tiesību atsavināšanas veidiem</w:t>
      </w:r>
      <w:r w:rsidR="00352D1D">
        <w:rPr>
          <w:sz w:val="28"/>
          <w:szCs w:val="28"/>
        </w:rPr>
        <w:t>, īpašuma tiesības uz pirkuma līguma pamata tiek iegūta</w:t>
      </w:r>
      <w:r w:rsidR="00505DF1">
        <w:rPr>
          <w:sz w:val="28"/>
          <w:szCs w:val="28"/>
        </w:rPr>
        <w:t>s</w:t>
      </w:r>
      <w:r w:rsidR="00352D1D">
        <w:rPr>
          <w:sz w:val="28"/>
          <w:szCs w:val="28"/>
        </w:rPr>
        <w:t xml:space="preserve"> 66</w:t>
      </w:r>
      <w:r w:rsidR="003074E6">
        <w:rPr>
          <w:sz w:val="28"/>
          <w:szCs w:val="28"/>
        </w:rPr>
        <w:t> </w:t>
      </w:r>
      <w:r w:rsidR="00352D1D">
        <w:rPr>
          <w:sz w:val="28"/>
          <w:szCs w:val="28"/>
        </w:rPr>
        <w:t xml:space="preserve">% gadījumos. </w:t>
      </w:r>
    </w:p>
    <w:tbl>
      <w:tblPr>
        <w:tblW w:w="9096" w:type="dxa"/>
        <w:tblInd w:w="93" w:type="dxa"/>
        <w:tblLook w:val="04A0" w:firstRow="1" w:lastRow="0" w:firstColumn="1" w:lastColumn="0" w:noHBand="0" w:noVBand="1"/>
      </w:tblPr>
      <w:tblGrid>
        <w:gridCol w:w="3229"/>
        <w:gridCol w:w="1445"/>
        <w:gridCol w:w="868"/>
        <w:gridCol w:w="1250"/>
        <w:gridCol w:w="756"/>
        <w:gridCol w:w="774"/>
        <w:gridCol w:w="774"/>
      </w:tblGrid>
      <w:tr w:rsidR="00135F72" w:rsidRPr="00135F72" w:rsidTr="00E30CAF">
        <w:trPr>
          <w:trHeight w:val="533"/>
        </w:trPr>
        <w:tc>
          <w:tcPr>
            <w:tcW w:w="323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Iegūšanas pamats</w:t>
            </w:r>
          </w:p>
        </w:tc>
        <w:tc>
          <w:tcPr>
            <w:tcW w:w="5865" w:type="dxa"/>
            <w:gridSpan w:val="6"/>
            <w:tcBorders>
              <w:top w:val="single" w:sz="12" w:space="0" w:color="auto"/>
              <w:left w:val="nil"/>
              <w:bottom w:val="single" w:sz="4" w:space="0" w:color="auto"/>
              <w:right w:val="single" w:sz="12" w:space="0" w:color="000000"/>
            </w:tcBorders>
            <w:shd w:val="clear" w:color="auto" w:fill="auto"/>
            <w:vAlign w:val="bottom"/>
            <w:hideMark/>
          </w:tcPr>
          <w:p w:rsidR="00135F72" w:rsidRPr="00135F72" w:rsidRDefault="00135F72" w:rsidP="00CA4826">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 xml:space="preserve">Pirkuma līgums </w:t>
            </w:r>
          </w:p>
        </w:tc>
      </w:tr>
      <w:tr w:rsidR="00135F72" w:rsidRPr="00505DF1" w:rsidTr="00E30CAF">
        <w:trPr>
          <w:trHeight w:val="732"/>
        </w:trPr>
        <w:tc>
          <w:tcPr>
            <w:tcW w:w="3231" w:type="dxa"/>
            <w:tcBorders>
              <w:top w:val="nil"/>
              <w:left w:val="single" w:sz="12" w:space="0" w:color="auto"/>
              <w:bottom w:val="single" w:sz="4" w:space="0" w:color="auto"/>
              <w:right w:val="single" w:sz="12" w:space="0" w:color="auto"/>
            </w:tcBorders>
            <w:shd w:val="clear" w:color="auto" w:fill="auto"/>
            <w:vAlign w:val="bottom"/>
            <w:hideMark/>
          </w:tcPr>
          <w:p w:rsidR="00135F72" w:rsidRPr="00A91E2E" w:rsidRDefault="00135F72" w:rsidP="00135F72">
            <w:pPr>
              <w:spacing w:after="0" w:line="240" w:lineRule="auto"/>
              <w:jc w:val="center"/>
              <w:rPr>
                <w:rFonts w:ascii="Times New Roman" w:eastAsia="Times New Roman" w:hAnsi="Times New Roman" w:cs="Times New Roman"/>
                <w:b/>
                <w:color w:val="000000"/>
                <w:sz w:val="24"/>
                <w:szCs w:val="24"/>
                <w:lang w:eastAsia="lv-LV"/>
              </w:rPr>
            </w:pPr>
            <w:r w:rsidRPr="00A91E2E">
              <w:rPr>
                <w:rFonts w:ascii="Times New Roman" w:eastAsia="Times New Roman" w:hAnsi="Times New Roman" w:cs="Times New Roman"/>
                <w:b/>
                <w:color w:val="000000"/>
                <w:sz w:val="24"/>
                <w:szCs w:val="24"/>
                <w:lang w:eastAsia="lv-LV"/>
              </w:rPr>
              <w:t>Laiks no dokumenta parakstīšanas līdz nostiprinājuma lūguma iesniegšanai</w:t>
            </w:r>
            <w:r w:rsidR="00557B66">
              <w:rPr>
                <w:rFonts w:ascii="Times New Roman" w:eastAsia="Times New Roman" w:hAnsi="Times New Roman" w:cs="Times New Roman"/>
                <w:b/>
                <w:color w:val="000000"/>
                <w:sz w:val="24"/>
                <w:szCs w:val="24"/>
                <w:lang w:eastAsia="lv-LV"/>
              </w:rPr>
              <w:t xml:space="preserve"> </w:t>
            </w:r>
            <w:r w:rsidR="00557B66" w:rsidRPr="00D1776B">
              <w:rPr>
                <w:rFonts w:ascii="Times New Roman" w:eastAsia="Times New Roman" w:hAnsi="Times New Roman" w:cs="Times New Roman"/>
                <w:b/>
                <w:color w:val="000000"/>
                <w:sz w:val="24"/>
                <w:szCs w:val="24"/>
                <w:lang w:eastAsia="lv-LV"/>
              </w:rPr>
              <w:t>(% no visiem pirkuma līgumiem)</w:t>
            </w:r>
          </w:p>
        </w:tc>
        <w:tc>
          <w:tcPr>
            <w:tcW w:w="2313" w:type="dxa"/>
            <w:gridSpan w:val="2"/>
            <w:tcBorders>
              <w:top w:val="single" w:sz="4" w:space="0" w:color="auto"/>
              <w:left w:val="nil"/>
              <w:bottom w:val="single" w:sz="4" w:space="0" w:color="auto"/>
              <w:right w:val="single" w:sz="4" w:space="0" w:color="auto"/>
            </w:tcBorders>
            <w:shd w:val="clear" w:color="auto" w:fill="auto"/>
            <w:vAlign w:val="bottom"/>
            <w:hideMark/>
          </w:tcPr>
          <w:p w:rsidR="00135F72" w:rsidRPr="00A91E2E" w:rsidRDefault="00135F72" w:rsidP="00135F72">
            <w:pPr>
              <w:spacing w:after="0" w:line="240" w:lineRule="auto"/>
              <w:jc w:val="center"/>
              <w:rPr>
                <w:rFonts w:ascii="Times New Roman" w:eastAsia="Times New Roman" w:hAnsi="Times New Roman" w:cs="Times New Roman"/>
                <w:b/>
                <w:color w:val="000000"/>
                <w:sz w:val="24"/>
                <w:szCs w:val="24"/>
                <w:lang w:eastAsia="lv-LV"/>
              </w:rPr>
            </w:pPr>
            <w:proofErr w:type="gramStart"/>
            <w:r w:rsidRPr="00A91E2E">
              <w:rPr>
                <w:rFonts w:ascii="Times New Roman" w:eastAsia="Times New Roman" w:hAnsi="Times New Roman" w:cs="Times New Roman"/>
                <w:b/>
                <w:color w:val="000000"/>
                <w:sz w:val="24"/>
                <w:szCs w:val="24"/>
                <w:lang w:eastAsia="lv-LV"/>
              </w:rPr>
              <w:t>2013</w:t>
            </w:r>
            <w:r w:rsidR="00505DF1">
              <w:rPr>
                <w:rFonts w:ascii="Times New Roman" w:eastAsia="Times New Roman" w:hAnsi="Times New Roman" w:cs="Times New Roman"/>
                <w:b/>
                <w:color w:val="000000"/>
                <w:sz w:val="24"/>
                <w:szCs w:val="24"/>
                <w:lang w:eastAsia="lv-LV"/>
              </w:rPr>
              <w:t>.</w:t>
            </w:r>
            <w:r w:rsidR="00557B66">
              <w:rPr>
                <w:rFonts w:ascii="Times New Roman" w:eastAsia="Times New Roman" w:hAnsi="Times New Roman" w:cs="Times New Roman"/>
                <w:b/>
                <w:color w:val="000000"/>
                <w:sz w:val="24"/>
                <w:szCs w:val="24"/>
                <w:lang w:eastAsia="lv-LV"/>
              </w:rPr>
              <w:t>gads</w:t>
            </w:r>
            <w:proofErr w:type="gramEnd"/>
            <w:r w:rsidR="00557B66">
              <w:rPr>
                <w:rFonts w:ascii="Times New Roman" w:eastAsia="Times New Roman" w:hAnsi="Times New Roman" w:cs="Times New Roman"/>
                <w:b/>
                <w:color w:val="000000"/>
                <w:sz w:val="24"/>
                <w:szCs w:val="24"/>
                <w:lang w:eastAsia="lv-LV"/>
              </w:rPr>
              <w:t xml:space="preserve"> </w:t>
            </w:r>
          </w:p>
        </w:tc>
        <w:tc>
          <w:tcPr>
            <w:tcW w:w="2004" w:type="dxa"/>
            <w:gridSpan w:val="2"/>
            <w:tcBorders>
              <w:top w:val="single" w:sz="4" w:space="0" w:color="auto"/>
              <w:left w:val="nil"/>
              <w:bottom w:val="single" w:sz="4" w:space="0" w:color="auto"/>
              <w:right w:val="single" w:sz="4" w:space="0" w:color="auto"/>
            </w:tcBorders>
            <w:shd w:val="clear" w:color="auto" w:fill="auto"/>
            <w:vAlign w:val="bottom"/>
            <w:hideMark/>
          </w:tcPr>
          <w:p w:rsidR="00135F72" w:rsidRPr="00A91E2E" w:rsidRDefault="00135F72" w:rsidP="00557B66">
            <w:pPr>
              <w:spacing w:after="0" w:line="240" w:lineRule="auto"/>
              <w:jc w:val="center"/>
              <w:rPr>
                <w:rFonts w:ascii="Times New Roman" w:eastAsia="Times New Roman" w:hAnsi="Times New Roman" w:cs="Times New Roman"/>
                <w:b/>
                <w:color w:val="000000"/>
                <w:sz w:val="24"/>
                <w:szCs w:val="24"/>
                <w:lang w:eastAsia="lv-LV"/>
              </w:rPr>
            </w:pPr>
            <w:proofErr w:type="gramStart"/>
            <w:r w:rsidRPr="00A91E2E">
              <w:rPr>
                <w:rFonts w:ascii="Times New Roman" w:eastAsia="Times New Roman" w:hAnsi="Times New Roman" w:cs="Times New Roman"/>
                <w:b/>
                <w:color w:val="000000"/>
                <w:sz w:val="24"/>
                <w:szCs w:val="24"/>
                <w:lang w:eastAsia="lv-LV"/>
              </w:rPr>
              <w:t>2014.</w:t>
            </w:r>
            <w:r w:rsidR="000E580A">
              <w:rPr>
                <w:rFonts w:ascii="Times New Roman" w:eastAsia="Times New Roman" w:hAnsi="Times New Roman" w:cs="Times New Roman"/>
                <w:b/>
                <w:color w:val="000000"/>
                <w:sz w:val="24"/>
                <w:szCs w:val="24"/>
                <w:lang w:eastAsia="lv-LV"/>
              </w:rPr>
              <w:t>gada</w:t>
            </w:r>
            <w:proofErr w:type="gramEnd"/>
            <w:r w:rsidRPr="00A91E2E">
              <w:rPr>
                <w:rFonts w:ascii="Times New Roman" w:eastAsia="Times New Roman" w:hAnsi="Times New Roman" w:cs="Times New Roman"/>
                <w:b/>
                <w:color w:val="000000"/>
                <w:sz w:val="24"/>
                <w:szCs w:val="24"/>
                <w:lang w:eastAsia="lv-LV"/>
              </w:rPr>
              <w:t xml:space="preserve"> </w:t>
            </w:r>
            <w:r w:rsidR="00557B66">
              <w:rPr>
                <w:rFonts w:ascii="Times New Roman" w:eastAsia="Times New Roman" w:hAnsi="Times New Roman" w:cs="Times New Roman"/>
                <w:b/>
                <w:color w:val="000000"/>
                <w:sz w:val="24"/>
                <w:szCs w:val="24"/>
                <w:lang w:eastAsia="lv-LV"/>
              </w:rPr>
              <w:t>3</w:t>
            </w:r>
            <w:r w:rsidR="00E30CAF">
              <w:rPr>
                <w:rFonts w:ascii="Times New Roman" w:eastAsia="Times New Roman" w:hAnsi="Times New Roman" w:cs="Times New Roman"/>
                <w:b/>
                <w:color w:val="000000"/>
                <w:sz w:val="24"/>
                <w:szCs w:val="24"/>
                <w:lang w:eastAsia="lv-LV"/>
              </w:rPr>
              <w:t>.</w:t>
            </w:r>
            <w:r w:rsidR="00557B66" w:rsidRPr="00A91E2E">
              <w:rPr>
                <w:rFonts w:ascii="Times New Roman" w:eastAsia="Times New Roman" w:hAnsi="Times New Roman" w:cs="Times New Roman"/>
                <w:b/>
                <w:color w:val="000000"/>
                <w:sz w:val="24"/>
                <w:szCs w:val="24"/>
                <w:lang w:eastAsia="lv-LV"/>
              </w:rPr>
              <w:t xml:space="preserve"> </w:t>
            </w:r>
            <w:r w:rsidRPr="00A91E2E">
              <w:rPr>
                <w:rFonts w:ascii="Times New Roman" w:eastAsia="Times New Roman" w:hAnsi="Times New Roman" w:cs="Times New Roman"/>
                <w:b/>
                <w:color w:val="000000"/>
                <w:sz w:val="24"/>
                <w:szCs w:val="24"/>
                <w:lang w:eastAsia="lv-LV"/>
              </w:rPr>
              <w:t>cet.</w:t>
            </w:r>
          </w:p>
        </w:tc>
        <w:tc>
          <w:tcPr>
            <w:tcW w:w="1548" w:type="dxa"/>
            <w:gridSpan w:val="2"/>
            <w:tcBorders>
              <w:top w:val="single" w:sz="4" w:space="0" w:color="auto"/>
              <w:left w:val="nil"/>
              <w:bottom w:val="single" w:sz="4" w:space="0" w:color="auto"/>
              <w:right w:val="single" w:sz="12" w:space="0" w:color="000000"/>
            </w:tcBorders>
            <w:shd w:val="clear" w:color="auto" w:fill="auto"/>
            <w:vAlign w:val="bottom"/>
            <w:hideMark/>
          </w:tcPr>
          <w:p w:rsidR="00135F72" w:rsidRPr="00A91E2E" w:rsidRDefault="00135F72" w:rsidP="00557B66">
            <w:pPr>
              <w:spacing w:after="0" w:line="240" w:lineRule="auto"/>
              <w:jc w:val="center"/>
              <w:rPr>
                <w:rFonts w:ascii="Times New Roman" w:eastAsia="Times New Roman" w:hAnsi="Times New Roman" w:cs="Times New Roman"/>
                <w:b/>
                <w:color w:val="000000"/>
                <w:sz w:val="24"/>
                <w:szCs w:val="24"/>
                <w:lang w:eastAsia="lv-LV"/>
              </w:rPr>
            </w:pPr>
            <w:proofErr w:type="gramStart"/>
            <w:r w:rsidRPr="00A91E2E">
              <w:rPr>
                <w:rFonts w:ascii="Times New Roman" w:eastAsia="Times New Roman" w:hAnsi="Times New Roman" w:cs="Times New Roman"/>
                <w:b/>
                <w:color w:val="000000"/>
                <w:sz w:val="24"/>
                <w:szCs w:val="24"/>
                <w:lang w:eastAsia="lv-LV"/>
              </w:rPr>
              <w:t>2015.</w:t>
            </w:r>
            <w:r w:rsidR="000E580A">
              <w:rPr>
                <w:rFonts w:ascii="Times New Roman" w:eastAsia="Times New Roman" w:hAnsi="Times New Roman" w:cs="Times New Roman"/>
                <w:b/>
                <w:color w:val="000000"/>
                <w:sz w:val="24"/>
                <w:szCs w:val="24"/>
                <w:lang w:eastAsia="lv-LV"/>
              </w:rPr>
              <w:t>gada</w:t>
            </w:r>
            <w:proofErr w:type="gramEnd"/>
            <w:r w:rsidRPr="00A91E2E">
              <w:rPr>
                <w:rFonts w:ascii="Times New Roman" w:eastAsia="Times New Roman" w:hAnsi="Times New Roman" w:cs="Times New Roman"/>
                <w:b/>
                <w:color w:val="000000"/>
                <w:sz w:val="24"/>
                <w:szCs w:val="24"/>
                <w:lang w:eastAsia="lv-LV"/>
              </w:rPr>
              <w:t xml:space="preserve"> </w:t>
            </w:r>
            <w:r w:rsidR="00557B66">
              <w:rPr>
                <w:rFonts w:ascii="Times New Roman" w:eastAsia="Times New Roman" w:hAnsi="Times New Roman" w:cs="Times New Roman"/>
                <w:b/>
                <w:color w:val="000000"/>
                <w:sz w:val="24"/>
                <w:szCs w:val="24"/>
                <w:lang w:eastAsia="lv-LV"/>
              </w:rPr>
              <w:t>3</w:t>
            </w:r>
            <w:r w:rsidR="00E30CAF">
              <w:rPr>
                <w:rFonts w:ascii="Times New Roman" w:eastAsia="Times New Roman" w:hAnsi="Times New Roman" w:cs="Times New Roman"/>
                <w:b/>
                <w:color w:val="000000"/>
                <w:sz w:val="24"/>
                <w:szCs w:val="24"/>
                <w:lang w:eastAsia="lv-LV"/>
              </w:rPr>
              <w:t>.</w:t>
            </w:r>
            <w:r w:rsidR="00557B66" w:rsidRPr="00A91E2E">
              <w:rPr>
                <w:rFonts w:ascii="Times New Roman" w:eastAsia="Times New Roman" w:hAnsi="Times New Roman" w:cs="Times New Roman"/>
                <w:b/>
                <w:color w:val="000000"/>
                <w:sz w:val="24"/>
                <w:szCs w:val="24"/>
                <w:lang w:eastAsia="lv-LV"/>
              </w:rPr>
              <w:t xml:space="preserve"> </w:t>
            </w:r>
            <w:r w:rsidRPr="00A91E2E">
              <w:rPr>
                <w:rFonts w:ascii="Times New Roman" w:eastAsia="Times New Roman" w:hAnsi="Times New Roman" w:cs="Times New Roman"/>
                <w:b/>
                <w:color w:val="000000"/>
                <w:sz w:val="24"/>
                <w:szCs w:val="24"/>
                <w:lang w:eastAsia="lv-LV"/>
              </w:rPr>
              <w:t>cet.</w:t>
            </w:r>
          </w:p>
        </w:tc>
      </w:tr>
      <w:tr w:rsidR="00135F72" w:rsidRPr="00135F72" w:rsidTr="00E30CAF">
        <w:trPr>
          <w:trHeight w:val="266"/>
        </w:trPr>
        <w:tc>
          <w:tcPr>
            <w:tcW w:w="3231" w:type="dxa"/>
            <w:tcBorders>
              <w:top w:val="nil"/>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mēneša laikā</w:t>
            </w:r>
            <w:r w:rsidR="00CA4826">
              <w:rPr>
                <w:rFonts w:ascii="Times New Roman" w:eastAsia="Times New Roman" w:hAnsi="Times New Roman" w:cs="Times New Roman"/>
                <w:color w:val="000000"/>
                <w:sz w:val="24"/>
                <w:szCs w:val="24"/>
                <w:lang w:eastAsia="lv-LV"/>
              </w:rPr>
              <w:t xml:space="preserve"> </w:t>
            </w:r>
          </w:p>
        </w:tc>
        <w:tc>
          <w:tcPr>
            <w:tcW w:w="1445"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82,83</w:t>
            </w:r>
          </w:p>
        </w:tc>
        <w:tc>
          <w:tcPr>
            <w:tcW w:w="8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94,82</w:t>
            </w:r>
          </w:p>
        </w:tc>
        <w:tc>
          <w:tcPr>
            <w:tcW w:w="1250"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81,47</w:t>
            </w:r>
          </w:p>
        </w:tc>
        <w:tc>
          <w:tcPr>
            <w:tcW w:w="7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96,29</w:t>
            </w:r>
          </w:p>
        </w:tc>
        <w:tc>
          <w:tcPr>
            <w:tcW w:w="774"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80,15</w:t>
            </w:r>
          </w:p>
        </w:tc>
        <w:tc>
          <w:tcPr>
            <w:tcW w:w="774"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94,42</w:t>
            </w:r>
          </w:p>
        </w:tc>
      </w:tr>
      <w:tr w:rsidR="00135F72" w:rsidRPr="00135F72" w:rsidTr="00E30CAF">
        <w:trPr>
          <w:trHeight w:val="266"/>
        </w:trPr>
        <w:tc>
          <w:tcPr>
            <w:tcW w:w="3231" w:type="dxa"/>
            <w:tcBorders>
              <w:top w:val="nil"/>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divu mēnešu laikā</w:t>
            </w:r>
          </w:p>
        </w:tc>
        <w:tc>
          <w:tcPr>
            <w:tcW w:w="1445"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9,04</w:t>
            </w:r>
          </w:p>
        </w:tc>
        <w:tc>
          <w:tcPr>
            <w:tcW w:w="868" w:type="dxa"/>
            <w:vMerge/>
            <w:tcBorders>
              <w:top w:val="nil"/>
              <w:left w:val="single" w:sz="4" w:space="0" w:color="auto"/>
              <w:bottom w:val="single" w:sz="4"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1250"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11,82</w:t>
            </w:r>
          </w:p>
        </w:tc>
        <w:tc>
          <w:tcPr>
            <w:tcW w:w="754" w:type="dxa"/>
            <w:vMerge/>
            <w:tcBorders>
              <w:top w:val="nil"/>
              <w:left w:val="single" w:sz="4" w:space="0" w:color="auto"/>
              <w:bottom w:val="single" w:sz="4"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774"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10,85</w:t>
            </w:r>
          </w:p>
        </w:tc>
        <w:tc>
          <w:tcPr>
            <w:tcW w:w="774" w:type="dxa"/>
            <w:vMerge/>
            <w:tcBorders>
              <w:top w:val="nil"/>
              <w:left w:val="single" w:sz="4" w:space="0" w:color="auto"/>
              <w:bottom w:val="single" w:sz="4" w:space="0" w:color="000000"/>
              <w:right w:val="single" w:sz="12"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r>
      <w:tr w:rsidR="00135F72" w:rsidRPr="00135F72" w:rsidTr="00E30CAF">
        <w:trPr>
          <w:trHeight w:val="266"/>
        </w:trPr>
        <w:tc>
          <w:tcPr>
            <w:tcW w:w="3231" w:type="dxa"/>
            <w:tcBorders>
              <w:top w:val="nil"/>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sešu mēnešu laikā</w:t>
            </w:r>
          </w:p>
        </w:tc>
        <w:tc>
          <w:tcPr>
            <w:tcW w:w="1445"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2,95</w:t>
            </w:r>
          </w:p>
        </w:tc>
        <w:tc>
          <w:tcPr>
            <w:tcW w:w="868" w:type="dxa"/>
            <w:vMerge/>
            <w:tcBorders>
              <w:top w:val="nil"/>
              <w:left w:val="single" w:sz="4" w:space="0" w:color="auto"/>
              <w:bottom w:val="single" w:sz="4"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1250"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3</w:t>
            </w:r>
          </w:p>
        </w:tc>
        <w:tc>
          <w:tcPr>
            <w:tcW w:w="754" w:type="dxa"/>
            <w:vMerge/>
            <w:tcBorders>
              <w:top w:val="nil"/>
              <w:left w:val="single" w:sz="4" w:space="0" w:color="auto"/>
              <w:bottom w:val="single" w:sz="4"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774"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3,42</w:t>
            </w:r>
          </w:p>
        </w:tc>
        <w:tc>
          <w:tcPr>
            <w:tcW w:w="774" w:type="dxa"/>
            <w:vMerge/>
            <w:tcBorders>
              <w:top w:val="nil"/>
              <w:left w:val="single" w:sz="4" w:space="0" w:color="auto"/>
              <w:bottom w:val="single" w:sz="4" w:space="0" w:color="000000"/>
              <w:right w:val="single" w:sz="12"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r>
      <w:tr w:rsidR="00135F72" w:rsidRPr="00135F72" w:rsidTr="00E30CAF">
        <w:trPr>
          <w:trHeight w:val="266"/>
        </w:trPr>
        <w:tc>
          <w:tcPr>
            <w:tcW w:w="3231" w:type="dxa"/>
            <w:tcBorders>
              <w:top w:val="nil"/>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gada laikā</w:t>
            </w:r>
          </w:p>
        </w:tc>
        <w:tc>
          <w:tcPr>
            <w:tcW w:w="1445"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1,8</w:t>
            </w:r>
          </w:p>
        </w:tc>
        <w:tc>
          <w:tcPr>
            <w:tcW w:w="868"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5,18</w:t>
            </w:r>
          </w:p>
        </w:tc>
        <w:tc>
          <w:tcPr>
            <w:tcW w:w="1250"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1,42</w:t>
            </w:r>
          </w:p>
        </w:tc>
        <w:tc>
          <w:tcPr>
            <w:tcW w:w="754"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3,71</w:t>
            </w:r>
          </w:p>
        </w:tc>
        <w:tc>
          <w:tcPr>
            <w:tcW w:w="774"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2,17</w:t>
            </w:r>
          </w:p>
        </w:tc>
        <w:tc>
          <w:tcPr>
            <w:tcW w:w="774"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135F72" w:rsidRPr="00135F72" w:rsidRDefault="00135F72" w:rsidP="00135F72">
            <w:pPr>
              <w:spacing w:after="0" w:line="240" w:lineRule="auto"/>
              <w:jc w:val="center"/>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5,58</w:t>
            </w:r>
          </w:p>
        </w:tc>
      </w:tr>
      <w:tr w:rsidR="00135F72" w:rsidRPr="00135F72" w:rsidTr="00E30CAF">
        <w:trPr>
          <w:trHeight w:val="266"/>
        </w:trPr>
        <w:tc>
          <w:tcPr>
            <w:tcW w:w="3231" w:type="dxa"/>
            <w:tcBorders>
              <w:top w:val="nil"/>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divu gadu laikā</w:t>
            </w:r>
          </w:p>
        </w:tc>
        <w:tc>
          <w:tcPr>
            <w:tcW w:w="1445"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1,2</w:t>
            </w:r>
          </w:p>
        </w:tc>
        <w:tc>
          <w:tcPr>
            <w:tcW w:w="868" w:type="dxa"/>
            <w:vMerge/>
            <w:tcBorders>
              <w:top w:val="nil"/>
              <w:left w:val="single" w:sz="4" w:space="0" w:color="auto"/>
              <w:bottom w:val="single" w:sz="12"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1250"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0,94</w:t>
            </w:r>
          </w:p>
        </w:tc>
        <w:tc>
          <w:tcPr>
            <w:tcW w:w="754" w:type="dxa"/>
            <w:vMerge/>
            <w:tcBorders>
              <w:top w:val="nil"/>
              <w:left w:val="single" w:sz="4" w:space="0" w:color="auto"/>
              <w:bottom w:val="single" w:sz="12"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774"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1,39</w:t>
            </w:r>
          </w:p>
        </w:tc>
        <w:tc>
          <w:tcPr>
            <w:tcW w:w="774" w:type="dxa"/>
            <w:vMerge/>
            <w:tcBorders>
              <w:top w:val="nil"/>
              <w:left w:val="single" w:sz="4" w:space="0" w:color="auto"/>
              <w:bottom w:val="single" w:sz="12" w:space="0" w:color="000000"/>
              <w:right w:val="single" w:sz="12"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r>
      <w:tr w:rsidR="00135F72" w:rsidRPr="00135F72" w:rsidTr="00E30CAF">
        <w:trPr>
          <w:trHeight w:val="266"/>
        </w:trPr>
        <w:tc>
          <w:tcPr>
            <w:tcW w:w="3231" w:type="dxa"/>
            <w:tcBorders>
              <w:top w:val="nil"/>
              <w:left w:val="single" w:sz="12" w:space="0" w:color="auto"/>
              <w:bottom w:val="single" w:sz="4"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piecu gadu laikā</w:t>
            </w:r>
          </w:p>
        </w:tc>
        <w:tc>
          <w:tcPr>
            <w:tcW w:w="1445"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0,97</w:t>
            </w:r>
          </w:p>
        </w:tc>
        <w:tc>
          <w:tcPr>
            <w:tcW w:w="868" w:type="dxa"/>
            <w:vMerge/>
            <w:tcBorders>
              <w:top w:val="nil"/>
              <w:left w:val="single" w:sz="4" w:space="0" w:color="auto"/>
              <w:bottom w:val="single" w:sz="12"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1250"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0,55</w:t>
            </w:r>
          </w:p>
        </w:tc>
        <w:tc>
          <w:tcPr>
            <w:tcW w:w="754" w:type="dxa"/>
            <w:vMerge/>
            <w:tcBorders>
              <w:top w:val="nil"/>
              <w:left w:val="single" w:sz="4" w:space="0" w:color="auto"/>
              <w:bottom w:val="single" w:sz="12"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774" w:type="dxa"/>
            <w:tcBorders>
              <w:top w:val="nil"/>
              <w:left w:val="nil"/>
              <w:bottom w:val="single" w:sz="4"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1,04</w:t>
            </w:r>
          </w:p>
        </w:tc>
        <w:tc>
          <w:tcPr>
            <w:tcW w:w="774" w:type="dxa"/>
            <w:vMerge/>
            <w:tcBorders>
              <w:top w:val="nil"/>
              <w:left w:val="single" w:sz="4" w:space="0" w:color="auto"/>
              <w:bottom w:val="single" w:sz="12" w:space="0" w:color="000000"/>
              <w:right w:val="single" w:sz="12"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r>
      <w:tr w:rsidR="00135F72" w:rsidRPr="00135F72" w:rsidTr="00E30CAF">
        <w:trPr>
          <w:trHeight w:val="280"/>
        </w:trPr>
        <w:tc>
          <w:tcPr>
            <w:tcW w:w="3231" w:type="dxa"/>
            <w:tcBorders>
              <w:top w:val="nil"/>
              <w:left w:val="single" w:sz="12" w:space="0" w:color="auto"/>
              <w:bottom w:val="single" w:sz="12" w:space="0" w:color="auto"/>
              <w:right w:val="single" w:sz="12" w:space="0" w:color="auto"/>
            </w:tcBorders>
            <w:shd w:val="clear" w:color="auto" w:fill="auto"/>
            <w:noWrap/>
            <w:vAlign w:val="bottom"/>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roofErr w:type="gramStart"/>
            <w:r w:rsidRPr="00135F72">
              <w:rPr>
                <w:rFonts w:ascii="Times New Roman" w:eastAsia="Times New Roman" w:hAnsi="Times New Roman" w:cs="Times New Roman"/>
                <w:color w:val="000000"/>
                <w:sz w:val="24"/>
                <w:szCs w:val="24"/>
                <w:lang w:eastAsia="lv-LV"/>
              </w:rPr>
              <w:t>vairāk kā</w:t>
            </w:r>
            <w:proofErr w:type="gramEnd"/>
            <w:r w:rsidRPr="00135F72">
              <w:rPr>
                <w:rFonts w:ascii="Times New Roman" w:eastAsia="Times New Roman" w:hAnsi="Times New Roman" w:cs="Times New Roman"/>
                <w:color w:val="000000"/>
                <w:sz w:val="24"/>
                <w:szCs w:val="24"/>
                <w:lang w:eastAsia="lv-LV"/>
              </w:rPr>
              <w:t xml:space="preserve"> piecu gadu laikā</w:t>
            </w:r>
          </w:p>
        </w:tc>
        <w:tc>
          <w:tcPr>
            <w:tcW w:w="1445" w:type="dxa"/>
            <w:tcBorders>
              <w:top w:val="nil"/>
              <w:left w:val="nil"/>
              <w:bottom w:val="single" w:sz="12"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1,21</w:t>
            </w:r>
          </w:p>
        </w:tc>
        <w:tc>
          <w:tcPr>
            <w:tcW w:w="868" w:type="dxa"/>
            <w:vMerge/>
            <w:tcBorders>
              <w:top w:val="nil"/>
              <w:left w:val="single" w:sz="4" w:space="0" w:color="auto"/>
              <w:bottom w:val="single" w:sz="12"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1250" w:type="dxa"/>
            <w:tcBorders>
              <w:top w:val="nil"/>
              <w:left w:val="nil"/>
              <w:bottom w:val="single" w:sz="12"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0,8</w:t>
            </w:r>
          </w:p>
        </w:tc>
        <w:tc>
          <w:tcPr>
            <w:tcW w:w="754" w:type="dxa"/>
            <w:vMerge/>
            <w:tcBorders>
              <w:top w:val="nil"/>
              <w:left w:val="single" w:sz="4" w:space="0" w:color="auto"/>
              <w:bottom w:val="single" w:sz="12" w:space="0" w:color="000000"/>
              <w:right w:val="single" w:sz="4"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c>
          <w:tcPr>
            <w:tcW w:w="774" w:type="dxa"/>
            <w:tcBorders>
              <w:top w:val="nil"/>
              <w:left w:val="nil"/>
              <w:bottom w:val="single" w:sz="12" w:space="0" w:color="auto"/>
              <w:right w:val="single" w:sz="4" w:space="0" w:color="auto"/>
            </w:tcBorders>
            <w:shd w:val="clear" w:color="auto" w:fill="auto"/>
            <w:noWrap/>
            <w:vAlign w:val="bottom"/>
            <w:hideMark/>
          </w:tcPr>
          <w:p w:rsidR="00135F72" w:rsidRPr="00135F72" w:rsidRDefault="00135F72" w:rsidP="00135F72">
            <w:pPr>
              <w:spacing w:after="0" w:line="240" w:lineRule="auto"/>
              <w:jc w:val="right"/>
              <w:rPr>
                <w:rFonts w:ascii="Times New Roman" w:eastAsia="Times New Roman" w:hAnsi="Times New Roman" w:cs="Times New Roman"/>
                <w:color w:val="000000"/>
                <w:sz w:val="24"/>
                <w:szCs w:val="24"/>
                <w:lang w:eastAsia="lv-LV"/>
              </w:rPr>
            </w:pPr>
            <w:r w:rsidRPr="00135F72">
              <w:rPr>
                <w:rFonts w:ascii="Times New Roman" w:eastAsia="Times New Roman" w:hAnsi="Times New Roman" w:cs="Times New Roman"/>
                <w:color w:val="000000"/>
                <w:sz w:val="24"/>
                <w:szCs w:val="24"/>
                <w:lang w:eastAsia="lv-LV"/>
              </w:rPr>
              <w:t>0,98</w:t>
            </w:r>
          </w:p>
        </w:tc>
        <w:tc>
          <w:tcPr>
            <w:tcW w:w="774" w:type="dxa"/>
            <w:vMerge/>
            <w:tcBorders>
              <w:top w:val="nil"/>
              <w:left w:val="single" w:sz="4" w:space="0" w:color="auto"/>
              <w:bottom w:val="single" w:sz="12" w:space="0" w:color="000000"/>
              <w:right w:val="single" w:sz="12" w:space="0" w:color="auto"/>
            </w:tcBorders>
            <w:vAlign w:val="center"/>
            <w:hideMark/>
          </w:tcPr>
          <w:p w:rsidR="00135F72" w:rsidRPr="00135F72" w:rsidRDefault="00135F72" w:rsidP="00135F72">
            <w:pPr>
              <w:spacing w:after="0" w:line="240" w:lineRule="auto"/>
              <w:rPr>
                <w:rFonts w:ascii="Times New Roman" w:eastAsia="Times New Roman" w:hAnsi="Times New Roman" w:cs="Times New Roman"/>
                <w:color w:val="000000"/>
                <w:sz w:val="24"/>
                <w:szCs w:val="24"/>
                <w:lang w:eastAsia="lv-LV"/>
              </w:rPr>
            </w:pPr>
          </w:p>
        </w:tc>
      </w:tr>
    </w:tbl>
    <w:p w:rsidR="00352D1D" w:rsidRPr="00B9080D" w:rsidRDefault="00B9080D" w:rsidP="00B9080D">
      <w:pPr>
        <w:pStyle w:val="Komentrateksts"/>
        <w:tabs>
          <w:tab w:val="left" w:pos="720"/>
          <w:tab w:val="left" w:pos="5190"/>
        </w:tabs>
        <w:spacing w:after="120"/>
        <w:jc w:val="center"/>
        <w:rPr>
          <w:sz w:val="24"/>
          <w:szCs w:val="24"/>
        </w:rPr>
      </w:pPr>
      <w:r w:rsidRPr="00B9080D">
        <w:rPr>
          <w:sz w:val="24"/>
          <w:szCs w:val="24"/>
        </w:rPr>
        <w:t>1.tab</w:t>
      </w:r>
      <w:r w:rsidR="000E580A">
        <w:rPr>
          <w:sz w:val="24"/>
          <w:szCs w:val="24"/>
        </w:rPr>
        <w:t>ula</w:t>
      </w:r>
      <w:r w:rsidRPr="00B9080D">
        <w:rPr>
          <w:sz w:val="24"/>
          <w:szCs w:val="24"/>
        </w:rPr>
        <w:t>. Laiks no pirkuma līguma parakstīšanas līdz nostiprinājuma lūguma iesniegšanai</w:t>
      </w:r>
    </w:p>
    <w:p w:rsidR="008D5A54" w:rsidRPr="008D5A54" w:rsidRDefault="00135F72" w:rsidP="00B9080D">
      <w:pPr>
        <w:pStyle w:val="Komentrateksts"/>
        <w:tabs>
          <w:tab w:val="left" w:pos="720"/>
          <w:tab w:val="left" w:pos="5190"/>
        </w:tabs>
        <w:jc w:val="both"/>
        <w:rPr>
          <w:sz w:val="28"/>
          <w:szCs w:val="28"/>
        </w:rPr>
      </w:pPr>
      <w:r>
        <w:rPr>
          <w:sz w:val="28"/>
          <w:szCs w:val="28"/>
        </w:rPr>
        <w:tab/>
      </w:r>
      <w:r w:rsidRPr="008D5A54">
        <w:rPr>
          <w:sz w:val="28"/>
          <w:szCs w:val="28"/>
        </w:rPr>
        <w:t>Kā izriet no iegūtajiem datiem</w:t>
      </w:r>
      <w:r w:rsidR="00B9080D">
        <w:rPr>
          <w:sz w:val="28"/>
          <w:szCs w:val="28"/>
        </w:rPr>
        <w:t xml:space="preserve"> </w:t>
      </w:r>
      <w:proofErr w:type="gramStart"/>
      <w:r w:rsidR="00B9080D">
        <w:rPr>
          <w:sz w:val="28"/>
          <w:szCs w:val="28"/>
        </w:rPr>
        <w:t>(</w:t>
      </w:r>
      <w:proofErr w:type="gramEnd"/>
      <w:r w:rsidR="00B9080D">
        <w:rPr>
          <w:sz w:val="28"/>
          <w:szCs w:val="28"/>
        </w:rPr>
        <w:t>sk. 1.tab</w:t>
      </w:r>
      <w:r w:rsidR="000E580A">
        <w:rPr>
          <w:sz w:val="28"/>
          <w:szCs w:val="28"/>
        </w:rPr>
        <w:t>ulu</w:t>
      </w:r>
      <w:r w:rsidR="00B9080D">
        <w:rPr>
          <w:sz w:val="28"/>
          <w:szCs w:val="28"/>
        </w:rPr>
        <w:t xml:space="preserve">. </w:t>
      </w:r>
      <w:r w:rsidR="00B9080D" w:rsidRPr="00B9080D">
        <w:rPr>
          <w:sz w:val="28"/>
          <w:szCs w:val="28"/>
        </w:rPr>
        <w:t>Laiks no pirkuma līguma parakstīšanas līdz nostiprinājuma lūguma iesniegšanai</w:t>
      </w:r>
      <w:r w:rsidR="00B9080D">
        <w:rPr>
          <w:sz w:val="28"/>
          <w:szCs w:val="28"/>
        </w:rPr>
        <w:t>)</w:t>
      </w:r>
      <w:r w:rsidR="00F82DDC">
        <w:rPr>
          <w:sz w:val="28"/>
          <w:szCs w:val="28"/>
        </w:rPr>
        <w:t>, tad Īpašuma tiesību</w:t>
      </w:r>
      <w:r w:rsidRPr="008D5A54">
        <w:rPr>
          <w:sz w:val="28"/>
          <w:szCs w:val="28"/>
        </w:rPr>
        <w:t xml:space="preserve"> valsts nodevas diferenciācija radījusi </w:t>
      </w:r>
      <w:r w:rsidR="00D007CD">
        <w:rPr>
          <w:sz w:val="28"/>
          <w:szCs w:val="28"/>
        </w:rPr>
        <w:t>vērā ņemamu</w:t>
      </w:r>
      <w:r w:rsidR="00D007CD" w:rsidRPr="008D5A54">
        <w:rPr>
          <w:sz w:val="28"/>
          <w:szCs w:val="28"/>
        </w:rPr>
        <w:t xml:space="preserve"> </w:t>
      </w:r>
      <w:r w:rsidRPr="008D5A54">
        <w:rPr>
          <w:sz w:val="28"/>
          <w:szCs w:val="28"/>
        </w:rPr>
        <w:t xml:space="preserve">ietekmi tieši </w:t>
      </w:r>
      <w:proofErr w:type="gramStart"/>
      <w:r w:rsidRPr="008D5A54">
        <w:rPr>
          <w:sz w:val="28"/>
          <w:szCs w:val="28"/>
        </w:rPr>
        <w:t>2014.gada</w:t>
      </w:r>
      <w:proofErr w:type="gramEnd"/>
      <w:r w:rsidRPr="008D5A54">
        <w:rPr>
          <w:sz w:val="28"/>
          <w:szCs w:val="28"/>
        </w:rPr>
        <w:t xml:space="preserve"> 3.ceturksnī, </w:t>
      </w:r>
      <w:r w:rsidR="00F82DDC" w:rsidRPr="00654D13">
        <w:rPr>
          <w:sz w:val="28"/>
          <w:szCs w:val="28"/>
        </w:rPr>
        <w:t xml:space="preserve">kas </w:t>
      </w:r>
      <w:proofErr w:type="spellStart"/>
      <w:r w:rsidR="00F82DDC" w:rsidRPr="00654D13">
        <w:rPr>
          <w:sz w:val="28"/>
          <w:szCs w:val="28"/>
        </w:rPr>
        <w:t>pirm</w:t>
      </w:r>
      <w:r w:rsidR="000E580A">
        <w:rPr>
          <w:sz w:val="28"/>
          <w:szCs w:val="28"/>
        </w:rPr>
        <w:t>s</w:t>
      </w:r>
      <w:r w:rsidR="00F82DDC" w:rsidRPr="00654D13">
        <w:rPr>
          <w:sz w:val="28"/>
          <w:szCs w:val="28"/>
        </w:rPr>
        <w:t>š</w:t>
      </w:r>
      <w:r w:rsidR="000E580A">
        <w:rPr>
          <w:sz w:val="28"/>
          <w:szCs w:val="28"/>
        </w:rPr>
        <w:t>ķ</w:t>
      </w:r>
      <w:r w:rsidR="00F82DDC" w:rsidRPr="00654D13">
        <w:rPr>
          <w:sz w:val="28"/>
          <w:szCs w:val="28"/>
        </w:rPr>
        <w:t>ietami</w:t>
      </w:r>
      <w:proofErr w:type="spellEnd"/>
      <w:r w:rsidR="00F82DDC" w:rsidRPr="00654D13">
        <w:rPr>
          <w:sz w:val="28"/>
          <w:szCs w:val="28"/>
        </w:rPr>
        <w:t xml:space="preserve"> </w:t>
      </w:r>
      <w:r w:rsidR="007C3EC0">
        <w:rPr>
          <w:sz w:val="28"/>
          <w:szCs w:val="28"/>
        </w:rPr>
        <w:t xml:space="preserve">būtu </w:t>
      </w:r>
      <w:r w:rsidR="00F82DDC" w:rsidRPr="00654D13">
        <w:rPr>
          <w:sz w:val="28"/>
          <w:szCs w:val="28"/>
        </w:rPr>
        <w:t>izskaidrojams ar sabiedrības informēšanas pasākumu īstenošanu. Tomēr</w:t>
      </w:r>
      <w:r w:rsidR="007C3EC0">
        <w:rPr>
          <w:sz w:val="28"/>
          <w:szCs w:val="28"/>
        </w:rPr>
        <w:t xml:space="preserve"> tā kā tālāk</w:t>
      </w:r>
      <w:r w:rsidR="00F82DDC" w:rsidRPr="00654D13">
        <w:rPr>
          <w:sz w:val="28"/>
          <w:szCs w:val="28"/>
        </w:rPr>
        <w:t xml:space="preserve"> minēt</w:t>
      </w:r>
      <w:r w:rsidR="007C3EC0">
        <w:rPr>
          <w:sz w:val="28"/>
          <w:szCs w:val="28"/>
        </w:rPr>
        <w:t>ie</w:t>
      </w:r>
      <w:r w:rsidR="00F82DDC" w:rsidRPr="00654D13">
        <w:rPr>
          <w:sz w:val="28"/>
          <w:szCs w:val="28"/>
        </w:rPr>
        <w:t xml:space="preserve"> dati</w:t>
      </w:r>
      <w:r w:rsidR="007C3EC0">
        <w:rPr>
          <w:sz w:val="28"/>
          <w:szCs w:val="28"/>
        </w:rPr>
        <w:t>, kas</w:t>
      </w:r>
      <w:r w:rsidR="00F82DDC" w:rsidRPr="00654D13">
        <w:rPr>
          <w:sz w:val="28"/>
          <w:szCs w:val="28"/>
        </w:rPr>
        <w:t xml:space="preserve"> norāda, ka piemēram, Mantošanas lietu</w:t>
      </w:r>
      <w:r w:rsidR="00F82DDC">
        <w:rPr>
          <w:sz w:val="28"/>
          <w:szCs w:val="28"/>
        </w:rPr>
        <w:t xml:space="preserve"> </w:t>
      </w:r>
      <w:r w:rsidR="00F82DDC" w:rsidRPr="008D5A54">
        <w:rPr>
          <w:sz w:val="28"/>
          <w:szCs w:val="28"/>
        </w:rPr>
        <w:t>un dāvinājuma līguma gadījumā, personu īpatsvars, kas nostiprinājuma lūgumus iesniedz vēlāk kā sešu mēnešu laikā no dokumenta parakstīšanas brīža, lineār</w:t>
      </w:r>
      <w:r w:rsidR="00F82DDC">
        <w:rPr>
          <w:sz w:val="28"/>
          <w:szCs w:val="28"/>
        </w:rPr>
        <w:t>i</w:t>
      </w:r>
      <w:r w:rsidR="00F82DDC" w:rsidRPr="008D5A54">
        <w:rPr>
          <w:sz w:val="28"/>
          <w:szCs w:val="28"/>
        </w:rPr>
        <w:t xml:space="preserve"> samazinā</w:t>
      </w:r>
      <w:r w:rsidR="00F82DDC">
        <w:rPr>
          <w:sz w:val="28"/>
          <w:szCs w:val="28"/>
        </w:rPr>
        <w:t xml:space="preserve">s arī </w:t>
      </w:r>
      <w:proofErr w:type="gramStart"/>
      <w:r w:rsidR="00F82DDC">
        <w:rPr>
          <w:sz w:val="28"/>
          <w:szCs w:val="28"/>
        </w:rPr>
        <w:t>2015.gada</w:t>
      </w:r>
      <w:proofErr w:type="gramEnd"/>
      <w:r w:rsidR="00F82DDC">
        <w:rPr>
          <w:sz w:val="28"/>
          <w:szCs w:val="28"/>
        </w:rPr>
        <w:t xml:space="preserve"> 3.ceturksnī</w:t>
      </w:r>
      <w:r w:rsidR="007C3EC0">
        <w:rPr>
          <w:sz w:val="28"/>
          <w:szCs w:val="28"/>
        </w:rPr>
        <w:t xml:space="preserve">, šāds secinājums visticamāk ir pārsteidzīgs. </w:t>
      </w:r>
      <w:r w:rsidR="007C3EC0" w:rsidRPr="00D1776B">
        <w:rPr>
          <w:sz w:val="28"/>
          <w:szCs w:val="28"/>
        </w:rPr>
        <w:t xml:space="preserve">Visticamāk </w:t>
      </w:r>
      <w:r w:rsidR="00F82DDC" w:rsidRPr="00D1776B">
        <w:rPr>
          <w:sz w:val="28"/>
          <w:szCs w:val="28"/>
        </w:rPr>
        <w:t xml:space="preserve">pirkuma līguma gadījumā, nostiprinājuma lūguma iesniedzēju rīcību, iesniedzot nostiprinājumu lūgumu </w:t>
      </w:r>
      <w:proofErr w:type="gramStart"/>
      <w:r w:rsidR="00F82DDC" w:rsidRPr="00D1776B">
        <w:rPr>
          <w:sz w:val="28"/>
          <w:szCs w:val="28"/>
        </w:rPr>
        <w:t>vēlāk kā</w:t>
      </w:r>
      <w:proofErr w:type="gramEnd"/>
      <w:r w:rsidR="00F82DDC" w:rsidRPr="00D1776B">
        <w:rPr>
          <w:sz w:val="28"/>
          <w:szCs w:val="28"/>
        </w:rPr>
        <w:t xml:space="preserve"> sešu mēnešu laikā no pirkuma līguma noslēgšanas, nosaka citi apsvērumi.</w:t>
      </w:r>
      <w:r w:rsidRPr="00D1776B">
        <w:rPr>
          <w:sz w:val="28"/>
          <w:szCs w:val="28"/>
        </w:rPr>
        <w:t xml:space="preserve"> </w:t>
      </w:r>
    </w:p>
    <w:p w:rsidR="00D007CD" w:rsidRDefault="00135F72" w:rsidP="00C117D6">
      <w:pPr>
        <w:pStyle w:val="Komentrateksts"/>
        <w:tabs>
          <w:tab w:val="left" w:pos="720"/>
          <w:tab w:val="left" w:pos="5190"/>
        </w:tabs>
        <w:jc w:val="both"/>
        <w:rPr>
          <w:sz w:val="28"/>
          <w:szCs w:val="28"/>
        </w:rPr>
      </w:pPr>
      <w:r w:rsidRPr="008D5A54">
        <w:rPr>
          <w:sz w:val="28"/>
          <w:szCs w:val="28"/>
        </w:rPr>
        <w:t xml:space="preserve"> </w:t>
      </w:r>
      <w:r w:rsidR="003076F5" w:rsidRPr="008D5A54">
        <w:rPr>
          <w:sz w:val="28"/>
          <w:szCs w:val="28"/>
        </w:rPr>
        <w:tab/>
      </w:r>
    </w:p>
    <w:p w:rsidR="00352D1D" w:rsidRDefault="00D007CD" w:rsidP="00C117D6">
      <w:pPr>
        <w:pStyle w:val="Komentrateksts"/>
        <w:tabs>
          <w:tab w:val="left" w:pos="720"/>
          <w:tab w:val="left" w:pos="5190"/>
        </w:tabs>
        <w:jc w:val="both"/>
        <w:rPr>
          <w:sz w:val="28"/>
          <w:szCs w:val="28"/>
        </w:rPr>
      </w:pPr>
      <w:r>
        <w:rPr>
          <w:sz w:val="28"/>
          <w:szCs w:val="28"/>
        </w:rPr>
        <w:tab/>
      </w:r>
      <w:r w:rsidR="00352D1D" w:rsidRPr="008D5A54">
        <w:rPr>
          <w:sz w:val="28"/>
          <w:szCs w:val="28"/>
        </w:rPr>
        <w:t>Dāvinājuma līgums, ņemot vērā, ka īpašuma tiesības</w:t>
      </w:r>
      <w:r w:rsidR="00352D1D">
        <w:rPr>
          <w:sz w:val="28"/>
          <w:szCs w:val="28"/>
        </w:rPr>
        <w:t xml:space="preserve"> uz dāvinājuma līguma pamata tiek iegūtas 13,3</w:t>
      </w:r>
      <w:r w:rsidR="000E580A">
        <w:rPr>
          <w:sz w:val="28"/>
          <w:szCs w:val="28"/>
        </w:rPr>
        <w:t> </w:t>
      </w:r>
      <w:r w:rsidR="00352D1D">
        <w:rPr>
          <w:sz w:val="28"/>
          <w:szCs w:val="28"/>
        </w:rPr>
        <w:t>%</w:t>
      </w:r>
      <w:r w:rsidR="007C3EC0">
        <w:rPr>
          <w:sz w:val="28"/>
          <w:szCs w:val="28"/>
        </w:rPr>
        <w:t>,</w:t>
      </w:r>
      <w:r w:rsidR="00352D1D">
        <w:rPr>
          <w:sz w:val="28"/>
          <w:szCs w:val="28"/>
        </w:rPr>
        <w:t xml:space="preserve"> ir otrs populārākais īpašuma iegūšanas veids. </w:t>
      </w:r>
    </w:p>
    <w:tbl>
      <w:tblPr>
        <w:tblW w:w="9090" w:type="dxa"/>
        <w:tblInd w:w="93" w:type="dxa"/>
        <w:tblLook w:val="04A0" w:firstRow="1" w:lastRow="0" w:firstColumn="1" w:lastColumn="0" w:noHBand="0" w:noVBand="1"/>
      </w:tblPr>
      <w:tblGrid>
        <w:gridCol w:w="4431"/>
        <w:gridCol w:w="776"/>
        <w:gridCol w:w="777"/>
        <w:gridCol w:w="776"/>
        <w:gridCol w:w="777"/>
        <w:gridCol w:w="776"/>
        <w:gridCol w:w="777"/>
      </w:tblGrid>
      <w:tr w:rsidR="003076F5" w:rsidRPr="003076F5" w:rsidTr="003076F5">
        <w:trPr>
          <w:trHeight w:val="556"/>
        </w:trPr>
        <w:tc>
          <w:tcPr>
            <w:tcW w:w="443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Iegūšanas pamats</w:t>
            </w:r>
          </w:p>
        </w:tc>
        <w:tc>
          <w:tcPr>
            <w:tcW w:w="4659" w:type="dxa"/>
            <w:gridSpan w:val="6"/>
            <w:tcBorders>
              <w:top w:val="single" w:sz="12" w:space="0" w:color="auto"/>
              <w:left w:val="nil"/>
              <w:bottom w:val="single" w:sz="4" w:space="0" w:color="auto"/>
              <w:right w:val="single" w:sz="12" w:space="0" w:color="000000"/>
            </w:tcBorders>
            <w:shd w:val="clear" w:color="auto" w:fill="auto"/>
            <w:vAlign w:val="bottom"/>
            <w:hideMark/>
          </w:tcPr>
          <w:p w:rsidR="003076F5" w:rsidRPr="003076F5" w:rsidRDefault="003076F5" w:rsidP="00D007CD">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D</w:t>
            </w:r>
            <w:r w:rsidRPr="003076F5">
              <w:rPr>
                <w:rFonts w:ascii="Times New Roman" w:eastAsia="Times New Roman" w:hAnsi="Times New Roman" w:cs="Times New Roman"/>
                <w:color w:val="000000"/>
                <w:lang w:eastAsia="lv-LV"/>
              </w:rPr>
              <w:t xml:space="preserve">āvinājuma līgums </w:t>
            </w:r>
          </w:p>
        </w:tc>
      </w:tr>
      <w:tr w:rsidR="003076F5" w:rsidRPr="00D007CD" w:rsidTr="003076F5">
        <w:trPr>
          <w:trHeight w:val="765"/>
        </w:trPr>
        <w:tc>
          <w:tcPr>
            <w:tcW w:w="4431" w:type="dxa"/>
            <w:tcBorders>
              <w:top w:val="nil"/>
              <w:left w:val="single" w:sz="12" w:space="0" w:color="auto"/>
              <w:bottom w:val="single" w:sz="4" w:space="0" w:color="auto"/>
              <w:right w:val="single" w:sz="12" w:space="0" w:color="auto"/>
            </w:tcBorders>
            <w:shd w:val="clear" w:color="auto" w:fill="auto"/>
            <w:vAlign w:val="bottom"/>
            <w:hideMark/>
          </w:tcPr>
          <w:p w:rsidR="003076F5" w:rsidRPr="00A91E2E" w:rsidRDefault="003076F5" w:rsidP="008E2ACD">
            <w:pPr>
              <w:spacing w:after="0" w:line="240" w:lineRule="auto"/>
              <w:jc w:val="center"/>
              <w:rPr>
                <w:rFonts w:ascii="Times New Roman" w:eastAsia="Times New Roman" w:hAnsi="Times New Roman" w:cs="Times New Roman"/>
                <w:b/>
                <w:color w:val="000000"/>
                <w:lang w:eastAsia="lv-LV"/>
              </w:rPr>
            </w:pPr>
            <w:r w:rsidRPr="00A91E2E">
              <w:rPr>
                <w:rFonts w:ascii="Times New Roman" w:eastAsia="Times New Roman" w:hAnsi="Times New Roman" w:cs="Times New Roman"/>
                <w:b/>
                <w:color w:val="000000"/>
                <w:lang w:eastAsia="lv-LV"/>
              </w:rPr>
              <w:t>Laiks no dokumenta parakstīšanas līdz nostiprinājuma lūguma iesniegšanai</w:t>
            </w:r>
            <w:r w:rsidR="00557B66">
              <w:rPr>
                <w:rFonts w:ascii="Times New Roman" w:eastAsia="Times New Roman" w:hAnsi="Times New Roman" w:cs="Times New Roman"/>
                <w:b/>
                <w:color w:val="000000"/>
                <w:lang w:eastAsia="lv-LV"/>
              </w:rPr>
              <w:t xml:space="preserve"> </w:t>
            </w:r>
            <w:r w:rsidR="00557B66" w:rsidRPr="00D1776B">
              <w:rPr>
                <w:rFonts w:ascii="Times New Roman" w:eastAsia="Times New Roman" w:hAnsi="Times New Roman" w:cs="Times New Roman"/>
                <w:b/>
                <w:color w:val="000000"/>
                <w:sz w:val="24"/>
                <w:szCs w:val="24"/>
                <w:lang w:eastAsia="lv-LV"/>
              </w:rPr>
              <w:t xml:space="preserve">(% no visiem </w:t>
            </w:r>
            <w:r w:rsidR="008E2ACD" w:rsidRPr="00D1776B">
              <w:rPr>
                <w:rFonts w:ascii="Times New Roman" w:eastAsia="Times New Roman" w:hAnsi="Times New Roman" w:cs="Times New Roman"/>
                <w:b/>
                <w:color w:val="000000"/>
                <w:sz w:val="24"/>
                <w:szCs w:val="24"/>
                <w:lang w:eastAsia="lv-LV"/>
              </w:rPr>
              <w:t>dāvinājuma</w:t>
            </w:r>
            <w:r w:rsidR="00557B66" w:rsidRPr="00D1776B">
              <w:rPr>
                <w:rFonts w:ascii="Times New Roman" w:eastAsia="Times New Roman" w:hAnsi="Times New Roman" w:cs="Times New Roman"/>
                <w:b/>
                <w:color w:val="000000"/>
                <w:sz w:val="24"/>
                <w:szCs w:val="24"/>
                <w:lang w:eastAsia="lv-LV"/>
              </w:rPr>
              <w:t xml:space="preserve"> līgumiem)</w:t>
            </w:r>
          </w:p>
        </w:tc>
        <w:tc>
          <w:tcPr>
            <w:tcW w:w="1553" w:type="dxa"/>
            <w:gridSpan w:val="2"/>
            <w:tcBorders>
              <w:top w:val="single" w:sz="4" w:space="0" w:color="auto"/>
              <w:left w:val="nil"/>
              <w:bottom w:val="single" w:sz="4" w:space="0" w:color="auto"/>
              <w:right w:val="single" w:sz="4" w:space="0" w:color="auto"/>
            </w:tcBorders>
            <w:shd w:val="clear" w:color="auto" w:fill="auto"/>
            <w:vAlign w:val="bottom"/>
            <w:hideMark/>
          </w:tcPr>
          <w:p w:rsidR="003076F5" w:rsidRPr="00A91E2E" w:rsidRDefault="003076F5" w:rsidP="003076F5">
            <w:pPr>
              <w:spacing w:after="0" w:line="240" w:lineRule="auto"/>
              <w:jc w:val="center"/>
              <w:rPr>
                <w:rFonts w:ascii="Times New Roman" w:eastAsia="Times New Roman" w:hAnsi="Times New Roman" w:cs="Times New Roman"/>
                <w:b/>
                <w:color w:val="000000"/>
                <w:lang w:eastAsia="lv-LV"/>
              </w:rPr>
            </w:pPr>
            <w:proofErr w:type="gramStart"/>
            <w:r w:rsidRPr="00A91E2E">
              <w:rPr>
                <w:rFonts w:ascii="Times New Roman" w:eastAsia="Times New Roman" w:hAnsi="Times New Roman" w:cs="Times New Roman"/>
                <w:b/>
                <w:color w:val="000000"/>
                <w:lang w:eastAsia="lv-LV"/>
              </w:rPr>
              <w:t>2013</w:t>
            </w:r>
            <w:r w:rsidR="00D007CD">
              <w:rPr>
                <w:rFonts w:ascii="Times New Roman" w:eastAsia="Times New Roman" w:hAnsi="Times New Roman" w:cs="Times New Roman"/>
                <w:b/>
                <w:color w:val="000000"/>
                <w:lang w:eastAsia="lv-LV"/>
              </w:rPr>
              <w:t>.</w:t>
            </w:r>
            <w:r w:rsidR="000E580A">
              <w:rPr>
                <w:rFonts w:ascii="Times New Roman" w:eastAsia="Times New Roman" w:hAnsi="Times New Roman" w:cs="Times New Roman"/>
                <w:b/>
                <w:color w:val="000000"/>
                <w:lang w:eastAsia="lv-LV"/>
              </w:rPr>
              <w:t>gads</w:t>
            </w:r>
            <w:proofErr w:type="gramEnd"/>
          </w:p>
        </w:tc>
        <w:tc>
          <w:tcPr>
            <w:tcW w:w="1553" w:type="dxa"/>
            <w:gridSpan w:val="2"/>
            <w:tcBorders>
              <w:top w:val="single" w:sz="4" w:space="0" w:color="auto"/>
              <w:left w:val="nil"/>
              <w:bottom w:val="single" w:sz="4" w:space="0" w:color="auto"/>
              <w:right w:val="single" w:sz="4" w:space="0" w:color="auto"/>
            </w:tcBorders>
            <w:shd w:val="clear" w:color="auto" w:fill="auto"/>
            <w:vAlign w:val="bottom"/>
            <w:hideMark/>
          </w:tcPr>
          <w:p w:rsidR="003076F5" w:rsidRPr="00A91E2E" w:rsidRDefault="003076F5" w:rsidP="00E30CAF">
            <w:pPr>
              <w:spacing w:after="0" w:line="240" w:lineRule="auto"/>
              <w:jc w:val="center"/>
              <w:rPr>
                <w:rFonts w:ascii="Times New Roman" w:eastAsia="Times New Roman" w:hAnsi="Times New Roman" w:cs="Times New Roman"/>
                <w:b/>
                <w:color w:val="000000"/>
                <w:lang w:eastAsia="lv-LV"/>
              </w:rPr>
            </w:pPr>
            <w:proofErr w:type="gramStart"/>
            <w:r w:rsidRPr="00A91E2E">
              <w:rPr>
                <w:rFonts w:ascii="Times New Roman" w:eastAsia="Times New Roman" w:hAnsi="Times New Roman" w:cs="Times New Roman"/>
                <w:b/>
                <w:color w:val="000000"/>
                <w:lang w:eastAsia="lv-LV"/>
              </w:rPr>
              <w:t>2014.</w:t>
            </w:r>
            <w:r w:rsidR="000E580A">
              <w:rPr>
                <w:rFonts w:ascii="Times New Roman" w:eastAsia="Times New Roman" w:hAnsi="Times New Roman" w:cs="Times New Roman"/>
                <w:b/>
                <w:color w:val="000000"/>
                <w:lang w:eastAsia="lv-LV"/>
              </w:rPr>
              <w:t>gada</w:t>
            </w:r>
            <w:proofErr w:type="gramEnd"/>
            <w:r w:rsidRPr="00A91E2E">
              <w:rPr>
                <w:rFonts w:ascii="Times New Roman" w:eastAsia="Times New Roman" w:hAnsi="Times New Roman" w:cs="Times New Roman"/>
                <w:b/>
                <w:color w:val="000000"/>
                <w:lang w:eastAsia="lv-LV"/>
              </w:rPr>
              <w:t xml:space="preserve"> </w:t>
            </w:r>
            <w:r w:rsidR="00E30CAF">
              <w:rPr>
                <w:rFonts w:ascii="Times New Roman" w:eastAsia="Times New Roman" w:hAnsi="Times New Roman" w:cs="Times New Roman"/>
                <w:b/>
                <w:color w:val="000000"/>
                <w:lang w:eastAsia="lv-LV"/>
              </w:rPr>
              <w:t>3.</w:t>
            </w:r>
            <w:r w:rsidR="00E30CAF" w:rsidRPr="00A91E2E">
              <w:rPr>
                <w:rFonts w:ascii="Times New Roman" w:eastAsia="Times New Roman" w:hAnsi="Times New Roman" w:cs="Times New Roman"/>
                <w:b/>
                <w:color w:val="000000"/>
                <w:lang w:eastAsia="lv-LV"/>
              </w:rPr>
              <w:t xml:space="preserve"> </w:t>
            </w:r>
            <w:r w:rsidRPr="00A91E2E">
              <w:rPr>
                <w:rFonts w:ascii="Times New Roman" w:eastAsia="Times New Roman" w:hAnsi="Times New Roman" w:cs="Times New Roman"/>
                <w:b/>
                <w:color w:val="000000"/>
                <w:lang w:eastAsia="lv-LV"/>
              </w:rPr>
              <w:t>cet.</w:t>
            </w:r>
          </w:p>
        </w:tc>
        <w:tc>
          <w:tcPr>
            <w:tcW w:w="1553" w:type="dxa"/>
            <w:gridSpan w:val="2"/>
            <w:tcBorders>
              <w:top w:val="single" w:sz="4" w:space="0" w:color="auto"/>
              <w:left w:val="nil"/>
              <w:bottom w:val="single" w:sz="4" w:space="0" w:color="auto"/>
              <w:right w:val="single" w:sz="12" w:space="0" w:color="000000"/>
            </w:tcBorders>
            <w:shd w:val="clear" w:color="auto" w:fill="auto"/>
            <w:vAlign w:val="bottom"/>
            <w:hideMark/>
          </w:tcPr>
          <w:p w:rsidR="003076F5" w:rsidRPr="00A91E2E" w:rsidRDefault="003076F5" w:rsidP="00E30CAF">
            <w:pPr>
              <w:spacing w:after="0" w:line="240" w:lineRule="auto"/>
              <w:jc w:val="center"/>
              <w:rPr>
                <w:rFonts w:ascii="Times New Roman" w:eastAsia="Times New Roman" w:hAnsi="Times New Roman" w:cs="Times New Roman"/>
                <w:b/>
                <w:color w:val="000000"/>
                <w:lang w:eastAsia="lv-LV"/>
              </w:rPr>
            </w:pPr>
            <w:proofErr w:type="gramStart"/>
            <w:r w:rsidRPr="00A91E2E">
              <w:rPr>
                <w:rFonts w:ascii="Times New Roman" w:eastAsia="Times New Roman" w:hAnsi="Times New Roman" w:cs="Times New Roman"/>
                <w:b/>
                <w:color w:val="000000"/>
                <w:lang w:eastAsia="lv-LV"/>
              </w:rPr>
              <w:t>2015.</w:t>
            </w:r>
            <w:r w:rsidR="000E580A">
              <w:rPr>
                <w:rFonts w:ascii="Times New Roman" w:eastAsia="Times New Roman" w:hAnsi="Times New Roman" w:cs="Times New Roman"/>
                <w:b/>
                <w:color w:val="000000"/>
                <w:lang w:eastAsia="lv-LV"/>
              </w:rPr>
              <w:t>gada</w:t>
            </w:r>
            <w:proofErr w:type="gramEnd"/>
            <w:r w:rsidRPr="00A91E2E">
              <w:rPr>
                <w:rFonts w:ascii="Times New Roman" w:eastAsia="Times New Roman" w:hAnsi="Times New Roman" w:cs="Times New Roman"/>
                <w:b/>
                <w:color w:val="000000"/>
                <w:lang w:eastAsia="lv-LV"/>
              </w:rPr>
              <w:t xml:space="preserve"> </w:t>
            </w:r>
            <w:r w:rsidR="00E30CAF">
              <w:rPr>
                <w:rFonts w:ascii="Times New Roman" w:eastAsia="Times New Roman" w:hAnsi="Times New Roman" w:cs="Times New Roman"/>
                <w:b/>
                <w:color w:val="000000"/>
                <w:lang w:eastAsia="lv-LV"/>
              </w:rPr>
              <w:t>3.</w:t>
            </w:r>
            <w:r w:rsidR="00E30CAF" w:rsidRPr="00A91E2E">
              <w:rPr>
                <w:rFonts w:ascii="Times New Roman" w:eastAsia="Times New Roman" w:hAnsi="Times New Roman" w:cs="Times New Roman"/>
                <w:b/>
                <w:color w:val="000000"/>
                <w:lang w:eastAsia="lv-LV"/>
              </w:rPr>
              <w:t xml:space="preserve"> </w:t>
            </w:r>
            <w:r w:rsidRPr="00A91E2E">
              <w:rPr>
                <w:rFonts w:ascii="Times New Roman" w:eastAsia="Times New Roman" w:hAnsi="Times New Roman" w:cs="Times New Roman"/>
                <w:b/>
                <w:color w:val="000000"/>
                <w:lang w:eastAsia="lv-LV"/>
              </w:rPr>
              <w:t>cet.</w:t>
            </w:r>
          </w:p>
        </w:tc>
      </w:tr>
      <w:tr w:rsidR="003076F5" w:rsidRPr="003076F5" w:rsidTr="00B9080D">
        <w:trPr>
          <w:trHeight w:val="278"/>
        </w:trPr>
        <w:tc>
          <w:tcPr>
            <w:tcW w:w="4431" w:type="dxa"/>
            <w:tcBorders>
              <w:top w:val="nil"/>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mēneša laikā</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75,62</w:t>
            </w:r>
          </w:p>
        </w:tc>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89,27</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72,72</w:t>
            </w:r>
          </w:p>
        </w:tc>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89,56</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73,55</w:t>
            </w:r>
          </w:p>
        </w:tc>
        <w:tc>
          <w:tcPr>
            <w:tcW w:w="777"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91,44</w:t>
            </w:r>
          </w:p>
        </w:tc>
      </w:tr>
      <w:tr w:rsidR="003076F5" w:rsidRPr="003076F5" w:rsidTr="00B9080D">
        <w:trPr>
          <w:trHeight w:val="278"/>
        </w:trPr>
        <w:tc>
          <w:tcPr>
            <w:tcW w:w="4431" w:type="dxa"/>
            <w:tcBorders>
              <w:top w:val="nil"/>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lastRenderedPageBreak/>
              <w:t>divu mēnešu laikā</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9,91</w:t>
            </w:r>
          </w:p>
        </w:tc>
        <w:tc>
          <w:tcPr>
            <w:tcW w:w="777" w:type="dxa"/>
            <w:vMerge/>
            <w:tcBorders>
              <w:top w:val="nil"/>
              <w:left w:val="single" w:sz="4" w:space="0" w:color="auto"/>
              <w:bottom w:val="single" w:sz="4"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10,69</w:t>
            </w:r>
          </w:p>
        </w:tc>
        <w:tc>
          <w:tcPr>
            <w:tcW w:w="777" w:type="dxa"/>
            <w:vMerge/>
            <w:tcBorders>
              <w:top w:val="nil"/>
              <w:left w:val="single" w:sz="4" w:space="0" w:color="auto"/>
              <w:bottom w:val="single" w:sz="4"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11,5</w:t>
            </w:r>
          </w:p>
        </w:tc>
        <w:tc>
          <w:tcPr>
            <w:tcW w:w="777" w:type="dxa"/>
            <w:vMerge/>
            <w:tcBorders>
              <w:top w:val="nil"/>
              <w:left w:val="single" w:sz="4" w:space="0" w:color="auto"/>
              <w:bottom w:val="single" w:sz="4" w:space="0" w:color="000000"/>
              <w:right w:val="single" w:sz="12"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r>
      <w:tr w:rsidR="003076F5" w:rsidRPr="003076F5" w:rsidTr="00B9080D">
        <w:trPr>
          <w:trHeight w:val="278"/>
        </w:trPr>
        <w:tc>
          <w:tcPr>
            <w:tcW w:w="4431" w:type="dxa"/>
            <w:tcBorders>
              <w:top w:val="nil"/>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sešu mēnešu laikā</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3,74</w:t>
            </w:r>
          </w:p>
        </w:tc>
        <w:tc>
          <w:tcPr>
            <w:tcW w:w="777" w:type="dxa"/>
            <w:vMerge/>
            <w:tcBorders>
              <w:top w:val="nil"/>
              <w:left w:val="single" w:sz="4" w:space="0" w:color="auto"/>
              <w:bottom w:val="single" w:sz="4"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6,15</w:t>
            </w:r>
          </w:p>
        </w:tc>
        <w:tc>
          <w:tcPr>
            <w:tcW w:w="777" w:type="dxa"/>
            <w:vMerge/>
            <w:tcBorders>
              <w:top w:val="nil"/>
              <w:left w:val="single" w:sz="4" w:space="0" w:color="auto"/>
              <w:bottom w:val="single" w:sz="4"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6,39</w:t>
            </w:r>
          </w:p>
        </w:tc>
        <w:tc>
          <w:tcPr>
            <w:tcW w:w="777" w:type="dxa"/>
            <w:vMerge/>
            <w:tcBorders>
              <w:top w:val="nil"/>
              <w:left w:val="single" w:sz="4" w:space="0" w:color="auto"/>
              <w:bottom w:val="single" w:sz="4" w:space="0" w:color="000000"/>
              <w:right w:val="single" w:sz="12"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r>
      <w:tr w:rsidR="003076F5" w:rsidRPr="003076F5" w:rsidTr="00B9080D">
        <w:trPr>
          <w:trHeight w:val="278"/>
        </w:trPr>
        <w:tc>
          <w:tcPr>
            <w:tcW w:w="4431" w:type="dxa"/>
            <w:tcBorders>
              <w:top w:val="nil"/>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gada laikā</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3,53</w:t>
            </w:r>
          </w:p>
        </w:tc>
        <w:tc>
          <w:tcPr>
            <w:tcW w:w="777"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10,73</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3,15</w:t>
            </w:r>
          </w:p>
        </w:tc>
        <w:tc>
          <w:tcPr>
            <w:tcW w:w="777"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10,44</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2,15</w:t>
            </w:r>
          </w:p>
        </w:tc>
        <w:tc>
          <w:tcPr>
            <w:tcW w:w="777"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3076F5" w:rsidRPr="003076F5" w:rsidRDefault="003076F5" w:rsidP="003076F5">
            <w:pPr>
              <w:spacing w:after="0" w:line="240" w:lineRule="auto"/>
              <w:jc w:val="center"/>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8,56</w:t>
            </w:r>
          </w:p>
        </w:tc>
      </w:tr>
      <w:tr w:rsidR="003076F5" w:rsidRPr="003076F5" w:rsidTr="00B9080D">
        <w:trPr>
          <w:trHeight w:val="278"/>
        </w:trPr>
        <w:tc>
          <w:tcPr>
            <w:tcW w:w="4431" w:type="dxa"/>
            <w:tcBorders>
              <w:top w:val="nil"/>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divu gadu laikā</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2,28</w:t>
            </w:r>
          </w:p>
        </w:tc>
        <w:tc>
          <w:tcPr>
            <w:tcW w:w="777" w:type="dxa"/>
            <w:vMerge/>
            <w:tcBorders>
              <w:top w:val="nil"/>
              <w:left w:val="single" w:sz="4" w:space="0" w:color="auto"/>
              <w:bottom w:val="single" w:sz="12"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2,87</w:t>
            </w:r>
          </w:p>
        </w:tc>
        <w:tc>
          <w:tcPr>
            <w:tcW w:w="777" w:type="dxa"/>
            <w:vMerge/>
            <w:tcBorders>
              <w:top w:val="nil"/>
              <w:left w:val="single" w:sz="4" w:space="0" w:color="auto"/>
              <w:bottom w:val="single" w:sz="12"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1,97</w:t>
            </w:r>
          </w:p>
        </w:tc>
        <w:tc>
          <w:tcPr>
            <w:tcW w:w="777" w:type="dxa"/>
            <w:vMerge/>
            <w:tcBorders>
              <w:top w:val="nil"/>
              <w:left w:val="single" w:sz="4" w:space="0" w:color="auto"/>
              <w:bottom w:val="single" w:sz="12" w:space="0" w:color="000000"/>
              <w:right w:val="single" w:sz="12"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r>
      <w:tr w:rsidR="003076F5" w:rsidRPr="003076F5" w:rsidTr="00B9080D">
        <w:trPr>
          <w:trHeight w:val="278"/>
        </w:trPr>
        <w:tc>
          <w:tcPr>
            <w:tcW w:w="4431" w:type="dxa"/>
            <w:tcBorders>
              <w:top w:val="nil"/>
              <w:left w:val="single" w:sz="12" w:space="0" w:color="auto"/>
              <w:bottom w:val="single" w:sz="4"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piecu gadu laikā</w:t>
            </w: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2,64</w:t>
            </w:r>
          </w:p>
        </w:tc>
        <w:tc>
          <w:tcPr>
            <w:tcW w:w="777" w:type="dxa"/>
            <w:vMerge/>
            <w:tcBorders>
              <w:top w:val="nil"/>
              <w:left w:val="single" w:sz="4" w:space="0" w:color="auto"/>
              <w:bottom w:val="single" w:sz="12"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1,88</w:t>
            </w:r>
          </w:p>
        </w:tc>
        <w:tc>
          <w:tcPr>
            <w:tcW w:w="777" w:type="dxa"/>
            <w:vMerge/>
            <w:tcBorders>
              <w:top w:val="nil"/>
              <w:left w:val="single" w:sz="4" w:space="0" w:color="auto"/>
              <w:bottom w:val="single" w:sz="12"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4"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2,15</w:t>
            </w:r>
          </w:p>
        </w:tc>
        <w:tc>
          <w:tcPr>
            <w:tcW w:w="777" w:type="dxa"/>
            <w:vMerge/>
            <w:tcBorders>
              <w:top w:val="nil"/>
              <w:left w:val="single" w:sz="4" w:space="0" w:color="auto"/>
              <w:bottom w:val="single" w:sz="12" w:space="0" w:color="000000"/>
              <w:right w:val="single" w:sz="12"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r>
      <w:tr w:rsidR="003076F5" w:rsidRPr="003076F5" w:rsidTr="00B9080D">
        <w:trPr>
          <w:trHeight w:val="292"/>
        </w:trPr>
        <w:tc>
          <w:tcPr>
            <w:tcW w:w="4431" w:type="dxa"/>
            <w:tcBorders>
              <w:top w:val="nil"/>
              <w:left w:val="single" w:sz="12" w:space="0" w:color="auto"/>
              <w:bottom w:val="single" w:sz="12" w:space="0" w:color="auto"/>
              <w:right w:val="single" w:sz="12" w:space="0" w:color="auto"/>
            </w:tcBorders>
            <w:shd w:val="clear" w:color="auto" w:fill="auto"/>
            <w:noWrap/>
            <w:vAlign w:val="bottom"/>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roofErr w:type="gramStart"/>
            <w:r w:rsidRPr="003076F5">
              <w:rPr>
                <w:rFonts w:ascii="Times New Roman" w:eastAsia="Times New Roman" w:hAnsi="Times New Roman" w:cs="Times New Roman"/>
                <w:color w:val="000000"/>
                <w:lang w:eastAsia="lv-LV"/>
              </w:rPr>
              <w:t>vairāk kā</w:t>
            </w:r>
            <w:proofErr w:type="gramEnd"/>
            <w:r w:rsidRPr="003076F5">
              <w:rPr>
                <w:rFonts w:ascii="Times New Roman" w:eastAsia="Times New Roman" w:hAnsi="Times New Roman" w:cs="Times New Roman"/>
                <w:color w:val="000000"/>
                <w:lang w:eastAsia="lv-LV"/>
              </w:rPr>
              <w:t xml:space="preserve"> piecu gadu laikā</w:t>
            </w:r>
          </w:p>
        </w:tc>
        <w:tc>
          <w:tcPr>
            <w:tcW w:w="776" w:type="dxa"/>
            <w:tcBorders>
              <w:top w:val="nil"/>
              <w:left w:val="nil"/>
              <w:bottom w:val="single" w:sz="12"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2,28</w:t>
            </w:r>
          </w:p>
        </w:tc>
        <w:tc>
          <w:tcPr>
            <w:tcW w:w="777" w:type="dxa"/>
            <w:vMerge/>
            <w:tcBorders>
              <w:top w:val="nil"/>
              <w:left w:val="single" w:sz="4" w:space="0" w:color="auto"/>
              <w:bottom w:val="single" w:sz="12"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12"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2,54</w:t>
            </w:r>
          </w:p>
        </w:tc>
        <w:tc>
          <w:tcPr>
            <w:tcW w:w="777" w:type="dxa"/>
            <w:vMerge/>
            <w:tcBorders>
              <w:top w:val="nil"/>
              <w:left w:val="single" w:sz="4" w:space="0" w:color="auto"/>
              <w:bottom w:val="single" w:sz="12" w:space="0" w:color="000000"/>
              <w:right w:val="single" w:sz="4"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c>
          <w:tcPr>
            <w:tcW w:w="776" w:type="dxa"/>
            <w:tcBorders>
              <w:top w:val="nil"/>
              <w:left w:val="nil"/>
              <w:bottom w:val="single" w:sz="12" w:space="0" w:color="auto"/>
              <w:right w:val="single" w:sz="4" w:space="0" w:color="auto"/>
            </w:tcBorders>
            <w:shd w:val="clear" w:color="auto" w:fill="auto"/>
            <w:noWrap/>
            <w:vAlign w:val="bottom"/>
            <w:hideMark/>
          </w:tcPr>
          <w:p w:rsidR="003076F5" w:rsidRPr="003076F5" w:rsidRDefault="003076F5" w:rsidP="003076F5">
            <w:pPr>
              <w:spacing w:after="0" w:line="240" w:lineRule="auto"/>
              <w:jc w:val="right"/>
              <w:rPr>
                <w:rFonts w:ascii="Times New Roman" w:eastAsia="Times New Roman" w:hAnsi="Times New Roman" w:cs="Times New Roman"/>
                <w:color w:val="000000"/>
                <w:lang w:eastAsia="lv-LV"/>
              </w:rPr>
            </w:pPr>
            <w:r w:rsidRPr="003076F5">
              <w:rPr>
                <w:rFonts w:ascii="Times New Roman" w:eastAsia="Times New Roman" w:hAnsi="Times New Roman" w:cs="Times New Roman"/>
                <w:color w:val="000000"/>
                <w:lang w:eastAsia="lv-LV"/>
              </w:rPr>
              <w:t>2,29</w:t>
            </w:r>
          </w:p>
        </w:tc>
        <w:tc>
          <w:tcPr>
            <w:tcW w:w="777" w:type="dxa"/>
            <w:vMerge/>
            <w:tcBorders>
              <w:top w:val="nil"/>
              <w:left w:val="single" w:sz="4" w:space="0" w:color="auto"/>
              <w:bottom w:val="single" w:sz="12" w:space="0" w:color="000000"/>
              <w:right w:val="single" w:sz="12" w:space="0" w:color="auto"/>
            </w:tcBorders>
            <w:vAlign w:val="center"/>
            <w:hideMark/>
          </w:tcPr>
          <w:p w:rsidR="003076F5" w:rsidRPr="003076F5" w:rsidRDefault="003076F5" w:rsidP="003076F5">
            <w:pPr>
              <w:spacing w:after="0" w:line="240" w:lineRule="auto"/>
              <w:rPr>
                <w:rFonts w:ascii="Times New Roman" w:eastAsia="Times New Roman" w:hAnsi="Times New Roman" w:cs="Times New Roman"/>
                <w:color w:val="000000"/>
                <w:lang w:eastAsia="lv-LV"/>
              </w:rPr>
            </w:pPr>
          </w:p>
        </w:tc>
      </w:tr>
    </w:tbl>
    <w:p w:rsidR="00B9080D" w:rsidRPr="00B9080D" w:rsidRDefault="00B9080D" w:rsidP="00B9080D">
      <w:pPr>
        <w:pStyle w:val="Komentrateksts"/>
        <w:tabs>
          <w:tab w:val="left" w:pos="720"/>
          <w:tab w:val="left" w:pos="5190"/>
        </w:tabs>
        <w:spacing w:after="120"/>
        <w:jc w:val="center"/>
        <w:rPr>
          <w:sz w:val="24"/>
          <w:szCs w:val="24"/>
        </w:rPr>
      </w:pPr>
      <w:r>
        <w:rPr>
          <w:sz w:val="24"/>
          <w:szCs w:val="24"/>
        </w:rPr>
        <w:t>2</w:t>
      </w:r>
      <w:r w:rsidRPr="00B9080D">
        <w:rPr>
          <w:sz w:val="24"/>
          <w:szCs w:val="24"/>
        </w:rPr>
        <w:t>.tab</w:t>
      </w:r>
      <w:r w:rsidR="000E580A">
        <w:rPr>
          <w:sz w:val="24"/>
          <w:szCs w:val="24"/>
        </w:rPr>
        <w:t>ula</w:t>
      </w:r>
      <w:r w:rsidRPr="00B9080D">
        <w:rPr>
          <w:sz w:val="24"/>
          <w:szCs w:val="24"/>
        </w:rPr>
        <w:t xml:space="preserve">. Laiks no </w:t>
      </w:r>
      <w:r>
        <w:rPr>
          <w:sz w:val="24"/>
          <w:szCs w:val="24"/>
        </w:rPr>
        <w:t>dāvinājuma</w:t>
      </w:r>
      <w:r w:rsidRPr="00B9080D">
        <w:rPr>
          <w:sz w:val="24"/>
          <w:szCs w:val="24"/>
        </w:rPr>
        <w:t xml:space="preserve"> līguma parakstīšanas līdz nostiprinājuma lūguma iesniegšanai</w:t>
      </w:r>
    </w:p>
    <w:p w:rsidR="00557B66" w:rsidRDefault="003076F5" w:rsidP="00B9080D">
      <w:pPr>
        <w:pStyle w:val="Komentrateksts"/>
        <w:tabs>
          <w:tab w:val="left" w:pos="720"/>
          <w:tab w:val="left" w:pos="5190"/>
        </w:tabs>
        <w:jc w:val="both"/>
        <w:rPr>
          <w:sz w:val="28"/>
          <w:szCs w:val="28"/>
        </w:rPr>
      </w:pPr>
      <w:r w:rsidRPr="00B9080D">
        <w:rPr>
          <w:sz w:val="28"/>
          <w:szCs w:val="28"/>
        </w:rPr>
        <w:tab/>
        <w:t>Kā liecina iegūtie dati</w:t>
      </w:r>
      <w:r w:rsidR="00B9080D" w:rsidRPr="00B9080D">
        <w:rPr>
          <w:sz w:val="28"/>
          <w:szCs w:val="28"/>
        </w:rPr>
        <w:t xml:space="preserve"> </w:t>
      </w:r>
      <w:proofErr w:type="gramStart"/>
      <w:r w:rsidR="00B9080D" w:rsidRPr="00B9080D">
        <w:rPr>
          <w:sz w:val="28"/>
          <w:szCs w:val="28"/>
        </w:rPr>
        <w:t>(</w:t>
      </w:r>
      <w:proofErr w:type="gramEnd"/>
      <w:r w:rsidR="00B9080D" w:rsidRPr="00B9080D">
        <w:rPr>
          <w:sz w:val="28"/>
          <w:szCs w:val="28"/>
        </w:rPr>
        <w:t>sk.</w:t>
      </w:r>
      <w:r w:rsidR="000E580A">
        <w:rPr>
          <w:sz w:val="28"/>
          <w:szCs w:val="28"/>
        </w:rPr>
        <w:t xml:space="preserve"> </w:t>
      </w:r>
      <w:r w:rsidR="00B9080D" w:rsidRPr="00B9080D">
        <w:rPr>
          <w:sz w:val="28"/>
          <w:szCs w:val="28"/>
        </w:rPr>
        <w:t>2.tab</w:t>
      </w:r>
      <w:r w:rsidR="000E580A">
        <w:rPr>
          <w:sz w:val="28"/>
          <w:szCs w:val="28"/>
        </w:rPr>
        <w:t>ulu</w:t>
      </w:r>
      <w:r w:rsidR="00B9080D" w:rsidRPr="00B9080D">
        <w:rPr>
          <w:sz w:val="28"/>
          <w:szCs w:val="28"/>
        </w:rPr>
        <w:t>. Laiks no dāvinājuma līguma parakstīšanas līdz nostiprinājuma lūguma iesniegšanai)</w:t>
      </w:r>
      <w:r w:rsidR="00D007CD">
        <w:rPr>
          <w:sz w:val="28"/>
          <w:szCs w:val="28"/>
        </w:rPr>
        <w:t>,</w:t>
      </w:r>
      <w:r w:rsidRPr="00B9080D">
        <w:rPr>
          <w:sz w:val="28"/>
          <w:szCs w:val="28"/>
        </w:rPr>
        <w:t xml:space="preserve"> tad Īpašuma tiesību valsts nodevas diferenciācija</w:t>
      </w:r>
      <w:r>
        <w:rPr>
          <w:sz w:val="28"/>
          <w:szCs w:val="28"/>
        </w:rPr>
        <w:t xml:space="preserve"> ir radījusi pozitīvu tendenci uz īpašuma tiesību savlaicīgu nostiprināšanu</w:t>
      </w:r>
      <w:r w:rsidR="00DF3FBA">
        <w:rPr>
          <w:sz w:val="28"/>
          <w:szCs w:val="28"/>
        </w:rPr>
        <w:t xml:space="preserve"> dāvinājuma gadījumā. Jāņem vērā, ka dāvinājuma līguma gadījumā personām pēc darījuma noslēgšanas nav</w:t>
      </w:r>
      <w:r w:rsidR="007C3EC0">
        <w:rPr>
          <w:sz w:val="28"/>
          <w:szCs w:val="28"/>
        </w:rPr>
        <w:t>, piemēram, jāvēršas pašvaldībā. L</w:t>
      </w:r>
      <w:r w:rsidR="00DF3FBA">
        <w:rPr>
          <w:sz w:val="28"/>
          <w:szCs w:val="28"/>
        </w:rPr>
        <w:t>īdz ar to ir pamats izdarīt pieņēmumu,</w:t>
      </w:r>
      <w:r w:rsidR="00E57EF7">
        <w:rPr>
          <w:sz w:val="28"/>
          <w:szCs w:val="28"/>
        </w:rPr>
        <w:t xml:space="preserve"> ka</w:t>
      </w:r>
      <w:r w:rsidR="00DF3FBA">
        <w:rPr>
          <w:sz w:val="28"/>
          <w:szCs w:val="28"/>
        </w:rPr>
        <w:t xml:space="preserve"> to personu, kas savlaicīgi iesniedz nostipri</w:t>
      </w:r>
      <w:r w:rsidR="00E57EF7">
        <w:rPr>
          <w:sz w:val="28"/>
          <w:szCs w:val="28"/>
        </w:rPr>
        <w:t>nājuma lūgumu</w:t>
      </w:r>
      <w:r w:rsidR="007C3EC0">
        <w:rPr>
          <w:sz w:val="28"/>
          <w:szCs w:val="28"/>
        </w:rPr>
        <w:t xml:space="preserve"> dāvinājuma līguma gadījumā</w:t>
      </w:r>
      <w:r w:rsidR="00E57EF7">
        <w:rPr>
          <w:sz w:val="28"/>
          <w:szCs w:val="28"/>
        </w:rPr>
        <w:t>, īpatsvars turpinās</w:t>
      </w:r>
      <w:r w:rsidR="00DF3FBA">
        <w:rPr>
          <w:sz w:val="28"/>
          <w:szCs w:val="28"/>
        </w:rPr>
        <w:t xml:space="preserve"> palielināties tādā pašā apjomā</w:t>
      </w:r>
      <w:r w:rsidR="00E57EF7">
        <w:rPr>
          <w:sz w:val="28"/>
          <w:szCs w:val="28"/>
        </w:rPr>
        <w:t>.</w:t>
      </w:r>
    </w:p>
    <w:p w:rsidR="00D007CD" w:rsidRDefault="00D007CD" w:rsidP="00A91E2E">
      <w:pPr>
        <w:pStyle w:val="Komentrateksts"/>
        <w:tabs>
          <w:tab w:val="left" w:pos="720"/>
          <w:tab w:val="left" w:pos="5190"/>
        </w:tabs>
        <w:jc w:val="both"/>
        <w:rPr>
          <w:sz w:val="28"/>
          <w:szCs w:val="28"/>
        </w:rPr>
      </w:pPr>
    </w:p>
    <w:p w:rsidR="00E57EF7" w:rsidRPr="002E2F46" w:rsidRDefault="00D007CD" w:rsidP="002E2F46">
      <w:pPr>
        <w:pStyle w:val="Komentrateksts"/>
        <w:tabs>
          <w:tab w:val="left" w:pos="720"/>
          <w:tab w:val="left" w:pos="5190"/>
        </w:tabs>
        <w:spacing w:after="120"/>
        <w:jc w:val="both"/>
        <w:rPr>
          <w:sz w:val="28"/>
          <w:szCs w:val="28"/>
        </w:rPr>
      </w:pPr>
      <w:r>
        <w:rPr>
          <w:sz w:val="28"/>
          <w:szCs w:val="28"/>
        </w:rPr>
        <w:tab/>
      </w:r>
      <w:r w:rsidR="00A4411A" w:rsidRPr="002E2F46">
        <w:rPr>
          <w:sz w:val="28"/>
          <w:szCs w:val="28"/>
        </w:rPr>
        <w:t xml:space="preserve">Mantošanas </w:t>
      </w:r>
      <w:r>
        <w:rPr>
          <w:sz w:val="28"/>
          <w:szCs w:val="28"/>
        </w:rPr>
        <w:t>ceļā</w:t>
      </w:r>
      <w:r w:rsidRPr="002E2F46">
        <w:rPr>
          <w:sz w:val="28"/>
          <w:szCs w:val="28"/>
        </w:rPr>
        <w:t xml:space="preserve"> </w:t>
      </w:r>
      <w:r w:rsidR="00E57EF7" w:rsidRPr="002E2F46">
        <w:rPr>
          <w:sz w:val="28"/>
          <w:szCs w:val="28"/>
        </w:rPr>
        <w:t>nekustamais īpašuma tiek</w:t>
      </w:r>
      <w:proofErr w:type="gramStart"/>
      <w:r w:rsidR="00E57EF7" w:rsidRPr="002E2F46">
        <w:rPr>
          <w:sz w:val="28"/>
          <w:szCs w:val="28"/>
        </w:rPr>
        <w:t xml:space="preserve"> iegūts aptuveni 13</w:t>
      </w:r>
      <w:r w:rsidR="000E580A">
        <w:rPr>
          <w:sz w:val="28"/>
          <w:szCs w:val="28"/>
        </w:rPr>
        <w:t> </w:t>
      </w:r>
      <w:r w:rsidR="00E57EF7" w:rsidRPr="002E2F46">
        <w:rPr>
          <w:sz w:val="28"/>
          <w:szCs w:val="28"/>
        </w:rPr>
        <w:t>% gadījumos</w:t>
      </w:r>
      <w:proofErr w:type="gramEnd"/>
      <w:r w:rsidR="00E57EF7" w:rsidRPr="002E2F46">
        <w:rPr>
          <w:sz w:val="28"/>
          <w:szCs w:val="28"/>
        </w:rPr>
        <w:t>.</w:t>
      </w:r>
    </w:p>
    <w:tbl>
      <w:tblPr>
        <w:tblW w:w="9031" w:type="dxa"/>
        <w:tblInd w:w="93" w:type="dxa"/>
        <w:tblLook w:val="04A0" w:firstRow="1" w:lastRow="0" w:firstColumn="1" w:lastColumn="0" w:noHBand="0" w:noVBand="1"/>
      </w:tblPr>
      <w:tblGrid>
        <w:gridCol w:w="4402"/>
        <w:gridCol w:w="771"/>
        <w:gridCol w:w="772"/>
        <w:gridCol w:w="771"/>
        <w:gridCol w:w="772"/>
        <w:gridCol w:w="771"/>
        <w:gridCol w:w="772"/>
      </w:tblGrid>
      <w:tr w:rsidR="00E57EF7" w:rsidRPr="00E57EF7" w:rsidTr="00E57EF7">
        <w:trPr>
          <w:trHeight w:val="556"/>
        </w:trPr>
        <w:tc>
          <w:tcPr>
            <w:tcW w:w="440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hAnsi="Times New Roman" w:cs="Times New Roman"/>
                <w:sz w:val="28"/>
                <w:szCs w:val="28"/>
              </w:rPr>
              <w:tab/>
            </w:r>
            <w:r w:rsidRPr="00E57EF7">
              <w:rPr>
                <w:rFonts w:ascii="Times New Roman" w:eastAsia="Times New Roman" w:hAnsi="Times New Roman" w:cs="Times New Roman"/>
                <w:color w:val="000000"/>
                <w:lang w:eastAsia="lv-LV"/>
              </w:rPr>
              <w:t>Iegūšanas pamats</w:t>
            </w:r>
          </w:p>
        </w:tc>
        <w:tc>
          <w:tcPr>
            <w:tcW w:w="4629" w:type="dxa"/>
            <w:gridSpan w:val="6"/>
            <w:tcBorders>
              <w:top w:val="single" w:sz="12" w:space="0" w:color="auto"/>
              <w:left w:val="nil"/>
              <w:bottom w:val="single" w:sz="4" w:space="0" w:color="auto"/>
              <w:right w:val="single" w:sz="12" w:space="0" w:color="000000"/>
            </w:tcBorders>
            <w:shd w:val="clear" w:color="auto" w:fill="auto"/>
            <w:noWrap/>
            <w:vAlign w:val="bottom"/>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 xml:space="preserve">Mantošana </w:t>
            </w:r>
          </w:p>
        </w:tc>
      </w:tr>
      <w:tr w:rsidR="00E57EF7" w:rsidRPr="00D007CD" w:rsidTr="00E57EF7">
        <w:trPr>
          <w:trHeight w:val="765"/>
        </w:trPr>
        <w:tc>
          <w:tcPr>
            <w:tcW w:w="4402" w:type="dxa"/>
            <w:tcBorders>
              <w:top w:val="nil"/>
              <w:left w:val="single" w:sz="12" w:space="0" w:color="auto"/>
              <w:bottom w:val="single" w:sz="4" w:space="0" w:color="auto"/>
              <w:right w:val="single" w:sz="12" w:space="0" w:color="auto"/>
            </w:tcBorders>
            <w:shd w:val="clear" w:color="auto" w:fill="auto"/>
            <w:vAlign w:val="bottom"/>
            <w:hideMark/>
          </w:tcPr>
          <w:p w:rsidR="00E57EF7" w:rsidRPr="00A91E2E" w:rsidRDefault="00E57EF7" w:rsidP="008E2ACD">
            <w:pPr>
              <w:spacing w:after="0" w:line="240" w:lineRule="auto"/>
              <w:jc w:val="center"/>
              <w:rPr>
                <w:rFonts w:ascii="Times New Roman" w:eastAsia="Times New Roman" w:hAnsi="Times New Roman" w:cs="Times New Roman"/>
                <w:b/>
                <w:color w:val="000000"/>
                <w:lang w:eastAsia="lv-LV"/>
              </w:rPr>
            </w:pPr>
            <w:r w:rsidRPr="00A91E2E">
              <w:rPr>
                <w:rFonts w:ascii="Times New Roman" w:eastAsia="Times New Roman" w:hAnsi="Times New Roman" w:cs="Times New Roman"/>
                <w:b/>
                <w:color w:val="000000"/>
                <w:lang w:eastAsia="lv-LV"/>
              </w:rPr>
              <w:t>Laiks no dokumenta parakstīšanas līdz nostiprinājuma lūguma iesniegšanai</w:t>
            </w:r>
            <w:r w:rsidR="00557B66">
              <w:rPr>
                <w:rFonts w:ascii="Times New Roman" w:eastAsia="Times New Roman" w:hAnsi="Times New Roman" w:cs="Times New Roman"/>
                <w:b/>
                <w:color w:val="000000"/>
                <w:lang w:eastAsia="lv-LV"/>
              </w:rPr>
              <w:t xml:space="preserve"> </w:t>
            </w:r>
            <w:r w:rsidR="00557B66" w:rsidRPr="00D1776B">
              <w:rPr>
                <w:rFonts w:ascii="Times New Roman" w:eastAsia="Times New Roman" w:hAnsi="Times New Roman" w:cs="Times New Roman"/>
                <w:b/>
                <w:color w:val="000000"/>
                <w:sz w:val="24"/>
                <w:szCs w:val="24"/>
                <w:lang w:eastAsia="lv-LV"/>
              </w:rPr>
              <w:t>(</w:t>
            </w:r>
            <w:r w:rsidR="008E2ACD" w:rsidRPr="00D1776B">
              <w:rPr>
                <w:rFonts w:ascii="Times New Roman" w:eastAsia="Times New Roman" w:hAnsi="Times New Roman" w:cs="Times New Roman"/>
                <w:b/>
                <w:color w:val="000000"/>
                <w:sz w:val="24"/>
                <w:szCs w:val="24"/>
                <w:lang w:eastAsia="lv-LV"/>
              </w:rPr>
              <w:t>% no visām Mantošanas lietām</w:t>
            </w:r>
            <w:r w:rsidR="00557B66" w:rsidRPr="00D1776B">
              <w:rPr>
                <w:rFonts w:ascii="Times New Roman" w:eastAsia="Times New Roman" w:hAnsi="Times New Roman" w:cs="Times New Roman"/>
                <w:b/>
                <w:color w:val="000000"/>
                <w:sz w:val="24"/>
                <w:szCs w:val="24"/>
                <w:lang w:eastAsia="lv-LV"/>
              </w:rPr>
              <w:t>)</w:t>
            </w:r>
          </w:p>
        </w:tc>
        <w:tc>
          <w:tcPr>
            <w:tcW w:w="1543" w:type="dxa"/>
            <w:gridSpan w:val="2"/>
            <w:tcBorders>
              <w:top w:val="single" w:sz="4" w:space="0" w:color="auto"/>
              <w:left w:val="nil"/>
              <w:bottom w:val="single" w:sz="4" w:space="0" w:color="auto"/>
              <w:right w:val="single" w:sz="4" w:space="0" w:color="auto"/>
            </w:tcBorders>
            <w:shd w:val="clear" w:color="auto" w:fill="auto"/>
            <w:vAlign w:val="bottom"/>
            <w:hideMark/>
          </w:tcPr>
          <w:p w:rsidR="00E57EF7" w:rsidRPr="00A91E2E" w:rsidRDefault="00E57EF7" w:rsidP="00E57EF7">
            <w:pPr>
              <w:spacing w:after="0" w:line="240" w:lineRule="auto"/>
              <w:jc w:val="center"/>
              <w:rPr>
                <w:rFonts w:ascii="Times New Roman" w:eastAsia="Times New Roman" w:hAnsi="Times New Roman" w:cs="Times New Roman"/>
                <w:b/>
                <w:color w:val="000000"/>
                <w:lang w:eastAsia="lv-LV"/>
              </w:rPr>
            </w:pPr>
            <w:proofErr w:type="gramStart"/>
            <w:r w:rsidRPr="00A91E2E">
              <w:rPr>
                <w:rFonts w:ascii="Times New Roman" w:eastAsia="Times New Roman" w:hAnsi="Times New Roman" w:cs="Times New Roman"/>
                <w:b/>
                <w:color w:val="000000"/>
                <w:lang w:eastAsia="lv-LV"/>
              </w:rPr>
              <w:t>2013</w:t>
            </w:r>
            <w:r w:rsidR="00D007CD">
              <w:rPr>
                <w:rFonts w:ascii="Times New Roman" w:eastAsia="Times New Roman" w:hAnsi="Times New Roman" w:cs="Times New Roman"/>
                <w:b/>
                <w:color w:val="000000"/>
                <w:lang w:eastAsia="lv-LV"/>
              </w:rPr>
              <w:t>.</w:t>
            </w:r>
            <w:r w:rsidR="007D2B62">
              <w:rPr>
                <w:rFonts w:ascii="Times New Roman" w:eastAsia="Times New Roman" w:hAnsi="Times New Roman" w:cs="Times New Roman"/>
                <w:b/>
                <w:color w:val="000000"/>
                <w:lang w:eastAsia="lv-LV"/>
              </w:rPr>
              <w:t>gads</w:t>
            </w:r>
            <w:proofErr w:type="gramEnd"/>
          </w:p>
        </w:tc>
        <w:tc>
          <w:tcPr>
            <w:tcW w:w="1543" w:type="dxa"/>
            <w:gridSpan w:val="2"/>
            <w:tcBorders>
              <w:top w:val="single" w:sz="4" w:space="0" w:color="auto"/>
              <w:left w:val="nil"/>
              <w:bottom w:val="single" w:sz="4" w:space="0" w:color="auto"/>
              <w:right w:val="single" w:sz="4" w:space="0" w:color="auto"/>
            </w:tcBorders>
            <w:shd w:val="clear" w:color="auto" w:fill="auto"/>
            <w:vAlign w:val="bottom"/>
            <w:hideMark/>
          </w:tcPr>
          <w:p w:rsidR="00E57EF7" w:rsidRPr="00A91E2E" w:rsidRDefault="00E57EF7" w:rsidP="00E30CAF">
            <w:pPr>
              <w:spacing w:after="0" w:line="240" w:lineRule="auto"/>
              <w:jc w:val="center"/>
              <w:rPr>
                <w:rFonts w:ascii="Times New Roman" w:eastAsia="Times New Roman" w:hAnsi="Times New Roman" w:cs="Times New Roman"/>
                <w:b/>
                <w:color w:val="000000"/>
                <w:lang w:eastAsia="lv-LV"/>
              </w:rPr>
            </w:pPr>
            <w:proofErr w:type="gramStart"/>
            <w:r w:rsidRPr="00A91E2E">
              <w:rPr>
                <w:rFonts w:ascii="Times New Roman" w:eastAsia="Times New Roman" w:hAnsi="Times New Roman" w:cs="Times New Roman"/>
                <w:b/>
                <w:color w:val="000000"/>
                <w:lang w:eastAsia="lv-LV"/>
              </w:rPr>
              <w:t>2014.</w:t>
            </w:r>
            <w:r w:rsidR="007D2B62">
              <w:rPr>
                <w:rFonts w:ascii="Times New Roman" w:eastAsia="Times New Roman" w:hAnsi="Times New Roman" w:cs="Times New Roman"/>
                <w:b/>
                <w:color w:val="000000"/>
                <w:lang w:eastAsia="lv-LV"/>
              </w:rPr>
              <w:t>gada</w:t>
            </w:r>
            <w:proofErr w:type="gramEnd"/>
            <w:r w:rsidRPr="00A91E2E">
              <w:rPr>
                <w:rFonts w:ascii="Times New Roman" w:eastAsia="Times New Roman" w:hAnsi="Times New Roman" w:cs="Times New Roman"/>
                <w:b/>
                <w:color w:val="000000"/>
                <w:lang w:eastAsia="lv-LV"/>
              </w:rPr>
              <w:t xml:space="preserve"> </w:t>
            </w:r>
            <w:r w:rsidR="00E30CAF">
              <w:rPr>
                <w:rFonts w:ascii="Times New Roman" w:eastAsia="Times New Roman" w:hAnsi="Times New Roman" w:cs="Times New Roman"/>
                <w:b/>
                <w:color w:val="000000"/>
                <w:lang w:eastAsia="lv-LV"/>
              </w:rPr>
              <w:t>3.</w:t>
            </w:r>
            <w:r w:rsidR="00E30CAF" w:rsidRPr="00A91E2E">
              <w:rPr>
                <w:rFonts w:ascii="Times New Roman" w:eastAsia="Times New Roman" w:hAnsi="Times New Roman" w:cs="Times New Roman"/>
                <w:b/>
                <w:color w:val="000000"/>
                <w:lang w:eastAsia="lv-LV"/>
              </w:rPr>
              <w:t xml:space="preserve"> </w:t>
            </w:r>
            <w:r w:rsidRPr="00A91E2E">
              <w:rPr>
                <w:rFonts w:ascii="Times New Roman" w:eastAsia="Times New Roman" w:hAnsi="Times New Roman" w:cs="Times New Roman"/>
                <w:b/>
                <w:color w:val="000000"/>
                <w:lang w:eastAsia="lv-LV"/>
              </w:rPr>
              <w:t>cet.</w:t>
            </w:r>
          </w:p>
        </w:tc>
        <w:tc>
          <w:tcPr>
            <w:tcW w:w="1543" w:type="dxa"/>
            <w:gridSpan w:val="2"/>
            <w:tcBorders>
              <w:top w:val="single" w:sz="4" w:space="0" w:color="auto"/>
              <w:left w:val="nil"/>
              <w:bottom w:val="single" w:sz="4" w:space="0" w:color="auto"/>
              <w:right w:val="single" w:sz="12" w:space="0" w:color="000000"/>
            </w:tcBorders>
            <w:shd w:val="clear" w:color="auto" w:fill="auto"/>
            <w:vAlign w:val="bottom"/>
            <w:hideMark/>
          </w:tcPr>
          <w:p w:rsidR="00E57EF7" w:rsidRPr="00A91E2E" w:rsidRDefault="00E57EF7" w:rsidP="00E30CAF">
            <w:pPr>
              <w:spacing w:after="0" w:line="240" w:lineRule="auto"/>
              <w:jc w:val="center"/>
              <w:rPr>
                <w:rFonts w:ascii="Times New Roman" w:eastAsia="Times New Roman" w:hAnsi="Times New Roman" w:cs="Times New Roman"/>
                <w:b/>
                <w:color w:val="000000"/>
                <w:lang w:eastAsia="lv-LV"/>
              </w:rPr>
            </w:pPr>
            <w:proofErr w:type="gramStart"/>
            <w:r w:rsidRPr="00A91E2E">
              <w:rPr>
                <w:rFonts w:ascii="Times New Roman" w:eastAsia="Times New Roman" w:hAnsi="Times New Roman" w:cs="Times New Roman"/>
                <w:b/>
                <w:color w:val="000000"/>
                <w:lang w:eastAsia="lv-LV"/>
              </w:rPr>
              <w:t>2015.</w:t>
            </w:r>
            <w:r w:rsidR="007D2B62">
              <w:rPr>
                <w:rFonts w:ascii="Times New Roman" w:eastAsia="Times New Roman" w:hAnsi="Times New Roman" w:cs="Times New Roman"/>
                <w:b/>
                <w:color w:val="000000"/>
                <w:lang w:eastAsia="lv-LV"/>
              </w:rPr>
              <w:t>gada</w:t>
            </w:r>
            <w:proofErr w:type="gramEnd"/>
            <w:r w:rsidRPr="00A91E2E">
              <w:rPr>
                <w:rFonts w:ascii="Times New Roman" w:eastAsia="Times New Roman" w:hAnsi="Times New Roman" w:cs="Times New Roman"/>
                <w:b/>
                <w:color w:val="000000"/>
                <w:lang w:eastAsia="lv-LV"/>
              </w:rPr>
              <w:t xml:space="preserve"> </w:t>
            </w:r>
            <w:r w:rsidR="00E30CAF">
              <w:rPr>
                <w:rFonts w:ascii="Times New Roman" w:eastAsia="Times New Roman" w:hAnsi="Times New Roman" w:cs="Times New Roman"/>
                <w:b/>
                <w:color w:val="000000"/>
                <w:lang w:eastAsia="lv-LV"/>
              </w:rPr>
              <w:t>3.</w:t>
            </w:r>
            <w:r w:rsidR="00E30CAF" w:rsidRPr="00A91E2E">
              <w:rPr>
                <w:rFonts w:ascii="Times New Roman" w:eastAsia="Times New Roman" w:hAnsi="Times New Roman" w:cs="Times New Roman"/>
                <w:b/>
                <w:color w:val="000000"/>
                <w:lang w:eastAsia="lv-LV"/>
              </w:rPr>
              <w:t xml:space="preserve"> </w:t>
            </w:r>
            <w:r w:rsidRPr="00A91E2E">
              <w:rPr>
                <w:rFonts w:ascii="Times New Roman" w:eastAsia="Times New Roman" w:hAnsi="Times New Roman" w:cs="Times New Roman"/>
                <w:b/>
                <w:color w:val="000000"/>
                <w:lang w:eastAsia="lv-LV"/>
              </w:rPr>
              <w:t>cet.</w:t>
            </w:r>
          </w:p>
        </w:tc>
      </w:tr>
      <w:tr w:rsidR="00E57EF7" w:rsidRPr="00E57EF7" w:rsidTr="00E57EF7">
        <w:trPr>
          <w:trHeight w:val="278"/>
        </w:trPr>
        <w:tc>
          <w:tcPr>
            <w:tcW w:w="4402" w:type="dxa"/>
            <w:tcBorders>
              <w:top w:val="nil"/>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mēneša laikā</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64,88</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80,97</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62,2</w:t>
            </w:r>
          </w:p>
        </w:tc>
        <w:tc>
          <w:tcPr>
            <w:tcW w:w="7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80,15</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67,03</w:t>
            </w:r>
          </w:p>
        </w:tc>
        <w:tc>
          <w:tcPr>
            <w:tcW w:w="772"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84,59</w:t>
            </w:r>
          </w:p>
        </w:tc>
      </w:tr>
      <w:tr w:rsidR="00E57EF7" w:rsidRPr="00E57EF7" w:rsidTr="00E57EF7">
        <w:trPr>
          <w:trHeight w:val="278"/>
        </w:trPr>
        <w:tc>
          <w:tcPr>
            <w:tcW w:w="4402" w:type="dxa"/>
            <w:tcBorders>
              <w:top w:val="nil"/>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divu mēnešu laikā</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10,24</w:t>
            </w:r>
          </w:p>
        </w:tc>
        <w:tc>
          <w:tcPr>
            <w:tcW w:w="772" w:type="dxa"/>
            <w:vMerge/>
            <w:tcBorders>
              <w:top w:val="nil"/>
              <w:left w:val="single" w:sz="4" w:space="0" w:color="auto"/>
              <w:bottom w:val="single" w:sz="4"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10,63</w:t>
            </w:r>
          </w:p>
        </w:tc>
        <w:tc>
          <w:tcPr>
            <w:tcW w:w="772" w:type="dxa"/>
            <w:vMerge/>
            <w:tcBorders>
              <w:top w:val="nil"/>
              <w:left w:val="single" w:sz="4" w:space="0" w:color="auto"/>
              <w:bottom w:val="single" w:sz="4"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10,23</w:t>
            </w:r>
          </w:p>
        </w:tc>
        <w:tc>
          <w:tcPr>
            <w:tcW w:w="772" w:type="dxa"/>
            <w:vMerge/>
            <w:tcBorders>
              <w:top w:val="nil"/>
              <w:left w:val="single" w:sz="4" w:space="0" w:color="auto"/>
              <w:bottom w:val="single" w:sz="4" w:space="0" w:color="000000"/>
              <w:right w:val="single" w:sz="12"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r>
      <w:tr w:rsidR="00E57EF7" w:rsidRPr="00E57EF7" w:rsidTr="00E57EF7">
        <w:trPr>
          <w:trHeight w:val="278"/>
        </w:trPr>
        <w:tc>
          <w:tcPr>
            <w:tcW w:w="4402" w:type="dxa"/>
            <w:tcBorders>
              <w:top w:val="nil"/>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sešu mēnešu laikā</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5,85</w:t>
            </w:r>
          </w:p>
        </w:tc>
        <w:tc>
          <w:tcPr>
            <w:tcW w:w="772" w:type="dxa"/>
            <w:vMerge/>
            <w:tcBorders>
              <w:top w:val="nil"/>
              <w:left w:val="single" w:sz="4" w:space="0" w:color="auto"/>
              <w:bottom w:val="single" w:sz="4"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7,32</w:t>
            </w:r>
          </w:p>
        </w:tc>
        <w:tc>
          <w:tcPr>
            <w:tcW w:w="772" w:type="dxa"/>
            <w:vMerge/>
            <w:tcBorders>
              <w:top w:val="nil"/>
              <w:left w:val="single" w:sz="4" w:space="0" w:color="auto"/>
              <w:bottom w:val="single" w:sz="4"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7,33</w:t>
            </w:r>
          </w:p>
        </w:tc>
        <w:tc>
          <w:tcPr>
            <w:tcW w:w="772" w:type="dxa"/>
            <w:vMerge/>
            <w:tcBorders>
              <w:top w:val="nil"/>
              <w:left w:val="single" w:sz="4" w:space="0" w:color="auto"/>
              <w:bottom w:val="single" w:sz="4" w:space="0" w:color="000000"/>
              <w:right w:val="single" w:sz="12"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r>
      <w:tr w:rsidR="00E57EF7" w:rsidRPr="00E57EF7" w:rsidTr="00E57EF7">
        <w:trPr>
          <w:trHeight w:val="278"/>
        </w:trPr>
        <w:tc>
          <w:tcPr>
            <w:tcW w:w="4402" w:type="dxa"/>
            <w:tcBorders>
              <w:top w:val="nil"/>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gada laikā</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4,97</w:t>
            </w:r>
          </w:p>
        </w:tc>
        <w:tc>
          <w:tcPr>
            <w:tcW w:w="772"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19,03</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6,18</w:t>
            </w:r>
          </w:p>
        </w:tc>
        <w:tc>
          <w:tcPr>
            <w:tcW w:w="772"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19,85</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2,74</w:t>
            </w:r>
          </w:p>
        </w:tc>
        <w:tc>
          <w:tcPr>
            <w:tcW w:w="772"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E57EF7" w:rsidRPr="00E57EF7" w:rsidRDefault="00E57EF7" w:rsidP="00E57EF7">
            <w:pPr>
              <w:spacing w:after="0" w:line="240" w:lineRule="auto"/>
              <w:jc w:val="center"/>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15,41</w:t>
            </w:r>
          </w:p>
        </w:tc>
      </w:tr>
      <w:tr w:rsidR="00E57EF7" w:rsidRPr="00E57EF7" w:rsidTr="00E57EF7">
        <w:trPr>
          <w:trHeight w:val="278"/>
        </w:trPr>
        <w:tc>
          <w:tcPr>
            <w:tcW w:w="4402" w:type="dxa"/>
            <w:tcBorders>
              <w:top w:val="nil"/>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divu gadu laikā</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4,17</w:t>
            </w:r>
          </w:p>
        </w:tc>
        <w:tc>
          <w:tcPr>
            <w:tcW w:w="772" w:type="dxa"/>
            <w:vMerge/>
            <w:tcBorders>
              <w:top w:val="nil"/>
              <w:left w:val="single" w:sz="4" w:space="0" w:color="auto"/>
              <w:bottom w:val="single" w:sz="12"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3,44</w:t>
            </w:r>
          </w:p>
        </w:tc>
        <w:tc>
          <w:tcPr>
            <w:tcW w:w="772" w:type="dxa"/>
            <w:vMerge/>
            <w:tcBorders>
              <w:top w:val="nil"/>
              <w:left w:val="single" w:sz="4" w:space="0" w:color="auto"/>
              <w:bottom w:val="single" w:sz="12"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3,42</w:t>
            </w:r>
          </w:p>
        </w:tc>
        <w:tc>
          <w:tcPr>
            <w:tcW w:w="772" w:type="dxa"/>
            <w:vMerge/>
            <w:tcBorders>
              <w:top w:val="nil"/>
              <w:left w:val="single" w:sz="4" w:space="0" w:color="auto"/>
              <w:bottom w:val="single" w:sz="12" w:space="0" w:color="000000"/>
              <w:right w:val="single" w:sz="12"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r>
      <w:tr w:rsidR="00E57EF7" w:rsidRPr="00E57EF7" w:rsidTr="00E57EF7">
        <w:trPr>
          <w:trHeight w:val="278"/>
        </w:trPr>
        <w:tc>
          <w:tcPr>
            <w:tcW w:w="4402" w:type="dxa"/>
            <w:tcBorders>
              <w:top w:val="nil"/>
              <w:left w:val="single" w:sz="12" w:space="0" w:color="auto"/>
              <w:bottom w:val="single" w:sz="4"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piecu gadu laikā</w:t>
            </w: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5,81</w:t>
            </w:r>
          </w:p>
        </w:tc>
        <w:tc>
          <w:tcPr>
            <w:tcW w:w="772" w:type="dxa"/>
            <w:vMerge/>
            <w:tcBorders>
              <w:top w:val="nil"/>
              <w:left w:val="single" w:sz="4" w:space="0" w:color="auto"/>
              <w:bottom w:val="single" w:sz="12"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4,98</w:t>
            </w:r>
          </w:p>
        </w:tc>
        <w:tc>
          <w:tcPr>
            <w:tcW w:w="772" w:type="dxa"/>
            <w:vMerge/>
            <w:tcBorders>
              <w:top w:val="nil"/>
              <w:left w:val="single" w:sz="4" w:space="0" w:color="auto"/>
              <w:bottom w:val="single" w:sz="12"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4"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4,14</w:t>
            </w:r>
          </w:p>
        </w:tc>
        <w:tc>
          <w:tcPr>
            <w:tcW w:w="772" w:type="dxa"/>
            <w:vMerge/>
            <w:tcBorders>
              <w:top w:val="nil"/>
              <w:left w:val="single" w:sz="4" w:space="0" w:color="auto"/>
              <w:bottom w:val="single" w:sz="12" w:space="0" w:color="000000"/>
              <w:right w:val="single" w:sz="12"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r>
      <w:tr w:rsidR="00E57EF7" w:rsidRPr="00E57EF7" w:rsidTr="00E57EF7">
        <w:trPr>
          <w:trHeight w:val="292"/>
        </w:trPr>
        <w:tc>
          <w:tcPr>
            <w:tcW w:w="4402" w:type="dxa"/>
            <w:tcBorders>
              <w:top w:val="nil"/>
              <w:left w:val="single" w:sz="12" w:space="0" w:color="auto"/>
              <w:bottom w:val="single" w:sz="12" w:space="0" w:color="auto"/>
              <w:right w:val="single" w:sz="12" w:space="0" w:color="auto"/>
            </w:tcBorders>
            <w:shd w:val="clear" w:color="auto" w:fill="auto"/>
            <w:noWrap/>
            <w:vAlign w:val="bottom"/>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roofErr w:type="gramStart"/>
            <w:r w:rsidRPr="00E57EF7">
              <w:rPr>
                <w:rFonts w:ascii="Times New Roman" w:eastAsia="Times New Roman" w:hAnsi="Times New Roman" w:cs="Times New Roman"/>
                <w:color w:val="000000"/>
                <w:lang w:eastAsia="lv-LV"/>
              </w:rPr>
              <w:t>vairāk kā</w:t>
            </w:r>
            <w:proofErr w:type="gramEnd"/>
            <w:r w:rsidRPr="00E57EF7">
              <w:rPr>
                <w:rFonts w:ascii="Times New Roman" w:eastAsia="Times New Roman" w:hAnsi="Times New Roman" w:cs="Times New Roman"/>
                <w:color w:val="000000"/>
                <w:lang w:eastAsia="lv-LV"/>
              </w:rPr>
              <w:t xml:space="preserve"> piecu gadu laikā</w:t>
            </w:r>
          </w:p>
        </w:tc>
        <w:tc>
          <w:tcPr>
            <w:tcW w:w="771" w:type="dxa"/>
            <w:tcBorders>
              <w:top w:val="nil"/>
              <w:left w:val="nil"/>
              <w:bottom w:val="single" w:sz="12"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4,08</w:t>
            </w:r>
          </w:p>
        </w:tc>
        <w:tc>
          <w:tcPr>
            <w:tcW w:w="772" w:type="dxa"/>
            <w:vMerge/>
            <w:tcBorders>
              <w:top w:val="nil"/>
              <w:left w:val="single" w:sz="4" w:space="0" w:color="auto"/>
              <w:bottom w:val="single" w:sz="12"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12"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5,25</w:t>
            </w:r>
          </w:p>
        </w:tc>
        <w:tc>
          <w:tcPr>
            <w:tcW w:w="772" w:type="dxa"/>
            <w:vMerge/>
            <w:tcBorders>
              <w:top w:val="nil"/>
              <w:left w:val="single" w:sz="4" w:space="0" w:color="auto"/>
              <w:bottom w:val="single" w:sz="12" w:space="0" w:color="000000"/>
              <w:right w:val="single" w:sz="4"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c>
          <w:tcPr>
            <w:tcW w:w="771" w:type="dxa"/>
            <w:tcBorders>
              <w:top w:val="nil"/>
              <w:left w:val="nil"/>
              <w:bottom w:val="single" w:sz="12" w:space="0" w:color="auto"/>
              <w:right w:val="single" w:sz="4" w:space="0" w:color="auto"/>
            </w:tcBorders>
            <w:shd w:val="clear" w:color="auto" w:fill="auto"/>
            <w:noWrap/>
            <w:vAlign w:val="bottom"/>
            <w:hideMark/>
          </w:tcPr>
          <w:p w:rsidR="00E57EF7" w:rsidRPr="00E57EF7" w:rsidRDefault="00E57EF7" w:rsidP="00E57EF7">
            <w:pPr>
              <w:spacing w:after="0" w:line="240" w:lineRule="auto"/>
              <w:jc w:val="right"/>
              <w:rPr>
                <w:rFonts w:ascii="Times New Roman" w:eastAsia="Times New Roman" w:hAnsi="Times New Roman" w:cs="Times New Roman"/>
                <w:color w:val="000000"/>
                <w:lang w:eastAsia="lv-LV"/>
              </w:rPr>
            </w:pPr>
            <w:r w:rsidRPr="00E57EF7">
              <w:rPr>
                <w:rFonts w:ascii="Times New Roman" w:eastAsia="Times New Roman" w:hAnsi="Times New Roman" w:cs="Times New Roman"/>
                <w:color w:val="000000"/>
                <w:lang w:eastAsia="lv-LV"/>
              </w:rPr>
              <w:t>5,11</w:t>
            </w:r>
          </w:p>
        </w:tc>
        <w:tc>
          <w:tcPr>
            <w:tcW w:w="772" w:type="dxa"/>
            <w:vMerge/>
            <w:tcBorders>
              <w:top w:val="nil"/>
              <w:left w:val="single" w:sz="4" w:space="0" w:color="auto"/>
              <w:bottom w:val="single" w:sz="12" w:space="0" w:color="000000"/>
              <w:right w:val="single" w:sz="12" w:space="0" w:color="auto"/>
            </w:tcBorders>
            <w:vAlign w:val="center"/>
            <w:hideMark/>
          </w:tcPr>
          <w:p w:rsidR="00E57EF7" w:rsidRPr="00E57EF7" w:rsidRDefault="00E57EF7" w:rsidP="00E57EF7">
            <w:pPr>
              <w:spacing w:after="0" w:line="240" w:lineRule="auto"/>
              <w:rPr>
                <w:rFonts w:ascii="Times New Roman" w:eastAsia="Times New Roman" w:hAnsi="Times New Roman" w:cs="Times New Roman"/>
                <w:color w:val="000000"/>
                <w:lang w:eastAsia="lv-LV"/>
              </w:rPr>
            </w:pPr>
          </w:p>
        </w:tc>
      </w:tr>
    </w:tbl>
    <w:p w:rsidR="00B9080D" w:rsidRPr="00B9080D" w:rsidRDefault="00B9080D" w:rsidP="002E2F46">
      <w:pPr>
        <w:pStyle w:val="Komentrateksts"/>
        <w:tabs>
          <w:tab w:val="left" w:pos="720"/>
          <w:tab w:val="left" w:pos="5190"/>
        </w:tabs>
        <w:spacing w:after="120"/>
        <w:jc w:val="center"/>
        <w:rPr>
          <w:sz w:val="24"/>
          <w:szCs w:val="24"/>
        </w:rPr>
      </w:pPr>
      <w:r>
        <w:rPr>
          <w:sz w:val="24"/>
          <w:szCs w:val="24"/>
        </w:rPr>
        <w:t>3</w:t>
      </w:r>
      <w:r w:rsidRPr="00B9080D">
        <w:rPr>
          <w:sz w:val="24"/>
          <w:szCs w:val="24"/>
        </w:rPr>
        <w:t>.tab</w:t>
      </w:r>
      <w:r w:rsidR="007D2B62">
        <w:rPr>
          <w:sz w:val="24"/>
          <w:szCs w:val="24"/>
        </w:rPr>
        <w:t>ula</w:t>
      </w:r>
      <w:r w:rsidRPr="00B9080D">
        <w:rPr>
          <w:sz w:val="24"/>
          <w:szCs w:val="24"/>
        </w:rPr>
        <w:t xml:space="preserve">. Laiks no </w:t>
      </w:r>
      <w:r>
        <w:rPr>
          <w:sz w:val="24"/>
          <w:szCs w:val="24"/>
        </w:rPr>
        <w:t xml:space="preserve">akta </w:t>
      </w:r>
      <w:r w:rsidR="002E2F46">
        <w:rPr>
          <w:sz w:val="24"/>
          <w:szCs w:val="24"/>
        </w:rPr>
        <w:t>Mantošanas lietās</w:t>
      </w:r>
      <w:r>
        <w:rPr>
          <w:sz w:val="24"/>
          <w:szCs w:val="24"/>
        </w:rPr>
        <w:t xml:space="preserve"> sastādīšanas</w:t>
      </w:r>
      <w:r w:rsidRPr="00B9080D">
        <w:rPr>
          <w:sz w:val="24"/>
          <w:szCs w:val="24"/>
        </w:rPr>
        <w:t xml:space="preserve"> līdz no</w:t>
      </w:r>
      <w:r>
        <w:rPr>
          <w:sz w:val="24"/>
          <w:szCs w:val="24"/>
        </w:rPr>
        <w:t>stiprinājuma lūguma iesniegšanai</w:t>
      </w:r>
    </w:p>
    <w:p w:rsidR="00E57EF7" w:rsidRDefault="00E57EF7" w:rsidP="00C117D6">
      <w:pPr>
        <w:pStyle w:val="Komentrateksts"/>
        <w:tabs>
          <w:tab w:val="left" w:pos="720"/>
          <w:tab w:val="left" w:pos="5190"/>
        </w:tabs>
        <w:jc w:val="both"/>
        <w:rPr>
          <w:sz w:val="28"/>
          <w:szCs w:val="28"/>
        </w:rPr>
      </w:pPr>
      <w:r>
        <w:rPr>
          <w:sz w:val="28"/>
          <w:szCs w:val="28"/>
        </w:rPr>
        <w:tab/>
      </w:r>
      <w:r w:rsidR="00D007CD" w:rsidRPr="002E2F46">
        <w:rPr>
          <w:sz w:val="28"/>
          <w:szCs w:val="28"/>
        </w:rPr>
        <w:t xml:space="preserve">Salīdzinot iegūtos datus </w:t>
      </w:r>
      <w:proofErr w:type="gramStart"/>
      <w:r w:rsidR="00D007CD" w:rsidRPr="002E2F46">
        <w:rPr>
          <w:sz w:val="28"/>
          <w:szCs w:val="28"/>
        </w:rPr>
        <w:t>(</w:t>
      </w:r>
      <w:proofErr w:type="gramEnd"/>
      <w:r w:rsidR="00D007CD" w:rsidRPr="002E2F46">
        <w:rPr>
          <w:sz w:val="28"/>
          <w:szCs w:val="28"/>
        </w:rPr>
        <w:t>sk. 3.tab</w:t>
      </w:r>
      <w:r w:rsidR="007D2B62">
        <w:rPr>
          <w:sz w:val="28"/>
          <w:szCs w:val="28"/>
        </w:rPr>
        <w:t>ulu</w:t>
      </w:r>
      <w:r w:rsidR="00D007CD" w:rsidRPr="002E2F46">
        <w:rPr>
          <w:sz w:val="28"/>
          <w:szCs w:val="28"/>
        </w:rPr>
        <w:t xml:space="preserve">. Laiks no akta </w:t>
      </w:r>
      <w:r w:rsidR="00D007CD">
        <w:rPr>
          <w:sz w:val="28"/>
          <w:szCs w:val="28"/>
        </w:rPr>
        <w:t>M</w:t>
      </w:r>
      <w:r w:rsidR="00D007CD" w:rsidRPr="002E2F46">
        <w:rPr>
          <w:sz w:val="28"/>
          <w:szCs w:val="28"/>
        </w:rPr>
        <w:t xml:space="preserve">antošanas lietas sastādīšanas līdz nostiprinājuma lūguma iesniegšanai), secināms, ka arī attiecībā uz šo īpašuma tiesības iegūšanas veidu, Īpašuma tiesību valsts nodevas diferenciācijai ir bijusi pozitīva ietekme. </w:t>
      </w:r>
      <w:r>
        <w:rPr>
          <w:sz w:val="28"/>
          <w:szCs w:val="28"/>
        </w:rPr>
        <w:t xml:space="preserve">Turklāt, ja salīdzina </w:t>
      </w:r>
      <w:proofErr w:type="gramStart"/>
      <w:r>
        <w:rPr>
          <w:sz w:val="28"/>
          <w:szCs w:val="28"/>
        </w:rPr>
        <w:t>2013.gada</w:t>
      </w:r>
      <w:proofErr w:type="gramEnd"/>
      <w:r>
        <w:rPr>
          <w:sz w:val="28"/>
          <w:szCs w:val="28"/>
        </w:rPr>
        <w:t xml:space="preserve"> datus ar 2015.</w:t>
      </w:r>
      <w:r w:rsidRPr="00E30CAF">
        <w:rPr>
          <w:sz w:val="28"/>
          <w:szCs w:val="28"/>
        </w:rPr>
        <w:t xml:space="preserve">gada </w:t>
      </w:r>
      <w:r w:rsidR="00E30CAF" w:rsidRPr="00E30CAF">
        <w:rPr>
          <w:sz w:val="28"/>
          <w:szCs w:val="28"/>
        </w:rPr>
        <w:t xml:space="preserve">3. </w:t>
      </w:r>
      <w:r w:rsidRPr="00E30CAF">
        <w:rPr>
          <w:sz w:val="28"/>
          <w:szCs w:val="28"/>
        </w:rPr>
        <w:t>ceturkšņa</w:t>
      </w:r>
      <w:r>
        <w:rPr>
          <w:sz w:val="28"/>
          <w:szCs w:val="28"/>
        </w:rPr>
        <w:t xml:space="preserve"> datiem, tad konstatējams, ka to personu īpatsvars, kas nostiprinājuma lūgumu iesniedz nesavlaicīgi</w:t>
      </w:r>
      <w:r w:rsidR="007C3EC0">
        <w:rPr>
          <w:sz w:val="28"/>
          <w:szCs w:val="28"/>
        </w:rPr>
        <w:t>,</w:t>
      </w:r>
      <w:r>
        <w:rPr>
          <w:sz w:val="28"/>
          <w:szCs w:val="28"/>
        </w:rPr>
        <w:t xml:space="preserve"> samazinājies</w:t>
      </w:r>
      <w:r w:rsidR="007C3EC0">
        <w:rPr>
          <w:sz w:val="28"/>
          <w:szCs w:val="28"/>
        </w:rPr>
        <w:t xml:space="preserve"> gandrīz</w:t>
      </w:r>
      <w:r>
        <w:rPr>
          <w:sz w:val="28"/>
          <w:szCs w:val="28"/>
        </w:rPr>
        <w:t xml:space="preserve"> par ceturtdaļu. Tā kā arī </w:t>
      </w:r>
      <w:r w:rsidR="007C3EC0">
        <w:rPr>
          <w:sz w:val="28"/>
          <w:szCs w:val="28"/>
        </w:rPr>
        <w:t>M</w:t>
      </w:r>
      <w:r>
        <w:rPr>
          <w:sz w:val="28"/>
          <w:szCs w:val="28"/>
        </w:rPr>
        <w:t xml:space="preserve">antošanas </w:t>
      </w:r>
      <w:r w:rsidR="007C3EC0">
        <w:rPr>
          <w:sz w:val="28"/>
          <w:szCs w:val="28"/>
        </w:rPr>
        <w:t>lietās</w:t>
      </w:r>
      <w:r>
        <w:rPr>
          <w:sz w:val="28"/>
          <w:szCs w:val="28"/>
        </w:rPr>
        <w:t xml:space="preserve"> personām nav, piemēram, jāvēršas pašvaldībā, ir pamats izdarīt pieņēmumu, ka to personu, kas savlaicīgi iesniedz nostiprinājuma lūgumu, īpatsvars turpinās palielināties tādā pašā apjomā, līdz ar to ilgtermiņā būtiski palielinot Īpašuma tiesību valsts nodevas diferenciācijas </w:t>
      </w:r>
      <w:r>
        <w:rPr>
          <w:sz w:val="28"/>
          <w:szCs w:val="28"/>
        </w:rPr>
        <w:lastRenderedPageBreak/>
        <w:t>pozitīvo ietekmi</w:t>
      </w:r>
      <w:r w:rsidR="00D060EB">
        <w:rPr>
          <w:sz w:val="28"/>
          <w:szCs w:val="28"/>
        </w:rPr>
        <w:t xml:space="preserve"> uz savlaicīgu īpašuma tiesību nostiprināšanu</w:t>
      </w:r>
      <w:r w:rsidR="007C3EC0">
        <w:rPr>
          <w:sz w:val="28"/>
          <w:szCs w:val="28"/>
        </w:rPr>
        <w:t xml:space="preserve"> Mantošanas lietās</w:t>
      </w:r>
      <w:r>
        <w:rPr>
          <w:sz w:val="28"/>
          <w:szCs w:val="28"/>
        </w:rPr>
        <w:t xml:space="preserve">. </w:t>
      </w:r>
    </w:p>
    <w:p w:rsidR="00D007CD" w:rsidRDefault="00D007CD" w:rsidP="007C3EC0">
      <w:pPr>
        <w:spacing w:after="0" w:line="240" w:lineRule="auto"/>
        <w:ind w:firstLine="720"/>
        <w:jc w:val="both"/>
        <w:rPr>
          <w:rFonts w:ascii="Times New Roman" w:hAnsi="Times New Roman" w:cs="Times New Roman"/>
          <w:sz w:val="28"/>
          <w:szCs w:val="28"/>
        </w:rPr>
      </w:pPr>
    </w:p>
    <w:p w:rsidR="007C3EC0" w:rsidRDefault="00557B66" w:rsidP="00C117D6">
      <w:pPr>
        <w:pStyle w:val="Komentrateksts"/>
        <w:tabs>
          <w:tab w:val="left" w:pos="720"/>
          <w:tab w:val="left" w:pos="5190"/>
        </w:tabs>
        <w:jc w:val="both"/>
        <w:rPr>
          <w:sz w:val="28"/>
          <w:szCs w:val="28"/>
        </w:rPr>
      </w:pPr>
      <w:r>
        <w:rPr>
          <w:sz w:val="28"/>
          <w:szCs w:val="28"/>
        </w:rPr>
        <w:tab/>
      </w:r>
      <w:r w:rsidR="00D060EB" w:rsidRPr="007C3EC0">
        <w:rPr>
          <w:sz w:val="28"/>
          <w:szCs w:val="28"/>
        </w:rPr>
        <w:t xml:space="preserve">Pamatojoties uz tiesas nolēmumiem, īpašuma tiesības </w:t>
      </w:r>
      <w:proofErr w:type="gramStart"/>
      <w:r w:rsidR="00D060EB" w:rsidRPr="007C3EC0">
        <w:rPr>
          <w:sz w:val="28"/>
          <w:szCs w:val="28"/>
        </w:rPr>
        <w:t>tiek iegūtas aptuveni 6</w:t>
      </w:r>
      <w:r w:rsidR="007D2B62">
        <w:rPr>
          <w:sz w:val="28"/>
          <w:szCs w:val="28"/>
        </w:rPr>
        <w:t> </w:t>
      </w:r>
      <w:r w:rsidR="00D060EB" w:rsidRPr="007C3EC0">
        <w:rPr>
          <w:sz w:val="28"/>
          <w:szCs w:val="28"/>
        </w:rPr>
        <w:t>%</w:t>
      </w:r>
      <w:proofErr w:type="gramEnd"/>
      <w:r w:rsidR="00D060EB" w:rsidRPr="007C3EC0">
        <w:rPr>
          <w:sz w:val="28"/>
          <w:szCs w:val="28"/>
        </w:rPr>
        <w:t xml:space="preserve"> gadījumu.</w:t>
      </w:r>
    </w:p>
    <w:tbl>
      <w:tblPr>
        <w:tblW w:w="8985" w:type="dxa"/>
        <w:tblInd w:w="93" w:type="dxa"/>
        <w:tblLook w:val="04A0" w:firstRow="1" w:lastRow="0" w:firstColumn="1" w:lastColumn="0" w:noHBand="0" w:noVBand="1"/>
      </w:tblPr>
      <w:tblGrid>
        <w:gridCol w:w="4380"/>
        <w:gridCol w:w="767"/>
        <w:gridCol w:w="768"/>
        <w:gridCol w:w="767"/>
        <w:gridCol w:w="768"/>
        <w:gridCol w:w="767"/>
        <w:gridCol w:w="768"/>
      </w:tblGrid>
      <w:tr w:rsidR="00067763" w:rsidRPr="00D060EB" w:rsidTr="00C54F7B">
        <w:trPr>
          <w:trHeight w:val="552"/>
        </w:trPr>
        <w:tc>
          <w:tcPr>
            <w:tcW w:w="438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jc w:val="center"/>
              <w:rPr>
                <w:rFonts w:ascii="Times New Roman" w:eastAsia="Times New Roman" w:hAnsi="Times New Roman" w:cs="Times New Roman"/>
                <w:color w:val="000000"/>
                <w:sz w:val="24"/>
                <w:szCs w:val="24"/>
                <w:lang w:eastAsia="lv-LV"/>
              </w:rPr>
            </w:pPr>
            <w:r w:rsidRPr="002E2F46">
              <w:rPr>
                <w:rFonts w:ascii="Times New Roman" w:hAnsi="Times New Roman" w:cs="Times New Roman"/>
                <w:sz w:val="28"/>
                <w:szCs w:val="28"/>
              </w:rPr>
              <w:t xml:space="preserve"> </w:t>
            </w:r>
            <w:r>
              <w:rPr>
                <w:sz w:val="28"/>
                <w:szCs w:val="28"/>
              </w:rPr>
              <w:tab/>
            </w:r>
            <w:r w:rsidRPr="00D060EB">
              <w:rPr>
                <w:rFonts w:ascii="Times New Roman" w:eastAsia="Times New Roman" w:hAnsi="Times New Roman" w:cs="Times New Roman"/>
                <w:color w:val="000000"/>
                <w:sz w:val="24"/>
                <w:szCs w:val="24"/>
                <w:lang w:eastAsia="lv-LV"/>
              </w:rPr>
              <w:t>Iegūšanas pamats</w:t>
            </w:r>
          </w:p>
        </w:tc>
        <w:tc>
          <w:tcPr>
            <w:tcW w:w="4605" w:type="dxa"/>
            <w:gridSpan w:val="6"/>
            <w:tcBorders>
              <w:top w:val="single" w:sz="12" w:space="0" w:color="auto"/>
              <w:left w:val="nil"/>
              <w:bottom w:val="single" w:sz="4" w:space="0" w:color="auto"/>
              <w:right w:val="single" w:sz="12" w:space="0" w:color="000000"/>
            </w:tcBorders>
            <w:shd w:val="clear" w:color="auto" w:fill="auto"/>
            <w:noWrap/>
            <w:vAlign w:val="bottom"/>
            <w:hideMark/>
          </w:tcPr>
          <w:p w:rsidR="00067763" w:rsidRPr="00D060EB" w:rsidRDefault="00067763" w:rsidP="008E2ACD">
            <w:pPr>
              <w:spacing w:after="0" w:line="240" w:lineRule="auto"/>
              <w:jc w:val="center"/>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 xml:space="preserve">Tiesas nolēmumi </w:t>
            </w:r>
          </w:p>
        </w:tc>
      </w:tr>
      <w:tr w:rsidR="00067763" w:rsidRPr="00BB0C31" w:rsidTr="00C54F7B">
        <w:trPr>
          <w:trHeight w:val="758"/>
        </w:trPr>
        <w:tc>
          <w:tcPr>
            <w:tcW w:w="4380" w:type="dxa"/>
            <w:tcBorders>
              <w:top w:val="nil"/>
              <w:left w:val="single" w:sz="12" w:space="0" w:color="auto"/>
              <w:bottom w:val="single" w:sz="4" w:space="0" w:color="auto"/>
              <w:right w:val="single" w:sz="12" w:space="0" w:color="auto"/>
            </w:tcBorders>
            <w:shd w:val="clear" w:color="auto" w:fill="auto"/>
            <w:vAlign w:val="bottom"/>
            <w:hideMark/>
          </w:tcPr>
          <w:p w:rsidR="00067763" w:rsidRPr="00A91E2E" w:rsidRDefault="00067763" w:rsidP="00C54F7B">
            <w:pPr>
              <w:spacing w:after="0" w:line="240" w:lineRule="auto"/>
              <w:jc w:val="center"/>
              <w:rPr>
                <w:rFonts w:ascii="Times New Roman" w:eastAsia="Times New Roman" w:hAnsi="Times New Roman" w:cs="Times New Roman"/>
                <w:b/>
                <w:color w:val="000000"/>
                <w:sz w:val="24"/>
                <w:szCs w:val="24"/>
                <w:lang w:eastAsia="lv-LV"/>
              </w:rPr>
            </w:pPr>
            <w:r w:rsidRPr="00A91E2E">
              <w:rPr>
                <w:rFonts w:ascii="Times New Roman" w:eastAsia="Times New Roman" w:hAnsi="Times New Roman" w:cs="Times New Roman"/>
                <w:b/>
                <w:color w:val="000000"/>
                <w:sz w:val="24"/>
                <w:szCs w:val="24"/>
                <w:lang w:eastAsia="lv-LV"/>
              </w:rPr>
              <w:t>Laiks no dokumenta parakstīšanas līdz nostiprinājuma lūguma iesniegšanai</w:t>
            </w:r>
            <w:r w:rsidR="00A91E2E">
              <w:rPr>
                <w:rFonts w:ascii="Times New Roman" w:eastAsia="Times New Roman" w:hAnsi="Times New Roman" w:cs="Times New Roman"/>
                <w:b/>
                <w:color w:val="000000"/>
                <w:sz w:val="24"/>
                <w:szCs w:val="24"/>
                <w:lang w:eastAsia="lv-LV"/>
              </w:rPr>
              <w:t xml:space="preserve"> </w:t>
            </w:r>
            <w:r w:rsidR="00A91E2E" w:rsidRPr="00D1776B">
              <w:rPr>
                <w:rFonts w:ascii="Times New Roman" w:eastAsia="Times New Roman" w:hAnsi="Times New Roman" w:cs="Times New Roman"/>
                <w:b/>
                <w:color w:val="000000"/>
                <w:sz w:val="24"/>
                <w:szCs w:val="24"/>
                <w:lang w:eastAsia="lv-LV"/>
              </w:rPr>
              <w:t>(%no visiem tiesas nolēmumiem)</w:t>
            </w:r>
          </w:p>
        </w:tc>
        <w:tc>
          <w:tcPr>
            <w:tcW w:w="1535" w:type="dxa"/>
            <w:gridSpan w:val="2"/>
            <w:tcBorders>
              <w:top w:val="single" w:sz="4" w:space="0" w:color="auto"/>
              <w:left w:val="nil"/>
              <w:bottom w:val="single" w:sz="4" w:space="0" w:color="auto"/>
              <w:right w:val="single" w:sz="4" w:space="0" w:color="auto"/>
            </w:tcBorders>
            <w:shd w:val="clear" w:color="auto" w:fill="auto"/>
            <w:vAlign w:val="bottom"/>
            <w:hideMark/>
          </w:tcPr>
          <w:p w:rsidR="00067763" w:rsidRPr="00A91E2E" w:rsidRDefault="00067763" w:rsidP="00C54F7B">
            <w:pPr>
              <w:spacing w:after="0" w:line="240" w:lineRule="auto"/>
              <w:jc w:val="center"/>
              <w:rPr>
                <w:rFonts w:ascii="Times New Roman" w:eastAsia="Times New Roman" w:hAnsi="Times New Roman" w:cs="Times New Roman"/>
                <w:b/>
                <w:color w:val="000000"/>
                <w:sz w:val="24"/>
                <w:szCs w:val="24"/>
                <w:lang w:eastAsia="lv-LV"/>
              </w:rPr>
            </w:pPr>
            <w:proofErr w:type="gramStart"/>
            <w:r w:rsidRPr="00A91E2E">
              <w:rPr>
                <w:rFonts w:ascii="Times New Roman" w:eastAsia="Times New Roman" w:hAnsi="Times New Roman" w:cs="Times New Roman"/>
                <w:b/>
                <w:color w:val="000000"/>
                <w:sz w:val="24"/>
                <w:szCs w:val="24"/>
                <w:lang w:eastAsia="lv-LV"/>
              </w:rPr>
              <w:t>2013</w:t>
            </w:r>
            <w:r w:rsidR="00BB0C31">
              <w:rPr>
                <w:rFonts w:ascii="Times New Roman" w:eastAsia="Times New Roman" w:hAnsi="Times New Roman" w:cs="Times New Roman"/>
                <w:b/>
                <w:color w:val="000000"/>
                <w:sz w:val="24"/>
                <w:szCs w:val="24"/>
                <w:lang w:eastAsia="lv-LV"/>
              </w:rPr>
              <w:t>.</w:t>
            </w:r>
            <w:r w:rsidR="007D2B62">
              <w:rPr>
                <w:rFonts w:ascii="Times New Roman" w:eastAsia="Times New Roman" w:hAnsi="Times New Roman" w:cs="Times New Roman"/>
                <w:b/>
                <w:color w:val="000000"/>
                <w:sz w:val="24"/>
                <w:szCs w:val="24"/>
                <w:lang w:eastAsia="lv-LV"/>
              </w:rPr>
              <w:t>gads</w:t>
            </w:r>
            <w:proofErr w:type="gramEnd"/>
          </w:p>
        </w:tc>
        <w:tc>
          <w:tcPr>
            <w:tcW w:w="1535" w:type="dxa"/>
            <w:gridSpan w:val="2"/>
            <w:tcBorders>
              <w:top w:val="single" w:sz="4" w:space="0" w:color="auto"/>
              <w:left w:val="nil"/>
              <w:bottom w:val="single" w:sz="4" w:space="0" w:color="auto"/>
              <w:right w:val="single" w:sz="4" w:space="0" w:color="auto"/>
            </w:tcBorders>
            <w:shd w:val="clear" w:color="auto" w:fill="auto"/>
            <w:vAlign w:val="bottom"/>
            <w:hideMark/>
          </w:tcPr>
          <w:p w:rsidR="00067763" w:rsidRPr="00A91E2E" w:rsidRDefault="00067763" w:rsidP="00E30CAF">
            <w:pPr>
              <w:spacing w:after="0" w:line="240" w:lineRule="auto"/>
              <w:jc w:val="center"/>
              <w:rPr>
                <w:rFonts w:ascii="Times New Roman" w:eastAsia="Times New Roman" w:hAnsi="Times New Roman" w:cs="Times New Roman"/>
                <w:b/>
                <w:color w:val="000000"/>
                <w:sz w:val="24"/>
                <w:szCs w:val="24"/>
                <w:lang w:eastAsia="lv-LV"/>
              </w:rPr>
            </w:pPr>
            <w:proofErr w:type="gramStart"/>
            <w:r w:rsidRPr="00A91E2E">
              <w:rPr>
                <w:rFonts w:ascii="Times New Roman" w:eastAsia="Times New Roman" w:hAnsi="Times New Roman" w:cs="Times New Roman"/>
                <w:b/>
                <w:color w:val="000000"/>
                <w:sz w:val="24"/>
                <w:szCs w:val="24"/>
                <w:lang w:eastAsia="lv-LV"/>
              </w:rPr>
              <w:t>2014.</w:t>
            </w:r>
            <w:r w:rsidR="007D2B62">
              <w:rPr>
                <w:rFonts w:ascii="Times New Roman" w:eastAsia="Times New Roman" w:hAnsi="Times New Roman" w:cs="Times New Roman"/>
                <w:b/>
                <w:color w:val="000000"/>
                <w:sz w:val="24"/>
                <w:szCs w:val="24"/>
                <w:lang w:eastAsia="lv-LV"/>
              </w:rPr>
              <w:t>gada</w:t>
            </w:r>
            <w:proofErr w:type="gramEnd"/>
            <w:r w:rsidRPr="00A91E2E">
              <w:rPr>
                <w:rFonts w:ascii="Times New Roman" w:eastAsia="Times New Roman" w:hAnsi="Times New Roman" w:cs="Times New Roman"/>
                <w:b/>
                <w:color w:val="000000"/>
                <w:sz w:val="24"/>
                <w:szCs w:val="24"/>
                <w:lang w:eastAsia="lv-LV"/>
              </w:rPr>
              <w:t xml:space="preserve"> </w:t>
            </w:r>
            <w:r w:rsidR="00E30CAF">
              <w:rPr>
                <w:rFonts w:ascii="Times New Roman" w:eastAsia="Times New Roman" w:hAnsi="Times New Roman" w:cs="Times New Roman"/>
                <w:b/>
                <w:color w:val="000000"/>
                <w:sz w:val="24"/>
                <w:szCs w:val="24"/>
                <w:lang w:eastAsia="lv-LV"/>
              </w:rPr>
              <w:t>3.</w:t>
            </w:r>
            <w:r w:rsidR="00E30CAF" w:rsidRPr="00A91E2E">
              <w:rPr>
                <w:rFonts w:ascii="Times New Roman" w:eastAsia="Times New Roman" w:hAnsi="Times New Roman" w:cs="Times New Roman"/>
                <w:b/>
                <w:color w:val="000000"/>
                <w:sz w:val="24"/>
                <w:szCs w:val="24"/>
                <w:lang w:eastAsia="lv-LV"/>
              </w:rPr>
              <w:t xml:space="preserve"> </w:t>
            </w:r>
            <w:r w:rsidRPr="00A91E2E">
              <w:rPr>
                <w:rFonts w:ascii="Times New Roman" w:eastAsia="Times New Roman" w:hAnsi="Times New Roman" w:cs="Times New Roman"/>
                <w:b/>
                <w:color w:val="000000"/>
                <w:sz w:val="24"/>
                <w:szCs w:val="24"/>
                <w:lang w:eastAsia="lv-LV"/>
              </w:rPr>
              <w:t>cet.</w:t>
            </w:r>
          </w:p>
        </w:tc>
        <w:tc>
          <w:tcPr>
            <w:tcW w:w="1535" w:type="dxa"/>
            <w:gridSpan w:val="2"/>
            <w:tcBorders>
              <w:top w:val="single" w:sz="4" w:space="0" w:color="auto"/>
              <w:left w:val="nil"/>
              <w:bottom w:val="single" w:sz="4" w:space="0" w:color="auto"/>
              <w:right w:val="single" w:sz="12" w:space="0" w:color="000000"/>
            </w:tcBorders>
            <w:shd w:val="clear" w:color="auto" w:fill="auto"/>
            <w:vAlign w:val="bottom"/>
            <w:hideMark/>
          </w:tcPr>
          <w:p w:rsidR="00067763" w:rsidRPr="00A91E2E" w:rsidRDefault="00067763" w:rsidP="00E30CAF">
            <w:pPr>
              <w:spacing w:after="0" w:line="240" w:lineRule="auto"/>
              <w:jc w:val="center"/>
              <w:rPr>
                <w:rFonts w:ascii="Times New Roman" w:eastAsia="Times New Roman" w:hAnsi="Times New Roman" w:cs="Times New Roman"/>
                <w:b/>
                <w:color w:val="000000"/>
                <w:sz w:val="24"/>
                <w:szCs w:val="24"/>
                <w:lang w:eastAsia="lv-LV"/>
              </w:rPr>
            </w:pPr>
            <w:proofErr w:type="gramStart"/>
            <w:r w:rsidRPr="00A91E2E">
              <w:rPr>
                <w:rFonts w:ascii="Times New Roman" w:eastAsia="Times New Roman" w:hAnsi="Times New Roman" w:cs="Times New Roman"/>
                <w:b/>
                <w:color w:val="000000"/>
                <w:sz w:val="24"/>
                <w:szCs w:val="24"/>
                <w:lang w:eastAsia="lv-LV"/>
              </w:rPr>
              <w:t>2015.</w:t>
            </w:r>
            <w:r w:rsidR="007D2B62">
              <w:rPr>
                <w:rFonts w:ascii="Times New Roman" w:eastAsia="Times New Roman" w:hAnsi="Times New Roman" w:cs="Times New Roman"/>
                <w:b/>
                <w:color w:val="000000"/>
                <w:sz w:val="24"/>
                <w:szCs w:val="24"/>
                <w:lang w:eastAsia="lv-LV"/>
              </w:rPr>
              <w:t>gada</w:t>
            </w:r>
            <w:proofErr w:type="gramEnd"/>
            <w:r w:rsidRPr="00A91E2E">
              <w:rPr>
                <w:rFonts w:ascii="Times New Roman" w:eastAsia="Times New Roman" w:hAnsi="Times New Roman" w:cs="Times New Roman"/>
                <w:b/>
                <w:color w:val="000000"/>
                <w:sz w:val="24"/>
                <w:szCs w:val="24"/>
                <w:lang w:eastAsia="lv-LV"/>
              </w:rPr>
              <w:t xml:space="preserve"> </w:t>
            </w:r>
            <w:r w:rsidR="00E30CAF">
              <w:rPr>
                <w:rFonts w:ascii="Times New Roman" w:eastAsia="Times New Roman" w:hAnsi="Times New Roman" w:cs="Times New Roman"/>
                <w:b/>
                <w:color w:val="000000"/>
                <w:sz w:val="24"/>
                <w:szCs w:val="24"/>
                <w:lang w:eastAsia="lv-LV"/>
              </w:rPr>
              <w:t>3.</w:t>
            </w:r>
            <w:r w:rsidR="00E30CAF" w:rsidRPr="00A91E2E">
              <w:rPr>
                <w:rFonts w:ascii="Times New Roman" w:eastAsia="Times New Roman" w:hAnsi="Times New Roman" w:cs="Times New Roman"/>
                <w:b/>
                <w:color w:val="000000"/>
                <w:sz w:val="24"/>
                <w:szCs w:val="24"/>
                <w:lang w:eastAsia="lv-LV"/>
              </w:rPr>
              <w:t xml:space="preserve"> </w:t>
            </w:r>
            <w:r w:rsidRPr="00A91E2E">
              <w:rPr>
                <w:rFonts w:ascii="Times New Roman" w:eastAsia="Times New Roman" w:hAnsi="Times New Roman" w:cs="Times New Roman"/>
                <w:b/>
                <w:color w:val="000000"/>
                <w:sz w:val="24"/>
                <w:szCs w:val="24"/>
                <w:lang w:eastAsia="lv-LV"/>
              </w:rPr>
              <w:t>cet.</w:t>
            </w:r>
          </w:p>
        </w:tc>
      </w:tr>
      <w:tr w:rsidR="00067763" w:rsidRPr="00D060EB" w:rsidTr="00067763">
        <w:trPr>
          <w:trHeight w:val="276"/>
        </w:trPr>
        <w:tc>
          <w:tcPr>
            <w:tcW w:w="4380" w:type="dxa"/>
            <w:tcBorders>
              <w:top w:val="nil"/>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mēneša laikā</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28,56</w:t>
            </w:r>
          </w:p>
        </w:tc>
        <w:tc>
          <w:tcPr>
            <w:tcW w:w="7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7763" w:rsidRPr="00D060EB" w:rsidRDefault="00067763" w:rsidP="00C54F7B">
            <w:pPr>
              <w:spacing w:after="0" w:line="240" w:lineRule="auto"/>
              <w:jc w:val="center"/>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89,61</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27,72</w:t>
            </w:r>
          </w:p>
        </w:tc>
        <w:tc>
          <w:tcPr>
            <w:tcW w:w="7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7763" w:rsidRPr="00D060EB" w:rsidRDefault="00067763" w:rsidP="00C54F7B">
            <w:pPr>
              <w:spacing w:after="0" w:line="240" w:lineRule="auto"/>
              <w:jc w:val="center"/>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84,03</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65,92</w:t>
            </w:r>
          </w:p>
        </w:tc>
        <w:tc>
          <w:tcPr>
            <w:tcW w:w="768"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067763" w:rsidRPr="00D060EB" w:rsidRDefault="00067763" w:rsidP="00C54F7B">
            <w:pPr>
              <w:spacing w:after="0" w:line="240" w:lineRule="auto"/>
              <w:jc w:val="center"/>
              <w:rPr>
                <w:rFonts w:ascii="Calibri" w:eastAsia="Times New Roman" w:hAnsi="Calibri" w:cs="Times New Roman"/>
                <w:color w:val="000000"/>
                <w:lang w:eastAsia="lv-LV"/>
              </w:rPr>
            </w:pPr>
            <w:r w:rsidRPr="00D060EB">
              <w:rPr>
                <w:rFonts w:ascii="Calibri" w:eastAsia="Times New Roman" w:hAnsi="Calibri" w:cs="Times New Roman"/>
                <w:color w:val="000000"/>
                <w:lang w:eastAsia="lv-LV"/>
              </w:rPr>
              <w:t>80,42</w:t>
            </w:r>
          </w:p>
        </w:tc>
      </w:tr>
      <w:tr w:rsidR="00067763" w:rsidRPr="00D060EB" w:rsidTr="00067763">
        <w:trPr>
          <w:trHeight w:val="276"/>
        </w:trPr>
        <w:tc>
          <w:tcPr>
            <w:tcW w:w="4380" w:type="dxa"/>
            <w:tcBorders>
              <w:top w:val="nil"/>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divu mēnešu laikā</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48,69</w:t>
            </w:r>
          </w:p>
        </w:tc>
        <w:tc>
          <w:tcPr>
            <w:tcW w:w="768" w:type="dxa"/>
            <w:vMerge/>
            <w:tcBorders>
              <w:top w:val="nil"/>
              <w:left w:val="single" w:sz="4" w:space="0" w:color="auto"/>
              <w:bottom w:val="single" w:sz="4"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43,4</w:t>
            </w:r>
          </w:p>
        </w:tc>
        <w:tc>
          <w:tcPr>
            <w:tcW w:w="768" w:type="dxa"/>
            <w:vMerge/>
            <w:tcBorders>
              <w:top w:val="nil"/>
              <w:left w:val="single" w:sz="4" w:space="0" w:color="auto"/>
              <w:bottom w:val="single" w:sz="4"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9,87</w:t>
            </w:r>
          </w:p>
        </w:tc>
        <w:tc>
          <w:tcPr>
            <w:tcW w:w="768" w:type="dxa"/>
            <w:vMerge/>
            <w:tcBorders>
              <w:top w:val="nil"/>
              <w:left w:val="single" w:sz="4" w:space="0" w:color="auto"/>
              <w:bottom w:val="single" w:sz="4" w:space="0" w:color="000000"/>
              <w:right w:val="single" w:sz="12" w:space="0" w:color="auto"/>
            </w:tcBorders>
            <w:vAlign w:val="center"/>
            <w:hideMark/>
          </w:tcPr>
          <w:p w:rsidR="00067763" w:rsidRPr="00D060EB" w:rsidRDefault="00067763" w:rsidP="00C54F7B">
            <w:pPr>
              <w:spacing w:after="0" w:line="240" w:lineRule="auto"/>
              <w:rPr>
                <w:rFonts w:ascii="Calibri" w:eastAsia="Times New Roman" w:hAnsi="Calibri" w:cs="Times New Roman"/>
                <w:color w:val="000000"/>
                <w:lang w:eastAsia="lv-LV"/>
              </w:rPr>
            </w:pPr>
          </w:p>
        </w:tc>
      </w:tr>
      <w:tr w:rsidR="00067763" w:rsidRPr="00D060EB" w:rsidTr="00067763">
        <w:trPr>
          <w:trHeight w:val="276"/>
        </w:trPr>
        <w:tc>
          <w:tcPr>
            <w:tcW w:w="4380" w:type="dxa"/>
            <w:tcBorders>
              <w:top w:val="nil"/>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sešu mēnešu laikā</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12,36</w:t>
            </w:r>
          </w:p>
        </w:tc>
        <w:tc>
          <w:tcPr>
            <w:tcW w:w="768" w:type="dxa"/>
            <w:vMerge/>
            <w:tcBorders>
              <w:top w:val="nil"/>
              <w:left w:val="single" w:sz="4" w:space="0" w:color="auto"/>
              <w:bottom w:val="single" w:sz="4"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12,91</w:t>
            </w:r>
          </w:p>
        </w:tc>
        <w:tc>
          <w:tcPr>
            <w:tcW w:w="768" w:type="dxa"/>
            <w:vMerge/>
            <w:tcBorders>
              <w:top w:val="nil"/>
              <w:left w:val="single" w:sz="4" w:space="0" w:color="auto"/>
              <w:bottom w:val="single" w:sz="4"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4,63</w:t>
            </w:r>
          </w:p>
        </w:tc>
        <w:tc>
          <w:tcPr>
            <w:tcW w:w="768" w:type="dxa"/>
            <w:vMerge/>
            <w:tcBorders>
              <w:top w:val="nil"/>
              <w:left w:val="single" w:sz="4" w:space="0" w:color="auto"/>
              <w:bottom w:val="single" w:sz="4" w:space="0" w:color="000000"/>
              <w:right w:val="single" w:sz="12" w:space="0" w:color="auto"/>
            </w:tcBorders>
            <w:vAlign w:val="center"/>
            <w:hideMark/>
          </w:tcPr>
          <w:p w:rsidR="00067763" w:rsidRPr="00D060EB" w:rsidRDefault="00067763" w:rsidP="00C54F7B">
            <w:pPr>
              <w:spacing w:after="0" w:line="240" w:lineRule="auto"/>
              <w:rPr>
                <w:rFonts w:ascii="Calibri" w:eastAsia="Times New Roman" w:hAnsi="Calibri" w:cs="Times New Roman"/>
                <w:color w:val="000000"/>
                <w:lang w:eastAsia="lv-LV"/>
              </w:rPr>
            </w:pPr>
          </w:p>
        </w:tc>
      </w:tr>
      <w:tr w:rsidR="00067763" w:rsidRPr="00D060EB" w:rsidTr="00067763">
        <w:trPr>
          <w:trHeight w:val="276"/>
        </w:trPr>
        <w:tc>
          <w:tcPr>
            <w:tcW w:w="4380" w:type="dxa"/>
            <w:tcBorders>
              <w:top w:val="nil"/>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gada laikā</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5,47</w:t>
            </w:r>
          </w:p>
        </w:tc>
        <w:tc>
          <w:tcPr>
            <w:tcW w:w="768"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067763" w:rsidRPr="00D060EB" w:rsidRDefault="00067763" w:rsidP="00C54F7B">
            <w:pPr>
              <w:spacing w:after="0" w:line="240" w:lineRule="auto"/>
              <w:jc w:val="center"/>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10,39</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8,32</w:t>
            </w:r>
          </w:p>
        </w:tc>
        <w:tc>
          <w:tcPr>
            <w:tcW w:w="768" w:type="dxa"/>
            <w:vMerge w:val="restart"/>
            <w:tcBorders>
              <w:top w:val="nil"/>
              <w:left w:val="single" w:sz="4" w:space="0" w:color="auto"/>
              <w:bottom w:val="single" w:sz="12" w:space="0" w:color="000000"/>
              <w:right w:val="single" w:sz="4" w:space="0" w:color="auto"/>
            </w:tcBorders>
            <w:shd w:val="clear" w:color="auto" w:fill="auto"/>
            <w:noWrap/>
            <w:vAlign w:val="center"/>
            <w:hideMark/>
          </w:tcPr>
          <w:p w:rsidR="00067763" w:rsidRPr="00D060EB" w:rsidRDefault="00067763" w:rsidP="00C54F7B">
            <w:pPr>
              <w:spacing w:after="0" w:line="240" w:lineRule="auto"/>
              <w:jc w:val="center"/>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15,97</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9,11</w:t>
            </w:r>
          </w:p>
        </w:tc>
        <w:tc>
          <w:tcPr>
            <w:tcW w:w="768"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067763" w:rsidRPr="00D060EB" w:rsidRDefault="00067763" w:rsidP="00C54F7B">
            <w:pPr>
              <w:spacing w:after="0" w:line="240" w:lineRule="auto"/>
              <w:jc w:val="center"/>
              <w:rPr>
                <w:rFonts w:ascii="Calibri" w:eastAsia="Times New Roman" w:hAnsi="Calibri" w:cs="Times New Roman"/>
                <w:color w:val="000000"/>
                <w:lang w:eastAsia="lv-LV"/>
              </w:rPr>
            </w:pPr>
            <w:r w:rsidRPr="00D060EB">
              <w:rPr>
                <w:rFonts w:ascii="Calibri" w:eastAsia="Times New Roman" w:hAnsi="Calibri" w:cs="Times New Roman"/>
                <w:color w:val="000000"/>
                <w:lang w:eastAsia="lv-LV"/>
              </w:rPr>
              <w:t>19,58</w:t>
            </w:r>
          </w:p>
        </w:tc>
      </w:tr>
      <w:tr w:rsidR="00067763" w:rsidRPr="00D060EB" w:rsidTr="00067763">
        <w:trPr>
          <w:trHeight w:val="276"/>
        </w:trPr>
        <w:tc>
          <w:tcPr>
            <w:tcW w:w="4380" w:type="dxa"/>
            <w:tcBorders>
              <w:top w:val="nil"/>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divu gadu laikā</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2,84</w:t>
            </w:r>
          </w:p>
        </w:tc>
        <w:tc>
          <w:tcPr>
            <w:tcW w:w="768" w:type="dxa"/>
            <w:vMerge/>
            <w:tcBorders>
              <w:top w:val="nil"/>
              <w:left w:val="single" w:sz="4" w:space="0" w:color="auto"/>
              <w:bottom w:val="single" w:sz="12"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4,02</w:t>
            </w:r>
          </w:p>
        </w:tc>
        <w:tc>
          <w:tcPr>
            <w:tcW w:w="768" w:type="dxa"/>
            <w:vMerge/>
            <w:tcBorders>
              <w:top w:val="nil"/>
              <w:left w:val="single" w:sz="4" w:space="0" w:color="auto"/>
              <w:bottom w:val="single" w:sz="12"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6,58</w:t>
            </w:r>
          </w:p>
        </w:tc>
        <w:tc>
          <w:tcPr>
            <w:tcW w:w="768" w:type="dxa"/>
            <w:vMerge/>
            <w:tcBorders>
              <w:top w:val="nil"/>
              <w:left w:val="single" w:sz="4" w:space="0" w:color="auto"/>
              <w:bottom w:val="single" w:sz="12" w:space="0" w:color="000000"/>
              <w:right w:val="single" w:sz="12" w:space="0" w:color="auto"/>
            </w:tcBorders>
            <w:vAlign w:val="center"/>
            <w:hideMark/>
          </w:tcPr>
          <w:p w:rsidR="00067763" w:rsidRPr="00D060EB" w:rsidRDefault="00067763" w:rsidP="00C54F7B">
            <w:pPr>
              <w:spacing w:after="0" w:line="240" w:lineRule="auto"/>
              <w:rPr>
                <w:rFonts w:ascii="Calibri" w:eastAsia="Times New Roman" w:hAnsi="Calibri" w:cs="Times New Roman"/>
                <w:color w:val="000000"/>
                <w:lang w:eastAsia="lv-LV"/>
              </w:rPr>
            </w:pPr>
          </w:p>
        </w:tc>
      </w:tr>
      <w:tr w:rsidR="00067763" w:rsidRPr="00D060EB" w:rsidTr="00067763">
        <w:trPr>
          <w:trHeight w:val="276"/>
        </w:trPr>
        <w:tc>
          <w:tcPr>
            <w:tcW w:w="4380" w:type="dxa"/>
            <w:tcBorders>
              <w:top w:val="nil"/>
              <w:left w:val="single" w:sz="12" w:space="0" w:color="auto"/>
              <w:bottom w:val="single" w:sz="4"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piecu gadu laikā</w:t>
            </w: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1,86</w:t>
            </w:r>
          </w:p>
        </w:tc>
        <w:tc>
          <w:tcPr>
            <w:tcW w:w="768" w:type="dxa"/>
            <w:vMerge/>
            <w:tcBorders>
              <w:top w:val="nil"/>
              <w:left w:val="single" w:sz="4" w:space="0" w:color="auto"/>
              <w:bottom w:val="single" w:sz="12"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3,44</w:t>
            </w:r>
          </w:p>
        </w:tc>
        <w:tc>
          <w:tcPr>
            <w:tcW w:w="768" w:type="dxa"/>
            <w:vMerge/>
            <w:tcBorders>
              <w:top w:val="nil"/>
              <w:left w:val="single" w:sz="4" w:space="0" w:color="auto"/>
              <w:bottom w:val="single" w:sz="12"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4"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3,29</w:t>
            </w:r>
          </w:p>
        </w:tc>
        <w:tc>
          <w:tcPr>
            <w:tcW w:w="768" w:type="dxa"/>
            <w:vMerge/>
            <w:tcBorders>
              <w:top w:val="nil"/>
              <w:left w:val="single" w:sz="4" w:space="0" w:color="auto"/>
              <w:bottom w:val="single" w:sz="12" w:space="0" w:color="000000"/>
              <w:right w:val="single" w:sz="12" w:space="0" w:color="auto"/>
            </w:tcBorders>
            <w:vAlign w:val="center"/>
            <w:hideMark/>
          </w:tcPr>
          <w:p w:rsidR="00067763" w:rsidRPr="00D060EB" w:rsidRDefault="00067763" w:rsidP="00C54F7B">
            <w:pPr>
              <w:spacing w:after="0" w:line="240" w:lineRule="auto"/>
              <w:rPr>
                <w:rFonts w:ascii="Calibri" w:eastAsia="Times New Roman" w:hAnsi="Calibri" w:cs="Times New Roman"/>
                <w:color w:val="000000"/>
                <w:lang w:eastAsia="lv-LV"/>
              </w:rPr>
            </w:pPr>
          </w:p>
        </w:tc>
      </w:tr>
      <w:tr w:rsidR="00067763" w:rsidRPr="00D060EB" w:rsidTr="00067763">
        <w:trPr>
          <w:trHeight w:val="290"/>
        </w:trPr>
        <w:tc>
          <w:tcPr>
            <w:tcW w:w="4380" w:type="dxa"/>
            <w:tcBorders>
              <w:top w:val="nil"/>
              <w:left w:val="single" w:sz="12" w:space="0" w:color="auto"/>
              <w:bottom w:val="single" w:sz="12" w:space="0" w:color="auto"/>
              <w:right w:val="single" w:sz="12" w:space="0" w:color="auto"/>
            </w:tcBorders>
            <w:shd w:val="clear" w:color="auto" w:fill="auto"/>
            <w:noWrap/>
            <w:vAlign w:val="bottom"/>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roofErr w:type="gramStart"/>
            <w:r w:rsidRPr="00D060EB">
              <w:rPr>
                <w:rFonts w:ascii="Times New Roman" w:eastAsia="Times New Roman" w:hAnsi="Times New Roman" w:cs="Times New Roman"/>
                <w:color w:val="000000"/>
                <w:sz w:val="24"/>
                <w:szCs w:val="24"/>
                <w:lang w:eastAsia="lv-LV"/>
              </w:rPr>
              <w:t>vairāk kā</w:t>
            </w:r>
            <w:proofErr w:type="gramEnd"/>
            <w:r w:rsidRPr="00D060EB">
              <w:rPr>
                <w:rFonts w:ascii="Times New Roman" w:eastAsia="Times New Roman" w:hAnsi="Times New Roman" w:cs="Times New Roman"/>
                <w:color w:val="000000"/>
                <w:sz w:val="24"/>
                <w:szCs w:val="24"/>
                <w:lang w:eastAsia="lv-LV"/>
              </w:rPr>
              <w:t xml:space="preserve"> piecu gadu laikā</w:t>
            </w:r>
          </w:p>
        </w:tc>
        <w:tc>
          <w:tcPr>
            <w:tcW w:w="767" w:type="dxa"/>
            <w:tcBorders>
              <w:top w:val="nil"/>
              <w:left w:val="nil"/>
              <w:bottom w:val="single" w:sz="12"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0,22</w:t>
            </w:r>
          </w:p>
        </w:tc>
        <w:tc>
          <w:tcPr>
            <w:tcW w:w="768" w:type="dxa"/>
            <w:vMerge/>
            <w:tcBorders>
              <w:top w:val="nil"/>
              <w:left w:val="single" w:sz="4" w:space="0" w:color="auto"/>
              <w:bottom w:val="single" w:sz="12"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12"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0,19</w:t>
            </w:r>
          </w:p>
        </w:tc>
        <w:tc>
          <w:tcPr>
            <w:tcW w:w="768" w:type="dxa"/>
            <w:vMerge/>
            <w:tcBorders>
              <w:top w:val="nil"/>
              <w:left w:val="single" w:sz="4" w:space="0" w:color="auto"/>
              <w:bottom w:val="single" w:sz="12" w:space="0" w:color="000000"/>
              <w:right w:val="single" w:sz="4" w:space="0" w:color="auto"/>
            </w:tcBorders>
            <w:vAlign w:val="center"/>
            <w:hideMark/>
          </w:tcPr>
          <w:p w:rsidR="00067763" w:rsidRPr="00D060EB" w:rsidRDefault="00067763" w:rsidP="00C54F7B">
            <w:pPr>
              <w:spacing w:after="0" w:line="240" w:lineRule="auto"/>
              <w:rPr>
                <w:rFonts w:ascii="Times New Roman" w:eastAsia="Times New Roman" w:hAnsi="Times New Roman" w:cs="Times New Roman"/>
                <w:color w:val="000000"/>
                <w:sz w:val="24"/>
                <w:szCs w:val="24"/>
                <w:lang w:eastAsia="lv-LV"/>
              </w:rPr>
            </w:pPr>
          </w:p>
        </w:tc>
        <w:tc>
          <w:tcPr>
            <w:tcW w:w="767" w:type="dxa"/>
            <w:tcBorders>
              <w:top w:val="nil"/>
              <w:left w:val="nil"/>
              <w:bottom w:val="single" w:sz="12" w:space="0" w:color="auto"/>
              <w:right w:val="single" w:sz="4" w:space="0" w:color="auto"/>
            </w:tcBorders>
            <w:shd w:val="clear" w:color="auto" w:fill="auto"/>
            <w:noWrap/>
            <w:vAlign w:val="bottom"/>
            <w:hideMark/>
          </w:tcPr>
          <w:p w:rsidR="00067763" w:rsidRPr="00D060EB" w:rsidRDefault="00067763" w:rsidP="00C54F7B">
            <w:pPr>
              <w:spacing w:after="0" w:line="240" w:lineRule="auto"/>
              <w:jc w:val="right"/>
              <w:rPr>
                <w:rFonts w:ascii="Times New Roman" w:eastAsia="Times New Roman" w:hAnsi="Times New Roman" w:cs="Times New Roman"/>
                <w:color w:val="000000"/>
                <w:sz w:val="24"/>
                <w:szCs w:val="24"/>
                <w:lang w:eastAsia="lv-LV"/>
              </w:rPr>
            </w:pPr>
            <w:r w:rsidRPr="00D060EB">
              <w:rPr>
                <w:rFonts w:ascii="Times New Roman" w:eastAsia="Times New Roman" w:hAnsi="Times New Roman" w:cs="Times New Roman"/>
                <w:color w:val="000000"/>
                <w:sz w:val="24"/>
                <w:szCs w:val="24"/>
                <w:lang w:eastAsia="lv-LV"/>
              </w:rPr>
              <w:t>0,6</w:t>
            </w:r>
          </w:p>
        </w:tc>
        <w:tc>
          <w:tcPr>
            <w:tcW w:w="768" w:type="dxa"/>
            <w:vMerge/>
            <w:tcBorders>
              <w:top w:val="nil"/>
              <w:left w:val="single" w:sz="4" w:space="0" w:color="auto"/>
              <w:bottom w:val="single" w:sz="12" w:space="0" w:color="000000"/>
              <w:right w:val="single" w:sz="12" w:space="0" w:color="auto"/>
            </w:tcBorders>
            <w:vAlign w:val="center"/>
            <w:hideMark/>
          </w:tcPr>
          <w:p w:rsidR="00067763" w:rsidRPr="00D060EB" w:rsidRDefault="00067763" w:rsidP="00C54F7B">
            <w:pPr>
              <w:spacing w:after="0" w:line="240" w:lineRule="auto"/>
              <w:rPr>
                <w:rFonts w:ascii="Calibri" w:eastAsia="Times New Roman" w:hAnsi="Calibri" w:cs="Times New Roman"/>
                <w:color w:val="000000"/>
                <w:lang w:eastAsia="lv-LV"/>
              </w:rPr>
            </w:pPr>
          </w:p>
        </w:tc>
      </w:tr>
    </w:tbl>
    <w:p w:rsidR="00067763" w:rsidRPr="002E2F46" w:rsidRDefault="002E2F46" w:rsidP="002E2F46">
      <w:pPr>
        <w:spacing w:after="120" w:line="240" w:lineRule="auto"/>
        <w:ind w:firstLine="142"/>
        <w:jc w:val="center"/>
        <w:rPr>
          <w:rFonts w:ascii="Times New Roman" w:hAnsi="Times New Roman" w:cs="Times New Roman"/>
          <w:sz w:val="24"/>
          <w:szCs w:val="24"/>
        </w:rPr>
      </w:pPr>
      <w:r w:rsidRPr="002E2F46">
        <w:rPr>
          <w:rFonts w:ascii="Times New Roman" w:hAnsi="Times New Roman" w:cs="Times New Roman"/>
          <w:sz w:val="24"/>
          <w:szCs w:val="24"/>
        </w:rPr>
        <w:t>4.tab</w:t>
      </w:r>
      <w:r w:rsidR="007D2B62">
        <w:rPr>
          <w:rFonts w:ascii="Times New Roman" w:hAnsi="Times New Roman" w:cs="Times New Roman"/>
          <w:sz w:val="24"/>
          <w:szCs w:val="24"/>
        </w:rPr>
        <w:t>ula</w:t>
      </w:r>
      <w:r w:rsidRPr="002E2F46">
        <w:rPr>
          <w:rFonts w:ascii="Times New Roman" w:hAnsi="Times New Roman" w:cs="Times New Roman"/>
          <w:sz w:val="24"/>
          <w:szCs w:val="24"/>
        </w:rPr>
        <w:t>. Laiks no tiesas nolēmuma sastādīšanas līdz nostiprinājuma lūguma iesniegšanai</w:t>
      </w:r>
    </w:p>
    <w:p w:rsidR="00D007CD" w:rsidRPr="007C3EC0" w:rsidRDefault="00D007CD" w:rsidP="00D007CD">
      <w:pPr>
        <w:spacing w:after="0" w:line="240" w:lineRule="auto"/>
        <w:ind w:firstLine="720"/>
        <w:jc w:val="both"/>
        <w:rPr>
          <w:rFonts w:ascii="Times New Roman" w:hAnsi="Times New Roman" w:cs="Times New Roman"/>
          <w:sz w:val="28"/>
          <w:szCs w:val="28"/>
        </w:rPr>
      </w:pPr>
      <w:r w:rsidRPr="007C3EC0">
        <w:rPr>
          <w:rFonts w:ascii="Times New Roman" w:hAnsi="Times New Roman" w:cs="Times New Roman"/>
          <w:sz w:val="28"/>
          <w:szCs w:val="28"/>
        </w:rPr>
        <w:t>Datu anal</w:t>
      </w:r>
      <w:r>
        <w:rPr>
          <w:rFonts w:ascii="Times New Roman" w:hAnsi="Times New Roman" w:cs="Times New Roman"/>
          <w:sz w:val="28"/>
          <w:szCs w:val="28"/>
        </w:rPr>
        <w:t>ī</w:t>
      </w:r>
      <w:r w:rsidRPr="007C3EC0">
        <w:rPr>
          <w:rFonts w:ascii="Times New Roman" w:hAnsi="Times New Roman" w:cs="Times New Roman"/>
          <w:sz w:val="28"/>
          <w:szCs w:val="28"/>
        </w:rPr>
        <w:t xml:space="preserve">zē </w:t>
      </w:r>
      <w:proofErr w:type="gramStart"/>
      <w:r w:rsidRPr="007C3EC0">
        <w:rPr>
          <w:rFonts w:ascii="Times New Roman" w:hAnsi="Times New Roman" w:cs="Times New Roman"/>
          <w:sz w:val="28"/>
          <w:szCs w:val="28"/>
        </w:rPr>
        <w:t>(</w:t>
      </w:r>
      <w:proofErr w:type="gramEnd"/>
      <w:r w:rsidRPr="007C3EC0">
        <w:rPr>
          <w:rFonts w:ascii="Times New Roman" w:hAnsi="Times New Roman" w:cs="Times New Roman"/>
          <w:sz w:val="28"/>
          <w:szCs w:val="28"/>
        </w:rPr>
        <w:t>sk.4.tab</w:t>
      </w:r>
      <w:r w:rsidR="007D2B62">
        <w:rPr>
          <w:rFonts w:ascii="Times New Roman" w:hAnsi="Times New Roman" w:cs="Times New Roman"/>
          <w:sz w:val="28"/>
          <w:szCs w:val="28"/>
        </w:rPr>
        <w:t>ulu</w:t>
      </w:r>
      <w:r w:rsidRPr="007C3EC0">
        <w:rPr>
          <w:rFonts w:ascii="Times New Roman" w:hAnsi="Times New Roman" w:cs="Times New Roman"/>
          <w:sz w:val="28"/>
          <w:szCs w:val="28"/>
        </w:rPr>
        <w:t xml:space="preserve">. Laiks no tiesas nolēmuma sastādīšanas līdz nostiprinājuma lūguma iesniegšanai) ņemams vērā apstāklis, </w:t>
      </w:r>
      <w:proofErr w:type="gramStart"/>
      <w:r w:rsidRPr="007C3EC0">
        <w:rPr>
          <w:rFonts w:ascii="Times New Roman" w:hAnsi="Times New Roman" w:cs="Times New Roman"/>
          <w:sz w:val="28"/>
          <w:szCs w:val="28"/>
        </w:rPr>
        <w:t>ka valsts vienotajā datorizētajā zemesgrāmatā atsevišķā datu laukā netiek uzturēta informācija par tiesas nolēmuma spēkā stāšanos, jo šim papildu nosacījumam</w:t>
      </w:r>
      <w:proofErr w:type="gramEnd"/>
      <w:r w:rsidRPr="007C3EC0">
        <w:rPr>
          <w:rFonts w:ascii="Times New Roman" w:hAnsi="Times New Roman" w:cs="Times New Roman"/>
          <w:sz w:val="28"/>
          <w:szCs w:val="28"/>
        </w:rPr>
        <w:t xml:space="preserve"> ir nozīme tikai, lai nekustamā īpašuma ieguvējs varētu iegūt lietu tiesības, kas </w:t>
      </w:r>
      <w:r>
        <w:rPr>
          <w:rFonts w:ascii="Times New Roman" w:hAnsi="Times New Roman" w:cs="Times New Roman"/>
          <w:sz w:val="28"/>
          <w:szCs w:val="28"/>
        </w:rPr>
        <w:t xml:space="preserve">izriet no </w:t>
      </w:r>
      <w:r w:rsidRPr="007C3EC0">
        <w:rPr>
          <w:rFonts w:ascii="Times New Roman" w:hAnsi="Times New Roman" w:cs="Times New Roman"/>
          <w:sz w:val="28"/>
          <w:szCs w:val="28"/>
        </w:rPr>
        <w:t>iepr</w:t>
      </w:r>
      <w:r>
        <w:rPr>
          <w:rFonts w:ascii="Times New Roman" w:hAnsi="Times New Roman" w:cs="Times New Roman"/>
          <w:sz w:val="28"/>
          <w:szCs w:val="28"/>
        </w:rPr>
        <w:t>iekš pieņemtā</w:t>
      </w:r>
      <w:r w:rsidRPr="007C3EC0">
        <w:rPr>
          <w:rFonts w:ascii="Times New Roman" w:hAnsi="Times New Roman" w:cs="Times New Roman"/>
          <w:sz w:val="28"/>
          <w:szCs w:val="28"/>
        </w:rPr>
        <w:t xml:space="preserve"> </w:t>
      </w:r>
      <w:r>
        <w:rPr>
          <w:rFonts w:ascii="Times New Roman" w:hAnsi="Times New Roman" w:cs="Times New Roman"/>
          <w:sz w:val="28"/>
          <w:szCs w:val="28"/>
        </w:rPr>
        <w:t>tiesas nolēmuma</w:t>
      </w:r>
      <w:r w:rsidR="00BB0C31">
        <w:rPr>
          <w:rFonts w:ascii="Times New Roman" w:hAnsi="Times New Roman" w:cs="Times New Roman"/>
          <w:sz w:val="28"/>
          <w:szCs w:val="28"/>
        </w:rPr>
        <w:t>. Līdz ar to</w:t>
      </w:r>
      <w:r w:rsidRPr="007C3EC0">
        <w:rPr>
          <w:rFonts w:ascii="Times New Roman" w:hAnsi="Times New Roman" w:cs="Times New Roman"/>
          <w:sz w:val="28"/>
          <w:szCs w:val="28"/>
        </w:rPr>
        <w:t xml:space="preserve"> zemesgrāmatas ieraksts, ar kuru nostiprina tiesības, satur informāciju par ti</w:t>
      </w:r>
      <w:r w:rsidR="00BB0C31">
        <w:rPr>
          <w:rFonts w:ascii="Times New Roman" w:hAnsi="Times New Roman" w:cs="Times New Roman"/>
          <w:sz w:val="28"/>
          <w:szCs w:val="28"/>
        </w:rPr>
        <w:t>esas nolēmuma pieņemšanas datumu</w:t>
      </w:r>
      <w:r w:rsidRPr="007C3EC0">
        <w:rPr>
          <w:rFonts w:ascii="Times New Roman" w:hAnsi="Times New Roman" w:cs="Times New Roman"/>
          <w:sz w:val="28"/>
          <w:szCs w:val="28"/>
        </w:rPr>
        <w:t xml:space="preserve">. </w:t>
      </w:r>
    </w:p>
    <w:p w:rsidR="00D007CD" w:rsidRDefault="00D007CD" w:rsidP="00D007CD">
      <w:pPr>
        <w:pStyle w:val="Komentrateksts"/>
        <w:tabs>
          <w:tab w:val="left" w:pos="720"/>
          <w:tab w:val="left" w:pos="5190"/>
        </w:tabs>
        <w:jc w:val="both"/>
        <w:rPr>
          <w:sz w:val="28"/>
          <w:szCs w:val="28"/>
        </w:rPr>
      </w:pPr>
      <w:r>
        <w:rPr>
          <w:sz w:val="28"/>
          <w:szCs w:val="28"/>
        </w:rPr>
        <w:tab/>
        <w:t>Ievērojot minēto</w:t>
      </w:r>
      <w:r w:rsidRPr="007C3EC0">
        <w:rPr>
          <w:sz w:val="28"/>
          <w:szCs w:val="28"/>
        </w:rPr>
        <w:t>, Īpašuma tiesību valsts nodevas diferenciācijas ietekmi gadījumā, ja īpašuma tiesības izriet no tiesas nolēmuma, nav iespējams</w:t>
      </w:r>
      <w:r w:rsidR="00BB0C31">
        <w:rPr>
          <w:sz w:val="28"/>
          <w:szCs w:val="28"/>
        </w:rPr>
        <w:t xml:space="preserve"> precīzi</w:t>
      </w:r>
      <w:r w:rsidRPr="007C3EC0">
        <w:rPr>
          <w:sz w:val="28"/>
          <w:szCs w:val="28"/>
        </w:rPr>
        <w:t xml:space="preserve"> novērtēt. </w:t>
      </w:r>
      <w:r>
        <w:rPr>
          <w:sz w:val="28"/>
          <w:szCs w:val="28"/>
        </w:rPr>
        <w:t>A</w:t>
      </w:r>
      <w:r w:rsidRPr="007C3EC0">
        <w:rPr>
          <w:sz w:val="28"/>
          <w:szCs w:val="28"/>
        </w:rPr>
        <w:t>ttiecībā uz tiem gadījumiem, kad tiesas nolēmums</w:t>
      </w:r>
      <w:r w:rsidR="00BB0C31">
        <w:rPr>
          <w:sz w:val="28"/>
          <w:szCs w:val="28"/>
        </w:rPr>
        <w:t xml:space="preserve"> pārsūdzēts</w:t>
      </w:r>
      <w:r w:rsidRPr="007C3EC0">
        <w:rPr>
          <w:sz w:val="28"/>
          <w:szCs w:val="28"/>
        </w:rPr>
        <w:t>,</w:t>
      </w:r>
      <w:r w:rsidR="00BB0C31">
        <w:rPr>
          <w:sz w:val="28"/>
          <w:szCs w:val="28"/>
        </w:rPr>
        <w:t xml:space="preserve"> papildus jāņem vērā </w:t>
      </w:r>
      <w:r w:rsidRPr="007C3EC0">
        <w:rPr>
          <w:sz w:val="28"/>
          <w:szCs w:val="28"/>
        </w:rPr>
        <w:t xml:space="preserve">lietas izskatīšanas ilgums apelācijas un kasācijas instancē. </w:t>
      </w:r>
    </w:p>
    <w:p w:rsidR="00EA2932" w:rsidRDefault="00BB0C31" w:rsidP="00067763">
      <w:pPr>
        <w:pStyle w:val="Komentrateksts"/>
        <w:tabs>
          <w:tab w:val="left" w:pos="720"/>
          <w:tab w:val="left" w:pos="5190"/>
        </w:tabs>
        <w:jc w:val="both"/>
        <w:rPr>
          <w:sz w:val="28"/>
          <w:szCs w:val="28"/>
        </w:rPr>
      </w:pPr>
      <w:r>
        <w:rPr>
          <w:sz w:val="28"/>
          <w:szCs w:val="28"/>
        </w:rPr>
        <w:tab/>
      </w:r>
      <w:r w:rsidR="00A91E2E" w:rsidRPr="00D1776B">
        <w:rPr>
          <w:sz w:val="28"/>
          <w:szCs w:val="28"/>
        </w:rPr>
        <w:t xml:space="preserve">Jāatzīmē, ka tieši ar tiesas nolēmuma spēkā stāšanos sākas sešu mēnešu termiņa tecējums, jo līdz tiesas nolēmuma spēkā stāšanās brīdim, atšķirībā no darījumiem vai Mantošanas lietām, </w:t>
      </w:r>
      <w:proofErr w:type="gramStart"/>
      <w:r w:rsidR="00A91E2E" w:rsidRPr="00D1776B">
        <w:rPr>
          <w:sz w:val="28"/>
          <w:szCs w:val="28"/>
        </w:rPr>
        <w:t>tiesas nolēmums pats par sevi</w:t>
      </w:r>
      <w:proofErr w:type="gramEnd"/>
      <w:r w:rsidR="00A91E2E" w:rsidRPr="00D1776B">
        <w:rPr>
          <w:sz w:val="28"/>
          <w:szCs w:val="28"/>
        </w:rPr>
        <w:t xml:space="preserve"> vēl neapliecina nostiprināmās tiesības. Zemesgrāmatu likuma </w:t>
      </w:r>
      <w:proofErr w:type="gramStart"/>
      <w:r w:rsidR="00A91E2E" w:rsidRPr="00D1776B">
        <w:rPr>
          <w:sz w:val="28"/>
          <w:szCs w:val="28"/>
        </w:rPr>
        <w:t>77.pantā</w:t>
      </w:r>
      <w:proofErr w:type="gramEnd"/>
      <w:r w:rsidR="00A91E2E" w:rsidRPr="00D1776B">
        <w:rPr>
          <w:sz w:val="28"/>
          <w:szCs w:val="28"/>
        </w:rPr>
        <w:t xml:space="preserve"> noteiktā zemesgrāmatu nodaļu tiesneša kompetence, izskatot nostiprinājuma lūgumu, norāda uz nepieciešamību pārliecināties ne tikai par dokumenta pievienošanas faktu, bet arī to, vai pievienotais dokuments </w:t>
      </w:r>
      <w:r w:rsidR="00A91E2E" w:rsidRPr="00D1776B">
        <w:rPr>
          <w:sz w:val="28"/>
          <w:szCs w:val="28"/>
          <w:u w:val="single"/>
        </w:rPr>
        <w:t>apliecina</w:t>
      </w:r>
      <w:r w:rsidR="00A91E2E" w:rsidRPr="00D1776B">
        <w:rPr>
          <w:sz w:val="28"/>
          <w:szCs w:val="28"/>
        </w:rPr>
        <w:t xml:space="preserve"> nostiprināmās tiesības. </w:t>
      </w:r>
      <w:r w:rsidR="007D2B62">
        <w:rPr>
          <w:sz w:val="28"/>
          <w:szCs w:val="28"/>
        </w:rPr>
        <w:t>J</w:t>
      </w:r>
      <w:r w:rsidR="00A91E2E" w:rsidRPr="00D1776B">
        <w:rPr>
          <w:sz w:val="28"/>
          <w:szCs w:val="28"/>
        </w:rPr>
        <w:t xml:space="preserve">a pievienotais dokuments neapliecina nostiprināmās tiesības, nostiprinājuma lūgums atstājams bez ievērības, līdz ar to, pamatoti, ka tiesas nolēmuma spēkā stāšanās ir obligāts nosacījums, lai sāktu tecēt Noteikumos Nr.1250 noteiktais sešu mēnešu termiņš. Šāds skaidrojums cita starpā, ietverts arī Ministru kabineta noteikumu projekta, kas ieviesa Īpašuma tiesību valsts nodevas </w:t>
      </w:r>
      <w:r w:rsidR="00A91E2E" w:rsidRPr="00D1776B">
        <w:rPr>
          <w:sz w:val="28"/>
          <w:szCs w:val="28"/>
        </w:rPr>
        <w:lastRenderedPageBreak/>
        <w:t>diferenciāciju, sākotnējās ietekmes novērtējuma ziņojumā (anotācijā)</w:t>
      </w:r>
      <w:r w:rsidR="00A91E2E" w:rsidRPr="00D1776B">
        <w:rPr>
          <w:rStyle w:val="Vresatsauce"/>
          <w:sz w:val="28"/>
          <w:szCs w:val="28"/>
        </w:rPr>
        <w:footnoteReference w:id="1"/>
      </w:r>
      <w:r w:rsidR="00A91E2E" w:rsidRPr="00D1776B">
        <w:rPr>
          <w:sz w:val="28"/>
          <w:szCs w:val="28"/>
        </w:rPr>
        <w:t>.</w:t>
      </w:r>
      <w:r w:rsidR="00A91E2E" w:rsidRPr="00A91E2E">
        <w:rPr>
          <w:sz w:val="28"/>
          <w:szCs w:val="28"/>
        </w:rPr>
        <w:t xml:space="preserve"> </w:t>
      </w:r>
      <w:r w:rsidR="00A91E2E">
        <w:rPr>
          <w:sz w:val="28"/>
          <w:szCs w:val="28"/>
        </w:rPr>
        <w:tab/>
      </w:r>
      <w:r w:rsidR="00067763">
        <w:rPr>
          <w:sz w:val="28"/>
          <w:szCs w:val="28"/>
        </w:rPr>
        <w:t xml:space="preserve">Apstāklis, ka </w:t>
      </w:r>
      <w:proofErr w:type="gramStart"/>
      <w:r w:rsidR="00067763">
        <w:rPr>
          <w:sz w:val="28"/>
          <w:szCs w:val="28"/>
        </w:rPr>
        <w:t>2015.gada</w:t>
      </w:r>
      <w:proofErr w:type="gramEnd"/>
      <w:r w:rsidR="00067763">
        <w:rPr>
          <w:sz w:val="28"/>
          <w:szCs w:val="28"/>
        </w:rPr>
        <w:t xml:space="preserve"> </w:t>
      </w:r>
      <w:r w:rsidR="00E30CAF">
        <w:rPr>
          <w:sz w:val="28"/>
          <w:szCs w:val="28"/>
        </w:rPr>
        <w:t xml:space="preserve">3. </w:t>
      </w:r>
      <w:r w:rsidR="00067763">
        <w:rPr>
          <w:sz w:val="28"/>
          <w:szCs w:val="28"/>
        </w:rPr>
        <w:t>ceturksnī būtiski pieaudzis to gadījumu īpatsvars, kad īpašuma tiesības pamatojoties uz tiesas nolēmuma tiek nostiprinātas mēneša laikā, netieši apliecina Īpašuma tiesības valsts nodevas diferenciācijas pozitīvo ietekmi.</w:t>
      </w:r>
      <w:r w:rsidR="007C3EC0">
        <w:rPr>
          <w:sz w:val="28"/>
          <w:szCs w:val="28"/>
        </w:rPr>
        <w:t xml:space="preserve"> Proti, ņemot vērā tiesas nolēmuma paziņošanas un </w:t>
      </w:r>
      <w:r w:rsidR="00EA2932">
        <w:rPr>
          <w:sz w:val="28"/>
          <w:szCs w:val="28"/>
        </w:rPr>
        <w:t>sūdzības iesniegšanas termiņu,</w:t>
      </w:r>
      <w:r w:rsidR="00EA2932" w:rsidRPr="00EA2932">
        <w:rPr>
          <w:sz w:val="28"/>
          <w:szCs w:val="28"/>
        </w:rPr>
        <w:t xml:space="preserve"> </w:t>
      </w:r>
      <w:r w:rsidR="00EA2932">
        <w:rPr>
          <w:sz w:val="28"/>
          <w:szCs w:val="28"/>
        </w:rPr>
        <w:t xml:space="preserve">īpašuma tiesību nostiprināšana mēneša laikā no tiesas nolēmuma pieņemšanas iespējama pie nosacījuma, ja nostiprinājuma lūgums tiek iesniegts nekavējoties </w:t>
      </w:r>
      <w:r>
        <w:rPr>
          <w:sz w:val="28"/>
          <w:szCs w:val="28"/>
        </w:rPr>
        <w:t xml:space="preserve">pēc </w:t>
      </w:r>
      <w:r w:rsidR="00EA2932" w:rsidRPr="00F632EA">
        <w:rPr>
          <w:sz w:val="28"/>
          <w:szCs w:val="28"/>
        </w:rPr>
        <w:t>nolēmuma spēkā stāšanās</w:t>
      </w:r>
      <w:r w:rsidR="007D2B62">
        <w:rPr>
          <w:sz w:val="28"/>
          <w:szCs w:val="28"/>
        </w:rPr>
        <w:t>.</w:t>
      </w:r>
    </w:p>
    <w:p w:rsidR="00067763" w:rsidRDefault="00EA2932" w:rsidP="00067763">
      <w:pPr>
        <w:pStyle w:val="Komentrateksts"/>
        <w:tabs>
          <w:tab w:val="left" w:pos="720"/>
          <w:tab w:val="left" w:pos="5190"/>
        </w:tabs>
        <w:jc w:val="both"/>
        <w:rPr>
          <w:sz w:val="28"/>
          <w:szCs w:val="28"/>
        </w:rPr>
      </w:pPr>
      <w:r>
        <w:rPr>
          <w:sz w:val="28"/>
          <w:szCs w:val="28"/>
        </w:rPr>
        <w:tab/>
        <w:t xml:space="preserve">Savukārt, ņemot vērā tiesas nolēmuma pārsūdzības iespējas, </w:t>
      </w:r>
      <w:r w:rsidR="00067763">
        <w:rPr>
          <w:sz w:val="28"/>
          <w:szCs w:val="28"/>
        </w:rPr>
        <w:t>Īpašuma tiesīb</w:t>
      </w:r>
      <w:r>
        <w:rPr>
          <w:sz w:val="28"/>
          <w:szCs w:val="28"/>
        </w:rPr>
        <w:t>u</w:t>
      </w:r>
      <w:r w:rsidR="00067763">
        <w:rPr>
          <w:sz w:val="28"/>
          <w:szCs w:val="28"/>
        </w:rPr>
        <w:t xml:space="preserve"> valsts nodevas diferenciācijas pozitīvo ietekmi apliecina arī apstāklis, ka pieaug to gadījumu skaits, kad tiesības tiek nostiprinātas gada vai divu gadu laikā</w:t>
      </w:r>
      <w:r>
        <w:rPr>
          <w:sz w:val="28"/>
          <w:szCs w:val="28"/>
        </w:rPr>
        <w:t>, jo gadījumā, ja apelācijas un kasācijas instances tiesa atstāj spēkā zemākas instances tiesas nolēmumu, īpašuma tiesības nostiprināmu pamatā ir spēkā stājušais zemākas instances tiesas nolēmums.</w:t>
      </w:r>
    </w:p>
    <w:p w:rsidR="00F632EA" w:rsidRDefault="00067763" w:rsidP="00F63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632EA" w:rsidRPr="00F632EA">
        <w:rPr>
          <w:rFonts w:ascii="Times New Roman" w:hAnsi="Times New Roman" w:cs="Times New Roman"/>
          <w:sz w:val="28"/>
          <w:szCs w:val="28"/>
        </w:rPr>
        <w:t xml:space="preserve">Atbilstoši Tiesu informatīvās sistēmas datiem, </w:t>
      </w:r>
      <w:proofErr w:type="gramStart"/>
      <w:r w:rsidR="00F632EA" w:rsidRPr="00F632EA">
        <w:rPr>
          <w:rFonts w:ascii="Times New Roman" w:hAnsi="Times New Roman" w:cs="Times New Roman"/>
          <w:sz w:val="28"/>
          <w:szCs w:val="28"/>
        </w:rPr>
        <w:t>2014.gadā</w:t>
      </w:r>
      <w:proofErr w:type="gramEnd"/>
      <w:r w:rsidR="00F632EA" w:rsidRPr="00F632EA">
        <w:rPr>
          <w:rFonts w:ascii="Times New Roman" w:hAnsi="Times New Roman" w:cs="Times New Roman"/>
          <w:sz w:val="28"/>
          <w:szCs w:val="28"/>
        </w:rPr>
        <w:t xml:space="preserve"> apgabaltiesā kā apelācijas instancē, </w:t>
      </w:r>
      <w:r w:rsidR="007D1749">
        <w:rPr>
          <w:rFonts w:ascii="Times New Roman" w:hAnsi="Times New Roman" w:cs="Times New Roman"/>
          <w:sz w:val="28"/>
          <w:szCs w:val="28"/>
        </w:rPr>
        <w:t xml:space="preserve">lietu izskatīšanas vidēji svērtais ilgums </w:t>
      </w:r>
      <w:r w:rsidR="00EA2932">
        <w:rPr>
          <w:rFonts w:ascii="Times New Roman" w:hAnsi="Times New Roman" w:cs="Times New Roman"/>
          <w:sz w:val="28"/>
          <w:szCs w:val="28"/>
        </w:rPr>
        <w:t>svārstījās</w:t>
      </w:r>
      <w:r w:rsidR="007D1749">
        <w:rPr>
          <w:rFonts w:ascii="Times New Roman" w:hAnsi="Times New Roman" w:cs="Times New Roman"/>
          <w:sz w:val="28"/>
          <w:szCs w:val="28"/>
        </w:rPr>
        <w:t xml:space="preserve"> robežas no 1,7 mēnešiem (Latgales apgabaltiesā) līdz 2,7 mēnešiem (Zemgales apgabaltiesā), savukārt 2015.gadā no 1,4 mēnešiem (Kurzemes apgabaltiesā) līdz 2,4 mēnešiem (Vidzemes un Zemgales apgabaltiesās). Vienlaikus jāņem vērā, ka līdz t.s. </w:t>
      </w:r>
      <w:r w:rsidR="007D1749" w:rsidRPr="00FE5224">
        <w:rPr>
          <w:rFonts w:ascii="Times New Roman" w:hAnsi="Times New Roman" w:cs="Times New Roman"/>
          <w:sz w:val="28"/>
          <w:szCs w:val="28"/>
        </w:rPr>
        <w:t>pārejai uz “tīro tiesu instanču modeli”,</w:t>
      </w:r>
      <w:r w:rsidR="00FE5224" w:rsidRPr="00FE5224">
        <w:rPr>
          <w:rFonts w:ascii="Times New Roman" w:hAnsi="Times New Roman" w:cs="Times New Roman"/>
          <w:sz w:val="28"/>
          <w:szCs w:val="28"/>
        </w:rPr>
        <w:t xml:space="preserve"> vairākums no</w:t>
      </w:r>
      <w:r w:rsidR="007D1749" w:rsidRPr="00FE5224">
        <w:rPr>
          <w:rFonts w:ascii="Times New Roman" w:hAnsi="Times New Roman" w:cs="Times New Roman"/>
          <w:sz w:val="28"/>
          <w:szCs w:val="28"/>
        </w:rPr>
        <w:t xml:space="preserve"> </w:t>
      </w:r>
      <w:r w:rsidR="00FE5224" w:rsidRPr="00FE5224">
        <w:rPr>
          <w:rFonts w:ascii="Times New Roman" w:hAnsi="Times New Roman" w:cs="Times New Roman"/>
          <w:sz w:val="28"/>
          <w:szCs w:val="28"/>
        </w:rPr>
        <w:t xml:space="preserve">sūdzībām </w:t>
      </w:r>
      <w:r w:rsidR="007D1749" w:rsidRPr="00FE5224">
        <w:rPr>
          <w:rFonts w:ascii="Times New Roman" w:hAnsi="Times New Roman" w:cs="Times New Roman"/>
          <w:sz w:val="28"/>
          <w:szCs w:val="28"/>
        </w:rPr>
        <w:t>par tād</w:t>
      </w:r>
      <w:r w:rsidR="00FE5224" w:rsidRPr="00FE5224">
        <w:rPr>
          <w:rFonts w:ascii="Times New Roman" w:hAnsi="Times New Roman" w:cs="Times New Roman"/>
          <w:sz w:val="28"/>
          <w:szCs w:val="28"/>
        </w:rPr>
        <w:t>iem</w:t>
      </w:r>
      <w:r w:rsidR="007D1749" w:rsidRPr="00FE5224">
        <w:rPr>
          <w:rFonts w:ascii="Times New Roman" w:hAnsi="Times New Roman" w:cs="Times New Roman"/>
          <w:sz w:val="28"/>
          <w:szCs w:val="28"/>
        </w:rPr>
        <w:t xml:space="preserve"> tiesu nolēmum</w:t>
      </w:r>
      <w:r w:rsidR="00FE5224" w:rsidRPr="00FE5224">
        <w:rPr>
          <w:rFonts w:ascii="Times New Roman" w:hAnsi="Times New Roman" w:cs="Times New Roman"/>
          <w:sz w:val="28"/>
          <w:szCs w:val="28"/>
        </w:rPr>
        <w:t>iem</w:t>
      </w:r>
      <w:r w:rsidR="007D1749" w:rsidRPr="00FE5224">
        <w:rPr>
          <w:rFonts w:ascii="Times New Roman" w:hAnsi="Times New Roman" w:cs="Times New Roman"/>
          <w:sz w:val="28"/>
          <w:szCs w:val="28"/>
        </w:rPr>
        <w:t>, no kuriem izriet īpašuma tiesību nostiprināšanu, apelācijas kārtībā</w:t>
      </w:r>
      <w:r w:rsidR="00FE5224" w:rsidRPr="00FE5224">
        <w:rPr>
          <w:rFonts w:ascii="Times New Roman" w:hAnsi="Times New Roman" w:cs="Times New Roman"/>
          <w:sz w:val="28"/>
          <w:szCs w:val="28"/>
        </w:rPr>
        <w:t xml:space="preserve"> iz</w:t>
      </w:r>
      <w:r w:rsidR="007D1749" w:rsidRPr="00FE5224">
        <w:rPr>
          <w:rFonts w:ascii="Times New Roman" w:hAnsi="Times New Roman" w:cs="Times New Roman"/>
          <w:sz w:val="28"/>
          <w:szCs w:val="28"/>
        </w:rPr>
        <w:t>skatīja Augstākās tiesas Civillietu tiesu</w:t>
      </w:r>
      <w:r w:rsidR="00FE5224" w:rsidRPr="00FE5224">
        <w:rPr>
          <w:rFonts w:ascii="Times New Roman" w:hAnsi="Times New Roman" w:cs="Times New Roman"/>
          <w:sz w:val="28"/>
          <w:szCs w:val="28"/>
        </w:rPr>
        <w:t xml:space="preserve"> palāta. Lietu izskatīšanas vidēji svērtais ilgums Augstākās tiesas Civillietu tiesu palātā </w:t>
      </w:r>
      <w:proofErr w:type="gramStart"/>
      <w:r w:rsidR="00FE5224" w:rsidRPr="00FE5224">
        <w:rPr>
          <w:rFonts w:ascii="Times New Roman" w:hAnsi="Times New Roman" w:cs="Times New Roman"/>
          <w:sz w:val="28"/>
          <w:szCs w:val="28"/>
        </w:rPr>
        <w:t>2014.gadā</w:t>
      </w:r>
      <w:proofErr w:type="gramEnd"/>
      <w:r w:rsidR="00FE5224" w:rsidRPr="00FE5224">
        <w:rPr>
          <w:rFonts w:ascii="Times New Roman" w:hAnsi="Times New Roman" w:cs="Times New Roman"/>
          <w:sz w:val="28"/>
          <w:szCs w:val="28"/>
        </w:rPr>
        <w:t xml:space="preserve"> bija 4,6 mēneši, bet 2015.gadā – 10,2 mēneši. </w:t>
      </w:r>
      <w:r w:rsidR="00F632EA" w:rsidRPr="00F632EA">
        <w:rPr>
          <w:rFonts w:ascii="Times New Roman" w:hAnsi="Times New Roman" w:cs="Times New Roman"/>
          <w:sz w:val="28"/>
          <w:szCs w:val="28"/>
        </w:rPr>
        <w:t xml:space="preserve">Savukārt lietu izskatīšanas vidēji svērtais ilgums kasācijas instancē </w:t>
      </w:r>
      <w:proofErr w:type="gramStart"/>
      <w:r w:rsidR="00F632EA" w:rsidRPr="00F632EA">
        <w:rPr>
          <w:rFonts w:ascii="Times New Roman" w:hAnsi="Times New Roman" w:cs="Times New Roman"/>
          <w:sz w:val="28"/>
          <w:szCs w:val="28"/>
        </w:rPr>
        <w:t>2014.gadā</w:t>
      </w:r>
      <w:proofErr w:type="gramEnd"/>
      <w:r w:rsidR="00F632EA" w:rsidRPr="00F632EA">
        <w:rPr>
          <w:rFonts w:ascii="Times New Roman" w:hAnsi="Times New Roman" w:cs="Times New Roman"/>
          <w:sz w:val="28"/>
          <w:szCs w:val="28"/>
        </w:rPr>
        <w:t xml:space="preserve"> bija 17,2 mēneši, bet 2015.gadā </w:t>
      </w:r>
      <w:r w:rsidR="007D2B62" w:rsidRPr="004B2796">
        <w:rPr>
          <w:rFonts w:ascii="Times New Roman" w:hAnsi="Times New Roman" w:cs="Times New Roman"/>
          <w:sz w:val="28"/>
          <w:szCs w:val="28"/>
        </w:rPr>
        <w:t>–</w:t>
      </w:r>
      <w:r w:rsidR="00F632EA" w:rsidRPr="00F632EA">
        <w:rPr>
          <w:rFonts w:ascii="Times New Roman" w:hAnsi="Times New Roman" w:cs="Times New Roman"/>
          <w:sz w:val="28"/>
          <w:szCs w:val="28"/>
        </w:rPr>
        <w:t>14,6 mēneši.</w:t>
      </w:r>
    </w:p>
    <w:p w:rsidR="00A2457B" w:rsidRDefault="00FE5224" w:rsidP="00F63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Līdz ar to, </w:t>
      </w:r>
      <w:r w:rsidR="00067763">
        <w:rPr>
          <w:rFonts w:ascii="Times New Roman" w:hAnsi="Times New Roman" w:cs="Times New Roman"/>
          <w:sz w:val="28"/>
          <w:szCs w:val="28"/>
        </w:rPr>
        <w:t xml:space="preserve">pat, ja pieņemtu, ka tie tiesas nolēmumi, no kuriem izriet īpašuma tiesību nostiprināšana, </w:t>
      </w:r>
      <w:r w:rsidR="00A2457B">
        <w:rPr>
          <w:rFonts w:ascii="Times New Roman" w:hAnsi="Times New Roman" w:cs="Times New Roman"/>
          <w:sz w:val="28"/>
          <w:szCs w:val="28"/>
        </w:rPr>
        <w:t>apelācijas</w:t>
      </w:r>
      <w:r w:rsidR="00EA2932">
        <w:rPr>
          <w:rFonts w:ascii="Times New Roman" w:hAnsi="Times New Roman" w:cs="Times New Roman"/>
          <w:sz w:val="28"/>
          <w:szCs w:val="28"/>
        </w:rPr>
        <w:t xml:space="preserve"> un kasācijas </w:t>
      </w:r>
      <w:r w:rsidR="00A2457B">
        <w:rPr>
          <w:rFonts w:ascii="Times New Roman" w:hAnsi="Times New Roman" w:cs="Times New Roman"/>
          <w:sz w:val="28"/>
          <w:szCs w:val="28"/>
        </w:rPr>
        <w:t>kārtībā tiek</w:t>
      </w:r>
      <w:r w:rsidR="00067763">
        <w:rPr>
          <w:rFonts w:ascii="Times New Roman" w:hAnsi="Times New Roman" w:cs="Times New Roman"/>
          <w:sz w:val="28"/>
          <w:szCs w:val="28"/>
        </w:rPr>
        <w:t xml:space="preserve"> izlemti lietu izskatīšanas vidēji svērtā ilgumā, tas ir, šo lietu tiesiskie un faktiskie apstākļi ir tādi, kuru rezultātā lietas izskatīšanas ilgums nav ilgāks par vidēji svē</w:t>
      </w:r>
      <w:r w:rsidR="00A2457B">
        <w:rPr>
          <w:rFonts w:ascii="Times New Roman" w:hAnsi="Times New Roman" w:cs="Times New Roman"/>
          <w:sz w:val="28"/>
          <w:szCs w:val="28"/>
        </w:rPr>
        <w:t xml:space="preserve">rto lietas izskatīšanas ilgumu, </w:t>
      </w:r>
      <w:r>
        <w:rPr>
          <w:rFonts w:ascii="Times New Roman" w:hAnsi="Times New Roman" w:cs="Times New Roman"/>
          <w:sz w:val="28"/>
          <w:szCs w:val="28"/>
        </w:rPr>
        <w:t>atkarībā no pārsūdzības instances</w:t>
      </w:r>
      <w:r w:rsidR="00EA2932">
        <w:rPr>
          <w:rFonts w:ascii="Times New Roman" w:hAnsi="Times New Roman" w:cs="Times New Roman"/>
          <w:sz w:val="28"/>
          <w:szCs w:val="28"/>
        </w:rPr>
        <w:t xml:space="preserve"> apelācijas kārtībā</w:t>
      </w:r>
      <w:r>
        <w:rPr>
          <w:rFonts w:ascii="Times New Roman" w:hAnsi="Times New Roman" w:cs="Times New Roman"/>
          <w:sz w:val="28"/>
          <w:szCs w:val="28"/>
        </w:rPr>
        <w:t xml:space="preserve">, nostiprinājuma lūguma iesniegšana sešu mēnešu laikā </w:t>
      </w:r>
      <w:r w:rsidR="00A2457B">
        <w:rPr>
          <w:rFonts w:ascii="Times New Roman" w:hAnsi="Times New Roman" w:cs="Times New Roman"/>
          <w:sz w:val="28"/>
          <w:szCs w:val="28"/>
        </w:rPr>
        <w:t>ir vai nu apgrūtināta vai neiespējama. Turklāt gadījumā, ja pieņemtais nolēmums tiek pārsūdzēts kasācijas kārtībā, nostiprinājuma lūguma iesniegšana sešu mēnešu laikā ir neiespējam</w:t>
      </w:r>
      <w:r w:rsidR="00EA2932">
        <w:rPr>
          <w:rFonts w:ascii="Times New Roman" w:hAnsi="Times New Roman" w:cs="Times New Roman"/>
          <w:sz w:val="28"/>
          <w:szCs w:val="28"/>
        </w:rPr>
        <w:t>a</w:t>
      </w:r>
      <w:r w:rsidR="00A2457B">
        <w:rPr>
          <w:rFonts w:ascii="Times New Roman" w:hAnsi="Times New Roman" w:cs="Times New Roman"/>
          <w:sz w:val="28"/>
          <w:szCs w:val="28"/>
        </w:rPr>
        <w:t>.</w:t>
      </w:r>
    </w:p>
    <w:p w:rsidR="00FE5224" w:rsidRDefault="00A2457B" w:rsidP="00F632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Minētie apstākļi, kopsakarā ar to, ka būtiski palielinājies mēnešu laikā, kā arī gada un divu gadu laikā iesniegtie nostiprinājumi, secināms, ka Īpašuma tiesību valsts nodevas diferenciācija</w:t>
      </w:r>
      <w:r w:rsidR="00EA2932">
        <w:rPr>
          <w:rFonts w:ascii="Times New Roman" w:hAnsi="Times New Roman" w:cs="Times New Roman"/>
          <w:sz w:val="28"/>
          <w:szCs w:val="28"/>
        </w:rPr>
        <w:t>i gadījumā, ja nostiprinājuma lūguma pamatā ir tiesas nolēmums,</w:t>
      </w:r>
      <w:r>
        <w:rPr>
          <w:rFonts w:ascii="Times New Roman" w:hAnsi="Times New Roman" w:cs="Times New Roman"/>
          <w:sz w:val="28"/>
          <w:szCs w:val="28"/>
        </w:rPr>
        <w:t xml:space="preserve"> ir bijusi pozitīva ietekme.</w:t>
      </w:r>
    </w:p>
    <w:p w:rsidR="006A4EAB" w:rsidRDefault="006A4EAB" w:rsidP="006A4EAB">
      <w:pPr>
        <w:pStyle w:val="Komentrateksts"/>
        <w:jc w:val="both"/>
        <w:rPr>
          <w:sz w:val="28"/>
          <w:szCs w:val="28"/>
        </w:rPr>
      </w:pPr>
    </w:p>
    <w:p w:rsidR="006A4EAB" w:rsidRPr="004B2796" w:rsidRDefault="006A4EAB" w:rsidP="006A4EAB">
      <w:pPr>
        <w:pStyle w:val="Komentrateksts"/>
        <w:jc w:val="both"/>
        <w:rPr>
          <w:sz w:val="28"/>
          <w:szCs w:val="28"/>
        </w:rPr>
      </w:pPr>
      <w:r>
        <w:rPr>
          <w:sz w:val="28"/>
          <w:szCs w:val="28"/>
        </w:rPr>
        <w:lastRenderedPageBreak/>
        <w:tab/>
      </w:r>
      <w:r w:rsidR="00EA2932" w:rsidRPr="00EA2932">
        <w:rPr>
          <w:sz w:val="28"/>
          <w:szCs w:val="28"/>
          <w:u w:val="single"/>
        </w:rPr>
        <w:t>Secinājums</w:t>
      </w:r>
      <w:r w:rsidR="00EA2932">
        <w:rPr>
          <w:sz w:val="28"/>
          <w:szCs w:val="28"/>
        </w:rPr>
        <w:t xml:space="preserve"> - </w:t>
      </w:r>
      <w:r>
        <w:rPr>
          <w:sz w:val="28"/>
          <w:szCs w:val="28"/>
        </w:rPr>
        <w:t xml:space="preserve">Īpašuma tiesību valsts nodevas diferenciācijai ir </w:t>
      </w:r>
      <w:r w:rsidR="006A2EB6">
        <w:rPr>
          <w:sz w:val="28"/>
          <w:szCs w:val="28"/>
        </w:rPr>
        <w:t xml:space="preserve">vērojama </w:t>
      </w:r>
      <w:r>
        <w:rPr>
          <w:sz w:val="28"/>
          <w:szCs w:val="28"/>
        </w:rPr>
        <w:t xml:space="preserve">pozitīva ietekme uz īpašuma tiesību savlaicīgu nostiprināšanu. Ņemot vērā tendences un to, ka </w:t>
      </w:r>
      <w:r w:rsidRPr="004B2796">
        <w:rPr>
          <w:sz w:val="28"/>
          <w:szCs w:val="28"/>
        </w:rPr>
        <w:t>būtiska nozīme ir arī sabiedrības informētībai</w:t>
      </w:r>
      <w:r>
        <w:rPr>
          <w:sz w:val="28"/>
          <w:szCs w:val="28"/>
        </w:rPr>
        <w:t xml:space="preserve"> par Īpašuma tiesību valsts nodevas diferenciācijas piemērošanu, </w:t>
      </w:r>
      <w:r w:rsidRPr="004B2796">
        <w:rPr>
          <w:sz w:val="28"/>
          <w:szCs w:val="28"/>
        </w:rPr>
        <w:t xml:space="preserve">prognozējams, ka </w:t>
      </w:r>
      <w:r>
        <w:rPr>
          <w:sz w:val="28"/>
          <w:szCs w:val="28"/>
        </w:rPr>
        <w:t xml:space="preserve">turpmākajos gados būs novērojams arvien </w:t>
      </w:r>
      <w:r w:rsidR="006A2EB6">
        <w:rPr>
          <w:sz w:val="28"/>
          <w:szCs w:val="28"/>
        </w:rPr>
        <w:t xml:space="preserve">lielāks </w:t>
      </w:r>
      <w:r>
        <w:rPr>
          <w:sz w:val="28"/>
          <w:szCs w:val="28"/>
        </w:rPr>
        <w:t>progress</w:t>
      </w:r>
      <w:r w:rsidR="00EA2932">
        <w:rPr>
          <w:sz w:val="28"/>
          <w:szCs w:val="28"/>
        </w:rPr>
        <w:t xml:space="preserve"> īpašuma tiesību savlaicīgā nostiprināšanā</w:t>
      </w:r>
      <w:r>
        <w:rPr>
          <w:sz w:val="28"/>
          <w:szCs w:val="28"/>
        </w:rPr>
        <w:t>.</w:t>
      </w:r>
    </w:p>
    <w:p w:rsidR="00CC0080" w:rsidRDefault="00CC0080" w:rsidP="00DF6EC2">
      <w:pPr>
        <w:pStyle w:val="Komentrateksts"/>
        <w:jc w:val="both"/>
        <w:rPr>
          <w:sz w:val="28"/>
          <w:szCs w:val="28"/>
        </w:rPr>
      </w:pPr>
    </w:p>
    <w:p w:rsidR="00A2457B" w:rsidRPr="00DF6EC2" w:rsidRDefault="00A2457B" w:rsidP="00DF6EC2">
      <w:pPr>
        <w:pStyle w:val="Komentrateksts"/>
        <w:jc w:val="both"/>
        <w:rPr>
          <w:sz w:val="28"/>
          <w:szCs w:val="28"/>
        </w:rPr>
      </w:pPr>
    </w:p>
    <w:p w:rsidR="00E72955" w:rsidRPr="00E72955" w:rsidRDefault="0072076F" w:rsidP="00945D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Tieslietu ministrs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Dzintars Rasnačs</w:t>
      </w:r>
    </w:p>
    <w:p w:rsidR="00E72955" w:rsidRDefault="00E72955" w:rsidP="00945D1F">
      <w:pPr>
        <w:spacing w:after="0" w:line="240" w:lineRule="auto"/>
        <w:jc w:val="both"/>
        <w:rPr>
          <w:rFonts w:ascii="Times New Roman" w:hAnsi="Times New Roman" w:cs="Times New Roman"/>
          <w:sz w:val="20"/>
          <w:szCs w:val="20"/>
        </w:rPr>
      </w:pPr>
    </w:p>
    <w:p w:rsidR="00D1776B" w:rsidRDefault="00D1776B" w:rsidP="00945D1F">
      <w:pPr>
        <w:spacing w:after="0" w:line="240" w:lineRule="auto"/>
        <w:jc w:val="both"/>
        <w:rPr>
          <w:rFonts w:ascii="Times New Roman" w:hAnsi="Times New Roman" w:cs="Times New Roman"/>
          <w:sz w:val="20"/>
          <w:szCs w:val="20"/>
        </w:rPr>
      </w:pPr>
    </w:p>
    <w:p w:rsidR="00D1776B" w:rsidRDefault="00D1776B" w:rsidP="00945D1F">
      <w:pPr>
        <w:spacing w:after="0" w:line="240" w:lineRule="auto"/>
        <w:jc w:val="both"/>
        <w:rPr>
          <w:rFonts w:ascii="Times New Roman" w:hAnsi="Times New Roman" w:cs="Times New Roman"/>
          <w:sz w:val="20"/>
          <w:szCs w:val="20"/>
        </w:rPr>
      </w:pPr>
    </w:p>
    <w:p w:rsidR="00D1776B" w:rsidRDefault="00D1776B" w:rsidP="00945D1F">
      <w:pPr>
        <w:spacing w:after="0" w:line="240" w:lineRule="auto"/>
        <w:jc w:val="both"/>
        <w:rPr>
          <w:rFonts w:ascii="Times New Roman" w:hAnsi="Times New Roman" w:cs="Times New Roman"/>
          <w:sz w:val="20"/>
          <w:szCs w:val="20"/>
        </w:rPr>
      </w:pPr>
    </w:p>
    <w:p w:rsidR="00D1776B" w:rsidRPr="00E72955" w:rsidRDefault="00D1776B" w:rsidP="00945D1F">
      <w:pPr>
        <w:spacing w:after="0" w:line="240" w:lineRule="auto"/>
        <w:jc w:val="both"/>
        <w:rPr>
          <w:rFonts w:ascii="Times New Roman" w:hAnsi="Times New Roman" w:cs="Times New Roman"/>
          <w:sz w:val="20"/>
          <w:szCs w:val="20"/>
        </w:rPr>
      </w:pPr>
    </w:p>
    <w:p w:rsidR="00D1776B" w:rsidRPr="00E72955" w:rsidRDefault="00D1776B" w:rsidP="00E72955">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E30CAF">
        <w:rPr>
          <w:rFonts w:ascii="Times New Roman" w:hAnsi="Times New Roman" w:cs="Times New Roman"/>
          <w:sz w:val="20"/>
          <w:szCs w:val="20"/>
        </w:rPr>
        <w:t>7</w:t>
      </w:r>
      <w:r w:rsidR="004B2796">
        <w:rPr>
          <w:rFonts w:ascii="Times New Roman" w:hAnsi="Times New Roman" w:cs="Times New Roman"/>
          <w:sz w:val="20"/>
          <w:szCs w:val="20"/>
        </w:rPr>
        <w:t>.1</w:t>
      </w:r>
      <w:r>
        <w:rPr>
          <w:rFonts w:ascii="Times New Roman" w:hAnsi="Times New Roman" w:cs="Times New Roman"/>
          <w:sz w:val="20"/>
          <w:szCs w:val="20"/>
        </w:rPr>
        <w:t>2</w:t>
      </w:r>
      <w:r w:rsidR="004B2796">
        <w:rPr>
          <w:rFonts w:ascii="Times New Roman" w:hAnsi="Times New Roman" w:cs="Times New Roman"/>
          <w:sz w:val="20"/>
          <w:szCs w:val="20"/>
        </w:rPr>
        <w:t>.2015;</w:t>
      </w:r>
      <w:r w:rsidR="00202733">
        <w:rPr>
          <w:rFonts w:ascii="Times New Roman" w:hAnsi="Times New Roman" w:cs="Times New Roman"/>
          <w:sz w:val="20"/>
          <w:szCs w:val="20"/>
        </w:rPr>
        <w:t>12</w:t>
      </w:r>
      <w:r w:rsidR="00E30CAF">
        <w:rPr>
          <w:rFonts w:ascii="Times New Roman" w:hAnsi="Times New Roman" w:cs="Times New Roman"/>
          <w:sz w:val="20"/>
          <w:szCs w:val="20"/>
        </w:rPr>
        <w:t>:</w:t>
      </w:r>
      <w:r w:rsidR="00202733">
        <w:rPr>
          <w:rFonts w:ascii="Times New Roman" w:hAnsi="Times New Roman" w:cs="Times New Roman"/>
          <w:sz w:val="20"/>
          <w:szCs w:val="20"/>
        </w:rPr>
        <w:t>46</w:t>
      </w:r>
    </w:p>
    <w:p w:rsidR="00E72955" w:rsidRPr="00E72955" w:rsidRDefault="00EA2932" w:rsidP="00E72955">
      <w:pPr>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202733">
        <w:rPr>
          <w:rFonts w:ascii="Times New Roman" w:hAnsi="Times New Roman" w:cs="Times New Roman"/>
          <w:sz w:val="20"/>
          <w:szCs w:val="20"/>
        </w:rPr>
        <w:t>70</w:t>
      </w:r>
      <w:bookmarkStart w:id="0" w:name="_GoBack"/>
      <w:bookmarkEnd w:id="0"/>
    </w:p>
    <w:p w:rsidR="00E72955" w:rsidRPr="00E72955" w:rsidRDefault="00E72955" w:rsidP="00E72955">
      <w:pPr>
        <w:tabs>
          <w:tab w:val="left" w:pos="1515"/>
        </w:tabs>
        <w:spacing w:after="0" w:line="240" w:lineRule="auto"/>
        <w:rPr>
          <w:rFonts w:ascii="Times New Roman" w:hAnsi="Times New Roman" w:cs="Times New Roman"/>
          <w:sz w:val="20"/>
          <w:szCs w:val="20"/>
        </w:rPr>
      </w:pPr>
      <w:r w:rsidRPr="00E72955">
        <w:rPr>
          <w:rFonts w:ascii="Times New Roman" w:hAnsi="Times New Roman" w:cs="Times New Roman"/>
          <w:sz w:val="20"/>
          <w:szCs w:val="20"/>
        </w:rPr>
        <w:t xml:space="preserve">K. Miļevska </w:t>
      </w:r>
      <w:r w:rsidRPr="00E72955">
        <w:rPr>
          <w:rFonts w:ascii="Times New Roman" w:hAnsi="Times New Roman" w:cs="Times New Roman"/>
          <w:sz w:val="20"/>
          <w:szCs w:val="20"/>
        </w:rPr>
        <w:tab/>
      </w:r>
    </w:p>
    <w:p w:rsidR="00E72955" w:rsidRPr="00E72955" w:rsidRDefault="00E72955" w:rsidP="007D2B62">
      <w:pPr>
        <w:spacing w:after="0" w:line="240" w:lineRule="auto"/>
        <w:jc w:val="both"/>
        <w:rPr>
          <w:rFonts w:ascii="Times New Roman" w:hAnsi="Times New Roman" w:cs="Times New Roman"/>
          <w:sz w:val="28"/>
          <w:szCs w:val="28"/>
        </w:rPr>
      </w:pPr>
      <w:r w:rsidRPr="00E72955">
        <w:rPr>
          <w:rFonts w:ascii="Times New Roman" w:hAnsi="Times New Roman" w:cs="Times New Roman"/>
          <w:sz w:val="20"/>
          <w:szCs w:val="20"/>
        </w:rPr>
        <w:t xml:space="preserve">67036813, </w:t>
      </w:r>
      <w:hyperlink r:id="rId8" w:history="1">
        <w:r w:rsidR="00D1776B" w:rsidRPr="00C51A4F">
          <w:rPr>
            <w:rStyle w:val="Hipersaite"/>
            <w:rFonts w:ascii="Times New Roman" w:hAnsi="Times New Roman" w:cs="Times New Roman"/>
            <w:sz w:val="20"/>
            <w:szCs w:val="20"/>
          </w:rPr>
          <w:t>Kristine.Milevska@tm.gov.lv</w:t>
        </w:r>
      </w:hyperlink>
    </w:p>
    <w:sectPr w:rsidR="00E72955" w:rsidRPr="00E72955" w:rsidSect="00EA2932">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30" w:rsidRDefault="00074B30" w:rsidP="00945D1F">
      <w:pPr>
        <w:spacing w:after="0" w:line="240" w:lineRule="auto"/>
      </w:pPr>
      <w:r>
        <w:separator/>
      </w:r>
    </w:p>
  </w:endnote>
  <w:endnote w:type="continuationSeparator" w:id="0">
    <w:p w:rsidR="00074B30" w:rsidRDefault="00074B30" w:rsidP="0094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49" w:rsidRDefault="006E4D4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D1F" w:rsidRPr="00945D1F" w:rsidRDefault="00D1776B" w:rsidP="00945D1F">
    <w:pPr>
      <w:spacing w:after="0" w:line="240" w:lineRule="auto"/>
      <w:jc w:val="both"/>
      <w:rPr>
        <w:rFonts w:ascii="Times New Roman" w:hAnsi="Times New Roman" w:cs="Times New Roman"/>
        <w:szCs w:val="20"/>
      </w:rPr>
    </w:pPr>
    <w:r>
      <w:rPr>
        <w:rFonts w:ascii="Times New Roman" w:hAnsi="Times New Roman" w:cs="Times New Roman"/>
      </w:rPr>
      <w:t>TMZin</w:t>
    </w:r>
    <w:r w:rsidR="006E4D49">
      <w:rPr>
        <w:rFonts w:ascii="Times New Roman" w:hAnsi="Times New Roman" w:cs="Times New Roman"/>
      </w:rPr>
      <w:t>o</w:t>
    </w:r>
    <w:r>
      <w:rPr>
        <w:rFonts w:ascii="Times New Roman" w:hAnsi="Times New Roman" w:cs="Times New Roman"/>
      </w:rPr>
      <w:t>_1</w:t>
    </w:r>
    <w:r w:rsidR="00E30CAF">
      <w:rPr>
        <w:rFonts w:ascii="Times New Roman" w:hAnsi="Times New Roman" w:cs="Times New Roman"/>
      </w:rPr>
      <w:t>7</w:t>
    </w:r>
    <w:r>
      <w:rPr>
        <w:rFonts w:ascii="Times New Roman" w:hAnsi="Times New Roman" w:cs="Times New Roman"/>
      </w:rPr>
      <w:t>12</w:t>
    </w:r>
    <w:r w:rsidR="00945D1F" w:rsidRPr="00945D1F">
      <w:rPr>
        <w:rFonts w:ascii="Times New Roman" w:hAnsi="Times New Roman" w:cs="Times New Roman"/>
      </w:rPr>
      <w:t>15_difer_ietekme</w:t>
    </w:r>
    <w:r w:rsidR="00945D1F" w:rsidRPr="00945D1F">
      <w:rPr>
        <w:rFonts w:ascii="Times New Roman" w:hAnsi="Times New Roman" w:cs="Times New Roman"/>
        <w:szCs w:val="20"/>
      </w:rPr>
      <w:t>; Informatīvais ziņojums</w:t>
    </w:r>
    <w:r w:rsidR="00945D1F">
      <w:rPr>
        <w:rFonts w:ascii="Times New Roman" w:hAnsi="Times New Roman" w:cs="Times New Roman"/>
        <w:szCs w:val="20"/>
      </w:rPr>
      <w:t xml:space="preserve"> </w:t>
    </w:r>
    <w:r w:rsidR="00945D1F" w:rsidRPr="00945D1F">
      <w:rPr>
        <w:rFonts w:ascii="Times New Roman" w:hAnsi="Times New Roman" w:cs="Times New Roman"/>
        <w:szCs w:val="20"/>
      </w:rPr>
      <w:t>par normatīvajos aktos noteiktās valsts nodevas par īpašuma tiesību nostiprināšanu zemesgrāmatā diferenciācijas ietekmi uz savlaicīgu īpašuma tiesību nostiprināšanu zemesgrāmatā</w:t>
    </w:r>
  </w:p>
  <w:p w:rsidR="00945D1F" w:rsidRPr="00945D1F" w:rsidRDefault="00945D1F" w:rsidP="00945D1F">
    <w:pPr>
      <w:pStyle w:val="Kjene"/>
      <w:jc w:val="both"/>
      <w:rPr>
        <w:rFonts w:ascii="Times New Roman" w:hAnsi="Times New Roman" w:cs="Times New Roman"/>
      </w:rPr>
    </w:pPr>
  </w:p>
  <w:p w:rsidR="00945D1F" w:rsidRPr="00945D1F" w:rsidRDefault="00945D1F" w:rsidP="00945D1F">
    <w:pPr>
      <w:pStyle w:val="Kjene"/>
      <w:jc w:val="both"/>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6B" w:rsidRPr="00945D1F" w:rsidRDefault="00D1776B" w:rsidP="00D1776B">
    <w:pPr>
      <w:spacing w:after="0" w:line="240" w:lineRule="auto"/>
      <w:jc w:val="both"/>
      <w:rPr>
        <w:rFonts w:ascii="Times New Roman" w:hAnsi="Times New Roman" w:cs="Times New Roman"/>
        <w:szCs w:val="20"/>
      </w:rPr>
    </w:pPr>
    <w:r>
      <w:rPr>
        <w:rFonts w:ascii="Times New Roman" w:hAnsi="Times New Roman" w:cs="Times New Roman"/>
      </w:rPr>
      <w:t>TMZin</w:t>
    </w:r>
    <w:r w:rsidR="006E4D49">
      <w:rPr>
        <w:rFonts w:ascii="Times New Roman" w:hAnsi="Times New Roman" w:cs="Times New Roman"/>
      </w:rPr>
      <w:t>o</w:t>
    </w:r>
    <w:r>
      <w:rPr>
        <w:rFonts w:ascii="Times New Roman" w:hAnsi="Times New Roman" w:cs="Times New Roman"/>
      </w:rPr>
      <w:t>_1</w:t>
    </w:r>
    <w:r w:rsidR="00E30CAF">
      <w:rPr>
        <w:rFonts w:ascii="Times New Roman" w:hAnsi="Times New Roman" w:cs="Times New Roman"/>
      </w:rPr>
      <w:t>7</w:t>
    </w:r>
    <w:r>
      <w:rPr>
        <w:rFonts w:ascii="Times New Roman" w:hAnsi="Times New Roman" w:cs="Times New Roman"/>
      </w:rPr>
      <w:t>12</w:t>
    </w:r>
    <w:r w:rsidRPr="00945D1F">
      <w:rPr>
        <w:rFonts w:ascii="Times New Roman" w:hAnsi="Times New Roman" w:cs="Times New Roman"/>
      </w:rPr>
      <w:t>15_difer_ietekme</w:t>
    </w:r>
    <w:r w:rsidRPr="00945D1F">
      <w:rPr>
        <w:rFonts w:ascii="Times New Roman" w:hAnsi="Times New Roman" w:cs="Times New Roman"/>
        <w:szCs w:val="20"/>
      </w:rPr>
      <w:t>; Informatīvais ziņojums</w:t>
    </w:r>
    <w:r>
      <w:rPr>
        <w:rFonts w:ascii="Times New Roman" w:hAnsi="Times New Roman" w:cs="Times New Roman"/>
        <w:szCs w:val="20"/>
      </w:rPr>
      <w:t xml:space="preserve"> </w:t>
    </w:r>
    <w:r w:rsidRPr="00945D1F">
      <w:rPr>
        <w:rFonts w:ascii="Times New Roman" w:hAnsi="Times New Roman" w:cs="Times New Roman"/>
        <w:szCs w:val="20"/>
      </w:rPr>
      <w:t>par normatīvajos aktos noteiktās valsts nodevas par īpašuma tiesību nostiprināšanu zemesgrāmatā diferenciācijas ietekmi uz savlaicīgu īpašuma tiesību nostiprināšanu zemesgrāmatā</w:t>
    </w:r>
  </w:p>
  <w:p w:rsidR="00D1776B" w:rsidRDefault="00D177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30" w:rsidRDefault="00074B30" w:rsidP="00945D1F">
      <w:pPr>
        <w:spacing w:after="0" w:line="240" w:lineRule="auto"/>
      </w:pPr>
      <w:r>
        <w:separator/>
      </w:r>
    </w:p>
  </w:footnote>
  <w:footnote w:type="continuationSeparator" w:id="0">
    <w:p w:rsidR="00074B30" w:rsidRDefault="00074B30" w:rsidP="00945D1F">
      <w:pPr>
        <w:spacing w:after="0" w:line="240" w:lineRule="auto"/>
      </w:pPr>
      <w:r>
        <w:continuationSeparator/>
      </w:r>
    </w:p>
  </w:footnote>
  <w:footnote w:id="1">
    <w:p w:rsidR="00A91E2E" w:rsidRDefault="00A91E2E" w:rsidP="00A91E2E">
      <w:pPr>
        <w:pStyle w:val="Vresteksts"/>
      </w:pPr>
      <w:r>
        <w:rPr>
          <w:rStyle w:val="Vresatsauce"/>
        </w:rPr>
        <w:footnoteRef/>
      </w:r>
      <w:r>
        <w:t xml:space="preserve"> </w:t>
      </w:r>
      <w:r w:rsidRPr="008E2ACD">
        <w:t>http://tap.mk.gov.lv/doc/2005/TMAnot_251013_Groz_1250.2985.doc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49" w:rsidRDefault="006E4D4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519865"/>
      <w:docPartObj>
        <w:docPartGallery w:val="Page Numbers (Top of Page)"/>
        <w:docPartUnique/>
      </w:docPartObj>
    </w:sdtPr>
    <w:sdtEndPr/>
    <w:sdtContent>
      <w:p w:rsidR="00EA2932" w:rsidRDefault="00EA2932">
        <w:pPr>
          <w:pStyle w:val="Galvene"/>
          <w:jc w:val="center"/>
        </w:pPr>
        <w:r>
          <w:fldChar w:fldCharType="begin"/>
        </w:r>
        <w:r>
          <w:instrText>PAGE   \* MERGEFORMAT</w:instrText>
        </w:r>
        <w:r>
          <w:fldChar w:fldCharType="separate"/>
        </w:r>
        <w:r w:rsidR="00202733">
          <w:rPr>
            <w:noProof/>
          </w:rPr>
          <w:t>8</w:t>
        </w:r>
        <w:r>
          <w:fldChar w:fldCharType="end"/>
        </w:r>
      </w:p>
    </w:sdtContent>
  </w:sdt>
  <w:p w:rsidR="00EA2932" w:rsidRDefault="00EA293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49" w:rsidRDefault="006E4D4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12"/>
    <w:rsid w:val="00001D11"/>
    <w:rsid w:val="0005575D"/>
    <w:rsid w:val="00067763"/>
    <w:rsid w:val="00074B30"/>
    <w:rsid w:val="000C7012"/>
    <w:rsid w:val="000E580A"/>
    <w:rsid w:val="00135F72"/>
    <w:rsid w:val="00161096"/>
    <w:rsid w:val="001741D9"/>
    <w:rsid w:val="001A6ECF"/>
    <w:rsid w:val="00202733"/>
    <w:rsid w:val="00207AD1"/>
    <w:rsid w:val="00246980"/>
    <w:rsid w:val="00251CC9"/>
    <w:rsid w:val="002E2F46"/>
    <w:rsid w:val="003074E6"/>
    <w:rsid w:val="003076F5"/>
    <w:rsid w:val="00352D1D"/>
    <w:rsid w:val="003612D8"/>
    <w:rsid w:val="00383E92"/>
    <w:rsid w:val="003E6C20"/>
    <w:rsid w:val="003F20B3"/>
    <w:rsid w:val="00403F4B"/>
    <w:rsid w:val="0040588E"/>
    <w:rsid w:val="00431886"/>
    <w:rsid w:val="00470A14"/>
    <w:rsid w:val="00487CB9"/>
    <w:rsid w:val="004A7EE1"/>
    <w:rsid w:val="004B2796"/>
    <w:rsid w:val="004F0CE6"/>
    <w:rsid w:val="00505DF1"/>
    <w:rsid w:val="00534249"/>
    <w:rsid w:val="00557B66"/>
    <w:rsid w:val="005628A7"/>
    <w:rsid w:val="005825FF"/>
    <w:rsid w:val="005A0034"/>
    <w:rsid w:val="00654D13"/>
    <w:rsid w:val="00673B20"/>
    <w:rsid w:val="006A2EB6"/>
    <w:rsid w:val="006A4EAB"/>
    <w:rsid w:val="006C58A7"/>
    <w:rsid w:val="006E4D49"/>
    <w:rsid w:val="0072076F"/>
    <w:rsid w:val="00755A1D"/>
    <w:rsid w:val="007C3EC0"/>
    <w:rsid w:val="007D1749"/>
    <w:rsid w:val="007D2B62"/>
    <w:rsid w:val="0089348C"/>
    <w:rsid w:val="008D5A54"/>
    <w:rsid w:val="008E2ACD"/>
    <w:rsid w:val="008F0ACF"/>
    <w:rsid w:val="008F4B32"/>
    <w:rsid w:val="00914FDD"/>
    <w:rsid w:val="00945D1F"/>
    <w:rsid w:val="0097631E"/>
    <w:rsid w:val="009D1F18"/>
    <w:rsid w:val="00A2060F"/>
    <w:rsid w:val="00A2457B"/>
    <w:rsid w:val="00A4411A"/>
    <w:rsid w:val="00A91C41"/>
    <w:rsid w:val="00A91E2E"/>
    <w:rsid w:val="00AD7C71"/>
    <w:rsid w:val="00B22A4B"/>
    <w:rsid w:val="00B9080D"/>
    <w:rsid w:val="00BA05A9"/>
    <w:rsid w:val="00BB0C31"/>
    <w:rsid w:val="00C117D6"/>
    <w:rsid w:val="00C277CC"/>
    <w:rsid w:val="00C37796"/>
    <w:rsid w:val="00C66E25"/>
    <w:rsid w:val="00CA4826"/>
    <w:rsid w:val="00CC0080"/>
    <w:rsid w:val="00D007CD"/>
    <w:rsid w:val="00D060EB"/>
    <w:rsid w:val="00D1776B"/>
    <w:rsid w:val="00D64062"/>
    <w:rsid w:val="00D64523"/>
    <w:rsid w:val="00DF3FBA"/>
    <w:rsid w:val="00DF6EC2"/>
    <w:rsid w:val="00E30CAF"/>
    <w:rsid w:val="00E57EF7"/>
    <w:rsid w:val="00E72955"/>
    <w:rsid w:val="00E97BE1"/>
    <w:rsid w:val="00EA2932"/>
    <w:rsid w:val="00EB3A4C"/>
    <w:rsid w:val="00F27C60"/>
    <w:rsid w:val="00F632EA"/>
    <w:rsid w:val="00F819B7"/>
    <w:rsid w:val="00F82DDC"/>
    <w:rsid w:val="00F87237"/>
    <w:rsid w:val="00FC4681"/>
    <w:rsid w:val="00FE5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rsid w:val="000C7012"/>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0C7012"/>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945D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5D1F"/>
  </w:style>
  <w:style w:type="paragraph" w:styleId="Kjene">
    <w:name w:val="footer"/>
    <w:basedOn w:val="Parasts"/>
    <w:link w:val="KjeneRakstz"/>
    <w:uiPriority w:val="99"/>
    <w:unhideWhenUsed/>
    <w:rsid w:val="00945D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5D1F"/>
  </w:style>
  <w:style w:type="paragraph" w:styleId="Balonteksts">
    <w:name w:val="Balloon Text"/>
    <w:basedOn w:val="Parasts"/>
    <w:link w:val="BalontekstsRakstz"/>
    <w:uiPriority w:val="99"/>
    <w:semiHidden/>
    <w:unhideWhenUsed/>
    <w:rsid w:val="00945D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D1F"/>
    <w:rPr>
      <w:rFonts w:ascii="Tahoma" w:hAnsi="Tahoma" w:cs="Tahoma"/>
      <w:sz w:val="16"/>
      <w:szCs w:val="16"/>
    </w:rPr>
  </w:style>
  <w:style w:type="paragraph" w:styleId="Sarakstarindkopa">
    <w:name w:val="List Paragraph"/>
    <w:basedOn w:val="Parasts"/>
    <w:uiPriority w:val="34"/>
    <w:qFormat/>
    <w:rsid w:val="00534249"/>
    <w:pPr>
      <w:spacing w:after="0" w:line="240" w:lineRule="auto"/>
      <w:ind w:left="720"/>
    </w:pPr>
    <w:rPr>
      <w:rFonts w:ascii="Calibri" w:eastAsia="Calibri" w:hAnsi="Calibri" w:cs="Times New Roman"/>
    </w:rPr>
  </w:style>
  <w:style w:type="character" w:customStyle="1" w:styleId="spelle">
    <w:name w:val="spelle"/>
    <w:basedOn w:val="Noklusjumarindkopasfonts"/>
    <w:rsid w:val="00DF6EC2"/>
  </w:style>
  <w:style w:type="paragraph" w:styleId="Vresteksts">
    <w:name w:val="footnote text"/>
    <w:basedOn w:val="Parasts"/>
    <w:link w:val="VrestekstsRakstz"/>
    <w:uiPriority w:val="99"/>
    <w:semiHidden/>
    <w:unhideWhenUsed/>
    <w:rsid w:val="001A6EC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1A6ECF"/>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1A6ECF"/>
    <w:rPr>
      <w:vertAlign w:val="superscript"/>
    </w:rPr>
  </w:style>
  <w:style w:type="character" w:styleId="Hipersaite">
    <w:name w:val="Hyperlink"/>
    <w:basedOn w:val="Noklusjumarindkopasfonts"/>
    <w:uiPriority w:val="99"/>
    <w:unhideWhenUsed/>
    <w:rsid w:val="008F4B32"/>
    <w:rPr>
      <w:color w:val="0000FF" w:themeColor="hyperlink"/>
      <w:u w:val="single"/>
    </w:rPr>
  </w:style>
  <w:style w:type="character" w:styleId="Komentraatsauce">
    <w:name w:val="annotation reference"/>
    <w:basedOn w:val="Noklusjumarindkopasfonts"/>
    <w:uiPriority w:val="99"/>
    <w:semiHidden/>
    <w:unhideWhenUsed/>
    <w:rsid w:val="00D64523"/>
    <w:rPr>
      <w:sz w:val="16"/>
      <w:szCs w:val="16"/>
    </w:rPr>
  </w:style>
  <w:style w:type="paragraph" w:styleId="Komentratma">
    <w:name w:val="annotation subject"/>
    <w:basedOn w:val="Komentrateksts"/>
    <w:next w:val="Komentrateksts"/>
    <w:link w:val="KomentratmaRakstz"/>
    <w:uiPriority w:val="99"/>
    <w:semiHidden/>
    <w:unhideWhenUsed/>
    <w:rsid w:val="00D64523"/>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64523"/>
    <w:rPr>
      <w:rFonts w:ascii="Times New Roman" w:eastAsia="Times New Roman" w:hAnsi="Times New Roman" w:cs="Times New Roman"/>
      <w:b/>
      <w:bCs/>
      <w:sz w:val="20"/>
      <w:szCs w:val="20"/>
      <w:lang w:eastAsia="lv-LV"/>
    </w:rPr>
  </w:style>
  <w:style w:type="paragraph" w:styleId="Prskatjums">
    <w:name w:val="Revision"/>
    <w:hidden/>
    <w:uiPriority w:val="99"/>
    <w:semiHidden/>
    <w:rsid w:val="00D640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omentrateksts">
    <w:name w:val="annotation text"/>
    <w:basedOn w:val="Parasts"/>
    <w:link w:val="KomentratekstsRakstz"/>
    <w:rsid w:val="000C7012"/>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0C7012"/>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945D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45D1F"/>
  </w:style>
  <w:style w:type="paragraph" w:styleId="Kjene">
    <w:name w:val="footer"/>
    <w:basedOn w:val="Parasts"/>
    <w:link w:val="KjeneRakstz"/>
    <w:uiPriority w:val="99"/>
    <w:unhideWhenUsed/>
    <w:rsid w:val="00945D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45D1F"/>
  </w:style>
  <w:style w:type="paragraph" w:styleId="Balonteksts">
    <w:name w:val="Balloon Text"/>
    <w:basedOn w:val="Parasts"/>
    <w:link w:val="BalontekstsRakstz"/>
    <w:uiPriority w:val="99"/>
    <w:semiHidden/>
    <w:unhideWhenUsed/>
    <w:rsid w:val="00945D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5D1F"/>
    <w:rPr>
      <w:rFonts w:ascii="Tahoma" w:hAnsi="Tahoma" w:cs="Tahoma"/>
      <w:sz w:val="16"/>
      <w:szCs w:val="16"/>
    </w:rPr>
  </w:style>
  <w:style w:type="paragraph" w:styleId="Sarakstarindkopa">
    <w:name w:val="List Paragraph"/>
    <w:basedOn w:val="Parasts"/>
    <w:uiPriority w:val="34"/>
    <w:qFormat/>
    <w:rsid w:val="00534249"/>
    <w:pPr>
      <w:spacing w:after="0" w:line="240" w:lineRule="auto"/>
      <w:ind w:left="720"/>
    </w:pPr>
    <w:rPr>
      <w:rFonts w:ascii="Calibri" w:eastAsia="Calibri" w:hAnsi="Calibri" w:cs="Times New Roman"/>
    </w:rPr>
  </w:style>
  <w:style w:type="character" w:customStyle="1" w:styleId="spelle">
    <w:name w:val="spelle"/>
    <w:basedOn w:val="Noklusjumarindkopasfonts"/>
    <w:rsid w:val="00DF6EC2"/>
  </w:style>
  <w:style w:type="paragraph" w:styleId="Vresteksts">
    <w:name w:val="footnote text"/>
    <w:basedOn w:val="Parasts"/>
    <w:link w:val="VrestekstsRakstz"/>
    <w:uiPriority w:val="99"/>
    <w:semiHidden/>
    <w:unhideWhenUsed/>
    <w:rsid w:val="001A6EC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1A6ECF"/>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1A6ECF"/>
    <w:rPr>
      <w:vertAlign w:val="superscript"/>
    </w:rPr>
  </w:style>
  <w:style w:type="character" w:styleId="Hipersaite">
    <w:name w:val="Hyperlink"/>
    <w:basedOn w:val="Noklusjumarindkopasfonts"/>
    <w:uiPriority w:val="99"/>
    <w:unhideWhenUsed/>
    <w:rsid w:val="008F4B32"/>
    <w:rPr>
      <w:color w:val="0000FF" w:themeColor="hyperlink"/>
      <w:u w:val="single"/>
    </w:rPr>
  </w:style>
  <w:style w:type="character" w:styleId="Komentraatsauce">
    <w:name w:val="annotation reference"/>
    <w:basedOn w:val="Noklusjumarindkopasfonts"/>
    <w:uiPriority w:val="99"/>
    <w:semiHidden/>
    <w:unhideWhenUsed/>
    <w:rsid w:val="00D64523"/>
    <w:rPr>
      <w:sz w:val="16"/>
      <w:szCs w:val="16"/>
    </w:rPr>
  </w:style>
  <w:style w:type="paragraph" w:styleId="Komentratma">
    <w:name w:val="annotation subject"/>
    <w:basedOn w:val="Komentrateksts"/>
    <w:next w:val="Komentrateksts"/>
    <w:link w:val="KomentratmaRakstz"/>
    <w:uiPriority w:val="99"/>
    <w:semiHidden/>
    <w:unhideWhenUsed/>
    <w:rsid w:val="00D64523"/>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D64523"/>
    <w:rPr>
      <w:rFonts w:ascii="Times New Roman" w:eastAsia="Times New Roman" w:hAnsi="Times New Roman" w:cs="Times New Roman"/>
      <w:b/>
      <w:bCs/>
      <w:sz w:val="20"/>
      <w:szCs w:val="20"/>
      <w:lang w:eastAsia="lv-LV"/>
    </w:rPr>
  </w:style>
  <w:style w:type="paragraph" w:styleId="Prskatjums">
    <w:name w:val="Revision"/>
    <w:hidden/>
    <w:uiPriority w:val="99"/>
    <w:semiHidden/>
    <w:rsid w:val="00D64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1234">
      <w:bodyDiv w:val="1"/>
      <w:marLeft w:val="0"/>
      <w:marRight w:val="0"/>
      <w:marTop w:val="0"/>
      <w:marBottom w:val="0"/>
      <w:divBdr>
        <w:top w:val="none" w:sz="0" w:space="0" w:color="auto"/>
        <w:left w:val="none" w:sz="0" w:space="0" w:color="auto"/>
        <w:bottom w:val="none" w:sz="0" w:space="0" w:color="auto"/>
        <w:right w:val="none" w:sz="0" w:space="0" w:color="auto"/>
      </w:divBdr>
    </w:div>
    <w:div w:id="509029553">
      <w:bodyDiv w:val="1"/>
      <w:marLeft w:val="0"/>
      <w:marRight w:val="0"/>
      <w:marTop w:val="0"/>
      <w:marBottom w:val="0"/>
      <w:divBdr>
        <w:top w:val="none" w:sz="0" w:space="0" w:color="auto"/>
        <w:left w:val="none" w:sz="0" w:space="0" w:color="auto"/>
        <w:bottom w:val="none" w:sz="0" w:space="0" w:color="auto"/>
        <w:right w:val="none" w:sz="0" w:space="0" w:color="auto"/>
      </w:divBdr>
    </w:div>
    <w:div w:id="509371984">
      <w:bodyDiv w:val="1"/>
      <w:marLeft w:val="0"/>
      <w:marRight w:val="0"/>
      <w:marTop w:val="0"/>
      <w:marBottom w:val="0"/>
      <w:divBdr>
        <w:top w:val="none" w:sz="0" w:space="0" w:color="auto"/>
        <w:left w:val="none" w:sz="0" w:space="0" w:color="auto"/>
        <w:bottom w:val="none" w:sz="0" w:space="0" w:color="auto"/>
        <w:right w:val="none" w:sz="0" w:space="0" w:color="auto"/>
      </w:divBdr>
    </w:div>
    <w:div w:id="531726276">
      <w:bodyDiv w:val="1"/>
      <w:marLeft w:val="0"/>
      <w:marRight w:val="0"/>
      <w:marTop w:val="0"/>
      <w:marBottom w:val="0"/>
      <w:divBdr>
        <w:top w:val="none" w:sz="0" w:space="0" w:color="auto"/>
        <w:left w:val="none" w:sz="0" w:space="0" w:color="auto"/>
        <w:bottom w:val="none" w:sz="0" w:space="0" w:color="auto"/>
        <w:right w:val="none" w:sz="0" w:space="0" w:color="auto"/>
      </w:divBdr>
    </w:div>
    <w:div w:id="642927260">
      <w:bodyDiv w:val="1"/>
      <w:marLeft w:val="0"/>
      <w:marRight w:val="0"/>
      <w:marTop w:val="0"/>
      <w:marBottom w:val="0"/>
      <w:divBdr>
        <w:top w:val="none" w:sz="0" w:space="0" w:color="auto"/>
        <w:left w:val="none" w:sz="0" w:space="0" w:color="auto"/>
        <w:bottom w:val="none" w:sz="0" w:space="0" w:color="auto"/>
        <w:right w:val="none" w:sz="0" w:space="0" w:color="auto"/>
      </w:divBdr>
    </w:div>
    <w:div w:id="786972624">
      <w:bodyDiv w:val="1"/>
      <w:marLeft w:val="0"/>
      <w:marRight w:val="0"/>
      <w:marTop w:val="0"/>
      <w:marBottom w:val="0"/>
      <w:divBdr>
        <w:top w:val="none" w:sz="0" w:space="0" w:color="auto"/>
        <w:left w:val="none" w:sz="0" w:space="0" w:color="auto"/>
        <w:bottom w:val="none" w:sz="0" w:space="0" w:color="auto"/>
        <w:right w:val="none" w:sz="0" w:space="0" w:color="auto"/>
      </w:divBdr>
    </w:div>
    <w:div w:id="919604054">
      <w:bodyDiv w:val="1"/>
      <w:marLeft w:val="0"/>
      <w:marRight w:val="0"/>
      <w:marTop w:val="0"/>
      <w:marBottom w:val="0"/>
      <w:divBdr>
        <w:top w:val="none" w:sz="0" w:space="0" w:color="auto"/>
        <w:left w:val="none" w:sz="0" w:space="0" w:color="auto"/>
        <w:bottom w:val="none" w:sz="0" w:space="0" w:color="auto"/>
        <w:right w:val="none" w:sz="0" w:space="0" w:color="auto"/>
      </w:divBdr>
    </w:div>
    <w:div w:id="1283416223">
      <w:bodyDiv w:val="1"/>
      <w:marLeft w:val="0"/>
      <w:marRight w:val="0"/>
      <w:marTop w:val="0"/>
      <w:marBottom w:val="0"/>
      <w:divBdr>
        <w:top w:val="none" w:sz="0" w:space="0" w:color="auto"/>
        <w:left w:val="none" w:sz="0" w:space="0" w:color="auto"/>
        <w:bottom w:val="none" w:sz="0" w:space="0" w:color="auto"/>
        <w:right w:val="none" w:sz="0" w:space="0" w:color="auto"/>
      </w:divBdr>
    </w:div>
    <w:div w:id="1478065742">
      <w:bodyDiv w:val="1"/>
      <w:marLeft w:val="0"/>
      <w:marRight w:val="0"/>
      <w:marTop w:val="0"/>
      <w:marBottom w:val="0"/>
      <w:divBdr>
        <w:top w:val="none" w:sz="0" w:space="0" w:color="auto"/>
        <w:left w:val="none" w:sz="0" w:space="0" w:color="auto"/>
        <w:bottom w:val="none" w:sz="0" w:space="0" w:color="auto"/>
        <w:right w:val="none" w:sz="0" w:space="0" w:color="auto"/>
      </w:divBdr>
    </w:div>
    <w:div w:id="1493792119">
      <w:bodyDiv w:val="1"/>
      <w:marLeft w:val="0"/>
      <w:marRight w:val="0"/>
      <w:marTop w:val="0"/>
      <w:marBottom w:val="0"/>
      <w:divBdr>
        <w:top w:val="none" w:sz="0" w:space="0" w:color="auto"/>
        <w:left w:val="none" w:sz="0" w:space="0" w:color="auto"/>
        <w:bottom w:val="none" w:sz="0" w:space="0" w:color="auto"/>
        <w:right w:val="none" w:sz="0" w:space="0" w:color="auto"/>
      </w:divBdr>
    </w:div>
    <w:div w:id="1585844760">
      <w:bodyDiv w:val="1"/>
      <w:marLeft w:val="0"/>
      <w:marRight w:val="0"/>
      <w:marTop w:val="0"/>
      <w:marBottom w:val="0"/>
      <w:divBdr>
        <w:top w:val="none" w:sz="0" w:space="0" w:color="auto"/>
        <w:left w:val="none" w:sz="0" w:space="0" w:color="auto"/>
        <w:bottom w:val="none" w:sz="0" w:space="0" w:color="auto"/>
        <w:right w:val="none" w:sz="0" w:space="0" w:color="auto"/>
      </w:divBdr>
    </w:div>
    <w:div w:id="1802575582">
      <w:bodyDiv w:val="1"/>
      <w:marLeft w:val="0"/>
      <w:marRight w:val="0"/>
      <w:marTop w:val="0"/>
      <w:marBottom w:val="0"/>
      <w:divBdr>
        <w:top w:val="none" w:sz="0" w:space="0" w:color="auto"/>
        <w:left w:val="none" w:sz="0" w:space="0" w:color="auto"/>
        <w:bottom w:val="none" w:sz="0" w:space="0" w:color="auto"/>
        <w:right w:val="none" w:sz="0" w:space="0" w:color="auto"/>
      </w:divBdr>
    </w:div>
    <w:div w:id="18105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Milevska@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7E4B-BC06-4E45-BE10-10780742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11981</Words>
  <Characters>6830</Characters>
  <Application>Microsoft Office Word</Application>
  <DocSecurity>4</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normatīvajos aktos noteiktās valsts nodevas par īpašuma tiesību nostiprināšanu zemesgrāmatā diferenciācijas ietekmi uz savlaicīgu īpašuma tiesību nostiprināšanu zemesgrāmatā</vt:lpstr>
      <vt:lpstr/>
    </vt:vector>
  </TitlesOfParts>
  <Company>Tieslietu ministrija</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normatīvajos aktos noteiktās valsts nodevas par īpašuma tiesību nostiprināšanu zemesgrāmatā diferenciācijas ietekmi uz savlaicīgu īpašuma tiesību nostiprināšanu zemesgrāmatā</dc:title>
  <dc:subject>Informatīvais ziņojums ar turpmāko rīcību</dc:subject>
  <dc:creator>Kristine Miļevska</dc:creator>
  <dc:description>67036813, Kristine.Milevska@tm.gov.lv</dc:description>
  <cp:lastModifiedBy>Kristine Milevska</cp:lastModifiedBy>
  <cp:revision>2</cp:revision>
  <cp:lastPrinted>2015-11-24T07:07:00Z</cp:lastPrinted>
  <dcterms:created xsi:type="dcterms:W3CDTF">2015-12-17T10:46:00Z</dcterms:created>
  <dcterms:modified xsi:type="dcterms:W3CDTF">2015-12-17T10:46:00Z</dcterms:modified>
</cp:coreProperties>
</file>