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47" w:rsidRPr="00C86496" w:rsidRDefault="0067267D" w:rsidP="00AA7647">
      <w:pPr>
        <w:pStyle w:val="naisc"/>
        <w:spacing w:before="0" w:beforeAutospacing="0" w:after="0" w:afterAutospacing="0"/>
        <w:jc w:val="center"/>
        <w:rPr>
          <w:b/>
          <w:bCs/>
        </w:rPr>
      </w:pPr>
      <w:r w:rsidRPr="00C86496">
        <w:rPr>
          <w:b/>
          <w:bCs/>
        </w:rPr>
        <w:t>Ministru kabineta noteikumu projekta</w:t>
      </w:r>
    </w:p>
    <w:p w:rsidR="00833870" w:rsidRPr="00C86496" w:rsidRDefault="0063645F" w:rsidP="00CF4AC4">
      <w:pPr>
        <w:shd w:val="clear" w:color="auto" w:fill="FFFFFF"/>
        <w:spacing w:before="120" w:after="0" w:line="240" w:lineRule="auto"/>
        <w:jc w:val="center"/>
        <w:rPr>
          <w:b/>
        </w:rPr>
      </w:pPr>
      <w:r>
        <w:rPr>
          <w:b/>
        </w:rPr>
        <w:t>„</w:t>
      </w:r>
      <w:r w:rsidRPr="00CF4AC4">
        <w:rPr>
          <w:b/>
        </w:rPr>
        <w:t>Emisijas kvotu izsolīšanas instrumenta finansēto projektu atklāta konkursa „</w:t>
      </w:r>
      <w:r w:rsidR="00CF4AC4" w:rsidRPr="00CF4AC4">
        <w:rPr>
          <w:b/>
        </w:rPr>
        <w:t>Siltumnīcefekta gāzu emisiju samazināšana - zema enerģijas patēriņa ēkas</w:t>
      </w:r>
      <w:r w:rsidRPr="00CF4AC4">
        <w:rPr>
          <w:b/>
        </w:rPr>
        <w:t>”</w:t>
      </w:r>
      <w:r w:rsidR="00717641">
        <w:rPr>
          <w:b/>
        </w:rPr>
        <w:t xml:space="preserve"> nolikums”</w:t>
      </w:r>
      <w:r w:rsidRPr="00CF4AC4">
        <w:rPr>
          <w:b/>
        </w:rPr>
        <w:t xml:space="preserve"> </w:t>
      </w:r>
      <w:r w:rsidR="005F03A4" w:rsidRPr="00CF4AC4">
        <w:rPr>
          <w:b/>
          <w:bCs/>
        </w:rPr>
        <w:t>sākotnējās</w:t>
      </w:r>
      <w:r w:rsidR="005F03A4" w:rsidRPr="00C86496">
        <w:rPr>
          <w:b/>
          <w:bCs/>
        </w:rPr>
        <w:t xml:space="preserve"> ietekmes novērtējuma ziņojums</w:t>
      </w:r>
      <w:r w:rsidR="005F03A4" w:rsidRPr="00C86496">
        <w:rPr>
          <w:b/>
        </w:rPr>
        <w:t xml:space="preserve"> (</w:t>
      </w:r>
      <w:r w:rsidR="0067267D" w:rsidRPr="00C86496">
        <w:rPr>
          <w:b/>
        </w:rPr>
        <w:t>anotācija</w:t>
      </w:r>
      <w:r w:rsidR="005F03A4" w:rsidRPr="00C86496">
        <w:rPr>
          <w:b/>
        </w:rPr>
        <w:t>)</w:t>
      </w:r>
    </w:p>
    <w:p w:rsidR="00083FAE" w:rsidRPr="00A36E52" w:rsidRDefault="00083FAE" w:rsidP="00CF4AC4">
      <w:pPr>
        <w:spacing w:before="120" w:after="0" w:line="240" w:lineRule="auto"/>
        <w:jc w:val="center"/>
        <w:rPr>
          <w:b/>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756"/>
      </w:tblGrid>
      <w:tr w:rsidR="0067267D" w:rsidTr="004C1936">
        <w:tc>
          <w:tcPr>
            <w:tcW w:w="9455" w:type="dxa"/>
            <w:gridSpan w:val="3"/>
            <w:vAlign w:val="center"/>
          </w:tcPr>
          <w:p w:rsidR="0067267D" w:rsidRDefault="0067267D">
            <w:pPr>
              <w:pStyle w:val="naisnod"/>
              <w:spacing w:before="0" w:after="0"/>
            </w:pPr>
            <w:r>
              <w:t>I. Tiesību akta projekta izstrādes nepieciešamība</w:t>
            </w:r>
          </w:p>
        </w:tc>
      </w:tr>
      <w:tr w:rsidR="0067267D" w:rsidTr="00464AFB">
        <w:trPr>
          <w:trHeight w:val="630"/>
        </w:trPr>
        <w:tc>
          <w:tcPr>
            <w:tcW w:w="550" w:type="dxa"/>
          </w:tcPr>
          <w:p w:rsidR="0067267D" w:rsidRDefault="0067267D">
            <w:pPr>
              <w:pStyle w:val="naiskr"/>
              <w:spacing w:before="0" w:after="0"/>
            </w:pPr>
            <w:r>
              <w:t>1.</w:t>
            </w:r>
          </w:p>
        </w:tc>
        <w:tc>
          <w:tcPr>
            <w:tcW w:w="2149" w:type="dxa"/>
          </w:tcPr>
          <w:p w:rsidR="0067267D" w:rsidRDefault="0067267D" w:rsidP="00464AFB">
            <w:pPr>
              <w:pStyle w:val="naiskr"/>
              <w:spacing w:before="0" w:after="0"/>
              <w:ind w:right="142" w:hanging="10"/>
            </w:pPr>
            <w:r>
              <w:t>Pamatojums</w:t>
            </w:r>
          </w:p>
        </w:tc>
        <w:tc>
          <w:tcPr>
            <w:tcW w:w="6756" w:type="dxa"/>
          </w:tcPr>
          <w:p w:rsidR="00377CDB" w:rsidRDefault="00A10777" w:rsidP="00464AFB">
            <w:pPr>
              <w:pStyle w:val="naiskr"/>
              <w:ind w:left="141" w:right="236"/>
            </w:pPr>
            <w:r>
              <w:rPr>
                <w:bCs/>
              </w:rPr>
              <w:t xml:space="preserve">  </w:t>
            </w:r>
            <w:r w:rsidR="00377CDB" w:rsidRPr="008905F0">
              <w:rPr>
                <w:bCs/>
              </w:rPr>
              <w:t>Ministru kabineta noteikumu projekts</w:t>
            </w:r>
            <w:r w:rsidR="00377CDB">
              <w:rPr>
                <w:bCs/>
              </w:rPr>
              <w:t xml:space="preserve"> „</w:t>
            </w:r>
            <w:r w:rsidR="00377CDB" w:rsidRPr="00377CDB">
              <w:rPr>
                <w:bCs/>
              </w:rPr>
              <w:t xml:space="preserve">Emisijas kvotu izsolīšanas instrumenta finansēto projektu atklāta </w:t>
            </w:r>
            <w:r w:rsidR="00377CDB" w:rsidRPr="00CF4AC4">
              <w:rPr>
                <w:bCs/>
              </w:rPr>
              <w:t>konkursa „</w:t>
            </w:r>
            <w:r w:rsidR="00CF4AC4" w:rsidRPr="00CF4AC4">
              <w:t>Siltumnīcefekta gāzu emisiju samazināšana - zema enerģijas patēriņa ēkas</w:t>
            </w:r>
            <w:r w:rsidR="00377CDB" w:rsidRPr="00CF4AC4">
              <w:rPr>
                <w:bCs/>
              </w:rPr>
              <w:t>”</w:t>
            </w:r>
            <w:r w:rsidR="00CF4AC4" w:rsidRPr="00CF4AC4">
              <w:rPr>
                <w:bCs/>
              </w:rPr>
              <w:t xml:space="preserve"> nolikums”</w:t>
            </w:r>
            <w:r w:rsidR="00377CDB" w:rsidRPr="00CF4AC4">
              <w:rPr>
                <w:bCs/>
              </w:rPr>
              <w:t xml:space="preserve"> </w:t>
            </w:r>
            <w:r w:rsidR="00377CDB" w:rsidRPr="00CF4AC4">
              <w:t>sagatavots pamatojoties uz likuma</w:t>
            </w:r>
            <w:r w:rsidR="00377CDB">
              <w:t xml:space="preserve"> „Par piesārņojumu” 32.</w:t>
            </w:r>
            <w:r w:rsidR="00377CDB" w:rsidRPr="00377CDB">
              <w:rPr>
                <w:vertAlign w:val="superscript"/>
              </w:rPr>
              <w:t>2</w:t>
            </w:r>
            <w:r w:rsidR="00377CDB">
              <w:t xml:space="preserve"> panta 4.</w:t>
            </w:r>
            <w:r w:rsidR="00377CDB" w:rsidRPr="00377CDB">
              <w:rPr>
                <w:vertAlign w:val="superscript"/>
              </w:rPr>
              <w:t>6</w:t>
            </w:r>
            <w:r w:rsidR="00377CDB">
              <w:t xml:space="preserve"> daļu. </w:t>
            </w:r>
          </w:p>
          <w:p w:rsidR="0067267D" w:rsidRDefault="00A10777" w:rsidP="00464AFB">
            <w:pPr>
              <w:pStyle w:val="naiskr"/>
              <w:ind w:left="141" w:right="236"/>
            </w:pPr>
            <w:r>
              <w:t xml:space="preserve">  </w:t>
            </w:r>
            <w:r w:rsidR="00377CDB">
              <w:t>Likuma 32.</w:t>
            </w:r>
            <w:r w:rsidR="00377CDB" w:rsidRPr="00377CDB">
              <w:rPr>
                <w:vertAlign w:val="superscript"/>
              </w:rPr>
              <w:t>2</w:t>
            </w:r>
            <w:r w:rsidR="00377CDB">
              <w:t xml:space="preserve"> pants, 4</w:t>
            </w:r>
            <w:r w:rsidR="00377CDB" w:rsidRPr="00377CDB">
              <w:rPr>
                <w:vertAlign w:val="superscript"/>
              </w:rPr>
              <w:t>6</w:t>
            </w:r>
            <w:r w:rsidR="00377CDB">
              <w:t xml:space="preserve"> daļa nosaka, ka izsoļu ieņēmumu izmantošanu nodrošina, organizējot atklātos projektu iesniegumu konkursus. Atklāto projektu iesniegumu konkursu nolikumos nosaka projektu iesniegumu vērtēšanas kritērijus, projektu iesniegumu iesniegšanas, izskatīšanas, apstiprināšanas un finansējuma piešķiršanas kārtību, kā arī projektu īstenošanas, pārskatu iesniegšanas un pārbaudes kārtību.</w:t>
            </w:r>
          </w:p>
        </w:tc>
      </w:tr>
      <w:tr w:rsidR="0067267D" w:rsidTr="00464AFB">
        <w:trPr>
          <w:trHeight w:val="472"/>
        </w:trPr>
        <w:tc>
          <w:tcPr>
            <w:tcW w:w="550" w:type="dxa"/>
          </w:tcPr>
          <w:p w:rsidR="0067267D" w:rsidRDefault="0067267D">
            <w:pPr>
              <w:pStyle w:val="naiskr"/>
              <w:spacing w:before="0" w:after="0"/>
            </w:pPr>
            <w:r>
              <w:t>2.</w:t>
            </w:r>
          </w:p>
        </w:tc>
        <w:tc>
          <w:tcPr>
            <w:tcW w:w="2149" w:type="dxa"/>
          </w:tcPr>
          <w:p w:rsidR="0067267D" w:rsidRDefault="00133143" w:rsidP="00464AFB">
            <w:pPr>
              <w:pStyle w:val="naiskr"/>
              <w:tabs>
                <w:tab w:val="left" w:pos="170"/>
              </w:tabs>
              <w:spacing w:before="0" w:after="0"/>
              <w:ind w:right="142"/>
            </w:pPr>
            <w:r>
              <w:t>Pašreizējā situācija un problēmas, kuru risināšanai tiesību akta projekts izstrādāts, tiesiskā regulējuma mērķis un būtība</w:t>
            </w:r>
          </w:p>
        </w:tc>
        <w:tc>
          <w:tcPr>
            <w:tcW w:w="6756" w:type="dxa"/>
          </w:tcPr>
          <w:p w:rsidR="00CF4AC4" w:rsidRPr="00BD64AB" w:rsidRDefault="00234F66" w:rsidP="00CF4AC4">
            <w:pPr>
              <w:spacing w:before="0" w:after="0" w:line="240" w:lineRule="auto"/>
              <w:ind w:left="141" w:right="236"/>
              <w:outlineLvl w:val="0"/>
            </w:pPr>
            <w:bookmarkStart w:id="0" w:name="n1"/>
            <w:bookmarkStart w:id="1" w:name="p1"/>
            <w:bookmarkStart w:id="2" w:name="p-402003"/>
            <w:bookmarkStart w:id="3" w:name="n2"/>
            <w:bookmarkStart w:id="4" w:name="p2"/>
            <w:bookmarkStart w:id="5" w:name="p-246948"/>
            <w:bookmarkStart w:id="6" w:name="p3"/>
            <w:bookmarkStart w:id="7" w:name="p-246949"/>
            <w:bookmarkStart w:id="8" w:name="p4"/>
            <w:bookmarkStart w:id="9" w:name="p-246950"/>
            <w:bookmarkStart w:id="10" w:name="p5"/>
            <w:bookmarkStart w:id="11" w:name="p-246951"/>
            <w:bookmarkStart w:id="12" w:name="p-246952"/>
            <w:bookmarkStart w:id="13" w:name="p7"/>
            <w:bookmarkStart w:id="14" w:name="p-246953"/>
            <w:bookmarkStart w:id="15" w:name="p8"/>
            <w:bookmarkStart w:id="16" w:name="p-246954"/>
            <w:bookmarkStart w:id="17" w:name="p9"/>
            <w:bookmarkStart w:id="18" w:name="p-246955"/>
            <w:bookmarkStart w:id="19" w:name="p10"/>
            <w:bookmarkStart w:id="20" w:name="p-246956"/>
            <w:bookmarkStart w:id="21" w:name="p11"/>
            <w:bookmarkStart w:id="22" w:name="p-246957"/>
            <w:bookmarkStart w:id="23" w:name="p12"/>
            <w:bookmarkStart w:id="24" w:name="p-246958"/>
            <w:bookmarkStart w:id="25" w:name="p13"/>
            <w:bookmarkStart w:id="26" w:name="p-246959"/>
            <w:bookmarkStart w:id="27" w:name="p14"/>
            <w:bookmarkStart w:id="28" w:name="p-246960"/>
            <w:bookmarkStart w:id="29" w:name="p15"/>
            <w:bookmarkStart w:id="30" w:name="p-246961"/>
            <w:bookmarkStart w:id="31" w:name="p16"/>
            <w:bookmarkStart w:id="32" w:name="p-246962"/>
            <w:bookmarkStart w:id="33" w:name="p17"/>
            <w:bookmarkStart w:id="34" w:name="p-246963"/>
            <w:bookmarkStart w:id="35" w:name="p18"/>
            <w:bookmarkStart w:id="36" w:name="p-246964"/>
            <w:bookmarkStart w:id="37" w:name="p19"/>
            <w:bookmarkStart w:id="38" w:name="p-246965"/>
            <w:bookmarkStart w:id="39" w:name="p20"/>
            <w:bookmarkStart w:id="40" w:name="p-2469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  </w:t>
            </w:r>
            <w:r w:rsidR="00CF4AC4" w:rsidRPr="00BD64AB">
              <w:t xml:space="preserve">Lai nodrošinātu klimata mērķu sasniegšanu 2020. gadam un 2030. gadam, ir nepieciešams īstenot aktivitātes saistībā ar SEG emisiju samazināšanu, piemēram, energoefektivitātes pasākumu īstenošana, atjaunojamo energoresursu </w:t>
            </w:r>
            <w:r w:rsidR="00492D45">
              <w:t>iekārtu</w:t>
            </w:r>
            <w:r w:rsidR="00CF4AC4" w:rsidRPr="00BD64AB">
              <w:t xml:space="preserve"> uzstādīšana.</w:t>
            </w:r>
          </w:p>
          <w:p w:rsidR="00CF4AC4" w:rsidRPr="00BD64AB" w:rsidRDefault="00234F66" w:rsidP="00CF4AC4">
            <w:pPr>
              <w:spacing w:before="0" w:after="0" w:line="240" w:lineRule="auto"/>
              <w:ind w:left="141" w:right="236"/>
              <w:outlineLvl w:val="0"/>
            </w:pPr>
            <w:r>
              <w:t xml:space="preserve">  </w:t>
            </w:r>
            <w:r w:rsidR="00CF4AC4" w:rsidRPr="00BD64AB">
              <w:t xml:space="preserve">Noteikumu projekts nosaka Emisijas kvotu izsoļu instrumenta finansēto projektu atklātā konkursa iesniegumu konkursa </w:t>
            </w:r>
            <w:r w:rsidR="00CF4AC4" w:rsidRPr="00BD64AB">
              <w:rPr>
                <w:bCs/>
              </w:rPr>
              <w:t>„</w:t>
            </w:r>
            <w:r w:rsidR="00782533" w:rsidRPr="00CF4AC4">
              <w:t>Siltumnīcefekta gāzu emisiju samazināšana - zema enerģijas patēriņa ēkas</w:t>
            </w:r>
            <w:r w:rsidR="00CF4AC4" w:rsidRPr="00BD64AB">
              <w:rPr>
                <w:bCs/>
              </w:rPr>
              <w:t xml:space="preserve">” nolikumu, tai skaitā </w:t>
            </w:r>
            <w:r w:rsidR="00CF4AC4" w:rsidRPr="00BD64AB">
              <w:t>projektu iesniegumu vērtēšanas kritērijus, projektu iesniegumu iesniegšanas, izskatīšanas, apstiprināšanas un finansējuma piešķiršanas kārtību, kā arī projektu īstenošanas, pārskatu iesniegšanas un pārbaudes kārtību.</w:t>
            </w:r>
          </w:p>
          <w:p w:rsidR="00CF4AC4" w:rsidRPr="00234F66" w:rsidRDefault="00234F66" w:rsidP="00CF4AC4">
            <w:pPr>
              <w:spacing w:before="0" w:after="0" w:line="240" w:lineRule="auto"/>
              <w:ind w:left="141" w:right="236"/>
              <w:outlineLvl w:val="0"/>
            </w:pPr>
            <w:r>
              <w:t xml:space="preserve">  </w:t>
            </w:r>
            <w:r w:rsidR="00CF4AC4" w:rsidRPr="00BD64AB">
              <w:t xml:space="preserve">Konkursa mērķis </w:t>
            </w:r>
            <w:r w:rsidRPr="00234F66">
              <w:t>ir oglekļa dioksīda (turpmāk – CO</w:t>
            </w:r>
            <w:r w:rsidRPr="00234F66">
              <w:rPr>
                <w:vertAlign w:val="subscript"/>
              </w:rPr>
              <w:t>2</w:t>
            </w:r>
            <w:r w:rsidRPr="00234F66">
              <w:t>) emisiju samazināšana, veicot zema enerģijas patēriņa jaunu ēku būvni</w:t>
            </w:r>
            <w:r w:rsidR="00492D45">
              <w:t>ecību, kā arī esošu ēku pārbūvi vai</w:t>
            </w:r>
            <w:r w:rsidRPr="00234F66">
              <w:t xml:space="preserve"> atjaunošanu par zema enerģijas patēriņa ēkām</w:t>
            </w:r>
            <w:r w:rsidR="00CF4AC4" w:rsidRPr="00234F66">
              <w:t>.</w:t>
            </w:r>
            <w:r w:rsidR="00CF4AC4" w:rsidRPr="00BD64AB">
              <w:t xml:space="preserve"> </w:t>
            </w:r>
            <w:r w:rsidR="00CF4AC4" w:rsidRPr="00234F66">
              <w:t>Konkurss kā viena no īstenotajām aktivitātēm tiks iekļauta dokumentā par alternatīvo energoefektivitātes pasākumu plānu Latvijai obligātā enerģijas ietaupījumu mērķa sasniegšanā.</w:t>
            </w:r>
          </w:p>
          <w:p w:rsidR="007F426A" w:rsidRPr="00265A10" w:rsidRDefault="00234F66" w:rsidP="00265A10">
            <w:pPr>
              <w:tabs>
                <w:tab w:val="num" w:pos="720"/>
              </w:tabs>
              <w:spacing w:before="0" w:after="0" w:line="240" w:lineRule="auto"/>
              <w:ind w:left="132" w:right="140"/>
            </w:pPr>
            <w:r w:rsidRPr="00265A10">
              <w:t xml:space="preserve">  </w:t>
            </w:r>
            <w:r w:rsidR="007F426A" w:rsidRPr="00265A10">
              <w:t xml:space="preserve">Konkursā noteikts ierobežots projekta iesniedzēju loks un ēku klasifikācija, jo projekta konkursa mērķis nav </w:t>
            </w:r>
            <w:r w:rsidR="009074FA">
              <w:t xml:space="preserve">uzbūvēt vai </w:t>
            </w:r>
            <w:r w:rsidR="007F426A" w:rsidRPr="00265A10">
              <w:t>nosiltināt iespējami lielu skaitu ēku, bet gan atbalstīt paraugprojektus</w:t>
            </w:r>
            <w:r w:rsidR="003F2231">
              <w:t xml:space="preserve"> (energoefektivitātes pasākumu īstenošana ēkās, nosakot specifiskus nosacījumus, kā rezultātā arī citās līdzīgās ēkās varēs izmantot gūto pieredzi)</w:t>
            </w:r>
            <w:r w:rsidR="007F426A" w:rsidRPr="00265A10">
              <w:t xml:space="preserve">, tādā veidā, lai šiem projektiem būtu </w:t>
            </w:r>
            <w:proofErr w:type="spellStart"/>
            <w:r w:rsidR="007F426A" w:rsidRPr="00265A10">
              <w:t>multiplikatīvs</w:t>
            </w:r>
            <w:proofErr w:type="spellEnd"/>
            <w:r w:rsidR="007F426A" w:rsidRPr="00265A10">
              <w:t xml:space="preserve"> pozitīvs efekts uz tautsaimniecību, tai skaitā, lai pateicoties labākiem paraugiem attīstītos zema enerģijas patēriņa ēku būvniecība arī bez valsts atbalsta.</w:t>
            </w:r>
            <w:r w:rsidR="009074FA">
              <w:t xml:space="preserve"> Papildus tam ir ņemts vērā līdz šim sniegtais atbalsts zema enerģijas</w:t>
            </w:r>
            <w:r w:rsidR="00C961A7">
              <w:t xml:space="preserve"> patēriņa</w:t>
            </w:r>
            <w:r w:rsidR="009074FA">
              <w:t xml:space="preserve"> ēku būvniecībai citu finanšu instrumentu ietvaros.</w:t>
            </w:r>
            <w:r w:rsidR="004949A2">
              <w:t xml:space="preserve"> Papildus vērtēšanas kritēriji, lai </w:t>
            </w:r>
            <w:r w:rsidR="004949A2">
              <w:lastRenderedPageBreak/>
              <w:t>noteiktu ēkas klasificēšanos paraugprojekta veidam netiks noteikti.</w:t>
            </w:r>
          </w:p>
          <w:p w:rsidR="00CF4AC4" w:rsidRPr="008F09C0" w:rsidRDefault="00234F66" w:rsidP="00C961A7">
            <w:pPr>
              <w:spacing w:before="0" w:after="0" w:line="240" w:lineRule="auto"/>
              <w:ind w:left="141" w:right="236"/>
              <w:outlineLvl w:val="0"/>
            </w:pPr>
            <w:r w:rsidRPr="00265A10">
              <w:t xml:space="preserve">  </w:t>
            </w:r>
            <w:r w:rsidR="00CF4AC4" w:rsidRPr="00265A10">
              <w:t xml:space="preserve">Projekta iesniedzējs ievēro būtiskās būvei izvirzāmās prasības, tai skaitā par ilgtspējīgu dabas resursu izmantošanu, kā arī zaļā publiskā iepirkuma un ilgtspējīgas būvniecības principus. Projekta iesniedzējs ir atbildīgs par atbilstoša projektēšanas uzdevuma izstrādi, par </w:t>
            </w:r>
            <w:proofErr w:type="spellStart"/>
            <w:r w:rsidR="00CF4AC4" w:rsidRPr="00265A10">
              <w:t>būvprojektētāja</w:t>
            </w:r>
            <w:proofErr w:type="spellEnd"/>
            <w:r w:rsidR="00CF4AC4" w:rsidRPr="00265A10">
              <w:t xml:space="preserve">, būvdarbu veicēja un ekspertu izvēli. </w:t>
            </w:r>
            <w:r w:rsidR="00CF4AC4" w:rsidRPr="008F09C0">
              <w:t>Šo prasību kontrole tiks veikta projektu vērtēšanas un īstenošanas laikā.</w:t>
            </w:r>
          </w:p>
          <w:p w:rsidR="008952F4" w:rsidRPr="008F09C0" w:rsidRDefault="00F62220" w:rsidP="00C961A7">
            <w:pPr>
              <w:spacing w:before="0" w:after="0" w:line="240" w:lineRule="auto"/>
              <w:ind w:left="131" w:right="236"/>
              <w:rPr>
                <w:color w:val="000000" w:themeColor="text1"/>
              </w:rPr>
            </w:pPr>
            <w:r w:rsidRPr="008F09C0">
              <w:rPr>
                <w:color w:val="000000" w:themeColor="text1"/>
              </w:rPr>
              <w:t xml:space="preserve"> </w:t>
            </w:r>
            <w:r w:rsidR="008952F4" w:rsidRPr="008F09C0">
              <w:rPr>
                <w:color w:val="000000" w:themeColor="text1"/>
              </w:rPr>
              <w:t xml:space="preserve"> Ņemot vērā, ka Eiropas Savienības struktūrfondu un Kohēzijas fonda 2014.–2020.gada plānošanas perioda ietvaros īstenojamo 4.2.1.specifiskā atbalsta mērķa “Veicināt energoefektivitātes paaugstināšanu valsts un dzīvojamās ēkās” 4.2.1.2.pasākumu “Veicināt energoefektivitātes paaugstināšanu valsts ēkās”, 4.2.2.specifisko atbalsta mērķi “Atbilstoši pašvaldības integrētajām attīstības programmām sekmēt energoefektivitātes paaugstināšanu un AER izmantošanu pašvaldību ēkās” un 5.5.1.specifisko atbalsta mērķi “Saglabāt, aizsargāt un attīstīt nozīmīgu kultūras un dabas mantojumu, kā arī attīstīt ar to saistītos pakalpojumus” ietvaros uz finansējuma saņemšanu varēs pretendēt pašvaldības ir nepieciešams nodrošināt demarkāciju. Galvenie nosacījumi, kas nodrošinās demarkāciju ir:</w:t>
            </w:r>
          </w:p>
          <w:p w:rsidR="008952F4" w:rsidRPr="008F09C0" w:rsidRDefault="00387A7C" w:rsidP="00C961A7">
            <w:pPr>
              <w:pStyle w:val="ListParagraph"/>
              <w:numPr>
                <w:ilvl w:val="0"/>
                <w:numId w:val="14"/>
              </w:numPr>
              <w:spacing w:before="0" w:after="0" w:line="240" w:lineRule="auto"/>
              <w:ind w:left="415" w:right="236" w:hanging="142"/>
              <w:rPr>
                <w:color w:val="000000" w:themeColor="text1"/>
                <w:lang w:eastAsia="en-US"/>
              </w:rPr>
            </w:pPr>
            <w:r w:rsidRPr="008F09C0">
              <w:rPr>
                <w:color w:val="000000" w:themeColor="text1"/>
                <w:lang w:eastAsia="en-US"/>
              </w:rPr>
              <w:t>p</w:t>
            </w:r>
            <w:r w:rsidR="008952F4" w:rsidRPr="008F09C0">
              <w:rPr>
                <w:color w:val="000000" w:themeColor="text1"/>
                <w:lang w:eastAsia="en-US"/>
              </w:rPr>
              <w:t xml:space="preserve">rojektu iesniegumu iesniegšanas termiņš. Šī konkursa ietvaros plānots, ka projektu konkurss tiks izsludināts 2016.g. sākumā. VARAM rīcībā nav informācija, par to, ka kādā no iepriekšminētajiem specifiskā atbalsta mērķiem (SAM) varētu tikt uzsākta projektu iesniegšana </w:t>
            </w:r>
            <w:r w:rsidR="008F09C0">
              <w:rPr>
                <w:color w:val="000000" w:themeColor="text1"/>
                <w:lang w:eastAsia="en-US"/>
              </w:rPr>
              <w:t>ātrāk</w:t>
            </w:r>
            <w:r w:rsidR="008952F4" w:rsidRPr="008F09C0">
              <w:rPr>
                <w:color w:val="000000" w:themeColor="text1"/>
                <w:lang w:eastAsia="en-US"/>
              </w:rPr>
              <w:t>;</w:t>
            </w:r>
          </w:p>
          <w:p w:rsidR="008952F4" w:rsidRPr="008F09C0" w:rsidRDefault="00387A7C" w:rsidP="00C961A7">
            <w:pPr>
              <w:pStyle w:val="ListParagraph"/>
              <w:numPr>
                <w:ilvl w:val="0"/>
                <w:numId w:val="14"/>
              </w:numPr>
              <w:spacing w:before="0" w:after="0" w:line="240" w:lineRule="auto"/>
              <w:ind w:left="415" w:right="236" w:hanging="142"/>
              <w:rPr>
                <w:color w:val="000000" w:themeColor="text1"/>
                <w:lang w:eastAsia="en-US"/>
              </w:rPr>
            </w:pPr>
            <w:r w:rsidRPr="008F09C0">
              <w:rPr>
                <w:color w:val="000000" w:themeColor="text1"/>
                <w:lang w:eastAsia="en-US"/>
              </w:rPr>
              <w:t>b</w:t>
            </w:r>
            <w:r w:rsidR="008952F4" w:rsidRPr="008F09C0">
              <w:rPr>
                <w:color w:val="000000" w:themeColor="text1"/>
                <w:lang w:eastAsia="en-US"/>
              </w:rPr>
              <w:t>ūvju klasifi</w:t>
            </w:r>
            <w:r w:rsidRPr="008F09C0">
              <w:rPr>
                <w:color w:val="000000" w:themeColor="text1"/>
                <w:lang w:eastAsia="en-US"/>
              </w:rPr>
              <w:t>kācijas kodi – 1261 un 1263, 126</w:t>
            </w:r>
            <w:r w:rsidR="008F09C0">
              <w:rPr>
                <w:color w:val="000000" w:themeColor="text1"/>
                <w:lang w:eastAsia="en-US"/>
              </w:rPr>
              <w:t>2</w:t>
            </w:r>
            <w:r w:rsidR="008952F4" w:rsidRPr="008F09C0">
              <w:rPr>
                <w:color w:val="000000" w:themeColor="text1"/>
                <w:lang w:eastAsia="en-US"/>
              </w:rPr>
              <w:t>;</w:t>
            </w:r>
          </w:p>
          <w:p w:rsidR="008952F4" w:rsidRPr="008F09C0" w:rsidRDefault="00387A7C" w:rsidP="00C961A7">
            <w:pPr>
              <w:pStyle w:val="ListParagraph"/>
              <w:numPr>
                <w:ilvl w:val="0"/>
                <w:numId w:val="14"/>
              </w:numPr>
              <w:spacing w:before="0" w:after="0" w:line="240" w:lineRule="auto"/>
              <w:ind w:left="415" w:right="236" w:hanging="142"/>
            </w:pPr>
            <w:r w:rsidRPr="008F09C0">
              <w:rPr>
                <w:color w:val="000000" w:themeColor="text1"/>
                <w:lang w:eastAsia="en-US"/>
              </w:rPr>
              <w:t xml:space="preserve">augsts sasniedzamais rādītājs attiecībā uz </w:t>
            </w:r>
            <w:r w:rsidRPr="008F09C0">
              <w:rPr>
                <w:color w:val="000000"/>
              </w:rPr>
              <w:t>enerģijas patēriņu apkurei uz ēkas aprēķina platību.</w:t>
            </w:r>
          </w:p>
          <w:p w:rsidR="008952F4" w:rsidRPr="008F09C0" w:rsidRDefault="008952F4" w:rsidP="00C961A7">
            <w:pPr>
              <w:spacing w:before="0" w:after="0" w:line="240" w:lineRule="auto"/>
              <w:ind w:left="131" w:right="236"/>
              <w:rPr>
                <w:lang w:eastAsia="en-US"/>
              </w:rPr>
            </w:pPr>
            <w:r w:rsidRPr="008F09C0">
              <w:rPr>
                <w:lang w:eastAsia="en-US"/>
              </w:rPr>
              <w:t xml:space="preserve">  Lai veicinātu energoefektivitātes pasākumu īstenošanu dažādās ēkās, paaugstinātu sabiedrības informētību un veicinātu </w:t>
            </w:r>
            <w:proofErr w:type="spellStart"/>
            <w:r w:rsidRPr="008F09C0">
              <w:rPr>
                <w:lang w:eastAsia="en-US"/>
              </w:rPr>
              <w:t>multiplikatīvo</w:t>
            </w:r>
            <w:proofErr w:type="spellEnd"/>
            <w:r w:rsidRPr="008F09C0">
              <w:rPr>
                <w:lang w:eastAsia="en-US"/>
              </w:rPr>
              <w:t xml:space="preserve"> efektu VARAM ieskatā MK noteikumu projektā ir nepieciešams atsevišķi izdalīt piešķirojamo finansējuma apjomu.</w:t>
            </w:r>
          </w:p>
          <w:p w:rsidR="00BD0796" w:rsidRPr="008F09C0" w:rsidRDefault="00392CA7" w:rsidP="002D75FE">
            <w:pPr>
              <w:spacing w:before="0" w:after="0" w:line="240" w:lineRule="auto"/>
              <w:ind w:left="141" w:right="246"/>
              <w:rPr>
                <w:color w:val="000000" w:themeColor="text1"/>
              </w:rPr>
            </w:pPr>
            <w:r w:rsidRPr="008F09C0">
              <w:t xml:space="preserve">  </w:t>
            </w:r>
            <w:r w:rsidR="002D75FE" w:rsidRPr="008F09C0">
              <w:t xml:space="preserve">Klimata pārmaiņu finanšu instrumenta ietvaros ir īstenots projektu konkurss “Zema enerģijas patēriņa ēkas”. Konkursa ietvaros </w:t>
            </w:r>
            <w:r w:rsidR="001B3098" w:rsidRPr="008F09C0">
              <w:t>k</w:t>
            </w:r>
            <w:r w:rsidR="002D75FE" w:rsidRPr="008F09C0">
              <w:rPr>
                <w:bCs/>
                <w:color w:val="000000" w:themeColor="text1"/>
              </w:rPr>
              <w:t xml:space="preserve">opumā līgumi par projektu īstenošanu tika parakstīti ar 28 projektu iesniedzējiem. </w:t>
            </w:r>
            <w:r w:rsidR="002D75FE" w:rsidRPr="008F09C0">
              <w:rPr>
                <w:color w:val="000000" w:themeColor="text1"/>
              </w:rPr>
              <w:t>Projektu aktivitātes ir pabeigtas 1</w:t>
            </w:r>
            <w:r w:rsidR="001B3098" w:rsidRPr="008F09C0">
              <w:rPr>
                <w:color w:val="000000" w:themeColor="text1"/>
              </w:rPr>
              <w:t>4</w:t>
            </w:r>
            <w:r w:rsidR="002D75FE" w:rsidRPr="008F09C0">
              <w:rPr>
                <w:color w:val="000000" w:themeColor="text1"/>
              </w:rPr>
              <w:t xml:space="preserve"> projektos. Konkursa ietvaros projektu īstenošanai izmaksātais finansējuma apjoms ir EUR 4 488 847,308. Projektu ietvaros sasniegtais siltumenerģijas patēriņš apkurei (2014.g.) ir robežās no 7,2 kWh/m</w:t>
            </w:r>
            <w:r w:rsidR="002D75FE" w:rsidRPr="008F09C0">
              <w:rPr>
                <w:color w:val="000000" w:themeColor="text1"/>
                <w:vertAlign w:val="superscript"/>
              </w:rPr>
              <w:t>2</w:t>
            </w:r>
            <w:r w:rsidR="002D75FE" w:rsidRPr="008F09C0">
              <w:rPr>
                <w:color w:val="000000" w:themeColor="text1"/>
              </w:rPr>
              <w:t xml:space="preserve"> (privātmājai) līdz 28,4 kWh/m</w:t>
            </w:r>
            <w:r w:rsidR="002D75FE" w:rsidRPr="008F09C0">
              <w:rPr>
                <w:color w:val="000000" w:themeColor="text1"/>
                <w:vertAlign w:val="superscript"/>
              </w:rPr>
              <w:t>2</w:t>
            </w:r>
            <w:r w:rsidR="002D75FE" w:rsidRPr="008F09C0">
              <w:rPr>
                <w:color w:val="000000" w:themeColor="text1"/>
              </w:rPr>
              <w:t xml:space="preserve"> (pašvaldības </w:t>
            </w:r>
            <w:r w:rsidR="008F09C0">
              <w:rPr>
                <w:color w:val="000000" w:themeColor="text1"/>
              </w:rPr>
              <w:t>administratīvai</w:t>
            </w:r>
            <w:r w:rsidR="001B3098" w:rsidRPr="008F09C0">
              <w:rPr>
                <w:color w:val="000000" w:themeColor="text1"/>
              </w:rPr>
              <w:t xml:space="preserve"> </w:t>
            </w:r>
            <w:r w:rsidR="002D75FE" w:rsidRPr="008F09C0">
              <w:rPr>
                <w:color w:val="000000" w:themeColor="text1"/>
              </w:rPr>
              <w:t>ēk</w:t>
            </w:r>
            <w:r w:rsidR="001B3098" w:rsidRPr="008F09C0">
              <w:rPr>
                <w:color w:val="000000" w:themeColor="text1"/>
              </w:rPr>
              <w:t>a</w:t>
            </w:r>
            <w:r w:rsidR="008F09C0">
              <w:rPr>
                <w:color w:val="000000" w:themeColor="text1"/>
              </w:rPr>
              <w:t>i</w:t>
            </w:r>
            <w:r w:rsidR="002D75FE" w:rsidRPr="008F09C0">
              <w:rPr>
                <w:color w:val="000000" w:themeColor="text1"/>
              </w:rPr>
              <w:t>).</w:t>
            </w:r>
            <w:r w:rsidR="00BD0796" w:rsidRPr="008F09C0">
              <w:rPr>
                <w:color w:val="000000" w:themeColor="text1"/>
              </w:rPr>
              <w:t xml:space="preserve"> Līdz ar to, lai veicinātu turpmāku zema enerģijas patēriņa ēku būvniecību</w:t>
            </w:r>
            <w:r w:rsidR="008F09C0">
              <w:rPr>
                <w:color w:val="000000" w:themeColor="text1"/>
              </w:rPr>
              <w:t>,</w:t>
            </w:r>
            <w:r w:rsidR="00BD0796" w:rsidRPr="008F09C0">
              <w:rPr>
                <w:color w:val="000000" w:themeColor="text1"/>
              </w:rPr>
              <w:t xml:space="preserve"> pārbūvi</w:t>
            </w:r>
            <w:r w:rsidR="008F09C0">
              <w:rPr>
                <w:color w:val="000000" w:themeColor="text1"/>
              </w:rPr>
              <w:t xml:space="preserve"> vai atjaunošanu</w:t>
            </w:r>
            <w:r w:rsidR="00BD0796" w:rsidRPr="008F09C0">
              <w:rPr>
                <w:color w:val="000000" w:themeColor="text1"/>
              </w:rPr>
              <w:t xml:space="preserve">, konkursa nolikumā ir paredzēti konkrētu ēku klasifikāciju veidi, kā arī tiek noteikti ambiciozi </w:t>
            </w:r>
            <w:r w:rsidR="00EE7693" w:rsidRPr="008F09C0">
              <w:rPr>
                <w:color w:val="000000" w:themeColor="text1"/>
              </w:rPr>
              <w:t>sasniedzamie rādītāji siltumenerģijas patēriņam apkurei, kas ir ļoti līdzvērtīgi g</w:t>
            </w:r>
            <w:r w:rsidR="008F09C0">
              <w:rPr>
                <w:color w:val="000000" w:themeColor="text1"/>
              </w:rPr>
              <w:t>andrīz nulles enerģijas patēriņa</w:t>
            </w:r>
            <w:r w:rsidR="00EE7693" w:rsidRPr="008F09C0">
              <w:rPr>
                <w:color w:val="000000" w:themeColor="text1"/>
              </w:rPr>
              <w:t xml:space="preserve"> ēku prasībām.</w:t>
            </w:r>
          </w:p>
          <w:p w:rsidR="002D75FE" w:rsidRPr="002D75FE" w:rsidRDefault="00116C9D" w:rsidP="00116C9D">
            <w:pPr>
              <w:spacing w:before="0" w:after="0" w:line="240" w:lineRule="auto"/>
              <w:ind w:left="141" w:right="246"/>
              <w:rPr>
                <w:b/>
              </w:rPr>
            </w:pPr>
            <w:r w:rsidRPr="008F09C0">
              <w:t xml:space="preserve">  EEZ finanšu instrumenta atklātā konkursa “Ilgtspējīgu ēku, atjaunojamo energoresursu tehnoloģiju un inovatīvu emisiju samazinošu tehnoloģiju attīstība” ietvaros notiek vairāku projektu </w:t>
            </w:r>
            <w:r w:rsidRPr="008F09C0">
              <w:lastRenderedPageBreak/>
              <w:t>īstenošana atbilstoši zema enerģijas patēriņā ēku prasībām.</w:t>
            </w:r>
          </w:p>
        </w:tc>
      </w:tr>
      <w:tr w:rsidR="0067267D" w:rsidTr="00464AFB">
        <w:trPr>
          <w:trHeight w:val="476"/>
        </w:trPr>
        <w:tc>
          <w:tcPr>
            <w:tcW w:w="550" w:type="dxa"/>
          </w:tcPr>
          <w:p w:rsidR="0067267D" w:rsidRDefault="00133143">
            <w:pPr>
              <w:pStyle w:val="naiskr"/>
              <w:spacing w:before="0" w:after="0"/>
            </w:pPr>
            <w:r>
              <w:lastRenderedPageBreak/>
              <w:t>3</w:t>
            </w:r>
            <w:r w:rsidR="0067267D">
              <w:t>.</w:t>
            </w:r>
          </w:p>
        </w:tc>
        <w:tc>
          <w:tcPr>
            <w:tcW w:w="2149" w:type="dxa"/>
          </w:tcPr>
          <w:p w:rsidR="0067267D" w:rsidRDefault="0067267D" w:rsidP="00464AFB">
            <w:pPr>
              <w:pStyle w:val="naiskr"/>
              <w:spacing w:before="0" w:after="0"/>
              <w:ind w:right="142"/>
            </w:pPr>
            <w:r>
              <w:t>Projekta izstrādē iesaistītās institūcijas</w:t>
            </w:r>
          </w:p>
        </w:tc>
        <w:tc>
          <w:tcPr>
            <w:tcW w:w="6756" w:type="dxa"/>
          </w:tcPr>
          <w:p w:rsidR="009377FA" w:rsidRPr="00B81385" w:rsidRDefault="00281EC0" w:rsidP="00CF4AC4">
            <w:pPr>
              <w:pStyle w:val="naiskr"/>
              <w:spacing w:before="0" w:after="0"/>
              <w:ind w:left="141" w:right="236"/>
            </w:pPr>
            <w:r w:rsidRPr="00B81385">
              <w:t>Vides aizsardzības un re</w:t>
            </w:r>
            <w:r w:rsidR="00CF4AC4">
              <w:t>ģionālās attīstības ministrija</w:t>
            </w:r>
          </w:p>
        </w:tc>
      </w:tr>
      <w:tr w:rsidR="0067267D" w:rsidTr="00464AFB">
        <w:tc>
          <w:tcPr>
            <w:tcW w:w="550" w:type="dxa"/>
          </w:tcPr>
          <w:p w:rsidR="0067267D" w:rsidRDefault="00133143">
            <w:pPr>
              <w:pStyle w:val="naiskr"/>
              <w:spacing w:before="0" w:after="0"/>
            </w:pPr>
            <w:r>
              <w:t>4</w:t>
            </w:r>
            <w:r w:rsidR="0067267D">
              <w:t>.</w:t>
            </w:r>
          </w:p>
        </w:tc>
        <w:tc>
          <w:tcPr>
            <w:tcW w:w="2149" w:type="dxa"/>
          </w:tcPr>
          <w:p w:rsidR="0067267D" w:rsidRDefault="0067267D" w:rsidP="00464AFB">
            <w:pPr>
              <w:pStyle w:val="naiskr"/>
              <w:spacing w:before="0" w:after="0"/>
              <w:ind w:right="142"/>
            </w:pPr>
            <w:r>
              <w:t>Cita informācija</w:t>
            </w:r>
          </w:p>
        </w:tc>
        <w:tc>
          <w:tcPr>
            <w:tcW w:w="6756" w:type="dxa"/>
          </w:tcPr>
          <w:p w:rsidR="0067267D" w:rsidRDefault="0067267D" w:rsidP="00464AFB">
            <w:pPr>
              <w:pStyle w:val="naiskr"/>
              <w:spacing w:before="0" w:after="0"/>
              <w:ind w:left="141" w:right="236"/>
            </w:pPr>
            <w:r>
              <w:t>Nav.</w:t>
            </w:r>
          </w:p>
        </w:tc>
      </w:tr>
    </w:tbl>
    <w:p w:rsidR="00826E46" w:rsidRDefault="00826E46"/>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670"/>
      </w:tblGrid>
      <w:tr w:rsidR="0067267D" w:rsidTr="00464AFB">
        <w:tc>
          <w:tcPr>
            <w:tcW w:w="9503" w:type="dxa"/>
            <w:gridSpan w:val="3"/>
            <w:vAlign w:val="center"/>
          </w:tcPr>
          <w:p w:rsidR="0067267D" w:rsidRDefault="0067267D">
            <w:pPr>
              <w:pStyle w:val="naisnod"/>
              <w:spacing w:before="0" w:after="0"/>
            </w:pPr>
            <w:r>
              <w:t xml:space="preserve">II. </w:t>
            </w:r>
            <w:r w:rsidR="00133143">
              <w:t>Tiesību akta projekta ietekme uz sabiedrību, tautsaimniecības attīstību un administratīvo slogu</w:t>
            </w:r>
          </w:p>
        </w:tc>
      </w:tr>
      <w:tr w:rsidR="0067267D" w:rsidTr="00464AFB">
        <w:trPr>
          <w:trHeight w:val="467"/>
        </w:trPr>
        <w:tc>
          <w:tcPr>
            <w:tcW w:w="550" w:type="dxa"/>
          </w:tcPr>
          <w:p w:rsidR="0067267D" w:rsidRDefault="0067267D">
            <w:pPr>
              <w:pStyle w:val="naiskr"/>
              <w:spacing w:before="0" w:after="0"/>
            </w:pPr>
            <w:r>
              <w:t>1.</w:t>
            </w:r>
          </w:p>
        </w:tc>
        <w:tc>
          <w:tcPr>
            <w:tcW w:w="3283" w:type="dxa"/>
          </w:tcPr>
          <w:p w:rsidR="0067267D" w:rsidRDefault="00133143">
            <w:pPr>
              <w:pStyle w:val="naiskr"/>
              <w:spacing w:before="0" w:after="0"/>
            </w:pPr>
            <w:r>
              <w:t>Sabiedrības mērķgrupas, kuras tiesiskais regulējums ietekmē vai varētu ietekmēt</w:t>
            </w:r>
          </w:p>
        </w:tc>
        <w:tc>
          <w:tcPr>
            <w:tcW w:w="5670" w:type="dxa"/>
          </w:tcPr>
          <w:p w:rsidR="00E32CBC" w:rsidRDefault="00614877" w:rsidP="00C96744">
            <w:pPr>
              <w:spacing w:before="0" w:after="0"/>
              <w:ind w:left="131" w:right="294"/>
            </w:pPr>
            <w:r w:rsidRPr="00FA6CB4">
              <w:t>Noteikumu projektā ietvertais tiesiskais regulējums</w:t>
            </w:r>
            <w:r w:rsidRPr="00DE4F9D">
              <w:t xml:space="preserve"> attiecas uz</w:t>
            </w:r>
            <w:r w:rsidR="00E32CBC">
              <w:t xml:space="preserve"> iestādēm, kuru īpašumā atrodas, vai </w:t>
            </w:r>
            <w:r w:rsidR="00E32CBC" w:rsidRPr="00E32CBC">
              <w:t xml:space="preserve">uz normatīvā akta, līguma vai iestādes lēmuma pamata ir nodota </w:t>
            </w:r>
            <w:r w:rsidR="007A69DD">
              <w:t>turējumā</w:t>
            </w:r>
            <w:r w:rsidR="00E32CBC" w:rsidRPr="00E32CBC">
              <w:t xml:space="preserve"> vai valdījumā</w:t>
            </w:r>
            <w:r w:rsidR="00E32CBC">
              <w:t xml:space="preserve"> atrodas ēka</w:t>
            </w:r>
            <w:r w:rsidR="00E32CBC" w:rsidRPr="00CF4AC4">
              <w:t>, kura atbilst</w:t>
            </w:r>
            <w:r w:rsidR="00CF4AC4" w:rsidRPr="00CF4AC4">
              <w:t xml:space="preserve"> noteiktiem ēkas klasifikācijas kodiem.</w:t>
            </w:r>
          </w:p>
          <w:p w:rsidR="00E32CBC" w:rsidRDefault="00E32CBC" w:rsidP="00CF4AC4">
            <w:pPr>
              <w:spacing w:before="0" w:after="0"/>
              <w:ind w:left="131"/>
            </w:pPr>
            <w:r>
              <w:t>Mērķgrupas ir :</w:t>
            </w:r>
          </w:p>
          <w:p w:rsidR="00E32CBC" w:rsidRDefault="00CF4AC4" w:rsidP="000C090C">
            <w:pPr>
              <w:pStyle w:val="ListParagraph"/>
              <w:numPr>
                <w:ilvl w:val="0"/>
                <w:numId w:val="7"/>
              </w:numPr>
              <w:spacing w:before="0" w:after="0"/>
            </w:pPr>
            <w:r>
              <w:t>pašvaldības</w:t>
            </w:r>
            <w:r w:rsidR="00E56B5D" w:rsidRPr="00E56B5D">
              <w:t>,</w:t>
            </w:r>
          </w:p>
          <w:p w:rsidR="00E32CBC" w:rsidRDefault="00CF4AC4" w:rsidP="000C090C">
            <w:pPr>
              <w:pStyle w:val="ListParagraph"/>
              <w:numPr>
                <w:ilvl w:val="0"/>
                <w:numId w:val="7"/>
              </w:numPr>
              <w:spacing w:before="0" w:after="0"/>
            </w:pPr>
            <w:r>
              <w:t>pašvaldības iestādes</w:t>
            </w:r>
            <w:r w:rsidR="00E56B5D">
              <w:t>,</w:t>
            </w:r>
          </w:p>
          <w:p w:rsidR="003724E7" w:rsidRDefault="00CF4AC4" w:rsidP="00CE3374">
            <w:pPr>
              <w:pStyle w:val="ListParagraph"/>
              <w:numPr>
                <w:ilvl w:val="0"/>
                <w:numId w:val="7"/>
              </w:numPr>
              <w:spacing w:before="0" w:after="0"/>
            </w:pPr>
            <w:r>
              <w:t xml:space="preserve">valsts </w:t>
            </w:r>
            <w:r w:rsidR="00CE3374">
              <w:t xml:space="preserve">tiešās pārvaldes </w:t>
            </w:r>
            <w:r>
              <w:t>iestādes.</w:t>
            </w:r>
            <w:r w:rsidR="00E32CBC">
              <w:t xml:space="preserve"> </w:t>
            </w:r>
          </w:p>
        </w:tc>
      </w:tr>
      <w:tr w:rsidR="00165C1E" w:rsidTr="00464AFB">
        <w:trPr>
          <w:trHeight w:val="523"/>
        </w:trPr>
        <w:tc>
          <w:tcPr>
            <w:tcW w:w="550" w:type="dxa"/>
          </w:tcPr>
          <w:p w:rsidR="00165C1E" w:rsidRDefault="00165C1E" w:rsidP="00165C1E">
            <w:pPr>
              <w:pStyle w:val="naiskr"/>
              <w:spacing w:before="0" w:after="0"/>
            </w:pPr>
            <w:r>
              <w:t>2.</w:t>
            </w:r>
          </w:p>
        </w:tc>
        <w:tc>
          <w:tcPr>
            <w:tcW w:w="3283" w:type="dxa"/>
          </w:tcPr>
          <w:p w:rsidR="00165C1E" w:rsidRDefault="00133143" w:rsidP="00165C1E">
            <w:pPr>
              <w:pStyle w:val="naiskr"/>
              <w:spacing w:before="0" w:after="0"/>
            </w:pPr>
            <w:r>
              <w:t>Tiesiskā regulējuma ietekme uz tautsaimniecību un administratīvo slogu</w:t>
            </w:r>
          </w:p>
        </w:tc>
        <w:tc>
          <w:tcPr>
            <w:tcW w:w="5670" w:type="dxa"/>
          </w:tcPr>
          <w:p w:rsidR="00165C1E" w:rsidRPr="000158CE" w:rsidRDefault="00E32CBC" w:rsidP="00381AFB">
            <w:pPr>
              <w:pStyle w:val="naiskr"/>
              <w:spacing w:before="0" w:after="0"/>
            </w:pPr>
            <w:r w:rsidRPr="008F143A">
              <w:t>Citas sabiedrības grupas netiek ietekmētas.</w:t>
            </w:r>
          </w:p>
        </w:tc>
      </w:tr>
      <w:tr w:rsidR="00165C1E" w:rsidTr="00464AFB">
        <w:trPr>
          <w:trHeight w:val="357"/>
        </w:trPr>
        <w:tc>
          <w:tcPr>
            <w:tcW w:w="550" w:type="dxa"/>
          </w:tcPr>
          <w:p w:rsidR="00165C1E" w:rsidRDefault="00133143" w:rsidP="00165C1E">
            <w:pPr>
              <w:pStyle w:val="naiskr"/>
              <w:spacing w:before="0" w:after="0"/>
            </w:pPr>
            <w:r>
              <w:t>3</w:t>
            </w:r>
            <w:r w:rsidR="00165C1E">
              <w:t>.</w:t>
            </w:r>
          </w:p>
        </w:tc>
        <w:tc>
          <w:tcPr>
            <w:tcW w:w="3283" w:type="dxa"/>
          </w:tcPr>
          <w:p w:rsidR="00165C1E" w:rsidRDefault="00165C1E" w:rsidP="00165C1E">
            <w:pPr>
              <w:pStyle w:val="naiskr"/>
              <w:spacing w:before="0" w:after="0"/>
            </w:pPr>
            <w:r>
              <w:t>Administratīvo izmaksu monetārs novērtējums</w:t>
            </w:r>
          </w:p>
        </w:tc>
        <w:tc>
          <w:tcPr>
            <w:tcW w:w="5670" w:type="dxa"/>
          </w:tcPr>
          <w:p w:rsidR="00B66320" w:rsidRPr="008F143A" w:rsidRDefault="00B66320" w:rsidP="00B66320">
            <w:pPr>
              <w:spacing w:before="0" w:after="0" w:line="240" w:lineRule="auto"/>
              <w:ind w:right="140"/>
            </w:pPr>
            <w:r>
              <w:t>N</w:t>
            </w:r>
            <w:r w:rsidRPr="008F143A">
              <w:t xml:space="preserve">ormatīvā </w:t>
            </w:r>
            <w:smartTag w:uri="schemas-tilde-lv/tildestengine" w:element="veidnes">
              <w:smartTagPr>
                <w:attr w:name="text" w:val="akta"/>
                <w:attr w:name="id" w:val="-1"/>
                <w:attr w:name="baseform" w:val="akt|s"/>
              </w:smartTagPr>
              <w:r w:rsidRPr="008F143A">
                <w:t>akta</w:t>
              </w:r>
            </w:smartTag>
            <w:r w:rsidRPr="008F143A">
              <w:t xml:space="preserve"> apstiprināšanas gadījumā tiks īstenots projektu </w:t>
            </w:r>
            <w:smartTag w:uri="schemas-tilde-lv/tildestengine" w:element="veidnes">
              <w:smartTagPr>
                <w:attr w:name="text" w:val="iesniegumu"/>
                <w:attr w:name="id" w:val="-1"/>
                <w:attr w:name="baseform" w:val="iesniegum|s"/>
              </w:smartTagPr>
              <w:r w:rsidRPr="008F143A">
                <w:t>iesniegumu</w:t>
              </w:r>
            </w:smartTag>
            <w:r w:rsidRPr="008F143A">
              <w:t xml:space="preserve"> konkurss, kas, ņemot vērā tā specifiku, veicinās </w:t>
            </w:r>
            <w:r>
              <w:t>energoefektivitātes paaugstināšanu</w:t>
            </w:r>
            <w:r w:rsidRPr="008F143A">
              <w:t xml:space="preserve"> Latvijā, kā rezultātā samazināsies SEG emisiju apjoms.</w:t>
            </w:r>
          </w:p>
          <w:p w:rsidR="00165C1E" w:rsidRPr="004811E7" w:rsidRDefault="00B66320" w:rsidP="00B66320">
            <w:pPr>
              <w:spacing w:before="0" w:after="0"/>
              <w:ind w:right="140"/>
            </w:pPr>
            <w:r w:rsidRPr="008F143A">
              <w:t>Konkursa ietvaros pieejamais finansējums ir </w:t>
            </w:r>
            <w:r>
              <w:t>23 000 000</w:t>
            </w:r>
            <w:r w:rsidRPr="008F143A">
              <w:t xml:space="preserve"> </w:t>
            </w:r>
            <w:r>
              <w:t>EUR.</w:t>
            </w:r>
          </w:p>
        </w:tc>
      </w:tr>
      <w:tr w:rsidR="0067267D" w:rsidTr="00464AFB">
        <w:tc>
          <w:tcPr>
            <w:tcW w:w="550" w:type="dxa"/>
          </w:tcPr>
          <w:p w:rsidR="0067267D" w:rsidRDefault="00133143">
            <w:pPr>
              <w:pStyle w:val="naiskr"/>
              <w:spacing w:before="0" w:after="0"/>
            </w:pPr>
            <w:r>
              <w:t>4</w:t>
            </w:r>
            <w:r w:rsidR="0067267D">
              <w:t>.</w:t>
            </w:r>
          </w:p>
        </w:tc>
        <w:tc>
          <w:tcPr>
            <w:tcW w:w="3283" w:type="dxa"/>
          </w:tcPr>
          <w:p w:rsidR="0067267D" w:rsidRDefault="0067267D">
            <w:pPr>
              <w:pStyle w:val="naiskr"/>
              <w:spacing w:before="0" w:after="0"/>
            </w:pPr>
            <w:r>
              <w:t>Cita informācija</w:t>
            </w:r>
          </w:p>
        </w:tc>
        <w:tc>
          <w:tcPr>
            <w:tcW w:w="5670" w:type="dxa"/>
          </w:tcPr>
          <w:p w:rsidR="00B66320" w:rsidRDefault="00B66320" w:rsidP="00C96744">
            <w:pPr>
              <w:pStyle w:val="naiskr"/>
              <w:spacing w:before="0" w:after="0" w:line="240" w:lineRule="auto"/>
              <w:ind w:right="152"/>
            </w:pPr>
            <w:r w:rsidRPr="00825DCB">
              <w:t xml:space="preserve">Normatīvā akta apstiprināšanas gadījumā tiks īstenoti projekti, kas, ņemot vērā to specifiku, veicinās nodarbinātību un samazinās </w:t>
            </w:r>
            <w:r>
              <w:t>enerģijas patēriņu</w:t>
            </w:r>
            <w:r w:rsidRPr="00825DCB">
              <w:t xml:space="preserve">, </w:t>
            </w:r>
            <w:r w:rsidRPr="00B6424E">
              <w:t xml:space="preserve"> dodot ieguldījumu Latvijai obligātā enerģijas ietaupījumu mērķa sasniegšanā un Latvijas </w:t>
            </w:r>
            <w:proofErr w:type="spellStart"/>
            <w:r w:rsidRPr="00B6424E">
              <w:t>energoatkarības</w:t>
            </w:r>
            <w:proofErr w:type="spellEnd"/>
            <w:r w:rsidRPr="00B6424E">
              <w:t xml:space="preserve"> mazināšanā.</w:t>
            </w:r>
          </w:p>
          <w:p w:rsidR="0067267D" w:rsidRPr="00D83109" w:rsidRDefault="0067267D" w:rsidP="000C090C">
            <w:pPr>
              <w:pStyle w:val="naiskr"/>
              <w:spacing w:before="0" w:after="0"/>
            </w:pPr>
          </w:p>
        </w:tc>
      </w:tr>
    </w:tbl>
    <w:p w:rsidR="00F740A5" w:rsidRPr="001A17A6" w:rsidRDefault="00F740A5" w:rsidP="00F740A5">
      <w:pPr>
        <w:pStyle w:val="Paraststmeklis1"/>
        <w:spacing w:before="0" w:beforeAutospacing="0" w:after="0" w:afterAutospacing="0"/>
        <w:rPr>
          <w:i/>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156"/>
        <w:gridCol w:w="1403"/>
        <w:gridCol w:w="1375"/>
        <w:gridCol w:w="1371"/>
        <w:gridCol w:w="2203"/>
      </w:tblGrid>
      <w:tr w:rsidR="00464AFB" w:rsidRPr="008905F0" w:rsidTr="00C96744">
        <w:tc>
          <w:tcPr>
            <w:tcW w:w="5000" w:type="pct"/>
            <w:gridSpan w:val="6"/>
            <w:shd w:val="clear" w:color="auto" w:fill="auto"/>
          </w:tcPr>
          <w:p w:rsidR="00464AFB" w:rsidRPr="008905F0" w:rsidRDefault="00464AFB" w:rsidP="00464AFB">
            <w:pPr>
              <w:pStyle w:val="NormalWeb"/>
              <w:spacing w:before="0" w:beforeAutospacing="0" w:after="0" w:afterAutospacing="0"/>
              <w:jc w:val="center"/>
            </w:pPr>
            <w:r w:rsidRPr="008905F0">
              <w:rPr>
                <w:b/>
                <w:bCs/>
              </w:rPr>
              <w:t>III. Tiesību akta projekta ietekme uz valsts budžetu un pašvaldību budžetiem</w:t>
            </w:r>
          </w:p>
        </w:tc>
      </w:tr>
      <w:tr w:rsidR="00464AFB" w:rsidRPr="008905F0" w:rsidTr="00927D2D">
        <w:tc>
          <w:tcPr>
            <w:tcW w:w="1200" w:type="pct"/>
            <w:vMerge w:val="restart"/>
            <w:shd w:val="clear" w:color="auto" w:fill="auto"/>
          </w:tcPr>
          <w:p w:rsidR="00464AFB" w:rsidRPr="008905F0" w:rsidRDefault="00464AFB" w:rsidP="0095368C">
            <w:pPr>
              <w:pStyle w:val="NormalWeb"/>
              <w:spacing w:before="0" w:beforeAutospacing="0" w:after="0" w:afterAutospacing="0"/>
              <w:jc w:val="left"/>
            </w:pPr>
            <w:r w:rsidRPr="008905F0">
              <w:t>Rādītāji</w:t>
            </w:r>
          </w:p>
        </w:tc>
        <w:tc>
          <w:tcPr>
            <w:tcW w:w="1295" w:type="pct"/>
            <w:gridSpan w:val="2"/>
            <w:tcBorders>
              <w:bottom w:val="nil"/>
            </w:tcBorders>
            <w:shd w:val="clear" w:color="auto" w:fill="auto"/>
            <w:vAlign w:val="bottom"/>
          </w:tcPr>
          <w:p w:rsidR="00464AFB" w:rsidRPr="008905F0" w:rsidRDefault="00464AFB" w:rsidP="0095368C">
            <w:pPr>
              <w:pStyle w:val="NormalWeb"/>
              <w:spacing w:before="0" w:beforeAutospacing="0" w:after="0" w:afterAutospacing="0"/>
              <w:jc w:val="center"/>
            </w:pPr>
            <w:r w:rsidRPr="008905F0">
              <w:t>201</w:t>
            </w:r>
            <w:r w:rsidR="008F09C0">
              <w:t>6</w:t>
            </w:r>
          </w:p>
        </w:tc>
        <w:tc>
          <w:tcPr>
            <w:tcW w:w="2504" w:type="pct"/>
            <w:gridSpan w:val="3"/>
            <w:shd w:val="clear" w:color="auto" w:fill="auto"/>
          </w:tcPr>
          <w:p w:rsidR="00464AFB" w:rsidRPr="008905F0" w:rsidRDefault="00464AFB" w:rsidP="001F04F1">
            <w:pPr>
              <w:pStyle w:val="NormalWeb"/>
              <w:spacing w:before="0" w:beforeAutospacing="0" w:after="0" w:afterAutospacing="0"/>
              <w:jc w:val="center"/>
            </w:pPr>
            <w:r w:rsidRPr="008905F0">
              <w:t>Turpmākie gadi (EUR)</w:t>
            </w:r>
          </w:p>
        </w:tc>
      </w:tr>
      <w:tr w:rsidR="00464AFB" w:rsidRPr="008905F0" w:rsidTr="00927D2D">
        <w:tc>
          <w:tcPr>
            <w:tcW w:w="1200" w:type="pct"/>
            <w:vMerge/>
            <w:shd w:val="clear" w:color="auto" w:fill="auto"/>
          </w:tcPr>
          <w:p w:rsidR="00464AFB" w:rsidRPr="008905F0" w:rsidRDefault="00464AFB" w:rsidP="0095368C">
            <w:pPr>
              <w:pStyle w:val="NormalWeb"/>
              <w:spacing w:before="0" w:beforeAutospacing="0" w:after="0" w:afterAutospacing="0"/>
              <w:jc w:val="left"/>
            </w:pPr>
          </w:p>
        </w:tc>
        <w:tc>
          <w:tcPr>
            <w:tcW w:w="1295" w:type="pct"/>
            <w:gridSpan w:val="2"/>
            <w:tcBorders>
              <w:top w:val="nil"/>
            </w:tcBorders>
            <w:shd w:val="clear" w:color="auto" w:fill="auto"/>
          </w:tcPr>
          <w:p w:rsidR="00464AFB" w:rsidRPr="008905F0" w:rsidRDefault="00464AFB" w:rsidP="00464AFB">
            <w:pPr>
              <w:pStyle w:val="NormalWeb"/>
              <w:spacing w:before="0" w:beforeAutospacing="0" w:after="0" w:afterAutospacing="0"/>
            </w:pPr>
          </w:p>
        </w:tc>
        <w:tc>
          <w:tcPr>
            <w:tcW w:w="696" w:type="pct"/>
            <w:shd w:val="clear" w:color="auto" w:fill="auto"/>
          </w:tcPr>
          <w:p w:rsidR="00464AFB" w:rsidRPr="008905F0" w:rsidRDefault="00464AFB" w:rsidP="00464AFB">
            <w:pPr>
              <w:pStyle w:val="NormalWeb"/>
              <w:spacing w:before="0" w:beforeAutospacing="0" w:after="0" w:afterAutospacing="0"/>
            </w:pPr>
            <w:r w:rsidRPr="008905F0">
              <w:t>201</w:t>
            </w:r>
            <w:r w:rsidR="008F09C0">
              <w:t>7</w:t>
            </w:r>
          </w:p>
        </w:tc>
        <w:tc>
          <w:tcPr>
            <w:tcW w:w="694" w:type="pct"/>
            <w:shd w:val="clear" w:color="auto" w:fill="auto"/>
          </w:tcPr>
          <w:p w:rsidR="00464AFB" w:rsidRPr="008905F0" w:rsidRDefault="00464AFB" w:rsidP="00464AFB">
            <w:pPr>
              <w:pStyle w:val="NormalWeb"/>
              <w:spacing w:before="0" w:beforeAutospacing="0" w:after="0" w:afterAutospacing="0"/>
            </w:pPr>
            <w:r w:rsidRPr="008905F0">
              <w:t>201</w:t>
            </w:r>
            <w:r w:rsidR="008F09C0">
              <w:t>8</w:t>
            </w:r>
          </w:p>
        </w:tc>
        <w:tc>
          <w:tcPr>
            <w:tcW w:w="1114" w:type="pct"/>
            <w:shd w:val="clear" w:color="auto" w:fill="auto"/>
          </w:tcPr>
          <w:p w:rsidR="00464AFB" w:rsidRPr="008905F0" w:rsidRDefault="00464AFB" w:rsidP="00464AFB">
            <w:pPr>
              <w:pStyle w:val="NormalWeb"/>
              <w:spacing w:before="0" w:beforeAutospacing="0" w:after="0" w:afterAutospacing="0"/>
            </w:pPr>
            <w:r w:rsidRPr="008905F0">
              <w:t>201</w:t>
            </w:r>
            <w:r w:rsidR="008F09C0">
              <w:t>9</w:t>
            </w:r>
          </w:p>
        </w:tc>
      </w:tr>
      <w:tr w:rsidR="00464AFB" w:rsidRPr="008905F0" w:rsidTr="00927D2D">
        <w:tc>
          <w:tcPr>
            <w:tcW w:w="1200" w:type="pct"/>
            <w:vMerge/>
            <w:shd w:val="clear" w:color="auto" w:fill="auto"/>
          </w:tcPr>
          <w:p w:rsidR="00464AFB" w:rsidRPr="008905F0" w:rsidRDefault="00464AFB" w:rsidP="0095368C">
            <w:pPr>
              <w:pStyle w:val="NormalWeb"/>
              <w:spacing w:before="0" w:beforeAutospacing="0" w:after="0" w:afterAutospacing="0"/>
              <w:jc w:val="left"/>
            </w:pPr>
          </w:p>
        </w:tc>
        <w:tc>
          <w:tcPr>
            <w:tcW w:w="585" w:type="pct"/>
            <w:shd w:val="clear" w:color="auto" w:fill="auto"/>
          </w:tcPr>
          <w:p w:rsidR="00464AFB" w:rsidRPr="008905F0" w:rsidRDefault="00464AFB" w:rsidP="00464AFB">
            <w:pPr>
              <w:pStyle w:val="NormalWeb"/>
              <w:spacing w:before="0" w:beforeAutospacing="0" w:after="0" w:afterAutospacing="0"/>
            </w:pPr>
            <w:r w:rsidRPr="008905F0">
              <w:t>Saskaņā ar valsts budžetu kārtējam gadam</w:t>
            </w:r>
          </w:p>
        </w:tc>
        <w:tc>
          <w:tcPr>
            <w:tcW w:w="710" w:type="pct"/>
            <w:shd w:val="clear" w:color="auto" w:fill="auto"/>
          </w:tcPr>
          <w:p w:rsidR="00464AFB" w:rsidRPr="008905F0" w:rsidRDefault="00464AFB" w:rsidP="00464AFB">
            <w:pPr>
              <w:pStyle w:val="NormalWeb"/>
              <w:spacing w:before="0" w:beforeAutospacing="0" w:after="0" w:afterAutospacing="0"/>
            </w:pPr>
            <w:r w:rsidRPr="008905F0">
              <w:t>Izmaiņas kārtējā gadā, salīdzinot ar valsts budžetu kārtējam gadam</w:t>
            </w:r>
          </w:p>
        </w:tc>
        <w:tc>
          <w:tcPr>
            <w:tcW w:w="696" w:type="pct"/>
            <w:shd w:val="clear" w:color="auto" w:fill="auto"/>
          </w:tcPr>
          <w:p w:rsidR="00464AFB" w:rsidRPr="008905F0" w:rsidRDefault="00464AFB" w:rsidP="00464AFB">
            <w:pPr>
              <w:pStyle w:val="NormalWeb"/>
              <w:spacing w:before="0" w:beforeAutospacing="0" w:after="0" w:afterAutospacing="0"/>
            </w:pPr>
            <w:r w:rsidRPr="008905F0">
              <w:t>Izmaiņas salīdzinot ar kārtējo (n) gadu</w:t>
            </w:r>
          </w:p>
        </w:tc>
        <w:tc>
          <w:tcPr>
            <w:tcW w:w="694" w:type="pct"/>
            <w:shd w:val="clear" w:color="auto" w:fill="auto"/>
          </w:tcPr>
          <w:p w:rsidR="00464AFB" w:rsidRPr="008905F0" w:rsidRDefault="00464AFB" w:rsidP="00464AFB">
            <w:pPr>
              <w:pStyle w:val="NormalWeb"/>
              <w:spacing w:before="0" w:beforeAutospacing="0" w:after="0" w:afterAutospacing="0"/>
            </w:pPr>
            <w:r w:rsidRPr="008905F0">
              <w:t>Izmaiņas salīdzinot ar kārtējo (n) gadu</w:t>
            </w:r>
          </w:p>
        </w:tc>
        <w:tc>
          <w:tcPr>
            <w:tcW w:w="1114" w:type="pct"/>
            <w:shd w:val="clear" w:color="auto" w:fill="auto"/>
          </w:tcPr>
          <w:p w:rsidR="00464AFB" w:rsidRPr="008905F0" w:rsidRDefault="00464AFB" w:rsidP="00464AFB">
            <w:pPr>
              <w:pStyle w:val="NormalWeb"/>
              <w:spacing w:before="0" w:beforeAutospacing="0" w:after="0" w:afterAutospacing="0"/>
            </w:pPr>
            <w:r w:rsidRPr="008905F0">
              <w:t>Izmaiņas salīdzinot ar kārtējo (n) gadu</w:t>
            </w:r>
          </w:p>
        </w:tc>
      </w:tr>
      <w:tr w:rsidR="00464AFB" w:rsidRPr="008905F0" w:rsidTr="00927D2D">
        <w:tc>
          <w:tcPr>
            <w:tcW w:w="1200" w:type="pct"/>
            <w:shd w:val="clear" w:color="auto" w:fill="auto"/>
          </w:tcPr>
          <w:p w:rsidR="00464AFB" w:rsidRPr="008905F0" w:rsidRDefault="00464AFB" w:rsidP="0095368C">
            <w:pPr>
              <w:pStyle w:val="NormalWeb"/>
              <w:spacing w:before="0" w:beforeAutospacing="0" w:after="0" w:afterAutospacing="0"/>
              <w:jc w:val="left"/>
            </w:pPr>
            <w:r w:rsidRPr="008905F0">
              <w:t>1</w:t>
            </w:r>
          </w:p>
        </w:tc>
        <w:tc>
          <w:tcPr>
            <w:tcW w:w="585" w:type="pct"/>
            <w:shd w:val="clear" w:color="auto" w:fill="auto"/>
          </w:tcPr>
          <w:p w:rsidR="00464AFB" w:rsidRPr="008905F0" w:rsidRDefault="00464AFB" w:rsidP="00464AFB">
            <w:pPr>
              <w:pStyle w:val="NormalWeb"/>
              <w:spacing w:before="0" w:beforeAutospacing="0" w:after="0" w:afterAutospacing="0"/>
            </w:pPr>
            <w:r w:rsidRPr="008905F0">
              <w:t>2</w:t>
            </w:r>
          </w:p>
        </w:tc>
        <w:tc>
          <w:tcPr>
            <w:tcW w:w="710" w:type="pct"/>
            <w:shd w:val="clear" w:color="auto" w:fill="auto"/>
          </w:tcPr>
          <w:p w:rsidR="00464AFB" w:rsidRPr="008905F0" w:rsidRDefault="00464AFB" w:rsidP="00464AFB">
            <w:pPr>
              <w:pStyle w:val="NormalWeb"/>
              <w:spacing w:before="0" w:beforeAutospacing="0" w:after="0" w:afterAutospacing="0"/>
            </w:pPr>
            <w:r w:rsidRPr="008905F0">
              <w:t>3</w:t>
            </w:r>
          </w:p>
        </w:tc>
        <w:tc>
          <w:tcPr>
            <w:tcW w:w="696" w:type="pct"/>
            <w:shd w:val="clear" w:color="auto" w:fill="auto"/>
          </w:tcPr>
          <w:p w:rsidR="00464AFB" w:rsidRPr="008905F0" w:rsidRDefault="00464AFB" w:rsidP="00464AFB">
            <w:pPr>
              <w:pStyle w:val="NormalWeb"/>
              <w:spacing w:before="0" w:beforeAutospacing="0" w:after="0" w:afterAutospacing="0"/>
            </w:pPr>
            <w:r w:rsidRPr="008905F0">
              <w:t>4</w:t>
            </w:r>
          </w:p>
        </w:tc>
        <w:tc>
          <w:tcPr>
            <w:tcW w:w="694" w:type="pct"/>
            <w:shd w:val="clear" w:color="auto" w:fill="auto"/>
          </w:tcPr>
          <w:p w:rsidR="00464AFB" w:rsidRPr="008905F0" w:rsidRDefault="00464AFB" w:rsidP="00464AFB">
            <w:pPr>
              <w:pStyle w:val="NormalWeb"/>
              <w:spacing w:before="0" w:beforeAutospacing="0" w:after="0" w:afterAutospacing="0"/>
            </w:pPr>
            <w:r w:rsidRPr="008905F0">
              <w:t>5</w:t>
            </w:r>
          </w:p>
        </w:tc>
        <w:tc>
          <w:tcPr>
            <w:tcW w:w="1114" w:type="pct"/>
            <w:shd w:val="clear" w:color="auto" w:fill="auto"/>
          </w:tcPr>
          <w:p w:rsidR="00464AFB" w:rsidRPr="008905F0" w:rsidRDefault="00464AFB" w:rsidP="00464AFB">
            <w:pPr>
              <w:pStyle w:val="NormalWeb"/>
              <w:spacing w:before="0" w:beforeAutospacing="0" w:after="0" w:afterAutospacing="0"/>
            </w:pPr>
            <w:r w:rsidRPr="008905F0">
              <w:t>6</w:t>
            </w:r>
          </w:p>
        </w:tc>
      </w:tr>
      <w:tr w:rsidR="00464AFB" w:rsidRPr="00C94AC6" w:rsidTr="00927D2D">
        <w:tc>
          <w:tcPr>
            <w:tcW w:w="1200" w:type="pct"/>
            <w:shd w:val="clear" w:color="auto" w:fill="auto"/>
          </w:tcPr>
          <w:p w:rsidR="00464AFB" w:rsidRPr="008905F0" w:rsidRDefault="00464AFB" w:rsidP="0095368C">
            <w:pPr>
              <w:pStyle w:val="NormalWeb"/>
              <w:spacing w:before="0" w:beforeAutospacing="0" w:after="0" w:afterAutospacing="0"/>
              <w:jc w:val="left"/>
            </w:pPr>
            <w:r w:rsidRPr="008905F0">
              <w:t>1.Budžeta ieņēmumi:</w:t>
            </w:r>
          </w:p>
        </w:tc>
        <w:tc>
          <w:tcPr>
            <w:tcW w:w="585" w:type="pct"/>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pStyle w:val="NormalWeb"/>
              <w:spacing w:before="0" w:beforeAutospacing="0" w:after="0" w:afterAutospacing="0"/>
            </w:pPr>
          </w:p>
        </w:tc>
        <w:tc>
          <w:tcPr>
            <w:tcW w:w="696" w:type="pct"/>
            <w:shd w:val="clear" w:color="auto" w:fill="auto"/>
          </w:tcPr>
          <w:p w:rsidR="00464AFB" w:rsidRPr="003C1FA5" w:rsidRDefault="00464AFB" w:rsidP="00464AFB"/>
        </w:tc>
        <w:tc>
          <w:tcPr>
            <w:tcW w:w="694" w:type="pct"/>
            <w:shd w:val="clear" w:color="auto" w:fill="auto"/>
          </w:tcPr>
          <w:p w:rsidR="00464AFB" w:rsidRPr="00C94AC6" w:rsidRDefault="00464AFB" w:rsidP="00464AFB">
            <w:pPr>
              <w:rPr>
                <w:rFonts w:ascii="Calibri" w:hAnsi="Calibri"/>
                <w:color w:val="000000"/>
                <w:sz w:val="22"/>
                <w:szCs w:val="22"/>
              </w:rPr>
            </w:pPr>
          </w:p>
        </w:tc>
        <w:tc>
          <w:tcPr>
            <w:tcW w:w="1114" w:type="pct"/>
            <w:shd w:val="clear" w:color="auto" w:fill="auto"/>
          </w:tcPr>
          <w:p w:rsidR="00464AFB" w:rsidRPr="00C94AC6" w:rsidRDefault="00464AFB" w:rsidP="00464AFB">
            <w:pPr>
              <w:rPr>
                <w:rFonts w:ascii="Calibri" w:hAnsi="Calibri"/>
                <w:color w:val="000000"/>
                <w:sz w:val="22"/>
                <w:szCs w:val="22"/>
              </w:rPr>
            </w:pP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lastRenderedPageBreak/>
              <w:t>1.1. valsts pamatbudžets, tai skaitā</w:t>
            </w:r>
          </w:p>
          <w:p w:rsidR="00464AFB" w:rsidRPr="008905F0" w:rsidRDefault="00464AFB" w:rsidP="0095368C">
            <w:pPr>
              <w:autoSpaceDE w:val="0"/>
              <w:autoSpaceDN w:val="0"/>
              <w:adjustRightInd w:val="0"/>
              <w:jc w:val="left"/>
            </w:pPr>
            <w:r w:rsidRPr="008905F0">
              <w:t>ieņēmumi no maksas pakalpojumiem un citi</w:t>
            </w:r>
          </w:p>
          <w:p w:rsidR="00464AFB" w:rsidRPr="008905F0" w:rsidRDefault="00464AFB" w:rsidP="0095368C">
            <w:pPr>
              <w:pStyle w:val="NormalWeb"/>
              <w:spacing w:before="0" w:beforeAutospacing="0" w:after="0" w:afterAutospacing="0"/>
              <w:jc w:val="left"/>
            </w:pPr>
            <w:r w:rsidRPr="008905F0">
              <w:t>pašu ieņēmumi</w:t>
            </w:r>
          </w:p>
        </w:tc>
        <w:tc>
          <w:tcPr>
            <w:tcW w:w="585" w:type="pct"/>
            <w:shd w:val="clear" w:color="auto" w:fill="auto"/>
          </w:tcPr>
          <w:p w:rsidR="00464AFB" w:rsidRPr="008905F0" w:rsidRDefault="00464AFB" w:rsidP="00464AFB">
            <w:pPr>
              <w:pStyle w:val="NormalWeb"/>
              <w:spacing w:before="0" w:beforeAutospacing="0" w:after="0" w:afterAutospacing="0"/>
            </w:pPr>
            <w:r w:rsidRPr="008905F0">
              <w:t>0</w:t>
            </w:r>
          </w:p>
        </w:tc>
        <w:tc>
          <w:tcPr>
            <w:tcW w:w="710" w:type="pct"/>
            <w:shd w:val="clear" w:color="auto" w:fill="auto"/>
          </w:tcPr>
          <w:p w:rsidR="00464AFB" w:rsidRPr="008905F0" w:rsidRDefault="00464AFB" w:rsidP="00464AFB">
            <w:pPr>
              <w:pStyle w:val="NormalWeb"/>
              <w:spacing w:before="0" w:beforeAutospacing="0" w:after="0" w:afterAutospacing="0"/>
            </w:pPr>
            <w:r>
              <w:t>0</w:t>
            </w:r>
          </w:p>
        </w:tc>
        <w:tc>
          <w:tcPr>
            <w:tcW w:w="696" w:type="pct"/>
            <w:shd w:val="clear" w:color="auto" w:fill="auto"/>
          </w:tcPr>
          <w:p w:rsidR="00464AFB" w:rsidRPr="003C1FA5" w:rsidRDefault="00464AFB" w:rsidP="00464AFB"/>
        </w:tc>
        <w:tc>
          <w:tcPr>
            <w:tcW w:w="694" w:type="pct"/>
            <w:shd w:val="clear" w:color="auto" w:fill="auto"/>
          </w:tcPr>
          <w:p w:rsidR="00464AFB" w:rsidRPr="008905F0" w:rsidRDefault="00464AFB" w:rsidP="00464AFB"/>
        </w:tc>
        <w:tc>
          <w:tcPr>
            <w:tcW w:w="1114" w:type="pct"/>
            <w:shd w:val="clear" w:color="auto" w:fill="auto"/>
          </w:tcPr>
          <w:p w:rsidR="00464AFB" w:rsidRPr="008905F0" w:rsidRDefault="00464AFB" w:rsidP="00464AFB"/>
        </w:tc>
      </w:tr>
      <w:tr w:rsidR="00464AFB" w:rsidRPr="008905F0" w:rsidTr="00927D2D">
        <w:tc>
          <w:tcPr>
            <w:tcW w:w="1200" w:type="pct"/>
            <w:shd w:val="clear" w:color="auto" w:fill="auto"/>
          </w:tcPr>
          <w:p w:rsidR="00464AFB" w:rsidRPr="008905F0" w:rsidRDefault="00464AFB" w:rsidP="0095368C">
            <w:pPr>
              <w:pStyle w:val="NormalWeb"/>
              <w:spacing w:before="0" w:beforeAutospacing="0" w:after="0" w:afterAutospacing="0"/>
              <w:jc w:val="left"/>
            </w:pPr>
            <w:r w:rsidRPr="008905F0">
              <w:t>1.2. valsts speciālais budžets</w:t>
            </w:r>
          </w:p>
        </w:tc>
        <w:tc>
          <w:tcPr>
            <w:tcW w:w="585" w:type="pct"/>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pStyle w:val="NormalWeb"/>
              <w:spacing w:before="0" w:beforeAutospacing="0" w:after="0" w:afterAutospacing="0"/>
            </w:pPr>
          </w:p>
        </w:tc>
        <w:tc>
          <w:tcPr>
            <w:tcW w:w="696" w:type="pct"/>
            <w:shd w:val="clear" w:color="auto" w:fill="auto"/>
          </w:tcPr>
          <w:p w:rsidR="00464AFB" w:rsidRDefault="00464AFB" w:rsidP="00464AFB">
            <w:pPr>
              <w:pStyle w:val="NormalWeb"/>
              <w:spacing w:before="0" w:beforeAutospacing="0" w:after="0" w:afterAutospacing="0"/>
            </w:pPr>
          </w:p>
        </w:tc>
        <w:tc>
          <w:tcPr>
            <w:tcW w:w="694" w:type="pct"/>
            <w:shd w:val="clear" w:color="auto" w:fill="auto"/>
          </w:tcPr>
          <w:p w:rsidR="00464AFB" w:rsidRPr="008905F0" w:rsidRDefault="00464AFB" w:rsidP="00464AFB">
            <w:pPr>
              <w:pStyle w:val="NormalWeb"/>
              <w:spacing w:before="0" w:beforeAutospacing="0" w:after="0" w:afterAutospacing="0"/>
            </w:pPr>
          </w:p>
        </w:tc>
        <w:tc>
          <w:tcPr>
            <w:tcW w:w="1114" w:type="pct"/>
            <w:shd w:val="clear" w:color="auto" w:fill="auto"/>
          </w:tcPr>
          <w:p w:rsidR="00464AFB" w:rsidRPr="008905F0" w:rsidRDefault="00464AFB" w:rsidP="00464AFB">
            <w:pPr>
              <w:pStyle w:val="NormalWeb"/>
              <w:spacing w:before="0" w:beforeAutospacing="0" w:after="0" w:afterAutospacing="0"/>
            </w:pPr>
          </w:p>
        </w:tc>
      </w:tr>
      <w:tr w:rsidR="00464AFB" w:rsidRPr="008905F0" w:rsidTr="00927D2D">
        <w:tc>
          <w:tcPr>
            <w:tcW w:w="1200" w:type="pct"/>
            <w:shd w:val="clear" w:color="auto" w:fill="auto"/>
          </w:tcPr>
          <w:p w:rsidR="00464AFB" w:rsidRPr="008905F0" w:rsidRDefault="00464AFB" w:rsidP="0095368C">
            <w:pPr>
              <w:pStyle w:val="NormalWeb"/>
              <w:spacing w:before="0" w:beforeAutospacing="0" w:after="0" w:afterAutospacing="0"/>
              <w:jc w:val="left"/>
            </w:pPr>
            <w:r w:rsidRPr="008905F0">
              <w:t>1.3. pašvaldību budžets</w:t>
            </w:r>
          </w:p>
        </w:tc>
        <w:tc>
          <w:tcPr>
            <w:tcW w:w="585" w:type="pct"/>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pStyle w:val="NormalWeb"/>
              <w:spacing w:before="0" w:beforeAutospacing="0" w:after="0" w:afterAutospacing="0"/>
            </w:pPr>
          </w:p>
        </w:tc>
        <w:tc>
          <w:tcPr>
            <w:tcW w:w="696" w:type="pct"/>
            <w:shd w:val="clear" w:color="auto" w:fill="auto"/>
          </w:tcPr>
          <w:p w:rsidR="00464AFB" w:rsidRDefault="00464AFB" w:rsidP="00464AFB">
            <w:pPr>
              <w:pStyle w:val="NormalWeb"/>
              <w:spacing w:before="0" w:beforeAutospacing="0" w:after="0" w:afterAutospacing="0"/>
            </w:pPr>
          </w:p>
        </w:tc>
        <w:tc>
          <w:tcPr>
            <w:tcW w:w="694" w:type="pct"/>
            <w:shd w:val="clear" w:color="auto" w:fill="auto"/>
          </w:tcPr>
          <w:p w:rsidR="00464AFB" w:rsidRPr="008905F0" w:rsidRDefault="00464AFB" w:rsidP="00464AFB">
            <w:pPr>
              <w:pStyle w:val="NormalWeb"/>
              <w:spacing w:before="0" w:beforeAutospacing="0" w:after="0" w:afterAutospacing="0"/>
            </w:pPr>
          </w:p>
        </w:tc>
        <w:tc>
          <w:tcPr>
            <w:tcW w:w="1114" w:type="pct"/>
            <w:shd w:val="clear" w:color="auto" w:fill="auto"/>
          </w:tcPr>
          <w:p w:rsidR="00464AFB" w:rsidRPr="008905F0" w:rsidRDefault="00464AFB" w:rsidP="00464AFB">
            <w:pPr>
              <w:pStyle w:val="NormalWeb"/>
              <w:spacing w:before="0" w:beforeAutospacing="0" w:after="0" w:afterAutospacing="0"/>
            </w:pP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2. Budžeta izdevumi:</w:t>
            </w:r>
          </w:p>
        </w:tc>
        <w:tc>
          <w:tcPr>
            <w:tcW w:w="585" w:type="pct"/>
            <w:shd w:val="clear" w:color="auto" w:fill="auto"/>
          </w:tcPr>
          <w:p w:rsidR="00927D2D" w:rsidRPr="008905F0" w:rsidRDefault="00927D2D" w:rsidP="00927D2D">
            <w:pPr>
              <w:pStyle w:val="NormalWeb"/>
              <w:spacing w:before="0" w:beforeAutospacing="0" w:after="0" w:afterAutospacing="0"/>
              <w:jc w:val="center"/>
            </w:pPr>
            <w:r>
              <w:t>0</w:t>
            </w:r>
          </w:p>
        </w:tc>
        <w:tc>
          <w:tcPr>
            <w:tcW w:w="710" w:type="pct"/>
            <w:shd w:val="clear" w:color="auto" w:fill="auto"/>
          </w:tcPr>
          <w:p w:rsidR="00927D2D" w:rsidRDefault="00927D2D" w:rsidP="00927D2D">
            <w:pPr>
              <w:jc w:val="center"/>
            </w:pPr>
            <w:r>
              <w:t>7 000 000</w:t>
            </w:r>
          </w:p>
        </w:tc>
        <w:tc>
          <w:tcPr>
            <w:tcW w:w="696" w:type="pct"/>
            <w:shd w:val="clear" w:color="auto" w:fill="auto"/>
          </w:tcPr>
          <w:p w:rsidR="00927D2D" w:rsidRDefault="00927D2D" w:rsidP="00927D2D">
            <w:pPr>
              <w:jc w:val="center"/>
            </w:pPr>
            <w:r>
              <w:t>3 500 000</w:t>
            </w:r>
          </w:p>
        </w:tc>
        <w:tc>
          <w:tcPr>
            <w:tcW w:w="694" w:type="pct"/>
            <w:shd w:val="clear" w:color="auto" w:fill="auto"/>
          </w:tcPr>
          <w:p w:rsidR="00927D2D" w:rsidRPr="008905F0" w:rsidRDefault="00927D2D" w:rsidP="00927D2D">
            <w:pPr>
              <w:jc w:val="center"/>
            </w:pPr>
            <w:r>
              <w:t>3 500 000</w:t>
            </w:r>
          </w:p>
        </w:tc>
        <w:tc>
          <w:tcPr>
            <w:tcW w:w="1114" w:type="pct"/>
            <w:shd w:val="clear" w:color="auto" w:fill="auto"/>
          </w:tcPr>
          <w:p w:rsidR="00927D2D" w:rsidRPr="008905F0" w:rsidRDefault="00927D2D" w:rsidP="00927D2D">
            <w:pPr>
              <w:jc w:val="center"/>
            </w:pPr>
            <w:r>
              <w:t>9 000 000</w:t>
            </w: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2.1. valsts pamatbudžets</w:t>
            </w:r>
          </w:p>
        </w:tc>
        <w:tc>
          <w:tcPr>
            <w:tcW w:w="585" w:type="pct"/>
            <w:shd w:val="clear" w:color="auto" w:fill="auto"/>
          </w:tcPr>
          <w:p w:rsidR="00927D2D" w:rsidRPr="008905F0" w:rsidRDefault="00927D2D" w:rsidP="00927D2D">
            <w:pPr>
              <w:pStyle w:val="NormalWeb"/>
              <w:spacing w:before="0" w:beforeAutospacing="0" w:after="0" w:afterAutospacing="0"/>
              <w:jc w:val="center"/>
            </w:pPr>
            <w:r w:rsidRPr="008905F0">
              <w:t>0</w:t>
            </w:r>
          </w:p>
        </w:tc>
        <w:tc>
          <w:tcPr>
            <w:tcW w:w="710" w:type="pct"/>
            <w:shd w:val="clear" w:color="auto" w:fill="auto"/>
          </w:tcPr>
          <w:p w:rsidR="00927D2D" w:rsidRDefault="00927D2D" w:rsidP="00927D2D">
            <w:pPr>
              <w:jc w:val="center"/>
            </w:pPr>
            <w:r>
              <w:t>7 000 000</w:t>
            </w:r>
          </w:p>
        </w:tc>
        <w:tc>
          <w:tcPr>
            <w:tcW w:w="696" w:type="pct"/>
            <w:shd w:val="clear" w:color="auto" w:fill="auto"/>
          </w:tcPr>
          <w:p w:rsidR="00927D2D" w:rsidRDefault="00927D2D" w:rsidP="00927D2D">
            <w:pPr>
              <w:jc w:val="center"/>
            </w:pPr>
            <w:r>
              <w:t>3 500 000</w:t>
            </w:r>
          </w:p>
        </w:tc>
        <w:tc>
          <w:tcPr>
            <w:tcW w:w="694" w:type="pct"/>
            <w:shd w:val="clear" w:color="auto" w:fill="auto"/>
          </w:tcPr>
          <w:p w:rsidR="00927D2D" w:rsidRPr="008905F0" w:rsidRDefault="00927D2D" w:rsidP="00927D2D">
            <w:pPr>
              <w:jc w:val="center"/>
            </w:pPr>
            <w:r>
              <w:t>3 500 000</w:t>
            </w:r>
          </w:p>
        </w:tc>
        <w:tc>
          <w:tcPr>
            <w:tcW w:w="1114" w:type="pct"/>
            <w:shd w:val="clear" w:color="auto" w:fill="auto"/>
          </w:tcPr>
          <w:p w:rsidR="00927D2D" w:rsidRPr="008905F0" w:rsidRDefault="00927D2D" w:rsidP="00927D2D">
            <w:pPr>
              <w:jc w:val="center"/>
            </w:pPr>
            <w:r>
              <w:t>9 000 000</w:t>
            </w: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2.2. valsts speciālais budžets</w:t>
            </w:r>
          </w:p>
        </w:tc>
        <w:tc>
          <w:tcPr>
            <w:tcW w:w="585" w:type="pct"/>
            <w:shd w:val="clear" w:color="auto" w:fill="auto"/>
          </w:tcPr>
          <w:p w:rsidR="00927D2D" w:rsidRPr="008905F0" w:rsidRDefault="00927D2D" w:rsidP="00927D2D">
            <w:pPr>
              <w:pStyle w:val="NormalWeb"/>
              <w:spacing w:before="0" w:beforeAutospacing="0" w:after="0" w:afterAutospacing="0"/>
            </w:pPr>
          </w:p>
        </w:tc>
        <w:tc>
          <w:tcPr>
            <w:tcW w:w="710" w:type="pct"/>
            <w:shd w:val="clear" w:color="auto" w:fill="auto"/>
          </w:tcPr>
          <w:p w:rsidR="00927D2D" w:rsidRDefault="00927D2D" w:rsidP="00927D2D">
            <w:pPr>
              <w:pStyle w:val="NormalWeb"/>
              <w:spacing w:before="0" w:beforeAutospacing="0" w:after="0" w:afterAutospacing="0"/>
            </w:pPr>
          </w:p>
        </w:tc>
        <w:tc>
          <w:tcPr>
            <w:tcW w:w="696" w:type="pct"/>
            <w:shd w:val="clear" w:color="auto" w:fill="auto"/>
          </w:tcPr>
          <w:p w:rsidR="00927D2D" w:rsidRDefault="00927D2D" w:rsidP="00927D2D">
            <w:pPr>
              <w:pStyle w:val="NormalWeb"/>
              <w:spacing w:before="0" w:beforeAutospacing="0" w:after="0" w:afterAutospacing="0"/>
            </w:pPr>
          </w:p>
        </w:tc>
        <w:tc>
          <w:tcPr>
            <w:tcW w:w="694" w:type="pct"/>
            <w:shd w:val="clear" w:color="auto" w:fill="auto"/>
          </w:tcPr>
          <w:p w:rsidR="00927D2D" w:rsidRPr="008905F0" w:rsidRDefault="00927D2D" w:rsidP="00927D2D">
            <w:pPr>
              <w:pStyle w:val="NormalWeb"/>
              <w:spacing w:before="0" w:beforeAutospacing="0" w:after="0" w:afterAutospacing="0"/>
            </w:pPr>
          </w:p>
        </w:tc>
        <w:tc>
          <w:tcPr>
            <w:tcW w:w="1114" w:type="pct"/>
            <w:shd w:val="clear" w:color="auto" w:fill="auto"/>
          </w:tcPr>
          <w:p w:rsidR="00927D2D" w:rsidRPr="008905F0" w:rsidRDefault="00927D2D" w:rsidP="00927D2D">
            <w:pPr>
              <w:pStyle w:val="NormalWeb"/>
              <w:spacing w:before="0" w:beforeAutospacing="0" w:after="0" w:afterAutospacing="0"/>
            </w:pP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2.3. pašvaldību budžets</w:t>
            </w:r>
          </w:p>
        </w:tc>
        <w:tc>
          <w:tcPr>
            <w:tcW w:w="585" w:type="pct"/>
            <w:shd w:val="clear" w:color="auto" w:fill="auto"/>
          </w:tcPr>
          <w:p w:rsidR="00927D2D" w:rsidRPr="008905F0" w:rsidRDefault="00927D2D" w:rsidP="00927D2D">
            <w:pPr>
              <w:pStyle w:val="NormalWeb"/>
              <w:spacing w:before="0" w:beforeAutospacing="0" w:after="0" w:afterAutospacing="0"/>
            </w:pPr>
          </w:p>
        </w:tc>
        <w:tc>
          <w:tcPr>
            <w:tcW w:w="710" w:type="pct"/>
            <w:shd w:val="clear" w:color="auto" w:fill="auto"/>
          </w:tcPr>
          <w:p w:rsidR="00927D2D" w:rsidRDefault="00927D2D" w:rsidP="00927D2D">
            <w:pPr>
              <w:pStyle w:val="NormalWeb"/>
              <w:spacing w:before="0" w:beforeAutospacing="0" w:after="0" w:afterAutospacing="0"/>
            </w:pPr>
          </w:p>
        </w:tc>
        <w:tc>
          <w:tcPr>
            <w:tcW w:w="696" w:type="pct"/>
            <w:shd w:val="clear" w:color="auto" w:fill="auto"/>
          </w:tcPr>
          <w:p w:rsidR="00927D2D" w:rsidRDefault="00927D2D" w:rsidP="00927D2D">
            <w:pPr>
              <w:pStyle w:val="NormalWeb"/>
              <w:spacing w:before="0" w:beforeAutospacing="0" w:after="0" w:afterAutospacing="0"/>
            </w:pPr>
          </w:p>
        </w:tc>
        <w:tc>
          <w:tcPr>
            <w:tcW w:w="694" w:type="pct"/>
            <w:shd w:val="clear" w:color="auto" w:fill="auto"/>
          </w:tcPr>
          <w:p w:rsidR="00927D2D" w:rsidRPr="008905F0" w:rsidRDefault="00927D2D" w:rsidP="00927D2D">
            <w:pPr>
              <w:pStyle w:val="NormalWeb"/>
              <w:spacing w:before="0" w:beforeAutospacing="0" w:after="0" w:afterAutospacing="0"/>
            </w:pPr>
          </w:p>
        </w:tc>
        <w:tc>
          <w:tcPr>
            <w:tcW w:w="1114" w:type="pct"/>
            <w:shd w:val="clear" w:color="auto" w:fill="auto"/>
          </w:tcPr>
          <w:p w:rsidR="00927D2D" w:rsidRPr="008905F0" w:rsidRDefault="00927D2D" w:rsidP="00927D2D">
            <w:pPr>
              <w:pStyle w:val="NormalWeb"/>
              <w:spacing w:before="0" w:beforeAutospacing="0" w:after="0" w:afterAutospacing="0"/>
            </w:pP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3. Finansiālā ietekme:</w:t>
            </w:r>
          </w:p>
        </w:tc>
        <w:tc>
          <w:tcPr>
            <w:tcW w:w="585" w:type="pct"/>
            <w:shd w:val="clear" w:color="auto" w:fill="auto"/>
            <w:vAlign w:val="center"/>
          </w:tcPr>
          <w:p w:rsidR="00927D2D" w:rsidRPr="000607FB" w:rsidRDefault="00927D2D" w:rsidP="00927D2D">
            <w:pPr>
              <w:spacing w:before="63" w:after="63"/>
              <w:ind w:right="127"/>
              <w:jc w:val="center"/>
            </w:pPr>
            <w:r>
              <w:t>0</w:t>
            </w:r>
          </w:p>
        </w:tc>
        <w:tc>
          <w:tcPr>
            <w:tcW w:w="710" w:type="pct"/>
            <w:shd w:val="clear" w:color="auto" w:fill="auto"/>
          </w:tcPr>
          <w:p w:rsidR="00927D2D" w:rsidRDefault="00927D2D" w:rsidP="00927D2D">
            <w:pPr>
              <w:jc w:val="center"/>
            </w:pPr>
            <w:r>
              <w:t>-7 000 000</w:t>
            </w:r>
          </w:p>
        </w:tc>
        <w:tc>
          <w:tcPr>
            <w:tcW w:w="696" w:type="pct"/>
            <w:shd w:val="clear" w:color="auto" w:fill="auto"/>
          </w:tcPr>
          <w:p w:rsidR="00927D2D" w:rsidRDefault="00927D2D" w:rsidP="00927D2D">
            <w:pPr>
              <w:jc w:val="center"/>
            </w:pPr>
            <w:r>
              <w:t>-3 500 000</w:t>
            </w:r>
          </w:p>
        </w:tc>
        <w:tc>
          <w:tcPr>
            <w:tcW w:w="694" w:type="pct"/>
            <w:shd w:val="clear" w:color="auto" w:fill="auto"/>
          </w:tcPr>
          <w:p w:rsidR="00927D2D" w:rsidRPr="008905F0" w:rsidRDefault="00927D2D" w:rsidP="00927D2D">
            <w:pPr>
              <w:jc w:val="center"/>
            </w:pPr>
            <w:r>
              <w:t>-3 500 000</w:t>
            </w:r>
          </w:p>
        </w:tc>
        <w:tc>
          <w:tcPr>
            <w:tcW w:w="1114" w:type="pct"/>
            <w:shd w:val="clear" w:color="auto" w:fill="auto"/>
          </w:tcPr>
          <w:p w:rsidR="00927D2D" w:rsidRPr="008905F0" w:rsidRDefault="00927D2D" w:rsidP="00927D2D">
            <w:pPr>
              <w:jc w:val="center"/>
            </w:pPr>
            <w:r>
              <w:t>-9 000 000</w:t>
            </w: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3.1. valsts pamatbudžets</w:t>
            </w:r>
          </w:p>
        </w:tc>
        <w:tc>
          <w:tcPr>
            <w:tcW w:w="585" w:type="pct"/>
            <w:shd w:val="clear" w:color="auto" w:fill="auto"/>
          </w:tcPr>
          <w:p w:rsidR="00927D2D" w:rsidRPr="000607FB" w:rsidRDefault="00927D2D" w:rsidP="00927D2D">
            <w:pPr>
              <w:spacing w:before="63" w:after="63"/>
              <w:ind w:right="127"/>
              <w:jc w:val="center"/>
            </w:pPr>
            <w:r>
              <w:t>0</w:t>
            </w:r>
          </w:p>
        </w:tc>
        <w:tc>
          <w:tcPr>
            <w:tcW w:w="710" w:type="pct"/>
            <w:shd w:val="clear" w:color="auto" w:fill="auto"/>
          </w:tcPr>
          <w:p w:rsidR="00927D2D" w:rsidRDefault="00927D2D" w:rsidP="00927D2D">
            <w:pPr>
              <w:jc w:val="center"/>
            </w:pPr>
            <w:r>
              <w:t>-7 000 000</w:t>
            </w:r>
          </w:p>
        </w:tc>
        <w:tc>
          <w:tcPr>
            <w:tcW w:w="696" w:type="pct"/>
            <w:shd w:val="clear" w:color="auto" w:fill="auto"/>
          </w:tcPr>
          <w:p w:rsidR="00927D2D" w:rsidRDefault="00927D2D" w:rsidP="00927D2D">
            <w:pPr>
              <w:jc w:val="center"/>
            </w:pPr>
            <w:r>
              <w:t>-3 500 000</w:t>
            </w:r>
          </w:p>
        </w:tc>
        <w:tc>
          <w:tcPr>
            <w:tcW w:w="694" w:type="pct"/>
            <w:shd w:val="clear" w:color="auto" w:fill="auto"/>
          </w:tcPr>
          <w:p w:rsidR="00927D2D" w:rsidRPr="008905F0" w:rsidRDefault="00927D2D" w:rsidP="00927D2D">
            <w:pPr>
              <w:jc w:val="center"/>
            </w:pPr>
            <w:r>
              <w:t>-3 500 000</w:t>
            </w:r>
          </w:p>
        </w:tc>
        <w:tc>
          <w:tcPr>
            <w:tcW w:w="1114" w:type="pct"/>
            <w:shd w:val="clear" w:color="auto" w:fill="auto"/>
          </w:tcPr>
          <w:p w:rsidR="00927D2D" w:rsidRPr="008905F0" w:rsidRDefault="00927D2D" w:rsidP="00927D2D">
            <w:pPr>
              <w:jc w:val="center"/>
            </w:pPr>
            <w:r>
              <w:t>-9 000 000</w:t>
            </w: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3.2. speciālais budžets</w:t>
            </w:r>
          </w:p>
        </w:tc>
        <w:tc>
          <w:tcPr>
            <w:tcW w:w="585" w:type="pct"/>
            <w:shd w:val="clear" w:color="auto" w:fill="auto"/>
          </w:tcPr>
          <w:p w:rsidR="00927D2D" w:rsidRPr="008905F0" w:rsidRDefault="00927D2D" w:rsidP="00927D2D">
            <w:pPr>
              <w:pStyle w:val="NormalWeb"/>
              <w:spacing w:before="0" w:beforeAutospacing="0" w:after="0" w:afterAutospacing="0"/>
            </w:pPr>
          </w:p>
        </w:tc>
        <w:tc>
          <w:tcPr>
            <w:tcW w:w="710" w:type="pct"/>
            <w:shd w:val="clear" w:color="auto" w:fill="auto"/>
          </w:tcPr>
          <w:p w:rsidR="00927D2D" w:rsidRDefault="00927D2D" w:rsidP="00927D2D">
            <w:pPr>
              <w:pStyle w:val="NormalWeb"/>
              <w:spacing w:before="0" w:beforeAutospacing="0" w:after="0" w:afterAutospacing="0"/>
            </w:pPr>
          </w:p>
        </w:tc>
        <w:tc>
          <w:tcPr>
            <w:tcW w:w="696" w:type="pct"/>
            <w:shd w:val="clear" w:color="auto" w:fill="auto"/>
          </w:tcPr>
          <w:p w:rsidR="00927D2D" w:rsidRDefault="00927D2D" w:rsidP="00927D2D">
            <w:pPr>
              <w:pStyle w:val="NormalWeb"/>
              <w:spacing w:before="0" w:beforeAutospacing="0" w:after="0" w:afterAutospacing="0"/>
            </w:pPr>
          </w:p>
        </w:tc>
        <w:tc>
          <w:tcPr>
            <w:tcW w:w="694" w:type="pct"/>
            <w:shd w:val="clear" w:color="auto" w:fill="auto"/>
          </w:tcPr>
          <w:p w:rsidR="00927D2D" w:rsidRPr="008905F0" w:rsidRDefault="00927D2D" w:rsidP="00927D2D">
            <w:pPr>
              <w:pStyle w:val="NormalWeb"/>
              <w:spacing w:before="0" w:beforeAutospacing="0" w:after="0" w:afterAutospacing="0"/>
            </w:pPr>
          </w:p>
        </w:tc>
        <w:tc>
          <w:tcPr>
            <w:tcW w:w="1114" w:type="pct"/>
            <w:shd w:val="clear" w:color="auto" w:fill="auto"/>
          </w:tcPr>
          <w:p w:rsidR="00927D2D" w:rsidRPr="008905F0" w:rsidRDefault="00927D2D" w:rsidP="00927D2D">
            <w:pPr>
              <w:pStyle w:val="NormalWeb"/>
              <w:spacing w:before="0" w:beforeAutospacing="0" w:after="0" w:afterAutospacing="0"/>
            </w:pPr>
          </w:p>
        </w:tc>
      </w:tr>
      <w:tr w:rsidR="00927D2D" w:rsidRPr="008905F0" w:rsidTr="00927D2D">
        <w:tc>
          <w:tcPr>
            <w:tcW w:w="1200" w:type="pct"/>
            <w:shd w:val="clear" w:color="auto" w:fill="auto"/>
          </w:tcPr>
          <w:p w:rsidR="00927D2D" w:rsidRPr="008905F0" w:rsidRDefault="00927D2D" w:rsidP="00927D2D">
            <w:pPr>
              <w:pStyle w:val="NormalWeb"/>
              <w:spacing w:before="0" w:beforeAutospacing="0" w:after="0" w:afterAutospacing="0"/>
              <w:jc w:val="left"/>
            </w:pPr>
            <w:r w:rsidRPr="008905F0">
              <w:t>3.3. pašvaldību budžets</w:t>
            </w:r>
          </w:p>
        </w:tc>
        <w:tc>
          <w:tcPr>
            <w:tcW w:w="585" w:type="pct"/>
            <w:shd w:val="clear" w:color="auto" w:fill="auto"/>
          </w:tcPr>
          <w:p w:rsidR="00927D2D" w:rsidRPr="008905F0" w:rsidRDefault="00927D2D" w:rsidP="00927D2D">
            <w:pPr>
              <w:pStyle w:val="NormalWeb"/>
              <w:spacing w:before="0" w:beforeAutospacing="0" w:after="0" w:afterAutospacing="0"/>
            </w:pPr>
          </w:p>
        </w:tc>
        <w:tc>
          <w:tcPr>
            <w:tcW w:w="710" w:type="pct"/>
            <w:shd w:val="clear" w:color="auto" w:fill="auto"/>
          </w:tcPr>
          <w:p w:rsidR="00927D2D" w:rsidRDefault="00927D2D" w:rsidP="00927D2D">
            <w:pPr>
              <w:pStyle w:val="NormalWeb"/>
              <w:spacing w:before="0" w:beforeAutospacing="0" w:after="0" w:afterAutospacing="0"/>
            </w:pPr>
          </w:p>
        </w:tc>
        <w:tc>
          <w:tcPr>
            <w:tcW w:w="696" w:type="pct"/>
            <w:shd w:val="clear" w:color="auto" w:fill="auto"/>
          </w:tcPr>
          <w:p w:rsidR="00927D2D" w:rsidRDefault="00927D2D" w:rsidP="00927D2D">
            <w:pPr>
              <w:pStyle w:val="NormalWeb"/>
              <w:spacing w:before="0" w:beforeAutospacing="0" w:after="0" w:afterAutospacing="0"/>
            </w:pPr>
          </w:p>
        </w:tc>
        <w:tc>
          <w:tcPr>
            <w:tcW w:w="694" w:type="pct"/>
            <w:shd w:val="clear" w:color="auto" w:fill="auto"/>
          </w:tcPr>
          <w:p w:rsidR="00927D2D" w:rsidRPr="008905F0" w:rsidRDefault="00927D2D" w:rsidP="00927D2D">
            <w:pPr>
              <w:pStyle w:val="NormalWeb"/>
              <w:spacing w:before="0" w:beforeAutospacing="0" w:after="0" w:afterAutospacing="0"/>
            </w:pPr>
          </w:p>
        </w:tc>
        <w:tc>
          <w:tcPr>
            <w:tcW w:w="1114" w:type="pct"/>
            <w:shd w:val="clear" w:color="auto" w:fill="auto"/>
          </w:tcPr>
          <w:p w:rsidR="00927D2D" w:rsidRPr="008905F0" w:rsidRDefault="00927D2D" w:rsidP="00927D2D">
            <w:pPr>
              <w:pStyle w:val="NormalWeb"/>
              <w:spacing w:before="0" w:beforeAutospacing="0" w:after="0" w:afterAutospacing="0"/>
            </w:pPr>
          </w:p>
        </w:tc>
      </w:tr>
      <w:tr w:rsidR="00927D2D" w:rsidRPr="008905F0" w:rsidTr="00927D2D">
        <w:trPr>
          <w:trHeight w:val="323"/>
        </w:trPr>
        <w:tc>
          <w:tcPr>
            <w:tcW w:w="1200" w:type="pct"/>
            <w:vMerge w:val="restart"/>
            <w:shd w:val="clear" w:color="auto" w:fill="auto"/>
          </w:tcPr>
          <w:p w:rsidR="00927D2D" w:rsidRPr="008905F0" w:rsidRDefault="00927D2D" w:rsidP="00927D2D">
            <w:pPr>
              <w:autoSpaceDE w:val="0"/>
              <w:autoSpaceDN w:val="0"/>
              <w:adjustRightInd w:val="0"/>
              <w:spacing w:before="0" w:after="0" w:line="240" w:lineRule="auto"/>
              <w:jc w:val="left"/>
            </w:pPr>
            <w:r w:rsidRPr="008905F0">
              <w:t>4. Finanšu līdzekļi papildu izdevumu</w:t>
            </w:r>
            <w:r>
              <w:t xml:space="preserve"> </w:t>
            </w:r>
            <w:r w:rsidRPr="008905F0">
              <w:t>finansēšanai (kompensējošu izdevumu</w:t>
            </w:r>
            <w:r>
              <w:t xml:space="preserve"> </w:t>
            </w:r>
            <w:r w:rsidRPr="008905F0">
              <w:t>samazinājumu norāda ar "+" zīmi)</w:t>
            </w:r>
          </w:p>
        </w:tc>
        <w:tc>
          <w:tcPr>
            <w:tcW w:w="585" w:type="pct"/>
            <w:vMerge w:val="restart"/>
            <w:shd w:val="clear" w:color="auto" w:fill="auto"/>
          </w:tcPr>
          <w:p w:rsidR="00927D2D" w:rsidRPr="008905F0" w:rsidRDefault="00927D2D" w:rsidP="00927D2D">
            <w:pPr>
              <w:pStyle w:val="NormalWeb"/>
              <w:spacing w:before="0" w:beforeAutospacing="0" w:after="0" w:afterAutospacing="0"/>
              <w:jc w:val="center"/>
            </w:pPr>
          </w:p>
        </w:tc>
        <w:tc>
          <w:tcPr>
            <w:tcW w:w="710" w:type="pct"/>
            <w:shd w:val="clear" w:color="auto" w:fill="auto"/>
          </w:tcPr>
          <w:p w:rsidR="00927D2D" w:rsidRPr="008905F0" w:rsidRDefault="00927D2D" w:rsidP="00927D2D">
            <w:pPr>
              <w:jc w:val="center"/>
            </w:pPr>
            <w:r>
              <w:t>7 000 000</w:t>
            </w:r>
          </w:p>
        </w:tc>
        <w:tc>
          <w:tcPr>
            <w:tcW w:w="696" w:type="pct"/>
            <w:shd w:val="clear" w:color="auto" w:fill="auto"/>
          </w:tcPr>
          <w:p w:rsidR="00927D2D" w:rsidRPr="008905F0" w:rsidRDefault="00927D2D" w:rsidP="00927D2D">
            <w:pPr>
              <w:jc w:val="center"/>
            </w:pPr>
            <w:r>
              <w:t>3 500 000</w:t>
            </w:r>
          </w:p>
        </w:tc>
        <w:tc>
          <w:tcPr>
            <w:tcW w:w="694" w:type="pct"/>
            <w:shd w:val="clear" w:color="auto" w:fill="auto"/>
          </w:tcPr>
          <w:p w:rsidR="00927D2D" w:rsidRPr="008905F0" w:rsidRDefault="00927D2D" w:rsidP="00927D2D">
            <w:pPr>
              <w:jc w:val="center"/>
            </w:pPr>
            <w:r>
              <w:t>3 500 000</w:t>
            </w:r>
          </w:p>
        </w:tc>
        <w:tc>
          <w:tcPr>
            <w:tcW w:w="1114" w:type="pct"/>
            <w:shd w:val="clear" w:color="auto" w:fill="auto"/>
          </w:tcPr>
          <w:p w:rsidR="00927D2D" w:rsidRDefault="00927D2D" w:rsidP="00927D2D">
            <w:pPr>
              <w:jc w:val="center"/>
            </w:pPr>
            <w:r>
              <w:t>9 000 000</w:t>
            </w:r>
          </w:p>
        </w:tc>
      </w:tr>
      <w:tr w:rsidR="00464AFB" w:rsidRPr="008905F0" w:rsidTr="00927D2D">
        <w:trPr>
          <w:trHeight w:val="413"/>
        </w:trPr>
        <w:tc>
          <w:tcPr>
            <w:tcW w:w="1200" w:type="pct"/>
            <w:vMerge/>
            <w:shd w:val="clear" w:color="auto" w:fill="auto"/>
          </w:tcPr>
          <w:p w:rsidR="00464AFB" w:rsidRPr="008905F0" w:rsidRDefault="00464AFB" w:rsidP="0095368C">
            <w:pPr>
              <w:autoSpaceDE w:val="0"/>
              <w:autoSpaceDN w:val="0"/>
              <w:adjustRightInd w:val="0"/>
              <w:jc w:val="left"/>
            </w:pPr>
          </w:p>
        </w:tc>
        <w:tc>
          <w:tcPr>
            <w:tcW w:w="585" w:type="pct"/>
            <w:vMerge/>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spacing w:before="0" w:after="0"/>
            </w:pPr>
          </w:p>
        </w:tc>
        <w:tc>
          <w:tcPr>
            <w:tcW w:w="696" w:type="pct"/>
            <w:shd w:val="clear" w:color="auto" w:fill="auto"/>
          </w:tcPr>
          <w:p w:rsidR="00464AFB" w:rsidRDefault="00464AFB" w:rsidP="00464AFB">
            <w:pPr>
              <w:pStyle w:val="NormalWeb"/>
              <w:spacing w:before="0" w:beforeAutospacing="0" w:after="0" w:afterAutospacing="0"/>
            </w:pPr>
          </w:p>
        </w:tc>
        <w:tc>
          <w:tcPr>
            <w:tcW w:w="694" w:type="pct"/>
            <w:shd w:val="clear" w:color="auto" w:fill="auto"/>
          </w:tcPr>
          <w:p w:rsidR="00464AFB" w:rsidRPr="008905F0" w:rsidRDefault="00464AFB" w:rsidP="00464AFB">
            <w:pPr>
              <w:spacing w:before="0" w:after="0"/>
            </w:pPr>
          </w:p>
        </w:tc>
        <w:tc>
          <w:tcPr>
            <w:tcW w:w="1114" w:type="pct"/>
            <w:shd w:val="clear" w:color="auto" w:fill="auto"/>
          </w:tcPr>
          <w:p w:rsidR="00464AFB" w:rsidRPr="008905F0" w:rsidRDefault="00464AFB" w:rsidP="00464AFB">
            <w:pPr>
              <w:spacing w:before="0" w:after="0"/>
            </w:pPr>
          </w:p>
        </w:tc>
      </w:tr>
      <w:tr w:rsidR="00464AFB" w:rsidRPr="008905F0" w:rsidTr="00927D2D">
        <w:trPr>
          <w:trHeight w:val="1269"/>
        </w:trPr>
        <w:tc>
          <w:tcPr>
            <w:tcW w:w="1200" w:type="pct"/>
            <w:vMerge/>
            <w:shd w:val="clear" w:color="auto" w:fill="auto"/>
          </w:tcPr>
          <w:p w:rsidR="00464AFB" w:rsidRPr="008905F0" w:rsidRDefault="00464AFB" w:rsidP="0095368C">
            <w:pPr>
              <w:autoSpaceDE w:val="0"/>
              <w:autoSpaceDN w:val="0"/>
              <w:adjustRightInd w:val="0"/>
              <w:jc w:val="left"/>
            </w:pPr>
          </w:p>
        </w:tc>
        <w:tc>
          <w:tcPr>
            <w:tcW w:w="585" w:type="pct"/>
            <w:vMerge/>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spacing w:before="0" w:after="0"/>
            </w:pPr>
          </w:p>
        </w:tc>
        <w:tc>
          <w:tcPr>
            <w:tcW w:w="696" w:type="pct"/>
            <w:shd w:val="clear" w:color="auto" w:fill="auto"/>
          </w:tcPr>
          <w:p w:rsidR="00464AFB" w:rsidRDefault="00464AFB" w:rsidP="00464AFB">
            <w:pPr>
              <w:pStyle w:val="NormalWeb"/>
              <w:spacing w:before="0" w:beforeAutospacing="0" w:after="0" w:afterAutospacing="0"/>
            </w:pPr>
          </w:p>
        </w:tc>
        <w:tc>
          <w:tcPr>
            <w:tcW w:w="694" w:type="pct"/>
            <w:shd w:val="clear" w:color="auto" w:fill="auto"/>
          </w:tcPr>
          <w:p w:rsidR="00464AFB" w:rsidRPr="008905F0" w:rsidRDefault="00464AFB" w:rsidP="00464AFB">
            <w:pPr>
              <w:spacing w:before="0" w:after="0"/>
            </w:pPr>
          </w:p>
        </w:tc>
        <w:tc>
          <w:tcPr>
            <w:tcW w:w="1114" w:type="pct"/>
            <w:shd w:val="clear" w:color="auto" w:fill="auto"/>
          </w:tcPr>
          <w:p w:rsidR="00464AFB" w:rsidRPr="008905F0" w:rsidRDefault="00464AFB" w:rsidP="00464AFB">
            <w:pPr>
              <w:spacing w:before="0" w:after="0"/>
            </w:pP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t>5. Precizēta finansiālā ietekme:</w:t>
            </w:r>
          </w:p>
        </w:tc>
        <w:tc>
          <w:tcPr>
            <w:tcW w:w="585" w:type="pct"/>
            <w:vMerge w:val="restart"/>
            <w:shd w:val="clear" w:color="auto" w:fill="auto"/>
          </w:tcPr>
          <w:p w:rsidR="00464AFB" w:rsidRPr="008905F0" w:rsidRDefault="00464AFB" w:rsidP="00464AFB">
            <w:pPr>
              <w:pStyle w:val="NormalWeb"/>
              <w:spacing w:before="0" w:beforeAutospacing="0" w:after="0" w:afterAutospacing="0"/>
              <w:jc w:val="center"/>
            </w:pPr>
          </w:p>
        </w:tc>
        <w:tc>
          <w:tcPr>
            <w:tcW w:w="710" w:type="pct"/>
            <w:shd w:val="clear" w:color="auto" w:fill="auto"/>
          </w:tcPr>
          <w:p w:rsidR="00464AFB" w:rsidRPr="008905F0" w:rsidRDefault="00464AFB" w:rsidP="00464AFB">
            <w:pPr>
              <w:pStyle w:val="NormalWeb"/>
              <w:spacing w:before="0" w:beforeAutospacing="0" w:after="0" w:afterAutospacing="0"/>
            </w:pPr>
            <w:r>
              <w:t>0</w:t>
            </w:r>
          </w:p>
        </w:tc>
        <w:tc>
          <w:tcPr>
            <w:tcW w:w="696" w:type="pct"/>
            <w:shd w:val="clear" w:color="auto" w:fill="auto"/>
          </w:tcPr>
          <w:p w:rsidR="00464AFB" w:rsidRPr="003C1FA5" w:rsidRDefault="00D42FE7" w:rsidP="00464AFB">
            <w:r>
              <w:t>0</w:t>
            </w:r>
          </w:p>
        </w:tc>
        <w:tc>
          <w:tcPr>
            <w:tcW w:w="694" w:type="pct"/>
            <w:shd w:val="clear" w:color="auto" w:fill="auto"/>
          </w:tcPr>
          <w:p w:rsidR="00464AFB" w:rsidRPr="008905F0" w:rsidRDefault="00D42FE7" w:rsidP="00464AFB">
            <w:pPr>
              <w:pStyle w:val="NormalWeb"/>
              <w:spacing w:before="0" w:beforeAutospacing="0" w:after="0" w:afterAutospacing="0"/>
            </w:pPr>
            <w:r>
              <w:t>0</w:t>
            </w:r>
          </w:p>
        </w:tc>
        <w:tc>
          <w:tcPr>
            <w:tcW w:w="1114" w:type="pct"/>
            <w:shd w:val="clear" w:color="auto" w:fill="auto"/>
          </w:tcPr>
          <w:p w:rsidR="00464AFB" w:rsidRPr="008905F0" w:rsidRDefault="00D42FE7" w:rsidP="00464AFB">
            <w:pPr>
              <w:pStyle w:val="NormalWeb"/>
              <w:spacing w:before="0" w:beforeAutospacing="0" w:after="0" w:afterAutospacing="0"/>
            </w:pPr>
            <w:r>
              <w:t>0</w:t>
            </w: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t>5.1. valsts pamatbudžets</w:t>
            </w:r>
          </w:p>
        </w:tc>
        <w:tc>
          <w:tcPr>
            <w:tcW w:w="585" w:type="pct"/>
            <w:vMerge/>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pStyle w:val="NormalWeb"/>
              <w:spacing w:before="0" w:beforeAutospacing="0" w:after="0" w:afterAutospacing="0"/>
            </w:pPr>
            <w:r>
              <w:t>0</w:t>
            </w:r>
          </w:p>
        </w:tc>
        <w:tc>
          <w:tcPr>
            <w:tcW w:w="696" w:type="pct"/>
            <w:shd w:val="clear" w:color="auto" w:fill="auto"/>
          </w:tcPr>
          <w:p w:rsidR="00464AFB" w:rsidRPr="003C1FA5" w:rsidRDefault="00D42FE7" w:rsidP="00464AFB">
            <w:r>
              <w:t>0</w:t>
            </w:r>
          </w:p>
        </w:tc>
        <w:tc>
          <w:tcPr>
            <w:tcW w:w="694" w:type="pct"/>
            <w:shd w:val="clear" w:color="auto" w:fill="auto"/>
          </w:tcPr>
          <w:p w:rsidR="00464AFB" w:rsidRPr="008905F0" w:rsidRDefault="00D42FE7" w:rsidP="00464AFB">
            <w:pPr>
              <w:pStyle w:val="NormalWeb"/>
              <w:spacing w:before="0" w:beforeAutospacing="0" w:after="0" w:afterAutospacing="0"/>
            </w:pPr>
            <w:r>
              <w:t>0</w:t>
            </w:r>
          </w:p>
        </w:tc>
        <w:tc>
          <w:tcPr>
            <w:tcW w:w="1114" w:type="pct"/>
            <w:shd w:val="clear" w:color="auto" w:fill="auto"/>
          </w:tcPr>
          <w:p w:rsidR="00464AFB" w:rsidRPr="008905F0" w:rsidRDefault="00D42FE7" w:rsidP="00464AFB">
            <w:pPr>
              <w:pStyle w:val="NormalWeb"/>
              <w:spacing w:before="0" w:beforeAutospacing="0" w:after="0" w:afterAutospacing="0"/>
            </w:pPr>
            <w:r>
              <w:t>0</w:t>
            </w: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t>5.2. speciālais budžets</w:t>
            </w:r>
          </w:p>
        </w:tc>
        <w:tc>
          <w:tcPr>
            <w:tcW w:w="585" w:type="pct"/>
            <w:vMerge/>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spacing w:before="0" w:after="0"/>
            </w:pPr>
          </w:p>
        </w:tc>
        <w:tc>
          <w:tcPr>
            <w:tcW w:w="696" w:type="pct"/>
            <w:shd w:val="clear" w:color="auto" w:fill="auto"/>
          </w:tcPr>
          <w:p w:rsidR="00464AFB" w:rsidRPr="008905F0" w:rsidRDefault="00464AFB" w:rsidP="00464AFB">
            <w:pPr>
              <w:spacing w:before="0" w:after="0"/>
            </w:pPr>
          </w:p>
        </w:tc>
        <w:tc>
          <w:tcPr>
            <w:tcW w:w="694" w:type="pct"/>
            <w:shd w:val="clear" w:color="auto" w:fill="auto"/>
          </w:tcPr>
          <w:p w:rsidR="00464AFB" w:rsidRPr="008905F0" w:rsidRDefault="00464AFB" w:rsidP="00464AFB">
            <w:pPr>
              <w:spacing w:before="0" w:after="0"/>
            </w:pPr>
          </w:p>
        </w:tc>
        <w:tc>
          <w:tcPr>
            <w:tcW w:w="1114" w:type="pct"/>
            <w:shd w:val="clear" w:color="auto" w:fill="auto"/>
          </w:tcPr>
          <w:p w:rsidR="00464AFB" w:rsidRPr="008905F0" w:rsidRDefault="00464AFB" w:rsidP="00464AFB">
            <w:pPr>
              <w:spacing w:before="0" w:after="0"/>
            </w:pP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t>5.3. pašvaldību budžets</w:t>
            </w:r>
          </w:p>
        </w:tc>
        <w:tc>
          <w:tcPr>
            <w:tcW w:w="585" w:type="pct"/>
            <w:vMerge/>
            <w:shd w:val="clear" w:color="auto" w:fill="auto"/>
          </w:tcPr>
          <w:p w:rsidR="00464AFB" w:rsidRPr="008905F0" w:rsidRDefault="00464AFB" w:rsidP="00464AFB">
            <w:pPr>
              <w:pStyle w:val="NormalWeb"/>
              <w:spacing w:before="0" w:beforeAutospacing="0" w:after="0" w:afterAutospacing="0"/>
            </w:pPr>
          </w:p>
        </w:tc>
        <w:tc>
          <w:tcPr>
            <w:tcW w:w="710" w:type="pct"/>
            <w:shd w:val="clear" w:color="auto" w:fill="auto"/>
          </w:tcPr>
          <w:p w:rsidR="00464AFB" w:rsidRPr="008905F0" w:rsidRDefault="00464AFB" w:rsidP="00464AFB">
            <w:pPr>
              <w:spacing w:before="0" w:after="0"/>
            </w:pPr>
          </w:p>
        </w:tc>
        <w:tc>
          <w:tcPr>
            <w:tcW w:w="696" w:type="pct"/>
            <w:shd w:val="clear" w:color="auto" w:fill="auto"/>
          </w:tcPr>
          <w:p w:rsidR="00464AFB" w:rsidRPr="008905F0" w:rsidRDefault="00464AFB" w:rsidP="00464AFB">
            <w:pPr>
              <w:spacing w:before="0" w:after="0"/>
            </w:pPr>
          </w:p>
        </w:tc>
        <w:tc>
          <w:tcPr>
            <w:tcW w:w="694" w:type="pct"/>
            <w:shd w:val="clear" w:color="auto" w:fill="auto"/>
          </w:tcPr>
          <w:p w:rsidR="00464AFB" w:rsidRPr="008905F0" w:rsidRDefault="00464AFB" w:rsidP="00464AFB">
            <w:pPr>
              <w:spacing w:before="0" w:after="0"/>
            </w:pPr>
          </w:p>
        </w:tc>
        <w:tc>
          <w:tcPr>
            <w:tcW w:w="1114" w:type="pct"/>
            <w:shd w:val="clear" w:color="auto" w:fill="auto"/>
          </w:tcPr>
          <w:p w:rsidR="00464AFB" w:rsidRPr="008905F0" w:rsidRDefault="00464AFB" w:rsidP="00464AFB">
            <w:pPr>
              <w:spacing w:before="0" w:after="0"/>
            </w:pPr>
          </w:p>
        </w:tc>
      </w:tr>
      <w:tr w:rsidR="00464AFB" w:rsidRPr="008905F0" w:rsidTr="00927D2D">
        <w:tc>
          <w:tcPr>
            <w:tcW w:w="1200" w:type="pct"/>
            <w:shd w:val="clear" w:color="auto" w:fill="auto"/>
          </w:tcPr>
          <w:p w:rsidR="00464AFB" w:rsidRPr="008905F0" w:rsidRDefault="00464AFB" w:rsidP="0095368C">
            <w:pPr>
              <w:autoSpaceDE w:val="0"/>
              <w:autoSpaceDN w:val="0"/>
              <w:adjustRightInd w:val="0"/>
              <w:spacing w:before="0" w:after="0" w:line="240" w:lineRule="auto"/>
              <w:jc w:val="left"/>
            </w:pPr>
            <w:r w:rsidRPr="008905F0">
              <w:t>6. Detalizēts ieņēmumu un izdevumu</w:t>
            </w:r>
            <w:r w:rsidR="0095368C">
              <w:t xml:space="preserve"> </w:t>
            </w:r>
            <w:r w:rsidRPr="008905F0">
              <w:t xml:space="preserve">aprēķins (ja nepieciešams, </w:t>
            </w:r>
            <w:r w:rsidRPr="008905F0">
              <w:lastRenderedPageBreak/>
              <w:t>detalizētu</w:t>
            </w:r>
            <w:r w:rsidR="0095368C">
              <w:t xml:space="preserve"> </w:t>
            </w:r>
            <w:r w:rsidRPr="008905F0">
              <w:t>ieņēmumu un izdevumu aprēķinu var</w:t>
            </w:r>
            <w:r w:rsidR="0095368C">
              <w:t xml:space="preserve"> </w:t>
            </w:r>
            <w:r w:rsidRPr="008905F0">
              <w:t>pievienot anotācijas pielikumā):</w:t>
            </w:r>
          </w:p>
        </w:tc>
        <w:tc>
          <w:tcPr>
            <w:tcW w:w="3800" w:type="pct"/>
            <w:gridSpan w:val="5"/>
            <w:vMerge w:val="restart"/>
            <w:shd w:val="clear" w:color="auto" w:fill="auto"/>
          </w:tcPr>
          <w:p w:rsidR="00464AFB" w:rsidRPr="008905F0" w:rsidRDefault="00464AFB" w:rsidP="00464AFB"/>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lastRenderedPageBreak/>
              <w:t>6.1. detalizēts ieņēmumu aprēķins</w:t>
            </w:r>
          </w:p>
        </w:tc>
        <w:tc>
          <w:tcPr>
            <w:tcW w:w="3800" w:type="pct"/>
            <w:gridSpan w:val="5"/>
            <w:vMerge/>
            <w:shd w:val="clear" w:color="auto" w:fill="auto"/>
          </w:tcPr>
          <w:p w:rsidR="00464AFB" w:rsidRPr="008905F0" w:rsidRDefault="00464AFB" w:rsidP="00464AFB">
            <w:pPr>
              <w:pStyle w:val="NormalWeb"/>
              <w:spacing w:before="0" w:beforeAutospacing="0" w:after="0" w:afterAutospacing="0"/>
            </w:pPr>
          </w:p>
        </w:tc>
      </w:tr>
      <w:tr w:rsidR="00464AFB" w:rsidRPr="008905F0" w:rsidTr="00927D2D">
        <w:tc>
          <w:tcPr>
            <w:tcW w:w="1200" w:type="pct"/>
            <w:shd w:val="clear" w:color="auto" w:fill="auto"/>
          </w:tcPr>
          <w:p w:rsidR="00464AFB" w:rsidRPr="008905F0" w:rsidRDefault="00464AFB" w:rsidP="0095368C">
            <w:pPr>
              <w:autoSpaceDE w:val="0"/>
              <w:autoSpaceDN w:val="0"/>
              <w:adjustRightInd w:val="0"/>
              <w:jc w:val="left"/>
            </w:pPr>
            <w:r w:rsidRPr="008905F0">
              <w:t>6.2. detalizēts izdevumu aprēķins</w:t>
            </w:r>
          </w:p>
        </w:tc>
        <w:tc>
          <w:tcPr>
            <w:tcW w:w="3800" w:type="pct"/>
            <w:gridSpan w:val="5"/>
            <w:vMerge/>
            <w:shd w:val="clear" w:color="auto" w:fill="auto"/>
          </w:tcPr>
          <w:p w:rsidR="00464AFB" w:rsidRPr="008905F0" w:rsidRDefault="00464AFB" w:rsidP="00464AFB">
            <w:pPr>
              <w:pStyle w:val="NormalWeb"/>
              <w:spacing w:before="0" w:beforeAutospacing="0" w:after="0" w:afterAutospacing="0"/>
            </w:pPr>
          </w:p>
        </w:tc>
      </w:tr>
      <w:tr w:rsidR="00464AFB" w:rsidRPr="008905F0" w:rsidTr="00927D2D">
        <w:trPr>
          <w:trHeight w:val="841"/>
        </w:trPr>
        <w:tc>
          <w:tcPr>
            <w:tcW w:w="1200" w:type="pct"/>
            <w:shd w:val="clear" w:color="auto" w:fill="auto"/>
          </w:tcPr>
          <w:p w:rsidR="00464AFB" w:rsidRPr="008905F0" w:rsidRDefault="00464AFB" w:rsidP="0095368C">
            <w:pPr>
              <w:autoSpaceDE w:val="0"/>
              <w:autoSpaceDN w:val="0"/>
              <w:adjustRightInd w:val="0"/>
              <w:jc w:val="left"/>
            </w:pPr>
            <w:r w:rsidRPr="008905F0">
              <w:t>7. Cita informācija</w:t>
            </w:r>
          </w:p>
        </w:tc>
        <w:tc>
          <w:tcPr>
            <w:tcW w:w="3800" w:type="pct"/>
            <w:gridSpan w:val="5"/>
            <w:shd w:val="clear" w:color="auto" w:fill="auto"/>
          </w:tcPr>
          <w:p w:rsidR="00464AFB" w:rsidRPr="008F143A" w:rsidRDefault="00464AFB" w:rsidP="00290D53">
            <w:pPr>
              <w:spacing w:before="0" w:after="0"/>
              <w:ind w:left="33" w:right="35"/>
            </w:pPr>
            <w:r w:rsidRPr="008F143A">
              <w:t xml:space="preserve">Konkursa ietvaros pieejamais finansējums ir </w:t>
            </w:r>
            <w:r w:rsidR="00B66320">
              <w:t>23</w:t>
            </w:r>
            <w:r>
              <w:t> 000 000</w:t>
            </w:r>
            <w:r w:rsidRPr="008F143A">
              <w:t xml:space="preserve"> </w:t>
            </w:r>
            <w:r w:rsidR="0095368C">
              <w:t>EUR</w:t>
            </w:r>
            <w:r w:rsidRPr="008F143A">
              <w:t xml:space="preserve">. Finansējums plānots Vides </w:t>
            </w:r>
            <w:r>
              <w:t xml:space="preserve">aizsardzības un reģionālās attīstības </w:t>
            </w:r>
            <w:r w:rsidRPr="008F143A">
              <w:t>ministrijas programmas „</w:t>
            </w:r>
            <w:r w:rsidRPr="00331D79">
              <w:t>Emisijas kvotu izsolīšanas instruments</w:t>
            </w:r>
            <w:r w:rsidRPr="008F143A">
              <w:t>” (</w:t>
            </w:r>
            <w:r>
              <w:t>33</w:t>
            </w:r>
            <w:r w:rsidRPr="008F143A">
              <w:t>.00.00) apakšprogrammā „</w:t>
            </w:r>
            <w:r w:rsidRPr="00331D79">
              <w:t xml:space="preserve">Emisijas kvotu izsolīšanas </w:t>
            </w:r>
            <w:r w:rsidRPr="008F143A">
              <w:t>instrumenta projekti” (</w:t>
            </w:r>
            <w:r>
              <w:t>33</w:t>
            </w:r>
            <w:r w:rsidRPr="008F143A">
              <w:t>.02.00).</w:t>
            </w:r>
          </w:p>
          <w:p w:rsidR="007F426A" w:rsidRPr="007F426A" w:rsidRDefault="00464AFB" w:rsidP="007F426A">
            <w:pPr>
              <w:spacing w:before="63" w:after="63"/>
              <w:rPr>
                <w:bCs/>
              </w:rPr>
            </w:pPr>
            <w:r w:rsidRPr="007F426A">
              <w:t xml:space="preserve">  </w:t>
            </w:r>
            <w:r w:rsidR="007F426A" w:rsidRPr="007F426A">
              <w:rPr>
                <w:bCs/>
              </w:rPr>
              <w:t>Valsts budžeta iestādēm, lai īstenotu noteikumu projektā paredzētos pasākumus, ir nepieciešams nodrošināt līdzfinansējumu, līdz ar to valsts budžeta iestādēm noteikumu projektā paredzēto pasākumu īstenošanai ir nepieciešams papildus finansējums.</w:t>
            </w:r>
            <w:r w:rsidR="007F426A" w:rsidRPr="007F426A">
              <w:t xml:space="preserve"> </w:t>
            </w:r>
            <w:r w:rsidR="007F426A" w:rsidRPr="007F426A">
              <w:rPr>
                <w:bCs/>
              </w:rPr>
              <w:t>Pēc projektu apstiprināšanas valsts budžeta iestādes normatīvajos aktos noteiktajā kārtībā no valsts pamatbudžeta programmas 80.00.00 „Nesadalītais finansējums Eiropas Savienības politiku instrumentu un pārējās ārvalstu finanšu palīdzības līdzfinansēto projektu un pasākumu īstenošanai” var pieprasīt līdzfinansējumu Emisijas kvotu izsolīšanas instrumenta projektu finansēšanai,</w:t>
            </w:r>
            <w:r w:rsidR="008F09C0">
              <w:rPr>
                <w:bCs/>
              </w:rPr>
              <w:t xml:space="preserve"> ja tajā ir pieejami līdzekļi.</w:t>
            </w:r>
          </w:p>
          <w:p w:rsidR="00464AFB" w:rsidRPr="008905F0" w:rsidRDefault="007F426A" w:rsidP="008F09C0">
            <w:pPr>
              <w:pStyle w:val="naisc"/>
              <w:spacing w:before="0" w:beforeAutospacing="0" w:after="0" w:afterAutospacing="0"/>
              <w:ind w:left="33" w:right="35"/>
            </w:pPr>
            <w:r w:rsidRPr="007F426A">
              <w:rPr>
                <w:bCs/>
              </w:rPr>
              <w:t>V</w:t>
            </w:r>
            <w:r w:rsidRPr="007F426A">
              <w:t>alsts budžeta iestādes līdzfinansējums projekta īstenošanai tiks nodrošināts no valsts budžeta līdzekļiem un maksājumi tiks veikti no līdzekļiem, kas finanšu instrumenta projekta īstenošanai paredzēti tās ministrijas budžetā, kuras padotībā ir attiecīgā valsts budžeta iestāde. Finanšu instrumenta finansējuma daļa projekta īstenošanai plānota kā saņemts transferts no Vides aizsardzības un reģionālās attīstības ministrijas atsevišķā budžeta programmā vai apakšprogrammā.</w:t>
            </w:r>
          </w:p>
        </w:tc>
      </w:tr>
    </w:tbl>
    <w:p w:rsidR="001F04F1" w:rsidRDefault="001F04F1" w:rsidP="00456C58">
      <w:pPr>
        <w:pStyle w:val="NormalWeb"/>
        <w:spacing w:before="0" w:beforeAutospacing="0" w:after="0" w:afterAutospacing="0"/>
        <w:rPr>
          <w:i/>
        </w:rPr>
      </w:pPr>
    </w:p>
    <w:p w:rsidR="001F04F1" w:rsidRDefault="001F04F1" w:rsidP="001F04F1">
      <w:pPr>
        <w:rPr>
          <w:i/>
          <w:color w:val="000000" w:themeColor="text1"/>
        </w:rPr>
      </w:pPr>
      <w:r w:rsidRPr="00D93FA3">
        <w:rPr>
          <w:i/>
          <w:color w:val="000000" w:themeColor="text1"/>
        </w:rPr>
        <w:t>Anotācijas IV sadaļa – projekts šīs jomas neskar.</w:t>
      </w:r>
    </w:p>
    <w:p w:rsidR="001F04F1" w:rsidRDefault="001F04F1" w:rsidP="00456C58">
      <w:pPr>
        <w:pStyle w:val="NormalWeb"/>
        <w:spacing w:before="0" w:beforeAutospacing="0" w:after="0" w:afterAutospacing="0"/>
        <w:rPr>
          <w:i/>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2289"/>
        <w:gridCol w:w="594"/>
        <w:gridCol w:w="2081"/>
        <w:gridCol w:w="2088"/>
        <w:gridCol w:w="2079"/>
      </w:tblGrid>
      <w:tr w:rsidR="00CE3374" w:rsidTr="00CE3374">
        <w:trPr>
          <w:trHeight w:val="381"/>
          <w:jc w:val="center"/>
        </w:trPr>
        <w:tc>
          <w:tcPr>
            <w:tcW w:w="9614" w:type="dxa"/>
            <w:gridSpan w:val="6"/>
            <w:tcBorders>
              <w:top w:val="single" w:sz="4" w:space="0" w:color="auto"/>
              <w:left w:val="single" w:sz="4" w:space="0" w:color="auto"/>
              <w:bottom w:val="single" w:sz="4" w:space="0" w:color="auto"/>
              <w:right w:val="single" w:sz="4" w:space="0" w:color="auto"/>
            </w:tcBorders>
            <w:vAlign w:val="center"/>
            <w:hideMark/>
          </w:tcPr>
          <w:p w:rsidR="00CE3374" w:rsidRDefault="00CE3374">
            <w:pPr>
              <w:pStyle w:val="naisnod"/>
              <w:spacing w:before="0" w:after="0" w:line="240" w:lineRule="auto"/>
              <w:ind w:left="57" w:right="57"/>
              <w:rPr>
                <w:color w:val="000000" w:themeColor="text1"/>
                <w:lang w:eastAsia="en-US"/>
              </w:rPr>
            </w:pPr>
            <w:r>
              <w:rPr>
                <w:color w:val="000000" w:themeColor="text1"/>
                <w:lang w:eastAsia="en-US"/>
              </w:rPr>
              <w:t>V. Tiesību akta projekta atbilstība Latvijas Republikas starptautiskajām saistībām</w:t>
            </w:r>
          </w:p>
        </w:tc>
      </w:tr>
      <w:tr w:rsidR="00CE3374" w:rsidTr="00CE3374">
        <w:trPr>
          <w:trHeight w:val="1668"/>
          <w:jc w:val="center"/>
        </w:trPr>
        <w:tc>
          <w:tcPr>
            <w:tcW w:w="483"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1.</w:t>
            </w:r>
          </w:p>
        </w:tc>
        <w:tc>
          <w:tcPr>
            <w:tcW w:w="228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Saistības pret Eiropas Savienību</w:t>
            </w:r>
          </w:p>
        </w:tc>
        <w:tc>
          <w:tcPr>
            <w:tcW w:w="6842" w:type="dxa"/>
            <w:gridSpan w:val="4"/>
            <w:tcBorders>
              <w:top w:val="outset" w:sz="6" w:space="0" w:color="auto"/>
              <w:left w:val="outset" w:sz="6" w:space="0" w:color="auto"/>
              <w:bottom w:val="outset" w:sz="6" w:space="0" w:color="auto"/>
              <w:right w:val="outset" w:sz="6" w:space="0" w:color="auto"/>
            </w:tcBorders>
            <w:hideMark/>
          </w:tcPr>
          <w:p w:rsidR="00CE3374" w:rsidRDefault="00CE3374">
            <w:pPr>
              <w:shd w:val="clear" w:color="auto" w:fill="FFFFFF"/>
              <w:spacing w:before="0" w:after="0" w:line="240" w:lineRule="auto"/>
              <w:ind w:left="-17"/>
              <w:rPr>
                <w:rFonts w:eastAsia="Calibri"/>
                <w:color w:val="000000"/>
              </w:rPr>
            </w:pPr>
            <w:r>
              <w:rPr>
                <w:color w:val="000000"/>
              </w:rPr>
              <w:t xml:space="preserve">Komisijas regula Nr. </w:t>
            </w:r>
            <w:r w:rsidRPr="008F09C0">
              <w:t>651/20</w:t>
            </w:r>
            <w:r>
              <w:rPr>
                <w:color w:val="000000"/>
              </w:rPr>
              <w:t>14</w:t>
            </w:r>
          </w:p>
        </w:tc>
      </w:tr>
      <w:tr w:rsidR="00CE3374" w:rsidTr="00CE3374">
        <w:trPr>
          <w:jc w:val="center"/>
        </w:trPr>
        <w:tc>
          <w:tcPr>
            <w:tcW w:w="483"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rFonts w:eastAsiaTheme="minorHAnsi"/>
                <w:color w:val="000000" w:themeColor="text1"/>
              </w:rPr>
            </w:pPr>
            <w:r>
              <w:rPr>
                <w:color w:val="000000" w:themeColor="text1"/>
              </w:rPr>
              <w:t>2.</w:t>
            </w:r>
          </w:p>
        </w:tc>
        <w:tc>
          <w:tcPr>
            <w:tcW w:w="228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Citas starptautiskās saistības</w:t>
            </w:r>
          </w:p>
        </w:tc>
        <w:tc>
          <w:tcPr>
            <w:tcW w:w="6842" w:type="dxa"/>
            <w:gridSpan w:val="4"/>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Projekts šo jomu neskar.</w:t>
            </w:r>
          </w:p>
        </w:tc>
      </w:tr>
      <w:tr w:rsidR="00CE3374" w:rsidTr="00CE3374">
        <w:trPr>
          <w:jc w:val="center"/>
        </w:trPr>
        <w:tc>
          <w:tcPr>
            <w:tcW w:w="483"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3.</w:t>
            </w:r>
          </w:p>
        </w:tc>
        <w:tc>
          <w:tcPr>
            <w:tcW w:w="228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Cita informācija</w:t>
            </w:r>
          </w:p>
        </w:tc>
        <w:tc>
          <w:tcPr>
            <w:tcW w:w="6842" w:type="dxa"/>
            <w:gridSpan w:val="4"/>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rPr>
                <w:color w:val="000000" w:themeColor="text1"/>
              </w:rPr>
            </w:pPr>
            <w:r>
              <w:rPr>
                <w:color w:val="000000" w:themeColor="text1"/>
              </w:rPr>
              <w:t>Nav.</w:t>
            </w:r>
          </w:p>
        </w:tc>
      </w:tr>
      <w:tr w:rsidR="00CE3374" w:rsidTr="00CE3374">
        <w:trPr>
          <w:jc w:val="center"/>
        </w:trPr>
        <w:tc>
          <w:tcPr>
            <w:tcW w:w="9614" w:type="dxa"/>
            <w:gridSpan w:val="6"/>
            <w:tcBorders>
              <w:top w:val="outset" w:sz="6" w:space="0" w:color="auto"/>
              <w:left w:val="outset" w:sz="6" w:space="0" w:color="auto"/>
              <w:bottom w:val="outset" w:sz="6" w:space="0" w:color="auto"/>
              <w:right w:val="outset" w:sz="6" w:space="0" w:color="auto"/>
            </w:tcBorders>
            <w:vAlign w:val="center"/>
            <w:hideMark/>
          </w:tcPr>
          <w:p w:rsidR="00CE3374" w:rsidRDefault="00CE3374">
            <w:pPr>
              <w:spacing w:before="0" w:after="0" w:line="240" w:lineRule="auto"/>
              <w:ind w:left="57"/>
              <w:jc w:val="center"/>
              <w:rPr>
                <w:b/>
                <w:color w:val="000000" w:themeColor="text1"/>
              </w:rPr>
            </w:pPr>
            <w:r>
              <w:rPr>
                <w:b/>
                <w:color w:val="000000" w:themeColor="text1"/>
              </w:rPr>
              <w:t>1.tabula</w:t>
            </w:r>
          </w:p>
          <w:p w:rsidR="00CE3374" w:rsidRDefault="00CE3374">
            <w:pPr>
              <w:spacing w:before="0" w:after="0" w:line="240" w:lineRule="auto"/>
              <w:ind w:left="57"/>
              <w:jc w:val="center"/>
              <w:rPr>
                <w:color w:val="000000" w:themeColor="text1"/>
              </w:rPr>
            </w:pPr>
            <w:r>
              <w:rPr>
                <w:b/>
                <w:color w:val="000000" w:themeColor="text1"/>
              </w:rPr>
              <w:t>Tiesību akta projekta atbilstība ES tiesību aktiem</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lastRenderedPageBreak/>
              <w:t>Attiecīgā ES tiesību akta datums, numurs un nosaukums</w:t>
            </w:r>
          </w:p>
        </w:tc>
        <w:tc>
          <w:tcPr>
            <w:tcW w:w="6248" w:type="dxa"/>
            <w:gridSpan w:val="3"/>
            <w:tcBorders>
              <w:top w:val="outset" w:sz="6" w:space="0" w:color="auto"/>
              <w:left w:val="outset" w:sz="6" w:space="0" w:color="auto"/>
              <w:bottom w:val="outset" w:sz="6" w:space="0" w:color="auto"/>
              <w:right w:val="outset" w:sz="6" w:space="0" w:color="auto"/>
            </w:tcBorders>
            <w:hideMark/>
          </w:tcPr>
          <w:p w:rsidR="00CE3374" w:rsidRDefault="00CE3374">
            <w:pPr>
              <w:shd w:val="clear" w:color="auto" w:fill="FFFFFF"/>
              <w:spacing w:before="0" w:after="0" w:line="240" w:lineRule="auto"/>
              <w:ind w:left="-17"/>
              <w:rPr>
                <w:color w:val="000000" w:themeColor="text1"/>
              </w:rPr>
            </w:pPr>
            <w:r>
              <w:rPr>
                <w:bCs/>
                <w:color w:val="000000"/>
              </w:rPr>
              <w:t>Komisijas 2014. gada 17. jūnija Regulas (ES) Nr. 651/2014, ar ko noteiktas atbalsta kategorijas atzīst par saderīgām ar iekšējo tirgu, piemērojot Līguma 107. un 108. pantu</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vAlign w:val="center"/>
            <w:hideMark/>
          </w:tcPr>
          <w:p w:rsidR="00CE3374" w:rsidRDefault="00CE3374">
            <w:pPr>
              <w:spacing w:before="0" w:after="0" w:line="240" w:lineRule="auto"/>
              <w:ind w:left="57"/>
              <w:jc w:val="center"/>
              <w:rPr>
                <w:color w:val="000000" w:themeColor="text1"/>
              </w:rPr>
            </w:pPr>
            <w:r>
              <w:rPr>
                <w:color w:val="000000" w:themeColor="text1"/>
              </w:rPr>
              <w:t>A</w:t>
            </w:r>
          </w:p>
        </w:tc>
        <w:tc>
          <w:tcPr>
            <w:tcW w:w="2081" w:type="dxa"/>
            <w:tcBorders>
              <w:top w:val="outset" w:sz="6" w:space="0" w:color="auto"/>
              <w:left w:val="outset" w:sz="6" w:space="0" w:color="auto"/>
              <w:bottom w:val="outset" w:sz="6" w:space="0" w:color="auto"/>
              <w:right w:val="outset" w:sz="6" w:space="0" w:color="auto"/>
            </w:tcBorders>
            <w:vAlign w:val="center"/>
            <w:hideMark/>
          </w:tcPr>
          <w:p w:rsidR="00CE3374" w:rsidRDefault="00CE3374">
            <w:pPr>
              <w:spacing w:before="0" w:after="0" w:line="240" w:lineRule="auto"/>
              <w:ind w:left="57"/>
              <w:jc w:val="center"/>
              <w:rPr>
                <w:color w:val="000000" w:themeColor="text1"/>
              </w:rPr>
            </w:pPr>
            <w:r>
              <w:rPr>
                <w:color w:val="000000" w:themeColor="text1"/>
              </w:rPr>
              <w:t>B</w:t>
            </w:r>
          </w:p>
        </w:tc>
        <w:tc>
          <w:tcPr>
            <w:tcW w:w="2088" w:type="dxa"/>
            <w:tcBorders>
              <w:top w:val="outset" w:sz="6" w:space="0" w:color="auto"/>
              <w:left w:val="outset" w:sz="6" w:space="0" w:color="auto"/>
              <w:bottom w:val="outset" w:sz="6" w:space="0" w:color="auto"/>
              <w:right w:val="outset" w:sz="6" w:space="0" w:color="auto"/>
            </w:tcBorders>
            <w:vAlign w:val="center"/>
            <w:hideMark/>
          </w:tcPr>
          <w:p w:rsidR="00CE3374" w:rsidRDefault="00CE3374">
            <w:pPr>
              <w:spacing w:before="0" w:after="0" w:line="240" w:lineRule="auto"/>
              <w:ind w:left="57"/>
              <w:jc w:val="center"/>
              <w:rPr>
                <w:color w:val="000000" w:themeColor="text1"/>
              </w:rPr>
            </w:pPr>
            <w:r>
              <w:rPr>
                <w:color w:val="000000" w:themeColor="text1"/>
              </w:rPr>
              <w:t>C</w:t>
            </w:r>
          </w:p>
        </w:tc>
        <w:tc>
          <w:tcPr>
            <w:tcW w:w="2079" w:type="dxa"/>
            <w:tcBorders>
              <w:top w:val="outset" w:sz="6" w:space="0" w:color="auto"/>
              <w:left w:val="outset" w:sz="6" w:space="0" w:color="auto"/>
              <w:bottom w:val="outset" w:sz="6" w:space="0" w:color="auto"/>
              <w:right w:val="outset" w:sz="6" w:space="0" w:color="auto"/>
            </w:tcBorders>
            <w:vAlign w:val="center"/>
            <w:hideMark/>
          </w:tcPr>
          <w:p w:rsidR="00CE3374" w:rsidRDefault="00CE3374">
            <w:pPr>
              <w:spacing w:before="0" w:after="0" w:line="240" w:lineRule="auto"/>
              <w:ind w:left="57"/>
              <w:jc w:val="center"/>
              <w:rPr>
                <w:color w:val="000000" w:themeColor="text1"/>
              </w:rPr>
            </w:pPr>
            <w:r>
              <w:rPr>
                <w:color w:val="000000" w:themeColor="text1"/>
              </w:rPr>
              <w:t>D</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spacing w:val="-3"/>
              </w:rPr>
            </w:pPr>
            <w:r w:rsidRPr="008F09C0">
              <w:rPr>
                <w:color w:val="000000" w:themeColor="text1"/>
                <w:spacing w:val="-3"/>
              </w:rPr>
              <w:t>Attiecīgā ES tiesību akta panta numurs (uzskaitot katru tiesību akta vienību – pantu, daļu, punktu, apakšpunktu)</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spacing w:val="-3"/>
              </w:rPr>
            </w:pPr>
            <w:r w:rsidRPr="008F09C0">
              <w:rPr>
                <w:color w:val="000000" w:themeColor="text1"/>
                <w:spacing w:val="-3"/>
              </w:rPr>
              <w:t>Projekta vienība, kas pārņem vai ievieš katru šīs tabulas A ailē minēto ES tiesību akta vienību, vai tiesību akts, kur attiecīgā ES tiesību akta vienība pārņemta vai ieviesta</w:t>
            </w:r>
          </w:p>
        </w:tc>
        <w:tc>
          <w:tcPr>
            <w:tcW w:w="2088"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3"/>
              </w:rPr>
            </w:pPr>
            <w:r>
              <w:rPr>
                <w:color w:val="000000" w:themeColor="text1"/>
                <w:spacing w:val="-3"/>
              </w:rPr>
              <w:t>Informācija par to, vai šīs tabulas A ailē minētās ES tiesību akta vienības tiek pārņemtas vai ieviestas pilnībā vai daļēji.</w:t>
            </w:r>
          </w:p>
          <w:p w:rsidR="00CE3374" w:rsidRDefault="00CE3374">
            <w:pPr>
              <w:spacing w:before="0" w:after="0" w:line="240" w:lineRule="auto"/>
              <w:ind w:left="57"/>
              <w:rPr>
                <w:color w:val="000000" w:themeColor="text1"/>
                <w:spacing w:val="-3"/>
              </w:rPr>
            </w:pPr>
            <w:r>
              <w:rPr>
                <w:color w:val="000000" w:themeColor="text1"/>
                <w:spacing w:val="-3"/>
              </w:rPr>
              <w:t>Ja attiecīgā ES tiesību akta vienība tiek pārņemta vai ieviesta daļēji, sniedz attiecīgu skaidrojumu, kā arī precīzi norāda, kad un kādā veidā ES tiesību akta vienība tiks pārņemta vai ieviesta pilnībā.</w:t>
            </w:r>
          </w:p>
          <w:p w:rsidR="00CE3374" w:rsidRDefault="00CE3374">
            <w:pPr>
              <w:spacing w:before="0" w:after="0" w:line="240" w:lineRule="auto"/>
              <w:ind w:left="57"/>
              <w:rPr>
                <w:color w:val="000000" w:themeColor="text1"/>
                <w:spacing w:val="-3"/>
              </w:rPr>
            </w:pPr>
            <w:r>
              <w:rPr>
                <w:color w:val="000000" w:themeColor="text1"/>
                <w:spacing w:val="-3"/>
              </w:rPr>
              <w:t>Norāda institūciju, kas ir atbildīga par šo saistību izpildi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spacing w:val="-3"/>
              </w:rPr>
              <w:t xml:space="preserve">Informācija par to, vai šīs </w:t>
            </w:r>
            <w:r>
              <w:rPr>
                <w:color w:val="000000" w:themeColor="text1"/>
              </w:rPr>
              <w:t>tabulas B ailē minētās projekta vienības paredz stingrākas prasības nekā šīs tabulas A ailē minētās ES tiesību akta vienības.</w:t>
            </w:r>
          </w:p>
          <w:p w:rsidR="00CE3374" w:rsidRDefault="00CE3374">
            <w:pPr>
              <w:spacing w:before="0" w:after="0" w:line="240" w:lineRule="auto"/>
              <w:ind w:left="57"/>
              <w:rPr>
                <w:color w:val="000000" w:themeColor="text1"/>
              </w:rPr>
            </w:pPr>
            <w:r>
              <w:rPr>
                <w:color w:val="000000" w:themeColor="text1"/>
              </w:rPr>
              <w:t>Ja projekts satur stingrā</w:t>
            </w:r>
            <w:r>
              <w:rPr>
                <w:color w:val="000000" w:themeColor="text1"/>
              </w:rPr>
              <w:softHyphen/>
              <w:t>kas prasības nekā attie</w:t>
            </w:r>
            <w:r>
              <w:rPr>
                <w:color w:val="000000" w:themeColor="text1"/>
              </w:rPr>
              <w:softHyphen/>
              <w:t>cīgais ES tiesību akts, norāda pamatojumu un samērīgumu.</w:t>
            </w:r>
          </w:p>
          <w:p w:rsidR="00CE3374" w:rsidRDefault="00CE3374">
            <w:pPr>
              <w:spacing w:before="0" w:after="0" w:line="240" w:lineRule="auto"/>
              <w:ind w:left="57"/>
              <w:rPr>
                <w:color w:val="000000" w:themeColor="text1"/>
                <w:spacing w:val="-3"/>
              </w:rPr>
            </w:pPr>
            <w:r>
              <w:rPr>
                <w:color w:val="000000" w:themeColor="text1"/>
              </w:rPr>
              <w:t>Norāda iespējamās alternatīvas (t.sk. alternatīvas, kas neparedz tiesiskā regulējuma izstrādi) – kādos gadījumos būtu iespējams izvairīties no stingrāku prasību</w:t>
            </w:r>
            <w:r>
              <w:rPr>
                <w:color w:val="000000" w:themeColor="text1"/>
                <w:spacing w:val="-3"/>
              </w:rPr>
              <w:t xml:space="preserve"> noteikšanas, nekā paredzēts attiecīgajos </w:t>
            </w:r>
          </w:p>
          <w:p w:rsidR="00CE3374" w:rsidRDefault="00CE3374">
            <w:pPr>
              <w:spacing w:before="0" w:after="0" w:line="240" w:lineRule="auto"/>
              <w:ind w:left="57"/>
              <w:rPr>
                <w:color w:val="000000" w:themeColor="text1"/>
                <w:spacing w:val="-3"/>
              </w:rPr>
            </w:pPr>
            <w:r>
              <w:rPr>
                <w:color w:val="000000" w:themeColor="text1"/>
                <w:spacing w:val="-3"/>
              </w:rPr>
              <w:t>ES tiesību aktos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53. panta 1.punkts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C6115A">
            <w:pPr>
              <w:spacing w:before="0" w:after="0" w:line="240" w:lineRule="auto"/>
              <w:ind w:left="57"/>
              <w:rPr>
                <w:color w:val="000000" w:themeColor="text1"/>
              </w:rPr>
            </w:pPr>
            <w:r w:rsidRPr="008F09C0">
              <w:rPr>
                <w:color w:val="000000" w:themeColor="text1"/>
              </w:rPr>
              <w:t>Noteikumu projekta 1</w:t>
            </w:r>
            <w:r w:rsidR="00C6115A" w:rsidRPr="008F09C0">
              <w:rPr>
                <w:color w:val="000000" w:themeColor="text1"/>
              </w:rPr>
              <w:t>2</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FB4E30" w:rsidRDefault="00CE3374">
            <w:pPr>
              <w:spacing w:before="0" w:after="0" w:line="240" w:lineRule="auto"/>
              <w:ind w:left="57"/>
              <w:rPr>
                <w:color w:val="000000" w:themeColor="text1"/>
                <w:spacing w:val="-2"/>
              </w:rPr>
            </w:pPr>
            <w:r w:rsidRPr="00FB4E30">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FB4E30">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 panta 2. punkta a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FB4E30">
            <w:pPr>
              <w:spacing w:before="0" w:after="0" w:line="240" w:lineRule="auto"/>
              <w:ind w:left="57"/>
              <w:rPr>
                <w:color w:val="000000" w:themeColor="text1"/>
              </w:rPr>
            </w:pPr>
            <w:r w:rsidRPr="008F09C0">
              <w:rPr>
                <w:color w:val="000000" w:themeColor="text1"/>
              </w:rPr>
              <w:t>Noteikumu projekta 14</w:t>
            </w:r>
            <w:r w:rsidR="00CE3374"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FB4E30" w:rsidRDefault="00CE3374">
            <w:pPr>
              <w:spacing w:before="0" w:after="0" w:line="240" w:lineRule="auto"/>
              <w:ind w:left="57"/>
              <w:rPr>
                <w:color w:val="000000" w:themeColor="text1"/>
                <w:spacing w:val="-2"/>
              </w:rPr>
            </w:pPr>
            <w:r w:rsidRPr="00FB4E30">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FB4E30">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1. panta 3. punkta a) un b) apakšpunkts</w:t>
            </w:r>
            <w:r w:rsidR="00953FA8" w:rsidRPr="008F09C0">
              <w:rPr>
                <w:color w:val="000000" w:themeColor="text1"/>
              </w:rPr>
              <w:t xml:space="preserve"> un 1.panta 2.punkta c) un d)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BF6013">
            <w:pPr>
              <w:spacing w:before="0" w:after="0" w:line="240" w:lineRule="auto"/>
              <w:ind w:left="57"/>
              <w:rPr>
                <w:color w:val="000000" w:themeColor="text1"/>
              </w:rPr>
            </w:pPr>
            <w:r w:rsidRPr="008F09C0">
              <w:rPr>
                <w:color w:val="000000" w:themeColor="text1"/>
              </w:rPr>
              <w:t>Noteikumu projekta 1</w:t>
            </w:r>
            <w:r w:rsidR="00BF6013" w:rsidRPr="008F09C0">
              <w:rPr>
                <w:color w:val="000000" w:themeColor="text1"/>
              </w:rPr>
              <w:t>9</w:t>
            </w:r>
            <w:r w:rsidRPr="008F09C0">
              <w:rPr>
                <w:color w:val="000000" w:themeColor="text1"/>
              </w:rPr>
              <w:t>.</w:t>
            </w:r>
            <w:r w:rsidR="00BF6013" w:rsidRPr="008F09C0">
              <w:rPr>
                <w:color w:val="000000" w:themeColor="text1"/>
              </w:rPr>
              <w:t>5</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BF6013" w:rsidRDefault="00CE3374">
            <w:pPr>
              <w:spacing w:before="0" w:after="0" w:line="240" w:lineRule="auto"/>
              <w:ind w:left="57"/>
              <w:rPr>
                <w:color w:val="000000" w:themeColor="text1"/>
                <w:spacing w:val="-2"/>
              </w:rPr>
            </w:pPr>
            <w:r w:rsidRPr="00BF6013">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BF6013">
              <w:rPr>
                <w:color w:val="000000" w:themeColor="text1"/>
                <w:spacing w:val="-2"/>
              </w:rPr>
              <w:t>Stingrākas prasības netiek piemērotas.</w:t>
            </w:r>
          </w:p>
        </w:tc>
      </w:tr>
      <w:tr w:rsidR="00C6115A"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C6115A" w:rsidRPr="008F09C0" w:rsidRDefault="00C6115A" w:rsidP="00E77BA8">
            <w:pPr>
              <w:spacing w:before="0" w:after="0" w:line="240" w:lineRule="auto"/>
              <w:ind w:left="57"/>
              <w:rPr>
                <w:color w:val="000000" w:themeColor="text1"/>
              </w:rPr>
            </w:pPr>
            <w:r w:rsidRPr="008F09C0">
              <w:rPr>
                <w:color w:val="000000" w:themeColor="text1"/>
              </w:rPr>
              <w:t xml:space="preserve">Regulas 651/2014  1. panta 3. </w:t>
            </w:r>
            <w:r w:rsidR="00E77BA8" w:rsidRPr="008F09C0">
              <w:rPr>
                <w:color w:val="000000" w:themeColor="text1"/>
              </w:rPr>
              <w:t>punkta otrā daļa</w:t>
            </w:r>
          </w:p>
        </w:tc>
        <w:tc>
          <w:tcPr>
            <w:tcW w:w="2081" w:type="dxa"/>
            <w:tcBorders>
              <w:top w:val="outset" w:sz="6" w:space="0" w:color="auto"/>
              <w:left w:val="outset" w:sz="6" w:space="0" w:color="auto"/>
              <w:bottom w:val="outset" w:sz="6" w:space="0" w:color="auto"/>
              <w:right w:val="outset" w:sz="6" w:space="0" w:color="auto"/>
            </w:tcBorders>
          </w:tcPr>
          <w:p w:rsidR="00C6115A" w:rsidRPr="008F09C0" w:rsidRDefault="00C6115A" w:rsidP="00C6115A">
            <w:pPr>
              <w:spacing w:before="0" w:after="0" w:line="240" w:lineRule="auto"/>
              <w:ind w:left="57"/>
              <w:rPr>
                <w:color w:val="000000" w:themeColor="text1"/>
              </w:rPr>
            </w:pPr>
            <w:r w:rsidRPr="008F09C0">
              <w:rPr>
                <w:color w:val="000000" w:themeColor="text1"/>
              </w:rPr>
              <w:t>Noteikumu projekta 20.punkts</w:t>
            </w:r>
          </w:p>
        </w:tc>
        <w:tc>
          <w:tcPr>
            <w:tcW w:w="2088" w:type="dxa"/>
            <w:tcBorders>
              <w:top w:val="outset" w:sz="6" w:space="0" w:color="auto"/>
              <w:left w:val="outset" w:sz="6" w:space="0" w:color="auto"/>
              <w:bottom w:val="outset" w:sz="6" w:space="0" w:color="auto"/>
              <w:right w:val="outset" w:sz="6" w:space="0" w:color="auto"/>
            </w:tcBorders>
          </w:tcPr>
          <w:p w:rsidR="00C6115A" w:rsidRPr="00BF6013" w:rsidRDefault="00C6115A" w:rsidP="00C6115A">
            <w:pPr>
              <w:spacing w:before="0" w:after="0" w:line="240" w:lineRule="auto"/>
              <w:ind w:left="57"/>
              <w:rPr>
                <w:color w:val="000000" w:themeColor="text1"/>
                <w:spacing w:val="-2"/>
              </w:rPr>
            </w:pPr>
            <w:r w:rsidRPr="00BF6013">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tcPr>
          <w:p w:rsidR="00C6115A" w:rsidRDefault="00C6115A" w:rsidP="00C6115A">
            <w:pPr>
              <w:spacing w:before="0" w:after="0" w:line="240" w:lineRule="auto"/>
              <w:ind w:left="57"/>
              <w:rPr>
                <w:color w:val="000000" w:themeColor="text1"/>
                <w:spacing w:val="-2"/>
              </w:rPr>
            </w:pPr>
            <w:r w:rsidRPr="00BF6013">
              <w:rPr>
                <w:color w:val="000000" w:themeColor="text1"/>
                <w:spacing w:val="-2"/>
              </w:rPr>
              <w:t>Stingrākas prasības netiek piemērotas.</w:t>
            </w:r>
          </w:p>
        </w:tc>
      </w:tr>
      <w:tr w:rsidR="00CE3374" w:rsidRPr="00C1713A"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53.panta 6.punkts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222F71">
            <w:pPr>
              <w:spacing w:before="0" w:after="0" w:line="240" w:lineRule="auto"/>
              <w:ind w:left="57"/>
              <w:rPr>
                <w:color w:val="000000" w:themeColor="text1"/>
              </w:rPr>
            </w:pPr>
            <w:r w:rsidRPr="008F09C0">
              <w:rPr>
                <w:color w:val="000000" w:themeColor="text1"/>
              </w:rPr>
              <w:t>Noteikumu projekta 2</w:t>
            </w:r>
            <w:r w:rsidR="00C6115A" w:rsidRPr="008F09C0">
              <w:rPr>
                <w:color w:val="000000" w:themeColor="text1"/>
              </w:rPr>
              <w:t>6</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C1713A" w:rsidRDefault="00CE3374">
            <w:pPr>
              <w:spacing w:before="0" w:after="0" w:line="240" w:lineRule="auto"/>
              <w:ind w:left="57"/>
              <w:rPr>
                <w:iCs/>
                <w:color w:val="000000" w:themeColor="text1"/>
              </w:rPr>
            </w:pPr>
            <w:r w:rsidRPr="00C1713A">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Pr="00C1713A" w:rsidRDefault="00CE3374">
            <w:pPr>
              <w:spacing w:before="0" w:after="0" w:line="240" w:lineRule="auto"/>
              <w:ind w:left="57"/>
              <w:rPr>
                <w:color w:val="000000" w:themeColor="text1"/>
                <w:spacing w:val="-2"/>
              </w:rPr>
            </w:pPr>
            <w:r w:rsidRPr="00C1713A">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53.panta 8.punkts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222F71" w:rsidP="00C1713A">
            <w:pPr>
              <w:spacing w:before="0" w:after="0" w:line="240" w:lineRule="auto"/>
              <w:ind w:left="57"/>
              <w:rPr>
                <w:color w:val="000000" w:themeColor="text1"/>
              </w:rPr>
            </w:pPr>
            <w:r w:rsidRPr="008F09C0">
              <w:rPr>
                <w:color w:val="000000" w:themeColor="text1"/>
              </w:rPr>
              <w:t>Noteikumu projekta 27</w:t>
            </w:r>
            <w:r w:rsidR="00CE3374"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C1713A" w:rsidRDefault="00CE3374">
            <w:pPr>
              <w:spacing w:before="0" w:after="0" w:line="240" w:lineRule="auto"/>
              <w:ind w:left="57"/>
              <w:rPr>
                <w:iCs/>
                <w:color w:val="000000" w:themeColor="text1"/>
              </w:rPr>
            </w:pPr>
            <w:r w:rsidRPr="00C1713A">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C1713A">
              <w:rPr>
                <w:color w:val="000000" w:themeColor="text1"/>
                <w:spacing w:val="-2"/>
              </w:rPr>
              <w:t>Stingrākas prasības netiek piemērotas.</w:t>
            </w:r>
          </w:p>
        </w:tc>
      </w:tr>
      <w:tr w:rsidR="00CE3374" w:rsidRPr="00AB33CA"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53.panta 3.punkta a)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C6115A">
            <w:pPr>
              <w:spacing w:before="0" w:after="0" w:line="240" w:lineRule="auto"/>
              <w:ind w:left="57"/>
              <w:rPr>
                <w:color w:val="000000" w:themeColor="text1"/>
              </w:rPr>
            </w:pPr>
            <w:r w:rsidRPr="008F09C0">
              <w:rPr>
                <w:color w:val="000000" w:themeColor="text1"/>
              </w:rPr>
              <w:t xml:space="preserve">Noteikumu projekta </w:t>
            </w:r>
            <w:r w:rsidR="00222F71" w:rsidRPr="008F09C0">
              <w:rPr>
                <w:color w:val="000000" w:themeColor="text1"/>
              </w:rPr>
              <w:t>3</w:t>
            </w:r>
            <w:r w:rsidR="00C6115A" w:rsidRPr="008F09C0">
              <w:rPr>
                <w:color w:val="000000" w:themeColor="text1"/>
              </w:rPr>
              <w:t>3</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AB33CA" w:rsidRDefault="00CE3374">
            <w:pPr>
              <w:spacing w:before="0" w:after="0" w:line="240" w:lineRule="auto"/>
              <w:ind w:left="57"/>
              <w:rPr>
                <w:iCs/>
                <w:color w:val="000000" w:themeColor="text1"/>
              </w:rPr>
            </w:pPr>
            <w:r w:rsidRPr="00AB33CA">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Pr="00AB33CA" w:rsidRDefault="00CE3374">
            <w:pPr>
              <w:spacing w:before="0" w:after="0" w:line="240" w:lineRule="auto"/>
              <w:ind w:left="57"/>
              <w:rPr>
                <w:color w:val="000000" w:themeColor="text1"/>
                <w:spacing w:val="-2"/>
              </w:rPr>
            </w:pPr>
            <w:r w:rsidRPr="00AB33CA">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lastRenderedPageBreak/>
              <w:t>Regulas 651/2014  53.panta 4.punkta a)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C6115A">
            <w:pPr>
              <w:spacing w:before="0" w:after="0" w:line="240" w:lineRule="auto"/>
              <w:ind w:left="57"/>
              <w:rPr>
                <w:color w:val="000000" w:themeColor="text1"/>
              </w:rPr>
            </w:pPr>
            <w:r w:rsidRPr="008F09C0">
              <w:rPr>
                <w:color w:val="000000" w:themeColor="text1"/>
              </w:rPr>
              <w:t xml:space="preserve">Noteikumu projekta </w:t>
            </w:r>
            <w:r w:rsidR="00222F71" w:rsidRPr="008F09C0">
              <w:rPr>
                <w:color w:val="000000" w:themeColor="text1"/>
              </w:rPr>
              <w:t>3</w:t>
            </w:r>
            <w:r w:rsidR="00C6115A" w:rsidRPr="008F09C0">
              <w:rPr>
                <w:color w:val="000000" w:themeColor="text1"/>
              </w:rPr>
              <w:t>3</w:t>
            </w:r>
            <w:r w:rsidRPr="008F09C0">
              <w:rPr>
                <w:color w:val="000000" w:themeColor="text1"/>
              </w:rPr>
              <w:t>.</w:t>
            </w:r>
            <w:r w:rsidR="00C6115A" w:rsidRPr="008F09C0">
              <w:rPr>
                <w:color w:val="000000" w:themeColor="text1"/>
              </w:rPr>
              <w:t xml:space="preserve"> un 35.</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AB33CA" w:rsidRDefault="00CE3374">
            <w:pPr>
              <w:spacing w:before="0" w:after="0" w:line="240" w:lineRule="auto"/>
              <w:ind w:left="57"/>
              <w:rPr>
                <w:iCs/>
                <w:color w:val="000000" w:themeColor="text1"/>
              </w:rPr>
            </w:pPr>
            <w:r w:rsidRPr="00AB33CA">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AB33CA">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53.panta 4.punkta d)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222F71" w:rsidP="00C6115A">
            <w:pPr>
              <w:spacing w:before="0" w:after="0" w:line="240" w:lineRule="auto"/>
              <w:ind w:left="57"/>
              <w:rPr>
                <w:color w:val="000000" w:themeColor="text1"/>
              </w:rPr>
            </w:pPr>
            <w:r w:rsidRPr="008F09C0">
              <w:rPr>
                <w:color w:val="000000" w:themeColor="text1"/>
              </w:rPr>
              <w:t>Noteikumu projekta 3</w:t>
            </w:r>
            <w:r w:rsidR="00C6115A" w:rsidRPr="008F09C0">
              <w:rPr>
                <w:color w:val="000000" w:themeColor="text1"/>
              </w:rPr>
              <w:t>3</w:t>
            </w:r>
            <w:r w:rsidR="00CE3374"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AB33CA" w:rsidRDefault="00CE3374">
            <w:pPr>
              <w:spacing w:before="0" w:after="0" w:line="240" w:lineRule="auto"/>
              <w:ind w:left="57"/>
              <w:rPr>
                <w:iCs/>
                <w:color w:val="000000" w:themeColor="text1"/>
              </w:rPr>
            </w:pPr>
            <w:r w:rsidRPr="00AB33CA">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AB33CA">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6.panta 5.punkta h) apakšpunkts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EF7CCA">
            <w:pPr>
              <w:spacing w:before="0" w:after="0" w:line="240" w:lineRule="auto"/>
              <w:ind w:left="57"/>
              <w:rPr>
                <w:color w:val="000000" w:themeColor="text1"/>
              </w:rPr>
            </w:pPr>
            <w:r w:rsidRPr="008F09C0">
              <w:rPr>
                <w:color w:val="000000" w:themeColor="text1"/>
              </w:rPr>
              <w:t xml:space="preserve">Noteikumu projekta </w:t>
            </w:r>
            <w:r w:rsidR="00B56767" w:rsidRPr="008F09C0">
              <w:rPr>
                <w:color w:val="000000" w:themeColor="text1"/>
              </w:rPr>
              <w:t>3</w:t>
            </w:r>
            <w:r w:rsidR="00EF7CCA" w:rsidRPr="008F09C0">
              <w:rPr>
                <w:color w:val="000000" w:themeColor="text1"/>
              </w:rPr>
              <w:t>7</w:t>
            </w:r>
            <w:r w:rsidRPr="008F09C0">
              <w:rPr>
                <w:color w:val="000000" w:themeColor="text1"/>
              </w:rPr>
              <w:t>.2.apakšpunkts.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CA2546" w:rsidRDefault="00CE3374">
            <w:pPr>
              <w:spacing w:before="0" w:after="0" w:line="240" w:lineRule="auto"/>
              <w:ind w:left="57"/>
              <w:rPr>
                <w:iCs/>
                <w:color w:val="000000" w:themeColor="text1"/>
              </w:rPr>
            </w:pPr>
            <w:r w:rsidRPr="00CA2546">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CA2546">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Pr>
                <w:color w:val="000000" w:themeColor="text1"/>
              </w:rPr>
            </w:pPr>
            <w:r w:rsidRPr="008F09C0">
              <w:rPr>
                <w:color w:val="000000" w:themeColor="text1"/>
              </w:rPr>
              <w:t>Regulas 651/2014  58.panta 4.punkts</w:t>
            </w: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222F71" w:rsidP="00762C4E">
            <w:pPr>
              <w:spacing w:before="0" w:after="0" w:line="240" w:lineRule="auto"/>
              <w:ind w:left="57"/>
              <w:rPr>
                <w:color w:val="000000" w:themeColor="text1"/>
              </w:rPr>
            </w:pPr>
            <w:r w:rsidRPr="008F09C0">
              <w:rPr>
                <w:color w:val="000000" w:themeColor="text1"/>
              </w:rPr>
              <w:t>Noteikumu projekta 6</w:t>
            </w:r>
            <w:r w:rsidR="00762C4E" w:rsidRPr="008F09C0">
              <w:rPr>
                <w:color w:val="000000" w:themeColor="text1"/>
              </w:rPr>
              <w:t>2</w:t>
            </w:r>
            <w:r w:rsidR="00CE3374"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Pr="00F14007" w:rsidRDefault="00CE3374">
            <w:pPr>
              <w:spacing w:before="0" w:after="0" w:line="240" w:lineRule="auto"/>
              <w:ind w:left="57"/>
              <w:rPr>
                <w:iCs/>
                <w:color w:val="000000" w:themeColor="text1"/>
              </w:rPr>
            </w:pPr>
            <w:r w:rsidRPr="00F14007">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sidRPr="00F14007">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tcPr>
          <w:p w:rsidR="00CE3374" w:rsidRPr="008F09C0" w:rsidRDefault="00CE3374">
            <w:pPr>
              <w:spacing w:before="0" w:after="0" w:line="240" w:lineRule="auto"/>
              <w:ind w:left="57"/>
              <w:rPr>
                <w:color w:val="000000" w:themeColor="text1"/>
              </w:rPr>
            </w:pPr>
            <w:r w:rsidRPr="008F09C0">
              <w:rPr>
                <w:rFonts w:eastAsia="Calibri"/>
                <w:color w:val="000000" w:themeColor="text1"/>
              </w:rPr>
              <w:t>Regulas 651/2014</w:t>
            </w:r>
            <w:r w:rsidR="00B56767" w:rsidRPr="008F09C0">
              <w:rPr>
                <w:rFonts w:eastAsia="Calibri"/>
                <w:color w:val="000000" w:themeColor="text1"/>
              </w:rPr>
              <w:t xml:space="preserve"> </w:t>
            </w:r>
            <w:r w:rsidRPr="008F09C0">
              <w:rPr>
                <w:rFonts w:eastAsia="Calibri"/>
                <w:color w:val="000000" w:themeColor="text1"/>
              </w:rPr>
              <w:t xml:space="preserve"> 9.panta 1. un 4.apakšpunkts</w:t>
            </w:r>
            <w:r w:rsidRPr="008F09C0">
              <w:rPr>
                <w:color w:val="000000" w:themeColor="text1"/>
              </w:rPr>
              <w:t>.</w:t>
            </w:r>
          </w:p>
          <w:p w:rsidR="00CE3374" w:rsidRPr="008F09C0" w:rsidRDefault="00CE3374">
            <w:pPr>
              <w:spacing w:before="0" w:after="0" w:line="240" w:lineRule="auto"/>
              <w:ind w:left="57"/>
              <w:rPr>
                <w:color w:val="000000" w:themeColor="text1"/>
              </w:rPr>
            </w:pPr>
          </w:p>
        </w:tc>
        <w:tc>
          <w:tcPr>
            <w:tcW w:w="2081" w:type="dxa"/>
            <w:tcBorders>
              <w:top w:val="outset" w:sz="6" w:space="0" w:color="auto"/>
              <w:left w:val="outset" w:sz="6" w:space="0" w:color="auto"/>
              <w:bottom w:val="outset" w:sz="6" w:space="0" w:color="auto"/>
              <w:right w:val="outset" w:sz="6" w:space="0" w:color="auto"/>
            </w:tcBorders>
            <w:hideMark/>
          </w:tcPr>
          <w:p w:rsidR="00CE3374" w:rsidRPr="008F09C0" w:rsidRDefault="00CE3374" w:rsidP="000F5F82">
            <w:pPr>
              <w:spacing w:before="0" w:after="0" w:line="240" w:lineRule="auto"/>
              <w:ind w:left="57"/>
              <w:rPr>
                <w:color w:val="000000" w:themeColor="text1"/>
              </w:rPr>
            </w:pPr>
            <w:r w:rsidRPr="008F09C0">
              <w:rPr>
                <w:color w:val="000000" w:themeColor="text1"/>
              </w:rPr>
              <w:t>Noteikumu projekta 10</w:t>
            </w:r>
            <w:r w:rsidR="00762C4E" w:rsidRPr="008F09C0">
              <w:rPr>
                <w:color w:val="000000" w:themeColor="text1"/>
              </w:rPr>
              <w:t>8</w:t>
            </w:r>
            <w:r w:rsidRPr="008F09C0">
              <w:rPr>
                <w:color w:val="000000" w:themeColor="text1"/>
              </w:rPr>
              <w:t>.punkts.</w:t>
            </w:r>
          </w:p>
        </w:tc>
        <w:tc>
          <w:tcPr>
            <w:tcW w:w="2088"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Pr>
                <w:iCs/>
                <w:color w:val="000000" w:themeColor="text1"/>
              </w:rPr>
              <w:t>Tiesību norma izpildīta pilnībā.</w:t>
            </w:r>
          </w:p>
        </w:tc>
        <w:tc>
          <w:tcPr>
            <w:tcW w:w="2079" w:type="dxa"/>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2"/>
              </w:rPr>
            </w:pPr>
            <w:r>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3"/>
              </w:rPr>
            </w:pPr>
            <w:r>
              <w:rPr>
                <w:color w:val="000000" w:themeColor="text1"/>
                <w:spacing w:val="-3"/>
              </w:rPr>
              <w:t>Kā ir izmantota ES tiesību aktā paredzētā rīcības brīvība dalībvalstij pārņemt vai ieviest noteiktas ES tiesību akta normas?</w:t>
            </w:r>
          </w:p>
          <w:p w:rsidR="00CE3374" w:rsidRDefault="00CE3374">
            <w:pPr>
              <w:spacing w:before="0" w:after="0" w:line="240" w:lineRule="auto"/>
              <w:ind w:left="57"/>
              <w:rPr>
                <w:color w:val="000000" w:themeColor="text1"/>
                <w:spacing w:val="-3"/>
              </w:rPr>
            </w:pPr>
            <w:r>
              <w:rPr>
                <w:color w:val="000000" w:themeColor="text1"/>
                <w:spacing w:val="-3"/>
              </w:rPr>
              <w:t>Kādēļ?</w:t>
            </w:r>
          </w:p>
        </w:tc>
        <w:tc>
          <w:tcPr>
            <w:tcW w:w="6248" w:type="dxa"/>
            <w:gridSpan w:val="3"/>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spacing w:val="-2"/>
              </w:rPr>
              <w:t>Stingrākas prasības netiek  piemērotas.</w:t>
            </w:r>
          </w:p>
        </w:tc>
      </w:tr>
      <w:tr w:rsidR="00CE3374"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rsidR="00CE3374" w:rsidRDefault="00CE3374">
            <w:pPr>
              <w:spacing w:before="0" w:after="0" w:line="240" w:lineRule="auto"/>
              <w:ind w:left="57"/>
              <w:rPr>
                <w:color w:val="000000" w:themeColor="text1"/>
                <w:spacing w:val="-3"/>
              </w:rPr>
            </w:pPr>
            <w:r>
              <w:rPr>
                <w:color w:val="000000" w:themeColor="text1"/>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48" w:type="dxa"/>
            <w:gridSpan w:val="3"/>
            <w:tcBorders>
              <w:top w:val="outset" w:sz="6" w:space="0" w:color="auto"/>
              <w:left w:val="outset" w:sz="6" w:space="0" w:color="auto"/>
              <w:bottom w:val="outset" w:sz="6" w:space="0" w:color="auto"/>
              <w:right w:val="outset" w:sz="6" w:space="0" w:color="auto"/>
            </w:tcBorders>
            <w:hideMark/>
          </w:tcPr>
          <w:p w:rsidR="00CE3374" w:rsidRPr="008F09C0" w:rsidRDefault="00CE3374">
            <w:pPr>
              <w:spacing w:before="0" w:after="0" w:line="240" w:lineRule="auto"/>
              <w:ind w:left="57" w:right="100"/>
              <w:rPr>
                <w:color w:val="000000" w:themeColor="text1"/>
              </w:rPr>
            </w:pPr>
            <w:r w:rsidRPr="008F09C0">
              <w:rPr>
                <w:color w:val="000000" w:themeColor="text1"/>
              </w:rPr>
              <w:t>20 darba dienu laikā pēc atbalsta pasākuma stāšanās spēkā VARAM, izmantojot Eiropas Komisijas pārziņā esošo atbalsta paziņojumu elektronisko sistēmu SANI2, nosūtīs Eiropas Komisijai kopsavilkuma informāciju</w:t>
            </w:r>
            <w:r w:rsidRPr="008F09C0">
              <w:rPr>
                <w:color w:val="000000" w:themeColor="text1"/>
                <w:spacing w:val="-2"/>
              </w:rPr>
              <w:t>.</w:t>
            </w:r>
          </w:p>
        </w:tc>
      </w:tr>
      <w:tr w:rsidR="00CE3374" w:rsidTr="00CE3374">
        <w:trPr>
          <w:jc w:val="center"/>
        </w:trPr>
        <w:tc>
          <w:tcPr>
            <w:tcW w:w="3366" w:type="dxa"/>
            <w:gridSpan w:val="3"/>
            <w:tcBorders>
              <w:top w:val="outset" w:sz="6" w:space="0" w:color="auto"/>
              <w:left w:val="outset" w:sz="6" w:space="0" w:color="auto"/>
              <w:bottom w:val="single" w:sz="4"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Cita informācija</w:t>
            </w:r>
          </w:p>
        </w:tc>
        <w:tc>
          <w:tcPr>
            <w:tcW w:w="6248" w:type="dxa"/>
            <w:gridSpan w:val="3"/>
            <w:tcBorders>
              <w:top w:val="outset" w:sz="6" w:space="0" w:color="auto"/>
              <w:left w:val="outset" w:sz="6" w:space="0" w:color="auto"/>
              <w:bottom w:val="single" w:sz="4" w:space="0" w:color="auto"/>
              <w:right w:val="outset" w:sz="6" w:space="0" w:color="auto"/>
            </w:tcBorders>
            <w:hideMark/>
          </w:tcPr>
          <w:p w:rsidR="00CE3374" w:rsidRDefault="00CE3374">
            <w:pPr>
              <w:spacing w:before="0" w:after="0" w:line="240" w:lineRule="auto"/>
              <w:ind w:left="57"/>
              <w:rPr>
                <w:color w:val="000000" w:themeColor="text1"/>
              </w:rPr>
            </w:pPr>
            <w:r>
              <w:rPr>
                <w:color w:val="000000" w:themeColor="text1"/>
              </w:rPr>
              <w:t>Nav.</w:t>
            </w:r>
          </w:p>
        </w:tc>
      </w:tr>
    </w:tbl>
    <w:p w:rsidR="00CE3374" w:rsidRDefault="00CE3374" w:rsidP="00456C58">
      <w:pPr>
        <w:pStyle w:val="NormalWeb"/>
        <w:spacing w:before="0" w:beforeAutospacing="0" w:after="0" w:afterAutospacing="0"/>
        <w:rPr>
          <w:i/>
        </w:rPr>
      </w:pPr>
    </w:p>
    <w:p w:rsidR="00CE3374" w:rsidRDefault="00CE3374" w:rsidP="00456C58">
      <w:pPr>
        <w:pStyle w:val="NormalWeb"/>
        <w:spacing w:before="0" w:beforeAutospacing="0" w:after="0" w:afterAutospacing="0"/>
        <w:rPr>
          <w:i/>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823"/>
        <w:gridCol w:w="3054"/>
        <w:gridCol w:w="4911"/>
      </w:tblGrid>
      <w:tr w:rsidR="0067267D" w:rsidTr="00464AFB">
        <w:tc>
          <w:tcPr>
            <w:tcW w:w="9498" w:type="dxa"/>
            <w:gridSpan w:val="4"/>
          </w:tcPr>
          <w:p w:rsidR="0067267D" w:rsidRDefault="0067267D">
            <w:pPr>
              <w:pStyle w:val="naisnod"/>
              <w:spacing w:before="0" w:after="0"/>
              <w:ind w:left="57" w:right="57"/>
            </w:pPr>
            <w:r>
              <w:t xml:space="preserve">VI. </w:t>
            </w:r>
            <w:r w:rsidR="00133143">
              <w:t>Sabiedrības līdzdalība un komunikācijas aktivitātes</w:t>
            </w:r>
          </w:p>
        </w:tc>
      </w:tr>
      <w:tr w:rsidR="00495396" w:rsidTr="00464AFB">
        <w:trPr>
          <w:trHeight w:val="553"/>
        </w:trPr>
        <w:tc>
          <w:tcPr>
            <w:tcW w:w="710" w:type="dxa"/>
          </w:tcPr>
          <w:p w:rsidR="00495396" w:rsidRDefault="00495396">
            <w:pPr>
              <w:pStyle w:val="naiskr"/>
              <w:spacing w:before="0" w:after="0"/>
              <w:ind w:left="57" w:right="57"/>
              <w:rPr>
                <w:bCs/>
              </w:rPr>
            </w:pPr>
            <w:r>
              <w:rPr>
                <w:bCs/>
              </w:rPr>
              <w:t>1.</w:t>
            </w:r>
          </w:p>
        </w:tc>
        <w:tc>
          <w:tcPr>
            <w:tcW w:w="3877" w:type="dxa"/>
            <w:gridSpan w:val="2"/>
          </w:tcPr>
          <w:p w:rsidR="00495396" w:rsidRDefault="00133143" w:rsidP="00290D53">
            <w:pPr>
              <w:pStyle w:val="naiskr"/>
              <w:tabs>
                <w:tab w:val="left" w:pos="170"/>
              </w:tabs>
              <w:spacing w:before="0" w:after="0"/>
              <w:ind w:left="57" w:right="192"/>
            </w:pPr>
            <w:r>
              <w:t>Plānotās sabiedrības līdzdalības un komunikācijas aktivitātes saistībā ar projektu</w:t>
            </w:r>
          </w:p>
        </w:tc>
        <w:tc>
          <w:tcPr>
            <w:tcW w:w="4911" w:type="dxa"/>
          </w:tcPr>
          <w:p w:rsidR="0095368C" w:rsidRPr="00CE1C0A" w:rsidRDefault="0095368C" w:rsidP="00B66320">
            <w:pPr>
              <w:pStyle w:val="naiskr"/>
              <w:spacing w:before="0" w:after="0"/>
              <w:ind w:left="57" w:right="57"/>
            </w:pPr>
            <w:r w:rsidRPr="00CE1C0A">
              <w:t>Sabiedrība tika informēta par MK noteikumu projekta izstrādi, kad tas tika ievietots publiskai apspriešanai Vides aizsardzības un reģionālās attīstības minist</w:t>
            </w:r>
            <w:r w:rsidR="00B66320">
              <w:t>rijas tīmekļa vietnē 2015.gada 14</w:t>
            </w:r>
            <w:r w:rsidRPr="00CE1C0A">
              <w:t>.</w:t>
            </w:r>
            <w:r w:rsidR="00B66320">
              <w:t>septembrī</w:t>
            </w:r>
            <w:r w:rsidRPr="00CE1C0A">
              <w:t>.</w:t>
            </w:r>
          </w:p>
        </w:tc>
      </w:tr>
      <w:tr w:rsidR="00495396" w:rsidTr="00464AFB">
        <w:trPr>
          <w:trHeight w:val="339"/>
        </w:trPr>
        <w:tc>
          <w:tcPr>
            <w:tcW w:w="710" w:type="dxa"/>
          </w:tcPr>
          <w:p w:rsidR="00495396" w:rsidRDefault="00495396">
            <w:pPr>
              <w:pStyle w:val="naiskr"/>
              <w:spacing w:before="0" w:after="0"/>
              <w:ind w:left="57" w:right="57"/>
              <w:rPr>
                <w:bCs/>
              </w:rPr>
            </w:pPr>
            <w:r>
              <w:rPr>
                <w:bCs/>
              </w:rPr>
              <w:t>2.</w:t>
            </w:r>
          </w:p>
        </w:tc>
        <w:tc>
          <w:tcPr>
            <w:tcW w:w="3877" w:type="dxa"/>
            <w:gridSpan w:val="2"/>
          </w:tcPr>
          <w:p w:rsidR="00495396" w:rsidRDefault="00495396" w:rsidP="00290D53">
            <w:pPr>
              <w:pStyle w:val="naiskr"/>
              <w:spacing w:before="0" w:after="0"/>
              <w:ind w:left="57" w:right="192"/>
            </w:pPr>
            <w:r>
              <w:t xml:space="preserve">Sabiedrības līdzdalība projekta izstrādē </w:t>
            </w:r>
          </w:p>
        </w:tc>
        <w:tc>
          <w:tcPr>
            <w:tcW w:w="4911" w:type="dxa"/>
          </w:tcPr>
          <w:p w:rsidR="00F87999" w:rsidRPr="00C92BF3" w:rsidRDefault="000C090C" w:rsidP="00F26036">
            <w:pPr>
              <w:pStyle w:val="Heading1"/>
              <w:ind w:left="92"/>
              <w:rPr>
                <w:b w:val="0"/>
                <w:bCs w:val="0"/>
                <w:kern w:val="0"/>
                <w:sz w:val="24"/>
                <w:szCs w:val="24"/>
              </w:rPr>
            </w:pPr>
            <w:r>
              <w:rPr>
                <w:b w:val="0"/>
                <w:bCs w:val="0"/>
                <w:kern w:val="0"/>
                <w:sz w:val="24"/>
                <w:szCs w:val="24"/>
              </w:rPr>
              <w:t>Nav attiecināms.</w:t>
            </w:r>
          </w:p>
        </w:tc>
      </w:tr>
      <w:tr w:rsidR="00CC395A" w:rsidTr="00464AFB">
        <w:trPr>
          <w:trHeight w:val="375"/>
        </w:trPr>
        <w:tc>
          <w:tcPr>
            <w:tcW w:w="710" w:type="dxa"/>
          </w:tcPr>
          <w:p w:rsidR="00CC395A" w:rsidRDefault="00CC395A">
            <w:pPr>
              <w:pStyle w:val="naiskr"/>
              <w:spacing w:before="0" w:after="0"/>
              <w:ind w:left="57" w:right="57"/>
              <w:rPr>
                <w:bCs/>
              </w:rPr>
            </w:pPr>
            <w:r>
              <w:rPr>
                <w:bCs/>
              </w:rPr>
              <w:t>3.</w:t>
            </w:r>
          </w:p>
        </w:tc>
        <w:tc>
          <w:tcPr>
            <w:tcW w:w="3877" w:type="dxa"/>
            <w:gridSpan w:val="2"/>
          </w:tcPr>
          <w:p w:rsidR="00CC395A" w:rsidRDefault="00CC395A" w:rsidP="00290D53">
            <w:pPr>
              <w:pStyle w:val="naiskr"/>
              <w:spacing w:before="0" w:after="0"/>
              <w:ind w:left="57" w:right="192"/>
            </w:pPr>
            <w:r>
              <w:t xml:space="preserve">Sabiedrības līdzdalības rezultāti </w:t>
            </w:r>
          </w:p>
        </w:tc>
        <w:tc>
          <w:tcPr>
            <w:tcW w:w="4911" w:type="dxa"/>
          </w:tcPr>
          <w:p w:rsidR="00F87999" w:rsidRPr="00F87999" w:rsidRDefault="000C090C" w:rsidP="00F87999">
            <w:pPr>
              <w:pStyle w:val="naiskr"/>
              <w:spacing w:before="0" w:after="0"/>
              <w:ind w:left="57" w:right="57"/>
            </w:pPr>
            <w:r>
              <w:rPr>
                <w:bCs/>
              </w:rPr>
              <w:t>Nav attiecināms.</w:t>
            </w:r>
          </w:p>
        </w:tc>
      </w:tr>
      <w:tr w:rsidR="0067267D" w:rsidTr="00464AFB">
        <w:trPr>
          <w:trHeight w:val="489"/>
        </w:trPr>
        <w:tc>
          <w:tcPr>
            <w:tcW w:w="710" w:type="dxa"/>
          </w:tcPr>
          <w:p w:rsidR="0067267D" w:rsidRDefault="00133143">
            <w:pPr>
              <w:pStyle w:val="naiskr"/>
              <w:spacing w:before="0" w:after="0"/>
              <w:ind w:left="57" w:right="57"/>
              <w:rPr>
                <w:bCs/>
              </w:rPr>
            </w:pPr>
            <w:r>
              <w:rPr>
                <w:bCs/>
              </w:rPr>
              <w:t>4</w:t>
            </w:r>
            <w:r w:rsidR="0067267D">
              <w:rPr>
                <w:bCs/>
              </w:rPr>
              <w:t>.</w:t>
            </w:r>
          </w:p>
        </w:tc>
        <w:tc>
          <w:tcPr>
            <w:tcW w:w="3877" w:type="dxa"/>
            <w:gridSpan w:val="2"/>
          </w:tcPr>
          <w:p w:rsidR="0067267D" w:rsidRDefault="0067267D" w:rsidP="00290D53">
            <w:pPr>
              <w:pStyle w:val="naiskr"/>
              <w:spacing w:before="0" w:after="0"/>
              <w:ind w:left="57" w:right="192"/>
            </w:pPr>
            <w:r>
              <w:t>Cita informācija</w:t>
            </w:r>
          </w:p>
          <w:p w:rsidR="0067267D" w:rsidRDefault="0067267D" w:rsidP="00290D53">
            <w:pPr>
              <w:pStyle w:val="naiskr"/>
              <w:spacing w:before="0" w:after="0"/>
              <w:ind w:left="57" w:right="192"/>
            </w:pPr>
          </w:p>
        </w:tc>
        <w:tc>
          <w:tcPr>
            <w:tcW w:w="4911" w:type="dxa"/>
          </w:tcPr>
          <w:p w:rsidR="0067267D" w:rsidRDefault="0067267D">
            <w:pPr>
              <w:pStyle w:val="naiskr"/>
              <w:spacing w:before="0" w:after="0"/>
              <w:ind w:left="57" w:right="57"/>
            </w:pPr>
            <w:r>
              <w:t>Nav.</w:t>
            </w:r>
          </w:p>
        </w:tc>
      </w:tr>
      <w:tr w:rsidR="00065E5A" w:rsidTr="00464AFB">
        <w:trPr>
          <w:gridBefore w:val="2"/>
          <w:wBefore w:w="1533" w:type="dxa"/>
          <w:trHeight w:val="489"/>
        </w:trPr>
        <w:tc>
          <w:tcPr>
            <w:tcW w:w="7965" w:type="dxa"/>
            <w:gridSpan w:val="2"/>
            <w:tcBorders>
              <w:left w:val="nil"/>
              <w:right w:val="nil"/>
            </w:tcBorders>
          </w:tcPr>
          <w:p w:rsidR="00065E5A" w:rsidRDefault="00065E5A" w:rsidP="003A75AA">
            <w:pPr>
              <w:pStyle w:val="naiskr"/>
              <w:spacing w:before="0" w:after="0"/>
              <w:ind w:right="57"/>
            </w:pPr>
          </w:p>
        </w:tc>
      </w:tr>
      <w:tr w:rsidR="0067267D" w:rsidTr="00464AFB">
        <w:tblPrEx>
          <w:tblCellMar>
            <w:top w:w="28" w:type="dxa"/>
            <w:left w:w="28" w:type="dxa"/>
            <w:bottom w:w="28" w:type="dxa"/>
            <w:right w:w="28" w:type="dxa"/>
          </w:tblCellMar>
        </w:tblPrEx>
        <w:tc>
          <w:tcPr>
            <w:tcW w:w="9498" w:type="dxa"/>
            <w:gridSpan w:val="4"/>
            <w:tcBorders>
              <w:top w:val="single" w:sz="4" w:space="0" w:color="auto"/>
            </w:tcBorders>
          </w:tcPr>
          <w:p w:rsidR="0067267D" w:rsidRDefault="0067267D">
            <w:pPr>
              <w:pStyle w:val="naisnod"/>
              <w:spacing w:before="0" w:after="0"/>
              <w:ind w:left="57" w:right="57"/>
            </w:pPr>
            <w:r>
              <w:t xml:space="preserve">VII. </w:t>
            </w:r>
            <w:r w:rsidR="00133143">
              <w:t>Tiesību akta projekta izpildes nodrošināšana un tās ietekme uz institūcijām</w:t>
            </w:r>
          </w:p>
        </w:tc>
      </w:tr>
      <w:tr w:rsidR="0067267D" w:rsidTr="00464AFB">
        <w:tblPrEx>
          <w:tblCellMar>
            <w:top w:w="28" w:type="dxa"/>
            <w:left w:w="28" w:type="dxa"/>
            <w:bottom w:w="28" w:type="dxa"/>
            <w:right w:w="28" w:type="dxa"/>
          </w:tblCellMar>
        </w:tblPrEx>
        <w:trPr>
          <w:trHeight w:val="427"/>
        </w:trPr>
        <w:tc>
          <w:tcPr>
            <w:tcW w:w="710" w:type="dxa"/>
          </w:tcPr>
          <w:p w:rsidR="0067267D" w:rsidRDefault="0067267D">
            <w:pPr>
              <w:pStyle w:val="naisnod"/>
              <w:spacing w:before="0" w:after="0"/>
              <w:ind w:left="57" w:right="57"/>
              <w:jc w:val="left"/>
              <w:rPr>
                <w:b w:val="0"/>
              </w:rPr>
            </w:pPr>
            <w:r>
              <w:rPr>
                <w:b w:val="0"/>
              </w:rPr>
              <w:t>1.</w:t>
            </w:r>
          </w:p>
        </w:tc>
        <w:tc>
          <w:tcPr>
            <w:tcW w:w="3877" w:type="dxa"/>
            <w:gridSpan w:val="2"/>
          </w:tcPr>
          <w:p w:rsidR="0067267D" w:rsidRDefault="0067267D">
            <w:pPr>
              <w:pStyle w:val="naisf"/>
              <w:spacing w:before="0" w:after="0"/>
              <w:ind w:left="57" w:right="57" w:firstLine="0"/>
              <w:jc w:val="left"/>
            </w:pPr>
            <w:r>
              <w:t xml:space="preserve">Projekta izpildē iesaistītās institūcijas </w:t>
            </w:r>
          </w:p>
        </w:tc>
        <w:tc>
          <w:tcPr>
            <w:tcW w:w="4911" w:type="dxa"/>
          </w:tcPr>
          <w:p w:rsidR="0067267D" w:rsidRDefault="000C090C" w:rsidP="00D93FA3">
            <w:pPr>
              <w:pStyle w:val="naisnod"/>
              <w:spacing w:before="0" w:after="0"/>
              <w:ind w:left="57" w:right="57"/>
              <w:jc w:val="both"/>
              <w:rPr>
                <w:b w:val="0"/>
              </w:rPr>
            </w:pPr>
            <w:r w:rsidRPr="000C090C">
              <w:rPr>
                <w:b w:val="0"/>
                <w:bCs w:val="0"/>
              </w:rPr>
              <w:t>Atsevišķus uzdevumus veik</w:t>
            </w:r>
            <w:r w:rsidR="00D93FA3">
              <w:rPr>
                <w:b w:val="0"/>
                <w:bCs w:val="0"/>
              </w:rPr>
              <w:t>s</w:t>
            </w:r>
            <w:r w:rsidRPr="000C090C">
              <w:rPr>
                <w:b w:val="0"/>
                <w:bCs w:val="0"/>
              </w:rPr>
              <w:t xml:space="preserve"> </w:t>
            </w:r>
            <w:r w:rsidR="00D93FA3">
              <w:rPr>
                <w:b w:val="0"/>
                <w:bCs w:val="0"/>
              </w:rPr>
              <w:t xml:space="preserve">SIA </w:t>
            </w:r>
            <w:r w:rsidRPr="000C090C">
              <w:rPr>
                <w:b w:val="0"/>
                <w:bCs w:val="0"/>
              </w:rPr>
              <w:t>„Vides investīciju fonds”</w:t>
            </w:r>
            <w:r>
              <w:rPr>
                <w:b w:val="0"/>
                <w:bCs w:val="0"/>
              </w:rPr>
              <w:t>.</w:t>
            </w:r>
          </w:p>
        </w:tc>
      </w:tr>
      <w:tr w:rsidR="00165C1E" w:rsidTr="00464AFB">
        <w:tblPrEx>
          <w:tblCellMar>
            <w:top w:w="28" w:type="dxa"/>
            <w:left w:w="28" w:type="dxa"/>
            <w:bottom w:w="28" w:type="dxa"/>
            <w:right w:w="28" w:type="dxa"/>
          </w:tblCellMar>
        </w:tblPrEx>
        <w:trPr>
          <w:trHeight w:val="463"/>
        </w:trPr>
        <w:tc>
          <w:tcPr>
            <w:tcW w:w="710" w:type="dxa"/>
          </w:tcPr>
          <w:p w:rsidR="00165C1E" w:rsidRDefault="00165C1E">
            <w:pPr>
              <w:pStyle w:val="naisnod"/>
              <w:spacing w:before="0" w:after="0"/>
              <w:ind w:left="57" w:right="57"/>
              <w:jc w:val="left"/>
              <w:rPr>
                <w:b w:val="0"/>
              </w:rPr>
            </w:pPr>
            <w:r>
              <w:rPr>
                <w:b w:val="0"/>
              </w:rPr>
              <w:t>2.</w:t>
            </w:r>
          </w:p>
        </w:tc>
        <w:tc>
          <w:tcPr>
            <w:tcW w:w="3877" w:type="dxa"/>
            <w:gridSpan w:val="2"/>
          </w:tcPr>
          <w:p w:rsidR="00165C1E" w:rsidRDefault="00133143" w:rsidP="00F26036">
            <w:pPr>
              <w:spacing w:before="0" w:after="0"/>
              <w:ind w:right="164"/>
            </w:pPr>
            <w:r>
              <w:t xml:space="preserve">Projekta izpildes ietekme uz pārvaldes funkcijām un institucionālo struktūru. Jaunu institūciju izveide, esošu institūciju likvidācija vai </w:t>
            </w:r>
            <w:r>
              <w:lastRenderedPageBreak/>
              <w:t>reorganizācija, to ietekme uz institūcijas cilvēkresursiem</w:t>
            </w:r>
          </w:p>
        </w:tc>
        <w:tc>
          <w:tcPr>
            <w:tcW w:w="4911" w:type="dxa"/>
          </w:tcPr>
          <w:p w:rsidR="00B06B16" w:rsidRPr="00B06B16" w:rsidRDefault="00E26991" w:rsidP="00D93FA3">
            <w:pPr>
              <w:pStyle w:val="naisnod"/>
              <w:spacing w:before="0" w:after="0"/>
              <w:ind w:left="57" w:right="57"/>
              <w:jc w:val="both"/>
              <w:rPr>
                <w:b w:val="0"/>
              </w:rPr>
            </w:pPr>
            <w:r>
              <w:rPr>
                <w:b w:val="0"/>
              </w:rPr>
              <w:lastRenderedPageBreak/>
              <w:t>Jaunas institūcijas netiks veidotas.</w:t>
            </w:r>
          </w:p>
        </w:tc>
      </w:tr>
      <w:tr w:rsidR="0067267D" w:rsidTr="00464AFB">
        <w:tblPrEx>
          <w:tblCellMar>
            <w:top w:w="28" w:type="dxa"/>
            <w:left w:w="28" w:type="dxa"/>
            <w:bottom w:w="28" w:type="dxa"/>
            <w:right w:w="28" w:type="dxa"/>
          </w:tblCellMar>
        </w:tblPrEx>
        <w:trPr>
          <w:trHeight w:val="476"/>
        </w:trPr>
        <w:tc>
          <w:tcPr>
            <w:tcW w:w="710" w:type="dxa"/>
          </w:tcPr>
          <w:p w:rsidR="0067267D" w:rsidRDefault="00C27360">
            <w:pPr>
              <w:pStyle w:val="naiskr"/>
              <w:spacing w:before="0" w:after="0"/>
              <w:ind w:left="57" w:right="57"/>
            </w:pPr>
            <w:r>
              <w:lastRenderedPageBreak/>
              <w:t>3</w:t>
            </w:r>
            <w:r w:rsidR="0067267D">
              <w:t>.</w:t>
            </w:r>
          </w:p>
        </w:tc>
        <w:tc>
          <w:tcPr>
            <w:tcW w:w="3877" w:type="dxa"/>
            <w:gridSpan w:val="2"/>
          </w:tcPr>
          <w:p w:rsidR="0067267D" w:rsidRDefault="0067267D">
            <w:pPr>
              <w:pStyle w:val="naiskr"/>
              <w:spacing w:before="0" w:after="0"/>
              <w:ind w:left="57" w:right="57"/>
            </w:pPr>
            <w:r>
              <w:t>Cita informācija</w:t>
            </w:r>
          </w:p>
        </w:tc>
        <w:tc>
          <w:tcPr>
            <w:tcW w:w="4911" w:type="dxa"/>
          </w:tcPr>
          <w:p w:rsidR="0067267D" w:rsidRDefault="0067267D">
            <w:pPr>
              <w:pStyle w:val="naiskr"/>
              <w:spacing w:before="0" w:after="0"/>
              <w:ind w:left="57" w:right="57"/>
            </w:pPr>
            <w:r>
              <w:t>Nav.</w:t>
            </w:r>
          </w:p>
        </w:tc>
      </w:tr>
    </w:tbl>
    <w:p w:rsidR="001F04F1" w:rsidRDefault="001F04F1" w:rsidP="001F04F1">
      <w:pPr>
        <w:spacing w:before="0" w:after="0" w:line="240" w:lineRule="auto"/>
      </w:pPr>
    </w:p>
    <w:p w:rsidR="001F04F1" w:rsidRDefault="001F04F1" w:rsidP="001F04F1">
      <w:pPr>
        <w:spacing w:before="0" w:after="0" w:line="240" w:lineRule="auto"/>
      </w:pPr>
    </w:p>
    <w:p w:rsidR="00987723" w:rsidRDefault="00987723" w:rsidP="001F04F1">
      <w:pPr>
        <w:spacing w:before="0" w:after="0" w:line="240" w:lineRule="auto"/>
      </w:pPr>
    </w:p>
    <w:p w:rsidR="00E44FDF" w:rsidRDefault="000C090C" w:rsidP="001F04F1">
      <w:pPr>
        <w:spacing w:before="0" w:after="0" w:line="240" w:lineRule="auto"/>
        <w:rPr>
          <w:sz w:val="28"/>
          <w:szCs w:val="28"/>
        </w:rPr>
      </w:pPr>
      <w:r w:rsidRPr="00E44FDF">
        <w:rPr>
          <w:sz w:val="28"/>
          <w:szCs w:val="28"/>
        </w:rPr>
        <w:t>Vides aizsardzības un</w:t>
      </w:r>
    </w:p>
    <w:p w:rsidR="00E07B96" w:rsidRDefault="000C090C" w:rsidP="001F04F1">
      <w:pPr>
        <w:spacing w:before="0" w:after="0" w:line="240" w:lineRule="auto"/>
        <w:rPr>
          <w:sz w:val="28"/>
          <w:szCs w:val="28"/>
        </w:rPr>
      </w:pPr>
      <w:r w:rsidRPr="00E44FDF">
        <w:rPr>
          <w:sz w:val="28"/>
          <w:szCs w:val="28"/>
        </w:rPr>
        <w:t xml:space="preserve">reģionālās attīstības </w:t>
      </w:r>
      <w:r w:rsidR="000D2564" w:rsidRPr="00E44FDF">
        <w:rPr>
          <w:sz w:val="28"/>
          <w:szCs w:val="28"/>
        </w:rPr>
        <w:t>ministr</w:t>
      </w:r>
      <w:r w:rsidRPr="00E44FDF">
        <w:rPr>
          <w:sz w:val="28"/>
          <w:szCs w:val="28"/>
        </w:rPr>
        <w:t>s</w:t>
      </w:r>
      <w:r w:rsidR="000D2564" w:rsidRPr="00E44FDF">
        <w:rPr>
          <w:sz w:val="28"/>
          <w:szCs w:val="28"/>
        </w:rPr>
        <w:tab/>
      </w:r>
      <w:r w:rsidR="001F04F1" w:rsidRPr="00E44FDF">
        <w:rPr>
          <w:sz w:val="28"/>
          <w:szCs w:val="28"/>
        </w:rPr>
        <w:tab/>
      </w:r>
      <w:r w:rsidR="00E44FDF">
        <w:rPr>
          <w:sz w:val="28"/>
          <w:szCs w:val="28"/>
        </w:rPr>
        <w:tab/>
      </w:r>
      <w:r w:rsidR="00E44FDF">
        <w:rPr>
          <w:sz w:val="28"/>
          <w:szCs w:val="28"/>
        </w:rPr>
        <w:tab/>
      </w:r>
      <w:r w:rsidR="00E44FDF">
        <w:rPr>
          <w:sz w:val="28"/>
          <w:szCs w:val="28"/>
        </w:rPr>
        <w:tab/>
      </w:r>
      <w:r w:rsidR="00253EF0" w:rsidRPr="00E44FDF">
        <w:rPr>
          <w:sz w:val="28"/>
          <w:szCs w:val="28"/>
        </w:rPr>
        <w:tab/>
      </w:r>
      <w:proofErr w:type="gramStart"/>
      <w:r w:rsidR="00E44FDF">
        <w:rPr>
          <w:sz w:val="28"/>
          <w:szCs w:val="28"/>
        </w:rPr>
        <w:t xml:space="preserve">        </w:t>
      </w:r>
      <w:proofErr w:type="gramEnd"/>
      <w:r w:rsidRPr="00E44FDF">
        <w:rPr>
          <w:sz w:val="28"/>
          <w:szCs w:val="28"/>
        </w:rPr>
        <w:t>K.Gerhards</w:t>
      </w:r>
    </w:p>
    <w:p w:rsidR="00987723" w:rsidRDefault="00987723" w:rsidP="001F04F1">
      <w:pPr>
        <w:spacing w:before="0" w:after="0" w:line="240" w:lineRule="auto"/>
        <w:rPr>
          <w:sz w:val="28"/>
          <w:szCs w:val="28"/>
        </w:rPr>
      </w:pPr>
    </w:p>
    <w:p w:rsidR="00987723" w:rsidRPr="00987723" w:rsidRDefault="00987723" w:rsidP="00987723">
      <w:pPr>
        <w:spacing w:before="0" w:after="0" w:line="240" w:lineRule="auto"/>
        <w:rPr>
          <w:sz w:val="28"/>
          <w:szCs w:val="28"/>
        </w:rPr>
      </w:pPr>
      <w:r w:rsidRPr="00987723">
        <w:rPr>
          <w:sz w:val="28"/>
          <w:szCs w:val="28"/>
        </w:rPr>
        <w:t>Vīza:</w:t>
      </w:r>
    </w:p>
    <w:p w:rsidR="00987723" w:rsidRPr="00987723" w:rsidRDefault="00987723" w:rsidP="00987723">
      <w:pPr>
        <w:spacing w:before="0" w:after="0" w:line="240" w:lineRule="auto"/>
        <w:rPr>
          <w:sz w:val="28"/>
          <w:szCs w:val="28"/>
        </w:rPr>
      </w:pPr>
      <w:r w:rsidRPr="00987723">
        <w:rPr>
          <w:sz w:val="28"/>
          <w:szCs w:val="28"/>
        </w:rPr>
        <w:t xml:space="preserve">valsts sekretāra </w:t>
      </w:r>
      <w:proofErr w:type="spellStart"/>
      <w:r w:rsidRPr="00987723">
        <w:rPr>
          <w:sz w:val="28"/>
          <w:szCs w:val="28"/>
        </w:rPr>
        <w:t>p.i</w:t>
      </w:r>
      <w:proofErr w:type="spellEnd"/>
      <w:r w:rsidRPr="00987723">
        <w:rPr>
          <w:sz w:val="28"/>
          <w:szCs w:val="28"/>
        </w:rPr>
        <w:t>.</w:t>
      </w:r>
    </w:p>
    <w:p w:rsidR="00987723" w:rsidRPr="00E44FDF" w:rsidRDefault="00987723" w:rsidP="00987723">
      <w:pPr>
        <w:spacing w:before="0" w:after="0" w:line="240" w:lineRule="auto"/>
        <w:rPr>
          <w:sz w:val="28"/>
          <w:szCs w:val="28"/>
        </w:rPr>
      </w:pPr>
      <w:r w:rsidRPr="00987723">
        <w:rPr>
          <w:sz w:val="28"/>
          <w:szCs w:val="28"/>
        </w:rPr>
        <w:t>valsts sekretāra vietniece</w:t>
      </w:r>
      <w:r w:rsidRPr="00987723">
        <w:rPr>
          <w:sz w:val="28"/>
          <w:szCs w:val="28"/>
        </w:rPr>
        <w:tab/>
      </w:r>
      <w:r w:rsidRPr="00987723">
        <w:rPr>
          <w:sz w:val="28"/>
          <w:szCs w:val="28"/>
        </w:rPr>
        <w:tab/>
      </w:r>
      <w:r w:rsidRPr="00987723">
        <w:rPr>
          <w:sz w:val="28"/>
          <w:szCs w:val="28"/>
        </w:rPr>
        <w:tab/>
      </w:r>
      <w:r w:rsidRPr="00987723">
        <w:rPr>
          <w:sz w:val="28"/>
          <w:szCs w:val="28"/>
        </w:rPr>
        <w:tab/>
      </w:r>
      <w:r w:rsidRPr="00987723">
        <w:rPr>
          <w:sz w:val="28"/>
          <w:szCs w:val="28"/>
        </w:rPr>
        <w:tab/>
      </w:r>
      <w:r w:rsidRPr="00987723">
        <w:rPr>
          <w:sz w:val="28"/>
          <w:szCs w:val="28"/>
        </w:rPr>
        <w:tab/>
      </w:r>
      <w:r w:rsidRPr="00987723">
        <w:rPr>
          <w:sz w:val="28"/>
          <w:szCs w:val="28"/>
        </w:rPr>
        <w:tab/>
      </w:r>
      <w:r w:rsidRPr="00987723">
        <w:rPr>
          <w:sz w:val="28"/>
          <w:szCs w:val="28"/>
        </w:rPr>
        <w:tab/>
      </w:r>
      <w:proofErr w:type="gramStart"/>
      <w:r w:rsidRPr="00987723">
        <w:rPr>
          <w:sz w:val="28"/>
          <w:szCs w:val="28"/>
        </w:rPr>
        <w:t xml:space="preserve">   </w:t>
      </w:r>
      <w:proofErr w:type="gramEnd"/>
      <w:r w:rsidRPr="00987723">
        <w:rPr>
          <w:sz w:val="28"/>
          <w:szCs w:val="28"/>
        </w:rPr>
        <w:t>E.Turka</w:t>
      </w:r>
    </w:p>
    <w:p w:rsidR="001F04F1" w:rsidRDefault="001F04F1" w:rsidP="001F04F1">
      <w:pPr>
        <w:spacing w:before="0" w:after="0" w:line="240" w:lineRule="auto"/>
        <w:rPr>
          <w:sz w:val="20"/>
          <w:szCs w:val="20"/>
        </w:rPr>
      </w:pPr>
    </w:p>
    <w:p w:rsidR="001F04F1" w:rsidRDefault="001F04F1" w:rsidP="001F04F1">
      <w:pPr>
        <w:spacing w:before="0" w:after="0" w:line="240" w:lineRule="auto"/>
        <w:rPr>
          <w:sz w:val="20"/>
          <w:szCs w:val="20"/>
        </w:rPr>
      </w:pPr>
    </w:p>
    <w:p w:rsidR="00987723" w:rsidRDefault="00987723" w:rsidP="001F04F1">
      <w:pPr>
        <w:spacing w:before="0" w:after="0" w:line="240" w:lineRule="auto"/>
        <w:rPr>
          <w:sz w:val="20"/>
          <w:szCs w:val="20"/>
        </w:rPr>
      </w:pPr>
      <w:bookmarkStart w:id="41" w:name="_GoBack"/>
      <w:bookmarkEnd w:id="41"/>
    </w:p>
    <w:p w:rsidR="00253EF0" w:rsidRDefault="001A0AFE" w:rsidP="001F04F1">
      <w:pPr>
        <w:spacing w:before="0" w:after="0" w:line="240" w:lineRule="auto"/>
        <w:rPr>
          <w:sz w:val="20"/>
          <w:szCs w:val="20"/>
        </w:rPr>
      </w:pPr>
      <w:r>
        <w:rPr>
          <w:sz w:val="20"/>
          <w:szCs w:val="20"/>
        </w:rPr>
        <w:fldChar w:fldCharType="begin"/>
      </w:r>
      <w:r w:rsidR="000C090C">
        <w:rPr>
          <w:sz w:val="20"/>
          <w:szCs w:val="20"/>
        </w:rPr>
        <w:instrText xml:space="preserve"> DATE  \@ "yyyy.MM.dd. H:mm"  \* MERGEFORMAT </w:instrText>
      </w:r>
      <w:r>
        <w:rPr>
          <w:sz w:val="20"/>
          <w:szCs w:val="20"/>
        </w:rPr>
        <w:fldChar w:fldCharType="separate"/>
      </w:r>
      <w:r w:rsidR="00987723">
        <w:rPr>
          <w:noProof/>
          <w:sz w:val="20"/>
          <w:szCs w:val="20"/>
        </w:rPr>
        <w:t>2016.01.22. 11:36</w:t>
      </w:r>
      <w:r>
        <w:rPr>
          <w:sz w:val="20"/>
          <w:szCs w:val="20"/>
        </w:rPr>
        <w:fldChar w:fldCharType="end"/>
      </w:r>
    </w:p>
    <w:p w:rsidR="00253EF0" w:rsidRDefault="004949A2" w:rsidP="001F04F1">
      <w:pPr>
        <w:spacing w:before="0" w:after="0" w:line="240" w:lineRule="auto"/>
        <w:rPr>
          <w:sz w:val="20"/>
        </w:rPr>
      </w:pPr>
      <w:fldSimple w:instr=" NUMWORDS   \* MERGEFORMAT ">
        <w:r w:rsidR="008827CE" w:rsidRPr="008827CE">
          <w:rPr>
            <w:noProof/>
            <w:sz w:val="20"/>
          </w:rPr>
          <w:t>1892</w:t>
        </w:r>
      </w:fldSimple>
    </w:p>
    <w:p w:rsidR="00684628" w:rsidRDefault="000C090C" w:rsidP="001F04F1">
      <w:pPr>
        <w:spacing w:before="0" w:after="0" w:line="240" w:lineRule="auto"/>
        <w:rPr>
          <w:sz w:val="20"/>
        </w:rPr>
      </w:pPr>
      <w:r>
        <w:rPr>
          <w:sz w:val="20"/>
        </w:rPr>
        <w:t>R.Kašs</w:t>
      </w:r>
    </w:p>
    <w:p w:rsidR="0067267D" w:rsidRDefault="000C090C" w:rsidP="001F04F1">
      <w:pPr>
        <w:spacing w:before="0" w:after="0" w:line="240" w:lineRule="auto"/>
      </w:pPr>
      <w:r>
        <w:rPr>
          <w:sz w:val="20"/>
        </w:rPr>
        <w:t>67026538</w:t>
      </w:r>
      <w:r w:rsidR="00684628" w:rsidRPr="00C46C0A">
        <w:rPr>
          <w:sz w:val="20"/>
        </w:rPr>
        <w:t xml:space="preserve">, </w:t>
      </w:r>
      <w:r w:rsidR="00126760">
        <w:rPr>
          <w:sz w:val="20"/>
        </w:rPr>
        <w:t>r</w:t>
      </w:r>
      <w:r>
        <w:rPr>
          <w:sz w:val="20"/>
        </w:rPr>
        <w:t>aimonds.</w:t>
      </w:r>
      <w:r w:rsidR="00126760">
        <w:rPr>
          <w:sz w:val="20"/>
        </w:rPr>
        <w:t>k</w:t>
      </w:r>
      <w:r>
        <w:rPr>
          <w:sz w:val="20"/>
        </w:rPr>
        <w:t>ass</w:t>
      </w:r>
      <w:r w:rsidR="00684628" w:rsidRPr="00C46C0A">
        <w:rPr>
          <w:sz w:val="20"/>
        </w:rPr>
        <w:t>@</w:t>
      </w:r>
      <w:r>
        <w:rPr>
          <w:sz w:val="20"/>
        </w:rPr>
        <w:t>varam</w:t>
      </w:r>
      <w:r w:rsidR="00684628" w:rsidRPr="00C46C0A">
        <w:rPr>
          <w:sz w:val="20"/>
        </w:rPr>
        <w:t>.gov.lv</w:t>
      </w:r>
    </w:p>
    <w:sectPr w:rsidR="0067267D" w:rsidSect="0076633D">
      <w:headerReference w:type="even" r:id="rId9"/>
      <w:headerReference w:type="default" r:id="rId10"/>
      <w:footerReference w:type="default" r:id="rId11"/>
      <w:footerReference w:type="first" r:id="rId12"/>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BF" w:rsidRDefault="00446FBF">
      <w:pPr>
        <w:pStyle w:val="naisnod"/>
      </w:pPr>
      <w:r>
        <w:separator/>
      </w:r>
    </w:p>
  </w:endnote>
  <w:endnote w:type="continuationSeparator" w:id="0">
    <w:p w:rsidR="00446FBF" w:rsidRDefault="00446FBF">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FA" w:rsidRPr="009074FA" w:rsidRDefault="009074FA" w:rsidP="009074FA">
    <w:pPr>
      <w:spacing w:before="120" w:after="0" w:line="240" w:lineRule="auto"/>
      <w:rPr>
        <w:sz w:val="20"/>
        <w:szCs w:val="20"/>
      </w:rPr>
    </w:pPr>
    <w:r w:rsidRPr="009074FA">
      <w:rPr>
        <w:sz w:val="20"/>
        <w:szCs w:val="20"/>
      </w:rPr>
      <w:fldChar w:fldCharType="begin"/>
    </w:r>
    <w:r w:rsidRPr="009074FA">
      <w:rPr>
        <w:sz w:val="20"/>
        <w:szCs w:val="20"/>
      </w:rPr>
      <w:instrText xml:space="preserve"> FILENAME   \* MERGEFORMAT </w:instrText>
    </w:r>
    <w:r w:rsidRPr="009074FA">
      <w:rPr>
        <w:sz w:val="20"/>
        <w:szCs w:val="20"/>
      </w:rPr>
      <w:fldChar w:fldCharType="separate"/>
    </w:r>
    <w:r w:rsidR="00686794">
      <w:rPr>
        <w:noProof/>
        <w:sz w:val="20"/>
        <w:szCs w:val="20"/>
      </w:rPr>
      <w:t>VARAMAnot_210116_ZEP</w:t>
    </w:r>
    <w:r w:rsidRPr="009074FA">
      <w:rPr>
        <w:sz w:val="20"/>
        <w:szCs w:val="20"/>
      </w:rPr>
      <w:fldChar w:fldCharType="end"/>
    </w:r>
    <w:r w:rsidRPr="009074FA">
      <w:rPr>
        <w:sz w:val="20"/>
        <w:szCs w:val="20"/>
      </w:rPr>
      <w:t>; „Emisijas kvotu izsolīšanas instrumenta finansēto projektu atklāta konkursa „ Siltumnīcefekta gāzu emisiju samazināšana - zema enerģijas patēriņa ēkas”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E" w:rsidRPr="009074FA" w:rsidRDefault="0076633D" w:rsidP="0076633D">
    <w:pPr>
      <w:spacing w:before="120" w:after="0" w:line="240" w:lineRule="auto"/>
      <w:rPr>
        <w:sz w:val="20"/>
        <w:szCs w:val="20"/>
      </w:rPr>
    </w:pPr>
    <w:r w:rsidRPr="009074FA">
      <w:rPr>
        <w:sz w:val="20"/>
        <w:szCs w:val="20"/>
      </w:rPr>
      <w:fldChar w:fldCharType="begin"/>
    </w:r>
    <w:r w:rsidRPr="009074FA">
      <w:rPr>
        <w:sz w:val="20"/>
        <w:szCs w:val="20"/>
      </w:rPr>
      <w:instrText xml:space="preserve"> FILENAME   \* MERGEFORMAT </w:instrText>
    </w:r>
    <w:r w:rsidRPr="009074FA">
      <w:rPr>
        <w:sz w:val="20"/>
        <w:szCs w:val="20"/>
      </w:rPr>
      <w:fldChar w:fldCharType="separate"/>
    </w:r>
    <w:r w:rsidR="00686794">
      <w:rPr>
        <w:noProof/>
        <w:sz w:val="20"/>
        <w:szCs w:val="20"/>
      </w:rPr>
      <w:t>VARAMAnot_210116_ZEP</w:t>
    </w:r>
    <w:r w:rsidRPr="009074FA">
      <w:rPr>
        <w:sz w:val="20"/>
        <w:szCs w:val="20"/>
      </w:rPr>
      <w:fldChar w:fldCharType="end"/>
    </w:r>
    <w:r w:rsidR="00851F5E" w:rsidRPr="009074FA">
      <w:rPr>
        <w:sz w:val="20"/>
        <w:szCs w:val="20"/>
      </w:rPr>
      <w:t xml:space="preserve">; </w:t>
    </w:r>
    <w:r w:rsidRPr="009074FA">
      <w:rPr>
        <w:sz w:val="20"/>
        <w:szCs w:val="20"/>
      </w:rPr>
      <w:t>„Emisijas kvotu izsolīšanas instrumenta finansēto projektu atklāta konkursa „</w:t>
    </w:r>
    <w:r w:rsidR="009074FA" w:rsidRPr="009074FA">
      <w:rPr>
        <w:sz w:val="20"/>
        <w:szCs w:val="20"/>
      </w:rPr>
      <w:t xml:space="preserve"> Siltumnīcefekta gāzu emisiju samazināšana - zema enerģijas patēriņa ēkas</w:t>
    </w:r>
    <w:r w:rsidRPr="009074FA">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BF" w:rsidRDefault="00446FBF">
      <w:pPr>
        <w:pStyle w:val="naisnod"/>
      </w:pPr>
      <w:r>
        <w:separator/>
      </w:r>
    </w:p>
  </w:footnote>
  <w:footnote w:type="continuationSeparator" w:id="0">
    <w:p w:rsidR="00446FBF" w:rsidRDefault="00446FBF">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E" w:rsidRDefault="001A0AFE">
    <w:pPr>
      <w:pStyle w:val="Header"/>
      <w:framePr w:wrap="around" w:vAnchor="text" w:hAnchor="margin" w:xAlign="center" w:y="1"/>
      <w:rPr>
        <w:rStyle w:val="PageNumber"/>
      </w:rPr>
    </w:pPr>
    <w:r>
      <w:rPr>
        <w:rStyle w:val="PageNumber"/>
      </w:rPr>
      <w:fldChar w:fldCharType="begin"/>
    </w:r>
    <w:r w:rsidR="00851F5E">
      <w:rPr>
        <w:rStyle w:val="PageNumber"/>
      </w:rPr>
      <w:instrText xml:space="preserve">PAGE  </w:instrText>
    </w:r>
    <w:r>
      <w:rPr>
        <w:rStyle w:val="PageNumber"/>
      </w:rPr>
      <w:fldChar w:fldCharType="end"/>
    </w:r>
  </w:p>
  <w:p w:rsidR="00851F5E" w:rsidRDefault="00851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5E" w:rsidRDefault="001A0AFE">
    <w:pPr>
      <w:pStyle w:val="Header"/>
      <w:framePr w:wrap="around" w:vAnchor="text" w:hAnchor="margin" w:xAlign="center" w:y="1"/>
      <w:rPr>
        <w:rStyle w:val="PageNumber"/>
      </w:rPr>
    </w:pPr>
    <w:r>
      <w:rPr>
        <w:rStyle w:val="PageNumber"/>
      </w:rPr>
      <w:fldChar w:fldCharType="begin"/>
    </w:r>
    <w:r w:rsidR="00851F5E">
      <w:rPr>
        <w:rStyle w:val="PageNumber"/>
      </w:rPr>
      <w:instrText xml:space="preserve">PAGE  </w:instrText>
    </w:r>
    <w:r>
      <w:rPr>
        <w:rStyle w:val="PageNumber"/>
      </w:rPr>
      <w:fldChar w:fldCharType="separate"/>
    </w:r>
    <w:r w:rsidR="00987723">
      <w:rPr>
        <w:rStyle w:val="PageNumber"/>
        <w:noProof/>
      </w:rPr>
      <w:t>8</w:t>
    </w:r>
    <w:r>
      <w:rPr>
        <w:rStyle w:val="PageNumber"/>
      </w:rPr>
      <w:fldChar w:fldCharType="end"/>
    </w:r>
  </w:p>
  <w:p w:rsidR="00851F5E" w:rsidRDefault="0085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7A2"/>
    <w:multiLevelType w:val="hybridMultilevel"/>
    <w:tmpl w:val="5768B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B31CAF"/>
    <w:multiLevelType w:val="hybridMultilevel"/>
    <w:tmpl w:val="47EECD26"/>
    <w:lvl w:ilvl="0" w:tplc="905A42A0">
      <w:start w:val="1"/>
      <w:numFmt w:val="decimal"/>
      <w:lvlText w:val="%1."/>
      <w:lvlJc w:val="left"/>
      <w:pPr>
        <w:ind w:left="501" w:hanging="360"/>
      </w:pPr>
    </w:lvl>
    <w:lvl w:ilvl="1" w:tplc="04260019">
      <w:start w:val="1"/>
      <w:numFmt w:val="lowerLetter"/>
      <w:lvlText w:val="%2."/>
      <w:lvlJc w:val="left"/>
      <w:pPr>
        <w:ind w:left="1221" w:hanging="360"/>
      </w:pPr>
    </w:lvl>
    <w:lvl w:ilvl="2" w:tplc="0426001B">
      <w:start w:val="1"/>
      <w:numFmt w:val="lowerRoman"/>
      <w:lvlText w:val="%3."/>
      <w:lvlJc w:val="right"/>
      <w:pPr>
        <w:ind w:left="1941" w:hanging="180"/>
      </w:pPr>
    </w:lvl>
    <w:lvl w:ilvl="3" w:tplc="0426000F">
      <w:start w:val="1"/>
      <w:numFmt w:val="decimal"/>
      <w:lvlText w:val="%4."/>
      <w:lvlJc w:val="left"/>
      <w:pPr>
        <w:ind w:left="2661" w:hanging="360"/>
      </w:pPr>
    </w:lvl>
    <w:lvl w:ilvl="4" w:tplc="04260019">
      <w:start w:val="1"/>
      <w:numFmt w:val="lowerLetter"/>
      <w:lvlText w:val="%5."/>
      <w:lvlJc w:val="left"/>
      <w:pPr>
        <w:ind w:left="3381" w:hanging="360"/>
      </w:pPr>
    </w:lvl>
    <w:lvl w:ilvl="5" w:tplc="0426001B">
      <w:start w:val="1"/>
      <w:numFmt w:val="lowerRoman"/>
      <w:lvlText w:val="%6."/>
      <w:lvlJc w:val="right"/>
      <w:pPr>
        <w:ind w:left="4101" w:hanging="180"/>
      </w:pPr>
    </w:lvl>
    <w:lvl w:ilvl="6" w:tplc="0426000F">
      <w:start w:val="1"/>
      <w:numFmt w:val="decimal"/>
      <w:lvlText w:val="%7."/>
      <w:lvlJc w:val="left"/>
      <w:pPr>
        <w:ind w:left="4821" w:hanging="360"/>
      </w:pPr>
    </w:lvl>
    <w:lvl w:ilvl="7" w:tplc="04260019">
      <w:start w:val="1"/>
      <w:numFmt w:val="lowerLetter"/>
      <w:lvlText w:val="%8."/>
      <w:lvlJc w:val="left"/>
      <w:pPr>
        <w:ind w:left="5541" w:hanging="360"/>
      </w:pPr>
    </w:lvl>
    <w:lvl w:ilvl="8" w:tplc="0426001B">
      <w:start w:val="1"/>
      <w:numFmt w:val="lowerRoman"/>
      <w:lvlText w:val="%9."/>
      <w:lvlJc w:val="right"/>
      <w:pPr>
        <w:ind w:left="6261" w:hanging="180"/>
      </w:pPr>
    </w:lvl>
  </w:abstractNum>
  <w:abstractNum w:abstractNumId="2">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8D2637"/>
    <w:multiLevelType w:val="hybridMultilevel"/>
    <w:tmpl w:val="9FDC2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7EA7A4D"/>
    <w:multiLevelType w:val="hybridMultilevel"/>
    <w:tmpl w:val="91945736"/>
    <w:lvl w:ilvl="0" w:tplc="412E03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BA01A1"/>
    <w:multiLevelType w:val="hybridMultilevel"/>
    <w:tmpl w:val="3182C66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47096148"/>
    <w:multiLevelType w:val="hybridMultilevel"/>
    <w:tmpl w:val="8286C21A"/>
    <w:lvl w:ilvl="0" w:tplc="EAEE5BB4">
      <w:start w:val="1"/>
      <w:numFmt w:val="decimal"/>
      <w:lvlText w:val="%1)"/>
      <w:lvlJc w:val="left"/>
      <w:pPr>
        <w:ind w:left="497" w:hanging="435"/>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8">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77A2ACF"/>
    <w:multiLevelType w:val="hybridMultilevel"/>
    <w:tmpl w:val="ADFE75F8"/>
    <w:lvl w:ilvl="0" w:tplc="F59AAFF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nsid w:val="6AE22F1C"/>
    <w:multiLevelType w:val="hybridMultilevel"/>
    <w:tmpl w:val="C6DCA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3A66C35"/>
    <w:multiLevelType w:val="hybridMultilevel"/>
    <w:tmpl w:val="5A04A5D8"/>
    <w:lvl w:ilvl="0" w:tplc="0426000F">
      <w:start w:val="1"/>
      <w:numFmt w:val="decimal"/>
      <w:lvlText w:val="%1."/>
      <w:lvlJc w:val="left"/>
      <w:pPr>
        <w:ind w:left="720" w:hanging="360"/>
      </w:pPr>
      <w:rPr>
        <w:rFonts w:hint="default"/>
      </w:rPr>
    </w:lvl>
    <w:lvl w:ilvl="1" w:tplc="04260001">
      <w:start w:val="1"/>
      <w:numFmt w:val="bullet"/>
      <w:lvlText w:val=""/>
      <w:lvlJc w:val="left"/>
      <w:pPr>
        <w:ind w:left="786"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2"/>
  </w:num>
  <w:num w:numId="5">
    <w:abstractNumId w:val="4"/>
  </w:num>
  <w:num w:numId="6">
    <w:abstractNumId w:val="6"/>
  </w:num>
  <w:num w:numId="7">
    <w:abstractNumId w:val="9"/>
  </w:num>
  <w:num w:numId="8">
    <w:abstractNumId w:val="10"/>
  </w:num>
  <w:num w:numId="9">
    <w:abstractNumId w:val="8"/>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57"/>
    <w:rsid w:val="000004F6"/>
    <w:rsid w:val="00004A0E"/>
    <w:rsid w:val="0000611F"/>
    <w:rsid w:val="0001096A"/>
    <w:rsid w:val="00012B0B"/>
    <w:rsid w:val="000151B9"/>
    <w:rsid w:val="0001541C"/>
    <w:rsid w:val="0002370F"/>
    <w:rsid w:val="000261AD"/>
    <w:rsid w:val="00027828"/>
    <w:rsid w:val="00033D30"/>
    <w:rsid w:val="000348F5"/>
    <w:rsid w:val="00035AD3"/>
    <w:rsid w:val="00043A8C"/>
    <w:rsid w:val="00044807"/>
    <w:rsid w:val="00046902"/>
    <w:rsid w:val="0005271E"/>
    <w:rsid w:val="0005413D"/>
    <w:rsid w:val="000644E3"/>
    <w:rsid w:val="00065E5A"/>
    <w:rsid w:val="00072A69"/>
    <w:rsid w:val="00081872"/>
    <w:rsid w:val="00082034"/>
    <w:rsid w:val="00082449"/>
    <w:rsid w:val="00083FAE"/>
    <w:rsid w:val="00091A63"/>
    <w:rsid w:val="000A2504"/>
    <w:rsid w:val="000B0177"/>
    <w:rsid w:val="000B1FDA"/>
    <w:rsid w:val="000B2C35"/>
    <w:rsid w:val="000B36A5"/>
    <w:rsid w:val="000B706A"/>
    <w:rsid w:val="000B7CD3"/>
    <w:rsid w:val="000C090C"/>
    <w:rsid w:val="000C2B47"/>
    <w:rsid w:val="000C2B6A"/>
    <w:rsid w:val="000C376F"/>
    <w:rsid w:val="000C5619"/>
    <w:rsid w:val="000D035C"/>
    <w:rsid w:val="000D10DB"/>
    <w:rsid w:val="000D2564"/>
    <w:rsid w:val="000D398E"/>
    <w:rsid w:val="000D6348"/>
    <w:rsid w:val="000D68A9"/>
    <w:rsid w:val="000E3C41"/>
    <w:rsid w:val="000E5384"/>
    <w:rsid w:val="000F2298"/>
    <w:rsid w:val="000F5F82"/>
    <w:rsid w:val="00103F0E"/>
    <w:rsid w:val="0011091B"/>
    <w:rsid w:val="0011217D"/>
    <w:rsid w:val="00116C9D"/>
    <w:rsid w:val="00116E10"/>
    <w:rsid w:val="00122AA6"/>
    <w:rsid w:val="00123448"/>
    <w:rsid w:val="00126760"/>
    <w:rsid w:val="00126773"/>
    <w:rsid w:val="00130369"/>
    <w:rsid w:val="00132D3D"/>
    <w:rsid w:val="00133143"/>
    <w:rsid w:val="00133E75"/>
    <w:rsid w:val="001356E1"/>
    <w:rsid w:val="00142B54"/>
    <w:rsid w:val="001447B7"/>
    <w:rsid w:val="001519DF"/>
    <w:rsid w:val="00153FD6"/>
    <w:rsid w:val="00157855"/>
    <w:rsid w:val="0016359A"/>
    <w:rsid w:val="00164497"/>
    <w:rsid w:val="00165C1E"/>
    <w:rsid w:val="0017058A"/>
    <w:rsid w:val="001717D5"/>
    <w:rsid w:val="00173D89"/>
    <w:rsid w:val="001753CD"/>
    <w:rsid w:val="00176C5A"/>
    <w:rsid w:val="0018156E"/>
    <w:rsid w:val="00181719"/>
    <w:rsid w:val="00182E92"/>
    <w:rsid w:val="00186315"/>
    <w:rsid w:val="0018706D"/>
    <w:rsid w:val="001913C5"/>
    <w:rsid w:val="00192115"/>
    <w:rsid w:val="0019221C"/>
    <w:rsid w:val="001978FB"/>
    <w:rsid w:val="001A0013"/>
    <w:rsid w:val="001A0AFE"/>
    <w:rsid w:val="001A2B66"/>
    <w:rsid w:val="001A2C70"/>
    <w:rsid w:val="001A51E2"/>
    <w:rsid w:val="001B2E1C"/>
    <w:rsid w:val="001B3098"/>
    <w:rsid w:val="001B698D"/>
    <w:rsid w:val="001C1210"/>
    <w:rsid w:val="001C164C"/>
    <w:rsid w:val="001C569A"/>
    <w:rsid w:val="001E47A5"/>
    <w:rsid w:val="001E54A3"/>
    <w:rsid w:val="001F04F1"/>
    <w:rsid w:val="001F5411"/>
    <w:rsid w:val="00201E3C"/>
    <w:rsid w:val="00202A18"/>
    <w:rsid w:val="002031D8"/>
    <w:rsid w:val="00204617"/>
    <w:rsid w:val="002052A1"/>
    <w:rsid w:val="00205B39"/>
    <w:rsid w:val="0020608E"/>
    <w:rsid w:val="00206DA3"/>
    <w:rsid w:val="00211F2C"/>
    <w:rsid w:val="002150B9"/>
    <w:rsid w:val="00215CFD"/>
    <w:rsid w:val="002213BC"/>
    <w:rsid w:val="00222D76"/>
    <w:rsid w:val="00222F71"/>
    <w:rsid w:val="0023098B"/>
    <w:rsid w:val="002324D9"/>
    <w:rsid w:val="002324F8"/>
    <w:rsid w:val="00234F66"/>
    <w:rsid w:val="002367A9"/>
    <w:rsid w:val="00237992"/>
    <w:rsid w:val="00237D7D"/>
    <w:rsid w:val="00241AFD"/>
    <w:rsid w:val="00241DB5"/>
    <w:rsid w:val="0024474E"/>
    <w:rsid w:val="00251DE1"/>
    <w:rsid w:val="0025282F"/>
    <w:rsid w:val="00253EF0"/>
    <w:rsid w:val="00257CD4"/>
    <w:rsid w:val="0026058E"/>
    <w:rsid w:val="00261395"/>
    <w:rsid w:val="00263E5A"/>
    <w:rsid w:val="00265A10"/>
    <w:rsid w:val="00266257"/>
    <w:rsid w:val="0027415E"/>
    <w:rsid w:val="002760F3"/>
    <w:rsid w:val="00277D2F"/>
    <w:rsid w:val="00281EC0"/>
    <w:rsid w:val="00282DF9"/>
    <w:rsid w:val="00287313"/>
    <w:rsid w:val="00290D53"/>
    <w:rsid w:val="0029432A"/>
    <w:rsid w:val="00294E85"/>
    <w:rsid w:val="00297AFB"/>
    <w:rsid w:val="002A3CDD"/>
    <w:rsid w:val="002A45C4"/>
    <w:rsid w:val="002A511C"/>
    <w:rsid w:val="002A5ACA"/>
    <w:rsid w:val="002A6FEC"/>
    <w:rsid w:val="002A70E4"/>
    <w:rsid w:val="002A78A4"/>
    <w:rsid w:val="002B35B0"/>
    <w:rsid w:val="002B6E3A"/>
    <w:rsid w:val="002C310E"/>
    <w:rsid w:val="002D16ED"/>
    <w:rsid w:val="002D6A62"/>
    <w:rsid w:val="002D75FE"/>
    <w:rsid w:val="002F0B4F"/>
    <w:rsid w:val="002F5FDD"/>
    <w:rsid w:val="00300BBE"/>
    <w:rsid w:val="0030286C"/>
    <w:rsid w:val="00307FE8"/>
    <w:rsid w:val="00317465"/>
    <w:rsid w:val="00322274"/>
    <w:rsid w:val="0032592A"/>
    <w:rsid w:val="00333094"/>
    <w:rsid w:val="00335863"/>
    <w:rsid w:val="00336D2A"/>
    <w:rsid w:val="00345703"/>
    <w:rsid w:val="00347AEC"/>
    <w:rsid w:val="00347B3D"/>
    <w:rsid w:val="003502E8"/>
    <w:rsid w:val="003508B0"/>
    <w:rsid w:val="0035256B"/>
    <w:rsid w:val="0035413A"/>
    <w:rsid w:val="0035522B"/>
    <w:rsid w:val="0035573F"/>
    <w:rsid w:val="00355EF4"/>
    <w:rsid w:val="00357105"/>
    <w:rsid w:val="00360922"/>
    <w:rsid w:val="0036259C"/>
    <w:rsid w:val="00366E43"/>
    <w:rsid w:val="00370F57"/>
    <w:rsid w:val="003715EA"/>
    <w:rsid w:val="003724E7"/>
    <w:rsid w:val="00376D63"/>
    <w:rsid w:val="00377CDB"/>
    <w:rsid w:val="00377F39"/>
    <w:rsid w:val="00380B37"/>
    <w:rsid w:val="00381AFB"/>
    <w:rsid w:val="00384BF5"/>
    <w:rsid w:val="00387A7C"/>
    <w:rsid w:val="00387F4A"/>
    <w:rsid w:val="00392931"/>
    <w:rsid w:val="00392CA7"/>
    <w:rsid w:val="003938D7"/>
    <w:rsid w:val="00396D39"/>
    <w:rsid w:val="003A4448"/>
    <w:rsid w:val="003A53B3"/>
    <w:rsid w:val="003A635F"/>
    <w:rsid w:val="003A75AA"/>
    <w:rsid w:val="003C1FA5"/>
    <w:rsid w:val="003C7A40"/>
    <w:rsid w:val="003D040F"/>
    <w:rsid w:val="003D0682"/>
    <w:rsid w:val="003D14E8"/>
    <w:rsid w:val="003D1FB1"/>
    <w:rsid w:val="003D7374"/>
    <w:rsid w:val="003E0326"/>
    <w:rsid w:val="003E2717"/>
    <w:rsid w:val="003E47C5"/>
    <w:rsid w:val="003F0062"/>
    <w:rsid w:val="003F02C6"/>
    <w:rsid w:val="003F2231"/>
    <w:rsid w:val="003F356E"/>
    <w:rsid w:val="003F404D"/>
    <w:rsid w:val="003F6AB7"/>
    <w:rsid w:val="00402890"/>
    <w:rsid w:val="00406F9F"/>
    <w:rsid w:val="00411A01"/>
    <w:rsid w:val="004129E7"/>
    <w:rsid w:val="004134F0"/>
    <w:rsid w:val="0041625C"/>
    <w:rsid w:val="004225A4"/>
    <w:rsid w:val="00423F24"/>
    <w:rsid w:val="00424745"/>
    <w:rsid w:val="00426371"/>
    <w:rsid w:val="00430E31"/>
    <w:rsid w:val="00431613"/>
    <w:rsid w:val="004350F7"/>
    <w:rsid w:val="004405F0"/>
    <w:rsid w:val="0044304F"/>
    <w:rsid w:val="00444ED6"/>
    <w:rsid w:val="00446FBF"/>
    <w:rsid w:val="00450192"/>
    <w:rsid w:val="00452672"/>
    <w:rsid w:val="00455302"/>
    <w:rsid w:val="004555C1"/>
    <w:rsid w:val="004559B8"/>
    <w:rsid w:val="00456C58"/>
    <w:rsid w:val="00460C2E"/>
    <w:rsid w:val="00464AFB"/>
    <w:rsid w:val="00470506"/>
    <w:rsid w:val="0047334C"/>
    <w:rsid w:val="004736DB"/>
    <w:rsid w:val="00474217"/>
    <w:rsid w:val="00474647"/>
    <w:rsid w:val="004811E7"/>
    <w:rsid w:val="004845E7"/>
    <w:rsid w:val="004845FB"/>
    <w:rsid w:val="00487A74"/>
    <w:rsid w:val="00490B81"/>
    <w:rsid w:val="004919FA"/>
    <w:rsid w:val="00492D45"/>
    <w:rsid w:val="004949A2"/>
    <w:rsid w:val="00495396"/>
    <w:rsid w:val="004A5228"/>
    <w:rsid w:val="004A6F7E"/>
    <w:rsid w:val="004A70F5"/>
    <w:rsid w:val="004B07A5"/>
    <w:rsid w:val="004B4B1C"/>
    <w:rsid w:val="004B5698"/>
    <w:rsid w:val="004B6BE3"/>
    <w:rsid w:val="004B7BE4"/>
    <w:rsid w:val="004C02AA"/>
    <w:rsid w:val="004C1936"/>
    <w:rsid w:val="004C232A"/>
    <w:rsid w:val="004C23F1"/>
    <w:rsid w:val="004D25AC"/>
    <w:rsid w:val="004D5C94"/>
    <w:rsid w:val="004D753C"/>
    <w:rsid w:val="004D7AA9"/>
    <w:rsid w:val="004E01E0"/>
    <w:rsid w:val="004E6701"/>
    <w:rsid w:val="004E7D3E"/>
    <w:rsid w:val="004F19B9"/>
    <w:rsid w:val="005004DF"/>
    <w:rsid w:val="00500F36"/>
    <w:rsid w:val="0050722B"/>
    <w:rsid w:val="00507254"/>
    <w:rsid w:val="00514A39"/>
    <w:rsid w:val="00515482"/>
    <w:rsid w:val="0051568B"/>
    <w:rsid w:val="00516A78"/>
    <w:rsid w:val="00516D80"/>
    <w:rsid w:val="00516E98"/>
    <w:rsid w:val="0052074C"/>
    <w:rsid w:val="00521F0A"/>
    <w:rsid w:val="0052511B"/>
    <w:rsid w:val="00525A44"/>
    <w:rsid w:val="00542BFA"/>
    <w:rsid w:val="00557039"/>
    <w:rsid w:val="00562AF8"/>
    <w:rsid w:val="00562CD5"/>
    <w:rsid w:val="00564DF9"/>
    <w:rsid w:val="00567B56"/>
    <w:rsid w:val="005718A3"/>
    <w:rsid w:val="00571F68"/>
    <w:rsid w:val="0058211E"/>
    <w:rsid w:val="00582BD5"/>
    <w:rsid w:val="0058311A"/>
    <w:rsid w:val="0058311F"/>
    <w:rsid w:val="00586C4C"/>
    <w:rsid w:val="005872D1"/>
    <w:rsid w:val="00592F70"/>
    <w:rsid w:val="005946C9"/>
    <w:rsid w:val="00594B39"/>
    <w:rsid w:val="0059500F"/>
    <w:rsid w:val="005A1E05"/>
    <w:rsid w:val="005A786E"/>
    <w:rsid w:val="005B37DB"/>
    <w:rsid w:val="005B489D"/>
    <w:rsid w:val="005B4B9E"/>
    <w:rsid w:val="005C1D30"/>
    <w:rsid w:val="005C4B6F"/>
    <w:rsid w:val="005C6AB4"/>
    <w:rsid w:val="005D0EE0"/>
    <w:rsid w:val="005E3C20"/>
    <w:rsid w:val="005E4BBB"/>
    <w:rsid w:val="005E5FE6"/>
    <w:rsid w:val="005E7C7B"/>
    <w:rsid w:val="005F03A4"/>
    <w:rsid w:val="005F2E40"/>
    <w:rsid w:val="005F7092"/>
    <w:rsid w:val="00603D73"/>
    <w:rsid w:val="00604189"/>
    <w:rsid w:val="00606578"/>
    <w:rsid w:val="00607958"/>
    <w:rsid w:val="00613000"/>
    <w:rsid w:val="00614877"/>
    <w:rsid w:val="0063101B"/>
    <w:rsid w:val="006324A8"/>
    <w:rsid w:val="00632658"/>
    <w:rsid w:val="00635502"/>
    <w:rsid w:val="0063645F"/>
    <w:rsid w:val="00644FC9"/>
    <w:rsid w:val="006460B1"/>
    <w:rsid w:val="0065427D"/>
    <w:rsid w:val="006605F5"/>
    <w:rsid w:val="006607F7"/>
    <w:rsid w:val="006628E0"/>
    <w:rsid w:val="00665A16"/>
    <w:rsid w:val="00667F12"/>
    <w:rsid w:val="006711C2"/>
    <w:rsid w:val="0067267D"/>
    <w:rsid w:val="00674C23"/>
    <w:rsid w:val="006809F8"/>
    <w:rsid w:val="00681E02"/>
    <w:rsid w:val="0068200A"/>
    <w:rsid w:val="00684628"/>
    <w:rsid w:val="00686794"/>
    <w:rsid w:val="006A0424"/>
    <w:rsid w:val="006A3953"/>
    <w:rsid w:val="006A7928"/>
    <w:rsid w:val="006B259E"/>
    <w:rsid w:val="006B2F58"/>
    <w:rsid w:val="006C33E3"/>
    <w:rsid w:val="006D21A4"/>
    <w:rsid w:val="006D3809"/>
    <w:rsid w:val="006D42EE"/>
    <w:rsid w:val="006E2963"/>
    <w:rsid w:val="006E3EAF"/>
    <w:rsid w:val="006F059F"/>
    <w:rsid w:val="006F163F"/>
    <w:rsid w:val="006F634F"/>
    <w:rsid w:val="006F66CB"/>
    <w:rsid w:val="00700651"/>
    <w:rsid w:val="00702E0A"/>
    <w:rsid w:val="00703629"/>
    <w:rsid w:val="00703930"/>
    <w:rsid w:val="007043A4"/>
    <w:rsid w:val="00704497"/>
    <w:rsid w:val="00704C59"/>
    <w:rsid w:val="0071169D"/>
    <w:rsid w:val="007116EA"/>
    <w:rsid w:val="00717641"/>
    <w:rsid w:val="00722077"/>
    <w:rsid w:val="00723D11"/>
    <w:rsid w:val="0072730A"/>
    <w:rsid w:val="007437A3"/>
    <w:rsid w:val="00744957"/>
    <w:rsid w:val="00745387"/>
    <w:rsid w:val="007460E0"/>
    <w:rsid w:val="00746434"/>
    <w:rsid w:val="00755F0A"/>
    <w:rsid w:val="00755F60"/>
    <w:rsid w:val="0076096E"/>
    <w:rsid w:val="00762C4E"/>
    <w:rsid w:val="0076598A"/>
    <w:rsid w:val="0076633D"/>
    <w:rsid w:val="007762C3"/>
    <w:rsid w:val="007815B0"/>
    <w:rsid w:val="00782533"/>
    <w:rsid w:val="00785C41"/>
    <w:rsid w:val="00792C5D"/>
    <w:rsid w:val="007A4262"/>
    <w:rsid w:val="007A65DC"/>
    <w:rsid w:val="007A69DD"/>
    <w:rsid w:val="007B00FC"/>
    <w:rsid w:val="007B1217"/>
    <w:rsid w:val="007B25A8"/>
    <w:rsid w:val="007B2A2C"/>
    <w:rsid w:val="007B6B3B"/>
    <w:rsid w:val="007C20AB"/>
    <w:rsid w:val="007C24BE"/>
    <w:rsid w:val="007C2A29"/>
    <w:rsid w:val="007C354B"/>
    <w:rsid w:val="007C354F"/>
    <w:rsid w:val="007C5078"/>
    <w:rsid w:val="007D21E8"/>
    <w:rsid w:val="007D408F"/>
    <w:rsid w:val="007D656E"/>
    <w:rsid w:val="007E6D61"/>
    <w:rsid w:val="007E7039"/>
    <w:rsid w:val="007F286B"/>
    <w:rsid w:val="007F426A"/>
    <w:rsid w:val="007F4273"/>
    <w:rsid w:val="007F44E6"/>
    <w:rsid w:val="007F485E"/>
    <w:rsid w:val="007F5E6E"/>
    <w:rsid w:val="007F603F"/>
    <w:rsid w:val="00801765"/>
    <w:rsid w:val="00803E09"/>
    <w:rsid w:val="00804DAB"/>
    <w:rsid w:val="008109FF"/>
    <w:rsid w:val="008121C7"/>
    <w:rsid w:val="008256B6"/>
    <w:rsid w:val="00826E46"/>
    <w:rsid w:val="00833870"/>
    <w:rsid w:val="00836CA6"/>
    <w:rsid w:val="008438D0"/>
    <w:rsid w:val="00843D16"/>
    <w:rsid w:val="0084657E"/>
    <w:rsid w:val="00851F5E"/>
    <w:rsid w:val="0085358E"/>
    <w:rsid w:val="00860B29"/>
    <w:rsid w:val="00861F90"/>
    <w:rsid w:val="00862C83"/>
    <w:rsid w:val="00863D1F"/>
    <w:rsid w:val="008673BF"/>
    <w:rsid w:val="00874848"/>
    <w:rsid w:val="008827CE"/>
    <w:rsid w:val="00885532"/>
    <w:rsid w:val="00891842"/>
    <w:rsid w:val="008949AB"/>
    <w:rsid w:val="00894E8F"/>
    <w:rsid w:val="008952F4"/>
    <w:rsid w:val="00896995"/>
    <w:rsid w:val="008A01C2"/>
    <w:rsid w:val="008A4C45"/>
    <w:rsid w:val="008B541D"/>
    <w:rsid w:val="008B6732"/>
    <w:rsid w:val="008B6A28"/>
    <w:rsid w:val="008B7079"/>
    <w:rsid w:val="008B7CF9"/>
    <w:rsid w:val="008C0C88"/>
    <w:rsid w:val="008C2049"/>
    <w:rsid w:val="008C5A28"/>
    <w:rsid w:val="008C6433"/>
    <w:rsid w:val="008D0668"/>
    <w:rsid w:val="008D439A"/>
    <w:rsid w:val="008D6266"/>
    <w:rsid w:val="008D772F"/>
    <w:rsid w:val="008E3C5A"/>
    <w:rsid w:val="008E6656"/>
    <w:rsid w:val="008F07EA"/>
    <w:rsid w:val="008F09C0"/>
    <w:rsid w:val="008F782F"/>
    <w:rsid w:val="0090173F"/>
    <w:rsid w:val="009043BC"/>
    <w:rsid w:val="009074FA"/>
    <w:rsid w:val="00907F97"/>
    <w:rsid w:val="00913047"/>
    <w:rsid w:val="00927D2D"/>
    <w:rsid w:val="00936DC8"/>
    <w:rsid w:val="009377FA"/>
    <w:rsid w:val="009418B8"/>
    <w:rsid w:val="00941CCE"/>
    <w:rsid w:val="00942AAC"/>
    <w:rsid w:val="0094397D"/>
    <w:rsid w:val="00950A6C"/>
    <w:rsid w:val="00953006"/>
    <w:rsid w:val="0095368C"/>
    <w:rsid w:val="00953FA8"/>
    <w:rsid w:val="0095419B"/>
    <w:rsid w:val="00961D0C"/>
    <w:rsid w:val="00966273"/>
    <w:rsid w:val="009664B1"/>
    <w:rsid w:val="00966672"/>
    <w:rsid w:val="00972B7A"/>
    <w:rsid w:val="00975802"/>
    <w:rsid w:val="0098080E"/>
    <w:rsid w:val="00985CA9"/>
    <w:rsid w:val="009870F6"/>
    <w:rsid w:val="00987723"/>
    <w:rsid w:val="009908E2"/>
    <w:rsid w:val="0099129E"/>
    <w:rsid w:val="00991350"/>
    <w:rsid w:val="00994006"/>
    <w:rsid w:val="009A1A7B"/>
    <w:rsid w:val="009A2BAA"/>
    <w:rsid w:val="009A3314"/>
    <w:rsid w:val="009A4B84"/>
    <w:rsid w:val="009A6B33"/>
    <w:rsid w:val="009B06DE"/>
    <w:rsid w:val="009B390D"/>
    <w:rsid w:val="009B4377"/>
    <w:rsid w:val="009B6BA7"/>
    <w:rsid w:val="009B6C2D"/>
    <w:rsid w:val="009B7D7D"/>
    <w:rsid w:val="009C4D03"/>
    <w:rsid w:val="009C5B01"/>
    <w:rsid w:val="009D2733"/>
    <w:rsid w:val="009E1F37"/>
    <w:rsid w:val="009E3574"/>
    <w:rsid w:val="009E40C7"/>
    <w:rsid w:val="009E6F5F"/>
    <w:rsid w:val="009E76D2"/>
    <w:rsid w:val="009F149F"/>
    <w:rsid w:val="009F2938"/>
    <w:rsid w:val="00A007E7"/>
    <w:rsid w:val="00A00FEB"/>
    <w:rsid w:val="00A04FD8"/>
    <w:rsid w:val="00A05E01"/>
    <w:rsid w:val="00A10777"/>
    <w:rsid w:val="00A14D60"/>
    <w:rsid w:val="00A1640E"/>
    <w:rsid w:val="00A24337"/>
    <w:rsid w:val="00A2455B"/>
    <w:rsid w:val="00A25E00"/>
    <w:rsid w:val="00A27197"/>
    <w:rsid w:val="00A30796"/>
    <w:rsid w:val="00A32F7B"/>
    <w:rsid w:val="00A35125"/>
    <w:rsid w:val="00A36E52"/>
    <w:rsid w:val="00A371B4"/>
    <w:rsid w:val="00A430E3"/>
    <w:rsid w:val="00A50F90"/>
    <w:rsid w:val="00A54C94"/>
    <w:rsid w:val="00A5509C"/>
    <w:rsid w:val="00A619C6"/>
    <w:rsid w:val="00A61F8F"/>
    <w:rsid w:val="00A632D4"/>
    <w:rsid w:val="00A65B65"/>
    <w:rsid w:val="00A733B7"/>
    <w:rsid w:val="00A776BD"/>
    <w:rsid w:val="00A80A07"/>
    <w:rsid w:val="00A82FAC"/>
    <w:rsid w:val="00A84491"/>
    <w:rsid w:val="00AA083D"/>
    <w:rsid w:val="00AA7647"/>
    <w:rsid w:val="00AB0375"/>
    <w:rsid w:val="00AB14E9"/>
    <w:rsid w:val="00AB33CA"/>
    <w:rsid w:val="00AB773F"/>
    <w:rsid w:val="00AC0661"/>
    <w:rsid w:val="00AC0EC6"/>
    <w:rsid w:val="00AC644E"/>
    <w:rsid w:val="00AD15EA"/>
    <w:rsid w:val="00AD1DDC"/>
    <w:rsid w:val="00AD495D"/>
    <w:rsid w:val="00AD4FAA"/>
    <w:rsid w:val="00AE0D94"/>
    <w:rsid w:val="00AE112C"/>
    <w:rsid w:val="00AE198F"/>
    <w:rsid w:val="00AE4FEF"/>
    <w:rsid w:val="00AF70DB"/>
    <w:rsid w:val="00B01323"/>
    <w:rsid w:val="00B0555B"/>
    <w:rsid w:val="00B06B16"/>
    <w:rsid w:val="00B12C71"/>
    <w:rsid w:val="00B2558B"/>
    <w:rsid w:val="00B25969"/>
    <w:rsid w:val="00B311B8"/>
    <w:rsid w:val="00B31CB5"/>
    <w:rsid w:val="00B323A0"/>
    <w:rsid w:val="00B326D8"/>
    <w:rsid w:val="00B33847"/>
    <w:rsid w:val="00B401DB"/>
    <w:rsid w:val="00B53803"/>
    <w:rsid w:val="00B5462D"/>
    <w:rsid w:val="00B56767"/>
    <w:rsid w:val="00B579B4"/>
    <w:rsid w:val="00B6221B"/>
    <w:rsid w:val="00B650D4"/>
    <w:rsid w:val="00B66320"/>
    <w:rsid w:val="00B67FC7"/>
    <w:rsid w:val="00B739D5"/>
    <w:rsid w:val="00B81385"/>
    <w:rsid w:val="00B81643"/>
    <w:rsid w:val="00B84C97"/>
    <w:rsid w:val="00B85782"/>
    <w:rsid w:val="00B85DB7"/>
    <w:rsid w:val="00B8664C"/>
    <w:rsid w:val="00B87B94"/>
    <w:rsid w:val="00B93C26"/>
    <w:rsid w:val="00B93FE1"/>
    <w:rsid w:val="00B9419D"/>
    <w:rsid w:val="00B94737"/>
    <w:rsid w:val="00B94A1E"/>
    <w:rsid w:val="00BA1834"/>
    <w:rsid w:val="00BA686B"/>
    <w:rsid w:val="00BB0349"/>
    <w:rsid w:val="00BB6E2A"/>
    <w:rsid w:val="00BB73D3"/>
    <w:rsid w:val="00BB7CF9"/>
    <w:rsid w:val="00BD0796"/>
    <w:rsid w:val="00BD2242"/>
    <w:rsid w:val="00BD44CA"/>
    <w:rsid w:val="00BD6F3B"/>
    <w:rsid w:val="00BE60CA"/>
    <w:rsid w:val="00BF1865"/>
    <w:rsid w:val="00BF6013"/>
    <w:rsid w:val="00C0275B"/>
    <w:rsid w:val="00C0700C"/>
    <w:rsid w:val="00C07C36"/>
    <w:rsid w:val="00C11CB3"/>
    <w:rsid w:val="00C1672C"/>
    <w:rsid w:val="00C16B67"/>
    <w:rsid w:val="00C16DFC"/>
    <w:rsid w:val="00C1713A"/>
    <w:rsid w:val="00C17382"/>
    <w:rsid w:val="00C2270F"/>
    <w:rsid w:val="00C22861"/>
    <w:rsid w:val="00C2366E"/>
    <w:rsid w:val="00C2581D"/>
    <w:rsid w:val="00C27360"/>
    <w:rsid w:val="00C27FEC"/>
    <w:rsid w:val="00C36C6E"/>
    <w:rsid w:val="00C449AC"/>
    <w:rsid w:val="00C465A5"/>
    <w:rsid w:val="00C543E8"/>
    <w:rsid w:val="00C575EE"/>
    <w:rsid w:val="00C6115A"/>
    <w:rsid w:val="00C6555E"/>
    <w:rsid w:val="00C7071B"/>
    <w:rsid w:val="00C76A3C"/>
    <w:rsid w:val="00C82555"/>
    <w:rsid w:val="00C85020"/>
    <w:rsid w:val="00C86496"/>
    <w:rsid w:val="00C87808"/>
    <w:rsid w:val="00C92BF3"/>
    <w:rsid w:val="00C93184"/>
    <w:rsid w:val="00C94741"/>
    <w:rsid w:val="00C94ABF"/>
    <w:rsid w:val="00C958EA"/>
    <w:rsid w:val="00C961A7"/>
    <w:rsid w:val="00C96744"/>
    <w:rsid w:val="00C972A2"/>
    <w:rsid w:val="00C97E37"/>
    <w:rsid w:val="00CA0152"/>
    <w:rsid w:val="00CA1C32"/>
    <w:rsid w:val="00CA2546"/>
    <w:rsid w:val="00CA429A"/>
    <w:rsid w:val="00CB1734"/>
    <w:rsid w:val="00CB6B29"/>
    <w:rsid w:val="00CB6FE4"/>
    <w:rsid w:val="00CC2D33"/>
    <w:rsid w:val="00CC395A"/>
    <w:rsid w:val="00CC5F74"/>
    <w:rsid w:val="00CC605D"/>
    <w:rsid w:val="00CD4DA9"/>
    <w:rsid w:val="00CE1C0A"/>
    <w:rsid w:val="00CE30FC"/>
    <w:rsid w:val="00CE3374"/>
    <w:rsid w:val="00CE4F3F"/>
    <w:rsid w:val="00CE5752"/>
    <w:rsid w:val="00CF129C"/>
    <w:rsid w:val="00CF4AC4"/>
    <w:rsid w:val="00D0010C"/>
    <w:rsid w:val="00D009E8"/>
    <w:rsid w:val="00D076EE"/>
    <w:rsid w:val="00D11526"/>
    <w:rsid w:val="00D13AD8"/>
    <w:rsid w:val="00D15557"/>
    <w:rsid w:val="00D16F87"/>
    <w:rsid w:val="00D2709E"/>
    <w:rsid w:val="00D300EF"/>
    <w:rsid w:val="00D30F65"/>
    <w:rsid w:val="00D31601"/>
    <w:rsid w:val="00D31C8A"/>
    <w:rsid w:val="00D34451"/>
    <w:rsid w:val="00D42FE7"/>
    <w:rsid w:val="00D4402B"/>
    <w:rsid w:val="00D4626D"/>
    <w:rsid w:val="00D47E05"/>
    <w:rsid w:val="00D47ED7"/>
    <w:rsid w:val="00D51A87"/>
    <w:rsid w:val="00D53A85"/>
    <w:rsid w:val="00D54F8E"/>
    <w:rsid w:val="00D55037"/>
    <w:rsid w:val="00D55DDF"/>
    <w:rsid w:val="00D57DB4"/>
    <w:rsid w:val="00D6467C"/>
    <w:rsid w:val="00D70DA9"/>
    <w:rsid w:val="00D746B1"/>
    <w:rsid w:val="00D77A1D"/>
    <w:rsid w:val="00D8244E"/>
    <w:rsid w:val="00D830C0"/>
    <w:rsid w:val="00D83109"/>
    <w:rsid w:val="00D831FC"/>
    <w:rsid w:val="00D93FA3"/>
    <w:rsid w:val="00DA35EB"/>
    <w:rsid w:val="00DA6544"/>
    <w:rsid w:val="00DA76A8"/>
    <w:rsid w:val="00DA7813"/>
    <w:rsid w:val="00DB007D"/>
    <w:rsid w:val="00DB0711"/>
    <w:rsid w:val="00DB39AD"/>
    <w:rsid w:val="00DB75CF"/>
    <w:rsid w:val="00DC2BD1"/>
    <w:rsid w:val="00DC2D33"/>
    <w:rsid w:val="00DC54C3"/>
    <w:rsid w:val="00DC7F47"/>
    <w:rsid w:val="00DD2AC2"/>
    <w:rsid w:val="00DE00CC"/>
    <w:rsid w:val="00DE0FAA"/>
    <w:rsid w:val="00DE285A"/>
    <w:rsid w:val="00DE3870"/>
    <w:rsid w:val="00DE3C77"/>
    <w:rsid w:val="00DE75E1"/>
    <w:rsid w:val="00DF0134"/>
    <w:rsid w:val="00DF1D25"/>
    <w:rsid w:val="00DF32FD"/>
    <w:rsid w:val="00E07B96"/>
    <w:rsid w:val="00E13C8B"/>
    <w:rsid w:val="00E140AE"/>
    <w:rsid w:val="00E2183A"/>
    <w:rsid w:val="00E26991"/>
    <w:rsid w:val="00E27B6A"/>
    <w:rsid w:val="00E30E0B"/>
    <w:rsid w:val="00E32CBC"/>
    <w:rsid w:val="00E4163B"/>
    <w:rsid w:val="00E41DFF"/>
    <w:rsid w:val="00E44048"/>
    <w:rsid w:val="00E44FDF"/>
    <w:rsid w:val="00E45335"/>
    <w:rsid w:val="00E51A6D"/>
    <w:rsid w:val="00E51D7E"/>
    <w:rsid w:val="00E521F9"/>
    <w:rsid w:val="00E52646"/>
    <w:rsid w:val="00E56B5D"/>
    <w:rsid w:val="00E65730"/>
    <w:rsid w:val="00E66E9A"/>
    <w:rsid w:val="00E736C9"/>
    <w:rsid w:val="00E73B86"/>
    <w:rsid w:val="00E743AA"/>
    <w:rsid w:val="00E77BA8"/>
    <w:rsid w:val="00E81DC8"/>
    <w:rsid w:val="00E8447B"/>
    <w:rsid w:val="00E851A6"/>
    <w:rsid w:val="00EA0724"/>
    <w:rsid w:val="00EA0C55"/>
    <w:rsid w:val="00EA4624"/>
    <w:rsid w:val="00EB0A78"/>
    <w:rsid w:val="00EB278C"/>
    <w:rsid w:val="00EB4676"/>
    <w:rsid w:val="00EB4FD7"/>
    <w:rsid w:val="00EC002A"/>
    <w:rsid w:val="00EC1BF8"/>
    <w:rsid w:val="00EC4E76"/>
    <w:rsid w:val="00ED0A9A"/>
    <w:rsid w:val="00EE0FB9"/>
    <w:rsid w:val="00EE2191"/>
    <w:rsid w:val="00EE7693"/>
    <w:rsid w:val="00EE7891"/>
    <w:rsid w:val="00EE7B5D"/>
    <w:rsid w:val="00EF5E7C"/>
    <w:rsid w:val="00EF706F"/>
    <w:rsid w:val="00EF7CCA"/>
    <w:rsid w:val="00F0245F"/>
    <w:rsid w:val="00F053B9"/>
    <w:rsid w:val="00F14007"/>
    <w:rsid w:val="00F16C79"/>
    <w:rsid w:val="00F20E3A"/>
    <w:rsid w:val="00F233BE"/>
    <w:rsid w:val="00F23B6F"/>
    <w:rsid w:val="00F26036"/>
    <w:rsid w:val="00F275A5"/>
    <w:rsid w:val="00F37255"/>
    <w:rsid w:val="00F419E6"/>
    <w:rsid w:val="00F42BE5"/>
    <w:rsid w:val="00F44038"/>
    <w:rsid w:val="00F45493"/>
    <w:rsid w:val="00F5562B"/>
    <w:rsid w:val="00F62014"/>
    <w:rsid w:val="00F62220"/>
    <w:rsid w:val="00F63E3E"/>
    <w:rsid w:val="00F707C1"/>
    <w:rsid w:val="00F72C0D"/>
    <w:rsid w:val="00F740A5"/>
    <w:rsid w:val="00F77824"/>
    <w:rsid w:val="00F80CA4"/>
    <w:rsid w:val="00F81921"/>
    <w:rsid w:val="00F84598"/>
    <w:rsid w:val="00F8635A"/>
    <w:rsid w:val="00F86F67"/>
    <w:rsid w:val="00F871D9"/>
    <w:rsid w:val="00F8744D"/>
    <w:rsid w:val="00F87999"/>
    <w:rsid w:val="00F93B9E"/>
    <w:rsid w:val="00F95925"/>
    <w:rsid w:val="00FA7341"/>
    <w:rsid w:val="00FA746D"/>
    <w:rsid w:val="00FB03A4"/>
    <w:rsid w:val="00FB4E30"/>
    <w:rsid w:val="00FC0200"/>
    <w:rsid w:val="00FC1F78"/>
    <w:rsid w:val="00FC38B0"/>
    <w:rsid w:val="00FC674B"/>
    <w:rsid w:val="00FC7005"/>
    <w:rsid w:val="00FD4E01"/>
    <w:rsid w:val="00FD505E"/>
    <w:rsid w:val="00FD69D3"/>
    <w:rsid w:val="00FD77B5"/>
    <w:rsid w:val="00FF1D7F"/>
    <w:rsid w:val="00FF2A40"/>
    <w:rsid w:val="00FF53DF"/>
    <w:rsid w:val="00FF5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0A25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rsid w:val="000151B9"/>
    <w:pPr>
      <w:spacing w:before="75"/>
    </w:pPr>
  </w:style>
  <w:style w:type="paragraph" w:styleId="FootnoteText">
    <w:name w:val="footnote text"/>
    <w:basedOn w:val="Normal"/>
    <w:semiHidden/>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rsid w:val="000151B9"/>
    <w:rPr>
      <w:sz w:val="20"/>
      <w:szCs w:val="20"/>
    </w:rPr>
  </w:style>
  <w:style w:type="character" w:styleId="CommentReference">
    <w:name w:val="annotation reference"/>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locked/>
    <w:rsid w:val="007D21E8"/>
  </w:style>
  <w:style w:type="character" w:customStyle="1" w:styleId="Heading1Char">
    <w:name w:val="Heading 1 Char"/>
    <w:link w:val="Heading1"/>
    <w:uiPriority w:val="9"/>
    <w:rsid w:val="000A2504"/>
    <w:rPr>
      <w:b/>
      <w:bCs/>
      <w:kern w:val="36"/>
      <w:sz w:val="48"/>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basedOn w:val="Normal"/>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 w:type="paragraph" w:customStyle="1" w:styleId="Nodaa">
    <w:name w:val="Nodaļa"/>
    <w:basedOn w:val="Normal"/>
    <w:rsid w:val="00234F66"/>
    <w:pPr>
      <w:keepNext/>
      <w:spacing w:before="0" w:after="0" w:line="240" w:lineRule="auto"/>
      <w:jc w:val="center"/>
    </w:pPr>
    <w:rPr>
      <w:b/>
      <w:sz w:val="28"/>
      <w:szCs w:val="28"/>
    </w:rPr>
  </w:style>
  <w:style w:type="paragraph" w:customStyle="1" w:styleId="tv2131">
    <w:name w:val="tv2131"/>
    <w:basedOn w:val="Normal"/>
    <w:rsid w:val="00234F66"/>
    <w:pPr>
      <w:spacing w:before="0" w:after="0" w:line="360" w:lineRule="auto"/>
      <w:ind w:firstLine="300"/>
      <w:jc w:val="left"/>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0A25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rsid w:val="000151B9"/>
    <w:pPr>
      <w:spacing w:before="75"/>
    </w:pPr>
  </w:style>
  <w:style w:type="paragraph" w:styleId="FootnoteText">
    <w:name w:val="footnote text"/>
    <w:basedOn w:val="Normal"/>
    <w:semiHidden/>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rsid w:val="000151B9"/>
    <w:rPr>
      <w:sz w:val="20"/>
      <w:szCs w:val="20"/>
    </w:rPr>
  </w:style>
  <w:style w:type="character" w:styleId="CommentReference">
    <w:name w:val="annotation reference"/>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locked/>
    <w:rsid w:val="007D21E8"/>
  </w:style>
  <w:style w:type="character" w:customStyle="1" w:styleId="Heading1Char">
    <w:name w:val="Heading 1 Char"/>
    <w:link w:val="Heading1"/>
    <w:uiPriority w:val="9"/>
    <w:rsid w:val="000A2504"/>
    <w:rPr>
      <w:b/>
      <w:bCs/>
      <w:kern w:val="36"/>
      <w:sz w:val="48"/>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basedOn w:val="Normal"/>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 w:type="paragraph" w:customStyle="1" w:styleId="Nodaa">
    <w:name w:val="Nodaļa"/>
    <w:basedOn w:val="Normal"/>
    <w:rsid w:val="00234F66"/>
    <w:pPr>
      <w:keepNext/>
      <w:spacing w:before="0" w:after="0" w:line="240" w:lineRule="auto"/>
      <w:jc w:val="center"/>
    </w:pPr>
    <w:rPr>
      <w:b/>
      <w:sz w:val="28"/>
      <w:szCs w:val="28"/>
    </w:rPr>
  </w:style>
  <w:style w:type="paragraph" w:customStyle="1" w:styleId="tv2131">
    <w:name w:val="tv2131"/>
    <w:basedOn w:val="Normal"/>
    <w:rsid w:val="00234F66"/>
    <w:pPr>
      <w:spacing w:before="0" w:after="0" w:line="360" w:lineRule="auto"/>
      <w:ind w:firstLine="300"/>
      <w:jc w:val="lef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1126">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729764565">
      <w:bodyDiv w:val="1"/>
      <w:marLeft w:val="0"/>
      <w:marRight w:val="0"/>
      <w:marTop w:val="0"/>
      <w:marBottom w:val="0"/>
      <w:divBdr>
        <w:top w:val="none" w:sz="0" w:space="0" w:color="auto"/>
        <w:left w:val="none" w:sz="0" w:space="0" w:color="auto"/>
        <w:bottom w:val="none" w:sz="0" w:space="0" w:color="auto"/>
        <w:right w:val="none" w:sz="0" w:space="0" w:color="auto"/>
      </w:divBdr>
    </w:div>
    <w:div w:id="798571741">
      <w:bodyDiv w:val="1"/>
      <w:marLeft w:val="0"/>
      <w:marRight w:val="0"/>
      <w:marTop w:val="0"/>
      <w:marBottom w:val="0"/>
      <w:divBdr>
        <w:top w:val="none" w:sz="0" w:space="0" w:color="auto"/>
        <w:left w:val="none" w:sz="0" w:space="0" w:color="auto"/>
        <w:bottom w:val="none" w:sz="0" w:space="0" w:color="auto"/>
        <w:right w:val="none" w:sz="0" w:space="0" w:color="auto"/>
      </w:divBdr>
    </w:div>
    <w:div w:id="810751307">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048649152">
      <w:bodyDiv w:val="1"/>
      <w:marLeft w:val="0"/>
      <w:marRight w:val="0"/>
      <w:marTop w:val="0"/>
      <w:marBottom w:val="0"/>
      <w:divBdr>
        <w:top w:val="none" w:sz="0" w:space="0" w:color="auto"/>
        <w:left w:val="none" w:sz="0" w:space="0" w:color="auto"/>
        <w:bottom w:val="none" w:sz="0" w:space="0" w:color="auto"/>
        <w:right w:val="none" w:sz="0" w:space="0" w:color="auto"/>
      </w:divBdr>
    </w:div>
    <w:div w:id="1147625223">
      <w:bodyDiv w:val="1"/>
      <w:marLeft w:val="0"/>
      <w:marRight w:val="0"/>
      <w:marTop w:val="0"/>
      <w:marBottom w:val="0"/>
      <w:divBdr>
        <w:top w:val="none" w:sz="0" w:space="0" w:color="auto"/>
        <w:left w:val="none" w:sz="0" w:space="0" w:color="auto"/>
        <w:bottom w:val="none" w:sz="0" w:space="0" w:color="auto"/>
        <w:right w:val="none" w:sz="0" w:space="0" w:color="auto"/>
      </w:divBdr>
    </w:div>
    <w:div w:id="1176075658">
      <w:bodyDiv w:val="1"/>
      <w:marLeft w:val="0"/>
      <w:marRight w:val="0"/>
      <w:marTop w:val="0"/>
      <w:marBottom w:val="0"/>
      <w:divBdr>
        <w:top w:val="none" w:sz="0" w:space="0" w:color="auto"/>
        <w:left w:val="none" w:sz="0" w:space="0" w:color="auto"/>
        <w:bottom w:val="none" w:sz="0" w:space="0" w:color="auto"/>
        <w:right w:val="none" w:sz="0" w:space="0" w:color="auto"/>
      </w:divBdr>
    </w:div>
    <w:div w:id="1362170379">
      <w:bodyDiv w:val="1"/>
      <w:marLeft w:val="0"/>
      <w:marRight w:val="0"/>
      <w:marTop w:val="0"/>
      <w:marBottom w:val="0"/>
      <w:divBdr>
        <w:top w:val="none" w:sz="0" w:space="0" w:color="auto"/>
        <w:left w:val="none" w:sz="0" w:space="0" w:color="auto"/>
        <w:bottom w:val="none" w:sz="0" w:space="0" w:color="auto"/>
        <w:right w:val="none" w:sz="0" w:space="0" w:color="auto"/>
      </w:divBdr>
      <w:divsChild>
        <w:div w:id="1645813858">
          <w:marLeft w:val="0"/>
          <w:marRight w:val="0"/>
          <w:marTop w:val="0"/>
          <w:marBottom w:val="0"/>
          <w:divBdr>
            <w:top w:val="none" w:sz="0" w:space="0" w:color="auto"/>
            <w:left w:val="none" w:sz="0" w:space="0" w:color="auto"/>
            <w:bottom w:val="none" w:sz="0" w:space="0" w:color="auto"/>
            <w:right w:val="none" w:sz="0" w:space="0" w:color="auto"/>
          </w:divBdr>
          <w:divsChild>
            <w:div w:id="1940330623">
              <w:marLeft w:val="0"/>
              <w:marRight w:val="0"/>
              <w:marTop w:val="0"/>
              <w:marBottom w:val="0"/>
              <w:divBdr>
                <w:top w:val="none" w:sz="0" w:space="0" w:color="auto"/>
                <w:left w:val="none" w:sz="0" w:space="0" w:color="auto"/>
                <w:bottom w:val="none" w:sz="0" w:space="0" w:color="auto"/>
                <w:right w:val="none" w:sz="0" w:space="0" w:color="auto"/>
              </w:divBdr>
              <w:divsChild>
                <w:div w:id="14891358">
                  <w:marLeft w:val="0"/>
                  <w:marRight w:val="0"/>
                  <w:marTop w:val="0"/>
                  <w:marBottom w:val="0"/>
                  <w:divBdr>
                    <w:top w:val="none" w:sz="0" w:space="0" w:color="auto"/>
                    <w:left w:val="none" w:sz="0" w:space="0" w:color="auto"/>
                    <w:bottom w:val="none" w:sz="0" w:space="0" w:color="auto"/>
                    <w:right w:val="none" w:sz="0" w:space="0" w:color="auto"/>
                  </w:divBdr>
                  <w:divsChild>
                    <w:div w:id="1855072923">
                      <w:marLeft w:val="0"/>
                      <w:marRight w:val="0"/>
                      <w:marTop w:val="0"/>
                      <w:marBottom w:val="0"/>
                      <w:divBdr>
                        <w:top w:val="none" w:sz="0" w:space="0" w:color="auto"/>
                        <w:left w:val="none" w:sz="0" w:space="0" w:color="auto"/>
                        <w:bottom w:val="none" w:sz="0" w:space="0" w:color="auto"/>
                        <w:right w:val="none" w:sz="0" w:space="0" w:color="auto"/>
                      </w:divBdr>
                      <w:divsChild>
                        <w:div w:id="1274555289">
                          <w:marLeft w:val="0"/>
                          <w:marRight w:val="0"/>
                          <w:marTop w:val="0"/>
                          <w:marBottom w:val="0"/>
                          <w:divBdr>
                            <w:top w:val="none" w:sz="0" w:space="0" w:color="auto"/>
                            <w:left w:val="none" w:sz="0" w:space="0" w:color="auto"/>
                            <w:bottom w:val="none" w:sz="0" w:space="0" w:color="auto"/>
                            <w:right w:val="none" w:sz="0" w:space="0" w:color="auto"/>
                          </w:divBdr>
                          <w:divsChild>
                            <w:div w:id="36590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8299">
      <w:bodyDiv w:val="1"/>
      <w:marLeft w:val="0"/>
      <w:marRight w:val="0"/>
      <w:marTop w:val="0"/>
      <w:marBottom w:val="0"/>
      <w:divBdr>
        <w:top w:val="none" w:sz="0" w:space="0" w:color="auto"/>
        <w:left w:val="none" w:sz="0" w:space="0" w:color="auto"/>
        <w:bottom w:val="none" w:sz="0" w:space="0" w:color="auto"/>
        <w:right w:val="none" w:sz="0" w:space="0" w:color="auto"/>
      </w:divBdr>
      <w:divsChild>
        <w:div w:id="1076050040">
          <w:marLeft w:val="0"/>
          <w:marRight w:val="0"/>
          <w:marTop w:val="0"/>
          <w:marBottom w:val="0"/>
          <w:divBdr>
            <w:top w:val="none" w:sz="0" w:space="0" w:color="auto"/>
            <w:left w:val="none" w:sz="0" w:space="0" w:color="auto"/>
            <w:bottom w:val="none" w:sz="0" w:space="0" w:color="auto"/>
            <w:right w:val="none" w:sz="0" w:space="0" w:color="auto"/>
          </w:divBdr>
          <w:divsChild>
            <w:div w:id="503513523">
              <w:marLeft w:val="0"/>
              <w:marRight w:val="0"/>
              <w:marTop w:val="0"/>
              <w:marBottom w:val="0"/>
              <w:divBdr>
                <w:top w:val="none" w:sz="0" w:space="0" w:color="auto"/>
                <w:left w:val="none" w:sz="0" w:space="0" w:color="auto"/>
                <w:bottom w:val="none" w:sz="0" w:space="0" w:color="auto"/>
                <w:right w:val="none" w:sz="0" w:space="0" w:color="auto"/>
              </w:divBdr>
              <w:divsChild>
                <w:div w:id="1831015770">
                  <w:marLeft w:val="0"/>
                  <w:marRight w:val="0"/>
                  <w:marTop w:val="0"/>
                  <w:marBottom w:val="0"/>
                  <w:divBdr>
                    <w:top w:val="none" w:sz="0" w:space="0" w:color="auto"/>
                    <w:left w:val="none" w:sz="0" w:space="0" w:color="auto"/>
                    <w:bottom w:val="none" w:sz="0" w:space="0" w:color="auto"/>
                    <w:right w:val="none" w:sz="0" w:space="0" w:color="auto"/>
                  </w:divBdr>
                  <w:divsChild>
                    <w:div w:id="1005474975">
                      <w:marLeft w:val="0"/>
                      <w:marRight w:val="0"/>
                      <w:marTop w:val="0"/>
                      <w:marBottom w:val="0"/>
                      <w:divBdr>
                        <w:top w:val="none" w:sz="0" w:space="0" w:color="auto"/>
                        <w:left w:val="none" w:sz="0" w:space="0" w:color="auto"/>
                        <w:bottom w:val="none" w:sz="0" w:space="0" w:color="auto"/>
                        <w:right w:val="none" w:sz="0" w:space="0" w:color="auto"/>
                      </w:divBdr>
                      <w:divsChild>
                        <w:div w:id="672486886">
                          <w:marLeft w:val="0"/>
                          <w:marRight w:val="0"/>
                          <w:marTop w:val="0"/>
                          <w:marBottom w:val="0"/>
                          <w:divBdr>
                            <w:top w:val="none" w:sz="0" w:space="0" w:color="auto"/>
                            <w:left w:val="none" w:sz="0" w:space="0" w:color="auto"/>
                            <w:bottom w:val="none" w:sz="0" w:space="0" w:color="auto"/>
                            <w:right w:val="none" w:sz="0" w:space="0" w:color="auto"/>
                          </w:divBdr>
                          <w:divsChild>
                            <w:div w:id="616257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13777">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28343004">
      <w:bodyDiv w:val="1"/>
      <w:marLeft w:val="0"/>
      <w:marRight w:val="0"/>
      <w:marTop w:val="0"/>
      <w:marBottom w:val="0"/>
      <w:divBdr>
        <w:top w:val="none" w:sz="0" w:space="0" w:color="auto"/>
        <w:left w:val="none" w:sz="0" w:space="0" w:color="auto"/>
        <w:bottom w:val="none" w:sz="0" w:space="0" w:color="auto"/>
        <w:right w:val="none" w:sz="0" w:space="0" w:color="auto"/>
      </w:divBdr>
    </w:div>
    <w:div w:id="2004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5054-03DC-4311-A810-3FD232E5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9992</Words>
  <Characters>5696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vector>
  </TitlesOfParts>
  <Company>zm</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 sadales un norēķinu kārtība</dc:title>
  <dc:subject>anotācija</dc:subject>
  <dc:creator>Gints.Melkins@zm.gov.lv</dc:creator>
  <cp:keywords>anotācija</cp:keywords>
  <dc:description>Gints.Melkins@zm.gov.lv, 67027207</dc:description>
  <cp:lastModifiedBy>Liene Eglāja</cp:lastModifiedBy>
  <cp:revision>90</cp:revision>
  <dcterms:created xsi:type="dcterms:W3CDTF">2015-08-26T11:54:00Z</dcterms:created>
  <dcterms:modified xsi:type="dcterms:W3CDTF">2016-01-22T09:37:00Z</dcterms:modified>
</cp:coreProperties>
</file>