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19" w:rsidRPr="007C7E24" w:rsidRDefault="00803419" w:rsidP="00803419">
      <w:pPr>
        <w:jc w:val="center"/>
        <w:rPr>
          <w:b/>
          <w:bCs/>
        </w:rPr>
      </w:pPr>
      <w:r w:rsidRPr="007C7E24">
        <w:rPr>
          <w:b/>
          <w:bCs/>
        </w:rPr>
        <w:t>Ministru kabineta noteikumu projekta “Par valstīm un starptautiskajām organizācijām, kuras sastādījušas to personu sarakstus</w:t>
      </w:r>
      <w:r w:rsidR="00CD632E">
        <w:rPr>
          <w:b/>
          <w:bCs/>
        </w:rPr>
        <w:t>,</w:t>
      </w:r>
      <w:r w:rsidRPr="007C7E24">
        <w:rPr>
          <w:b/>
          <w:bCs/>
        </w:rPr>
        <w:t xml:space="preserve"> kas tiek turētas aizdomās par iesaistīšanos teroristiskās darbībās</w:t>
      </w:r>
      <w:r w:rsidR="002812ED">
        <w:rPr>
          <w:b/>
          <w:bCs/>
        </w:rPr>
        <w:t xml:space="preserve"> </w:t>
      </w:r>
      <w:r w:rsidR="00964541">
        <w:rPr>
          <w:b/>
          <w:bCs/>
        </w:rPr>
        <w:t>vai</w:t>
      </w:r>
      <w:r w:rsidRPr="007C7E24">
        <w:rPr>
          <w:b/>
          <w:bCs/>
        </w:rPr>
        <w:t xml:space="preserve"> masveida iznīcināšanas ieroču izgatavošan</w:t>
      </w:r>
      <w:r w:rsidR="002812ED">
        <w:rPr>
          <w:b/>
          <w:bCs/>
        </w:rPr>
        <w:t>ā</w:t>
      </w:r>
      <w:r w:rsidRPr="007C7E24">
        <w:rPr>
          <w:b/>
          <w:bCs/>
        </w:rPr>
        <w:t>,</w:t>
      </w:r>
    </w:p>
    <w:p w:rsidR="00803419" w:rsidRPr="007C7E24" w:rsidRDefault="00803419" w:rsidP="00803419">
      <w:pPr>
        <w:jc w:val="center"/>
        <w:rPr>
          <w:b/>
          <w:bCs/>
        </w:rPr>
      </w:pPr>
      <w:r w:rsidRPr="007C7E24">
        <w:rPr>
          <w:b/>
          <w:bCs/>
        </w:rPr>
        <w:t>glabāšan</w:t>
      </w:r>
      <w:r w:rsidR="002812ED">
        <w:rPr>
          <w:b/>
          <w:bCs/>
        </w:rPr>
        <w:t>ā</w:t>
      </w:r>
      <w:r w:rsidRPr="007C7E24">
        <w:rPr>
          <w:b/>
          <w:bCs/>
        </w:rPr>
        <w:t>, pārvietošan</w:t>
      </w:r>
      <w:r w:rsidR="002812ED">
        <w:rPr>
          <w:b/>
          <w:bCs/>
        </w:rPr>
        <w:t>ā</w:t>
      </w:r>
      <w:r w:rsidRPr="007C7E24">
        <w:rPr>
          <w:b/>
          <w:bCs/>
        </w:rPr>
        <w:t>, lietošan</w:t>
      </w:r>
      <w:r w:rsidR="002812ED">
        <w:rPr>
          <w:b/>
          <w:bCs/>
        </w:rPr>
        <w:t>ā</w:t>
      </w:r>
      <w:r w:rsidRPr="007C7E24">
        <w:rPr>
          <w:b/>
          <w:bCs/>
        </w:rPr>
        <w:t xml:space="preserve"> vai izplatīšan</w:t>
      </w:r>
      <w:r w:rsidR="002812ED">
        <w:rPr>
          <w:b/>
          <w:bCs/>
        </w:rPr>
        <w:t>ā</w:t>
      </w:r>
      <w:r w:rsidRPr="007C7E24">
        <w:rPr>
          <w:b/>
          <w:bCs/>
        </w:rPr>
        <w:t>”</w:t>
      </w:r>
    </w:p>
    <w:p w:rsidR="00803419" w:rsidRPr="00506614" w:rsidRDefault="00803419" w:rsidP="00803419">
      <w:pPr>
        <w:jc w:val="center"/>
        <w:rPr>
          <w:b/>
          <w:bCs/>
        </w:rPr>
      </w:pPr>
      <w:r w:rsidRPr="00506614">
        <w:rPr>
          <w:b/>
          <w:bCs/>
        </w:rPr>
        <w:t>sākotnējās ietekmes novērtējuma ziņojums (anotācija)</w:t>
      </w:r>
    </w:p>
    <w:p w:rsidR="00803419" w:rsidRPr="005600AC" w:rsidRDefault="00803419" w:rsidP="00803419">
      <w:pPr>
        <w:pStyle w:val="naislab"/>
        <w:jc w:val="both"/>
        <w:outlineLvl w:val="0"/>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879"/>
        <w:gridCol w:w="5944"/>
      </w:tblGrid>
      <w:tr w:rsidR="00803419" w:rsidRPr="005600AC" w:rsidTr="00C455C2">
        <w:trPr>
          <w:trHeight w:val="405"/>
        </w:trPr>
        <w:tc>
          <w:tcPr>
            <w:tcW w:w="0" w:type="auto"/>
            <w:gridSpan w:val="3"/>
            <w:shd w:val="clear" w:color="auto" w:fill="auto"/>
            <w:hideMark/>
          </w:tcPr>
          <w:p w:rsidR="00803419" w:rsidRPr="005600AC" w:rsidRDefault="00803419" w:rsidP="00C455C2">
            <w:pPr>
              <w:spacing w:before="100" w:beforeAutospacing="1" w:after="100" w:afterAutospacing="1" w:line="360" w:lineRule="auto"/>
              <w:ind w:firstLine="300"/>
              <w:jc w:val="center"/>
              <w:rPr>
                <w:b/>
                <w:bCs/>
                <w:color w:val="000000"/>
              </w:rPr>
            </w:pPr>
            <w:r w:rsidRPr="005600AC">
              <w:rPr>
                <w:b/>
                <w:bCs/>
                <w:color w:val="000000"/>
              </w:rPr>
              <w:t>I. Tiesību akta projekta izstrādes nepieciešamība</w:t>
            </w:r>
          </w:p>
        </w:tc>
      </w:tr>
      <w:tr w:rsidR="00803419" w:rsidRPr="005600AC" w:rsidTr="00C455C2">
        <w:trPr>
          <w:trHeight w:val="405"/>
        </w:trPr>
        <w:tc>
          <w:tcPr>
            <w:tcW w:w="250" w:type="pct"/>
            <w:shd w:val="clear" w:color="auto" w:fill="auto"/>
          </w:tcPr>
          <w:p w:rsidR="00803419" w:rsidRPr="005600AC" w:rsidRDefault="00803419" w:rsidP="00C455C2">
            <w:pPr>
              <w:spacing w:before="100" w:beforeAutospacing="1" w:after="100" w:afterAutospacing="1" w:line="360" w:lineRule="auto"/>
              <w:jc w:val="both"/>
              <w:rPr>
                <w:color w:val="000000"/>
              </w:rPr>
            </w:pPr>
            <w:r w:rsidRPr="005600AC">
              <w:rPr>
                <w:color w:val="000000"/>
              </w:rPr>
              <w:t>1.</w:t>
            </w:r>
          </w:p>
        </w:tc>
        <w:tc>
          <w:tcPr>
            <w:tcW w:w="1550" w:type="pct"/>
            <w:shd w:val="clear" w:color="auto" w:fill="auto"/>
            <w:hideMark/>
          </w:tcPr>
          <w:p w:rsidR="00803419" w:rsidRPr="005600AC" w:rsidRDefault="00803419" w:rsidP="00C455C2">
            <w:pPr>
              <w:jc w:val="both"/>
              <w:rPr>
                <w:color w:val="000000"/>
              </w:rPr>
            </w:pPr>
            <w:r w:rsidRPr="005600AC">
              <w:rPr>
                <w:color w:val="000000"/>
              </w:rPr>
              <w:t>Pamatojums</w:t>
            </w:r>
          </w:p>
        </w:tc>
        <w:tc>
          <w:tcPr>
            <w:tcW w:w="3200" w:type="pct"/>
            <w:shd w:val="clear" w:color="auto" w:fill="auto"/>
            <w:hideMark/>
          </w:tcPr>
          <w:p w:rsidR="002812ED" w:rsidRPr="002812ED" w:rsidRDefault="00803419" w:rsidP="00113AEF">
            <w:pPr>
              <w:jc w:val="both"/>
            </w:pPr>
            <w:r>
              <w:t xml:space="preserve">Noziedzīgi iegūtu līdzekļu legalizācijas un terorisma finansēšanas novēršanas likuma 4. panta trešās daļas 1.punkts. </w:t>
            </w:r>
            <w:r w:rsidR="00964541">
              <w:t xml:space="preserve">Saskaņā ar </w:t>
            </w:r>
            <w:r w:rsidR="006C1938" w:rsidRPr="0031385C">
              <w:t>likuma</w:t>
            </w:r>
            <w:r w:rsidR="0031385C" w:rsidRPr="0031385C">
              <w:t xml:space="preserve"> “Grozījumi Noziedzīgi iegūtu līdzekļu legalizācijas un terorisma finansēšanas novēršanas likumā”</w:t>
            </w:r>
            <w:r w:rsidR="00964541">
              <w:t xml:space="preserve"> (pieņemts Saeimā 2016.</w:t>
            </w:r>
            <w:r w:rsidR="006C1938">
              <w:t xml:space="preserve"> </w:t>
            </w:r>
            <w:r w:rsidR="00964541">
              <w:t>gada 4.</w:t>
            </w:r>
            <w:r w:rsidR="006C1938">
              <w:t xml:space="preserve"> </w:t>
            </w:r>
            <w:r w:rsidR="00964541">
              <w:t xml:space="preserve">februārī) </w:t>
            </w:r>
            <w:r w:rsidR="00113AEF">
              <w:t>P</w:t>
            </w:r>
            <w:r w:rsidR="006C1938">
              <w:t>ārejas noteikumu</w:t>
            </w:r>
            <w:r w:rsidR="0031385C">
              <w:t xml:space="preserve"> 12. punktu </w:t>
            </w:r>
            <w:r w:rsidR="0031385C" w:rsidRPr="0031385C">
              <w:t xml:space="preserve">Ministru kabinets izdod noteikumus par valstīm un starptautiskajām organizācijām, kuras sastādījušas to personu sarakstus, kas tiek turētas aizdomās par iesaistīšanos teroristiskās darbībās vai masveida iznīcināšanas ieroču izgatavošanā, glabāšanā, pārvietošanā, lietošanā vai izplatīšanā. </w:t>
            </w:r>
            <w:r w:rsidR="00964541">
              <w:t>Saskaņā ar likumā noteikto l</w:t>
            </w:r>
            <w:r w:rsidR="0031385C" w:rsidRPr="0031385C">
              <w:t>īdz minēto Ministru kabineta noteikumu spēkā stāšanās dienai, bet ne ilgāk kā līdz 2016. gada 1.</w:t>
            </w:r>
            <w:r w:rsidR="0031385C">
              <w:t xml:space="preserve"> </w:t>
            </w:r>
            <w:r w:rsidR="0031385C" w:rsidRPr="0031385C">
              <w:t>aprīlim, ir spēkā Ministru kabineta 2009.</w:t>
            </w:r>
            <w:r w:rsidR="0031385C">
              <w:t xml:space="preserve"> </w:t>
            </w:r>
            <w:r w:rsidR="0031385C" w:rsidRPr="0031385C">
              <w:t>gada 13.</w:t>
            </w:r>
            <w:r w:rsidR="0031385C">
              <w:t xml:space="preserve"> </w:t>
            </w:r>
            <w:r w:rsidR="0031385C" w:rsidRPr="0031385C">
              <w:t>janvāra noteikumi Nr.36 "Noteikumi par valstīm un starptautiskajām organizācijām, kuras sastādījušas</w:t>
            </w:r>
            <w:r w:rsidR="0031385C">
              <w:t>,</w:t>
            </w:r>
            <w:r w:rsidR="0031385C" w:rsidRPr="0031385C">
              <w:t xml:space="preserve"> to personu sarakstus, kas tiek turētas aizdomās par iesaist</w:t>
            </w:r>
            <w:r w:rsidR="0031385C">
              <w:t>īšanos teroristiskās darbībās.”</w:t>
            </w:r>
          </w:p>
        </w:tc>
      </w:tr>
      <w:tr w:rsidR="00803419" w:rsidRPr="005600AC" w:rsidTr="00C455C2">
        <w:trPr>
          <w:trHeight w:val="465"/>
        </w:trPr>
        <w:tc>
          <w:tcPr>
            <w:tcW w:w="250" w:type="pct"/>
            <w:shd w:val="clear" w:color="auto" w:fill="auto"/>
          </w:tcPr>
          <w:p w:rsidR="00803419" w:rsidRPr="005600AC" w:rsidRDefault="00803419" w:rsidP="00C455C2">
            <w:pPr>
              <w:spacing w:before="100" w:beforeAutospacing="1" w:after="100" w:afterAutospacing="1" w:line="360" w:lineRule="auto"/>
              <w:jc w:val="both"/>
              <w:rPr>
                <w:color w:val="000000"/>
              </w:rPr>
            </w:pPr>
            <w:r w:rsidRPr="005600AC">
              <w:rPr>
                <w:color w:val="000000"/>
              </w:rPr>
              <w:t>2.</w:t>
            </w:r>
          </w:p>
        </w:tc>
        <w:tc>
          <w:tcPr>
            <w:tcW w:w="1550" w:type="pct"/>
            <w:shd w:val="clear" w:color="auto" w:fill="auto"/>
            <w:hideMark/>
          </w:tcPr>
          <w:p w:rsidR="00803419" w:rsidRPr="005600AC" w:rsidRDefault="00803419" w:rsidP="00C455C2">
            <w:pPr>
              <w:jc w:val="both"/>
              <w:rPr>
                <w:color w:val="000000"/>
              </w:rPr>
            </w:pPr>
            <w:r w:rsidRPr="005600AC">
              <w:rPr>
                <w:color w:val="000000"/>
              </w:rPr>
              <w:t>Pašreizējā situācija un problēmas, kuru risināšanai tiesību akta projekts izstrādāts, tiesiskā regulējuma mērķis un būtība</w:t>
            </w:r>
          </w:p>
        </w:tc>
        <w:tc>
          <w:tcPr>
            <w:tcW w:w="3200" w:type="pct"/>
            <w:shd w:val="clear" w:color="auto" w:fill="auto"/>
          </w:tcPr>
          <w:p w:rsidR="00803419" w:rsidRDefault="00803419" w:rsidP="00803419">
            <w:pPr>
              <w:ind w:firstLine="332"/>
              <w:jc w:val="both"/>
              <w:rPr>
                <w:bCs/>
                <w:iCs/>
              </w:rPr>
            </w:pPr>
            <w:r w:rsidRPr="00803419">
              <w:rPr>
                <w:bCs/>
                <w:iCs/>
              </w:rPr>
              <w:t xml:space="preserve">Latvija kā Eiropas Padomes dalībvalsts ir dalībnieks Eiropas Padomes ekspertu komitejā naudas atmazgāšanas novēršanas pasākumu un terorisma finansēšanas novērtējumam (jeb </w:t>
            </w:r>
            <w:r w:rsidRPr="00803419">
              <w:rPr>
                <w:bCs/>
                <w:i/>
                <w:iCs/>
              </w:rPr>
              <w:t>Moneyval</w:t>
            </w:r>
            <w:r w:rsidRPr="00803419">
              <w:rPr>
                <w:bCs/>
                <w:iCs/>
              </w:rPr>
              <w:t xml:space="preserve">), kas izveidota 1997. gadā. </w:t>
            </w:r>
            <w:r w:rsidRPr="00803419">
              <w:rPr>
                <w:bCs/>
                <w:i/>
                <w:iCs/>
              </w:rPr>
              <w:t>Moneyval</w:t>
            </w:r>
            <w:r w:rsidRPr="00803419">
              <w:rPr>
                <w:bCs/>
                <w:iCs/>
              </w:rPr>
              <w:t xml:space="preserve"> ir pastāvīgs Eiropas Padomes uzraudzības orgāns, kura uzdevums ir izvērtēt atbilstību pamata starptautiskajiem standartiem, kas noteikti cīņai pret naudas atmazgāšanu un terorisma finansēšanu, kā arī to ieviešanas efektivitāti. Tāpat ekspertu komitejas uzdevums ir sniegt nacionālajām institūcijām rekomendācijas par nepieciešamajiem uzlabojumiem nacionālajās </w:t>
            </w:r>
            <w:r w:rsidR="00964541">
              <w:rPr>
                <w:bCs/>
                <w:iCs/>
              </w:rPr>
              <w:t xml:space="preserve">tiesību </w:t>
            </w:r>
            <w:r w:rsidRPr="00803419">
              <w:rPr>
                <w:bCs/>
                <w:iCs/>
              </w:rPr>
              <w:t xml:space="preserve">sistēmās. Ar dinamiska un atkārtota savstarpēja novērtējuma palīdzību </w:t>
            </w:r>
            <w:r w:rsidRPr="00803419">
              <w:rPr>
                <w:bCs/>
                <w:i/>
                <w:iCs/>
              </w:rPr>
              <w:t>Moneyval</w:t>
            </w:r>
            <w:r w:rsidRPr="00803419">
              <w:rPr>
                <w:bCs/>
                <w:iCs/>
              </w:rPr>
              <w:t xml:space="preserve"> strādā pie tā, lai uzlabotu nacionālo institūciju kapacitāti cīņai ar naudas atmazgāšanu un terorisma finansēšanu. </w:t>
            </w:r>
          </w:p>
          <w:p w:rsidR="002812ED" w:rsidRPr="00803419" w:rsidRDefault="002812ED" w:rsidP="00803419">
            <w:pPr>
              <w:ind w:firstLine="332"/>
              <w:jc w:val="both"/>
              <w:rPr>
                <w:bCs/>
                <w:iCs/>
              </w:rPr>
            </w:pPr>
          </w:p>
          <w:p w:rsidR="00803419" w:rsidRPr="00803419" w:rsidRDefault="00803419" w:rsidP="00803419">
            <w:pPr>
              <w:ind w:firstLine="332"/>
              <w:jc w:val="both"/>
            </w:pPr>
            <w:r w:rsidRPr="00803419">
              <w:t xml:space="preserve">2014. gada septembra plenārsēdē </w:t>
            </w:r>
            <w:r w:rsidRPr="00803419">
              <w:rPr>
                <w:i/>
              </w:rPr>
              <w:t>Moneyval</w:t>
            </w:r>
            <w:r w:rsidRPr="00803419">
              <w:t xml:space="preserve"> komiteja nolēma, ka Latvijai jāturpina veikt pasākumus, lai pilnā apmērā izpildītu tās rekomendācijas, kuras tika sniegtas 2012. gada ziņojumā par Latvijas noziedzīgi iegūtu līdzekļu legalizācijas un terorisma finansēšanas novēršanas sistēmas atbilstību starptautiskajiem standartiem. Kā priekšnoteikums, lai Latvija tiktu atbrīvota no turpmākiem Progresa ziņojumiem līdz nākošajai Moneyval izvērtēšanas kārtai, tika noteikts, ka Latvijai līdz 201</w:t>
            </w:r>
            <w:r w:rsidR="002473B9">
              <w:t>6</w:t>
            </w:r>
            <w:r w:rsidRPr="00803419">
              <w:t xml:space="preserve">. gada 1. </w:t>
            </w:r>
            <w:r w:rsidR="002473B9">
              <w:t>aprīli</w:t>
            </w:r>
            <w:r w:rsidRPr="00803419">
              <w:t xml:space="preserve">m ir jāpieņem likums par nacionālajām sankcijām pret </w:t>
            </w:r>
            <w:r w:rsidRPr="00803419">
              <w:lastRenderedPageBreak/>
              <w:t xml:space="preserve">teroristiem un pret masveida iznīcināšanas ieroču izgatavošanu, glabāšanu, pārvietošanu, lietošanu vai izplatīšanu un ar to saistītie likumprojekti, kā arī attiecīgi jāievieš </w:t>
            </w:r>
            <w:r w:rsidR="006C1938">
              <w:t>Finanšu darījumu darba grupas</w:t>
            </w:r>
            <w:r w:rsidR="00A13179">
              <w:t xml:space="preserve"> (</w:t>
            </w:r>
            <w:proofErr w:type="spellStart"/>
            <w:r w:rsidR="00A13179" w:rsidRPr="00A13179">
              <w:t>Financial</w:t>
            </w:r>
            <w:proofErr w:type="spellEnd"/>
            <w:r w:rsidR="00A13179" w:rsidRPr="00A13179">
              <w:t xml:space="preserve"> </w:t>
            </w:r>
            <w:proofErr w:type="spellStart"/>
            <w:r w:rsidR="00A13179" w:rsidRPr="00A13179">
              <w:t>Action</w:t>
            </w:r>
            <w:proofErr w:type="spellEnd"/>
            <w:r w:rsidR="00A13179" w:rsidRPr="00A13179">
              <w:t xml:space="preserve"> </w:t>
            </w:r>
            <w:proofErr w:type="spellStart"/>
            <w:r w:rsidR="00A13179" w:rsidRPr="00A13179">
              <w:t>Task</w:t>
            </w:r>
            <w:proofErr w:type="spellEnd"/>
            <w:r w:rsidR="00A13179" w:rsidRPr="00A13179">
              <w:t xml:space="preserve"> </w:t>
            </w:r>
            <w:proofErr w:type="spellStart"/>
            <w:r w:rsidR="00A13179" w:rsidRPr="00A13179">
              <w:t>Force</w:t>
            </w:r>
            <w:proofErr w:type="spellEnd"/>
            <w:r w:rsidR="00A13179">
              <w:t>)</w:t>
            </w:r>
            <w:r w:rsidR="00A13179" w:rsidRPr="00A13179">
              <w:t xml:space="preserve"> </w:t>
            </w:r>
            <w:r w:rsidR="006C1938">
              <w:t>(</w:t>
            </w:r>
            <w:r w:rsidR="00A13179">
              <w:t>turpmāk – F</w:t>
            </w:r>
            <w:r w:rsidRPr="00803419">
              <w:t>ATF</w:t>
            </w:r>
            <w:r w:rsidR="006C1938">
              <w:t>)</w:t>
            </w:r>
            <w:r w:rsidRPr="00803419">
              <w:t xml:space="preserve"> rekomendācija</w:t>
            </w:r>
            <w:r w:rsidR="006C1938">
              <w:t>s</w:t>
            </w:r>
            <w:r w:rsidRPr="00803419">
              <w:t xml:space="preserve">. Lai ieviestu starptautiskos standartus, kā arī ņemot vērā šā brīža ārpolitisko vidi, Ārlietu ministrija ir izstrādājusi </w:t>
            </w:r>
            <w:r w:rsidR="00964541">
              <w:t xml:space="preserve">un </w:t>
            </w:r>
            <w:r w:rsidRPr="00803419">
              <w:t xml:space="preserve">2014. gada 18. septembrī Valsts sekretāru sanāksmē (VSS – 857) </w:t>
            </w:r>
            <w:r w:rsidR="00964541">
              <w:t>tika izsludināts</w:t>
            </w:r>
            <w:r w:rsidR="00964541" w:rsidRPr="00803419">
              <w:t xml:space="preserve"> </w:t>
            </w:r>
            <w:r w:rsidRPr="00803419">
              <w:t>likumprojekt</w:t>
            </w:r>
            <w:r w:rsidR="000D4D9D">
              <w:t>s</w:t>
            </w:r>
            <w:r w:rsidRPr="00803419">
              <w:t xml:space="preserve"> „Starptautisko un Latvijas Republikas nacionālo sankciju likums” (turpmāk – Sankciju likums)</w:t>
            </w:r>
            <w:r w:rsidR="000D4D9D">
              <w:t>, kas Saeimā 3.lasījumā pieņemts 2016.</w:t>
            </w:r>
            <w:r w:rsidR="006C1938">
              <w:t xml:space="preserve"> </w:t>
            </w:r>
            <w:r w:rsidR="000D4D9D">
              <w:t>gada 4.</w:t>
            </w:r>
            <w:r w:rsidR="006C1938">
              <w:t xml:space="preserve"> </w:t>
            </w:r>
            <w:r w:rsidR="000D4D9D">
              <w:t>februārī</w:t>
            </w:r>
            <w:r w:rsidRPr="00803419">
              <w:t xml:space="preserve">. </w:t>
            </w:r>
          </w:p>
          <w:p w:rsidR="00803419" w:rsidRPr="00803419" w:rsidRDefault="00803419" w:rsidP="00803419">
            <w:pPr>
              <w:ind w:firstLine="332"/>
              <w:jc w:val="both"/>
            </w:pPr>
          </w:p>
          <w:p w:rsidR="006C1938" w:rsidRDefault="000D4D9D" w:rsidP="000D4D9D">
            <w:pPr>
              <w:jc w:val="both"/>
            </w:pPr>
            <w:r>
              <w:t>Līdz ar Sankciju likumu Saeimā tika skatīti</w:t>
            </w:r>
            <w:r w:rsidR="00964541" w:rsidRPr="00803419">
              <w:t xml:space="preserve"> </w:t>
            </w:r>
            <w:r w:rsidR="00803419" w:rsidRPr="00803419">
              <w:t>arī grozījumi saistītajos likumos</w:t>
            </w:r>
            <w:r w:rsidR="00D950B4">
              <w:t>,</w:t>
            </w:r>
            <w:r w:rsidR="00803419" w:rsidRPr="00803419">
              <w:t xml:space="preserve"> un kā viens no tiem ir arī Noziedzīgi iegūtu līdzekļu legalizācijas un terorisma finansēšanas novēršanas likums (turpmāk – NILLTFNL). Šobrīd spēkā esošie 2009. gada 13. janvāra Ministru kabineta (turpmāk – MK) noteikumi Nr. 36 “Noteikumi par valstīm un starptautiskajām organizācijām, kuras sastādījušas to personu sarakstus kas tiek turētas aizdomās par iesaistīšanos teroristiskās darbībās” ir izdoti uz NILLTFNL</w:t>
            </w:r>
            <w:r w:rsidR="0015416C">
              <w:t xml:space="preserve"> 4. panta trešās daļas 1. </w:t>
            </w:r>
            <w:r w:rsidR="00803419" w:rsidRPr="00803419">
              <w:t xml:space="preserve">punkta pamata. Saeimā </w:t>
            </w:r>
            <w:r w:rsidR="006C1938">
              <w:t>2016. gada</w:t>
            </w:r>
            <w:r>
              <w:t xml:space="preserve"> 4.</w:t>
            </w:r>
            <w:r w:rsidR="006C1938">
              <w:t xml:space="preserve"> </w:t>
            </w:r>
            <w:r>
              <w:t xml:space="preserve">februārī 3.lasījumā tika pieņemti </w:t>
            </w:r>
            <w:r w:rsidR="00803419" w:rsidRPr="00803419">
              <w:t xml:space="preserve">šī panta </w:t>
            </w:r>
            <w:r w:rsidR="006C1938" w:rsidRPr="00803419">
              <w:t>grozījumi.</w:t>
            </w:r>
            <w:r w:rsidR="006C1938">
              <w:t xml:space="preserve"> </w:t>
            </w:r>
          </w:p>
          <w:p w:rsidR="006C1938" w:rsidRDefault="006C1938" w:rsidP="000D4D9D">
            <w:pPr>
              <w:jc w:val="both"/>
            </w:pPr>
          </w:p>
          <w:p w:rsidR="00803419" w:rsidRPr="00A72F26" w:rsidRDefault="006C1938" w:rsidP="002812ED">
            <w:pPr>
              <w:jc w:val="both"/>
            </w:pPr>
            <w:r>
              <w:t>Ņemot</w:t>
            </w:r>
            <w:r w:rsidR="00E80D5A">
              <w:t xml:space="preserve"> vērā </w:t>
            </w:r>
            <w:r w:rsidR="000D4D9D">
              <w:t>to</w:t>
            </w:r>
            <w:r w:rsidR="00E80D5A">
              <w:t xml:space="preserve">, </w:t>
            </w:r>
            <w:r w:rsidR="000D4D9D">
              <w:t>ka</w:t>
            </w:r>
            <w:r w:rsidR="00803419" w:rsidRPr="00803419">
              <w:t xml:space="preserve"> mainās juridiskais pamats šobrīd spēkā esošajiem MK noteikumiem, ir nepieciešams šos noteikumus izdot no jauna, lai tie atbilstu jaunajai NILLTFNL </w:t>
            </w:r>
            <w:r w:rsidR="00964541">
              <w:t>4.</w:t>
            </w:r>
            <w:r w:rsidR="00A13179">
              <w:t xml:space="preserve"> </w:t>
            </w:r>
            <w:r w:rsidR="00964541">
              <w:t xml:space="preserve">panta trešās daļas 1.punkta </w:t>
            </w:r>
            <w:r w:rsidR="00803419" w:rsidRPr="00803419">
              <w:t>redakcijai.</w:t>
            </w:r>
          </w:p>
        </w:tc>
      </w:tr>
      <w:tr w:rsidR="00803419" w:rsidRPr="005600AC" w:rsidTr="00C455C2">
        <w:trPr>
          <w:trHeight w:val="465"/>
        </w:trPr>
        <w:tc>
          <w:tcPr>
            <w:tcW w:w="250" w:type="pct"/>
            <w:shd w:val="clear" w:color="auto" w:fill="auto"/>
          </w:tcPr>
          <w:p w:rsidR="00803419" w:rsidRPr="005600AC" w:rsidRDefault="00803419" w:rsidP="00C455C2">
            <w:pPr>
              <w:spacing w:before="100" w:beforeAutospacing="1" w:after="100" w:afterAutospacing="1" w:line="360" w:lineRule="auto"/>
              <w:jc w:val="both"/>
              <w:rPr>
                <w:color w:val="000000"/>
              </w:rPr>
            </w:pPr>
            <w:r w:rsidRPr="005600AC">
              <w:rPr>
                <w:color w:val="000000"/>
              </w:rPr>
              <w:lastRenderedPageBreak/>
              <w:t>3.</w:t>
            </w:r>
          </w:p>
        </w:tc>
        <w:tc>
          <w:tcPr>
            <w:tcW w:w="1550" w:type="pct"/>
            <w:shd w:val="clear" w:color="auto" w:fill="auto"/>
            <w:hideMark/>
          </w:tcPr>
          <w:p w:rsidR="00803419" w:rsidRPr="005600AC" w:rsidRDefault="00803419" w:rsidP="00C455C2">
            <w:pPr>
              <w:jc w:val="both"/>
              <w:rPr>
                <w:color w:val="000000"/>
              </w:rPr>
            </w:pPr>
            <w:r w:rsidRPr="005600AC">
              <w:rPr>
                <w:color w:val="000000"/>
              </w:rPr>
              <w:t>Projekta izstrādē iesaistītās institūcijas</w:t>
            </w:r>
          </w:p>
        </w:tc>
        <w:tc>
          <w:tcPr>
            <w:tcW w:w="3200" w:type="pct"/>
            <w:shd w:val="clear" w:color="auto" w:fill="auto"/>
            <w:hideMark/>
          </w:tcPr>
          <w:p w:rsidR="00803419" w:rsidRPr="00E13838" w:rsidRDefault="00803419" w:rsidP="00803419">
            <w:pPr>
              <w:jc w:val="both"/>
            </w:pPr>
            <w:r w:rsidRPr="00E13838">
              <w:t>Ārlietu ministrija</w:t>
            </w:r>
          </w:p>
        </w:tc>
      </w:tr>
      <w:tr w:rsidR="00803419" w:rsidRPr="005600AC" w:rsidTr="00C455C2">
        <w:tc>
          <w:tcPr>
            <w:tcW w:w="250" w:type="pct"/>
            <w:shd w:val="clear" w:color="auto" w:fill="auto"/>
          </w:tcPr>
          <w:p w:rsidR="00803419" w:rsidRPr="005600AC" w:rsidRDefault="00803419" w:rsidP="00C455C2">
            <w:pPr>
              <w:spacing w:before="100" w:beforeAutospacing="1" w:after="100" w:afterAutospacing="1" w:line="360" w:lineRule="auto"/>
              <w:jc w:val="both"/>
              <w:rPr>
                <w:color w:val="000000"/>
              </w:rPr>
            </w:pPr>
            <w:r w:rsidRPr="005600AC">
              <w:rPr>
                <w:color w:val="000000"/>
              </w:rPr>
              <w:t>4.</w:t>
            </w:r>
          </w:p>
        </w:tc>
        <w:tc>
          <w:tcPr>
            <w:tcW w:w="1550" w:type="pct"/>
            <w:shd w:val="clear" w:color="auto" w:fill="auto"/>
            <w:hideMark/>
          </w:tcPr>
          <w:p w:rsidR="00803419" w:rsidRPr="005600AC" w:rsidRDefault="00803419" w:rsidP="00C455C2">
            <w:pPr>
              <w:jc w:val="both"/>
              <w:rPr>
                <w:color w:val="000000"/>
              </w:rPr>
            </w:pPr>
            <w:r w:rsidRPr="005600AC">
              <w:rPr>
                <w:color w:val="000000"/>
              </w:rPr>
              <w:t>Cita informācija</w:t>
            </w:r>
          </w:p>
        </w:tc>
        <w:tc>
          <w:tcPr>
            <w:tcW w:w="3200" w:type="pct"/>
            <w:shd w:val="clear" w:color="auto" w:fill="auto"/>
            <w:hideMark/>
          </w:tcPr>
          <w:p w:rsidR="00803419" w:rsidRPr="005600AC" w:rsidRDefault="00803419" w:rsidP="00C455C2">
            <w:pPr>
              <w:spacing w:before="100" w:beforeAutospacing="1" w:after="100" w:afterAutospacing="1" w:line="360" w:lineRule="auto"/>
              <w:jc w:val="both"/>
              <w:rPr>
                <w:color w:val="000000"/>
              </w:rPr>
            </w:pPr>
            <w:r w:rsidRPr="005600AC">
              <w:rPr>
                <w:color w:val="000000"/>
              </w:rPr>
              <w:t>Nav</w:t>
            </w:r>
          </w:p>
        </w:tc>
      </w:tr>
      <w:tr w:rsidR="00803419" w:rsidRPr="005600AC" w:rsidTr="00C455C2">
        <w:trPr>
          <w:trHeight w:val="555"/>
        </w:trPr>
        <w:tc>
          <w:tcPr>
            <w:tcW w:w="0" w:type="auto"/>
            <w:gridSpan w:val="3"/>
            <w:shd w:val="clear" w:color="auto" w:fill="auto"/>
            <w:hideMark/>
          </w:tcPr>
          <w:p w:rsidR="00803419" w:rsidRPr="005600AC" w:rsidRDefault="00803419" w:rsidP="00C455C2">
            <w:pPr>
              <w:spacing w:before="100" w:beforeAutospacing="1" w:after="100" w:afterAutospacing="1" w:line="360" w:lineRule="auto"/>
              <w:ind w:firstLine="300"/>
              <w:jc w:val="center"/>
              <w:rPr>
                <w:b/>
                <w:bCs/>
                <w:color w:val="000000"/>
              </w:rPr>
            </w:pPr>
            <w:r w:rsidRPr="005600AC">
              <w:rPr>
                <w:b/>
                <w:bCs/>
                <w:color w:val="000000"/>
              </w:rPr>
              <w:t>II. Tiesību akta projekta ietekme uz sabiedrību, tautsaimniecības attīstību un administratīvo slogu</w:t>
            </w:r>
          </w:p>
        </w:tc>
      </w:tr>
      <w:tr w:rsidR="00803419" w:rsidRPr="005600AC" w:rsidTr="00C455C2">
        <w:trPr>
          <w:trHeight w:val="465"/>
        </w:trPr>
        <w:tc>
          <w:tcPr>
            <w:tcW w:w="250" w:type="pct"/>
            <w:shd w:val="clear" w:color="auto" w:fill="auto"/>
            <w:hideMark/>
          </w:tcPr>
          <w:p w:rsidR="00803419" w:rsidRPr="005600AC" w:rsidRDefault="00803419" w:rsidP="00C455C2">
            <w:pPr>
              <w:jc w:val="both"/>
              <w:rPr>
                <w:color w:val="000000"/>
              </w:rPr>
            </w:pPr>
            <w:r w:rsidRPr="005600AC">
              <w:rPr>
                <w:color w:val="000000"/>
              </w:rPr>
              <w:t>1.</w:t>
            </w:r>
          </w:p>
        </w:tc>
        <w:tc>
          <w:tcPr>
            <w:tcW w:w="1550" w:type="pct"/>
            <w:shd w:val="clear" w:color="auto" w:fill="auto"/>
            <w:hideMark/>
          </w:tcPr>
          <w:p w:rsidR="00803419" w:rsidRPr="005600AC" w:rsidRDefault="00803419" w:rsidP="00C455C2">
            <w:pPr>
              <w:jc w:val="both"/>
              <w:rPr>
                <w:color w:val="000000"/>
              </w:rPr>
            </w:pPr>
            <w:r w:rsidRPr="005600AC">
              <w:rPr>
                <w:color w:val="000000"/>
              </w:rPr>
              <w:t>Sabiedrības mērķgrupas, kuras tiesiskais regulējums ietekmē vai varētu ietekmēt</w:t>
            </w:r>
          </w:p>
        </w:tc>
        <w:tc>
          <w:tcPr>
            <w:tcW w:w="3200" w:type="pct"/>
            <w:shd w:val="clear" w:color="auto" w:fill="auto"/>
            <w:hideMark/>
          </w:tcPr>
          <w:p w:rsidR="00803419" w:rsidRPr="005600AC" w:rsidRDefault="007D2BDE" w:rsidP="007119D5">
            <w:pPr>
              <w:jc w:val="both"/>
              <w:rPr>
                <w:color w:val="000000"/>
              </w:rPr>
            </w:pPr>
            <w:r>
              <w:rPr>
                <w:color w:val="000000"/>
              </w:rPr>
              <w:t>Noteikumu projekts</w:t>
            </w:r>
            <w:r w:rsidR="00803419">
              <w:rPr>
                <w:color w:val="000000"/>
              </w:rPr>
              <w:t xml:space="preserve"> ietekmēs fizisku un juridisku personu tiesības un pienākumus, </w:t>
            </w:r>
            <w:r>
              <w:rPr>
                <w:color w:val="000000"/>
              </w:rPr>
              <w:t>jo noteiks</w:t>
            </w:r>
            <w:r w:rsidR="00964541">
              <w:rPr>
                <w:color w:val="000000"/>
              </w:rPr>
              <w:t>,</w:t>
            </w:r>
            <w:r w:rsidR="00803419">
              <w:rPr>
                <w:color w:val="000000"/>
              </w:rPr>
              <w:t xml:space="preserve"> </w:t>
            </w:r>
            <w:r w:rsidR="007119D5">
              <w:rPr>
                <w:color w:val="000000"/>
              </w:rPr>
              <w:t xml:space="preserve">kuru </w:t>
            </w:r>
            <w:r>
              <w:rPr>
                <w:color w:val="000000"/>
              </w:rPr>
              <w:t>valstu un starptautisk</w:t>
            </w:r>
            <w:r w:rsidR="007119D5">
              <w:rPr>
                <w:color w:val="000000"/>
              </w:rPr>
              <w:t>o</w:t>
            </w:r>
            <w:r>
              <w:rPr>
                <w:color w:val="000000"/>
              </w:rPr>
              <w:t xml:space="preserve"> organizāciju sastādītie saraksti ar personām</w:t>
            </w:r>
            <w:r w:rsidR="00964541">
              <w:rPr>
                <w:color w:val="000000"/>
              </w:rPr>
              <w:t>,</w:t>
            </w:r>
            <w:r>
              <w:rPr>
                <w:color w:val="000000"/>
              </w:rPr>
              <w:t xml:space="preserve"> </w:t>
            </w:r>
            <w:r w:rsidR="00803419" w:rsidRPr="00F521E9">
              <w:rPr>
                <w:color w:val="000000"/>
              </w:rPr>
              <w:t>kas tiek turētas aizdomās par iesaistīšanos teroristiskās darbībā</w:t>
            </w:r>
            <w:r w:rsidR="00803419">
              <w:rPr>
                <w:color w:val="000000"/>
              </w:rPr>
              <w:t xml:space="preserve">s </w:t>
            </w:r>
            <w:r w:rsidR="00803419">
              <w:t>vai masveida iznīcināšanas ieroču izgatavošanā, glabāšanā, pārvietošanā, lietošanā vai izplatīšanā</w:t>
            </w:r>
            <w:r>
              <w:t>, tiks atzīti Latvijas Republikas teritorijā</w:t>
            </w:r>
            <w:r w:rsidR="00803419">
              <w:t>.</w:t>
            </w:r>
          </w:p>
        </w:tc>
      </w:tr>
      <w:tr w:rsidR="00803419" w:rsidRPr="005600AC" w:rsidTr="00C455C2">
        <w:trPr>
          <w:trHeight w:val="510"/>
        </w:trPr>
        <w:tc>
          <w:tcPr>
            <w:tcW w:w="250" w:type="pct"/>
            <w:shd w:val="clear" w:color="auto" w:fill="auto"/>
            <w:hideMark/>
          </w:tcPr>
          <w:p w:rsidR="00803419" w:rsidRPr="005600AC" w:rsidRDefault="00803419" w:rsidP="00C455C2">
            <w:pPr>
              <w:jc w:val="both"/>
              <w:rPr>
                <w:color w:val="000000"/>
              </w:rPr>
            </w:pPr>
            <w:r w:rsidRPr="005600AC">
              <w:rPr>
                <w:color w:val="000000"/>
              </w:rPr>
              <w:t>2.</w:t>
            </w:r>
          </w:p>
        </w:tc>
        <w:tc>
          <w:tcPr>
            <w:tcW w:w="1550" w:type="pct"/>
            <w:shd w:val="clear" w:color="auto" w:fill="auto"/>
            <w:hideMark/>
          </w:tcPr>
          <w:p w:rsidR="00803419" w:rsidRPr="005600AC" w:rsidRDefault="00803419" w:rsidP="00C455C2">
            <w:pPr>
              <w:jc w:val="both"/>
              <w:rPr>
                <w:color w:val="000000"/>
              </w:rPr>
            </w:pPr>
            <w:r w:rsidRPr="005600AC">
              <w:rPr>
                <w:color w:val="000000"/>
              </w:rPr>
              <w:t>Tiesiskā regulējuma ietekme uz tautsaimniecību un administratīvo slogu</w:t>
            </w:r>
          </w:p>
        </w:tc>
        <w:tc>
          <w:tcPr>
            <w:tcW w:w="3200" w:type="pct"/>
            <w:shd w:val="clear" w:color="auto" w:fill="auto"/>
            <w:hideMark/>
          </w:tcPr>
          <w:p w:rsidR="00803419" w:rsidRPr="005600AC" w:rsidRDefault="00803419" w:rsidP="00C455C2">
            <w:pPr>
              <w:jc w:val="both"/>
              <w:rPr>
                <w:color w:val="000000"/>
              </w:rPr>
            </w:pPr>
            <w:r>
              <w:rPr>
                <w:color w:val="000000"/>
              </w:rPr>
              <w:t>S</w:t>
            </w:r>
            <w:r w:rsidRPr="007F2111">
              <w:rPr>
                <w:color w:val="000000"/>
              </w:rPr>
              <w:t>abiedrības grupām un institūcijām projekta tiesiskais regulējums nemaina t</w:t>
            </w:r>
            <w:r>
              <w:rPr>
                <w:color w:val="000000"/>
              </w:rPr>
              <w:t>iesības un pienākumus, kā arī ve</w:t>
            </w:r>
            <w:r w:rsidRPr="007F2111">
              <w:rPr>
                <w:color w:val="000000"/>
              </w:rPr>
              <w:t>icamās darbības</w:t>
            </w:r>
            <w:r>
              <w:rPr>
                <w:color w:val="000000"/>
              </w:rPr>
              <w:t>.</w:t>
            </w:r>
          </w:p>
        </w:tc>
      </w:tr>
      <w:tr w:rsidR="00803419" w:rsidRPr="005600AC" w:rsidTr="00C455C2">
        <w:trPr>
          <w:trHeight w:val="510"/>
        </w:trPr>
        <w:tc>
          <w:tcPr>
            <w:tcW w:w="250" w:type="pct"/>
            <w:shd w:val="clear" w:color="auto" w:fill="auto"/>
            <w:hideMark/>
          </w:tcPr>
          <w:p w:rsidR="00803419" w:rsidRPr="005600AC" w:rsidRDefault="00803419" w:rsidP="00C455C2">
            <w:pPr>
              <w:jc w:val="both"/>
              <w:rPr>
                <w:color w:val="000000"/>
              </w:rPr>
            </w:pPr>
            <w:r w:rsidRPr="005600AC">
              <w:rPr>
                <w:color w:val="000000"/>
              </w:rPr>
              <w:t>3.</w:t>
            </w:r>
          </w:p>
        </w:tc>
        <w:tc>
          <w:tcPr>
            <w:tcW w:w="1550" w:type="pct"/>
            <w:shd w:val="clear" w:color="auto" w:fill="auto"/>
            <w:hideMark/>
          </w:tcPr>
          <w:p w:rsidR="00803419" w:rsidRPr="005600AC" w:rsidRDefault="00803419" w:rsidP="00C455C2">
            <w:pPr>
              <w:jc w:val="both"/>
              <w:rPr>
                <w:color w:val="000000"/>
              </w:rPr>
            </w:pPr>
            <w:r w:rsidRPr="005600AC">
              <w:rPr>
                <w:color w:val="000000"/>
              </w:rPr>
              <w:t>Administratīvo izmaksu monetārs novērtējums</w:t>
            </w:r>
          </w:p>
        </w:tc>
        <w:tc>
          <w:tcPr>
            <w:tcW w:w="3200" w:type="pct"/>
            <w:shd w:val="clear" w:color="auto" w:fill="auto"/>
            <w:hideMark/>
          </w:tcPr>
          <w:p w:rsidR="00803419" w:rsidRPr="005600AC" w:rsidRDefault="007D2BDE" w:rsidP="00C455C2">
            <w:pPr>
              <w:jc w:val="both"/>
              <w:rPr>
                <w:color w:val="000000"/>
              </w:rPr>
            </w:pPr>
            <w:r>
              <w:rPr>
                <w:color w:val="000000"/>
              </w:rPr>
              <w:t>Noteikumu projekts</w:t>
            </w:r>
            <w:r w:rsidR="00803419" w:rsidRPr="005600AC">
              <w:rPr>
                <w:color w:val="000000"/>
              </w:rPr>
              <w:t xml:space="preserve"> neparedz izmaiņas administratīvajās izmaksās. </w:t>
            </w:r>
          </w:p>
        </w:tc>
      </w:tr>
      <w:tr w:rsidR="00803419" w:rsidRPr="005600AC" w:rsidTr="00C455C2">
        <w:trPr>
          <w:trHeight w:val="345"/>
        </w:trPr>
        <w:tc>
          <w:tcPr>
            <w:tcW w:w="250" w:type="pct"/>
            <w:shd w:val="clear" w:color="auto" w:fill="auto"/>
            <w:hideMark/>
          </w:tcPr>
          <w:p w:rsidR="00803419" w:rsidRPr="005600AC" w:rsidRDefault="00803419" w:rsidP="00C455C2">
            <w:pPr>
              <w:jc w:val="both"/>
              <w:rPr>
                <w:color w:val="000000"/>
              </w:rPr>
            </w:pPr>
            <w:r w:rsidRPr="005600AC">
              <w:rPr>
                <w:color w:val="000000"/>
              </w:rPr>
              <w:t>4.</w:t>
            </w:r>
          </w:p>
        </w:tc>
        <w:tc>
          <w:tcPr>
            <w:tcW w:w="1550" w:type="pct"/>
            <w:shd w:val="clear" w:color="auto" w:fill="auto"/>
            <w:hideMark/>
          </w:tcPr>
          <w:p w:rsidR="00803419" w:rsidRPr="005600AC" w:rsidRDefault="00803419" w:rsidP="00C455C2">
            <w:pPr>
              <w:jc w:val="both"/>
              <w:rPr>
                <w:color w:val="000000"/>
              </w:rPr>
            </w:pPr>
            <w:r w:rsidRPr="005600AC">
              <w:rPr>
                <w:color w:val="000000"/>
              </w:rPr>
              <w:t>Cita informācija</w:t>
            </w:r>
          </w:p>
        </w:tc>
        <w:tc>
          <w:tcPr>
            <w:tcW w:w="3200" w:type="pct"/>
            <w:shd w:val="clear" w:color="auto" w:fill="auto"/>
            <w:hideMark/>
          </w:tcPr>
          <w:p w:rsidR="00803419" w:rsidRPr="005600AC" w:rsidRDefault="00803419" w:rsidP="00C455C2">
            <w:pPr>
              <w:spacing w:before="100" w:beforeAutospacing="1" w:after="100" w:afterAutospacing="1" w:line="360" w:lineRule="auto"/>
              <w:jc w:val="both"/>
              <w:rPr>
                <w:color w:val="000000"/>
              </w:rPr>
            </w:pPr>
            <w:r w:rsidRPr="005600AC">
              <w:rPr>
                <w:color w:val="000000"/>
              </w:rPr>
              <w:t>Nav</w:t>
            </w:r>
          </w:p>
        </w:tc>
      </w:tr>
    </w:tbl>
    <w:p w:rsidR="00B7197C" w:rsidRPr="005600AC" w:rsidRDefault="00B7197C" w:rsidP="00803419">
      <w:pPr>
        <w:jc w:val="both"/>
        <w:rPr>
          <w:vanish/>
          <w:color w:val="000000"/>
        </w:rPr>
      </w:pPr>
    </w:p>
    <w:p w:rsidR="00803419" w:rsidRPr="005600AC" w:rsidRDefault="00803419" w:rsidP="00803419">
      <w:pPr>
        <w:pStyle w:val="naislab"/>
        <w:jc w:val="both"/>
        <w:outlineLvl w:val="0"/>
        <w:rPr>
          <w:b/>
          <w:color w:val="000000"/>
        </w:rPr>
      </w:pPr>
    </w:p>
    <w:p w:rsidR="00803419" w:rsidRPr="005600AC" w:rsidRDefault="00803419" w:rsidP="00803419">
      <w:pPr>
        <w:jc w:val="both"/>
        <w:rPr>
          <w:vanish/>
          <w:color w:val="000000"/>
        </w:rPr>
      </w:pPr>
    </w:p>
    <w:p w:rsidR="00803419" w:rsidRPr="005600AC" w:rsidRDefault="00803419" w:rsidP="00803419">
      <w:pPr>
        <w:jc w:val="both"/>
        <w:rPr>
          <w:vanish/>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965"/>
        <w:gridCol w:w="6860"/>
      </w:tblGrid>
      <w:tr w:rsidR="00803419" w:rsidRPr="003953FD" w:rsidTr="00C455C2">
        <w:trPr>
          <w:trHeight w:val="450"/>
        </w:trPr>
        <w:tc>
          <w:tcPr>
            <w:tcW w:w="5000" w:type="pct"/>
            <w:gridSpan w:val="3"/>
            <w:shd w:val="clear" w:color="auto" w:fill="auto"/>
            <w:hideMark/>
          </w:tcPr>
          <w:p w:rsidR="00803419" w:rsidRPr="003953FD" w:rsidRDefault="00803419" w:rsidP="00C455C2">
            <w:pPr>
              <w:jc w:val="center"/>
              <w:rPr>
                <w:b/>
                <w:bCs/>
                <w:color w:val="000000"/>
              </w:rPr>
            </w:pPr>
            <w:r w:rsidRPr="003953FD">
              <w:rPr>
                <w:b/>
                <w:bCs/>
                <w:color w:val="000000"/>
              </w:rPr>
              <w:lastRenderedPageBreak/>
              <w:t>V. Tiesību akta projekta atbilstība Latvijas Republikas starptautiskajām saistībām</w:t>
            </w:r>
          </w:p>
        </w:tc>
      </w:tr>
      <w:tr w:rsidR="00803419" w:rsidRPr="003953FD" w:rsidTr="00C455C2">
        <w:tc>
          <w:tcPr>
            <w:tcW w:w="249" w:type="pct"/>
            <w:shd w:val="clear" w:color="auto" w:fill="auto"/>
            <w:hideMark/>
          </w:tcPr>
          <w:p w:rsidR="00803419" w:rsidRPr="003953FD" w:rsidRDefault="00803419" w:rsidP="00C455C2">
            <w:pPr>
              <w:jc w:val="both"/>
              <w:rPr>
                <w:color w:val="000000"/>
              </w:rPr>
            </w:pPr>
            <w:r w:rsidRPr="003953FD">
              <w:rPr>
                <w:color w:val="000000"/>
              </w:rPr>
              <w:t>1.</w:t>
            </w:r>
          </w:p>
        </w:tc>
        <w:tc>
          <w:tcPr>
            <w:tcW w:w="1058" w:type="pct"/>
            <w:shd w:val="clear" w:color="auto" w:fill="auto"/>
            <w:hideMark/>
          </w:tcPr>
          <w:p w:rsidR="00803419" w:rsidRPr="003953FD" w:rsidRDefault="00803419" w:rsidP="00C455C2">
            <w:pPr>
              <w:jc w:val="both"/>
              <w:rPr>
                <w:color w:val="000000"/>
              </w:rPr>
            </w:pPr>
            <w:r w:rsidRPr="003953FD">
              <w:rPr>
                <w:color w:val="000000"/>
              </w:rPr>
              <w:t>Saistības pret Eiropas Savienību</w:t>
            </w:r>
          </w:p>
        </w:tc>
        <w:tc>
          <w:tcPr>
            <w:tcW w:w="3693" w:type="pct"/>
            <w:shd w:val="clear" w:color="auto" w:fill="auto"/>
          </w:tcPr>
          <w:p w:rsidR="00803419" w:rsidRDefault="007D2BDE" w:rsidP="00C455C2">
            <w:pPr>
              <w:jc w:val="both"/>
              <w:rPr>
                <w:color w:val="000000"/>
              </w:rPr>
            </w:pPr>
            <w:r>
              <w:rPr>
                <w:color w:val="000000"/>
              </w:rPr>
              <w:t>Noteikumu projekts</w:t>
            </w:r>
            <w:r w:rsidR="00803419" w:rsidRPr="003953FD">
              <w:rPr>
                <w:color w:val="000000"/>
              </w:rPr>
              <w:t xml:space="preserve"> atbilst saistībām, ko Latvija ir uzņēmusies kā ES dalībvalsts, ieviešot pasākumus, ko ES Padome, pieņemot lēmumus, ir noteikusi par nepieciešamiem, pamatojoties uz Līguma par Eiropas Savienību 29. pantu un Līguma par Eiropas Savienības darbību 75. un 215. pantu jeb Lisabonas līguma 67. pantu.</w:t>
            </w:r>
          </w:p>
          <w:p w:rsidR="002812ED" w:rsidRPr="003953FD" w:rsidRDefault="002812ED" w:rsidP="00C455C2">
            <w:pPr>
              <w:jc w:val="both"/>
              <w:rPr>
                <w:color w:val="000000"/>
              </w:rPr>
            </w:pPr>
          </w:p>
        </w:tc>
      </w:tr>
      <w:tr w:rsidR="00803419" w:rsidRPr="003953FD" w:rsidTr="00C455C2">
        <w:tc>
          <w:tcPr>
            <w:tcW w:w="249" w:type="pct"/>
            <w:shd w:val="clear" w:color="auto" w:fill="auto"/>
            <w:hideMark/>
          </w:tcPr>
          <w:p w:rsidR="00803419" w:rsidRPr="003953FD" w:rsidRDefault="00803419" w:rsidP="00C455C2">
            <w:pPr>
              <w:jc w:val="both"/>
              <w:rPr>
                <w:color w:val="000000"/>
              </w:rPr>
            </w:pPr>
            <w:r w:rsidRPr="003953FD">
              <w:rPr>
                <w:color w:val="000000"/>
              </w:rPr>
              <w:t>2.</w:t>
            </w:r>
          </w:p>
        </w:tc>
        <w:tc>
          <w:tcPr>
            <w:tcW w:w="1058" w:type="pct"/>
            <w:shd w:val="clear" w:color="auto" w:fill="auto"/>
            <w:hideMark/>
          </w:tcPr>
          <w:p w:rsidR="00803419" w:rsidRPr="003953FD" w:rsidRDefault="00803419" w:rsidP="00C455C2">
            <w:pPr>
              <w:jc w:val="both"/>
              <w:rPr>
                <w:color w:val="000000"/>
              </w:rPr>
            </w:pPr>
            <w:r w:rsidRPr="003953FD">
              <w:rPr>
                <w:color w:val="000000"/>
              </w:rPr>
              <w:t>Citas starptautiskās saistības</w:t>
            </w:r>
          </w:p>
        </w:tc>
        <w:tc>
          <w:tcPr>
            <w:tcW w:w="3693" w:type="pct"/>
            <w:shd w:val="clear" w:color="auto" w:fill="auto"/>
            <w:hideMark/>
          </w:tcPr>
          <w:p w:rsidR="00803419" w:rsidRDefault="00780DFB" w:rsidP="00C455C2">
            <w:pPr>
              <w:jc w:val="both"/>
              <w:rPr>
                <w:color w:val="000000"/>
              </w:rPr>
            </w:pPr>
            <w:r>
              <w:rPr>
                <w:color w:val="000000"/>
              </w:rPr>
              <w:t>Noteikumu projekts</w:t>
            </w:r>
            <w:r w:rsidR="00803419" w:rsidRPr="003953FD">
              <w:rPr>
                <w:color w:val="000000"/>
              </w:rPr>
              <w:t xml:space="preserve"> atbilst saistībām, ko Latvija ir uzņēmusies kā ANO dalībvalsts, ieviešot pasākumus, ko ANO Drošības padome ir noteikusi par nepieciešamiem, pieņemot rezolūcij</w:t>
            </w:r>
            <w:r w:rsidR="00964541">
              <w:rPr>
                <w:color w:val="000000"/>
              </w:rPr>
              <w:t>as</w:t>
            </w:r>
            <w:r w:rsidR="00803419" w:rsidRPr="003953FD">
              <w:rPr>
                <w:color w:val="000000"/>
              </w:rPr>
              <w:t>, pamatojoties uz 1945. gada ANO Statūtu 7. nodaļu.</w:t>
            </w:r>
          </w:p>
          <w:p w:rsidR="00CD68AC" w:rsidRPr="003953FD" w:rsidRDefault="00CD68AC" w:rsidP="00C455C2">
            <w:pPr>
              <w:jc w:val="both"/>
              <w:rPr>
                <w:color w:val="000000"/>
              </w:rPr>
            </w:pPr>
          </w:p>
          <w:p w:rsidR="00803419" w:rsidRDefault="00803419" w:rsidP="00C455C2">
            <w:pPr>
              <w:jc w:val="both"/>
              <w:rPr>
                <w:color w:val="000000"/>
              </w:rPr>
            </w:pPr>
            <w:r w:rsidRPr="003953FD">
              <w:rPr>
                <w:color w:val="000000"/>
              </w:rPr>
              <w:t>2014. gada 15.-19. septembrī Strasbūrā notika Eiropas Padomes Moneyval komitejas plenārsēde, kurā tika izskatīts arī Latvijas Progresa ziņojums. Moneyval komiteja ir viena no ietekmīgākajām institūcijām noziedzīgi iegūtu līdzekļu legalizācijas un terorisma finansēšanas novēršanā, kas darbību balsta uz starpvaldību organizācijas FATF</w:t>
            </w:r>
            <w:r w:rsidR="00A13179">
              <w:rPr>
                <w:color w:val="000000"/>
              </w:rPr>
              <w:t xml:space="preserve"> </w:t>
            </w:r>
            <w:r w:rsidRPr="003953FD">
              <w:rPr>
                <w:color w:val="000000"/>
              </w:rPr>
              <w:t>40 rekomendācijām un deviņām speciālajām rekomendācijām, kas skar juridiskos</w:t>
            </w:r>
            <w:r w:rsidR="00964541">
              <w:rPr>
                <w:color w:val="000000"/>
              </w:rPr>
              <w:t>,</w:t>
            </w:r>
            <w:r w:rsidRPr="003953FD">
              <w:rPr>
                <w:color w:val="000000"/>
              </w:rPr>
              <w:t xml:space="preserve"> finanšu un tiesībsargājošo iestāžu jautājumus. Valstīm, kuras Moneyval komitejas izvērtēšanas gaitā saņem noteiktu skaitu zemu vērtējumu, nosaka pastiprinātu uzraudzību, kas ietver konkrētu pasākumu kompleksu, kas atstāj negatīvu ietekmi uz valsts finanšu sistēmu, kā arī valsts reputāciju.</w:t>
            </w:r>
          </w:p>
          <w:p w:rsidR="00CD68AC" w:rsidRPr="003953FD" w:rsidRDefault="00CD68AC" w:rsidP="00C455C2">
            <w:pPr>
              <w:jc w:val="both"/>
              <w:rPr>
                <w:color w:val="000000"/>
              </w:rPr>
            </w:pPr>
          </w:p>
          <w:p w:rsidR="00803419" w:rsidRPr="003953FD" w:rsidRDefault="00803419" w:rsidP="00964541">
            <w:pPr>
              <w:jc w:val="both"/>
              <w:rPr>
                <w:color w:val="000000"/>
              </w:rPr>
            </w:pPr>
            <w:r w:rsidRPr="003953FD">
              <w:rPr>
                <w:color w:val="000000"/>
              </w:rPr>
              <w:t>Šā gada septembra plenārsēdē Moneyval komiteja nolēma, ka Latvijai jāturpina veikt pasākumus, lai pilnā apmērā izpildītu tās rekomendācijas, kuras tika sniegtas 2012. gada ziņojumā par Latvijas noziedzīgi iegūtu līdzekļu legalizācijas un terorisma finansēšanas novēršanas sistēmas atbilstību starptautiskajiem standartiem. Kā priekšnoteikums, lai Latvija tiktu atbrīvota no turpmākiem Progresa ziņojumiem līdz nākošajai Moneyval izvērtēšanas kārtai, tika noteikts, ka Latvijai līdz 201</w:t>
            </w:r>
            <w:r w:rsidR="002473B9">
              <w:rPr>
                <w:color w:val="000000"/>
              </w:rPr>
              <w:t>6</w:t>
            </w:r>
            <w:r w:rsidRPr="003953FD">
              <w:rPr>
                <w:color w:val="000000"/>
              </w:rPr>
              <w:t>. gad</w:t>
            </w:r>
            <w:r w:rsidR="002473B9">
              <w:rPr>
                <w:color w:val="000000"/>
              </w:rPr>
              <w:t xml:space="preserve">a 1. aprīlim </w:t>
            </w:r>
            <w:r w:rsidRPr="003953FD">
              <w:rPr>
                <w:color w:val="000000"/>
              </w:rPr>
              <w:t>ir jāpieņem likums par sankcijām pret teroristiem</w:t>
            </w:r>
            <w:r>
              <w:rPr>
                <w:color w:val="000000"/>
              </w:rPr>
              <w:t xml:space="preserve"> un </w:t>
            </w:r>
            <w:r>
              <w:t>pret masveida iznīcināšanas ieroču izgatavošanu, glabāšanu, pārvietošanu, lietošanu vai izplatīšanu</w:t>
            </w:r>
            <w:r w:rsidRPr="003953FD">
              <w:rPr>
                <w:color w:val="000000"/>
              </w:rPr>
              <w:t xml:space="preserve"> un attiecīgi jāievieš FATF </w:t>
            </w:r>
            <w:r w:rsidR="00964541">
              <w:rPr>
                <w:color w:val="000000"/>
              </w:rPr>
              <w:t>rekomendācijas</w:t>
            </w:r>
            <w:r w:rsidRPr="003953FD">
              <w:rPr>
                <w:color w:val="000000"/>
              </w:rPr>
              <w:t xml:space="preserve">. Līdz ar to </w:t>
            </w:r>
            <w:r w:rsidR="00780DFB">
              <w:rPr>
                <w:color w:val="000000"/>
              </w:rPr>
              <w:t>Noteikumu projekts</w:t>
            </w:r>
            <w:r w:rsidRPr="003953FD">
              <w:rPr>
                <w:color w:val="000000"/>
              </w:rPr>
              <w:t xml:space="preserve"> sagatavots, lai izpildītu </w:t>
            </w:r>
            <w:r w:rsidR="00780DFB">
              <w:rPr>
                <w:color w:val="000000"/>
              </w:rPr>
              <w:t xml:space="preserve">NILLTFNL un </w:t>
            </w:r>
            <w:r w:rsidR="00CD68AC" w:rsidRPr="005860DA">
              <w:t xml:space="preserve">Starptautisko un Latvijas Republikas nacionālo sankciju </w:t>
            </w:r>
            <w:r w:rsidR="00780DFB">
              <w:rPr>
                <w:color w:val="000000"/>
              </w:rPr>
              <w:t xml:space="preserve">likumprojektā noteikto un lai ievērotu </w:t>
            </w:r>
            <w:r w:rsidRPr="003953FD">
              <w:rPr>
                <w:color w:val="000000"/>
              </w:rPr>
              <w:t xml:space="preserve">FATF 2012. gada februārī apstiprinātās rekomendācijas. </w:t>
            </w:r>
          </w:p>
        </w:tc>
      </w:tr>
      <w:tr w:rsidR="00803419" w:rsidRPr="003953FD" w:rsidTr="00C455C2">
        <w:tc>
          <w:tcPr>
            <w:tcW w:w="249" w:type="pct"/>
            <w:shd w:val="clear" w:color="auto" w:fill="auto"/>
            <w:hideMark/>
          </w:tcPr>
          <w:p w:rsidR="00803419" w:rsidRPr="003953FD" w:rsidRDefault="00803419" w:rsidP="00C455C2">
            <w:pPr>
              <w:jc w:val="both"/>
              <w:rPr>
                <w:color w:val="000000"/>
              </w:rPr>
            </w:pPr>
            <w:r w:rsidRPr="003953FD">
              <w:rPr>
                <w:color w:val="000000"/>
              </w:rPr>
              <w:t>3.</w:t>
            </w:r>
          </w:p>
        </w:tc>
        <w:tc>
          <w:tcPr>
            <w:tcW w:w="1058" w:type="pct"/>
            <w:shd w:val="clear" w:color="auto" w:fill="auto"/>
            <w:hideMark/>
          </w:tcPr>
          <w:p w:rsidR="00803419" w:rsidRPr="003953FD" w:rsidRDefault="00803419" w:rsidP="00C455C2">
            <w:pPr>
              <w:jc w:val="both"/>
              <w:rPr>
                <w:color w:val="000000"/>
              </w:rPr>
            </w:pPr>
            <w:r w:rsidRPr="003953FD">
              <w:rPr>
                <w:color w:val="000000"/>
              </w:rPr>
              <w:t>Cita informācija</w:t>
            </w:r>
          </w:p>
        </w:tc>
        <w:tc>
          <w:tcPr>
            <w:tcW w:w="3693" w:type="pct"/>
            <w:shd w:val="clear" w:color="auto" w:fill="auto"/>
            <w:hideMark/>
          </w:tcPr>
          <w:p w:rsidR="00803419" w:rsidRPr="003953FD" w:rsidRDefault="00803419" w:rsidP="00C455C2">
            <w:pPr>
              <w:jc w:val="both"/>
              <w:rPr>
                <w:color w:val="000000"/>
              </w:rPr>
            </w:pPr>
            <w:r>
              <w:rPr>
                <w:color w:val="000000"/>
              </w:rPr>
              <w:t>Nav.</w:t>
            </w:r>
          </w:p>
        </w:tc>
      </w:tr>
    </w:tbl>
    <w:p w:rsidR="00803419" w:rsidRDefault="00B7197C" w:rsidP="00803419">
      <w:pPr>
        <w:tabs>
          <w:tab w:val="left" w:pos="5760"/>
        </w:tabs>
        <w:ind w:firstLine="720"/>
        <w:jc w:val="both"/>
        <w:rPr>
          <w:i/>
        </w:rPr>
      </w:pPr>
      <w:r>
        <w:rPr>
          <w:i/>
        </w:rPr>
        <w:t>A</w:t>
      </w:r>
      <w:r w:rsidR="00803419">
        <w:rPr>
          <w:i/>
        </w:rPr>
        <w:t xml:space="preserve">notācijas </w:t>
      </w:r>
      <w:r w:rsidR="00A13179">
        <w:rPr>
          <w:i/>
        </w:rPr>
        <w:t xml:space="preserve">III, </w:t>
      </w:r>
      <w:r>
        <w:rPr>
          <w:i/>
        </w:rPr>
        <w:t xml:space="preserve">IV, </w:t>
      </w:r>
      <w:r w:rsidR="00803419">
        <w:rPr>
          <w:i/>
        </w:rPr>
        <w:t xml:space="preserve">VI un VII </w:t>
      </w:r>
      <w:r w:rsidR="00803419" w:rsidRPr="00C813DD">
        <w:rPr>
          <w:i/>
        </w:rPr>
        <w:t xml:space="preserve"> sadaļa – </w:t>
      </w:r>
      <w:r w:rsidR="00803419">
        <w:rPr>
          <w:i/>
        </w:rPr>
        <w:t>likumprojekts</w:t>
      </w:r>
      <w:r w:rsidR="00803419" w:rsidRPr="00C813DD">
        <w:rPr>
          <w:i/>
        </w:rPr>
        <w:t xml:space="preserve"> šo jomu neskar.</w:t>
      </w:r>
    </w:p>
    <w:p w:rsidR="00EF4254" w:rsidRDefault="00EF4254" w:rsidP="00803419">
      <w:pPr>
        <w:tabs>
          <w:tab w:val="left" w:pos="5760"/>
        </w:tabs>
        <w:ind w:firstLine="720"/>
        <w:jc w:val="both"/>
        <w:rPr>
          <w:i/>
        </w:rPr>
      </w:pPr>
    </w:p>
    <w:p w:rsidR="00EF4254" w:rsidRDefault="00EF4254" w:rsidP="00803419">
      <w:pPr>
        <w:tabs>
          <w:tab w:val="left" w:pos="6521"/>
        </w:tabs>
      </w:pPr>
      <w:r>
        <w:t xml:space="preserve">Ārlietu ministra vietā – </w:t>
      </w:r>
    </w:p>
    <w:p w:rsidR="00803419" w:rsidRPr="002640FD" w:rsidRDefault="00EF4254" w:rsidP="00803419">
      <w:pPr>
        <w:tabs>
          <w:tab w:val="left" w:pos="6521"/>
        </w:tabs>
      </w:pPr>
      <w:r>
        <w:t>iekšlietu ministrs</w:t>
      </w:r>
      <w:r w:rsidR="00803419" w:rsidRPr="002640FD">
        <w:tab/>
      </w:r>
      <w:r>
        <w:t>Rihards Kozlovskis</w:t>
      </w:r>
      <w:r w:rsidR="00803419" w:rsidRPr="002640FD">
        <w:t xml:space="preserve"> </w:t>
      </w:r>
    </w:p>
    <w:p w:rsidR="00803419" w:rsidRPr="002640FD" w:rsidRDefault="00803419" w:rsidP="00803419">
      <w:pPr>
        <w:tabs>
          <w:tab w:val="left" w:pos="6521"/>
        </w:tabs>
      </w:pPr>
    </w:p>
    <w:p w:rsidR="00803419" w:rsidRPr="002640FD" w:rsidRDefault="00803419" w:rsidP="00803419">
      <w:pPr>
        <w:tabs>
          <w:tab w:val="left" w:pos="6521"/>
        </w:tabs>
      </w:pPr>
      <w:r w:rsidRPr="002640FD">
        <w:t xml:space="preserve">Vīza: </w:t>
      </w:r>
      <w:r>
        <w:t>V</w:t>
      </w:r>
      <w:r w:rsidRPr="002640FD">
        <w:t xml:space="preserve">alsts sekretārs </w:t>
      </w:r>
      <w:r w:rsidRPr="002640FD">
        <w:tab/>
        <w:t>Andrejs Pildegovičs</w:t>
      </w:r>
    </w:p>
    <w:p w:rsidR="00B7197C" w:rsidRDefault="00B7197C" w:rsidP="00803419">
      <w:pPr>
        <w:pStyle w:val="BodyText"/>
        <w:tabs>
          <w:tab w:val="left" w:pos="7740"/>
        </w:tabs>
        <w:rPr>
          <w:sz w:val="18"/>
          <w:szCs w:val="18"/>
        </w:rPr>
      </w:pPr>
    </w:p>
    <w:p w:rsidR="00803419" w:rsidRPr="00B7197C" w:rsidRDefault="00B7197C" w:rsidP="00803419">
      <w:pPr>
        <w:pStyle w:val="BodyText"/>
        <w:tabs>
          <w:tab w:val="left" w:pos="7740"/>
        </w:tabs>
        <w:rPr>
          <w:sz w:val="18"/>
          <w:szCs w:val="18"/>
        </w:rPr>
      </w:pPr>
      <w:r>
        <w:rPr>
          <w:sz w:val="18"/>
          <w:szCs w:val="18"/>
        </w:rPr>
        <w:t>19</w:t>
      </w:r>
      <w:r w:rsidR="00803419" w:rsidRPr="00B7197C">
        <w:rPr>
          <w:sz w:val="18"/>
          <w:szCs w:val="18"/>
        </w:rPr>
        <w:t>.0</w:t>
      </w:r>
      <w:r>
        <w:rPr>
          <w:sz w:val="18"/>
          <w:szCs w:val="18"/>
        </w:rPr>
        <w:t>2</w:t>
      </w:r>
      <w:r w:rsidR="00803419" w:rsidRPr="00B7197C">
        <w:rPr>
          <w:sz w:val="18"/>
          <w:szCs w:val="18"/>
        </w:rPr>
        <w:t>.2016. 1</w:t>
      </w:r>
      <w:r>
        <w:rPr>
          <w:sz w:val="18"/>
          <w:szCs w:val="18"/>
        </w:rPr>
        <w:t>1</w:t>
      </w:r>
      <w:r w:rsidR="00803419" w:rsidRPr="00B7197C">
        <w:rPr>
          <w:sz w:val="18"/>
          <w:szCs w:val="18"/>
        </w:rPr>
        <w:t>:00</w:t>
      </w:r>
    </w:p>
    <w:p w:rsidR="00803419" w:rsidRPr="00B7197C" w:rsidRDefault="005E05D3" w:rsidP="00803419">
      <w:pPr>
        <w:pStyle w:val="BodyText"/>
        <w:tabs>
          <w:tab w:val="left" w:pos="7740"/>
        </w:tabs>
        <w:rPr>
          <w:sz w:val="18"/>
          <w:szCs w:val="18"/>
        </w:rPr>
      </w:pPr>
      <w:r w:rsidRPr="00B7197C">
        <w:rPr>
          <w:sz w:val="18"/>
          <w:szCs w:val="18"/>
        </w:rPr>
        <w:t>9</w:t>
      </w:r>
      <w:r w:rsidR="00EF4254">
        <w:rPr>
          <w:sz w:val="18"/>
          <w:szCs w:val="18"/>
        </w:rPr>
        <w:t>75</w:t>
      </w:r>
      <w:bookmarkStart w:id="0" w:name="_GoBack"/>
      <w:bookmarkEnd w:id="0"/>
    </w:p>
    <w:p w:rsidR="00B7197C" w:rsidRDefault="00803419" w:rsidP="00B7197C">
      <w:pPr>
        <w:pStyle w:val="BodyText"/>
        <w:tabs>
          <w:tab w:val="left" w:pos="7740"/>
        </w:tabs>
        <w:rPr>
          <w:sz w:val="18"/>
          <w:szCs w:val="18"/>
        </w:rPr>
      </w:pPr>
      <w:r w:rsidRPr="00B7197C">
        <w:rPr>
          <w:sz w:val="18"/>
          <w:szCs w:val="18"/>
        </w:rPr>
        <w:t>Zane Pommere</w:t>
      </w:r>
      <w:r w:rsidR="00B7197C">
        <w:rPr>
          <w:sz w:val="18"/>
          <w:szCs w:val="18"/>
        </w:rPr>
        <w:t xml:space="preserve"> </w:t>
      </w:r>
    </w:p>
    <w:p w:rsidR="00803419" w:rsidRPr="002640FD" w:rsidRDefault="00803419" w:rsidP="00B7197C">
      <w:pPr>
        <w:pStyle w:val="BodyText"/>
        <w:tabs>
          <w:tab w:val="left" w:pos="7740"/>
        </w:tabs>
      </w:pPr>
      <w:r w:rsidRPr="00B7197C">
        <w:rPr>
          <w:sz w:val="18"/>
          <w:szCs w:val="18"/>
        </w:rPr>
        <w:t xml:space="preserve">67015951, </w:t>
      </w:r>
      <w:hyperlink r:id="rId7" w:history="1">
        <w:r w:rsidRPr="00B7197C">
          <w:rPr>
            <w:rStyle w:val="Hyperlink"/>
            <w:sz w:val="18"/>
            <w:szCs w:val="18"/>
          </w:rPr>
          <w:t>zane.pommere@mfa.gov.lv</w:t>
        </w:r>
      </w:hyperlink>
    </w:p>
    <w:sectPr w:rsidR="00803419" w:rsidRPr="002640FD" w:rsidSect="003953FD">
      <w:headerReference w:type="even" r:id="rId8"/>
      <w:headerReference w:type="default" r:id="rId9"/>
      <w:footerReference w:type="default" r:id="rId10"/>
      <w:footerReference w:type="first" r:id="rId11"/>
      <w:pgSz w:w="11906" w:h="16838"/>
      <w:pgMar w:top="851" w:right="1416" w:bottom="17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D7" w:rsidRDefault="007001D7" w:rsidP="00803419">
      <w:r>
        <w:separator/>
      </w:r>
    </w:p>
  </w:endnote>
  <w:endnote w:type="continuationSeparator" w:id="0">
    <w:p w:rsidR="007001D7" w:rsidRDefault="007001D7" w:rsidP="008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DE" w:rsidRPr="007D2BDE" w:rsidRDefault="007D2BDE" w:rsidP="007D2BDE">
    <w:pPr>
      <w:pStyle w:val="Footer"/>
      <w:jc w:val="both"/>
      <w:rPr>
        <w:bCs/>
        <w:sz w:val="20"/>
        <w:szCs w:val="20"/>
      </w:rPr>
    </w:pPr>
    <w:r>
      <w:rPr>
        <w:sz w:val="20"/>
        <w:szCs w:val="20"/>
      </w:rPr>
      <w:t>AM</w:t>
    </w:r>
    <w:r w:rsidR="00EA707B">
      <w:rPr>
        <w:sz w:val="20"/>
        <w:szCs w:val="20"/>
      </w:rPr>
      <w:t>An</w:t>
    </w:r>
    <w:r>
      <w:rPr>
        <w:sz w:val="20"/>
        <w:szCs w:val="20"/>
      </w:rPr>
      <w:t>ot_</w:t>
    </w:r>
    <w:r w:rsidR="00B7197C">
      <w:rPr>
        <w:sz w:val="20"/>
        <w:szCs w:val="20"/>
      </w:rPr>
      <w:t>1902</w:t>
    </w:r>
    <w:r>
      <w:rPr>
        <w:sz w:val="20"/>
        <w:szCs w:val="20"/>
      </w:rPr>
      <w:t>16_MK</w:t>
    </w:r>
    <w:r w:rsidRPr="007370CB">
      <w:rPr>
        <w:sz w:val="20"/>
        <w:szCs w:val="20"/>
      </w:rPr>
      <w:t xml:space="preserve">; anotācija </w:t>
    </w:r>
    <w:r>
      <w:rPr>
        <w:sz w:val="20"/>
        <w:szCs w:val="20"/>
      </w:rPr>
      <w:t>Ministru kabineta noteikumu projektam</w:t>
    </w:r>
    <w:r w:rsidRPr="00BB25FF">
      <w:rPr>
        <w:sz w:val="20"/>
        <w:szCs w:val="20"/>
      </w:rPr>
      <w:t xml:space="preserve"> </w:t>
    </w:r>
    <w:r>
      <w:rPr>
        <w:sz w:val="20"/>
        <w:szCs w:val="20"/>
      </w:rPr>
      <w:t>“</w:t>
    </w:r>
    <w:r w:rsidRPr="007D2BDE">
      <w:rPr>
        <w:bCs/>
        <w:sz w:val="20"/>
        <w:szCs w:val="20"/>
      </w:rPr>
      <w:t>Par valstīm un starptautiskajām organizācijām, kuras sastādījušas to personu sarakstus kas tiek turētas aizdomās par iesaistīšanos teroristiskās darbībās un masveida iznīcināšan</w:t>
    </w:r>
    <w:r w:rsidR="002812ED">
      <w:rPr>
        <w:bCs/>
        <w:sz w:val="20"/>
        <w:szCs w:val="20"/>
      </w:rPr>
      <w:t>as</w:t>
    </w:r>
    <w:r w:rsidRPr="007D2BDE">
      <w:rPr>
        <w:bCs/>
        <w:sz w:val="20"/>
        <w:szCs w:val="20"/>
      </w:rPr>
      <w:t xml:space="preserve"> ieroču izgatavošan</w:t>
    </w:r>
    <w:r w:rsidR="002812ED">
      <w:rPr>
        <w:bCs/>
        <w:sz w:val="20"/>
        <w:szCs w:val="20"/>
      </w:rPr>
      <w:t>ā</w:t>
    </w:r>
    <w:r w:rsidRPr="007D2BDE">
      <w:rPr>
        <w:bCs/>
        <w:sz w:val="20"/>
        <w:szCs w:val="20"/>
      </w:rPr>
      <w:t>,</w:t>
    </w:r>
    <w:r>
      <w:rPr>
        <w:bCs/>
        <w:sz w:val="20"/>
        <w:szCs w:val="20"/>
      </w:rPr>
      <w:t xml:space="preserve"> </w:t>
    </w:r>
    <w:r w:rsidRPr="007D2BDE">
      <w:rPr>
        <w:bCs/>
        <w:sz w:val="20"/>
        <w:szCs w:val="20"/>
      </w:rPr>
      <w:t>glabāšan</w:t>
    </w:r>
    <w:r w:rsidR="002812ED">
      <w:rPr>
        <w:bCs/>
        <w:sz w:val="20"/>
        <w:szCs w:val="20"/>
      </w:rPr>
      <w:t>ā</w:t>
    </w:r>
    <w:r w:rsidRPr="007D2BDE">
      <w:rPr>
        <w:bCs/>
        <w:sz w:val="20"/>
        <w:szCs w:val="20"/>
      </w:rPr>
      <w:t>, pārvietošan</w:t>
    </w:r>
    <w:r w:rsidR="002812ED">
      <w:rPr>
        <w:bCs/>
        <w:sz w:val="20"/>
        <w:szCs w:val="20"/>
      </w:rPr>
      <w:t>ā</w:t>
    </w:r>
    <w:r w:rsidRPr="007D2BDE">
      <w:rPr>
        <w:bCs/>
        <w:sz w:val="20"/>
        <w:szCs w:val="20"/>
      </w:rPr>
      <w:t>, lietošan</w:t>
    </w:r>
    <w:r w:rsidR="002812ED">
      <w:rPr>
        <w:bCs/>
        <w:sz w:val="20"/>
        <w:szCs w:val="20"/>
      </w:rPr>
      <w:t>ā</w:t>
    </w:r>
    <w:r w:rsidRPr="007D2BDE">
      <w:rPr>
        <w:bCs/>
        <w:sz w:val="20"/>
        <w:szCs w:val="20"/>
      </w:rPr>
      <w:t xml:space="preserve"> vai izplatīšan</w:t>
    </w:r>
    <w:r w:rsidR="002812ED">
      <w:rPr>
        <w:bCs/>
        <w:sz w:val="20"/>
        <w:szCs w:val="20"/>
      </w:rPr>
      <w:t>ā</w:t>
    </w:r>
    <w:r w:rsidRPr="007D2BDE">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Pr="007D2BDE" w:rsidRDefault="00EA707B" w:rsidP="007D2BDE">
    <w:pPr>
      <w:pStyle w:val="Footer"/>
      <w:jc w:val="both"/>
      <w:rPr>
        <w:bCs/>
        <w:sz w:val="20"/>
        <w:szCs w:val="20"/>
      </w:rPr>
    </w:pPr>
    <w:r>
      <w:rPr>
        <w:sz w:val="20"/>
        <w:szCs w:val="20"/>
      </w:rPr>
      <w:t>AMAn</w:t>
    </w:r>
    <w:r w:rsidR="00803419">
      <w:rPr>
        <w:sz w:val="20"/>
        <w:szCs w:val="20"/>
      </w:rPr>
      <w:t>ot_</w:t>
    </w:r>
    <w:r w:rsidR="00B7197C">
      <w:rPr>
        <w:sz w:val="20"/>
        <w:szCs w:val="20"/>
      </w:rPr>
      <w:t>1902</w:t>
    </w:r>
    <w:r w:rsidR="00803419">
      <w:rPr>
        <w:sz w:val="20"/>
        <w:szCs w:val="20"/>
      </w:rPr>
      <w:t>16_MK</w:t>
    </w:r>
    <w:r w:rsidR="00803419" w:rsidRPr="007370CB">
      <w:rPr>
        <w:sz w:val="20"/>
        <w:szCs w:val="20"/>
      </w:rPr>
      <w:t xml:space="preserve">; anotācija </w:t>
    </w:r>
    <w:r w:rsidR="00803419">
      <w:rPr>
        <w:sz w:val="20"/>
        <w:szCs w:val="20"/>
      </w:rPr>
      <w:t>Ministru kabineta noteikumu projektam</w:t>
    </w:r>
    <w:r w:rsidR="00803419" w:rsidRPr="00BB25FF">
      <w:rPr>
        <w:sz w:val="20"/>
        <w:szCs w:val="20"/>
      </w:rPr>
      <w:t xml:space="preserve"> </w:t>
    </w:r>
    <w:r w:rsidR="00803419">
      <w:rPr>
        <w:sz w:val="20"/>
        <w:szCs w:val="20"/>
      </w:rPr>
      <w:t>“</w:t>
    </w:r>
    <w:r w:rsidR="007D2BDE" w:rsidRPr="007D2BDE">
      <w:rPr>
        <w:bCs/>
        <w:sz w:val="20"/>
        <w:szCs w:val="20"/>
      </w:rPr>
      <w:t>Par valstīm un starptautiskajām organizācijām, kuras sastādījušas to personu sarakstus kas tiek turētas aizdomās par iesaistīšanos teroristiskās darbībās un masveida iznīcināšanas ieroču izgatavošanu,</w:t>
    </w:r>
    <w:r w:rsidR="007D2BDE">
      <w:rPr>
        <w:bCs/>
        <w:sz w:val="20"/>
        <w:szCs w:val="20"/>
      </w:rPr>
      <w:t xml:space="preserve"> </w:t>
    </w:r>
    <w:r w:rsidR="007D2BDE" w:rsidRPr="007D2BDE">
      <w:rPr>
        <w:bCs/>
        <w:sz w:val="20"/>
        <w:szCs w:val="20"/>
      </w:rPr>
      <w:t>glabāšanu, pārvietošanu, lietošanu vai izplatīšanu</w:t>
    </w:r>
    <w:r w:rsidR="00803419" w:rsidRPr="007D2BDE">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D7" w:rsidRDefault="007001D7" w:rsidP="00803419">
      <w:r>
        <w:separator/>
      </w:r>
    </w:p>
  </w:footnote>
  <w:footnote w:type="continuationSeparator" w:id="0">
    <w:p w:rsidR="007001D7" w:rsidRDefault="007001D7" w:rsidP="0080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Default="008B00B8"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A00" w:rsidRDefault="00700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Pr="00DB073B" w:rsidRDefault="008B00B8"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EF4254">
      <w:rPr>
        <w:rStyle w:val="PageNumber"/>
        <w:noProof/>
        <w:sz w:val="20"/>
        <w:szCs w:val="20"/>
      </w:rPr>
      <w:t>3</w:t>
    </w:r>
    <w:r w:rsidRPr="00DB073B">
      <w:rPr>
        <w:rStyle w:val="PageNumber"/>
        <w:sz w:val="20"/>
        <w:szCs w:val="20"/>
      </w:rPr>
      <w:fldChar w:fldCharType="end"/>
    </w:r>
  </w:p>
  <w:p w:rsidR="00405A00" w:rsidRDefault="00700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19"/>
    <w:rsid w:val="000265CA"/>
    <w:rsid w:val="00051953"/>
    <w:rsid w:val="000560AF"/>
    <w:rsid w:val="00072EDE"/>
    <w:rsid w:val="00075C8F"/>
    <w:rsid w:val="00080254"/>
    <w:rsid w:val="000B369D"/>
    <w:rsid w:val="000D4D9D"/>
    <w:rsid w:val="000E01D2"/>
    <w:rsid w:val="00113AEF"/>
    <w:rsid w:val="00123D66"/>
    <w:rsid w:val="00140D09"/>
    <w:rsid w:val="0015416C"/>
    <w:rsid w:val="0015676A"/>
    <w:rsid w:val="00164397"/>
    <w:rsid w:val="00174811"/>
    <w:rsid w:val="001748B2"/>
    <w:rsid w:val="00180B0A"/>
    <w:rsid w:val="00191FC3"/>
    <w:rsid w:val="00192AA8"/>
    <w:rsid w:val="001A1F00"/>
    <w:rsid w:val="001B2DFA"/>
    <w:rsid w:val="001B2E39"/>
    <w:rsid w:val="001B4255"/>
    <w:rsid w:val="001C0432"/>
    <w:rsid w:val="001F29B7"/>
    <w:rsid w:val="001F48AC"/>
    <w:rsid w:val="0021190E"/>
    <w:rsid w:val="00213C5C"/>
    <w:rsid w:val="002245EE"/>
    <w:rsid w:val="0024694F"/>
    <w:rsid w:val="002473B9"/>
    <w:rsid w:val="002618EF"/>
    <w:rsid w:val="0026488F"/>
    <w:rsid w:val="0028013F"/>
    <w:rsid w:val="002812ED"/>
    <w:rsid w:val="002833F6"/>
    <w:rsid w:val="002A3E1F"/>
    <w:rsid w:val="002A7C0F"/>
    <w:rsid w:val="002C631B"/>
    <w:rsid w:val="002E10D3"/>
    <w:rsid w:val="002E5C76"/>
    <w:rsid w:val="002F5FB6"/>
    <w:rsid w:val="002F7990"/>
    <w:rsid w:val="003130FA"/>
    <w:rsid w:val="0031385C"/>
    <w:rsid w:val="00357397"/>
    <w:rsid w:val="003647B7"/>
    <w:rsid w:val="0037240B"/>
    <w:rsid w:val="0038700F"/>
    <w:rsid w:val="00397759"/>
    <w:rsid w:val="003C0D6F"/>
    <w:rsid w:val="003C34F7"/>
    <w:rsid w:val="003C58DE"/>
    <w:rsid w:val="00407171"/>
    <w:rsid w:val="004074BE"/>
    <w:rsid w:val="00410DC8"/>
    <w:rsid w:val="004310B7"/>
    <w:rsid w:val="00431274"/>
    <w:rsid w:val="00444032"/>
    <w:rsid w:val="0046574C"/>
    <w:rsid w:val="0047060A"/>
    <w:rsid w:val="00471248"/>
    <w:rsid w:val="004841C2"/>
    <w:rsid w:val="004862F9"/>
    <w:rsid w:val="0049525A"/>
    <w:rsid w:val="004A0B4F"/>
    <w:rsid w:val="004A0FAF"/>
    <w:rsid w:val="004A425F"/>
    <w:rsid w:val="004B474E"/>
    <w:rsid w:val="004D1479"/>
    <w:rsid w:val="004D2233"/>
    <w:rsid w:val="004D586E"/>
    <w:rsid w:val="004D6DDB"/>
    <w:rsid w:val="004E2C72"/>
    <w:rsid w:val="0050023B"/>
    <w:rsid w:val="0052006C"/>
    <w:rsid w:val="0052067C"/>
    <w:rsid w:val="00522C8C"/>
    <w:rsid w:val="00526052"/>
    <w:rsid w:val="0053115E"/>
    <w:rsid w:val="00532A99"/>
    <w:rsid w:val="00547E09"/>
    <w:rsid w:val="00562AF8"/>
    <w:rsid w:val="00564A6E"/>
    <w:rsid w:val="00585A58"/>
    <w:rsid w:val="005A4370"/>
    <w:rsid w:val="005E05D3"/>
    <w:rsid w:val="005E362E"/>
    <w:rsid w:val="00615C05"/>
    <w:rsid w:val="00617B74"/>
    <w:rsid w:val="0064398A"/>
    <w:rsid w:val="00646D42"/>
    <w:rsid w:val="006836EB"/>
    <w:rsid w:val="00685264"/>
    <w:rsid w:val="00697D77"/>
    <w:rsid w:val="006A4FAF"/>
    <w:rsid w:val="006A7E60"/>
    <w:rsid w:val="006C1938"/>
    <w:rsid w:val="006E35DF"/>
    <w:rsid w:val="006F51FB"/>
    <w:rsid w:val="007001D7"/>
    <w:rsid w:val="007119D5"/>
    <w:rsid w:val="00726649"/>
    <w:rsid w:val="00732EDC"/>
    <w:rsid w:val="00742C05"/>
    <w:rsid w:val="00755258"/>
    <w:rsid w:val="0076533B"/>
    <w:rsid w:val="00780DFB"/>
    <w:rsid w:val="00796C96"/>
    <w:rsid w:val="0079737A"/>
    <w:rsid w:val="007A1486"/>
    <w:rsid w:val="007A4F51"/>
    <w:rsid w:val="007B17B9"/>
    <w:rsid w:val="007C4580"/>
    <w:rsid w:val="007D2BDE"/>
    <w:rsid w:val="007D571B"/>
    <w:rsid w:val="00803419"/>
    <w:rsid w:val="00825328"/>
    <w:rsid w:val="00827252"/>
    <w:rsid w:val="00835B85"/>
    <w:rsid w:val="00843CD5"/>
    <w:rsid w:val="00867FC6"/>
    <w:rsid w:val="008736FB"/>
    <w:rsid w:val="00880FD6"/>
    <w:rsid w:val="00886EA0"/>
    <w:rsid w:val="008A207F"/>
    <w:rsid w:val="008B00B8"/>
    <w:rsid w:val="008C7CF2"/>
    <w:rsid w:val="008E63E7"/>
    <w:rsid w:val="009106FB"/>
    <w:rsid w:val="00912029"/>
    <w:rsid w:val="0092753A"/>
    <w:rsid w:val="00933BE6"/>
    <w:rsid w:val="00952D1A"/>
    <w:rsid w:val="00964541"/>
    <w:rsid w:val="00976287"/>
    <w:rsid w:val="00982E01"/>
    <w:rsid w:val="0099243D"/>
    <w:rsid w:val="00996D99"/>
    <w:rsid w:val="009A03F2"/>
    <w:rsid w:val="009B08F2"/>
    <w:rsid w:val="009B230D"/>
    <w:rsid w:val="009E4624"/>
    <w:rsid w:val="009E5938"/>
    <w:rsid w:val="009F2202"/>
    <w:rsid w:val="00A02A18"/>
    <w:rsid w:val="00A13179"/>
    <w:rsid w:val="00A166EC"/>
    <w:rsid w:val="00A177A9"/>
    <w:rsid w:val="00A2105E"/>
    <w:rsid w:val="00A27370"/>
    <w:rsid w:val="00A323BE"/>
    <w:rsid w:val="00A33A7E"/>
    <w:rsid w:val="00A36B51"/>
    <w:rsid w:val="00A43D4E"/>
    <w:rsid w:val="00A54DBB"/>
    <w:rsid w:val="00A70A41"/>
    <w:rsid w:val="00A858AE"/>
    <w:rsid w:val="00A93F76"/>
    <w:rsid w:val="00AA1A14"/>
    <w:rsid w:val="00AA779D"/>
    <w:rsid w:val="00AC741C"/>
    <w:rsid w:val="00AC7457"/>
    <w:rsid w:val="00AD270A"/>
    <w:rsid w:val="00AD59D3"/>
    <w:rsid w:val="00AD7CDA"/>
    <w:rsid w:val="00AE31CD"/>
    <w:rsid w:val="00B3210A"/>
    <w:rsid w:val="00B33C04"/>
    <w:rsid w:val="00B37E0E"/>
    <w:rsid w:val="00B42A43"/>
    <w:rsid w:val="00B60D7D"/>
    <w:rsid w:val="00B7197C"/>
    <w:rsid w:val="00B8620F"/>
    <w:rsid w:val="00B94B04"/>
    <w:rsid w:val="00B95BE6"/>
    <w:rsid w:val="00BB22C1"/>
    <w:rsid w:val="00BD58B3"/>
    <w:rsid w:val="00BE04C1"/>
    <w:rsid w:val="00BE5289"/>
    <w:rsid w:val="00BE5FF1"/>
    <w:rsid w:val="00C07432"/>
    <w:rsid w:val="00C12C4A"/>
    <w:rsid w:val="00C425AA"/>
    <w:rsid w:val="00C430DA"/>
    <w:rsid w:val="00C819AA"/>
    <w:rsid w:val="00C81ED5"/>
    <w:rsid w:val="00CC16BC"/>
    <w:rsid w:val="00CD020E"/>
    <w:rsid w:val="00CD1331"/>
    <w:rsid w:val="00CD2954"/>
    <w:rsid w:val="00CD632E"/>
    <w:rsid w:val="00CD68AC"/>
    <w:rsid w:val="00D02E0B"/>
    <w:rsid w:val="00D07A3F"/>
    <w:rsid w:val="00D24414"/>
    <w:rsid w:val="00D264A1"/>
    <w:rsid w:val="00D326C1"/>
    <w:rsid w:val="00D4079A"/>
    <w:rsid w:val="00D4247B"/>
    <w:rsid w:val="00D50266"/>
    <w:rsid w:val="00D64DFB"/>
    <w:rsid w:val="00D73765"/>
    <w:rsid w:val="00D950B4"/>
    <w:rsid w:val="00D97A43"/>
    <w:rsid w:val="00DA32CC"/>
    <w:rsid w:val="00DB4C5D"/>
    <w:rsid w:val="00DC61EE"/>
    <w:rsid w:val="00DD2F9F"/>
    <w:rsid w:val="00DD439F"/>
    <w:rsid w:val="00DF09F3"/>
    <w:rsid w:val="00DF6EA5"/>
    <w:rsid w:val="00E2069B"/>
    <w:rsid w:val="00E416D2"/>
    <w:rsid w:val="00E43AA9"/>
    <w:rsid w:val="00E47FFB"/>
    <w:rsid w:val="00E54E41"/>
    <w:rsid w:val="00E80D5A"/>
    <w:rsid w:val="00E84C39"/>
    <w:rsid w:val="00E91703"/>
    <w:rsid w:val="00EA09DF"/>
    <w:rsid w:val="00EA6711"/>
    <w:rsid w:val="00EA707B"/>
    <w:rsid w:val="00EB2517"/>
    <w:rsid w:val="00ED1C15"/>
    <w:rsid w:val="00ED212D"/>
    <w:rsid w:val="00ED7985"/>
    <w:rsid w:val="00EE4765"/>
    <w:rsid w:val="00EF1287"/>
    <w:rsid w:val="00EF4254"/>
    <w:rsid w:val="00EF5472"/>
    <w:rsid w:val="00F13D35"/>
    <w:rsid w:val="00F21456"/>
    <w:rsid w:val="00F23EB7"/>
    <w:rsid w:val="00F443A8"/>
    <w:rsid w:val="00F850AB"/>
    <w:rsid w:val="00F860B5"/>
    <w:rsid w:val="00FB285B"/>
    <w:rsid w:val="00FB2C25"/>
    <w:rsid w:val="00FC7E5B"/>
    <w:rsid w:val="00FF3AB4"/>
    <w:rsid w:val="00FF51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1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419"/>
    <w:pPr>
      <w:tabs>
        <w:tab w:val="center" w:pos="4153"/>
        <w:tab w:val="right" w:pos="8306"/>
      </w:tabs>
    </w:pPr>
  </w:style>
  <w:style w:type="character" w:customStyle="1" w:styleId="HeaderChar">
    <w:name w:val="Header Char"/>
    <w:basedOn w:val="DefaultParagraphFont"/>
    <w:link w:val="Header"/>
    <w:rsid w:val="00803419"/>
    <w:rPr>
      <w:rFonts w:ascii="Times New Roman" w:eastAsia="Times New Roman" w:hAnsi="Times New Roman" w:cs="Times New Roman"/>
      <w:sz w:val="24"/>
      <w:szCs w:val="24"/>
      <w:lang w:eastAsia="lv-LV"/>
    </w:rPr>
  </w:style>
  <w:style w:type="character" w:styleId="PageNumber">
    <w:name w:val="page number"/>
    <w:basedOn w:val="DefaultParagraphFont"/>
    <w:rsid w:val="00803419"/>
  </w:style>
  <w:style w:type="paragraph" w:customStyle="1" w:styleId="naislab">
    <w:name w:val="naislab"/>
    <w:basedOn w:val="Normal"/>
    <w:rsid w:val="00803419"/>
    <w:pPr>
      <w:spacing w:before="75" w:after="75"/>
      <w:jc w:val="right"/>
    </w:pPr>
  </w:style>
  <w:style w:type="paragraph" w:styleId="Footer">
    <w:name w:val="footer"/>
    <w:basedOn w:val="Normal"/>
    <w:link w:val="FooterChar"/>
    <w:uiPriority w:val="99"/>
    <w:rsid w:val="00803419"/>
    <w:pPr>
      <w:tabs>
        <w:tab w:val="center" w:pos="4153"/>
        <w:tab w:val="right" w:pos="8306"/>
      </w:tabs>
    </w:pPr>
  </w:style>
  <w:style w:type="character" w:customStyle="1" w:styleId="FooterChar">
    <w:name w:val="Footer Char"/>
    <w:basedOn w:val="DefaultParagraphFont"/>
    <w:link w:val="Footer"/>
    <w:uiPriority w:val="99"/>
    <w:rsid w:val="00803419"/>
    <w:rPr>
      <w:rFonts w:ascii="Times New Roman" w:eastAsia="Times New Roman" w:hAnsi="Times New Roman" w:cs="Times New Roman"/>
      <w:sz w:val="24"/>
      <w:szCs w:val="24"/>
      <w:lang w:eastAsia="lv-LV"/>
    </w:rPr>
  </w:style>
  <w:style w:type="character" w:styleId="Hyperlink">
    <w:name w:val="Hyperlink"/>
    <w:rsid w:val="00803419"/>
    <w:rPr>
      <w:color w:val="0000FF"/>
      <w:u w:val="single"/>
    </w:rPr>
  </w:style>
  <w:style w:type="paragraph" w:styleId="NoSpacing">
    <w:name w:val="No Spacing"/>
    <w:uiPriority w:val="1"/>
    <w:qFormat/>
    <w:rsid w:val="00803419"/>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803419"/>
    <w:pPr>
      <w:tabs>
        <w:tab w:val="left" w:pos="1260"/>
      </w:tabs>
      <w:jc w:val="both"/>
    </w:pPr>
    <w:rPr>
      <w:sz w:val="28"/>
      <w:lang w:eastAsia="en-US"/>
    </w:rPr>
  </w:style>
  <w:style w:type="character" w:customStyle="1" w:styleId="BodyTextChar">
    <w:name w:val="Body Text Char"/>
    <w:basedOn w:val="DefaultParagraphFont"/>
    <w:link w:val="BodyText"/>
    <w:rsid w:val="00803419"/>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2473B9"/>
    <w:rPr>
      <w:sz w:val="16"/>
      <w:szCs w:val="16"/>
    </w:rPr>
  </w:style>
  <w:style w:type="paragraph" w:styleId="CommentText">
    <w:name w:val="annotation text"/>
    <w:basedOn w:val="Normal"/>
    <w:link w:val="CommentTextChar"/>
    <w:uiPriority w:val="99"/>
    <w:semiHidden/>
    <w:unhideWhenUsed/>
    <w:rsid w:val="002473B9"/>
    <w:rPr>
      <w:sz w:val="20"/>
      <w:szCs w:val="20"/>
    </w:rPr>
  </w:style>
  <w:style w:type="character" w:customStyle="1" w:styleId="CommentTextChar">
    <w:name w:val="Comment Text Char"/>
    <w:basedOn w:val="DefaultParagraphFont"/>
    <w:link w:val="CommentText"/>
    <w:uiPriority w:val="99"/>
    <w:semiHidden/>
    <w:rsid w:val="002473B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473B9"/>
    <w:rPr>
      <w:b/>
      <w:bCs/>
    </w:rPr>
  </w:style>
  <w:style w:type="character" w:customStyle="1" w:styleId="CommentSubjectChar">
    <w:name w:val="Comment Subject Char"/>
    <w:basedOn w:val="CommentTextChar"/>
    <w:link w:val="CommentSubject"/>
    <w:uiPriority w:val="99"/>
    <w:semiHidden/>
    <w:rsid w:val="002473B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473B9"/>
    <w:rPr>
      <w:rFonts w:ascii="Tahoma" w:hAnsi="Tahoma" w:cs="Tahoma"/>
      <w:sz w:val="16"/>
      <w:szCs w:val="16"/>
    </w:rPr>
  </w:style>
  <w:style w:type="character" w:customStyle="1" w:styleId="BalloonTextChar">
    <w:name w:val="Balloon Text Char"/>
    <w:basedOn w:val="DefaultParagraphFont"/>
    <w:link w:val="BalloonText"/>
    <w:uiPriority w:val="99"/>
    <w:semiHidden/>
    <w:rsid w:val="002473B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1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419"/>
    <w:pPr>
      <w:tabs>
        <w:tab w:val="center" w:pos="4153"/>
        <w:tab w:val="right" w:pos="8306"/>
      </w:tabs>
    </w:pPr>
  </w:style>
  <w:style w:type="character" w:customStyle="1" w:styleId="HeaderChar">
    <w:name w:val="Header Char"/>
    <w:basedOn w:val="DefaultParagraphFont"/>
    <w:link w:val="Header"/>
    <w:rsid w:val="00803419"/>
    <w:rPr>
      <w:rFonts w:ascii="Times New Roman" w:eastAsia="Times New Roman" w:hAnsi="Times New Roman" w:cs="Times New Roman"/>
      <w:sz w:val="24"/>
      <w:szCs w:val="24"/>
      <w:lang w:eastAsia="lv-LV"/>
    </w:rPr>
  </w:style>
  <w:style w:type="character" w:styleId="PageNumber">
    <w:name w:val="page number"/>
    <w:basedOn w:val="DefaultParagraphFont"/>
    <w:rsid w:val="00803419"/>
  </w:style>
  <w:style w:type="paragraph" w:customStyle="1" w:styleId="naislab">
    <w:name w:val="naislab"/>
    <w:basedOn w:val="Normal"/>
    <w:rsid w:val="00803419"/>
    <w:pPr>
      <w:spacing w:before="75" w:after="75"/>
      <w:jc w:val="right"/>
    </w:pPr>
  </w:style>
  <w:style w:type="paragraph" w:styleId="Footer">
    <w:name w:val="footer"/>
    <w:basedOn w:val="Normal"/>
    <w:link w:val="FooterChar"/>
    <w:uiPriority w:val="99"/>
    <w:rsid w:val="00803419"/>
    <w:pPr>
      <w:tabs>
        <w:tab w:val="center" w:pos="4153"/>
        <w:tab w:val="right" w:pos="8306"/>
      </w:tabs>
    </w:pPr>
  </w:style>
  <w:style w:type="character" w:customStyle="1" w:styleId="FooterChar">
    <w:name w:val="Footer Char"/>
    <w:basedOn w:val="DefaultParagraphFont"/>
    <w:link w:val="Footer"/>
    <w:uiPriority w:val="99"/>
    <w:rsid w:val="00803419"/>
    <w:rPr>
      <w:rFonts w:ascii="Times New Roman" w:eastAsia="Times New Roman" w:hAnsi="Times New Roman" w:cs="Times New Roman"/>
      <w:sz w:val="24"/>
      <w:szCs w:val="24"/>
      <w:lang w:eastAsia="lv-LV"/>
    </w:rPr>
  </w:style>
  <w:style w:type="character" w:styleId="Hyperlink">
    <w:name w:val="Hyperlink"/>
    <w:rsid w:val="00803419"/>
    <w:rPr>
      <w:color w:val="0000FF"/>
      <w:u w:val="single"/>
    </w:rPr>
  </w:style>
  <w:style w:type="paragraph" w:styleId="NoSpacing">
    <w:name w:val="No Spacing"/>
    <w:uiPriority w:val="1"/>
    <w:qFormat/>
    <w:rsid w:val="00803419"/>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803419"/>
    <w:pPr>
      <w:tabs>
        <w:tab w:val="left" w:pos="1260"/>
      </w:tabs>
      <w:jc w:val="both"/>
    </w:pPr>
    <w:rPr>
      <w:sz w:val="28"/>
      <w:lang w:eastAsia="en-US"/>
    </w:rPr>
  </w:style>
  <w:style w:type="character" w:customStyle="1" w:styleId="BodyTextChar">
    <w:name w:val="Body Text Char"/>
    <w:basedOn w:val="DefaultParagraphFont"/>
    <w:link w:val="BodyText"/>
    <w:rsid w:val="00803419"/>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2473B9"/>
    <w:rPr>
      <w:sz w:val="16"/>
      <w:szCs w:val="16"/>
    </w:rPr>
  </w:style>
  <w:style w:type="paragraph" w:styleId="CommentText">
    <w:name w:val="annotation text"/>
    <w:basedOn w:val="Normal"/>
    <w:link w:val="CommentTextChar"/>
    <w:uiPriority w:val="99"/>
    <w:semiHidden/>
    <w:unhideWhenUsed/>
    <w:rsid w:val="002473B9"/>
    <w:rPr>
      <w:sz w:val="20"/>
      <w:szCs w:val="20"/>
    </w:rPr>
  </w:style>
  <w:style w:type="character" w:customStyle="1" w:styleId="CommentTextChar">
    <w:name w:val="Comment Text Char"/>
    <w:basedOn w:val="DefaultParagraphFont"/>
    <w:link w:val="CommentText"/>
    <w:uiPriority w:val="99"/>
    <w:semiHidden/>
    <w:rsid w:val="002473B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473B9"/>
    <w:rPr>
      <w:b/>
      <w:bCs/>
    </w:rPr>
  </w:style>
  <w:style w:type="character" w:customStyle="1" w:styleId="CommentSubjectChar">
    <w:name w:val="Comment Subject Char"/>
    <w:basedOn w:val="CommentTextChar"/>
    <w:link w:val="CommentSubject"/>
    <w:uiPriority w:val="99"/>
    <w:semiHidden/>
    <w:rsid w:val="002473B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473B9"/>
    <w:rPr>
      <w:rFonts w:ascii="Tahoma" w:hAnsi="Tahoma" w:cs="Tahoma"/>
      <w:sz w:val="16"/>
      <w:szCs w:val="16"/>
    </w:rPr>
  </w:style>
  <w:style w:type="character" w:customStyle="1" w:styleId="BalloonTextChar">
    <w:name w:val="Balloon Text Char"/>
    <w:basedOn w:val="DefaultParagraphFont"/>
    <w:link w:val="BalloonText"/>
    <w:uiPriority w:val="99"/>
    <w:semiHidden/>
    <w:rsid w:val="002473B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ne.pommere@mfa.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5059</Words>
  <Characters>2884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Pommere</dc:creator>
  <cp:lastModifiedBy>Zane Pommere</cp:lastModifiedBy>
  <cp:revision>3</cp:revision>
  <cp:lastPrinted>2016-02-22T08:32:00Z</cp:lastPrinted>
  <dcterms:created xsi:type="dcterms:W3CDTF">2016-02-19T08:55:00Z</dcterms:created>
  <dcterms:modified xsi:type="dcterms:W3CDTF">2016-02-22T08:44:00Z</dcterms:modified>
</cp:coreProperties>
</file>