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1F662" w14:textId="77777777" w:rsidR="0089380C" w:rsidRPr="004024C2" w:rsidRDefault="0038787E" w:rsidP="008667DC">
      <w:pPr>
        <w:contextualSpacing/>
        <w:jc w:val="center"/>
        <w:outlineLvl w:val="0"/>
        <w:rPr>
          <w:b/>
          <w:bCs/>
        </w:rPr>
      </w:pPr>
      <w:bookmarkStart w:id="0" w:name="OLE_LINK1"/>
      <w:bookmarkStart w:id="1" w:name="OLE_LINK2"/>
      <w:bookmarkStart w:id="2" w:name="OLE_LINK10"/>
      <w:bookmarkStart w:id="3" w:name="OLE_LINK11"/>
      <w:r w:rsidRPr="004024C2">
        <w:rPr>
          <w:b/>
          <w:color w:val="000000"/>
        </w:rPr>
        <w:t>Ministru kabineta noteikumu projekta</w:t>
      </w:r>
      <w:r w:rsidR="00AC1F53" w:rsidRPr="004024C2">
        <w:rPr>
          <w:b/>
          <w:color w:val="000000"/>
        </w:rPr>
        <w:t xml:space="preserve"> </w:t>
      </w:r>
      <w:bookmarkEnd w:id="0"/>
      <w:bookmarkEnd w:id="1"/>
      <w:r w:rsidR="006D428C">
        <w:rPr>
          <w:b/>
          <w:bCs/>
        </w:rPr>
        <w:t>“</w:t>
      </w:r>
      <w:r w:rsidR="001230E4">
        <w:rPr>
          <w:b/>
          <w:bCs/>
        </w:rPr>
        <w:t xml:space="preserve">Grozījumi </w:t>
      </w:r>
      <w:r w:rsidR="0006752C">
        <w:rPr>
          <w:b/>
          <w:bCs/>
        </w:rPr>
        <w:t>Ministru kabineta</w:t>
      </w:r>
      <w:r w:rsidR="001230E4" w:rsidRPr="001230E4">
        <w:rPr>
          <w:b/>
          <w:bCs/>
        </w:rPr>
        <w:t>2015. gada 14. jūlija noteikumos Nr.395 “Kārtība, kādā energoietilpīgi apstrādes rūpniecības uzņēmumi iegūst tiesības uz samazinātu līdzdalību obligātā iepirkuma komponentes maksājumam”</w:t>
      </w:r>
      <w:r w:rsidR="0065682C" w:rsidRPr="004024C2">
        <w:rPr>
          <w:b/>
          <w:bCs/>
        </w:rPr>
        <w:t>”</w:t>
      </w:r>
      <w:r w:rsidR="006450D6" w:rsidRPr="004024C2">
        <w:rPr>
          <w:b/>
          <w:bCs/>
        </w:rPr>
        <w:t xml:space="preserve"> </w:t>
      </w:r>
      <w:r w:rsidR="0089380C" w:rsidRPr="004024C2">
        <w:rPr>
          <w:b/>
          <w:bCs/>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1C1A2E" w:rsidRPr="00A92F58" w14:paraId="5D4C2931" w14:textId="77777777" w:rsidTr="00AC1F53">
        <w:tc>
          <w:tcPr>
            <w:tcW w:w="9444" w:type="dxa"/>
            <w:gridSpan w:val="3"/>
            <w:vAlign w:val="center"/>
          </w:tcPr>
          <w:bookmarkEnd w:id="2"/>
          <w:bookmarkEnd w:id="3"/>
          <w:p w14:paraId="03C5FB73" w14:textId="77777777" w:rsidR="001C1A2E" w:rsidRPr="00EA2AA3" w:rsidRDefault="001C1A2E" w:rsidP="008667DC">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14:paraId="33FFFCA3" w14:textId="77777777" w:rsidTr="00F821C4">
        <w:trPr>
          <w:trHeight w:val="1966"/>
        </w:trPr>
        <w:tc>
          <w:tcPr>
            <w:tcW w:w="269" w:type="dxa"/>
          </w:tcPr>
          <w:p w14:paraId="4DD52267"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1.</w:t>
            </w:r>
          </w:p>
        </w:tc>
        <w:tc>
          <w:tcPr>
            <w:tcW w:w="3138" w:type="dxa"/>
          </w:tcPr>
          <w:p w14:paraId="0495AEF3" w14:textId="77777777" w:rsidR="001C1A2E" w:rsidRPr="00A92F58" w:rsidRDefault="001C1A2E" w:rsidP="008667DC">
            <w:pPr>
              <w:pStyle w:val="naiskr"/>
              <w:spacing w:before="0" w:beforeAutospacing="0" w:after="0" w:afterAutospacing="0"/>
              <w:ind w:hanging="10"/>
              <w:rPr>
                <w:color w:val="000000" w:themeColor="text1"/>
              </w:rPr>
            </w:pPr>
            <w:r w:rsidRPr="00A92F58">
              <w:rPr>
                <w:color w:val="000000" w:themeColor="text1"/>
              </w:rPr>
              <w:t>Pamatojums</w:t>
            </w:r>
          </w:p>
        </w:tc>
        <w:tc>
          <w:tcPr>
            <w:tcW w:w="6037" w:type="dxa"/>
          </w:tcPr>
          <w:p w14:paraId="2106C4F9" w14:textId="77777777" w:rsidR="00DE0352" w:rsidRDefault="004024C2" w:rsidP="00FD0956">
            <w:pPr>
              <w:pStyle w:val="Heading1"/>
              <w:spacing w:before="0" w:beforeAutospacing="0" w:after="0" w:afterAutospacing="0"/>
              <w:jc w:val="both"/>
              <w:rPr>
                <w:b w:val="0"/>
                <w:sz w:val="24"/>
                <w:szCs w:val="24"/>
              </w:rPr>
            </w:pPr>
            <w:r w:rsidRPr="00AD5B51">
              <w:rPr>
                <w:b w:val="0"/>
                <w:sz w:val="24"/>
                <w:szCs w:val="24"/>
              </w:rPr>
              <w:t>Ministru kabineta noteikumu projekt</w:t>
            </w:r>
            <w:r w:rsidR="007C1F2A" w:rsidRPr="00AD5B51">
              <w:rPr>
                <w:b w:val="0"/>
                <w:sz w:val="24"/>
                <w:szCs w:val="24"/>
              </w:rPr>
              <w:t>s</w:t>
            </w:r>
            <w:r w:rsidR="00DA7FFA">
              <w:rPr>
                <w:b w:val="0"/>
                <w:sz w:val="24"/>
                <w:szCs w:val="24"/>
              </w:rPr>
              <w:t xml:space="preserve"> </w:t>
            </w:r>
            <w:r w:rsidR="00957B65" w:rsidRPr="00957B65">
              <w:rPr>
                <w:b w:val="0"/>
                <w:sz w:val="24"/>
                <w:szCs w:val="24"/>
              </w:rPr>
              <w:t xml:space="preserve">“Grozījumi </w:t>
            </w:r>
            <w:r w:rsidR="0006752C">
              <w:rPr>
                <w:b w:val="0"/>
                <w:sz w:val="24"/>
                <w:szCs w:val="24"/>
              </w:rPr>
              <w:t xml:space="preserve">Ministru kabineta </w:t>
            </w:r>
            <w:r w:rsidR="001230E4" w:rsidRPr="001230E4">
              <w:rPr>
                <w:b w:val="0"/>
                <w:sz w:val="24"/>
                <w:szCs w:val="24"/>
              </w:rPr>
              <w:t>2015. gada 14. jūlija noteikumos Nr.395 “Kārtība, kādā energoietilpīgi apstrādes rūpniecības uzņēmumi iegūst tiesības uz samazinātu līdzdalību obligātā iepirkuma komponentes maksājumam”</w:t>
            </w:r>
            <w:r w:rsidR="00957B65" w:rsidRPr="00957B65">
              <w:rPr>
                <w:b w:val="0"/>
                <w:sz w:val="24"/>
                <w:szCs w:val="24"/>
              </w:rPr>
              <w:t>”</w:t>
            </w:r>
            <w:r w:rsidRPr="00AD5B51">
              <w:rPr>
                <w:b w:val="0"/>
                <w:sz w:val="24"/>
                <w:szCs w:val="24"/>
              </w:rPr>
              <w:t xml:space="preserve"> (turpmāk - noteikumu projekts) </w:t>
            </w:r>
            <w:r w:rsidR="00DC5C95" w:rsidRPr="00AD5B51">
              <w:rPr>
                <w:b w:val="0"/>
                <w:sz w:val="24"/>
                <w:szCs w:val="24"/>
              </w:rPr>
              <w:t xml:space="preserve">sagatavots, </w:t>
            </w:r>
            <w:r w:rsidR="008F7F1F">
              <w:rPr>
                <w:b w:val="0"/>
                <w:sz w:val="24"/>
                <w:szCs w:val="24"/>
              </w:rPr>
              <w:t xml:space="preserve">lai </w:t>
            </w:r>
            <w:r w:rsidR="00C737AE">
              <w:rPr>
                <w:b w:val="0"/>
                <w:sz w:val="24"/>
                <w:szCs w:val="24"/>
              </w:rPr>
              <w:t xml:space="preserve">novērstu </w:t>
            </w:r>
            <w:r w:rsidR="000C5ACC" w:rsidRPr="00C737AE">
              <w:rPr>
                <w:b w:val="0"/>
                <w:sz w:val="24"/>
                <w:szCs w:val="24"/>
              </w:rPr>
              <w:t xml:space="preserve">valsts atbalsta </w:t>
            </w:r>
            <w:r w:rsidR="000C5ACC">
              <w:rPr>
                <w:b w:val="0"/>
                <w:sz w:val="24"/>
                <w:szCs w:val="24"/>
              </w:rPr>
              <w:t xml:space="preserve">lietas </w:t>
            </w:r>
            <w:r w:rsidR="000C5ACC" w:rsidRPr="000C5ACC">
              <w:rPr>
                <w:b w:val="0"/>
                <w:sz w:val="24"/>
                <w:szCs w:val="24"/>
              </w:rPr>
              <w:t xml:space="preserve">SA.42854 (2015/N) </w:t>
            </w:r>
            <w:r w:rsidR="000C5ACC">
              <w:rPr>
                <w:b w:val="0"/>
                <w:sz w:val="24"/>
                <w:szCs w:val="24"/>
              </w:rPr>
              <w:t xml:space="preserve">– </w:t>
            </w:r>
            <w:r w:rsidR="000C5ACC" w:rsidRPr="000C5ACC">
              <w:rPr>
                <w:b w:val="0"/>
                <w:i/>
                <w:sz w:val="24"/>
                <w:szCs w:val="24"/>
              </w:rPr>
              <w:t>Atbalst</w:t>
            </w:r>
            <w:r w:rsidR="000C5ACC">
              <w:rPr>
                <w:b w:val="0"/>
                <w:i/>
                <w:sz w:val="24"/>
                <w:szCs w:val="24"/>
              </w:rPr>
              <w:t>s</w:t>
            </w:r>
            <w:r w:rsidR="000C5ACC" w:rsidRPr="000C5ACC">
              <w:rPr>
                <w:b w:val="0"/>
                <w:i/>
                <w:sz w:val="24"/>
                <w:szCs w:val="24"/>
              </w:rPr>
              <w:t xml:space="preserve"> </w:t>
            </w:r>
            <w:proofErr w:type="spellStart"/>
            <w:r w:rsidR="000C5ACC" w:rsidRPr="000C5ACC">
              <w:rPr>
                <w:b w:val="0"/>
                <w:i/>
                <w:sz w:val="24"/>
                <w:szCs w:val="24"/>
              </w:rPr>
              <w:t>energointensīvajiem</w:t>
            </w:r>
            <w:proofErr w:type="spellEnd"/>
            <w:r w:rsidR="000C5ACC" w:rsidRPr="000C5ACC">
              <w:rPr>
                <w:b w:val="0"/>
                <w:i/>
                <w:sz w:val="24"/>
                <w:szCs w:val="24"/>
              </w:rPr>
              <w:t xml:space="preserve"> komersantiem</w:t>
            </w:r>
            <w:r w:rsidR="000C5ACC" w:rsidRPr="000C5ACC">
              <w:rPr>
                <w:b w:val="0"/>
                <w:sz w:val="24"/>
                <w:szCs w:val="24"/>
              </w:rPr>
              <w:t xml:space="preserve"> </w:t>
            </w:r>
            <w:r w:rsidR="000C5ACC">
              <w:rPr>
                <w:b w:val="0"/>
                <w:sz w:val="24"/>
                <w:szCs w:val="24"/>
              </w:rPr>
              <w:t xml:space="preserve"> saskaņošanas ar Eiropas Komisiju (turpmāk –</w:t>
            </w:r>
            <w:r w:rsidR="005A447E">
              <w:rPr>
                <w:b w:val="0"/>
                <w:sz w:val="24"/>
                <w:szCs w:val="24"/>
              </w:rPr>
              <w:t xml:space="preserve"> </w:t>
            </w:r>
            <w:r w:rsidR="000C5ACC">
              <w:rPr>
                <w:b w:val="0"/>
                <w:sz w:val="24"/>
                <w:szCs w:val="24"/>
              </w:rPr>
              <w:t xml:space="preserve">EK) </w:t>
            </w:r>
            <w:r w:rsidR="000C5ACC" w:rsidRPr="00C737AE">
              <w:rPr>
                <w:b w:val="0"/>
                <w:sz w:val="24"/>
                <w:szCs w:val="24"/>
              </w:rPr>
              <w:t>ietvaros</w:t>
            </w:r>
            <w:r w:rsidR="000C5ACC">
              <w:rPr>
                <w:b w:val="0"/>
                <w:sz w:val="24"/>
                <w:szCs w:val="24"/>
              </w:rPr>
              <w:t xml:space="preserve"> </w:t>
            </w:r>
            <w:r w:rsidR="00C737AE">
              <w:rPr>
                <w:b w:val="0"/>
                <w:sz w:val="24"/>
                <w:szCs w:val="24"/>
              </w:rPr>
              <w:t>konstatētās neatbilstības</w:t>
            </w:r>
            <w:r w:rsidR="000C5ACC" w:rsidRPr="000C5ACC">
              <w:rPr>
                <w:b w:val="0"/>
                <w:bCs w:val="0"/>
                <w:color w:val="000000" w:themeColor="text1"/>
                <w:kern w:val="0"/>
                <w:sz w:val="24"/>
                <w:szCs w:val="24"/>
              </w:rPr>
              <w:t xml:space="preserve"> </w:t>
            </w:r>
            <w:r w:rsidR="000C5ACC">
              <w:rPr>
                <w:b w:val="0"/>
                <w:sz w:val="24"/>
                <w:szCs w:val="24"/>
              </w:rPr>
              <w:t>EK</w:t>
            </w:r>
            <w:r w:rsidR="005A447E">
              <w:rPr>
                <w:b w:val="0"/>
                <w:sz w:val="24"/>
                <w:szCs w:val="24"/>
              </w:rPr>
              <w:t xml:space="preserve"> </w:t>
            </w:r>
            <w:r w:rsidR="000C5ACC" w:rsidRPr="000C5ACC">
              <w:rPr>
                <w:b w:val="0"/>
                <w:sz w:val="24"/>
                <w:szCs w:val="24"/>
              </w:rPr>
              <w:t xml:space="preserve"> Pamatnostādnēs par valsts atbalstu vides aizsardzībai un enerģētikai 2014.-2020. gadam (ES OV C/200, 28.06.2014)</w:t>
            </w:r>
            <w:r w:rsidR="000C5ACC" w:rsidRPr="000C5ACC">
              <w:rPr>
                <w:b w:val="0"/>
                <w:sz w:val="24"/>
                <w:szCs w:val="24"/>
                <w:vertAlign w:val="superscript"/>
              </w:rPr>
              <w:footnoteReference w:id="1"/>
            </w:r>
            <w:r w:rsidR="000C5ACC" w:rsidRPr="000C5ACC">
              <w:rPr>
                <w:b w:val="0"/>
                <w:sz w:val="24"/>
                <w:szCs w:val="24"/>
              </w:rPr>
              <w:t xml:space="preserve"> (turpmāk - Pamatnostādnes) ietvert</w:t>
            </w:r>
            <w:r w:rsidR="000C5ACC">
              <w:rPr>
                <w:b w:val="0"/>
                <w:sz w:val="24"/>
                <w:szCs w:val="24"/>
              </w:rPr>
              <w:t>aj</w:t>
            </w:r>
            <w:r w:rsidR="000C5ACC" w:rsidRPr="000C5ACC">
              <w:rPr>
                <w:b w:val="0"/>
                <w:sz w:val="24"/>
                <w:szCs w:val="24"/>
              </w:rPr>
              <w:t>ie</w:t>
            </w:r>
            <w:r w:rsidR="000C5ACC">
              <w:rPr>
                <w:b w:val="0"/>
                <w:sz w:val="24"/>
                <w:szCs w:val="24"/>
              </w:rPr>
              <w:t>m</w:t>
            </w:r>
            <w:r w:rsidR="000C5ACC" w:rsidRPr="000C5ACC">
              <w:rPr>
                <w:b w:val="0"/>
                <w:sz w:val="24"/>
                <w:szCs w:val="24"/>
              </w:rPr>
              <w:t xml:space="preserve"> kritēriji</w:t>
            </w:r>
            <w:r w:rsidR="000C5ACC">
              <w:rPr>
                <w:b w:val="0"/>
                <w:sz w:val="24"/>
                <w:szCs w:val="24"/>
              </w:rPr>
              <w:t>em un prasībām</w:t>
            </w:r>
            <w:r w:rsidR="00C737AE" w:rsidRPr="00C737AE">
              <w:rPr>
                <w:b w:val="0"/>
                <w:sz w:val="24"/>
                <w:szCs w:val="24"/>
              </w:rPr>
              <w:t>.</w:t>
            </w:r>
          </w:p>
          <w:p w14:paraId="7D655878" w14:textId="77777777" w:rsidR="00F618A0" w:rsidRPr="00F618A0" w:rsidRDefault="00F618A0" w:rsidP="00FD0956">
            <w:pPr>
              <w:pStyle w:val="Heading1"/>
              <w:spacing w:before="0" w:beforeAutospacing="0" w:after="0" w:afterAutospacing="0"/>
              <w:jc w:val="both"/>
              <w:rPr>
                <w:bCs w:val="0"/>
                <w:sz w:val="24"/>
              </w:rPr>
            </w:pPr>
          </w:p>
        </w:tc>
      </w:tr>
      <w:tr w:rsidR="001C1A2E" w:rsidRPr="00A92F58" w14:paraId="09C245B0" w14:textId="77777777" w:rsidTr="003C574F">
        <w:trPr>
          <w:trHeight w:val="984"/>
        </w:trPr>
        <w:tc>
          <w:tcPr>
            <w:tcW w:w="269" w:type="dxa"/>
          </w:tcPr>
          <w:p w14:paraId="7E8BDB98"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2.</w:t>
            </w:r>
          </w:p>
        </w:tc>
        <w:tc>
          <w:tcPr>
            <w:tcW w:w="3138" w:type="dxa"/>
          </w:tcPr>
          <w:p w14:paraId="56744303" w14:textId="77777777" w:rsidR="001C1A2E" w:rsidRPr="00A92F58" w:rsidRDefault="001C1A2E" w:rsidP="008667DC">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037" w:type="dxa"/>
          </w:tcPr>
          <w:p w14:paraId="453BC067" w14:textId="3E1533C4" w:rsidR="005A447E" w:rsidRDefault="005D51D5" w:rsidP="005D51D5">
            <w:pPr>
              <w:jc w:val="both"/>
            </w:pPr>
            <w:r w:rsidRPr="005D51D5">
              <w:t>Pamatojoties uz Ministru kabineta 201</w:t>
            </w:r>
            <w:r w:rsidR="005A447E">
              <w:t>5</w:t>
            </w:r>
            <w:r w:rsidRPr="005D51D5">
              <w:t>.gada 1</w:t>
            </w:r>
            <w:r w:rsidR="005A447E">
              <w:t>4</w:t>
            </w:r>
            <w:r w:rsidRPr="005D51D5">
              <w:t>.</w:t>
            </w:r>
            <w:r w:rsidR="005A447E">
              <w:t>jūlija</w:t>
            </w:r>
            <w:r w:rsidRPr="005D51D5">
              <w:t xml:space="preserve"> sēdes protokola Nr.</w:t>
            </w:r>
            <w:r w:rsidR="005A447E">
              <w:t>3</w:t>
            </w:r>
            <w:r w:rsidRPr="005D51D5">
              <w:t xml:space="preserve">4 </w:t>
            </w:r>
            <w:r w:rsidR="005A447E">
              <w:t>35</w:t>
            </w:r>
            <w:r w:rsidRPr="005D51D5">
              <w:t xml:space="preserve">.§ </w:t>
            </w:r>
            <w:r w:rsidR="005A447E">
              <w:t>4</w:t>
            </w:r>
            <w:r w:rsidRPr="005D51D5">
              <w:t xml:space="preserve">.punktu, tika sagatavots un uzsākts paziņojuma process ar Eiropas Komisiju valsts atbalsta lietas </w:t>
            </w:r>
            <w:r w:rsidR="005A447E" w:rsidRPr="000C5ACC">
              <w:t xml:space="preserve"> SA.42854 (2015/N) </w:t>
            </w:r>
            <w:r w:rsidR="005A447E" w:rsidRPr="00B32BF0">
              <w:t xml:space="preserve">– </w:t>
            </w:r>
            <w:r w:rsidR="005A447E" w:rsidRPr="00815E4F">
              <w:rPr>
                <w:i/>
              </w:rPr>
              <w:t xml:space="preserve">Atbalsts </w:t>
            </w:r>
            <w:proofErr w:type="spellStart"/>
            <w:r w:rsidR="005A447E" w:rsidRPr="00815E4F">
              <w:rPr>
                <w:i/>
              </w:rPr>
              <w:t>energointensīvajiem</w:t>
            </w:r>
            <w:proofErr w:type="spellEnd"/>
            <w:r w:rsidR="005A447E" w:rsidRPr="00815E4F">
              <w:rPr>
                <w:i/>
              </w:rPr>
              <w:t xml:space="preserve"> komersantiem</w:t>
            </w:r>
            <w:r w:rsidRPr="005D51D5">
              <w:t xml:space="preserve"> ietvaros.</w:t>
            </w:r>
            <w:r>
              <w:t xml:space="preserve"> </w:t>
            </w:r>
            <w:r w:rsidR="005A447E">
              <w:t>Eiropas Komisija ar</w:t>
            </w:r>
            <w:r w:rsidR="005A447E" w:rsidRPr="005D51D5">
              <w:t xml:space="preserve"> </w:t>
            </w:r>
            <w:r>
              <w:t>2015. gada</w:t>
            </w:r>
            <w:r w:rsidRPr="005D51D5">
              <w:t xml:space="preserve"> </w:t>
            </w:r>
            <w:r w:rsidR="005A447E">
              <w:t xml:space="preserve">22. decembra vēstuli </w:t>
            </w:r>
            <w:r w:rsidRPr="005D51D5">
              <w:t>informē</w:t>
            </w:r>
            <w:r w:rsidR="005A447E">
              <w:t>ja</w:t>
            </w:r>
            <w:r w:rsidRPr="005D51D5">
              <w:t>, ka attiecīgās lietas pamatotam izvērtējumam ir nepieciešama papildu informācija un skaidrojumi</w:t>
            </w:r>
            <w:r>
              <w:t>,</w:t>
            </w:r>
            <w:r w:rsidR="005A447E">
              <w:t xml:space="preserve"> tostarp lūdzot izvērtēt konkurences kropļošanas riskus starp vienas nozares uzņēmumiem, kuru gada patēriņš ir 10 </w:t>
            </w:r>
            <w:proofErr w:type="spellStart"/>
            <w:r w:rsidR="005A447E">
              <w:t>GWh</w:t>
            </w:r>
            <w:proofErr w:type="spellEnd"/>
            <w:r w:rsidR="005A447E">
              <w:t xml:space="preserve"> un mazāk</w:t>
            </w:r>
            <w:r w:rsidR="0006752C">
              <w:t xml:space="preserve"> (pašreizējā normatīvā akta redakcija atbalsta saņemšanai nosaka minimālo patēriņa robežu 10 </w:t>
            </w:r>
            <w:proofErr w:type="spellStart"/>
            <w:r w:rsidR="0006752C">
              <w:t>GWh</w:t>
            </w:r>
            <w:proofErr w:type="spellEnd"/>
            <w:r w:rsidR="0006752C">
              <w:t>)</w:t>
            </w:r>
            <w:r w:rsidR="005A447E">
              <w:t>, un nepieciešamības gadījumā tos novērst</w:t>
            </w:r>
            <w:r w:rsidRPr="005D51D5">
              <w:t xml:space="preserve">. </w:t>
            </w:r>
          </w:p>
          <w:p w14:paraId="205101FE" w14:textId="77777777" w:rsidR="00924507" w:rsidRDefault="00924507" w:rsidP="005D51D5">
            <w:pPr>
              <w:jc w:val="both"/>
            </w:pPr>
            <w:r>
              <w:t>Lai novērstu konstatētos riskus</w:t>
            </w:r>
            <w:r w:rsidR="00FD0956">
              <w:t>,</w:t>
            </w:r>
            <w:r>
              <w:t xml:space="preserve"> noteikumu projekts paredz:</w:t>
            </w:r>
          </w:p>
          <w:p w14:paraId="5EC62731" w14:textId="77777777" w:rsidR="00924507" w:rsidRDefault="00924507" w:rsidP="00414592">
            <w:pPr>
              <w:pStyle w:val="ListParagraph"/>
              <w:numPr>
                <w:ilvl w:val="0"/>
                <w:numId w:val="5"/>
              </w:numPr>
              <w:spacing w:before="120" w:after="0"/>
              <w:ind w:left="714" w:hanging="357"/>
              <w:jc w:val="both"/>
              <w:rPr>
                <w:sz w:val="24"/>
                <w:szCs w:val="24"/>
              </w:rPr>
            </w:pPr>
            <w:r w:rsidRPr="00B32BF0">
              <w:rPr>
                <w:sz w:val="24"/>
                <w:szCs w:val="24"/>
              </w:rPr>
              <w:t xml:space="preserve">Pazemināt </w:t>
            </w:r>
            <w:r w:rsidR="00B32BF0" w:rsidRPr="00B32BF0">
              <w:rPr>
                <w:sz w:val="24"/>
                <w:szCs w:val="24"/>
              </w:rPr>
              <w:t>elektroenerģijas patēriņ</w:t>
            </w:r>
            <w:r w:rsidR="00B32BF0">
              <w:rPr>
                <w:sz w:val="24"/>
                <w:szCs w:val="24"/>
              </w:rPr>
              <w:t>a slieksni</w:t>
            </w:r>
            <w:r w:rsidR="00B32BF0" w:rsidRPr="00B32BF0">
              <w:rPr>
                <w:sz w:val="24"/>
                <w:szCs w:val="24"/>
              </w:rPr>
              <w:t xml:space="preserve"> komersanta vajadzībām vienā pieslēguma vietā</w:t>
            </w:r>
            <w:r w:rsidR="00B32BF0">
              <w:rPr>
                <w:sz w:val="24"/>
                <w:szCs w:val="24"/>
              </w:rPr>
              <w:t xml:space="preserve"> no 10 </w:t>
            </w:r>
            <w:proofErr w:type="spellStart"/>
            <w:r w:rsidR="00B32BF0">
              <w:rPr>
                <w:sz w:val="24"/>
                <w:szCs w:val="24"/>
              </w:rPr>
              <w:t>GWh</w:t>
            </w:r>
            <w:proofErr w:type="spellEnd"/>
            <w:r w:rsidR="00B32BF0">
              <w:rPr>
                <w:sz w:val="24"/>
                <w:szCs w:val="24"/>
              </w:rPr>
              <w:t xml:space="preserve"> līdz 0,5 </w:t>
            </w:r>
            <w:proofErr w:type="spellStart"/>
            <w:r w:rsidR="00B32BF0">
              <w:rPr>
                <w:sz w:val="24"/>
                <w:szCs w:val="24"/>
              </w:rPr>
              <w:t>GWh</w:t>
            </w:r>
            <w:proofErr w:type="spellEnd"/>
            <w:r w:rsidR="00B32BF0">
              <w:rPr>
                <w:sz w:val="24"/>
                <w:szCs w:val="24"/>
              </w:rPr>
              <w:t>.</w:t>
            </w:r>
          </w:p>
          <w:p w14:paraId="7521FC64" w14:textId="77777777" w:rsidR="00AE7851" w:rsidRDefault="00B32BF0" w:rsidP="00AE7851">
            <w:pPr>
              <w:spacing w:before="120" w:after="120"/>
              <w:jc w:val="both"/>
            </w:pPr>
            <w:r>
              <w:t xml:space="preserve">0,5 </w:t>
            </w:r>
            <w:proofErr w:type="spellStart"/>
            <w:r>
              <w:t>GWh</w:t>
            </w:r>
            <w:proofErr w:type="spellEnd"/>
            <w:r w:rsidR="0047435E">
              <w:t xml:space="preserve"> patēriņa slieksnis</w:t>
            </w:r>
            <w:r>
              <w:t xml:space="preserve"> izvēlēts tāpēc, ka pie šāda patēriņa normatīvie akti paredz komersantiem nepieciešamību nodrošināt </w:t>
            </w:r>
            <w:r w:rsidRPr="00B32BF0">
              <w:t>atbilstību st</w:t>
            </w:r>
            <w:r>
              <w:t>andartam LVS EN ISO 50001:2012 “</w:t>
            </w:r>
            <w:proofErr w:type="spellStart"/>
            <w:r w:rsidRPr="00B32BF0">
              <w:t>Energopārvaldības</w:t>
            </w:r>
            <w:proofErr w:type="spellEnd"/>
            <w:r w:rsidRPr="00B32BF0">
              <w:t xml:space="preserve"> sistēmas. Prasības un lietošanas norādījumi (ISO 50001:2011)</w:t>
            </w:r>
            <w:r>
              <w:t xml:space="preserve">” (turpmāk – </w:t>
            </w:r>
            <w:proofErr w:type="spellStart"/>
            <w:r>
              <w:t>energopārvaldības</w:t>
            </w:r>
            <w:proofErr w:type="spellEnd"/>
            <w:r>
              <w:t xml:space="preserve"> standarts)</w:t>
            </w:r>
            <w:r w:rsidRPr="00B32BF0">
              <w:t>.</w:t>
            </w:r>
            <w:r>
              <w:t xml:space="preserve"> Savukārt, ja patēriņš ir mazāks par 0,5 </w:t>
            </w:r>
            <w:proofErr w:type="spellStart"/>
            <w:r>
              <w:t>GWh</w:t>
            </w:r>
            <w:proofErr w:type="spellEnd"/>
            <w:r>
              <w:t xml:space="preserve">, </w:t>
            </w:r>
            <w:proofErr w:type="spellStart"/>
            <w:r>
              <w:t>energopārvaldības</w:t>
            </w:r>
            <w:proofErr w:type="spellEnd"/>
            <w:r>
              <w:t xml:space="preserve"> standarts ir jāievieš kā papildu prasība, bet tā ieviešanas un uzturēšanas izmaksas</w:t>
            </w:r>
            <w:r w:rsidR="008305FA">
              <w:t xml:space="preserve">, kā arī zvērināta </w:t>
            </w:r>
            <w:r w:rsidR="008305FA" w:rsidRPr="008305FA">
              <w:t>revidenta pakalpojum</w:t>
            </w:r>
            <w:r w:rsidR="008305FA">
              <w:t>u izmaksa</w:t>
            </w:r>
            <w:r w:rsidR="008305FA" w:rsidRPr="008305FA">
              <w:t xml:space="preserve">s </w:t>
            </w:r>
            <w:r>
              <w:t xml:space="preserve"> būs vienlīdzīgas ar iespējamo saņemtā atbalsta apmēru.</w:t>
            </w:r>
            <w:r w:rsidR="008305FA">
              <w:t xml:space="preserve"> </w:t>
            </w:r>
          </w:p>
          <w:p w14:paraId="4E1D1A4A" w14:textId="7E69D527" w:rsidR="00AE7851" w:rsidRDefault="00743F34" w:rsidP="00AE7851">
            <w:pPr>
              <w:spacing w:before="120" w:after="120"/>
              <w:jc w:val="both"/>
            </w:pPr>
            <w:r>
              <w:lastRenderedPageBreak/>
              <w:t>Papildus, nen</w:t>
            </w:r>
            <w:r w:rsidR="00AE7851">
              <w:t xml:space="preserve">osakot </w:t>
            </w:r>
            <w:r>
              <w:t xml:space="preserve">minimālo </w:t>
            </w:r>
            <w:r w:rsidR="00AE7851">
              <w:t>elektroenerģijas patēriņa slieksni, ievērojami paplašinātos atbalsta pretendentu loks</w:t>
            </w:r>
            <w:r>
              <w:t xml:space="preserve"> (par aptuveni 100 uzņēmumiem), līdz ar to atbalsta administrēšanai būtu nepieciešams izveidot 3 papildu štata vietas ar kopējām izmaksām 65 000 </w:t>
            </w:r>
            <w:r w:rsidRPr="00743F34">
              <w:rPr>
                <w:i/>
              </w:rPr>
              <w:t>euro</w:t>
            </w:r>
            <w:r>
              <w:t xml:space="preserve"> gadā (650 </w:t>
            </w:r>
            <w:r w:rsidRPr="00743F34">
              <w:rPr>
                <w:i/>
              </w:rPr>
              <w:t>euro</w:t>
            </w:r>
            <w:r>
              <w:t xml:space="preserve"> uz vienu atbalstīto uzņēmumu gadā)</w:t>
            </w:r>
            <w:r w:rsidR="008F392F">
              <w:t>.</w:t>
            </w:r>
          </w:p>
          <w:tbl>
            <w:tblPr>
              <w:tblStyle w:val="TableGrid"/>
              <w:tblW w:w="5798" w:type="dxa"/>
              <w:tblLayout w:type="fixed"/>
              <w:tblLook w:val="04A0" w:firstRow="1" w:lastRow="0" w:firstColumn="1" w:lastColumn="0" w:noHBand="0" w:noVBand="1"/>
            </w:tblPr>
            <w:tblGrid>
              <w:gridCol w:w="1403"/>
              <w:gridCol w:w="850"/>
              <w:gridCol w:w="709"/>
              <w:gridCol w:w="709"/>
              <w:gridCol w:w="709"/>
              <w:gridCol w:w="709"/>
              <w:gridCol w:w="709"/>
            </w:tblGrid>
            <w:tr w:rsidR="008305FA" w14:paraId="31F59DD9" w14:textId="77777777" w:rsidTr="00743F34">
              <w:tc>
                <w:tcPr>
                  <w:tcW w:w="1403" w:type="dxa"/>
                </w:tcPr>
                <w:p w14:paraId="468A1F96" w14:textId="77777777" w:rsidR="00815E4F" w:rsidRPr="008305FA" w:rsidRDefault="00815E4F" w:rsidP="003405DA">
                  <w:pPr>
                    <w:framePr w:hSpace="180" w:wrap="around" w:vAnchor="text" w:hAnchor="margin" w:xAlign="center" w:y="149"/>
                    <w:spacing w:before="120" w:after="120"/>
                    <w:jc w:val="both"/>
                    <w:rPr>
                      <w:sz w:val="14"/>
                      <w:szCs w:val="18"/>
                    </w:rPr>
                  </w:pPr>
                </w:p>
              </w:tc>
              <w:tc>
                <w:tcPr>
                  <w:tcW w:w="850" w:type="dxa"/>
                  <w:vAlign w:val="bottom"/>
                </w:tcPr>
                <w:p w14:paraId="3BEA9682" w14:textId="51D02A49"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2016</w:t>
                  </w:r>
                </w:p>
              </w:tc>
              <w:tc>
                <w:tcPr>
                  <w:tcW w:w="709" w:type="dxa"/>
                  <w:vAlign w:val="bottom"/>
                </w:tcPr>
                <w:p w14:paraId="319CCAF9" w14:textId="39F3076A"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2017</w:t>
                  </w:r>
                </w:p>
              </w:tc>
              <w:tc>
                <w:tcPr>
                  <w:tcW w:w="709" w:type="dxa"/>
                  <w:vAlign w:val="bottom"/>
                </w:tcPr>
                <w:p w14:paraId="672392D0" w14:textId="3B703FA1"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2018</w:t>
                  </w:r>
                </w:p>
              </w:tc>
              <w:tc>
                <w:tcPr>
                  <w:tcW w:w="709" w:type="dxa"/>
                  <w:vAlign w:val="bottom"/>
                </w:tcPr>
                <w:p w14:paraId="5AC42607" w14:textId="5C45E053"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2019</w:t>
                  </w:r>
                </w:p>
              </w:tc>
              <w:tc>
                <w:tcPr>
                  <w:tcW w:w="709" w:type="dxa"/>
                  <w:vAlign w:val="bottom"/>
                </w:tcPr>
                <w:p w14:paraId="31F3CD09" w14:textId="7FBBAC03"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2020</w:t>
                  </w:r>
                </w:p>
              </w:tc>
              <w:tc>
                <w:tcPr>
                  <w:tcW w:w="709" w:type="dxa"/>
                  <w:vAlign w:val="bottom"/>
                </w:tcPr>
                <w:p w14:paraId="710D9AB9" w14:textId="5DC2E374" w:rsidR="00815E4F" w:rsidRPr="008305FA" w:rsidRDefault="00815E4F" w:rsidP="003405DA">
                  <w:pPr>
                    <w:framePr w:hSpace="180" w:wrap="around" w:vAnchor="text" w:hAnchor="margin" w:xAlign="center" w:y="149"/>
                    <w:spacing w:before="120" w:after="120"/>
                    <w:jc w:val="center"/>
                    <w:rPr>
                      <w:b/>
                      <w:sz w:val="14"/>
                      <w:szCs w:val="18"/>
                    </w:rPr>
                  </w:pPr>
                  <w:r w:rsidRPr="008305FA">
                    <w:rPr>
                      <w:b/>
                      <w:color w:val="000000"/>
                      <w:sz w:val="14"/>
                      <w:szCs w:val="18"/>
                    </w:rPr>
                    <w:t>2021</w:t>
                  </w:r>
                </w:p>
              </w:tc>
            </w:tr>
            <w:tr w:rsidR="008305FA" w14:paraId="4D1E09F9" w14:textId="77777777" w:rsidTr="00743F34">
              <w:trPr>
                <w:trHeight w:val="540"/>
              </w:trPr>
              <w:tc>
                <w:tcPr>
                  <w:tcW w:w="1403" w:type="dxa"/>
                  <w:vAlign w:val="bottom"/>
                </w:tcPr>
                <w:p w14:paraId="36B56460" w14:textId="3B8F865E" w:rsidR="00815E4F" w:rsidRPr="008305FA" w:rsidRDefault="008305FA" w:rsidP="003405DA">
                  <w:pPr>
                    <w:framePr w:hSpace="180" w:wrap="around" w:vAnchor="text" w:hAnchor="margin" w:xAlign="center" w:y="149"/>
                    <w:spacing w:before="120" w:after="120"/>
                    <w:jc w:val="both"/>
                    <w:rPr>
                      <w:sz w:val="14"/>
                      <w:szCs w:val="18"/>
                    </w:rPr>
                  </w:pPr>
                  <w:r w:rsidRPr="008305FA">
                    <w:rPr>
                      <w:color w:val="000000"/>
                      <w:sz w:val="14"/>
                      <w:szCs w:val="18"/>
                    </w:rPr>
                    <w:t>Atbalsts</w:t>
                  </w:r>
                  <w:r w:rsidR="00743F34">
                    <w:rPr>
                      <w:color w:val="000000"/>
                      <w:sz w:val="14"/>
                      <w:szCs w:val="18"/>
                    </w:rPr>
                    <w:t xml:space="preserve"> uzņēmumam</w:t>
                  </w:r>
                  <w:r w:rsidRPr="008305FA">
                    <w:rPr>
                      <w:color w:val="000000"/>
                      <w:sz w:val="14"/>
                      <w:szCs w:val="18"/>
                    </w:rPr>
                    <w:t xml:space="preserve">, </w:t>
                  </w:r>
                  <w:r w:rsidRPr="008305FA">
                    <w:rPr>
                      <w:i/>
                      <w:color w:val="000000"/>
                      <w:sz w:val="14"/>
                      <w:szCs w:val="18"/>
                    </w:rPr>
                    <w:t>euro</w:t>
                  </w:r>
                </w:p>
              </w:tc>
              <w:tc>
                <w:tcPr>
                  <w:tcW w:w="850" w:type="dxa"/>
                  <w:vAlign w:val="center"/>
                </w:tcPr>
                <w:p w14:paraId="67D888D8" w14:textId="02756FBC" w:rsidR="00815E4F" w:rsidRPr="008305FA" w:rsidRDefault="00815E4F" w:rsidP="003405DA">
                  <w:pPr>
                    <w:framePr w:hSpace="180" w:wrap="around" w:vAnchor="text" w:hAnchor="margin" w:xAlign="center" w:y="149"/>
                    <w:spacing w:before="120" w:after="120"/>
                    <w:jc w:val="center"/>
                    <w:rPr>
                      <w:sz w:val="14"/>
                      <w:szCs w:val="18"/>
                    </w:rPr>
                  </w:pPr>
                </w:p>
              </w:tc>
              <w:tc>
                <w:tcPr>
                  <w:tcW w:w="709" w:type="dxa"/>
                  <w:vAlign w:val="center"/>
                </w:tcPr>
                <w:p w14:paraId="7906BBBA" w14:textId="35FEC0FC"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5788,5</w:t>
                  </w:r>
                  <w:r w:rsidR="008305FA" w:rsidRPr="008305FA">
                    <w:rPr>
                      <w:color w:val="000000"/>
                      <w:sz w:val="14"/>
                      <w:szCs w:val="18"/>
                    </w:rPr>
                    <w:t>0</w:t>
                  </w:r>
                </w:p>
              </w:tc>
              <w:tc>
                <w:tcPr>
                  <w:tcW w:w="709" w:type="dxa"/>
                  <w:vAlign w:val="center"/>
                </w:tcPr>
                <w:p w14:paraId="125CD90A" w14:textId="093E63C2"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5788,5</w:t>
                  </w:r>
                  <w:r w:rsidR="008305FA" w:rsidRPr="008305FA">
                    <w:rPr>
                      <w:color w:val="000000"/>
                      <w:sz w:val="14"/>
                      <w:szCs w:val="18"/>
                    </w:rPr>
                    <w:t>0</w:t>
                  </w:r>
                </w:p>
              </w:tc>
              <w:tc>
                <w:tcPr>
                  <w:tcW w:w="709" w:type="dxa"/>
                  <w:vAlign w:val="center"/>
                </w:tcPr>
                <w:p w14:paraId="0EFF21E3" w14:textId="3985C5A5"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5788,5</w:t>
                  </w:r>
                  <w:r w:rsidR="008305FA" w:rsidRPr="008305FA">
                    <w:rPr>
                      <w:color w:val="000000"/>
                      <w:sz w:val="14"/>
                      <w:szCs w:val="18"/>
                    </w:rPr>
                    <w:t>0</w:t>
                  </w:r>
                </w:p>
              </w:tc>
              <w:tc>
                <w:tcPr>
                  <w:tcW w:w="709" w:type="dxa"/>
                  <w:vAlign w:val="center"/>
                </w:tcPr>
                <w:p w14:paraId="6CC3BF5A" w14:textId="5BFC1F4F"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5788,5</w:t>
                  </w:r>
                  <w:r w:rsidR="008305FA" w:rsidRPr="008305FA">
                    <w:rPr>
                      <w:color w:val="000000"/>
                      <w:sz w:val="14"/>
                      <w:szCs w:val="18"/>
                    </w:rPr>
                    <w:t>0</w:t>
                  </w:r>
                </w:p>
              </w:tc>
              <w:tc>
                <w:tcPr>
                  <w:tcW w:w="709" w:type="dxa"/>
                  <w:vAlign w:val="center"/>
                </w:tcPr>
                <w:p w14:paraId="2C90E13F" w14:textId="724A07C4"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5788,5</w:t>
                  </w:r>
                  <w:r w:rsidR="008305FA" w:rsidRPr="008305FA">
                    <w:rPr>
                      <w:color w:val="000000"/>
                      <w:sz w:val="14"/>
                      <w:szCs w:val="18"/>
                    </w:rPr>
                    <w:t>0</w:t>
                  </w:r>
                </w:p>
              </w:tc>
            </w:tr>
            <w:tr w:rsidR="008305FA" w14:paraId="54FF7E56" w14:textId="77777777" w:rsidTr="00743F34">
              <w:tc>
                <w:tcPr>
                  <w:tcW w:w="1403" w:type="dxa"/>
                  <w:vAlign w:val="bottom"/>
                </w:tcPr>
                <w:p w14:paraId="1471785E" w14:textId="5B3242F2" w:rsidR="00815E4F" w:rsidRPr="008305FA" w:rsidRDefault="008305FA" w:rsidP="003405DA">
                  <w:pPr>
                    <w:framePr w:hSpace="180" w:wrap="around" w:vAnchor="text" w:hAnchor="margin" w:xAlign="center" w:y="149"/>
                    <w:spacing w:before="120" w:after="120"/>
                    <w:jc w:val="both"/>
                    <w:rPr>
                      <w:sz w:val="14"/>
                      <w:szCs w:val="18"/>
                    </w:rPr>
                  </w:pPr>
                  <w:proofErr w:type="spellStart"/>
                  <w:r w:rsidRPr="008305FA">
                    <w:rPr>
                      <w:color w:val="000000"/>
                      <w:sz w:val="14"/>
                      <w:szCs w:val="18"/>
                    </w:rPr>
                    <w:t>Energopārvaldības</w:t>
                  </w:r>
                  <w:proofErr w:type="spellEnd"/>
                  <w:r w:rsidRPr="008305FA">
                    <w:rPr>
                      <w:color w:val="000000"/>
                      <w:sz w:val="14"/>
                      <w:szCs w:val="18"/>
                    </w:rPr>
                    <w:t xml:space="preserve"> standarta </w:t>
                  </w:r>
                  <w:r w:rsidR="00815E4F" w:rsidRPr="008305FA">
                    <w:rPr>
                      <w:color w:val="000000"/>
                      <w:sz w:val="14"/>
                      <w:szCs w:val="18"/>
                    </w:rPr>
                    <w:t>izmaksas gadā</w:t>
                  </w:r>
                  <w:r w:rsidRPr="008305FA">
                    <w:rPr>
                      <w:color w:val="000000"/>
                      <w:sz w:val="14"/>
                      <w:szCs w:val="18"/>
                    </w:rPr>
                    <w:t xml:space="preserve">, </w:t>
                  </w:r>
                  <w:r w:rsidRPr="008305FA">
                    <w:rPr>
                      <w:i/>
                      <w:color w:val="000000"/>
                      <w:sz w:val="14"/>
                      <w:szCs w:val="18"/>
                    </w:rPr>
                    <w:t xml:space="preserve"> euro</w:t>
                  </w:r>
                </w:p>
              </w:tc>
              <w:tc>
                <w:tcPr>
                  <w:tcW w:w="850" w:type="dxa"/>
                  <w:vAlign w:val="center"/>
                </w:tcPr>
                <w:p w14:paraId="602358A2" w14:textId="52FD8455"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-2800</w:t>
                  </w:r>
                </w:p>
              </w:tc>
              <w:tc>
                <w:tcPr>
                  <w:tcW w:w="709" w:type="dxa"/>
                  <w:vAlign w:val="center"/>
                </w:tcPr>
                <w:p w14:paraId="470C1851" w14:textId="62CA9BF3"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-700</w:t>
                  </w:r>
                </w:p>
              </w:tc>
              <w:tc>
                <w:tcPr>
                  <w:tcW w:w="709" w:type="dxa"/>
                  <w:vAlign w:val="center"/>
                </w:tcPr>
                <w:p w14:paraId="360DB09F" w14:textId="11CDA8C6"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-700</w:t>
                  </w:r>
                </w:p>
              </w:tc>
              <w:tc>
                <w:tcPr>
                  <w:tcW w:w="709" w:type="dxa"/>
                  <w:vAlign w:val="center"/>
                </w:tcPr>
                <w:p w14:paraId="463D8B65" w14:textId="19D07233"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-2800</w:t>
                  </w:r>
                </w:p>
              </w:tc>
              <w:tc>
                <w:tcPr>
                  <w:tcW w:w="709" w:type="dxa"/>
                  <w:vAlign w:val="center"/>
                </w:tcPr>
                <w:p w14:paraId="42196E0B" w14:textId="6CB9BFD4"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-700</w:t>
                  </w:r>
                </w:p>
              </w:tc>
              <w:tc>
                <w:tcPr>
                  <w:tcW w:w="709" w:type="dxa"/>
                  <w:vAlign w:val="center"/>
                </w:tcPr>
                <w:p w14:paraId="649F795B" w14:textId="2D0115C9"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-700</w:t>
                  </w:r>
                </w:p>
              </w:tc>
            </w:tr>
            <w:tr w:rsidR="008305FA" w14:paraId="29FE7884" w14:textId="77777777" w:rsidTr="00743F34">
              <w:tc>
                <w:tcPr>
                  <w:tcW w:w="1403" w:type="dxa"/>
                  <w:vAlign w:val="bottom"/>
                </w:tcPr>
                <w:p w14:paraId="689E80C2" w14:textId="07A17131" w:rsidR="00815E4F" w:rsidRPr="008305FA" w:rsidRDefault="00815E4F" w:rsidP="003405DA">
                  <w:pPr>
                    <w:framePr w:hSpace="180" w:wrap="around" w:vAnchor="text" w:hAnchor="margin" w:xAlign="center" w:y="149"/>
                    <w:spacing w:before="120" w:after="120"/>
                    <w:jc w:val="both"/>
                    <w:rPr>
                      <w:sz w:val="14"/>
                      <w:szCs w:val="18"/>
                    </w:rPr>
                  </w:pPr>
                  <w:r w:rsidRPr="008305FA">
                    <w:rPr>
                      <w:color w:val="000000"/>
                      <w:sz w:val="14"/>
                      <w:szCs w:val="18"/>
                    </w:rPr>
                    <w:t>Zv</w:t>
                  </w:r>
                  <w:r w:rsidR="008305FA" w:rsidRPr="008305FA">
                    <w:rPr>
                      <w:color w:val="000000"/>
                      <w:sz w:val="14"/>
                      <w:szCs w:val="18"/>
                    </w:rPr>
                    <w:t xml:space="preserve">ērināta </w:t>
                  </w:r>
                  <w:r w:rsidRPr="008305FA">
                    <w:rPr>
                      <w:color w:val="000000"/>
                      <w:sz w:val="14"/>
                      <w:szCs w:val="18"/>
                    </w:rPr>
                    <w:t>revidenta pakalpojum</w:t>
                  </w:r>
                  <w:r w:rsidR="008305FA" w:rsidRPr="008305FA">
                    <w:rPr>
                      <w:color w:val="000000"/>
                      <w:sz w:val="14"/>
                      <w:szCs w:val="18"/>
                    </w:rPr>
                    <w:t>a</w:t>
                  </w:r>
                  <w:r w:rsidRPr="008305FA">
                    <w:rPr>
                      <w:color w:val="000000"/>
                      <w:sz w:val="14"/>
                      <w:szCs w:val="18"/>
                    </w:rPr>
                    <w:t xml:space="preserve"> </w:t>
                  </w:r>
                  <w:r w:rsidR="008305FA" w:rsidRPr="008305FA">
                    <w:rPr>
                      <w:color w:val="000000"/>
                      <w:sz w:val="14"/>
                      <w:szCs w:val="18"/>
                    </w:rPr>
                    <w:t>(</w:t>
                  </w:r>
                  <w:r w:rsidRPr="008305FA">
                    <w:rPr>
                      <w:color w:val="000000"/>
                      <w:sz w:val="14"/>
                      <w:szCs w:val="18"/>
                    </w:rPr>
                    <w:t>sagatavot un apliecināt aprēķinu</w:t>
                  </w:r>
                  <w:r w:rsidR="008305FA" w:rsidRPr="008305FA">
                    <w:rPr>
                      <w:color w:val="000000"/>
                      <w:sz w:val="14"/>
                      <w:szCs w:val="18"/>
                    </w:rPr>
                    <w:t xml:space="preserve">) izmaksas, </w:t>
                  </w:r>
                  <w:r w:rsidR="008305FA" w:rsidRPr="008305FA">
                    <w:rPr>
                      <w:i/>
                      <w:color w:val="000000"/>
                      <w:sz w:val="14"/>
                      <w:szCs w:val="18"/>
                    </w:rPr>
                    <w:t>euro</w:t>
                  </w:r>
                </w:p>
              </w:tc>
              <w:tc>
                <w:tcPr>
                  <w:tcW w:w="850" w:type="dxa"/>
                  <w:vAlign w:val="center"/>
                </w:tcPr>
                <w:p w14:paraId="23BE7250" w14:textId="4D0E36C5"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w:t>
                  </w:r>
                </w:p>
              </w:tc>
              <w:tc>
                <w:tcPr>
                  <w:tcW w:w="709" w:type="dxa"/>
                  <w:vAlign w:val="center"/>
                </w:tcPr>
                <w:p w14:paraId="5C3426C0" w14:textId="288F979D"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-4000</w:t>
                  </w:r>
                </w:p>
              </w:tc>
              <w:tc>
                <w:tcPr>
                  <w:tcW w:w="709" w:type="dxa"/>
                  <w:vAlign w:val="center"/>
                </w:tcPr>
                <w:p w14:paraId="57BF7CB9" w14:textId="27B81CB5"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-4000</w:t>
                  </w:r>
                </w:p>
              </w:tc>
              <w:tc>
                <w:tcPr>
                  <w:tcW w:w="709" w:type="dxa"/>
                  <w:vAlign w:val="center"/>
                </w:tcPr>
                <w:p w14:paraId="6820B167" w14:textId="5D3207D8"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-4000</w:t>
                  </w:r>
                </w:p>
              </w:tc>
              <w:tc>
                <w:tcPr>
                  <w:tcW w:w="709" w:type="dxa"/>
                  <w:vAlign w:val="center"/>
                </w:tcPr>
                <w:p w14:paraId="4942A159" w14:textId="6363DD3B"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-4000</w:t>
                  </w:r>
                </w:p>
              </w:tc>
              <w:tc>
                <w:tcPr>
                  <w:tcW w:w="709" w:type="dxa"/>
                  <w:vAlign w:val="center"/>
                </w:tcPr>
                <w:p w14:paraId="1C34A083" w14:textId="092B12A1" w:rsidR="00815E4F" w:rsidRPr="008305FA" w:rsidRDefault="00815E4F" w:rsidP="003405DA">
                  <w:pPr>
                    <w:framePr w:hSpace="180" w:wrap="around" w:vAnchor="text" w:hAnchor="margin" w:xAlign="center" w:y="149"/>
                    <w:spacing w:before="120" w:after="120"/>
                    <w:jc w:val="center"/>
                    <w:rPr>
                      <w:sz w:val="14"/>
                      <w:szCs w:val="18"/>
                    </w:rPr>
                  </w:pPr>
                  <w:r w:rsidRPr="008305FA">
                    <w:rPr>
                      <w:color w:val="000000"/>
                      <w:sz w:val="14"/>
                      <w:szCs w:val="18"/>
                    </w:rPr>
                    <w:t>-4000</w:t>
                  </w:r>
                </w:p>
              </w:tc>
            </w:tr>
            <w:tr w:rsidR="008305FA" w14:paraId="2C731251" w14:textId="77777777" w:rsidTr="00743F34">
              <w:tc>
                <w:tcPr>
                  <w:tcW w:w="1403" w:type="dxa"/>
                </w:tcPr>
                <w:p w14:paraId="226218E7" w14:textId="0DBCC765" w:rsidR="008305FA" w:rsidRPr="008305FA" w:rsidRDefault="008305FA" w:rsidP="003405DA">
                  <w:pPr>
                    <w:framePr w:hSpace="180" w:wrap="around" w:vAnchor="text" w:hAnchor="margin" w:xAlign="center" w:y="149"/>
                    <w:spacing w:before="120" w:after="120"/>
                    <w:jc w:val="both"/>
                    <w:rPr>
                      <w:sz w:val="14"/>
                      <w:szCs w:val="18"/>
                    </w:rPr>
                  </w:pPr>
                  <w:r w:rsidRPr="008305FA">
                    <w:rPr>
                      <w:sz w:val="14"/>
                      <w:szCs w:val="18"/>
                    </w:rPr>
                    <w:t>Kopā</w:t>
                  </w:r>
                  <w:r w:rsidR="00743F34">
                    <w:rPr>
                      <w:sz w:val="14"/>
                      <w:szCs w:val="18"/>
                    </w:rPr>
                    <w:t xml:space="preserve"> uzņēmumam</w:t>
                  </w:r>
                  <w:r>
                    <w:rPr>
                      <w:sz w:val="14"/>
                      <w:szCs w:val="18"/>
                    </w:rPr>
                    <w:t xml:space="preserve">, </w:t>
                  </w:r>
                  <w:r w:rsidRPr="008305FA">
                    <w:rPr>
                      <w:i/>
                      <w:sz w:val="14"/>
                      <w:szCs w:val="18"/>
                    </w:rPr>
                    <w:t>euro</w:t>
                  </w:r>
                </w:p>
              </w:tc>
              <w:tc>
                <w:tcPr>
                  <w:tcW w:w="850" w:type="dxa"/>
                  <w:vAlign w:val="center"/>
                </w:tcPr>
                <w:p w14:paraId="28620B32" w14:textId="48291014"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-2800</w:t>
                  </w:r>
                </w:p>
              </w:tc>
              <w:tc>
                <w:tcPr>
                  <w:tcW w:w="709" w:type="dxa"/>
                  <w:vAlign w:val="center"/>
                </w:tcPr>
                <w:p w14:paraId="54543642" w14:textId="6A5ABC82"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1088,50</w:t>
                  </w:r>
                </w:p>
              </w:tc>
              <w:tc>
                <w:tcPr>
                  <w:tcW w:w="709" w:type="dxa"/>
                  <w:vAlign w:val="center"/>
                </w:tcPr>
                <w:p w14:paraId="3DB26B8D" w14:textId="46FDBBA1"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1088,50</w:t>
                  </w:r>
                </w:p>
              </w:tc>
              <w:tc>
                <w:tcPr>
                  <w:tcW w:w="709" w:type="dxa"/>
                  <w:vAlign w:val="center"/>
                </w:tcPr>
                <w:p w14:paraId="00D4D772" w14:textId="76CD8715"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1088,50</w:t>
                  </w:r>
                </w:p>
              </w:tc>
              <w:tc>
                <w:tcPr>
                  <w:tcW w:w="709" w:type="dxa"/>
                  <w:vAlign w:val="center"/>
                </w:tcPr>
                <w:p w14:paraId="0059CE04" w14:textId="20158D46"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1088,50</w:t>
                  </w:r>
                </w:p>
              </w:tc>
              <w:tc>
                <w:tcPr>
                  <w:tcW w:w="709" w:type="dxa"/>
                  <w:vAlign w:val="center"/>
                </w:tcPr>
                <w:p w14:paraId="10411944" w14:textId="66289029"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1088,50</w:t>
                  </w:r>
                </w:p>
              </w:tc>
            </w:tr>
            <w:tr w:rsidR="008305FA" w14:paraId="1551BD3F" w14:textId="77777777" w:rsidTr="00743F34">
              <w:trPr>
                <w:gridAfter w:val="5"/>
                <w:wAfter w:w="3545" w:type="dxa"/>
              </w:trPr>
              <w:tc>
                <w:tcPr>
                  <w:tcW w:w="1403" w:type="dxa"/>
                </w:tcPr>
                <w:p w14:paraId="55927BE0" w14:textId="59C451EE" w:rsidR="008305FA" w:rsidRPr="008305FA" w:rsidRDefault="008305FA" w:rsidP="003405DA">
                  <w:pPr>
                    <w:framePr w:hSpace="180" w:wrap="around" w:vAnchor="text" w:hAnchor="margin" w:xAlign="center" w:y="149"/>
                    <w:spacing w:before="120" w:after="120"/>
                    <w:jc w:val="both"/>
                    <w:rPr>
                      <w:sz w:val="14"/>
                      <w:szCs w:val="18"/>
                    </w:rPr>
                  </w:pPr>
                  <w:r>
                    <w:rPr>
                      <w:sz w:val="14"/>
                      <w:szCs w:val="18"/>
                    </w:rPr>
                    <w:t>NPV (diskontē</w:t>
                  </w:r>
                  <w:r w:rsidR="00AE7851">
                    <w:rPr>
                      <w:sz w:val="14"/>
                      <w:szCs w:val="18"/>
                    </w:rPr>
                    <w:t xml:space="preserve">šanas koeficients – </w:t>
                  </w:r>
                  <w:r>
                    <w:rPr>
                      <w:sz w:val="14"/>
                      <w:szCs w:val="18"/>
                    </w:rPr>
                    <w:t xml:space="preserve">5 %), </w:t>
                  </w:r>
                  <w:r w:rsidRPr="008305FA">
                    <w:rPr>
                      <w:i/>
                      <w:sz w:val="14"/>
                      <w:szCs w:val="18"/>
                    </w:rPr>
                    <w:t>euro</w:t>
                  </w:r>
                </w:p>
              </w:tc>
              <w:tc>
                <w:tcPr>
                  <w:tcW w:w="850" w:type="dxa"/>
                  <w:vAlign w:val="center"/>
                </w:tcPr>
                <w:p w14:paraId="6FA72108" w14:textId="69465D2D" w:rsidR="008305FA" w:rsidRPr="008305FA" w:rsidRDefault="008305FA" w:rsidP="003405DA">
                  <w:pPr>
                    <w:framePr w:hSpace="180" w:wrap="around" w:vAnchor="text" w:hAnchor="margin" w:xAlign="center" w:y="149"/>
                    <w:spacing w:before="120" w:after="120"/>
                    <w:jc w:val="center"/>
                    <w:rPr>
                      <w:sz w:val="14"/>
                      <w:szCs w:val="18"/>
                    </w:rPr>
                  </w:pPr>
                  <w:r w:rsidRPr="008305FA">
                    <w:rPr>
                      <w:sz w:val="14"/>
                      <w:szCs w:val="18"/>
                    </w:rPr>
                    <w:t>93,88</w:t>
                  </w:r>
                </w:p>
              </w:tc>
            </w:tr>
            <w:tr w:rsidR="00743F34" w14:paraId="0C576B01" w14:textId="2E511DD1" w:rsidTr="00743F34">
              <w:tc>
                <w:tcPr>
                  <w:tcW w:w="1403" w:type="dxa"/>
                  <w:vAlign w:val="bottom"/>
                </w:tcPr>
                <w:p w14:paraId="5CDC9B92" w14:textId="2E5A5050" w:rsidR="00743F34" w:rsidRDefault="00743F34" w:rsidP="003405DA">
                  <w:pPr>
                    <w:framePr w:hSpace="180" w:wrap="around" w:vAnchor="text" w:hAnchor="margin" w:xAlign="center" w:y="149"/>
                    <w:spacing w:before="120" w:after="120"/>
                    <w:jc w:val="both"/>
                    <w:rPr>
                      <w:sz w:val="14"/>
                      <w:szCs w:val="18"/>
                    </w:rPr>
                  </w:pPr>
                  <w:r>
                    <w:rPr>
                      <w:color w:val="000000"/>
                      <w:sz w:val="14"/>
                      <w:szCs w:val="18"/>
                    </w:rPr>
                    <w:t xml:space="preserve">Ekonomikas ministrijas papildu administratīvās izmaksas uz vienu atbalstāmo uzņēmumu, </w:t>
                  </w:r>
                  <w:r w:rsidRPr="00743F34">
                    <w:rPr>
                      <w:i/>
                      <w:color w:val="000000"/>
                      <w:sz w:val="14"/>
                      <w:szCs w:val="18"/>
                    </w:rPr>
                    <w:t>euro</w:t>
                  </w:r>
                </w:p>
              </w:tc>
              <w:tc>
                <w:tcPr>
                  <w:tcW w:w="850" w:type="dxa"/>
                  <w:vAlign w:val="center"/>
                </w:tcPr>
                <w:p w14:paraId="16491280" w14:textId="61B53C64" w:rsidR="00743F34" w:rsidRPr="008305FA" w:rsidRDefault="00743F34" w:rsidP="003405DA">
                  <w:pPr>
                    <w:framePr w:hSpace="180" w:wrap="around" w:vAnchor="text" w:hAnchor="margin" w:xAlign="center" w:y="149"/>
                    <w:spacing w:before="120" w:after="120"/>
                    <w:jc w:val="center"/>
                    <w:rPr>
                      <w:sz w:val="14"/>
                      <w:szCs w:val="18"/>
                    </w:rPr>
                  </w:pPr>
                  <w:r w:rsidRPr="008305FA">
                    <w:rPr>
                      <w:color w:val="000000"/>
                      <w:sz w:val="14"/>
                      <w:szCs w:val="18"/>
                    </w:rPr>
                    <w:t>-</w:t>
                  </w:r>
                  <w:r>
                    <w:rPr>
                      <w:color w:val="000000"/>
                      <w:sz w:val="14"/>
                      <w:szCs w:val="18"/>
                    </w:rPr>
                    <w:t xml:space="preserve"> 650</w:t>
                  </w:r>
                </w:p>
              </w:tc>
              <w:tc>
                <w:tcPr>
                  <w:tcW w:w="709" w:type="dxa"/>
                  <w:vAlign w:val="center"/>
                </w:tcPr>
                <w:p w14:paraId="78F1B177" w14:textId="63BFCBDB" w:rsidR="00743F34" w:rsidRDefault="00743F34" w:rsidP="003405DA">
                  <w:pPr>
                    <w:framePr w:hSpace="180" w:wrap="around" w:vAnchor="text" w:hAnchor="margin" w:xAlign="center" w:y="149"/>
                    <w:jc w:val="center"/>
                  </w:pPr>
                  <w:r w:rsidRPr="008305FA">
                    <w:rPr>
                      <w:color w:val="000000"/>
                      <w:sz w:val="14"/>
                      <w:szCs w:val="18"/>
                    </w:rPr>
                    <w:t>-</w:t>
                  </w:r>
                  <w:r>
                    <w:rPr>
                      <w:color w:val="000000"/>
                      <w:sz w:val="14"/>
                      <w:szCs w:val="18"/>
                    </w:rPr>
                    <w:t xml:space="preserve"> 650</w:t>
                  </w:r>
                </w:p>
              </w:tc>
              <w:tc>
                <w:tcPr>
                  <w:tcW w:w="709" w:type="dxa"/>
                  <w:vAlign w:val="center"/>
                </w:tcPr>
                <w:p w14:paraId="6B321A90" w14:textId="21681E48" w:rsidR="00743F34" w:rsidRDefault="00743F34" w:rsidP="003405DA">
                  <w:pPr>
                    <w:framePr w:hSpace="180" w:wrap="around" w:vAnchor="text" w:hAnchor="margin" w:xAlign="center" w:y="149"/>
                    <w:jc w:val="center"/>
                  </w:pPr>
                  <w:r w:rsidRPr="008305FA">
                    <w:rPr>
                      <w:color w:val="000000"/>
                      <w:sz w:val="14"/>
                      <w:szCs w:val="18"/>
                    </w:rPr>
                    <w:t>-</w:t>
                  </w:r>
                  <w:r>
                    <w:rPr>
                      <w:color w:val="000000"/>
                      <w:sz w:val="14"/>
                      <w:szCs w:val="18"/>
                    </w:rPr>
                    <w:t xml:space="preserve"> 650</w:t>
                  </w:r>
                </w:p>
              </w:tc>
              <w:tc>
                <w:tcPr>
                  <w:tcW w:w="709" w:type="dxa"/>
                  <w:vAlign w:val="center"/>
                </w:tcPr>
                <w:p w14:paraId="7C31FBB9" w14:textId="6BB93D28" w:rsidR="00743F34" w:rsidRDefault="00743F34" w:rsidP="003405DA">
                  <w:pPr>
                    <w:framePr w:hSpace="180" w:wrap="around" w:vAnchor="text" w:hAnchor="margin" w:xAlign="center" w:y="149"/>
                    <w:jc w:val="center"/>
                  </w:pPr>
                  <w:r w:rsidRPr="008305FA">
                    <w:rPr>
                      <w:color w:val="000000"/>
                      <w:sz w:val="14"/>
                      <w:szCs w:val="18"/>
                    </w:rPr>
                    <w:t>-</w:t>
                  </w:r>
                  <w:r>
                    <w:rPr>
                      <w:color w:val="000000"/>
                      <w:sz w:val="14"/>
                      <w:szCs w:val="18"/>
                    </w:rPr>
                    <w:t xml:space="preserve"> 650</w:t>
                  </w:r>
                </w:p>
              </w:tc>
              <w:tc>
                <w:tcPr>
                  <w:tcW w:w="709" w:type="dxa"/>
                  <w:vAlign w:val="center"/>
                </w:tcPr>
                <w:p w14:paraId="2492DA53" w14:textId="1AB63AA2" w:rsidR="00743F34" w:rsidRDefault="00743F34" w:rsidP="003405DA">
                  <w:pPr>
                    <w:framePr w:hSpace="180" w:wrap="around" w:vAnchor="text" w:hAnchor="margin" w:xAlign="center" w:y="149"/>
                    <w:jc w:val="center"/>
                  </w:pPr>
                  <w:r w:rsidRPr="008305FA">
                    <w:rPr>
                      <w:color w:val="000000"/>
                      <w:sz w:val="14"/>
                      <w:szCs w:val="18"/>
                    </w:rPr>
                    <w:t>-</w:t>
                  </w:r>
                  <w:r>
                    <w:rPr>
                      <w:color w:val="000000"/>
                      <w:sz w:val="14"/>
                      <w:szCs w:val="18"/>
                    </w:rPr>
                    <w:t xml:space="preserve"> 650</w:t>
                  </w:r>
                </w:p>
              </w:tc>
              <w:tc>
                <w:tcPr>
                  <w:tcW w:w="709" w:type="dxa"/>
                  <w:vAlign w:val="center"/>
                </w:tcPr>
                <w:p w14:paraId="30CE6E35" w14:textId="38EB8BAD" w:rsidR="00743F34" w:rsidRDefault="00743F34" w:rsidP="003405DA">
                  <w:pPr>
                    <w:framePr w:hSpace="180" w:wrap="around" w:vAnchor="text" w:hAnchor="margin" w:xAlign="center" w:y="149"/>
                    <w:jc w:val="center"/>
                  </w:pPr>
                  <w:r w:rsidRPr="008305FA">
                    <w:rPr>
                      <w:color w:val="000000"/>
                      <w:sz w:val="14"/>
                      <w:szCs w:val="18"/>
                    </w:rPr>
                    <w:t>-</w:t>
                  </w:r>
                  <w:r>
                    <w:rPr>
                      <w:color w:val="000000"/>
                      <w:sz w:val="14"/>
                      <w:szCs w:val="18"/>
                    </w:rPr>
                    <w:t xml:space="preserve"> 650</w:t>
                  </w:r>
                </w:p>
              </w:tc>
            </w:tr>
            <w:tr w:rsidR="00743F34" w14:paraId="594CEEC1" w14:textId="77777777" w:rsidTr="00743F34">
              <w:tc>
                <w:tcPr>
                  <w:tcW w:w="1403" w:type="dxa"/>
                </w:tcPr>
                <w:p w14:paraId="651EFF80" w14:textId="413D0476" w:rsidR="00743F34" w:rsidRPr="008305FA" w:rsidRDefault="00743F34" w:rsidP="003405DA">
                  <w:pPr>
                    <w:framePr w:hSpace="180" w:wrap="around" w:vAnchor="text" w:hAnchor="margin" w:xAlign="center" w:y="149"/>
                    <w:spacing w:before="120" w:after="120"/>
                    <w:jc w:val="both"/>
                    <w:rPr>
                      <w:color w:val="000000"/>
                      <w:sz w:val="14"/>
                      <w:szCs w:val="18"/>
                    </w:rPr>
                  </w:pPr>
                  <w:r w:rsidRPr="008305FA">
                    <w:rPr>
                      <w:sz w:val="14"/>
                      <w:szCs w:val="18"/>
                    </w:rPr>
                    <w:t>Kopā</w:t>
                  </w:r>
                  <w:r>
                    <w:rPr>
                      <w:sz w:val="14"/>
                      <w:szCs w:val="18"/>
                    </w:rPr>
                    <w:t xml:space="preserve">, ņemot vērā administratīvās izmaksas, </w:t>
                  </w:r>
                  <w:r w:rsidRPr="008305FA">
                    <w:rPr>
                      <w:i/>
                      <w:sz w:val="14"/>
                      <w:szCs w:val="18"/>
                    </w:rPr>
                    <w:t>euro</w:t>
                  </w:r>
                </w:p>
              </w:tc>
              <w:tc>
                <w:tcPr>
                  <w:tcW w:w="850" w:type="dxa"/>
                  <w:vAlign w:val="center"/>
                </w:tcPr>
                <w:p w14:paraId="713CBE5E" w14:textId="7AEC21B4" w:rsidR="00743F34" w:rsidRPr="008305FA" w:rsidRDefault="00743F34" w:rsidP="003405DA">
                  <w:pPr>
                    <w:framePr w:hSpace="180" w:wrap="around" w:vAnchor="text" w:hAnchor="margin" w:xAlign="center" w:y="149"/>
                    <w:spacing w:before="120" w:after="120"/>
                    <w:jc w:val="center"/>
                    <w:rPr>
                      <w:color w:val="000000"/>
                      <w:sz w:val="14"/>
                      <w:szCs w:val="18"/>
                    </w:rPr>
                  </w:pPr>
                  <w:r>
                    <w:rPr>
                      <w:color w:val="000000"/>
                      <w:sz w:val="14"/>
                      <w:szCs w:val="18"/>
                    </w:rPr>
                    <w:t>-3</w:t>
                  </w:r>
                  <w:r w:rsidRPr="00743F34">
                    <w:rPr>
                      <w:color w:val="000000"/>
                      <w:sz w:val="14"/>
                      <w:szCs w:val="18"/>
                    </w:rPr>
                    <w:t>450</w:t>
                  </w:r>
                </w:p>
              </w:tc>
              <w:tc>
                <w:tcPr>
                  <w:tcW w:w="709" w:type="dxa"/>
                  <w:vAlign w:val="center"/>
                </w:tcPr>
                <w:p w14:paraId="4260196E" w14:textId="54D37FE4" w:rsidR="00743F34" w:rsidRPr="008305FA" w:rsidRDefault="00743F34" w:rsidP="003405DA">
                  <w:pPr>
                    <w:framePr w:hSpace="180" w:wrap="around" w:vAnchor="text" w:hAnchor="margin" w:xAlign="center" w:y="149"/>
                    <w:jc w:val="center"/>
                    <w:rPr>
                      <w:color w:val="000000"/>
                      <w:sz w:val="14"/>
                      <w:szCs w:val="18"/>
                    </w:rPr>
                  </w:pPr>
                  <w:r w:rsidRPr="00743F34">
                    <w:rPr>
                      <w:color w:val="000000"/>
                      <w:sz w:val="14"/>
                      <w:szCs w:val="18"/>
                    </w:rPr>
                    <w:t>439</w:t>
                  </w:r>
                </w:p>
              </w:tc>
              <w:tc>
                <w:tcPr>
                  <w:tcW w:w="709" w:type="dxa"/>
                  <w:vAlign w:val="center"/>
                </w:tcPr>
                <w:p w14:paraId="7BBC5F68" w14:textId="776228BF" w:rsidR="00743F34" w:rsidRPr="008305FA" w:rsidRDefault="00743F34" w:rsidP="003405DA">
                  <w:pPr>
                    <w:framePr w:hSpace="180" w:wrap="around" w:vAnchor="text" w:hAnchor="margin" w:xAlign="center" w:y="149"/>
                    <w:jc w:val="center"/>
                    <w:rPr>
                      <w:color w:val="000000"/>
                      <w:sz w:val="14"/>
                      <w:szCs w:val="18"/>
                    </w:rPr>
                  </w:pPr>
                  <w:r w:rsidRPr="00743F34">
                    <w:rPr>
                      <w:color w:val="000000"/>
                      <w:sz w:val="14"/>
                      <w:szCs w:val="18"/>
                    </w:rPr>
                    <w:t>439</w:t>
                  </w:r>
                </w:p>
              </w:tc>
              <w:tc>
                <w:tcPr>
                  <w:tcW w:w="709" w:type="dxa"/>
                  <w:vAlign w:val="center"/>
                </w:tcPr>
                <w:p w14:paraId="04A51FCE" w14:textId="4FD5E8BB" w:rsidR="00743F34" w:rsidRPr="008305FA" w:rsidRDefault="00743F34" w:rsidP="003405DA">
                  <w:pPr>
                    <w:framePr w:hSpace="180" w:wrap="around" w:vAnchor="text" w:hAnchor="margin" w:xAlign="center" w:y="149"/>
                    <w:jc w:val="center"/>
                    <w:rPr>
                      <w:color w:val="000000"/>
                      <w:sz w:val="14"/>
                      <w:szCs w:val="18"/>
                    </w:rPr>
                  </w:pPr>
                  <w:r w:rsidRPr="00743F34">
                    <w:rPr>
                      <w:color w:val="000000"/>
                      <w:sz w:val="14"/>
                      <w:szCs w:val="18"/>
                    </w:rPr>
                    <w:t>-1662</w:t>
                  </w:r>
                </w:p>
              </w:tc>
              <w:tc>
                <w:tcPr>
                  <w:tcW w:w="709" w:type="dxa"/>
                  <w:vAlign w:val="center"/>
                </w:tcPr>
                <w:p w14:paraId="4DC1E199" w14:textId="5DEAE47F" w:rsidR="00743F34" w:rsidRPr="008305FA" w:rsidRDefault="00743F34" w:rsidP="003405DA">
                  <w:pPr>
                    <w:framePr w:hSpace="180" w:wrap="around" w:vAnchor="text" w:hAnchor="margin" w:xAlign="center" w:y="149"/>
                    <w:jc w:val="center"/>
                    <w:rPr>
                      <w:color w:val="000000"/>
                      <w:sz w:val="14"/>
                      <w:szCs w:val="18"/>
                    </w:rPr>
                  </w:pPr>
                  <w:r w:rsidRPr="00743F34">
                    <w:rPr>
                      <w:color w:val="000000"/>
                      <w:sz w:val="14"/>
                      <w:szCs w:val="18"/>
                    </w:rPr>
                    <w:t>439</w:t>
                  </w:r>
                </w:p>
              </w:tc>
              <w:tc>
                <w:tcPr>
                  <w:tcW w:w="709" w:type="dxa"/>
                  <w:vAlign w:val="center"/>
                </w:tcPr>
                <w:p w14:paraId="21F89A87" w14:textId="77272FE2" w:rsidR="00743F34" w:rsidRPr="008305FA" w:rsidRDefault="00743F34" w:rsidP="003405DA">
                  <w:pPr>
                    <w:framePr w:hSpace="180" w:wrap="around" w:vAnchor="text" w:hAnchor="margin" w:xAlign="center" w:y="149"/>
                    <w:jc w:val="center"/>
                    <w:rPr>
                      <w:color w:val="000000"/>
                      <w:sz w:val="14"/>
                      <w:szCs w:val="18"/>
                    </w:rPr>
                  </w:pPr>
                  <w:r w:rsidRPr="00743F34">
                    <w:rPr>
                      <w:color w:val="000000"/>
                      <w:sz w:val="14"/>
                      <w:szCs w:val="18"/>
                    </w:rPr>
                    <w:t>439</w:t>
                  </w:r>
                </w:p>
              </w:tc>
            </w:tr>
            <w:tr w:rsidR="00743F34" w14:paraId="26F89D4B" w14:textId="77777777" w:rsidTr="00743F34">
              <w:trPr>
                <w:gridAfter w:val="5"/>
                <w:wAfter w:w="3545" w:type="dxa"/>
              </w:trPr>
              <w:tc>
                <w:tcPr>
                  <w:tcW w:w="1403" w:type="dxa"/>
                </w:tcPr>
                <w:p w14:paraId="266CAB05" w14:textId="2AB71BAA" w:rsidR="00743F34" w:rsidRPr="008305FA" w:rsidRDefault="00743F34" w:rsidP="003405DA">
                  <w:pPr>
                    <w:framePr w:hSpace="180" w:wrap="around" w:vAnchor="text" w:hAnchor="margin" w:xAlign="center" w:y="149"/>
                    <w:spacing w:before="120" w:after="120"/>
                    <w:jc w:val="both"/>
                    <w:rPr>
                      <w:sz w:val="14"/>
                      <w:szCs w:val="18"/>
                    </w:rPr>
                  </w:pPr>
                  <w:r>
                    <w:rPr>
                      <w:sz w:val="14"/>
                      <w:szCs w:val="18"/>
                    </w:rPr>
                    <w:t xml:space="preserve">NPV (diskontēšanas koeficients – 5 %), </w:t>
                  </w:r>
                  <w:r w:rsidRPr="008305FA">
                    <w:rPr>
                      <w:i/>
                      <w:sz w:val="14"/>
                      <w:szCs w:val="18"/>
                    </w:rPr>
                    <w:t>euro</w:t>
                  </w:r>
                </w:p>
              </w:tc>
              <w:tc>
                <w:tcPr>
                  <w:tcW w:w="850" w:type="dxa"/>
                  <w:vAlign w:val="center"/>
                </w:tcPr>
                <w:p w14:paraId="31E99FB5" w14:textId="0BAA308C" w:rsidR="00743F34" w:rsidRPr="008305FA" w:rsidRDefault="00743F34" w:rsidP="003405DA">
                  <w:pPr>
                    <w:framePr w:hSpace="180" w:wrap="around" w:vAnchor="text" w:hAnchor="margin" w:xAlign="center" w:y="149"/>
                    <w:spacing w:before="120" w:after="120"/>
                    <w:jc w:val="center"/>
                    <w:rPr>
                      <w:sz w:val="14"/>
                      <w:szCs w:val="18"/>
                    </w:rPr>
                  </w:pPr>
                  <w:r>
                    <w:rPr>
                      <w:sz w:val="14"/>
                      <w:szCs w:val="18"/>
                    </w:rPr>
                    <w:t>-3205,32</w:t>
                  </w:r>
                </w:p>
              </w:tc>
            </w:tr>
          </w:tbl>
          <w:p w14:paraId="40799639" w14:textId="77777777" w:rsidR="00B32BF0" w:rsidRDefault="00B32BF0" w:rsidP="00414592">
            <w:pPr>
              <w:pStyle w:val="ListParagraph"/>
              <w:numPr>
                <w:ilvl w:val="0"/>
                <w:numId w:val="5"/>
              </w:numPr>
              <w:spacing w:before="120" w:after="0"/>
              <w:ind w:left="714" w:hanging="357"/>
              <w:jc w:val="both"/>
              <w:rPr>
                <w:sz w:val="24"/>
                <w:szCs w:val="24"/>
              </w:rPr>
            </w:pPr>
            <w:r w:rsidRPr="00B32BF0">
              <w:rPr>
                <w:sz w:val="24"/>
                <w:szCs w:val="24"/>
              </w:rPr>
              <w:t>Ņemot vērā ierobe</w:t>
            </w:r>
            <w:r w:rsidR="00AA6B67">
              <w:rPr>
                <w:sz w:val="24"/>
                <w:szCs w:val="24"/>
              </w:rPr>
              <w:t xml:space="preserve">žoto valsts </w:t>
            </w:r>
            <w:r w:rsidRPr="00B32BF0">
              <w:rPr>
                <w:sz w:val="24"/>
                <w:szCs w:val="24"/>
              </w:rPr>
              <w:t>b</w:t>
            </w:r>
            <w:r>
              <w:rPr>
                <w:sz w:val="24"/>
                <w:szCs w:val="24"/>
              </w:rPr>
              <w:t xml:space="preserve">udžeta līdzekļu apjomu atbalsta nodrošināšanai (7 milj. </w:t>
            </w:r>
            <w:r w:rsidRPr="00B32BF0">
              <w:rPr>
                <w:i/>
                <w:sz w:val="24"/>
                <w:szCs w:val="24"/>
              </w:rPr>
              <w:t>euro</w:t>
            </w:r>
            <w:r>
              <w:rPr>
                <w:sz w:val="24"/>
                <w:szCs w:val="24"/>
              </w:rPr>
              <w:t xml:space="preserve"> gadā), sašaurināt atbalstāmo nozaru loku</w:t>
            </w:r>
            <w:r w:rsidR="00FD0956">
              <w:rPr>
                <w:sz w:val="24"/>
                <w:szCs w:val="24"/>
              </w:rPr>
              <w:t>.</w:t>
            </w:r>
          </w:p>
          <w:p w14:paraId="1384D0DE" w14:textId="77777777" w:rsidR="00FD0956" w:rsidRDefault="00FD0956" w:rsidP="00FD0956">
            <w:pPr>
              <w:jc w:val="both"/>
            </w:pPr>
            <w:r>
              <w:t xml:space="preserve">Atbalstāmo nozaru lokā paredzēts saglabāt nozares ar augstāko </w:t>
            </w:r>
            <w:proofErr w:type="spellStart"/>
            <w:r>
              <w:t>elektroietilpību</w:t>
            </w:r>
            <w:proofErr w:type="spellEnd"/>
            <w:r>
              <w:t>, ņemot vērā to eksportspēju un devumu Latvijas tautsaimniecībā. Atbalstu paredzēts novirzīt šādām nozarēm:</w:t>
            </w:r>
          </w:p>
          <w:p w14:paraId="694D850D" w14:textId="28F6A234" w:rsidR="00FD0956" w:rsidRPr="00FD0956" w:rsidRDefault="00FD0956" w:rsidP="00414592">
            <w:pPr>
              <w:pStyle w:val="ListParagraph"/>
              <w:numPr>
                <w:ilvl w:val="0"/>
                <w:numId w:val="6"/>
              </w:numPr>
              <w:ind w:left="416" w:hanging="284"/>
              <w:jc w:val="both"/>
              <w:rPr>
                <w:sz w:val="24"/>
                <w:szCs w:val="24"/>
              </w:rPr>
            </w:pPr>
            <w:r w:rsidRPr="00FD0956">
              <w:rPr>
                <w:sz w:val="24"/>
                <w:szCs w:val="24"/>
              </w:rPr>
              <w:t>koksnes, koka un korķa izstrādājumu ražošana, izņemot mēbe</w:t>
            </w:r>
            <w:r w:rsidR="0047435E">
              <w:rPr>
                <w:sz w:val="24"/>
                <w:szCs w:val="24"/>
              </w:rPr>
              <w:t>ļu,</w:t>
            </w:r>
            <w:r w:rsidRPr="00FD0956">
              <w:rPr>
                <w:sz w:val="24"/>
                <w:szCs w:val="24"/>
              </w:rPr>
              <w:t xml:space="preserve"> salmu un pīto izstrādājumu ražošana</w:t>
            </w:r>
            <w:r>
              <w:rPr>
                <w:sz w:val="24"/>
                <w:szCs w:val="24"/>
              </w:rPr>
              <w:t xml:space="preserve"> </w:t>
            </w:r>
            <w:r w:rsidRPr="00FD0956">
              <w:rPr>
                <w:sz w:val="24"/>
                <w:szCs w:val="24"/>
              </w:rPr>
              <w:t>(NACE 2.red. 16.nodaļa);</w:t>
            </w:r>
          </w:p>
          <w:p w14:paraId="5DF62A99" w14:textId="77777777" w:rsidR="00FD0956" w:rsidRPr="00FD0956" w:rsidRDefault="00FD0956" w:rsidP="00414592">
            <w:pPr>
              <w:pStyle w:val="ListParagraph"/>
              <w:numPr>
                <w:ilvl w:val="0"/>
                <w:numId w:val="6"/>
              </w:numPr>
              <w:ind w:left="416" w:hanging="284"/>
              <w:jc w:val="both"/>
              <w:rPr>
                <w:sz w:val="24"/>
                <w:szCs w:val="24"/>
              </w:rPr>
            </w:pPr>
            <w:r w:rsidRPr="00FD0956">
              <w:rPr>
                <w:sz w:val="24"/>
                <w:szCs w:val="24"/>
              </w:rPr>
              <w:t>farmaceitisko pamatvielu un farmaceitisko preparātu ražošana</w:t>
            </w:r>
            <w:r w:rsidR="0047435E">
              <w:rPr>
                <w:sz w:val="24"/>
                <w:szCs w:val="24"/>
              </w:rPr>
              <w:t xml:space="preserve"> </w:t>
            </w:r>
            <w:r w:rsidRPr="00FD0956">
              <w:rPr>
                <w:sz w:val="24"/>
                <w:szCs w:val="24"/>
              </w:rPr>
              <w:t xml:space="preserve">(NACE 2.red. </w:t>
            </w:r>
            <w:r>
              <w:rPr>
                <w:sz w:val="24"/>
                <w:szCs w:val="24"/>
              </w:rPr>
              <w:t>21</w:t>
            </w:r>
            <w:r w:rsidRPr="00FD0956">
              <w:rPr>
                <w:sz w:val="24"/>
                <w:szCs w:val="24"/>
              </w:rPr>
              <w:t>.nodaļa);</w:t>
            </w:r>
          </w:p>
          <w:p w14:paraId="47CD187B" w14:textId="77777777" w:rsidR="00FD0956" w:rsidRPr="00FD0956" w:rsidRDefault="00FD0956" w:rsidP="00414592">
            <w:pPr>
              <w:pStyle w:val="ListParagraph"/>
              <w:numPr>
                <w:ilvl w:val="0"/>
                <w:numId w:val="6"/>
              </w:numPr>
              <w:ind w:left="416" w:hanging="284"/>
              <w:jc w:val="both"/>
              <w:rPr>
                <w:sz w:val="24"/>
                <w:szCs w:val="24"/>
              </w:rPr>
            </w:pPr>
            <w:r w:rsidRPr="00FD0956">
              <w:rPr>
                <w:sz w:val="24"/>
                <w:szCs w:val="24"/>
              </w:rPr>
              <w:t>gumijas un plastmasas izstrādājumu ražošana</w:t>
            </w:r>
            <w:r>
              <w:rPr>
                <w:sz w:val="24"/>
                <w:szCs w:val="24"/>
              </w:rPr>
              <w:t xml:space="preserve"> </w:t>
            </w:r>
            <w:r w:rsidRPr="00FD0956">
              <w:rPr>
                <w:sz w:val="24"/>
                <w:szCs w:val="24"/>
              </w:rPr>
              <w:t xml:space="preserve">(NACE 2.red. </w:t>
            </w:r>
            <w:r>
              <w:rPr>
                <w:sz w:val="24"/>
                <w:szCs w:val="24"/>
              </w:rPr>
              <w:t>22</w:t>
            </w:r>
            <w:r w:rsidRPr="00FD0956">
              <w:rPr>
                <w:sz w:val="24"/>
                <w:szCs w:val="24"/>
              </w:rPr>
              <w:t>.nodaļa);</w:t>
            </w:r>
          </w:p>
          <w:p w14:paraId="22310BEA" w14:textId="77777777" w:rsidR="00FD0956" w:rsidRPr="00FD0956" w:rsidRDefault="00FD0956" w:rsidP="00414592">
            <w:pPr>
              <w:pStyle w:val="ListParagraph"/>
              <w:numPr>
                <w:ilvl w:val="0"/>
                <w:numId w:val="6"/>
              </w:numPr>
              <w:ind w:left="416" w:hanging="284"/>
              <w:jc w:val="both"/>
              <w:rPr>
                <w:sz w:val="24"/>
                <w:szCs w:val="24"/>
              </w:rPr>
            </w:pPr>
            <w:r w:rsidRPr="00FD0956">
              <w:rPr>
                <w:sz w:val="24"/>
                <w:szCs w:val="24"/>
              </w:rPr>
              <w:lastRenderedPageBreak/>
              <w:t>nemetālisko minerālu izstrādājumu ražošana</w:t>
            </w:r>
            <w:r>
              <w:rPr>
                <w:sz w:val="24"/>
                <w:szCs w:val="24"/>
              </w:rPr>
              <w:t xml:space="preserve"> </w:t>
            </w:r>
            <w:r w:rsidRPr="00FD0956">
              <w:rPr>
                <w:sz w:val="24"/>
                <w:szCs w:val="24"/>
              </w:rPr>
              <w:t xml:space="preserve">(NACE 2.red. </w:t>
            </w:r>
            <w:r>
              <w:rPr>
                <w:sz w:val="24"/>
                <w:szCs w:val="24"/>
              </w:rPr>
              <w:t>23</w:t>
            </w:r>
            <w:r w:rsidRPr="00FD0956">
              <w:rPr>
                <w:sz w:val="24"/>
                <w:szCs w:val="24"/>
              </w:rPr>
              <w:t>.nodaļa);</w:t>
            </w:r>
          </w:p>
          <w:p w14:paraId="59196935" w14:textId="77777777" w:rsidR="00CC0721" w:rsidRDefault="00FD0956" w:rsidP="00CC0721">
            <w:pPr>
              <w:pStyle w:val="ListParagraph"/>
              <w:numPr>
                <w:ilvl w:val="0"/>
                <w:numId w:val="6"/>
              </w:numPr>
              <w:ind w:left="416" w:hanging="284"/>
              <w:jc w:val="both"/>
              <w:rPr>
                <w:sz w:val="24"/>
                <w:szCs w:val="24"/>
              </w:rPr>
            </w:pPr>
            <w:r w:rsidRPr="00FD0956">
              <w:rPr>
                <w:sz w:val="24"/>
                <w:szCs w:val="24"/>
              </w:rPr>
              <w:t>metālu ražošana</w:t>
            </w:r>
            <w:r>
              <w:rPr>
                <w:sz w:val="24"/>
                <w:szCs w:val="24"/>
              </w:rPr>
              <w:t xml:space="preserve"> </w:t>
            </w:r>
            <w:r w:rsidRPr="00FD0956">
              <w:rPr>
                <w:sz w:val="24"/>
                <w:szCs w:val="24"/>
              </w:rPr>
              <w:t xml:space="preserve">(NACE 2.red. </w:t>
            </w:r>
            <w:r>
              <w:rPr>
                <w:sz w:val="24"/>
                <w:szCs w:val="24"/>
              </w:rPr>
              <w:t>24</w:t>
            </w:r>
            <w:r w:rsidRPr="00FD0956">
              <w:rPr>
                <w:sz w:val="24"/>
                <w:szCs w:val="24"/>
              </w:rPr>
              <w:t>.nodaļa)</w:t>
            </w:r>
            <w:r w:rsidR="00CC0721">
              <w:rPr>
                <w:sz w:val="24"/>
                <w:szCs w:val="24"/>
              </w:rPr>
              <w:t>;</w:t>
            </w:r>
          </w:p>
          <w:p w14:paraId="4EA2D2B2" w14:textId="295C4B11" w:rsidR="00924507" w:rsidRPr="00CC0721" w:rsidRDefault="00CC0721" w:rsidP="00CC0721">
            <w:pPr>
              <w:pStyle w:val="ListParagraph"/>
              <w:numPr>
                <w:ilvl w:val="0"/>
                <w:numId w:val="6"/>
              </w:numPr>
              <w:ind w:left="416" w:hanging="284"/>
              <w:jc w:val="both"/>
              <w:rPr>
                <w:sz w:val="24"/>
                <w:szCs w:val="24"/>
              </w:rPr>
            </w:pPr>
            <w:r w:rsidRPr="00CC0721">
              <w:rPr>
                <w:sz w:val="24"/>
                <w:szCs w:val="24"/>
              </w:rPr>
              <w:t>elektrisko iekārtu ražošana</w:t>
            </w:r>
            <w:r>
              <w:rPr>
                <w:sz w:val="24"/>
                <w:szCs w:val="24"/>
              </w:rPr>
              <w:t xml:space="preserve"> (</w:t>
            </w:r>
            <w:r w:rsidRPr="00FD0956">
              <w:rPr>
                <w:sz w:val="24"/>
                <w:szCs w:val="24"/>
              </w:rPr>
              <w:t xml:space="preserve"> </w:t>
            </w:r>
            <w:r w:rsidRPr="00FD0956">
              <w:rPr>
                <w:sz w:val="24"/>
                <w:szCs w:val="24"/>
              </w:rPr>
              <w:t xml:space="preserve">NACE 2.red. </w:t>
            </w:r>
            <w:r>
              <w:rPr>
                <w:sz w:val="24"/>
                <w:szCs w:val="24"/>
              </w:rPr>
              <w:t>2</w:t>
            </w:r>
            <w:r>
              <w:rPr>
                <w:sz w:val="24"/>
                <w:szCs w:val="24"/>
              </w:rPr>
              <w:t>7</w:t>
            </w:r>
            <w:r w:rsidRPr="00FD0956">
              <w:rPr>
                <w:sz w:val="24"/>
                <w:szCs w:val="24"/>
              </w:rPr>
              <w:t>.nodaļa</w:t>
            </w:r>
            <w:r>
              <w:rPr>
                <w:sz w:val="24"/>
                <w:szCs w:val="24"/>
              </w:rPr>
              <w:t>)</w:t>
            </w:r>
            <w:r w:rsidR="00FD0956" w:rsidRPr="00CC0721">
              <w:rPr>
                <w:sz w:val="24"/>
                <w:szCs w:val="24"/>
              </w:rPr>
              <w:t>.</w:t>
            </w:r>
          </w:p>
          <w:p w14:paraId="28BA398A" w14:textId="73CDDDFC" w:rsidR="003405DA" w:rsidRDefault="003405DA" w:rsidP="003405DA">
            <w:pPr>
              <w:ind w:left="132"/>
              <w:jc w:val="both"/>
            </w:pPr>
            <w:r w:rsidRPr="003405DA">
              <w:t xml:space="preserve">Latvijā komersantiem nepastāv šķēršļu pievienot jebkādu NACE kodu, pat ja faktiski uzņēmums nedarbojas norādītā nozarē. Tiesības uz </w:t>
            </w:r>
            <w:r>
              <w:t>obligātā iepirkuma komponentes samazinājumu</w:t>
            </w:r>
            <w:r w:rsidRPr="003405DA">
              <w:t xml:space="preserve"> mudinās uzņēmumus pievienot NACE kodus atbilstoši </w:t>
            </w:r>
            <w:r>
              <w:t xml:space="preserve"> </w:t>
            </w:r>
            <w:r>
              <w:t xml:space="preserve">Ministru kabineta </w:t>
            </w:r>
            <w:r w:rsidRPr="001230E4">
              <w:t>2015. gada 14. jūlija noteikum</w:t>
            </w:r>
            <w:r>
              <w:t>u</w:t>
            </w:r>
            <w:r w:rsidRPr="001230E4">
              <w:t xml:space="preserve"> Nr.395 “Kārtība, kādā energoietilpīgi apstrādes rūpniecības uzņēmumi iegūst tiesības uz samazinātu līdzdalību obligātā iepirkuma komponentes maksājumam”</w:t>
            </w:r>
            <w:r>
              <w:t xml:space="preserve"> 1. pielikuma identificētajām nozarēm. Līdz ar to </w:t>
            </w:r>
            <w:r w:rsidRPr="003405DA">
              <w:t>var būtiski paplašināt</w:t>
            </w:r>
            <w:r>
              <w:t>ies</w:t>
            </w:r>
            <w:r w:rsidRPr="003405DA">
              <w:t xml:space="preserve"> </w:t>
            </w:r>
            <w:r>
              <w:t xml:space="preserve"> </w:t>
            </w:r>
            <w:r>
              <w:t>obligātā iepirkuma komponentes samazin</w:t>
            </w:r>
            <w:r>
              <w:t>ājuma saņēmēju skaits,</w:t>
            </w:r>
            <w:r w:rsidRPr="003405DA">
              <w:t xml:space="preserve"> un tādā veidā tiks pieprasīts krietni </w:t>
            </w:r>
            <w:r>
              <w:t xml:space="preserve">lielāks valsts budžeta </w:t>
            </w:r>
            <w:r w:rsidRPr="003405DA">
              <w:t>finansējuma apjoms (kas var pārsniegt 7 milj. EUR/gadā</w:t>
            </w:r>
            <w:r>
              <w:t>), apdraudo</w:t>
            </w:r>
            <w:r w:rsidRPr="003405DA">
              <w:t xml:space="preserve">t </w:t>
            </w:r>
            <w:r>
              <w:t xml:space="preserve">valsts atbalsta programmas </w:t>
            </w:r>
            <w:r w:rsidRPr="003405DA">
              <w:t>darbību.</w:t>
            </w:r>
          </w:p>
          <w:p w14:paraId="428CC957" w14:textId="63FAAFD3" w:rsidR="00035AEA" w:rsidRPr="003405DA" w:rsidRDefault="00035AEA" w:rsidP="003405DA">
            <w:pPr>
              <w:ind w:left="132"/>
              <w:jc w:val="both"/>
            </w:pPr>
            <w:r>
              <w:t xml:space="preserve">Komersantam atbalsta saņemšanai vienlaicīgi jāizpilda gan nozares, gan patēriņa, gan </w:t>
            </w:r>
            <w:proofErr w:type="spellStart"/>
            <w:r>
              <w:t>elektrointensitātes</w:t>
            </w:r>
            <w:proofErr w:type="spellEnd"/>
            <w:r>
              <w:t>, gan energoefektivitātes kritēriji.</w:t>
            </w:r>
          </w:p>
          <w:p w14:paraId="5779C377" w14:textId="48969460" w:rsidR="00C27320" w:rsidRDefault="002A6BB3" w:rsidP="00414592">
            <w:pPr>
              <w:pStyle w:val="ListParagraph"/>
              <w:numPr>
                <w:ilvl w:val="0"/>
                <w:numId w:val="5"/>
              </w:numPr>
              <w:spacing w:before="120" w:after="0"/>
              <w:ind w:left="714" w:hanging="357"/>
              <w:jc w:val="both"/>
              <w:rPr>
                <w:sz w:val="24"/>
                <w:szCs w:val="24"/>
              </w:rPr>
            </w:pPr>
            <w:r w:rsidRPr="002A6BB3">
              <w:rPr>
                <w:sz w:val="24"/>
                <w:szCs w:val="24"/>
              </w:rPr>
              <w:t xml:space="preserve">Noteikt bruto pievienoto vērtību </w:t>
            </w:r>
            <w:r w:rsidR="003405DA">
              <w:rPr>
                <w:sz w:val="24"/>
                <w:szCs w:val="24"/>
              </w:rPr>
              <w:t>konkrētam komersantam</w:t>
            </w:r>
            <w:r>
              <w:rPr>
                <w:sz w:val="24"/>
                <w:szCs w:val="24"/>
              </w:rPr>
              <w:t>.</w:t>
            </w:r>
          </w:p>
          <w:p w14:paraId="6F169255" w14:textId="386ADA1D" w:rsidR="003405DA" w:rsidRPr="002A6BB3" w:rsidRDefault="003405DA" w:rsidP="003405DA">
            <w:pPr>
              <w:jc w:val="both"/>
            </w:pPr>
            <w:r>
              <w:t xml:space="preserve">Ņemot vērā, ka saistīto uzņēmumu </w:t>
            </w:r>
            <w:r>
              <w:t>ga</w:t>
            </w:r>
            <w:r>
              <w:t>da pārskati netiek konsolidēti, kā arī to ka</w:t>
            </w:r>
            <w:r>
              <w:t xml:space="preserve"> ISO 50001 sertifikāts tiek izsniegts </w:t>
            </w:r>
            <w:r>
              <w:t xml:space="preserve">katram uzņēmumam </w:t>
            </w:r>
            <w:r>
              <w:t xml:space="preserve">atsevišķi, </w:t>
            </w:r>
            <w:r>
              <w:t xml:space="preserve"> līdz ar to </w:t>
            </w:r>
            <w:r>
              <w:t xml:space="preserve">bruto pievienoto vērtību </w:t>
            </w:r>
            <w:r>
              <w:t xml:space="preserve">un </w:t>
            </w:r>
            <w:proofErr w:type="spellStart"/>
            <w:r>
              <w:t>elektrointensitāti</w:t>
            </w:r>
            <w:proofErr w:type="spellEnd"/>
            <w:r>
              <w:t xml:space="preserve"> aprēķina konkrētam komersantam. Papildus tam, lai novērstu potenciālo slogu uz valsts budžetu,  </w:t>
            </w:r>
            <w:r w:rsidR="00CC0721">
              <w:t>tiek noteikts</w:t>
            </w:r>
            <w:r>
              <w:t>, ka samazināta līdzdalība</w:t>
            </w:r>
            <w:r w:rsidRPr="002A6BB3">
              <w:t xml:space="preserve"> obligātā iepirkuma komponentes maksājum</w:t>
            </w:r>
            <w:r>
              <w:t>ā</w:t>
            </w:r>
            <w:r w:rsidRPr="002A6BB3">
              <w:t xml:space="preserve"> </w:t>
            </w:r>
            <w:r>
              <w:t>nav attiecināma uz ārpus Latvijas patērēto elektroenerģijas apjomu.</w:t>
            </w:r>
          </w:p>
          <w:p w14:paraId="14CB8630" w14:textId="77777777" w:rsidR="002A6BB3" w:rsidRDefault="002A6BB3" w:rsidP="002A6BB3">
            <w:pPr>
              <w:jc w:val="both"/>
            </w:pPr>
          </w:p>
          <w:p w14:paraId="5EE792E9" w14:textId="77777777" w:rsidR="002A6BB3" w:rsidRDefault="00414592" w:rsidP="002A6BB3">
            <w:pPr>
              <w:jc w:val="both"/>
            </w:pPr>
            <w:r>
              <w:t xml:space="preserve">Paredzētie grozījumi </w:t>
            </w:r>
            <w:r w:rsidRPr="00B32BF0">
              <w:t>nodrošin</w:t>
            </w:r>
            <w:r>
              <w:t>ās</w:t>
            </w:r>
            <w:r w:rsidRPr="00B32BF0">
              <w:t xml:space="preserve"> atbalsta shēmas atbilstību Pamatnostādnēs noteiktajiem kritērijiem </w:t>
            </w:r>
            <w:r>
              <w:t>un ir nepieciešami</w:t>
            </w:r>
            <w:r w:rsidR="00023ACB">
              <w:t>,</w:t>
            </w:r>
            <w:r>
              <w:t xml:space="preserve"> lai </w:t>
            </w:r>
            <w:r w:rsidR="002A6BB3" w:rsidRPr="00B32BF0">
              <w:t>saņemtu Eiropas Komisijas lēmumu par atbalsta pasākuma atbilstību Eiropas Savienības iekšējam tirgum</w:t>
            </w:r>
            <w:r w:rsidR="0047435E">
              <w:t xml:space="preserve"> un uzsāktu valsts atbalsta programmas īstenošanu pēc iespējās ātrāk</w:t>
            </w:r>
            <w:r w:rsidR="002A6BB3" w:rsidRPr="00B32BF0">
              <w:t>.</w:t>
            </w:r>
          </w:p>
          <w:p w14:paraId="74FBECAD" w14:textId="77777777" w:rsidR="00414592" w:rsidRDefault="00414592" w:rsidP="002A6BB3">
            <w:pPr>
              <w:jc w:val="both"/>
            </w:pPr>
          </w:p>
          <w:p w14:paraId="7FB3A899" w14:textId="77777777" w:rsidR="00C258CE" w:rsidRDefault="00C258CE" w:rsidP="00B34FD1">
            <w:pPr>
              <w:jc w:val="both"/>
            </w:pPr>
            <w:r>
              <w:t xml:space="preserve">Par grozījumiem </w:t>
            </w:r>
            <w:r w:rsidR="00023ACB">
              <w:t xml:space="preserve"> </w:t>
            </w:r>
            <w:r w:rsidR="00023ACB" w:rsidRPr="00023ACB">
              <w:t>Ministru kabineta 2015. gada 14. jūlija noteikumos Nr.395 “Kārtība, kādā energoietilpīgi apstrādes rūpniecības uzņēmumi iegūst tiesības uz samazinātu līdzdalību obligātā iepirkuma komponentes maksājumam”</w:t>
            </w:r>
            <w:r w:rsidRPr="00B32BF0">
              <w:t xml:space="preserve"> </w:t>
            </w:r>
            <w:r>
              <w:t xml:space="preserve">jāziņo Eiropas Komisijai </w:t>
            </w:r>
            <w:r w:rsidRPr="005D51D5">
              <w:t xml:space="preserve">valsts atbalsta lietas </w:t>
            </w:r>
            <w:r w:rsidR="0006752C" w:rsidRPr="000C5ACC">
              <w:t xml:space="preserve">SA.42854 (2015/N) </w:t>
            </w:r>
            <w:r w:rsidR="0006752C" w:rsidRPr="00B32BF0">
              <w:t xml:space="preserve">– </w:t>
            </w:r>
            <w:r w:rsidR="0006752C" w:rsidRPr="00414592">
              <w:rPr>
                <w:i/>
              </w:rPr>
              <w:t xml:space="preserve">Atbalsts </w:t>
            </w:r>
            <w:proofErr w:type="spellStart"/>
            <w:r w:rsidR="0006752C" w:rsidRPr="00414592">
              <w:rPr>
                <w:i/>
              </w:rPr>
              <w:t>energointensīvajiem</w:t>
            </w:r>
            <w:proofErr w:type="spellEnd"/>
            <w:r w:rsidR="0006752C" w:rsidRPr="00414592">
              <w:rPr>
                <w:i/>
              </w:rPr>
              <w:t xml:space="preserve"> komersantiem</w:t>
            </w:r>
            <w:r w:rsidR="0006752C" w:rsidRPr="005D51D5">
              <w:t xml:space="preserve"> </w:t>
            </w:r>
            <w:r w:rsidRPr="005D51D5">
              <w:t>ietvaros</w:t>
            </w:r>
            <w:r>
              <w:t>.</w:t>
            </w:r>
          </w:p>
          <w:p w14:paraId="2A57EA3F" w14:textId="77777777" w:rsidR="000E47DB" w:rsidRPr="00AD5B51" w:rsidRDefault="000E47DB" w:rsidP="00996430">
            <w:pPr>
              <w:jc w:val="both"/>
            </w:pPr>
          </w:p>
        </w:tc>
      </w:tr>
      <w:tr w:rsidR="001C1A2E" w:rsidRPr="008F7F1F" w14:paraId="3A0793BC" w14:textId="77777777" w:rsidTr="000E2245">
        <w:trPr>
          <w:trHeight w:val="132"/>
        </w:trPr>
        <w:tc>
          <w:tcPr>
            <w:tcW w:w="269" w:type="dxa"/>
          </w:tcPr>
          <w:p w14:paraId="7CF81965" w14:textId="4984878D" w:rsidR="001C1A2E" w:rsidRPr="008F7F1F" w:rsidRDefault="001C1A2E" w:rsidP="008667DC">
            <w:pPr>
              <w:pStyle w:val="naiskr"/>
              <w:spacing w:before="0" w:beforeAutospacing="0" w:after="0" w:afterAutospacing="0"/>
              <w:jc w:val="center"/>
              <w:rPr>
                <w:color w:val="000000" w:themeColor="text1"/>
              </w:rPr>
            </w:pPr>
            <w:r w:rsidRPr="008F7F1F">
              <w:rPr>
                <w:color w:val="000000" w:themeColor="text1"/>
              </w:rPr>
              <w:lastRenderedPageBreak/>
              <w:t>3.</w:t>
            </w:r>
          </w:p>
        </w:tc>
        <w:tc>
          <w:tcPr>
            <w:tcW w:w="3138" w:type="dxa"/>
          </w:tcPr>
          <w:p w14:paraId="54F33B31" w14:textId="77777777" w:rsidR="001C1A2E" w:rsidRPr="008F7F1F" w:rsidRDefault="001C1A2E" w:rsidP="008667DC">
            <w:pPr>
              <w:jc w:val="both"/>
              <w:rPr>
                <w:color w:val="000000" w:themeColor="text1"/>
              </w:rPr>
            </w:pPr>
            <w:r w:rsidRPr="008F7F1F">
              <w:rPr>
                <w:color w:val="000000" w:themeColor="text1"/>
              </w:rPr>
              <w:t>Projekta izstrādē iesaistītās institūcijas</w:t>
            </w:r>
          </w:p>
        </w:tc>
        <w:tc>
          <w:tcPr>
            <w:tcW w:w="6037" w:type="dxa"/>
          </w:tcPr>
          <w:p w14:paraId="12329840" w14:textId="77777777" w:rsidR="001C1A2E" w:rsidRPr="008F7F1F" w:rsidRDefault="00903F26" w:rsidP="008667DC">
            <w:pPr>
              <w:jc w:val="both"/>
              <w:rPr>
                <w:color w:val="000000" w:themeColor="text1"/>
              </w:rPr>
            </w:pPr>
            <w:r w:rsidRPr="008F7F1F">
              <w:t>Nav attiecināms.</w:t>
            </w:r>
          </w:p>
        </w:tc>
      </w:tr>
      <w:tr w:rsidR="001C1A2E" w:rsidRPr="008F7F1F" w14:paraId="0AEDD751" w14:textId="77777777" w:rsidTr="000E2245">
        <w:tc>
          <w:tcPr>
            <w:tcW w:w="269" w:type="dxa"/>
          </w:tcPr>
          <w:p w14:paraId="4FBB6DE2" w14:textId="77777777" w:rsidR="001C1A2E" w:rsidRPr="008F7F1F" w:rsidRDefault="001C1A2E" w:rsidP="008667DC">
            <w:pPr>
              <w:pStyle w:val="naiskr"/>
              <w:spacing w:before="0" w:beforeAutospacing="0" w:after="0" w:afterAutospacing="0"/>
              <w:jc w:val="center"/>
              <w:rPr>
                <w:color w:val="000000" w:themeColor="text1"/>
              </w:rPr>
            </w:pPr>
            <w:r w:rsidRPr="008F7F1F">
              <w:rPr>
                <w:color w:val="000000" w:themeColor="text1"/>
              </w:rPr>
              <w:lastRenderedPageBreak/>
              <w:t>4.</w:t>
            </w:r>
          </w:p>
        </w:tc>
        <w:tc>
          <w:tcPr>
            <w:tcW w:w="3138" w:type="dxa"/>
          </w:tcPr>
          <w:p w14:paraId="64736817" w14:textId="77777777" w:rsidR="001C1A2E" w:rsidRPr="008F7F1F" w:rsidRDefault="001C1A2E" w:rsidP="008667DC">
            <w:pPr>
              <w:pStyle w:val="naiskr"/>
              <w:spacing w:before="0" w:beforeAutospacing="0" w:after="0" w:afterAutospacing="0"/>
              <w:rPr>
                <w:color w:val="000000" w:themeColor="text1"/>
              </w:rPr>
            </w:pPr>
            <w:r w:rsidRPr="008F7F1F">
              <w:rPr>
                <w:color w:val="000000" w:themeColor="text1"/>
              </w:rPr>
              <w:t>Cita informācija</w:t>
            </w:r>
          </w:p>
        </w:tc>
        <w:tc>
          <w:tcPr>
            <w:tcW w:w="6037" w:type="dxa"/>
          </w:tcPr>
          <w:p w14:paraId="3A6D3743" w14:textId="77777777" w:rsidR="001C1A2E" w:rsidRPr="008F7F1F" w:rsidRDefault="007C1F2A" w:rsidP="00224297">
            <w:pPr>
              <w:pStyle w:val="naiskr"/>
              <w:spacing w:before="0" w:beforeAutospacing="0" w:after="0" w:afterAutospacing="0"/>
              <w:jc w:val="both"/>
              <w:rPr>
                <w:color w:val="000000" w:themeColor="text1"/>
              </w:rPr>
            </w:pPr>
            <w:r w:rsidRPr="008F7F1F">
              <w:t>Nav.</w:t>
            </w:r>
          </w:p>
        </w:tc>
      </w:tr>
    </w:tbl>
    <w:p w14:paraId="6169E6F6" w14:textId="77777777" w:rsidR="001C1A2E" w:rsidRPr="008F7F1F"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8F7F1F" w14:paraId="23CBA236" w14:textId="77777777" w:rsidTr="0094759F">
        <w:tc>
          <w:tcPr>
            <w:tcW w:w="9442" w:type="dxa"/>
            <w:gridSpan w:val="2"/>
            <w:vAlign w:val="center"/>
          </w:tcPr>
          <w:p w14:paraId="36CE4F79" w14:textId="77777777" w:rsidR="0094759F" w:rsidRPr="008F7F1F" w:rsidRDefault="0094759F" w:rsidP="008667DC">
            <w:pPr>
              <w:pStyle w:val="naisnod"/>
              <w:spacing w:before="0" w:beforeAutospacing="0" w:after="0" w:afterAutospacing="0"/>
              <w:jc w:val="center"/>
              <w:rPr>
                <w:b/>
                <w:color w:val="000000" w:themeColor="text1"/>
              </w:rPr>
            </w:pPr>
            <w:r w:rsidRPr="008F7F1F">
              <w:rPr>
                <w:b/>
                <w:color w:val="000000" w:themeColor="text1"/>
              </w:rPr>
              <w:t>II.  Tiesību akta projekta ietekme uz sabiedrību, tautsaimniecības attīstību un administratīvo slogu</w:t>
            </w:r>
          </w:p>
        </w:tc>
      </w:tr>
      <w:tr w:rsidR="0094759F" w:rsidRPr="008F7F1F" w14:paraId="21C66386" w14:textId="77777777" w:rsidTr="0094759F">
        <w:trPr>
          <w:trHeight w:val="281"/>
        </w:trPr>
        <w:tc>
          <w:tcPr>
            <w:tcW w:w="3547" w:type="dxa"/>
          </w:tcPr>
          <w:p w14:paraId="561AAF82" w14:textId="77777777" w:rsidR="0094759F" w:rsidRPr="008F7F1F" w:rsidRDefault="0094759F" w:rsidP="008667DC">
            <w:pPr>
              <w:pStyle w:val="naiskr"/>
              <w:spacing w:before="0" w:beforeAutospacing="0" w:after="0" w:afterAutospacing="0"/>
              <w:ind w:hanging="10"/>
              <w:jc w:val="both"/>
              <w:rPr>
                <w:color w:val="000000" w:themeColor="text1"/>
              </w:rPr>
            </w:pPr>
            <w:r w:rsidRPr="008F7F1F">
              <w:rPr>
                <w:color w:val="000000" w:themeColor="text1"/>
              </w:rPr>
              <w:t xml:space="preserve">Sabiedrības </w:t>
            </w:r>
            <w:proofErr w:type="spellStart"/>
            <w:r w:rsidRPr="008F7F1F">
              <w:rPr>
                <w:color w:val="000000" w:themeColor="text1"/>
              </w:rPr>
              <w:t>mērķgrupas</w:t>
            </w:r>
            <w:proofErr w:type="spellEnd"/>
            <w:r w:rsidRPr="008F7F1F">
              <w:rPr>
                <w:color w:val="000000" w:themeColor="text1"/>
              </w:rPr>
              <w:t>, kuras tiesiskais regulējums ietekmē vai varētu ietekmēt</w:t>
            </w:r>
          </w:p>
        </w:tc>
        <w:tc>
          <w:tcPr>
            <w:tcW w:w="5895" w:type="dxa"/>
          </w:tcPr>
          <w:p w14:paraId="1BBF4A71" w14:textId="77777777" w:rsidR="00DB1DA9" w:rsidRDefault="001230E4" w:rsidP="0047435E">
            <w:pPr>
              <w:pStyle w:val="Default"/>
              <w:jc w:val="both"/>
              <w:rPr>
                <w:rFonts w:ascii="Times New Roman" w:hAnsi="Times New Roman" w:cs="Times New Roman"/>
                <w:bCs/>
                <w:color w:val="000000" w:themeColor="text1"/>
              </w:rPr>
            </w:pPr>
            <w:r w:rsidRPr="00C05940">
              <w:rPr>
                <w:rFonts w:ascii="Times New Roman" w:hAnsi="Times New Roman" w:cs="Times New Roman"/>
                <w:bCs/>
                <w:color w:val="000000" w:themeColor="text1"/>
              </w:rPr>
              <w:t>Energoietilpīgi apstrādes rūpniecības uzņēmumi</w:t>
            </w:r>
            <w:r w:rsidR="0047435E" w:rsidRPr="00C05940">
              <w:rPr>
                <w:rFonts w:ascii="Times New Roman" w:hAnsi="Times New Roman" w:cs="Times New Roman"/>
                <w:bCs/>
                <w:color w:val="000000" w:themeColor="text1"/>
              </w:rPr>
              <w:t xml:space="preserve">, kas </w:t>
            </w:r>
            <w:r w:rsidR="0047435E">
              <w:rPr>
                <w:rFonts w:ascii="Times New Roman" w:hAnsi="Times New Roman" w:cs="Times New Roman"/>
                <w:bCs/>
                <w:color w:val="000000" w:themeColor="text1"/>
              </w:rPr>
              <w:t>darbojas kādā no atbalstāmajām nozarēm (k</w:t>
            </w:r>
            <w:r w:rsidR="0047435E" w:rsidRPr="001230E4">
              <w:rPr>
                <w:rFonts w:ascii="Times New Roman" w:hAnsi="Times New Roman" w:cs="Times New Roman"/>
                <w:bCs/>
                <w:color w:val="000000" w:themeColor="text1"/>
              </w:rPr>
              <w:t>oksnes, koka un korķa izstrādājumu ražošana, izņemot mēbeles; salmu un pīto izstrādājumu ražošana</w:t>
            </w:r>
            <w:r w:rsidR="0047435E">
              <w:rPr>
                <w:rFonts w:ascii="Times New Roman" w:hAnsi="Times New Roman" w:cs="Times New Roman"/>
                <w:bCs/>
                <w:color w:val="000000" w:themeColor="text1"/>
              </w:rPr>
              <w:t>; f</w:t>
            </w:r>
            <w:r w:rsidR="0047435E" w:rsidRPr="001230E4">
              <w:rPr>
                <w:rFonts w:ascii="Times New Roman" w:hAnsi="Times New Roman" w:cs="Times New Roman"/>
                <w:bCs/>
                <w:color w:val="000000" w:themeColor="text1"/>
              </w:rPr>
              <w:t>armaceitisko pamatvielu un farmaceitisko preparātu ražošana</w:t>
            </w:r>
            <w:r w:rsidR="0047435E">
              <w:rPr>
                <w:rFonts w:ascii="Times New Roman" w:hAnsi="Times New Roman" w:cs="Times New Roman"/>
                <w:bCs/>
                <w:color w:val="000000" w:themeColor="text1"/>
              </w:rPr>
              <w:t>; g</w:t>
            </w:r>
            <w:r w:rsidR="0047435E" w:rsidRPr="001230E4">
              <w:rPr>
                <w:rFonts w:ascii="Times New Roman" w:hAnsi="Times New Roman" w:cs="Times New Roman"/>
                <w:bCs/>
                <w:color w:val="000000" w:themeColor="text1"/>
              </w:rPr>
              <w:t>umijas un plastmasas izstrādājumu ražošana</w:t>
            </w:r>
            <w:r w:rsidR="0047435E">
              <w:rPr>
                <w:rFonts w:ascii="Times New Roman" w:hAnsi="Times New Roman" w:cs="Times New Roman"/>
                <w:bCs/>
                <w:color w:val="000000" w:themeColor="text1"/>
              </w:rPr>
              <w:t>; n</w:t>
            </w:r>
            <w:r w:rsidR="0047435E" w:rsidRPr="001230E4">
              <w:rPr>
                <w:rFonts w:ascii="Times New Roman" w:hAnsi="Times New Roman" w:cs="Times New Roman"/>
                <w:bCs/>
                <w:color w:val="000000" w:themeColor="text1"/>
              </w:rPr>
              <w:t>emetālisko minerālu izstrādājumu ražošana</w:t>
            </w:r>
            <w:r w:rsidR="0047435E">
              <w:rPr>
                <w:rFonts w:ascii="Times New Roman" w:hAnsi="Times New Roman" w:cs="Times New Roman"/>
                <w:bCs/>
                <w:color w:val="000000" w:themeColor="text1"/>
              </w:rPr>
              <w:t>; m</w:t>
            </w:r>
            <w:r w:rsidR="0047435E" w:rsidRPr="001230E4">
              <w:rPr>
                <w:rFonts w:ascii="Times New Roman" w:hAnsi="Times New Roman" w:cs="Times New Roman"/>
                <w:bCs/>
                <w:color w:val="000000" w:themeColor="text1"/>
              </w:rPr>
              <w:t>etālu ražošana</w:t>
            </w:r>
            <w:r w:rsidR="0047435E">
              <w:rPr>
                <w:rFonts w:ascii="Times New Roman" w:hAnsi="Times New Roman" w:cs="Times New Roman"/>
                <w:bCs/>
                <w:color w:val="000000" w:themeColor="text1"/>
              </w:rPr>
              <w:t>),</w:t>
            </w:r>
            <w:r w:rsidRPr="00C05940">
              <w:rPr>
                <w:rFonts w:ascii="Times New Roman" w:hAnsi="Times New Roman" w:cs="Times New Roman"/>
                <w:bCs/>
                <w:color w:val="000000" w:themeColor="text1"/>
              </w:rPr>
              <w:t xml:space="preserve"> ar vidējo gada el</w:t>
            </w:r>
            <w:r>
              <w:rPr>
                <w:rFonts w:ascii="Times New Roman" w:hAnsi="Times New Roman" w:cs="Times New Roman"/>
                <w:bCs/>
                <w:color w:val="000000" w:themeColor="text1"/>
              </w:rPr>
              <w:t xml:space="preserve">ektroenerģijas patēriņu vismaz </w:t>
            </w:r>
            <w:r w:rsidRPr="00C05940">
              <w:rPr>
                <w:rFonts w:ascii="Times New Roman" w:hAnsi="Times New Roman" w:cs="Times New Roman"/>
                <w:bCs/>
                <w:color w:val="000000" w:themeColor="text1"/>
              </w:rPr>
              <w:t>0</w:t>
            </w:r>
            <w:r>
              <w:rPr>
                <w:rFonts w:ascii="Times New Roman" w:hAnsi="Times New Roman" w:cs="Times New Roman"/>
                <w:bCs/>
                <w:color w:val="000000" w:themeColor="text1"/>
              </w:rPr>
              <w:t>,5</w:t>
            </w:r>
            <w:r w:rsidR="00AA6B67">
              <w:rPr>
                <w:rFonts w:ascii="Times New Roman" w:hAnsi="Times New Roman" w:cs="Times New Roman"/>
                <w:bCs/>
                <w:color w:val="000000" w:themeColor="text1"/>
              </w:rPr>
              <w:t xml:space="preserve"> </w:t>
            </w:r>
            <w:proofErr w:type="spellStart"/>
            <w:r w:rsidR="00AA6B67">
              <w:rPr>
                <w:rFonts w:ascii="Times New Roman" w:hAnsi="Times New Roman" w:cs="Times New Roman"/>
                <w:bCs/>
                <w:color w:val="000000" w:themeColor="text1"/>
              </w:rPr>
              <w:t>GWh</w:t>
            </w:r>
            <w:proofErr w:type="spellEnd"/>
            <w:r w:rsidR="00AA6B67">
              <w:rPr>
                <w:rFonts w:ascii="Times New Roman" w:hAnsi="Times New Roman" w:cs="Times New Roman"/>
                <w:bCs/>
                <w:color w:val="000000" w:themeColor="text1"/>
              </w:rPr>
              <w:t xml:space="preserve"> </w:t>
            </w:r>
            <w:r w:rsidRPr="00C05940">
              <w:rPr>
                <w:rFonts w:ascii="Times New Roman" w:hAnsi="Times New Roman" w:cs="Times New Roman"/>
                <w:bCs/>
                <w:color w:val="000000" w:themeColor="text1"/>
              </w:rPr>
              <w:t>apjomā</w:t>
            </w:r>
            <w:r>
              <w:rPr>
                <w:rFonts w:ascii="Times New Roman" w:hAnsi="Times New Roman" w:cs="Times New Roman"/>
                <w:bCs/>
                <w:color w:val="000000" w:themeColor="text1"/>
              </w:rPr>
              <w:t xml:space="preserve"> un </w:t>
            </w:r>
            <w:r w:rsidRPr="00C05940">
              <w:rPr>
                <w:rFonts w:ascii="Times New Roman" w:hAnsi="Times New Roman" w:cs="Times New Roman"/>
                <w:bCs/>
                <w:color w:val="000000" w:themeColor="text1"/>
              </w:rPr>
              <w:t>vienlaicīgi atbilst visiem noteikumu projektā izvirzītajiem kritērijiem.</w:t>
            </w:r>
          </w:p>
          <w:p w14:paraId="58CBE96A" w14:textId="51FA4DC1" w:rsidR="00F618A0" w:rsidRPr="008F7F1F" w:rsidRDefault="00F618A0" w:rsidP="0047435E">
            <w:pPr>
              <w:pStyle w:val="Default"/>
              <w:jc w:val="both"/>
              <w:rPr>
                <w:rFonts w:ascii="Times New Roman" w:hAnsi="Times New Roman" w:cs="Times New Roman"/>
                <w:bCs/>
                <w:color w:val="000000" w:themeColor="text1"/>
              </w:rPr>
            </w:pPr>
          </w:p>
        </w:tc>
      </w:tr>
      <w:tr w:rsidR="0094759F" w:rsidRPr="00A92F58" w14:paraId="744CFD0E" w14:textId="77777777" w:rsidTr="008667DC">
        <w:trPr>
          <w:trHeight w:val="280"/>
        </w:trPr>
        <w:tc>
          <w:tcPr>
            <w:tcW w:w="3547" w:type="dxa"/>
          </w:tcPr>
          <w:p w14:paraId="52E4C141" w14:textId="77777777" w:rsidR="0094759F" w:rsidRPr="008F7F1F" w:rsidRDefault="0094759F" w:rsidP="008667DC">
            <w:pPr>
              <w:jc w:val="both"/>
              <w:rPr>
                <w:color w:val="000000" w:themeColor="text1"/>
              </w:rPr>
            </w:pPr>
            <w:r w:rsidRPr="008F7F1F">
              <w:rPr>
                <w:color w:val="000000" w:themeColor="text1"/>
              </w:rPr>
              <w:t>Tiesiskā regulējuma ietekme uz tautsaimniecību un administratīvo slogu</w:t>
            </w:r>
          </w:p>
        </w:tc>
        <w:tc>
          <w:tcPr>
            <w:tcW w:w="5895" w:type="dxa"/>
          </w:tcPr>
          <w:p w14:paraId="2CD6AF95" w14:textId="77777777" w:rsidR="008667DC" w:rsidRPr="00AA6B67" w:rsidRDefault="00AA6B67" w:rsidP="00FA09D1">
            <w:pPr>
              <w:jc w:val="both"/>
              <w:rPr>
                <w:color w:val="000000" w:themeColor="text1"/>
              </w:rPr>
            </w:pPr>
            <w:r w:rsidRPr="00AA6B67">
              <w:rPr>
                <w:color w:val="000000" w:themeColor="text1"/>
              </w:rPr>
              <w:t>Noteikumu projekts neatstāj ietekmi uz komersantiem noteikto administratīvo slogu.</w:t>
            </w:r>
          </w:p>
          <w:p w14:paraId="14979D8E" w14:textId="77777777" w:rsidR="00AA6B67" w:rsidRDefault="00AA6B67" w:rsidP="00AA6B67">
            <w:pPr>
              <w:jc w:val="both"/>
              <w:rPr>
                <w:bCs/>
                <w:color w:val="000000" w:themeColor="text1"/>
              </w:rPr>
            </w:pPr>
            <w:r w:rsidRPr="00AA6B67">
              <w:rPr>
                <w:color w:val="000000" w:themeColor="text1"/>
              </w:rPr>
              <w:t>Noteikumu projekts neatstāj ietekmi uz tautsaimniecību, jo, pazeminot</w:t>
            </w:r>
            <w:r w:rsidRPr="00AA6B67">
              <w:rPr>
                <w:bCs/>
                <w:color w:val="000000" w:themeColor="text1"/>
              </w:rPr>
              <w:t xml:space="preserve"> elektroenerģijas patēriņa slieksni līdz 0,5 </w:t>
            </w:r>
            <w:proofErr w:type="spellStart"/>
            <w:r w:rsidRPr="00AA6B67">
              <w:rPr>
                <w:bCs/>
                <w:color w:val="000000" w:themeColor="text1"/>
              </w:rPr>
              <w:t>GWh</w:t>
            </w:r>
            <w:proofErr w:type="spellEnd"/>
            <w:r w:rsidRPr="00AA6B67">
              <w:rPr>
                <w:bCs/>
                <w:color w:val="000000" w:themeColor="text1"/>
              </w:rPr>
              <w:t>, tiek sašaurināts atbalstāmo nozaru loks, iekļaujoties šim mērķim paredzētajā valsts budžeta finansējuma apjomā.</w:t>
            </w:r>
          </w:p>
          <w:p w14:paraId="431AC038" w14:textId="77777777" w:rsidR="00F618A0" w:rsidRPr="00023ACB" w:rsidRDefault="00F618A0" w:rsidP="00AA6B67">
            <w:pPr>
              <w:jc w:val="both"/>
              <w:rPr>
                <w:color w:val="000000" w:themeColor="text1"/>
                <w:highlight w:val="yellow"/>
              </w:rPr>
            </w:pPr>
          </w:p>
        </w:tc>
      </w:tr>
      <w:tr w:rsidR="0094759F" w:rsidRPr="00A92F58" w14:paraId="0B8E2F20" w14:textId="77777777" w:rsidTr="0094759F">
        <w:trPr>
          <w:trHeight w:val="481"/>
        </w:trPr>
        <w:tc>
          <w:tcPr>
            <w:tcW w:w="3547" w:type="dxa"/>
          </w:tcPr>
          <w:p w14:paraId="489504B0" w14:textId="77777777" w:rsidR="0094759F" w:rsidRPr="00A92F58" w:rsidRDefault="0094759F" w:rsidP="008667DC">
            <w:pPr>
              <w:jc w:val="both"/>
              <w:rPr>
                <w:color w:val="000000" w:themeColor="text1"/>
              </w:rPr>
            </w:pPr>
            <w:r w:rsidRPr="00A92F58">
              <w:rPr>
                <w:color w:val="000000" w:themeColor="text1"/>
              </w:rPr>
              <w:t>Administratīvo izmaksu monetārs novērtējums</w:t>
            </w:r>
          </w:p>
        </w:tc>
        <w:tc>
          <w:tcPr>
            <w:tcW w:w="5895" w:type="dxa"/>
          </w:tcPr>
          <w:p w14:paraId="17E19E7E" w14:textId="77777777" w:rsidR="00B924C4" w:rsidRPr="00AA6B67" w:rsidRDefault="00B924C4" w:rsidP="00B924C4">
            <w:pPr>
              <w:jc w:val="both"/>
              <w:rPr>
                <w:iCs/>
                <w:color w:val="000000" w:themeColor="text1"/>
              </w:rPr>
            </w:pPr>
            <w:r w:rsidRPr="00AA6B67">
              <w:rPr>
                <w:color w:val="000000" w:themeColor="text1"/>
              </w:rPr>
              <w:t xml:space="preserve">Administratīvo izmaksu novērtējums </w:t>
            </w:r>
            <w:proofErr w:type="spellStart"/>
            <w:r w:rsidRPr="00AA6B67">
              <w:rPr>
                <w:color w:val="000000" w:themeColor="text1"/>
              </w:rPr>
              <w:t>mērķgrupai</w:t>
            </w:r>
            <w:proofErr w:type="spellEnd"/>
            <w:r w:rsidRPr="00AA6B67">
              <w:rPr>
                <w:color w:val="000000" w:themeColor="text1"/>
              </w:rPr>
              <w:t xml:space="preserve">, kuru veido juridiskas personas, netiek veikts, jo ar noteikumu projektu </w:t>
            </w:r>
            <w:r w:rsidR="00023ACB" w:rsidRPr="00AA6B67">
              <w:rPr>
                <w:color w:val="000000" w:themeColor="text1"/>
              </w:rPr>
              <w:t xml:space="preserve">nav </w:t>
            </w:r>
            <w:r w:rsidRPr="00AA6B67">
              <w:rPr>
                <w:color w:val="000000" w:themeColor="text1"/>
              </w:rPr>
              <w:t>paredz</w:t>
            </w:r>
            <w:r w:rsidR="00023ACB" w:rsidRPr="00AA6B67">
              <w:rPr>
                <w:color w:val="000000" w:themeColor="text1"/>
              </w:rPr>
              <w:t>ētas izmaiņas attiecībā uz ikgadējām izmaksām</w:t>
            </w:r>
            <w:r w:rsidRPr="00AA6B67">
              <w:rPr>
                <w:color w:val="000000" w:themeColor="text1"/>
              </w:rPr>
              <w:t xml:space="preserve"> dokumentu sagatavošanai</w:t>
            </w:r>
            <w:r w:rsidRPr="00AA6B67">
              <w:rPr>
                <w:iCs/>
                <w:color w:val="000000" w:themeColor="text1"/>
              </w:rPr>
              <w:t>.</w:t>
            </w:r>
          </w:p>
          <w:p w14:paraId="458A1759" w14:textId="77777777" w:rsidR="00B924C4" w:rsidRPr="00AA6B67" w:rsidRDefault="00B924C4" w:rsidP="00B924C4">
            <w:pPr>
              <w:jc w:val="both"/>
              <w:rPr>
                <w:color w:val="000000" w:themeColor="text1"/>
              </w:rPr>
            </w:pPr>
            <w:r w:rsidRPr="00AA6B67">
              <w:rPr>
                <w:color w:val="000000" w:themeColor="text1"/>
              </w:rPr>
              <w:t>Savukārt, veicot administratīvo izmaksu novērtējumu valsts pārvaldes institūcijām, var norādīt, ka ar noteikumu projektu tiek pa</w:t>
            </w:r>
            <w:r w:rsidR="00023ACB" w:rsidRPr="00AA6B67">
              <w:rPr>
                <w:color w:val="000000" w:themeColor="text1"/>
              </w:rPr>
              <w:t>plašināts uzņēmumu loks, kuri var pretendēt uz atbalsta saņemšanu</w:t>
            </w:r>
            <w:r w:rsidR="00AA6B67" w:rsidRPr="00AA6B67">
              <w:rPr>
                <w:color w:val="000000" w:themeColor="text1"/>
              </w:rPr>
              <w:t xml:space="preserve">. Līdz ar to Ekonomikas ministrijai būs nepieciešams nodrošināt </w:t>
            </w:r>
            <w:r w:rsidRPr="00AA6B67">
              <w:rPr>
                <w:color w:val="000000" w:themeColor="text1"/>
              </w:rPr>
              <w:t>papildu pienākum</w:t>
            </w:r>
            <w:r w:rsidR="00AA6B67" w:rsidRPr="00AA6B67">
              <w:rPr>
                <w:color w:val="000000" w:themeColor="text1"/>
              </w:rPr>
              <w:t>u veikšanu</w:t>
            </w:r>
            <w:r w:rsidRPr="00AA6B67">
              <w:rPr>
                <w:color w:val="000000" w:themeColor="text1"/>
              </w:rPr>
              <w:t xml:space="preserve"> saistībā ar komersantu iesniegtās informācijas pārbaudi un administratīva lēmuma pieņemšanu. </w:t>
            </w:r>
          </w:p>
          <w:p w14:paraId="17841586" w14:textId="77777777" w:rsidR="00F2130A" w:rsidRDefault="00B924C4" w:rsidP="00AA6B67">
            <w:pPr>
              <w:jc w:val="both"/>
              <w:rPr>
                <w:color w:val="000000" w:themeColor="text1"/>
              </w:rPr>
            </w:pPr>
            <w:r w:rsidRPr="00AA6B67">
              <w:rPr>
                <w:color w:val="000000" w:themeColor="text1"/>
              </w:rPr>
              <w:t xml:space="preserve">Pēc Ekonomikas ministrijas prognozēm uz samazinātu līdzdalību izdevumu kompensēšanai publiskajam tirgotājam varētu pieteikties (arī komersanti, kas nekvalificētos visām noteikumu projekta prasībām) provizoriski </w:t>
            </w:r>
            <w:r w:rsidR="00AA6B67" w:rsidRPr="00AA6B67">
              <w:t>100</w:t>
            </w:r>
            <w:r w:rsidRPr="00AA6B67">
              <w:t xml:space="preserve"> </w:t>
            </w:r>
            <w:r w:rsidRPr="00AA6B67">
              <w:rPr>
                <w:color w:val="000000" w:themeColor="text1"/>
              </w:rPr>
              <w:t>komersanti.</w:t>
            </w:r>
          </w:p>
          <w:p w14:paraId="5DAE876C" w14:textId="77777777" w:rsidR="00F618A0" w:rsidRPr="00023ACB" w:rsidRDefault="00F618A0" w:rsidP="00AA6B67">
            <w:pPr>
              <w:jc w:val="both"/>
              <w:rPr>
                <w:color w:val="000000" w:themeColor="text1"/>
                <w:highlight w:val="yellow"/>
              </w:rPr>
            </w:pPr>
          </w:p>
        </w:tc>
      </w:tr>
      <w:tr w:rsidR="0094759F" w:rsidRPr="00A92F58" w14:paraId="25E8912C" w14:textId="77777777" w:rsidTr="0094759F">
        <w:trPr>
          <w:trHeight w:val="274"/>
        </w:trPr>
        <w:tc>
          <w:tcPr>
            <w:tcW w:w="3547" w:type="dxa"/>
          </w:tcPr>
          <w:p w14:paraId="68B29FE3" w14:textId="77777777" w:rsidR="0094759F" w:rsidRPr="00A92F58" w:rsidRDefault="0094759F" w:rsidP="008667DC">
            <w:pPr>
              <w:jc w:val="both"/>
              <w:rPr>
                <w:color w:val="000000" w:themeColor="text1"/>
              </w:rPr>
            </w:pPr>
            <w:r w:rsidRPr="00A92F58">
              <w:rPr>
                <w:color w:val="000000" w:themeColor="text1"/>
              </w:rPr>
              <w:t>Cita informācija</w:t>
            </w:r>
          </w:p>
        </w:tc>
        <w:tc>
          <w:tcPr>
            <w:tcW w:w="5895" w:type="dxa"/>
          </w:tcPr>
          <w:p w14:paraId="27ACA953" w14:textId="77777777" w:rsidR="0094759F" w:rsidRPr="008F7F1F" w:rsidRDefault="00F2130A" w:rsidP="008667DC">
            <w:pPr>
              <w:jc w:val="both"/>
              <w:rPr>
                <w:color w:val="000000" w:themeColor="text1"/>
              </w:rPr>
            </w:pPr>
            <w:r w:rsidRPr="008F7F1F">
              <w:rPr>
                <w:color w:val="000000" w:themeColor="text1"/>
              </w:rPr>
              <w:t>Nav.</w:t>
            </w:r>
          </w:p>
        </w:tc>
      </w:tr>
    </w:tbl>
    <w:p w14:paraId="66160B6A" w14:textId="77777777" w:rsidR="00AA6B67" w:rsidRPr="00C05940" w:rsidRDefault="00AA6B67" w:rsidP="00AA6B67">
      <w:pPr>
        <w:rPr>
          <w:color w:val="000000" w:themeColor="text1"/>
        </w:rPr>
      </w:pPr>
    </w:p>
    <w:tbl>
      <w:tblPr>
        <w:tblStyle w:val="TableGrid"/>
        <w:tblW w:w="9527" w:type="dxa"/>
        <w:tblInd w:w="-318" w:type="dxa"/>
        <w:tblLook w:val="04A0" w:firstRow="1" w:lastRow="0" w:firstColumn="1" w:lastColumn="0" w:noHBand="0" w:noVBand="1"/>
      </w:tblPr>
      <w:tblGrid>
        <w:gridCol w:w="455"/>
        <w:gridCol w:w="3119"/>
        <w:gridCol w:w="5953"/>
      </w:tblGrid>
      <w:tr w:rsidR="00AA6B67" w:rsidRPr="00C05940" w14:paraId="5F2465DC" w14:textId="77777777" w:rsidTr="00F618A0">
        <w:tc>
          <w:tcPr>
            <w:tcW w:w="9527" w:type="dxa"/>
            <w:gridSpan w:val="3"/>
          </w:tcPr>
          <w:p w14:paraId="76C0D7D1" w14:textId="77777777" w:rsidR="00AA6B67" w:rsidRPr="00C05940" w:rsidRDefault="00AA6B67" w:rsidP="00D507C0">
            <w:pPr>
              <w:jc w:val="center"/>
              <w:rPr>
                <w:b/>
                <w:color w:val="000000" w:themeColor="text1"/>
              </w:rPr>
            </w:pPr>
            <w:r w:rsidRPr="00C05940">
              <w:rPr>
                <w:b/>
                <w:color w:val="000000" w:themeColor="text1"/>
              </w:rPr>
              <w:t>V. Tiesību akta projekta atbilstība Latvijas Republikas starptautiskajām saistībām</w:t>
            </w:r>
          </w:p>
        </w:tc>
      </w:tr>
      <w:tr w:rsidR="00AA6B67" w:rsidRPr="00C05940" w14:paraId="4540B341" w14:textId="77777777" w:rsidTr="00F618A0">
        <w:tc>
          <w:tcPr>
            <w:tcW w:w="455" w:type="dxa"/>
          </w:tcPr>
          <w:p w14:paraId="1264895C" w14:textId="77777777" w:rsidR="00AA6B67" w:rsidRPr="00C05940" w:rsidRDefault="00AA6B67" w:rsidP="00D507C0">
            <w:pPr>
              <w:rPr>
                <w:color w:val="000000" w:themeColor="text1"/>
              </w:rPr>
            </w:pPr>
            <w:r w:rsidRPr="00C05940">
              <w:rPr>
                <w:color w:val="000000" w:themeColor="text1"/>
              </w:rPr>
              <w:t>1.</w:t>
            </w:r>
          </w:p>
        </w:tc>
        <w:tc>
          <w:tcPr>
            <w:tcW w:w="3119" w:type="dxa"/>
          </w:tcPr>
          <w:p w14:paraId="35F63922" w14:textId="77777777" w:rsidR="00AA6B67" w:rsidRPr="00C05940" w:rsidRDefault="00AA6B67" w:rsidP="00D507C0">
            <w:pPr>
              <w:rPr>
                <w:color w:val="000000" w:themeColor="text1"/>
              </w:rPr>
            </w:pPr>
            <w:r w:rsidRPr="00C05940">
              <w:rPr>
                <w:color w:val="000000" w:themeColor="text1"/>
              </w:rPr>
              <w:t>Saistības pret Eiropas Savienību</w:t>
            </w:r>
          </w:p>
        </w:tc>
        <w:tc>
          <w:tcPr>
            <w:tcW w:w="5953" w:type="dxa"/>
          </w:tcPr>
          <w:p w14:paraId="129C5376" w14:textId="77777777" w:rsidR="00054351" w:rsidRDefault="00054351" w:rsidP="00054351">
            <w:pPr>
              <w:jc w:val="both"/>
              <w:rPr>
                <w:color w:val="000000" w:themeColor="text1"/>
              </w:rPr>
            </w:pPr>
            <w:r w:rsidRPr="00C05940">
              <w:rPr>
                <w:color w:val="000000" w:themeColor="text1"/>
              </w:rPr>
              <w:t xml:space="preserve">Ministru kabineta noteikumu projekts ievēro Pamatnostādnēs izklāstītos nosacījumus, atbilstoši kuriem atbalstu enerģētikas un vides jomā var uzskatīt par saderīgu ar iekšējo tirgu saskaņā ar Līguma par  Eiropas Savienības darbību 107.panta 3.punkta c) apakšpunktam. Atbilstoši Pamatnostādņu 18.punkta j) apakšpunktam atbalsts, ko sniedz, samazinot līdzdalību elektroenerģijas no atjaunojamiem energoresursiem finansēšanā, var būt </w:t>
            </w:r>
            <w:r w:rsidRPr="00C05940">
              <w:rPr>
                <w:color w:val="000000" w:themeColor="text1"/>
              </w:rPr>
              <w:lastRenderedPageBreak/>
              <w:t>saderī</w:t>
            </w:r>
            <w:r>
              <w:rPr>
                <w:color w:val="000000" w:themeColor="text1"/>
              </w:rPr>
              <w:t>gs ar iekšējo tirgu atbilstoši Līguma par</w:t>
            </w:r>
            <w:r w:rsidRPr="00C05940">
              <w:rPr>
                <w:color w:val="000000" w:themeColor="text1"/>
              </w:rPr>
              <w:t xml:space="preserve"> Eiropas Savienības darbību 107.panta 3.punkta c) apakšpunktam.</w:t>
            </w:r>
          </w:p>
          <w:p w14:paraId="524080FA" w14:textId="056D6F48" w:rsidR="00DC2609" w:rsidRDefault="00ED4EA8" w:rsidP="00054351">
            <w:pPr>
              <w:jc w:val="both"/>
              <w:rPr>
                <w:color w:val="000000" w:themeColor="text1"/>
              </w:rPr>
            </w:pPr>
            <w:r>
              <w:rPr>
                <w:color w:val="000000" w:themeColor="text1"/>
              </w:rPr>
              <w:t>Ministru kabineta noteikumu projekta</w:t>
            </w:r>
            <w:r w:rsidR="00DC2609">
              <w:rPr>
                <w:color w:val="000000" w:themeColor="text1"/>
              </w:rPr>
              <w:t xml:space="preserve"> 1.punkts atbilst Pamatnostādņu 3.7.2. sadaļā noteiktajiem nosacījumiem.</w:t>
            </w:r>
          </w:p>
          <w:p w14:paraId="6AE01A1C" w14:textId="4A064817" w:rsidR="00054351" w:rsidRDefault="00DC2609" w:rsidP="00054351">
            <w:pPr>
              <w:jc w:val="both"/>
              <w:rPr>
                <w:color w:val="000000" w:themeColor="text1"/>
              </w:rPr>
            </w:pPr>
            <w:r>
              <w:rPr>
                <w:color w:val="000000" w:themeColor="text1"/>
              </w:rPr>
              <w:t>Ministru kabineta noteikumu projekta 2</w:t>
            </w:r>
            <w:r w:rsidR="00ED4EA8">
              <w:rPr>
                <w:color w:val="000000" w:themeColor="text1"/>
              </w:rPr>
              <w:t>.punkts atbils</w:t>
            </w:r>
            <w:r w:rsidR="00207BDD">
              <w:rPr>
                <w:color w:val="000000" w:themeColor="text1"/>
              </w:rPr>
              <w:t xml:space="preserve">t Pamatnostādņu 4.pielikuma 2.punktam un 3.zemsvītres atsaucei attiecībā uz </w:t>
            </w:r>
            <w:proofErr w:type="spellStart"/>
            <w:r w:rsidR="00207BDD">
              <w:rPr>
                <w:color w:val="000000" w:themeColor="text1"/>
              </w:rPr>
              <w:t>elektrointensitātes</w:t>
            </w:r>
            <w:proofErr w:type="spellEnd"/>
            <w:r w:rsidR="00207BDD">
              <w:rPr>
                <w:color w:val="000000" w:themeColor="text1"/>
              </w:rPr>
              <w:t xml:space="preserve"> aprēķināšanu pievienotajā bruto vērtībā.</w:t>
            </w:r>
          </w:p>
          <w:p w14:paraId="199831F2" w14:textId="63F88C20" w:rsidR="00ED4EA8" w:rsidRDefault="00ED4EA8" w:rsidP="00ED4EA8">
            <w:pPr>
              <w:jc w:val="both"/>
              <w:rPr>
                <w:color w:val="000000" w:themeColor="text1"/>
              </w:rPr>
            </w:pPr>
            <w:r>
              <w:rPr>
                <w:color w:val="000000" w:themeColor="text1"/>
              </w:rPr>
              <w:t>Minist</w:t>
            </w:r>
            <w:r w:rsidR="00DC2609">
              <w:rPr>
                <w:color w:val="000000" w:themeColor="text1"/>
              </w:rPr>
              <w:t>ru kabineta noteikumu projekta 3</w:t>
            </w:r>
            <w:r w:rsidR="00594CAC">
              <w:rPr>
                <w:color w:val="000000" w:themeColor="text1"/>
              </w:rPr>
              <w:t>., 4. un 5</w:t>
            </w:r>
            <w:r>
              <w:rPr>
                <w:color w:val="000000" w:themeColor="text1"/>
              </w:rPr>
              <w:t>. punkts atbilst Pamatnostādņu</w:t>
            </w:r>
            <w:r w:rsidR="00207BDD">
              <w:rPr>
                <w:color w:val="000000" w:themeColor="text1"/>
              </w:rPr>
              <w:t xml:space="preserve"> 3.7.2. sadaļā noteiktajiem nosacījumiem attiecībā uz dalībvalstu gribu atbalstīt </w:t>
            </w:r>
            <w:proofErr w:type="spellStart"/>
            <w:r w:rsidR="00207BDD">
              <w:rPr>
                <w:color w:val="000000" w:themeColor="text1"/>
              </w:rPr>
              <w:t>energointensīvos</w:t>
            </w:r>
            <w:proofErr w:type="spellEnd"/>
            <w:r w:rsidR="00207BDD">
              <w:rPr>
                <w:color w:val="000000" w:themeColor="text1"/>
              </w:rPr>
              <w:t xml:space="preserve"> apstrādes rūpniecības komersantus, nosakot atbalsta saņemšanas kritērijus un paralēli veicinot atjaunojamo energoresursu </w:t>
            </w:r>
            <w:r w:rsidR="00757692">
              <w:rPr>
                <w:color w:val="000000" w:themeColor="text1"/>
              </w:rPr>
              <w:t>izmantošanu enerģijas ražošanā.</w:t>
            </w:r>
          </w:p>
          <w:p w14:paraId="5CFFBB1E" w14:textId="61E016A0" w:rsidR="00594CAC" w:rsidRDefault="00594CAC" w:rsidP="00594CAC">
            <w:pPr>
              <w:jc w:val="both"/>
              <w:rPr>
                <w:color w:val="000000" w:themeColor="text1"/>
              </w:rPr>
            </w:pPr>
            <w:r>
              <w:rPr>
                <w:color w:val="000000" w:themeColor="text1"/>
              </w:rPr>
              <w:t>Ministru kabineta not</w:t>
            </w:r>
            <w:r>
              <w:rPr>
                <w:color w:val="000000" w:themeColor="text1"/>
              </w:rPr>
              <w:t>eikumu projekta 6., 7., 8., 9., 10. un 13.punkts atbilst Pamatnostādņu 3.7.2. sadaļā un 4.pielikumā noteiktajiem nosacījumiem par komersanta pievienotās bruto pelņas aprēķināšanu.</w:t>
            </w:r>
          </w:p>
          <w:p w14:paraId="30D80C80" w14:textId="0C1E6E7C" w:rsidR="00757692" w:rsidRDefault="00757692" w:rsidP="00ED4EA8">
            <w:pPr>
              <w:jc w:val="both"/>
              <w:rPr>
                <w:color w:val="000000" w:themeColor="text1"/>
              </w:rPr>
            </w:pPr>
            <w:r>
              <w:rPr>
                <w:color w:val="000000" w:themeColor="text1"/>
              </w:rPr>
              <w:t>Minist</w:t>
            </w:r>
            <w:r w:rsidR="00594CAC">
              <w:rPr>
                <w:color w:val="000000" w:themeColor="text1"/>
              </w:rPr>
              <w:t>ru kabineta noteikumu projekta 11</w:t>
            </w:r>
            <w:r>
              <w:rPr>
                <w:color w:val="000000" w:themeColor="text1"/>
              </w:rPr>
              <w:t xml:space="preserve">.punkts atbilst Pamatnostādņu 185.punktam un 3. un 5.pielikumam. Ņemot vērā ierobežotos valsts budžeta finanšu līdzekļus, kā arī, lai nodrošinātu vienas nozares uzņēmumu </w:t>
            </w:r>
            <w:proofErr w:type="spellStart"/>
            <w:r>
              <w:rPr>
                <w:color w:val="000000" w:themeColor="text1"/>
              </w:rPr>
              <w:t>nediskrimināciju</w:t>
            </w:r>
            <w:proofErr w:type="spellEnd"/>
            <w:r>
              <w:rPr>
                <w:color w:val="000000" w:themeColor="text1"/>
              </w:rPr>
              <w:t xml:space="preserve"> un sabiedrības pozitīvu atbalstu atjaunojamās enerģijas veicināšanai, ir sašaurināts atbalstāmo nozaru saraksts, balstoties uz šo nozaru uzņēmumu pienesumu Latvijas tautsaimniecības attīstībai, eksportspējai un </w:t>
            </w:r>
            <w:proofErr w:type="spellStart"/>
            <w:r>
              <w:rPr>
                <w:color w:val="000000" w:themeColor="text1"/>
              </w:rPr>
              <w:t>energointensitātei</w:t>
            </w:r>
            <w:proofErr w:type="spellEnd"/>
            <w:r>
              <w:rPr>
                <w:color w:val="000000" w:themeColor="text1"/>
              </w:rPr>
              <w:t>. Eiropas Komisija 2015.gada 14.decembra vēstulē Nr. B2/AC/DB/</w:t>
            </w:r>
            <w:proofErr w:type="spellStart"/>
            <w:r>
              <w:rPr>
                <w:color w:val="000000" w:themeColor="text1"/>
              </w:rPr>
              <w:t>ad</w:t>
            </w:r>
            <w:proofErr w:type="spellEnd"/>
            <w:r>
              <w:rPr>
                <w:color w:val="000000" w:themeColor="text1"/>
              </w:rPr>
              <w:t xml:space="preserve"> D*2015/142873 ir norādījusi, ka var tikt izmantoti alternatīvie kritēriji, tai skaitā, atbalstāmo nozaru saraksta samazināšana ar mērķi nodrošināt vienas nozares uzņēmumu savstarpējo </w:t>
            </w:r>
            <w:proofErr w:type="spellStart"/>
            <w:r>
              <w:rPr>
                <w:color w:val="000000" w:themeColor="text1"/>
              </w:rPr>
              <w:t>nediskrimināciju</w:t>
            </w:r>
            <w:proofErr w:type="spellEnd"/>
            <w:r>
              <w:rPr>
                <w:color w:val="000000" w:themeColor="text1"/>
              </w:rPr>
              <w:t xml:space="preserve"> ierobežotu valsts budžeta līdzekļu situācijā.</w:t>
            </w:r>
          </w:p>
          <w:p w14:paraId="5BA4DCFA" w14:textId="268AB4E4" w:rsidR="00AA6B67" w:rsidRDefault="00757692" w:rsidP="0080699C">
            <w:pPr>
              <w:jc w:val="both"/>
              <w:rPr>
                <w:color w:val="000000" w:themeColor="text1"/>
              </w:rPr>
            </w:pPr>
            <w:r>
              <w:rPr>
                <w:color w:val="000000" w:themeColor="text1"/>
              </w:rPr>
              <w:t>Minist</w:t>
            </w:r>
            <w:r w:rsidR="00594CAC">
              <w:rPr>
                <w:color w:val="000000" w:themeColor="text1"/>
              </w:rPr>
              <w:t>ru kabineta noteikumu projekta 12</w:t>
            </w:r>
            <w:r>
              <w:rPr>
                <w:color w:val="000000" w:themeColor="text1"/>
              </w:rPr>
              <w:t>.punkts atbilst Pamatnostādņu</w:t>
            </w:r>
            <w:r w:rsidR="0080699C">
              <w:rPr>
                <w:color w:val="000000" w:themeColor="text1"/>
              </w:rPr>
              <w:t xml:space="preserve"> 191.punkta un 4.pielikuma prasībām, nosakot, ka komersants, aprēķinot pievienoto bruto vērtību, balstās tikai un vienīgi uz Latvijā patērēto elektroenerģiju un ieskaita tikai to elektroenerģiju, kas patērēta ražošanas procesā. Šādā veidā tiktu novērsti potenciālie gadījumi, kad komersants pretendē uz samazināto obligātā iepirkuma komponentes līdzdalības maksājumu par ārpus Latvijas Republikas robežām patērēto </w:t>
            </w:r>
            <w:proofErr w:type="spellStart"/>
            <w:r w:rsidR="0080699C">
              <w:rPr>
                <w:color w:val="000000" w:themeColor="text1"/>
              </w:rPr>
              <w:t>elektroeneģiju</w:t>
            </w:r>
            <w:proofErr w:type="spellEnd"/>
            <w:r w:rsidR="0080699C">
              <w:rPr>
                <w:color w:val="000000" w:themeColor="text1"/>
              </w:rPr>
              <w:t xml:space="preserve"> (vai nu kādā Eiropas Savienības dalībvalstī, vai nu kādā trešajā valstī), tādejādi uzliekot papildus slogu Latvijas Republikas valsts budžetam un pārējiem elektroenerģijas gala lietotājiem.</w:t>
            </w:r>
          </w:p>
          <w:p w14:paraId="41FA955C" w14:textId="1CFF97B2" w:rsidR="00704B60" w:rsidRPr="00C05940" w:rsidRDefault="00704B60" w:rsidP="0080699C">
            <w:pPr>
              <w:jc w:val="both"/>
              <w:rPr>
                <w:color w:val="000000" w:themeColor="text1"/>
              </w:rPr>
            </w:pPr>
          </w:p>
        </w:tc>
      </w:tr>
      <w:tr w:rsidR="00AA6B67" w:rsidRPr="00C05940" w14:paraId="40526724" w14:textId="77777777" w:rsidTr="00F618A0">
        <w:tc>
          <w:tcPr>
            <w:tcW w:w="455" w:type="dxa"/>
          </w:tcPr>
          <w:p w14:paraId="5E298D5E" w14:textId="32205989" w:rsidR="00AA6B67" w:rsidRPr="00C05940" w:rsidRDefault="00AA6B67" w:rsidP="00D507C0">
            <w:pPr>
              <w:rPr>
                <w:color w:val="000000" w:themeColor="text1"/>
              </w:rPr>
            </w:pPr>
            <w:r w:rsidRPr="00C05940">
              <w:rPr>
                <w:color w:val="000000" w:themeColor="text1"/>
              </w:rPr>
              <w:lastRenderedPageBreak/>
              <w:t>2.</w:t>
            </w:r>
          </w:p>
        </w:tc>
        <w:tc>
          <w:tcPr>
            <w:tcW w:w="3119" w:type="dxa"/>
          </w:tcPr>
          <w:p w14:paraId="7B21374C" w14:textId="77777777" w:rsidR="00AA6B67" w:rsidRPr="00C05940" w:rsidRDefault="00AA6B67" w:rsidP="00D507C0">
            <w:pPr>
              <w:rPr>
                <w:color w:val="000000" w:themeColor="text1"/>
              </w:rPr>
            </w:pPr>
            <w:r w:rsidRPr="00C05940">
              <w:rPr>
                <w:color w:val="000000" w:themeColor="text1"/>
              </w:rPr>
              <w:t>Citas starptautiskās saistības</w:t>
            </w:r>
          </w:p>
        </w:tc>
        <w:tc>
          <w:tcPr>
            <w:tcW w:w="5953" w:type="dxa"/>
          </w:tcPr>
          <w:p w14:paraId="44534AE1" w14:textId="77777777" w:rsidR="00AA6B67" w:rsidRPr="00C05940" w:rsidRDefault="00AA6B67" w:rsidP="00D507C0">
            <w:pPr>
              <w:rPr>
                <w:color w:val="000000" w:themeColor="text1"/>
              </w:rPr>
            </w:pPr>
            <w:r w:rsidRPr="00C05940">
              <w:rPr>
                <w:color w:val="000000" w:themeColor="text1"/>
              </w:rPr>
              <w:t>Nav attiecināms.</w:t>
            </w:r>
          </w:p>
          <w:p w14:paraId="4A6C85B6" w14:textId="77777777" w:rsidR="00AA6B67" w:rsidRPr="00C05940" w:rsidRDefault="00AA6B67" w:rsidP="00D507C0">
            <w:pPr>
              <w:rPr>
                <w:color w:val="000000" w:themeColor="text1"/>
              </w:rPr>
            </w:pPr>
          </w:p>
        </w:tc>
      </w:tr>
      <w:tr w:rsidR="00AA6B67" w:rsidRPr="00C05940" w14:paraId="63D43713" w14:textId="77777777" w:rsidTr="00F618A0">
        <w:tc>
          <w:tcPr>
            <w:tcW w:w="455" w:type="dxa"/>
          </w:tcPr>
          <w:p w14:paraId="344BA99E" w14:textId="77777777" w:rsidR="00AA6B67" w:rsidRPr="00C05940" w:rsidRDefault="00AA6B67" w:rsidP="00D507C0">
            <w:pPr>
              <w:rPr>
                <w:color w:val="000000" w:themeColor="text1"/>
              </w:rPr>
            </w:pPr>
            <w:r w:rsidRPr="00C05940">
              <w:rPr>
                <w:color w:val="000000" w:themeColor="text1"/>
              </w:rPr>
              <w:t>3.</w:t>
            </w:r>
          </w:p>
        </w:tc>
        <w:tc>
          <w:tcPr>
            <w:tcW w:w="3119" w:type="dxa"/>
          </w:tcPr>
          <w:p w14:paraId="55B6EE8F" w14:textId="77777777" w:rsidR="00AA6B67" w:rsidRPr="00C05940" w:rsidRDefault="00AA6B67" w:rsidP="00D507C0">
            <w:pPr>
              <w:rPr>
                <w:color w:val="000000" w:themeColor="text1"/>
              </w:rPr>
            </w:pPr>
            <w:r w:rsidRPr="00C05940">
              <w:rPr>
                <w:color w:val="000000" w:themeColor="text1"/>
              </w:rPr>
              <w:t>Cita informācija</w:t>
            </w:r>
          </w:p>
        </w:tc>
        <w:tc>
          <w:tcPr>
            <w:tcW w:w="5953" w:type="dxa"/>
          </w:tcPr>
          <w:p w14:paraId="1D94A73A" w14:textId="77777777" w:rsidR="00AA6B67" w:rsidRDefault="00054351" w:rsidP="00054351">
            <w:pPr>
              <w:rPr>
                <w:color w:val="000000" w:themeColor="text1"/>
              </w:rPr>
            </w:pPr>
            <w:r w:rsidRPr="00C05940">
              <w:rPr>
                <w:color w:val="000000" w:themeColor="text1"/>
              </w:rPr>
              <w:t>Nav attiecināms.</w:t>
            </w:r>
          </w:p>
          <w:p w14:paraId="7BE6E460" w14:textId="485C722B" w:rsidR="00054351" w:rsidRPr="00C05940" w:rsidRDefault="00054351" w:rsidP="00054351">
            <w:pPr>
              <w:rPr>
                <w:color w:val="000000" w:themeColor="text1"/>
              </w:rPr>
            </w:pPr>
          </w:p>
        </w:tc>
      </w:tr>
    </w:tbl>
    <w:p w14:paraId="5F51CC03" w14:textId="77777777" w:rsidR="00AA6B67" w:rsidRPr="00C05940" w:rsidRDefault="00AA6B67" w:rsidP="00AA6B67">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A92F58" w14:paraId="581C58E1" w14:textId="77777777" w:rsidTr="00AC1F53">
        <w:tc>
          <w:tcPr>
            <w:tcW w:w="9361" w:type="dxa"/>
            <w:gridSpan w:val="3"/>
            <w:vAlign w:val="center"/>
          </w:tcPr>
          <w:p w14:paraId="600C6F72" w14:textId="77777777" w:rsidR="001C1A2E" w:rsidRPr="001C1A2E" w:rsidRDefault="001C1A2E" w:rsidP="008667DC">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14:paraId="406C9E34" w14:textId="77777777" w:rsidTr="0094759F">
        <w:trPr>
          <w:trHeight w:val="128"/>
        </w:trPr>
        <w:tc>
          <w:tcPr>
            <w:tcW w:w="404" w:type="dxa"/>
          </w:tcPr>
          <w:p w14:paraId="528AA23A"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1.</w:t>
            </w:r>
          </w:p>
        </w:tc>
        <w:tc>
          <w:tcPr>
            <w:tcW w:w="3145" w:type="dxa"/>
          </w:tcPr>
          <w:p w14:paraId="2B7E79E4" w14:textId="77777777" w:rsidR="001C1A2E" w:rsidRPr="00A92F58" w:rsidRDefault="001C1A2E" w:rsidP="008667DC">
            <w:pPr>
              <w:rPr>
                <w:color w:val="000000" w:themeColor="text1"/>
              </w:rPr>
            </w:pPr>
            <w:r w:rsidRPr="00A92F58">
              <w:rPr>
                <w:color w:val="000000" w:themeColor="text1"/>
              </w:rPr>
              <w:t>Projekta izpildē iesaistītās institūcijas</w:t>
            </w:r>
          </w:p>
        </w:tc>
        <w:tc>
          <w:tcPr>
            <w:tcW w:w="5812" w:type="dxa"/>
          </w:tcPr>
          <w:p w14:paraId="2E16EC1B" w14:textId="77777777" w:rsidR="001C1A2E" w:rsidRPr="008F7F1F" w:rsidRDefault="00DB1DA9" w:rsidP="008667DC">
            <w:pPr>
              <w:jc w:val="both"/>
              <w:rPr>
                <w:color w:val="000000" w:themeColor="text1"/>
              </w:rPr>
            </w:pPr>
            <w:r w:rsidRPr="008F7F1F">
              <w:rPr>
                <w:color w:val="000000" w:themeColor="text1"/>
              </w:rPr>
              <w:t>Ekonomikas ministrija.</w:t>
            </w:r>
          </w:p>
        </w:tc>
      </w:tr>
      <w:tr w:rsidR="00B924C4" w:rsidRPr="00A92F58" w14:paraId="4B177DFD" w14:textId="77777777" w:rsidTr="0094759F">
        <w:trPr>
          <w:trHeight w:val="472"/>
        </w:trPr>
        <w:tc>
          <w:tcPr>
            <w:tcW w:w="404" w:type="dxa"/>
          </w:tcPr>
          <w:p w14:paraId="21FDF4ED" w14:textId="77777777" w:rsidR="00B924C4" w:rsidRPr="00A92F58" w:rsidRDefault="00B924C4" w:rsidP="00B924C4">
            <w:pPr>
              <w:pStyle w:val="naiskr"/>
              <w:spacing w:before="0" w:beforeAutospacing="0" w:after="0" w:afterAutospacing="0"/>
              <w:rPr>
                <w:color w:val="000000" w:themeColor="text1"/>
              </w:rPr>
            </w:pPr>
            <w:r w:rsidRPr="00A92F58">
              <w:rPr>
                <w:color w:val="000000" w:themeColor="text1"/>
              </w:rPr>
              <w:t>2.</w:t>
            </w:r>
          </w:p>
        </w:tc>
        <w:tc>
          <w:tcPr>
            <w:tcW w:w="3145" w:type="dxa"/>
          </w:tcPr>
          <w:p w14:paraId="26A9FF3E" w14:textId="77777777" w:rsidR="00B924C4" w:rsidRPr="00A92F58" w:rsidRDefault="00B924C4" w:rsidP="00B924C4">
            <w:pPr>
              <w:jc w:val="both"/>
              <w:rPr>
                <w:color w:val="000000" w:themeColor="text1"/>
              </w:rPr>
            </w:pPr>
            <w:r w:rsidRPr="00A92F58">
              <w:rPr>
                <w:color w:val="000000" w:themeColor="text1"/>
              </w:rPr>
              <w:t xml:space="preserve">Projekta izpildes ietekme uz pārvaldes funkcijām un institucionālo struktūru. </w:t>
            </w:r>
          </w:p>
          <w:p w14:paraId="62B1AA83" w14:textId="77777777" w:rsidR="00B924C4" w:rsidRPr="00A92F58" w:rsidRDefault="00B924C4" w:rsidP="00B924C4">
            <w:pPr>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5812" w:type="dxa"/>
          </w:tcPr>
          <w:p w14:paraId="54E75E3F" w14:textId="77777777" w:rsidR="00B924C4" w:rsidRPr="00C05940" w:rsidRDefault="00B924C4" w:rsidP="00B924C4">
            <w:pPr>
              <w:jc w:val="both"/>
              <w:rPr>
                <w:color w:val="000000" w:themeColor="text1"/>
              </w:rPr>
            </w:pPr>
            <w:r w:rsidRPr="00C05940">
              <w:t>Projekts šo jomu neskar.</w:t>
            </w:r>
          </w:p>
        </w:tc>
      </w:tr>
      <w:tr w:rsidR="00B924C4" w:rsidRPr="00A92F58" w14:paraId="564714DC" w14:textId="77777777" w:rsidTr="0094759F">
        <w:trPr>
          <w:trHeight w:val="156"/>
        </w:trPr>
        <w:tc>
          <w:tcPr>
            <w:tcW w:w="404" w:type="dxa"/>
          </w:tcPr>
          <w:p w14:paraId="5F492A5A" w14:textId="77777777" w:rsidR="00B924C4" w:rsidRPr="00A92F58" w:rsidRDefault="00B924C4" w:rsidP="00B924C4">
            <w:pPr>
              <w:pStyle w:val="naiskr"/>
              <w:spacing w:before="0" w:beforeAutospacing="0" w:after="0" w:afterAutospacing="0"/>
              <w:rPr>
                <w:color w:val="000000" w:themeColor="text1"/>
              </w:rPr>
            </w:pPr>
            <w:r w:rsidRPr="00A92F58">
              <w:rPr>
                <w:color w:val="000000" w:themeColor="text1"/>
              </w:rPr>
              <w:t>3.</w:t>
            </w:r>
          </w:p>
        </w:tc>
        <w:tc>
          <w:tcPr>
            <w:tcW w:w="3145" w:type="dxa"/>
          </w:tcPr>
          <w:p w14:paraId="14EA9790" w14:textId="77777777" w:rsidR="00B924C4" w:rsidRPr="00A92F58" w:rsidRDefault="00B924C4" w:rsidP="00B924C4">
            <w:pPr>
              <w:rPr>
                <w:color w:val="000000" w:themeColor="text1"/>
              </w:rPr>
            </w:pPr>
            <w:r w:rsidRPr="00A92F58">
              <w:rPr>
                <w:color w:val="000000" w:themeColor="text1"/>
              </w:rPr>
              <w:t>Cita informācija</w:t>
            </w:r>
          </w:p>
        </w:tc>
        <w:tc>
          <w:tcPr>
            <w:tcW w:w="5812" w:type="dxa"/>
          </w:tcPr>
          <w:p w14:paraId="06C53320" w14:textId="77777777" w:rsidR="00B924C4" w:rsidRPr="00C05940" w:rsidRDefault="00B924C4" w:rsidP="00B924C4">
            <w:r>
              <w:t>Nav.</w:t>
            </w:r>
          </w:p>
        </w:tc>
      </w:tr>
    </w:tbl>
    <w:p w14:paraId="7FF82BA3" w14:textId="77777777" w:rsidR="001C1A2E" w:rsidRPr="00A92F58" w:rsidRDefault="001C1A2E" w:rsidP="00790CA8">
      <w:pPr>
        <w:ind w:firstLine="720"/>
        <w:jc w:val="center"/>
        <w:rPr>
          <w:i/>
          <w:color w:val="000000" w:themeColor="text1"/>
        </w:rPr>
      </w:pPr>
      <w:r w:rsidRPr="00A92F58">
        <w:rPr>
          <w:i/>
          <w:color w:val="000000" w:themeColor="text1"/>
        </w:rPr>
        <w:t xml:space="preserve">Anotācijas </w:t>
      </w:r>
      <w:r w:rsidR="007C1F2A">
        <w:rPr>
          <w:i/>
          <w:color w:val="000000" w:themeColor="text1"/>
        </w:rPr>
        <w:t>III, IV,</w:t>
      </w:r>
      <w:r w:rsidR="00454A67">
        <w:rPr>
          <w:i/>
          <w:color w:val="000000" w:themeColor="text1"/>
        </w:rPr>
        <w:t xml:space="preserve"> VI</w:t>
      </w:r>
      <w:r w:rsidRPr="00A92F58">
        <w:rPr>
          <w:i/>
          <w:color w:val="000000" w:themeColor="text1"/>
        </w:rPr>
        <w:t xml:space="preserve"> sadaļa – projekts š</w:t>
      </w:r>
      <w:r w:rsidR="00DB1DA9">
        <w:rPr>
          <w:i/>
          <w:color w:val="000000" w:themeColor="text1"/>
        </w:rPr>
        <w:t>o</w:t>
      </w:r>
      <w:r w:rsidRPr="00A92F58">
        <w:rPr>
          <w:i/>
          <w:color w:val="000000" w:themeColor="text1"/>
        </w:rPr>
        <w:t xml:space="preserve"> jom</w:t>
      </w:r>
      <w:r w:rsidR="00DB1DA9">
        <w:rPr>
          <w:i/>
          <w:color w:val="000000" w:themeColor="text1"/>
        </w:rPr>
        <w:t>u</w:t>
      </w:r>
      <w:r w:rsidR="003E00E1">
        <w:rPr>
          <w:i/>
          <w:color w:val="000000" w:themeColor="text1"/>
        </w:rPr>
        <w:t xml:space="preserve"> </w:t>
      </w:r>
      <w:r w:rsidRPr="00A92F58">
        <w:rPr>
          <w:i/>
          <w:color w:val="000000" w:themeColor="text1"/>
        </w:rPr>
        <w:t>neskar.</w:t>
      </w:r>
    </w:p>
    <w:p w14:paraId="6EAF05BF" w14:textId="77777777" w:rsidR="0094759F" w:rsidRDefault="0094759F" w:rsidP="00790CA8">
      <w:pPr>
        <w:rPr>
          <w:bCs/>
          <w:sz w:val="28"/>
          <w:szCs w:val="28"/>
        </w:rPr>
      </w:pPr>
    </w:p>
    <w:p w14:paraId="4B7C6234" w14:textId="77777777" w:rsidR="007C1F2A" w:rsidRDefault="007C1F2A" w:rsidP="00790CA8">
      <w:pPr>
        <w:rPr>
          <w:bCs/>
          <w:sz w:val="28"/>
          <w:szCs w:val="28"/>
        </w:rPr>
      </w:pPr>
    </w:p>
    <w:p w14:paraId="7DD03B6E" w14:textId="77777777" w:rsidR="005E59EE" w:rsidRPr="008F392F" w:rsidRDefault="00C73B18" w:rsidP="00790CA8">
      <w:pPr>
        <w:rPr>
          <w:bCs/>
        </w:rPr>
      </w:pPr>
      <w:r w:rsidRPr="008F392F">
        <w:rPr>
          <w:bCs/>
        </w:rPr>
        <w:t xml:space="preserve">Ekonomikas ministre </w:t>
      </w:r>
      <w:r w:rsidRPr="008F392F">
        <w:rPr>
          <w:bCs/>
        </w:rPr>
        <w:tab/>
      </w:r>
      <w:r w:rsidRPr="008F392F">
        <w:rPr>
          <w:bCs/>
        </w:rPr>
        <w:tab/>
      </w:r>
      <w:r w:rsidRPr="008F392F">
        <w:rPr>
          <w:bCs/>
        </w:rPr>
        <w:tab/>
      </w:r>
      <w:r w:rsidRPr="008F392F">
        <w:rPr>
          <w:bCs/>
        </w:rPr>
        <w:tab/>
      </w:r>
      <w:r w:rsidRPr="008F392F">
        <w:rPr>
          <w:bCs/>
        </w:rPr>
        <w:tab/>
      </w:r>
      <w:r w:rsidRPr="008F392F">
        <w:rPr>
          <w:bCs/>
        </w:rPr>
        <w:tab/>
        <w:t xml:space="preserve">   </w:t>
      </w:r>
      <w:proofErr w:type="spellStart"/>
      <w:r w:rsidRPr="008F392F">
        <w:rPr>
          <w:bCs/>
        </w:rPr>
        <w:t>D.Reizniece</w:t>
      </w:r>
      <w:proofErr w:type="spellEnd"/>
      <w:r w:rsidRPr="008F392F">
        <w:rPr>
          <w:bCs/>
        </w:rPr>
        <w:t>-Ozola</w:t>
      </w:r>
    </w:p>
    <w:p w14:paraId="3884E34C" w14:textId="77777777" w:rsidR="00AC1F53" w:rsidRPr="008F392F" w:rsidRDefault="00AC1F53" w:rsidP="00790CA8">
      <w:pPr>
        <w:pStyle w:val="naisf"/>
        <w:spacing w:before="0" w:beforeAutospacing="0" w:after="0" w:afterAutospacing="0"/>
        <w:rPr>
          <w:bCs/>
          <w:color w:val="000000"/>
        </w:rPr>
      </w:pPr>
    </w:p>
    <w:p w14:paraId="5D10A9A8" w14:textId="77777777" w:rsidR="007C1F2A" w:rsidRPr="008F392F" w:rsidRDefault="007C1F2A" w:rsidP="00790CA8">
      <w:pPr>
        <w:pStyle w:val="naisf"/>
        <w:spacing w:before="0" w:beforeAutospacing="0" w:after="0" w:afterAutospacing="0"/>
        <w:rPr>
          <w:bCs/>
          <w:color w:val="000000"/>
        </w:rPr>
      </w:pPr>
    </w:p>
    <w:p w14:paraId="63498412" w14:textId="77777777" w:rsidR="0038787E" w:rsidRPr="008F392F" w:rsidRDefault="0038787E" w:rsidP="00790CA8">
      <w:pPr>
        <w:pStyle w:val="naisf"/>
        <w:spacing w:before="0" w:beforeAutospacing="0" w:after="0" w:afterAutospacing="0"/>
        <w:rPr>
          <w:b/>
          <w:bCs/>
          <w:color w:val="000000"/>
        </w:rPr>
      </w:pPr>
      <w:r w:rsidRPr="008F392F">
        <w:rPr>
          <w:bCs/>
          <w:color w:val="000000"/>
        </w:rPr>
        <w:t>Vīza:</w:t>
      </w:r>
    </w:p>
    <w:p w14:paraId="165C91EA" w14:textId="45D55510" w:rsidR="0038787E" w:rsidRPr="008F392F" w:rsidRDefault="0038787E" w:rsidP="00790CA8">
      <w:pPr>
        <w:jc w:val="both"/>
        <w:rPr>
          <w:color w:val="000000" w:themeColor="text1"/>
        </w:rPr>
      </w:pPr>
      <w:r w:rsidRPr="008F392F">
        <w:rPr>
          <w:color w:val="000000"/>
        </w:rPr>
        <w:t>valsts sekretār</w:t>
      </w:r>
      <w:r w:rsidR="007C1F2A" w:rsidRPr="008F392F">
        <w:rPr>
          <w:color w:val="000000"/>
        </w:rPr>
        <w:t>s</w:t>
      </w:r>
      <w:r w:rsidRPr="008F392F">
        <w:rPr>
          <w:color w:val="000000"/>
        </w:rPr>
        <w:t xml:space="preserve"> </w:t>
      </w:r>
      <w:r w:rsidR="00054351">
        <w:rPr>
          <w:color w:val="000000"/>
        </w:rPr>
        <w:tab/>
      </w:r>
      <w:r w:rsidR="00054351">
        <w:rPr>
          <w:color w:val="000000"/>
        </w:rPr>
        <w:tab/>
      </w:r>
      <w:r w:rsidR="00054351">
        <w:rPr>
          <w:color w:val="000000"/>
        </w:rPr>
        <w:tab/>
      </w:r>
      <w:r w:rsidR="00054351">
        <w:rPr>
          <w:color w:val="000000"/>
        </w:rPr>
        <w:tab/>
      </w:r>
      <w:r w:rsidR="00054351">
        <w:rPr>
          <w:color w:val="000000"/>
        </w:rPr>
        <w:tab/>
      </w:r>
      <w:r w:rsidR="00054351">
        <w:rPr>
          <w:color w:val="000000"/>
        </w:rPr>
        <w:tab/>
      </w:r>
      <w:r w:rsidR="00054351">
        <w:rPr>
          <w:color w:val="000000"/>
        </w:rPr>
        <w:tab/>
      </w:r>
      <w:proofErr w:type="spellStart"/>
      <w:r w:rsidR="00C73B18" w:rsidRPr="008F392F">
        <w:rPr>
          <w:color w:val="000000"/>
        </w:rPr>
        <w:t>R</w:t>
      </w:r>
      <w:r w:rsidR="007C1F2A" w:rsidRPr="008F392F">
        <w:rPr>
          <w:color w:val="000000"/>
        </w:rPr>
        <w:t>.</w:t>
      </w:r>
      <w:r w:rsidR="00C73B18" w:rsidRPr="008F392F">
        <w:rPr>
          <w:color w:val="000000"/>
        </w:rPr>
        <w:t>Beinarovičs</w:t>
      </w:r>
      <w:proofErr w:type="spellEnd"/>
    </w:p>
    <w:p w14:paraId="78567CA5" w14:textId="77777777" w:rsidR="00022BAF" w:rsidRDefault="00022BAF" w:rsidP="00790CA8">
      <w:pPr>
        <w:pStyle w:val="Header"/>
        <w:tabs>
          <w:tab w:val="clear" w:pos="4153"/>
          <w:tab w:val="clear" w:pos="8306"/>
        </w:tabs>
        <w:rPr>
          <w:color w:val="000000" w:themeColor="text1"/>
          <w:sz w:val="20"/>
          <w:szCs w:val="20"/>
        </w:rPr>
      </w:pPr>
    </w:p>
    <w:p w14:paraId="28F8C073" w14:textId="77777777" w:rsidR="00022BAF" w:rsidRDefault="00022BAF" w:rsidP="00790CA8">
      <w:pPr>
        <w:pStyle w:val="Header"/>
        <w:tabs>
          <w:tab w:val="clear" w:pos="4153"/>
          <w:tab w:val="clear" w:pos="8306"/>
        </w:tabs>
        <w:rPr>
          <w:color w:val="000000" w:themeColor="text1"/>
          <w:sz w:val="20"/>
          <w:szCs w:val="20"/>
        </w:rPr>
      </w:pPr>
    </w:p>
    <w:p w14:paraId="5EEDE1EB" w14:textId="77777777" w:rsidR="00F618A0" w:rsidRDefault="00F618A0" w:rsidP="00790CA8">
      <w:pPr>
        <w:pStyle w:val="Header"/>
        <w:tabs>
          <w:tab w:val="clear" w:pos="4153"/>
          <w:tab w:val="clear" w:pos="8306"/>
        </w:tabs>
        <w:rPr>
          <w:color w:val="000000" w:themeColor="text1"/>
          <w:sz w:val="20"/>
          <w:szCs w:val="20"/>
        </w:rPr>
      </w:pPr>
    </w:p>
    <w:p w14:paraId="6700DBFF" w14:textId="77777777" w:rsidR="00F618A0" w:rsidRDefault="00F618A0" w:rsidP="00790CA8">
      <w:pPr>
        <w:pStyle w:val="Header"/>
        <w:tabs>
          <w:tab w:val="clear" w:pos="4153"/>
          <w:tab w:val="clear" w:pos="8306"/>
        </w:tabs>
        <w:rPr>
          <w:color w:val="000000" w:themeColor="text1"/>
          <w:sz w:val="20"/>
          <w:szCs w:val="20"/>
        </w:rPr>
      </w:pPr>
    </w:p>
    <w:p w14:paraId="69FBD504" w14:textId="77777777" w:rsidR="00C73B18" w:rsidRDefault="00C73B18" w:rsidP="00790CA8">
      <w:pPr>
        <w:pStyle w:val="Header"/>
        <w:tabs>
          <w:tab w:val="clear" w:pos="4153"/>
          <w:tab w:val="clear" w:pos="8306"/>
        </w:tabs>
        <w:rPr>
          <w:color w:val="000000" w:themeColor="text1"/>
          <w:sz w:val="20"/>
          <w:szCs w:val="20"/>
        </w:rPr>
      </w:pPr>
    </w:p>
    <w:p w14:paraId="7D27E11A" w14:textId="0DF56CBA" w:rsidR="0038787E" w:rsidRPr="00790CA8" w:rsidRDefault="00054351" w:rsidP="00790CA8">
      <w:pPr>
        <w:pStyle w:val="Header"/>
        <w:tabs>
          <w:tab w:val="clear" w:pos="4153"/>
          <w:tab w:val="clear" w:pos="8306"/>
        </w:tabs>
        <w:rPr>
          <w:color w:val="000000" w:themeColor="text1"/>
          <w:sz w:val="20"/>
          <w:szCs w:val="20"/>
        </w:rPr>
      </w:pPr>
      <w:r>
        <w:rPr>
          <w:color w:val="000000" w:themeColor="text1"/>
          <w:sz w:val="20"/>
          <w:szCs w:val="20"/>
        </w:rPr>
        <w:t>10</w:t>
      </w:r>
      <w:r w:rsidR="00AA6B67">
        <w:rPr>
          <w:color w:val="000000" w:themeColor="text1"/>
          <w:sz w:val="20"/>
          <w:szCs w:val="20"/>
        </w:rPr>
        <w:t>.</w:t>
      </w:r>
      <w:r w:rsidR="00B01B65">
        <w:rPr>
          <w:color w:val="000000" w:themeColor="text1"/>
          <w:sz w:val="20"/>
          <w:szCs w:val="20"/>
        </w:rPr>
        <w:t>0</w:t>
      </w:r>
      <w:r w:rsidR="00AA6B67">
        <w:rPr>
          <w:color w:val="000000" w:themeColor="text1"/>
          <w:sz w:val="20"/>
          <w:szCs w:val="20"/>
        </w:rPr>
        <w:t>2</w:t>
      </w:r>
      <w:r w:rsidR="0038787E" w:rsidRPr="00790CA8">
        <w:rPr>
          <w:color w:val="000000" w:themeColor="text1"/>
          <w:sz w:val="20"/>
          <w:szCs w:val="20"/>
        </w:rPr>
        <w:t>.201</w:t>
      </w:r>
      <w:r w:rsidR="00B01B65">
        <w:rPr>
          <w:color w:val="000000" w:themeColor="text1"/>
          <w:sz w:val="20"/>
          <w:szCs w:val="20"/>
        </w:rPr>
        <w:t>6</w:t>
      </w:r>
      <w:r w:rsidR="0038787E" w:rsidRPr="00790CA8">
        <w:rPr>
          <w:color w:val="000000" w:themeColor="text1"/>
          <w:sz w:val="20"/>
          <w:szCs w:val="20"/>
        </w:rPr>
        <w:t xml:space="preserve">. </w:t>
      </w:r>
      <w:r w:rsidR="003C24FB">
        <w:rPr>
          <w:sz w:val="20"/>
          <w:szCs w:val="20"/>
        </w:rPr>
        <w:t>17:0</w:t>
      </w:r>
      <w:r w:rsidR="00191036">
        <w:rPr>
          <w:sz w:val="20"/>
          <w:szCs w:val="20"/>
        </w:rPr>
        <w:t>8</w:t>
      </w:r>
      <w:bookmarkStart w:id="4" w:name="_GoBack"/>
      <w:bookmarkEnd w:id="4"/>
    </w:p>
    <w:p w14:paraId="7DF39CCD" w14:textId="25949A0E" w:rsidR="0038787E" w:rsidRPr="00790CA8" w:rsidRDefault="00DC2609" w:rsidP="00790CA8">
      <w:pPr>
        <w:pStyle w:val="Header"/>
        <w:tabs>
          <w:tab w:val="clear" w:pos="4153"/>
          <w:tab w:val="clear" w:pos="8306"/>
        </w:tabs>
        <w:rPr>
          <w:color w:val="000000" w:themeColor="text1"/>
          <w:sz w:val="20"/>
          <w:szCs w:val="20"/>
        </w:rPr>
      </w:pPr>
      <w:r>
        <w:rPr>
          <w:color w:val="000000" w:themeColor="text1"/>
          <w:sz w:val="20"/>
          <w:szCs w:val="20"/>
        </w:rPr>
        <w:t>1</w:t>
      </w:r>
      <w:r w:rsidR="00594CAC">
        <w:rPr>
          <w:color w:val="000000" w:themeColor="text1"/>
          <w:sz w:val="20"/>
          <w:szCs w:val="20"/>
        </w:rPr>
        <w:t>435</w:t>
      </w:r>
    </w:p>
    <w:p w14:paraId="05D35625" w14:textId="77777777" w:rsidR="0094759F" w:rsidRPr="00790CA8" w:rsidRDefault="00B01B65" w:rsidP="00790CA8">
      <w:pPr>
        <w:pStyle w:val="Header"/>
        <w:tabs>
          <w:tab w:val="clear" w:pos="4153"/>
          <w:tab w:val="clear" w:pos="8306"/>
        </w:tabs>
        <w:rPr>
          <w:color w:val="000000" w:themeColor="text1"/>
          <w:sz w:val="20"/>
          <w:szCs w:val="20"/>
        </w:rPr>
      </w:pPr>
      <w:proofErr w:type="spellStart"/>
      <w:r>
        <w:rPr>
          <w:color w:val="000000" w:themeColor="text1"/>
          <w:sz w:val="20"/>
          <w:szCs w:val="20"/>
        </w:rPr>
        <w:t>I.Iļjina</w:t>
      </w:r>
      <w:proofErr w:type="spellEnd"/>
      <w:r w:rsidR="0038787E" w:rsidRPr="00790CA8">
        <w:rPr>
          <w:color w:val="000000" w:themeColor="text1"/>
          <w:sz w:val="20"/>
          <w:szCs w:val="20"/>
        </w:rPr>
        <w:t xml:space="preserve">, </w:t>
      </w:r>
    </w:p>
    <w:p w14:paraId="179C6BB0" w14:textId="77777777" w:rsidR="00435C4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67013</w:t>
      </w:r>
      <w:r w:rsidR="00B01B65">
        <w:rPr>
          <w:color w:val="000000" w:themeColor="text1"/>
          <w:sz w:val="20"/>
          <w:szCs w:val="20"/>
        </w:rPr>
        <w:t>095</w:t>
      </w:r>
    </w:p>
    <w:p w14:paraId="66DBF2C9" w14:textId="77777777" w:rsidR="007C1F2A" w:rsidRDefault="00191036" w:rsidP="00790CA8">
      <w:pPr>
        <w:pStyle w:val="Header"/>
        <w:tabs>
          <w:tab w:val="clear" w:pos="4153"/>
          <w:tab w:val="clear" w:pos="8306"/>
        </w:tabs>
        <w:rPr>
          <w:color w:val="000000" w:themeColor="text1"/>
          <w:sz w:val="20"/>
          <w:szCs w:val="20"/>
        </w:rPr>
      </w:pPr>
      <w:hyperlink r:id="rId8" w:history="1">
        <w:r w:rsidR="006D428C" w:rsidRPr="00CF1D86">
          <w:rPr>
            <w:rStyle w:val="Hyperlink"/>
            <w:sz w:val="20"/>
            <w:szCs w:val="20"/>
          </w:rPr>
          <w:t>Inga.Iljina@em.gov.lv</w:t>
        </w:r>
      </w:hyperlink>
      <w:r w:rsidR="00C73B18">
        <w:rPr>
          <w:sz w:val="20"/>
          <w:szCs w:val="20"/>
        </w:rPr>
        <w:t xml:space="preserve"> </w:t>
      </w:r>
      <w:r w:rsidR="007C1F2A" w:rsidRPr="00790CA8">
        <w:rPr>
          <w:color w:val="000000" w:themeColor="text1"/>
          <w:sz w:val="20"/>
          <w:szCs w:val="20"/>
        </w:rPr>
        <w:t xml:space="preserve"> </w:t>
      </w:r>
    </w:p>
    <w:p w14:paraId="1EFDFD89" w14:textId="77777777" w:rsidR="00C73EF1" w:rsidRDefault="00C73EF1" w:rsidP="00790CA8">
      <w:pPr>
        <w:pStyle w:val="Header"/>
        <w:tabs>
          <w:tab w:val="clear" w:pos="4153"/>
          <w:tab w:val="clear" w:pos="8306"/>
        </w:tabs>
        <w:rPr>
          <w:color w:val="000000" w:themeColor="text1"/>
          <w:sz w:val="20"/>
          <w:szCs w:val="20"/>
        </w:rPr>
      </w:pPr>
      <w:proofErr w:type="spellStart"/>
      <w:r>
        <w:rPr>
          <w:color w:val="000000" w:themeColor="text1"/>
          <w:sz w:val="20"/>
          <w:szCs w:val="20"/>
        </w:rPr>
        <w:t>R.Meijers</w:t>
      </w:r>
      <w:proofErr w:type="spellEnd"/>
    </w:p>
    <w:p w14:paraId="10F4358F" w14:textId="77777777" w:rsidR="00C73EF1" w:rsidRDefault="00C73EF1" w:rsidP="00790CA8">
      <w:pPr>
        <w:pStyle w:val="Header"/>
        <w:tabs>
          <w:tab w:val="clear" w:pos="4153"/>
          <w:tab w:val="clear" w:pos="8306"/>
        </w:tabs>
        <w:rPr>
          <w:color w:val="000000" w:themeColor="text1"/>
          <w:sz w:val="20"/>
          <w:szCs w:val="20"/>
        </w:rPr>
      </w:pPr>
      <w:r>
        <w:rPr>
          <w:color w:val="000000" w:themeColor="text1"/>
          <w:sz w:val="20"/>
          <w:szCs w:val="20"/>
        </w:rPr>
        <w:t>67013176</w:t>
      </w:r>
    </w:p>
    <w:p w14:paraId="03B758B0" w14:textId="77777777" w:rsidR="00C73EF1" w:rsidRDefault="00191036" w:rsidP="00790CA8">
      <w:pPr>
        <w:pStyle w:val="Header"/>
        <w:tabs>
          <w:tab w:val="clear" w:pos="4153"/>
          <w:tab w:val="clear" w:pos="8306"/>
        </w:tabs>
        <w:rPr>
          <w:color w:val="000000" w:themeColor="text1"/>
          <w:sz w:val="20"/>
          <w:szCs w:val="20"/>
        </w:rPr>
      </w:pPr>
      <w:hyperlink r:id="rId9" w:history="1">
        <w:r w:rsidR="00C73EF1" w:rsidRPr="00893A8C">
          <w:rPr>
            <w:rStyle w:val="Hyperlink"/>
            <w:sz w:val="20"/>
            <w:szCs w:val="20"/>
          </w:rPr>
          <w:t>Roberts.Meijers@em.gov.lv</w:t>
        </w:r>
      </w:hyperlink>
      <w:r w:rsidR="00C73EF1">
        <w:rPr>
          <w:color w:val="000000" w:themeColor="text1"/>
          <w:sz w:val="20"/>
          <w:szCs w:val="20"/>
        </w:rPr>
        <w:t xml:space="preserve"> </w:t>
      </w:r>
    </w:p>
    <w:p w14:paraId="1F57845C" w14:textId="360AD0CB" w:rsidR="00054351" w:rsidRPr="00790CA8" w:rsidRDefault="00054351" w:rsidP="00054351">
      <w:pPr>
        <w:pStyle w:val="Header"/>
        <w:tabs>
          <w:tab w:val="clear" w:pos="4153"/>
          <w:tab w:val="clear" w:pos="8306"/>
        </w:tabs>
        <w:rPr>
          <w:color w:val="000000" w:themeColor="text1"/>
          <w:sz w:val="20"/>
          <w:szCs w:val="20"/>
        </w:rPr>
      </w:pPr>
      <w:proofErr w:type="spellStart"/>
      <w:r>
        <w:rPr>
          <w:color w:val="000000" w:themeColor="text1"/>
          <w:sz w:val="20"/>
          <w:szCs w:val="20"/>
        </w:rPr>
        <w:t>A.Timofejeva</w:t>
      </w:r>
      <w:proofErr w:type="spellEnd"/>
      <w:r w:rsidRPr="00790CA8">
        <w:rPr>
          <w:color w:val="000000" w:themeColor="text1"/>
          <w:sz w:val="20"/>
          <w:szCs w:val="20"/>
        </w:rPr>
        <w:t xml:space="preserve">, </w:t>
      </w:r>
    </w:p>
    <w:p w14:paraId="7B7D8EB7" w14:textId="00B666B4" w:rsidR="00054351" w:rsidRPr="00790CA8" w:rsidRDefault="00054351" w:rsidP="00054351">
      <w:pPr>
        <w:pStyle w:val="Header"/>
        <w:tabs>
          <w:tab w:val="clear" w:pos="4153"/>
          <w:tab w:val="clear" w:pos="8306"/>
        </w:tabs>
        <w:rPr>
          <w:color w:val="000000" w:themeColor="text1"/>
          <w:sz w:val="20"/>
          <w:szCs w:val="20"/>
        </w:rPr>
      </w:pPr>
      <w:r w:rsidRPr="00790CA8">
        <w:rPr>
          <w:color w:val="000000" w:themeColor="text1"/>
          <w:sz w:val="20"/>
          <w:szCs w:val="20"/>
        </w:rPr>
        <w:t>67013</w:t>
      </w:r>
      <w:r>
        <w:rPr>
          <w:color w:val="000000" w:themeColor="text1"/>
          <w:sz w:val="20"/>
          <w:szCs w:val="20"/>
        </w:rPr>
        <w:t>227</w:t>
      </w:r>
    </w:p>
    <w:p w14:paraId="1AD905C2" w14:textId="1D58F92A" w:rsidR="00054351" w:rsidRDefault="00191036" w:rsidP="00054351">
      <w:pPr>
        <w:pStyle w:val="Header"/>
        <w:tabs>
          <w:tab w:val="clear" w:pos="4153"/>
          <w:tab w:val="clear" w:pos="8306"/>
        </w:tabs>
        <w:rPr>
          <w:color w:val="000000" w:themeColor="text1"/>
          <w:sz w:val="20"/>
          <w:szCs w:val="20"/>
        </w:rPr>
      </w:pPr>
      <w:hyperlink r:id="rId10" w:history="1">
        <w:r w:rsidR="00054351" w:rsidRPr="002F2D1F">
          <w:rPr>
            <w:rStyle w:val="Hyperlink"/>
            <w:sz w:val="20"/>
            <w:szCs w:val="20"/>
          </w:rPr>
          <w:t>aija.timofejeva@em.gov.lv</w:t>
        </w:r>
      </w:hyperlink>
      <w:r w:rsidR="00054351">
        <w:rPr>
          <w:sz w:val="20"/>
          <w:szCs w:val="20"/>
        </w:rPr>
        <w:t xml:space="preserve"> </w:t>
      </w:r>
      <w:r w:rsidR="00054351" w:rsidRPr="00790CA8">
        <w:rPr>
          <w:color w:val="000000" w:themeColor="text1"/>
          <w:sz w:val="20"/>
          <w:szCs w:val="20"/>
        </w:rPr>
        <w:t xml:space="preserve"> </w:t>
      </w:r>
    </w:p>
    <w:p w14:paraId="5EBD4D9E" w14:textId="77777777" w:rsidR="00054351" w:rsidRPr="00790CA8" w:rsidRDefault="00054351" w:rsidP="00790CA8">
      <w:pPr>
        <w:pStyle w:val="Header"/>
        <w:tabs>
          <w:tab w:val="clear" w:pos="4153"/>
          <w:tab w:val="clear" w:pos="8306"/>
        </w:tabs>
        <w:rPr>
          <w:color w:val="000000" w:themeColor="text1"/>
          <w:sz w:val="20"/>
          <w:szCs w:val="20"/>
        </w:rPr>
      </w:pPr>
    </w:p>
    <w:sectPr w:rsidR="00054351" w:rsidRPr="00790CA8" w:rsidSect="0094759F">
      <w:headerReference w:type="default" r:id="rId11"/>
      <w:footerReference w:type="default" r:id="rId12"/>
      <w:footerReference w:type="first" r:id="rId13"/>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25EE" w14:textId="77777777" w:rsidR="00E33FCF" w:rsidRDefault="00E33FCF">
      <w:r>
        <w:separator/>
      </w:r>
    </w:p>
  </w:endnote>
  <w:endnote w:type="continuationSeparator" w:id="0">
    <w:p w14:paraId="04B748E1" w14:textId="77777777" w:rsidR="00E33FCF" w:rsidRDefault="00E3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D2AD" w14:textId="5FB9F0C2" w:rsidR="00F72E13" w:rsidRPr="004024C2" w:rsidRDefault="004024C2" w:rsidP="004024C2">
    <w:pPr>
      <w:contextualSpacing/>
      <w:jc w:val="both"/>
      <w:outlineLvl w:val="0"/>
    </w:pPr>
    <w:r w:rsidRPr="004024C2">
      <w:rPr>
        <w:sz w:val="20"/>
        <w:szCs w:val="20"/>
      </w:rPr>
      <w:t>EMAnot_</w:t>
    </w:r>
    <w:r w:rsidR="00054351">
      <w:rPr>
        <w:sz w:val="20"/>
        <w:szCs w:val="20"/>
      </w:rPr>
      <w:t>1002</w:t>
    </w:r>
    <w:r w:rsidR="006D428C">
      <w:rPr>
        <w:sz w:val="20"/>
        <w:szCs w:val="20"/>
      </w:rPr>
      <w:t>16</w:t>
    </w:r>
    <w:r w:rsidRPr="004024C2">
      <w:rPr>
        <w:sz w:val="20"/>
        <w:szCs w:val="20"/>
      </w:rPr>
      <w:t>_</w:t>
    </w:r>
    <w:r w:rsidR="00AD5B51">
      <w:rPr>
        <w:sz w:val="20"/>
        <w:szCs w:val="20"/>
      </w:rPr>
      <w:t>MK</w:t>
    </w:r>
    <w:r w:rsidR="00235673">
      <w:rPr>
        <w:sz w:val="20"/>
        <w:szCs w:val="20"/>
      </w:rPr>
      <w:t>395</w:t>
    </w:r>
    <w:r w:rsidRPr="004024C2">
      <w:rPr>
        <w:sz w:val="20"/>
        <w:szCs w:val="20"/>
      </w:rPr>
      <w:t xml:space="preserve">; </w:t>
    </w:r>
    <w:r w:rsidR="00704B60" w:rsidRPr="00235673">
      <w:rPr>
        <w:color w:val="000000"/>
        <w:sz w:val="20"/>
        <w:szCs w:val="20"/>
      </w:rPr>
      <w:t xml:space="preserve">Ministru kabineta noteikumu projekta </w:t>
    </w:r>
    <w:r w:rsidR="00704B60" w:rsidRPr="00235673">
      <w:rPr>
        <w:bCs/>
        <w:color w:val="000000"/>
        <w:sz w:val="20"/>
        <w:szCs w:val="20"/>
      </w:rPr>
      <w:t>“Grozījumi Ministru kabineta</w:t>
    </w:r>
    <w:r w:rsidR="00704B60">
      <w:rPr>
        <w:bCs/>
        <w:color w:val="000000"/>
        <w:sz w:val="20"/>
        <w:szCs w:val="20"/>
      </w:rPr>
      <w:t xml:space="preserve"> </w:t>
    </w:r>
    <w:r w:rsidR="00704B60" w:rsidRPr="00235673">
      <w:rPr>
        <w:bCs/>
        <w:color w:val="000000"/>
        <w:sz w:val="20"/>
        <w:szCs w:val="20"/>
      </w:rPr>
      <w:t>2015. gada 14. jūlija noteikumos Nr.395 “Kārtība, kādā energoietilpīgi apstrādes rūpniecības uzņēmumi iegūst tiesības uz samazinātu līdzdalību obligātā iepirkuma komponentes maksājumam””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895F" w14:textId="66800776" w:rsidR="00C73EF1" w:rsidRPr="00235673" w:rsidRDefault="00C73EF1" w:rsidP="00C73EF1">
    <w:pPr>
      <w:contextualSpacing/>
      <w:jc w:val="both"/>
      <w:outlineLvl w:val="0"/>
    </w:pPr>
    <w:r w:rsidRPr="004024C2">
      <w:rPr>
        <w:sz w:val="20"/>
        <w:szCs w:val="20"/>
      </w:rPr>
      <w:t>EMAnot_</w:t>
    </w:r>
    <w:r w:rsidR="00054351">
      <w:rPr>
        <w:sz w:val="20"/>
        <w:szCs w:val="20"/>
      </w:rPr>
      <w:t>1002</w:t>
    </w:r>
    <w:r>
      <w:rPr>
        <w:sz w:val="20"/>
        <w:szCs w:val="20"/>
      </w:rPr>
      <w:t>16</w:t>
    </w:r>
    <w:r w:rsidRPr="004024C2">
      <w:rPr>
        <w:sz w:val="20"/>
        <w:szCs w:val="20"/>
      </w:rPr>
      <w:t>_</w:t>
    </w:r>
    <w:r>
      <w:rPr>
        <w:sz w:val="20"/>
        <w:szCs w:val="20"/>
      </w:rPr>
      <w:t>MK221</w:t>
    </w:r>
    <w:r w:rsidRPr="004024C2">
      <w:rPr>
        <w:sz w:val="20"/>
        <w:szCs w:val="20"/>
      </w:rPr>
      <w:t xml:space="preserve">; </w:t>
    </w:r>
    <w:r w:rsidR="00235673" w:rsidRPr="00235673">
      <w:rPr>
        <w:color w:val="000000"/>
        <w:sz w:val="20"/>
        <w:szCs w:val="20"/>
      </w:rPr>
      <w:t xml:space="preserve">Ministru kabineta noteikumu projekta </w:t>
    </w:r>
    <w:r w:rsidR="00235673" w:rsidRPr="00235673">
      <w:rPr>
        <w:bCs/>
        <w:color w:val="000000"/>
        <w:sz w:val="20"/>
        <w:szCs w:val="20"/>
      </w:rPr>
      <w:t>“Grozījumi Ministru kabineta</w:t>
    </w:r>
    <w:r w:rsidR="00704B60">
      <w:rPr>
        <w:bCs/>
        <w:color w:val="000000"/>
        <w:sz w:val="20"/>
        <w:szCs w:val="20"/>
      </w:rPr>
      <w:t xml:space="preserve"> </w:t>
    </w:r>
    <w:r w:rsidR="00235673" w:rsidRPr="00235673">
      <w:rPr>
        <w:bCs/>
        <w:color w:val="000000"/>
        <w:sz w:val="20"/>
        <w:szCs w:val="20"/>
      </w:rPr>
      <w:t>2015. gada 14. jūlija noteikumos Nr.395 “Kārtība, kādā energoietilpīgi apstrādes rūpniecības uzņēmumi iegūst tiesības uz samazinātu līdzdalību obligātā iepirkuma komponentes maksājumam””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58E5" w14:textId="77777777" w:rsidR="00E33FCF" w:rsidRDefault="00E33FCF">
      <w:r>
        <w:separator/>
      </w:r>
    </w:p>
  </w:footnote>
  <w:footnote w:type="continuationSeparator" w:id="0">
    <w:p w14:paraId="3637EA40" w14:textId="77777777" w:rsidR="00E33FCF" w:rsidRDefault="00E33FCF">
      <w:r>
        <w:continuationSeparator/>
      </w:r>
    </w:p>
  </w:footnote>
  <w:footnote w:id="1">
    <w:p w14:paraId="123C4440" w14:textId="77777777" w:rsidR="000C5ACC" w:rsidRDefault="000C5ACC" w:rsidP="000C5ACC">
      <w:pPr>
        <w:pStyle w:val="FootnoteText"/>
      </w:pPr>
      <w:r>
        <w:rPr>
          <w:rStyle w:val="FootnoteReference"/>
        </w:rPr>
        <w:footnoteRef/>
      </w:r>
      <w:r>
        <w:t xml:space="preserve"> </w:t>
      </w:r>
      <w:r>
        <w:rPr>
          <w:color w:val="000000" w:themeColor="text1"/>
          <w:sz w:val="16"/>
          <w:szCs w:val="16"/>
        </w:rPr>
        <w:t>Pieejams latviešu valodā Eiropas Komisijas oficiālajā tīmekļa vietnē: (</w:t>
      </w:r>
      <w:hyperlink r:id="rId1" w:history="1">
        <w:r>
          <w:rPr>
            <w:rStyle w:val="Hyperlink"/>
            <w:color w:val="000000" w:themeColor="text1"/>
            <w:sz w:val="16"/>
            <w:szCs w:val="16"/>
          </w:rPr>
          <w:t>http://eur-lex.europa.eu/legal-content/LV/TXT/HTML/?uri=CELEX:52014XC0628%2801%29&amp;from=EN</w:t>
        </w:r>
      </w:hyperlink>
      <w:r>
        <w:rPr>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6AA4F769" w14:textId="77777777" w:rsidR="00F72E13" w:rsidRDefault="0031785A">
        <w:pPr>
          <w:pStyle w:val="Header"/>
          <w:jc w:val="center"/>
        </w:pPr>
        <w:r>
          <w:fldChar w:fldCharType="begin"/>
        </w:r>
        <w:r>
          <w:instrText xml:space="preserve"> PAGE   \* MERGEFORMAT </w:instrText>
        </w:r>
        <w:r>
          <w:fldChar w:fldCharType="separate"/>
        </w:r>
        <w:r w:rsidR="00191036">
          <w:rPr>
            <w:noProof/>
          </w:rPr>
          <w:t>5</w:t>
        </w:r>
        <w:r>
          <w:rPr>
            <w:noProof/>
          </w:rPr>
          <w:fldChar w:fldCharType="end"/>
        </w:r>
      </w:p>
    </w:sdtContent>
  </w:sdt>
  <w:p w14:paraId="55B478C5" w14:textId="77777777"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664A5A"/>
    <w:multiLevelType w:val="hybridMultilevel"/>
    <w:tmpl w:val="55C605DE"/>
    <w:lvl w:ilvl="0" w:tplc="4D02C3F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A61425"/>
    <w:multiLevelType w:val="hybridMultilevel"/>
    <w:tmpl w:val="0EF4E7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533"/>
    <w:rsid w:val="00002CFB"/>
    <w:rsid w:val="00003034"/>
    <w:rsid w:val="00006186"/>
    <w:rsid w:val="00006263"/>
    <w:rsid w:val="00015274"/>
    <w:rsid w:val="00022BAF"/>
    <w:rsid w:val="00023ACB"/>
    <w:rsid w:val="00023BE0"/>
    <w:rsid w:val="000307EC"/>
    <w:rsid w:val="00030E08"/>
    <w:rsid w:val="00035AEA"/>
    <w:rsid w:val="000411A2"/>
    <w:rsid w:val="00045CA7"/>
    <w:rsid w:val="00054351"/>
    <w:rsid w:val="000618A5"/>
    <w:rsid w:val="00062AFB"/>
    <w:rsid w:val="0006752C"/>
    <w:rsid w:val="0008083E"/>
    <w:rsid w:val="00083D0E"/>
    <w:rsid w:val="00085923"/>
    <w:rsid w:val="0009208B"/>
    <w:rsid w:val="00092EC2"/>
    <w:rsid w:val="000B1299"/>
    <w:rsid w:val="000B2F14"/>
    <w:rsid w:val="000B654C"/>
    <w:rsid w:val="000C346D"/>
    <w:rsid w:val="000C3A7F"/>
    <w:rsid w:val="000C4407"/>
    <w:rsid w:val="000C5ACC"/>
    <w:rsid w:val="000C5C51"/>
    <w:rsid w:val="000C624C"/>
    <w:rsid w:val="000D0970"/>
    <w:rsid w:val="000D4C2E"/>
    <w:rsid w:val="000D7D82"/>
    <w:rsid w:val="000E2245"/>
    <w:rsid w:val="000E47DB"/>
    <w:rsid w:val="000E690F"/>
    <w:rsid w:val="000F0035"/>
    <w:rsid w:val="000F6095"/>
    <w:rsid w:val="0011496F"/>
    <w:rsid w:val="001163DE"/>
    <w:rsid w:val="0012248A"/>
    <w:rsid w:val="001230E4"/>
    <w:rsid w:val="00131719"/>
    <w:rsid w:val="00141922"/>
    <w:rsid w:val="00144309"/>
    <w:rsid w:val="00146184"/>
    <w:rsid w:val="00147B5F"/>
    <w:rsid w:val="00155A90"/>
    <w:rsid w:val="0015761D"/>
    <w:rsid w:val="00171647"/>
    <w:rsid w:val="00171B35"/>
    <w:rsid w:val="00171C09"/>
    <w:rsid w:val="00183897"/>
    <w:rsid w:val="00186BBC"/>
    <w:rsid w:val="00187797"/>
    <w:rsid w:val="00191036"/>
    <w:rsid w:val="001A3BE3"/>
    <w:rsid w:val="001A6C2B"/>
    <w:rsid w:val="001A72AA"/>
    <w:rsid w:val="001B4DC7"/>
    <w:rsid w:val="001C1A2E"/>
    <w:rsid w:val="001D1B66"/>
    <w:rsid w:val="001E3714"/>
    <w:rsid w:val="001F1A2E"/>
    <w:rsid w:val="001F72E1"/>
    <w:rsid w:val="002000B5"/>
    <w:rsid w:val="00204A0F"/>
    <w:rsid w:val="002051F5"/>
    <w:rsid w:val="002056DF"/>
    <w:rsid w:val="00205ACF"/>
    <w:rsid w:val="00205F55"/>
    <w:rsid w:val="00207BDD"/>
    <w:rsid w:val="00212C50"/>
    <w:rsid w:val="00213196"/>
    <w:rsid w:val="00213A4F"/>
    <w:rsid w:val="00224297"/>
    <w:rsid w:val="00225654"/>
    <w:rsid w:val="00230712"/>
    <w:rsid w:val="00235673"/>
    <w:rsid w:val="00235C64"/>
    <w:rsid w:val="002365F1"/>
    <w:rsid w:val="00245DB5"/>
    <w:rsid w:val="002612CE"/>
    <w:rsid w:val="00263785"/>
    <w:rsid w:val="002762A5"/>
    <w:rsid w:val="0028250F"/>
    <w:rsid w:val="002830FC"/>
    <w:rsid w:val="00292262"/>
    <w:rsid w:val="002A6BB3"/>
    <w:rsid w:val="002B44AF"/>
    <w:rsid w:val="002B708A"/>
    <w:rsid w:val="002D7C67"/>
    <w:rsid w:val="002E584A"/>
    <w:rsid w:val="0030164A"/>
    <w:rsid w:val="0031785A"/>
    <w:rsid w:val="00321F7E"/>
    <w:rsid w:val="00322ACC"/>
    <w:rsid w:val="00325030"/>
    <w:rsid w:val="003255EE"/>
    <w:rsid w:val="003405DA"/>
    <w:rsid w:val="00355EED"/>
    <w:rsid w:val="00367663"/>
    <w:rsid w:val="003716AE"/>
    <w:rsid w:val="00374BAD"/>
    <w:rsid w:val="003754C8"/>
    <w:rsid w:val="00377D1F"/>
    <w:rsid w:val="0038787E"/>
    <w:rsid w:val="003938D5"/>
    <w:rsid w:val="00397020"/>
    <w:rsid w:val="003B6256"/>
    <w:rsid w:val="003C24FB"/>
    <w:rsid w:val="003C5082"/>
    <w:rsid w:val="003C574F"/>
    <w:rsid w:val="003D44D3"/>
    <w:rsid w:val="003E00E1"/>
    <w:rsid w:val="003E0379"/>
    <w:rsid w:val="003F7923"/>
    <w:rsid w:val="004024C2"/>
    <w:rsid w:val="00414592"/>
    <w:rsid w:val="0042350B"/>
    <w:rsid w:val="004238DC"/>
    <w:rsid w:val="0043460D"/>
    <w:rsid w:val="00435C4E"/>
    <w:rsid w:val="00436FED"/>
    <w:rsid w:val="00444F36"/>
    <w:rsid w:val="00445CE6"/>
    <w:rsid w:val="00454A67"/>
    <w:rsid w:val="00456AB4"/>
    <w:rsid w:val="004602E5"/>
    <w:rsid w:val="004625CB"/>
    <w:rsid w:val="0046388B"/>
    <w:rsid w:val="00467807"/>
    <w:rsid w:val="00467AE2"/>
    <w:rsid w:val="00470C42"/>
    <w:rsid w:val="0047435E"/>
    <w:rsid w:val="00476C69"/>
    <w:rsid w:val="004874F2"/>
    <w:rsid w:val="00496E0A"/>
    <w:rsid w:val="004A7C3C"/>
    <w:rsid w:val="004B0A2B"/>
    <w:rsid w:val="004B51EA"/>
    <w:rsid w:val="004B6002"/>
    <w:rsid w:val="004C1E1A"/>
    <w:rsid w:val="004C27A3"/>
    <w:rsid w:val="004E4FC5"/>
    <w:rsid w:val="00504184"/>
    <w:rsid w:val="00510E71"/>
    <w:rsid w:val="00515281"/>
    <w:rsid w:val="00516161"/>
    <w:rsid w:val="00525153"/>
    <w:rsid w:val="0052711C"/>
    <w:rsid w:val="00527E2C"/>
    <w:rsid w:val="005401D5"/>
    <w:rsid w:val="005502A9"/>
    <w:rsid w:val="00551821"/>
    <w:rsid w:val="005563A0"/>
    <w:rsid w:val="005674CF"/>
    <w:rsid w:val="00580579"/>
    <w:rsid w:val="00586632"/>
    <w:rsid w:val="005905EA"/>
    <w:rsid w:val="00594CAC"/>
    <w:rsid w:val="005953F7"/>
    <w:rsid w:val="0059660A"/>
    <w:rsid w:val="00597319"/>
    <w:rsid w:val="00597614"/>
    <w:rsid w:val="005A3F8B"/>
    <w:rsid w:val="005A447E"/>
    <w:rsid w:val="005B1DE9"/>
    <w:rsid w:val="005B49C4"/>
    <w:rsid w:val="005D2283"/>
    <w:rsid w:val="005D51D5"/>
    <w:rsid w:val="005D52E5"/>
    <w:rsid w:val="005E4FB7"/>
    <w:rsid w:val="005E5231"/>
    <w:rsid w:val="005E59EE"/>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682C"/>
    <w:rsid w:val="00667AC4"/>
    <w:rsid w:val="00677470"/>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D428C"/>
    <w:rsid w:val="006E4BB6"/>
    <w:rsid w:val="006E56FB"/>
    <w:rsid w:val="006F22B7"/>
    <w:rsid w:val="006F320B"/>
    <w:rsid w:val="006F4123"/>
    <w:rsid w:val="007040BF"/>
    <w:rsid w:val="00704B60"/>
    <w:rsid w:val="0071109E"/>
    <w:rsid w:val="007135F5"/>
    <w:rsid w:val="00720C43"/>
    <w:rsid w:val="007213EE"/>
    <w:rsid w:val="00722569"/>
    <w:rsid w:val="00722D04"/>
    <w:rsid w:val="00726DBD"/>
    <w:rsid w:val="00727F9E"/>
    <w:rsid w:val="00731681"/>
    <w:rsid w:val="0073218E"/>
    <w:rsid w:val="007343BB"/>
    <w:rsid w:val="0074075A"/>
    <w:rsid w:val="0074115E"/>
    <w:rsid w:val="007423D7"/>
    <w:rsid w:val="00743F34"/>
    <w:rsid w:val="007508D8"/>
    <w:rsid w:val="00752EA8"/>
    <w:rsid w:val="0075376F"/>
    <w:rsid w:val="00757692"/>
    <w:rsid w:val="00764D5D"/>
    <w:rsid w:val="007733AB"/>
    <w:rsid w:val="00774214"/>
    <w:rsid w:val="00781525"/>
    <w:rsid w:val="0078546C"/>
    <w:rsid w:val="00790CA8"/>
    <w:rsid w:val="00794236"/>
    <w:rsid w:val="00797AEE"/>
    <w:rsid w:val="007A2129"/>
    <w:rsid w:val="007A4CFE"/>
    <w:rsid w:val="007A6A26"/>
    <w:rsid w:val="007A72E5"/>
    <w:rsid w:val="007A7613"/>
    <w:rsid w:val="007B3C6A"/>
    <w:rsid w:val="007B4C35"/>
    <w:rsid w:val="007C1F2A"/>
    <w:rsid w:val="007D2420"/>
    <w:rsid w:val="007F11D4"/>
    <w:rsid w:val="00804CFF"/>
    <w:rsid w:val="0080699C"/>
    <w:rsid w:val="00814312"/>
    <w:rsid w:val="00815C3A"/>
    <w:rsid w:val="00815E4F"/>
    <w:rsid w:val="00817316"/>
    <w:rsid w:val="008204E8"/>
    <w:rsid w:val="00822526"/>
    <w:rsid w:val="00822FE8"/>
    <w:rsid w:val="008305FA"/>
    <w:rsid w:val="008323C5"/>
    <w:rsid w:val="00840817"/>
    <w:rsid w:val="00851C84"/>
    <w:rsid w:val="00863ADD"/>
    <w:rsid w:val="008667DC"/>
    <w:rsid w:val="00867DEE"/>
    <w:rsid w:val="00871475"/>
    <w:rsid w:val="008745B3"/>
    <w:rsid w:val="0089380C"/>
    <w:rsid w:val="008A2240"/>
    <w:rsid w:val="008A3446"/>
    <w:rsid w:val="008A64B2"/>
    <w:rsid w:val="008B0B85"/>
    <w:rsid w:val="008C222E"/>
    <w:rsid w:val="008C7745"/>
    <w:rsid w:val="008D0DDD"/>
    <w:rsid w:val="008D6852"/>
    <w:rsid w:val="008E1079"/>
    <w:rsid w:val="008E1EA2"/>
    <w:rsid w:val="008F392F"/>
    <w:rsid w:val="008F7768"/>
    <w:rsid w:val="008F7F1F"/>
    <w:rsid w:val="00900F89"/>
    <w:rsid w:val="00903F26"/>
    <w:rsid w:val="00911250"/>
    <w:rsid w:val="00916830"/>
    <w:rsid w:val="00924507"/>
    <w:rsid w:val="009352A5"/>
    <w:rsid w:val="009426AE"/>
    <w:rsid w:val="00944E33"/>
    <w:rsid w:val="00946975"/>
    <w:rsid w:val="0094759F"/>
    <w:rsid w:val="009515C4"/>
    <w:rsid w:val="009519B3"/>
    <w:rsid w:val="0095727B"/>
    <w:rsid w:val="00957B65"/>
    <w:rsid w:val="009622AF"/>
    <w:rsid w:val="0099482E"/>
    <w:rsid w:val="00996430"/>
    <w:rsid w:val="009A090E"/>
    <w:rsid w:val="009A16A1"/>
    <w:rsid w:val="009A775F"/>
    <w:rsid w:val="009B0D25"/>
    <w:rsid w:val="009B3275"/>
    <w:rsid w:val="009C444F"/>
    <w:rsid w:val="009D07A5"/>
    <w:rsid w:val="009D2285"/>
    <w:rsid w:val="009D35DA"/>
    <w:rsid w:val="009D502D"/>
    <w:rsid w:val="009E1CB5"/>
    <w:rsid w:val="009E385B"/>
    <w:rsid w:val="009F062C"/>
    <w:rsid w:val="009F5B0D"/>
    <w:rsid w:val="00A01D4D"/>
    <w:rsid w:val="00A24608"/>
    <w:rsid w:val="00A257A8"/>
    <w:rsid w:val="00A31910"/>
    <w:rsid w:val="00A3255A"/>
    <w:rsid w:val="00A45F3F"/>
    <w:rsid w:val="00A45F8E"/>
    <w:rsid w:val="00A46D4A"/>
    <w:rsid w:val="00A53A71"/>
    <w:rsid w:val="00A63D1F"/>
    <w:rsid w:val="00A75B93"/>
    <w:rsid w:val="00A8143F"/>
    <w:rsid w:val="00A84158"/>
    <w:rsid w:val="00A92C0C"/>
    <w:rsid w:val="00AA2980"/>
    <w:rsid w:val="00AA2F10"/>
    <w:rsid w:val="00AA6B67"/>
    <w:rsid w:val="00AB1AE9"/>
    <w:rsid w:val="00AB264F"/>
    <w:rsid w:val="00AC0250"/>
    <w:rsid w:val="00AC0DCF"/>
    <w:rsid w:val="00AC1F53"/>
    <w:rsid w:val="00AC3AEF"/>
    <w:rsid w:val="00AC4672"/>
    <w:rsid w:val="00AC55C7"/>
    <w:rsid w:val="00AD12E3"/>
    <w:rsid w:val="00AD5B51"/>
    <w:rsid w:val="00AD6F6C"/>
    <w:rsid w:val="00AD7DC7"/>
    <w:rsid w:val="00AE10FF"/>
    <w:rsid w:val="00AE2232"/>
    <w:rsid w:val="00AE7851"/>
    <w:rsid w:val="00B01B65"/>
    <w:rsid w:val="00B04733"/>
    <w:rsid w:val="00B06E68"/>
    <w:rsid w:val="00B078C3"/>
    <w:rsid w:val="00B1634A"/>
    <w:rsid w:val="00B21B97"/>
    <w:rsid w:val="00B22DDF"/>
    <w:rsid w:val="00B2471F"/>
    <w:rsid w:val="00B2764B"/>
    <w:rsid w:val="00B27AAD"/>
    <w:rsid w:val="00B302B4"/>
    <w:rsid w:val="00B318BB"/>
    <w:rsid w:val="00B32BF0"/>
    <w:rsid w:val="00B34FD1"/>
    <w:rsid w:val="00B36AE9"/>
    <w:rsid w:val="00B45AEB"/>
    <w:rsid w:val="00B56B89"/>
    <w:rsid w:val="00B61505"/>
    <w:rsid w:val="00B6178C"/>
    <w:rsid w:val="00B64DB5"/>
    <w:rsid w:val="00B772E7"/>
    <w:rsid w:val="00B800AE"/>
    <w:rsid w:val="00B807CD"/>
    <w:rsid w:val="00B85E4C"/>
    <w:rsid w:val="00B8600D"/>
    <w:rsid w:val="00B87A66"/>
    <w:rsid w:val="00B91CA0"/>
    <w:rsid w:val="00B924C4"/>
    <w:rsid w:val="00B92EEC"/>
    <w:rsid w:val="00BA077D"/>
    <w:rsid w:val="00BA71FF"/>
    <w:rsid w:val="00BB5653"/>
    <w:rsid w:val="00BD0455"/>
    <w:rsid w:val="00BD263B"/>
    <w:rsid w:val="00BD3565"/>
    <w:rsid w:val="00BD4304"/>
    <w:rsid w:val="00BD4772"/>
    <w:rsid w:val="00BD6148"/>
    <w:rsid w:val="00BE2C72"/>
    <w:rsid w:val="00BE44E0"/>
    <w:rsid w:val="00BF2755"/>
    <w:rsid w:val="00C0118A"/>
    <w:rsid w:val="00C050A4"/>
    <w:rsid w:val="00C1175D"/>
    <w:rsid w:val="00C1367F"/>
    <w:rsid w:val="00C13CB6"/>
    <w:rsid w:val="00C15E77"/>
    <w:rsid w:val="00C17079"/>
    <w:rsid w:val="00C258CE"/>
    <w:rsid w:val="00C27320"/>
    <w:rsid w:val="00C3315D"/>
    <w:rsid w:val="00C52054"/>
    <w:rsid w:val="00C63108"/>
    <w:rsid w:val="00C737AE"/>
    <w:rsid w:val="00C73B18"/>
    <w:rsid w:val="00C73BD5"/>
    <w:rsid w:val="00C73EF1"/>
    <w:rsid w:val="00C770AD"/>
    <w:rsid w:val="00C841CC"/>
    <w:rsid w:val="00C870DB"/>
    <w:rsid w:val="00C96074"/>
    <w:rsid w:val="00CA4C33"/>
    <w:rsid w:val="00CA6B76"/>
    <w:rsid w:val="00CB4654"/>
    <w:rsid w:val="00CC0721"/>
    <w:rsid w:val="00CE6EF4"/>
    <w:rsid w:val="00CF0035"/>
    <w:rsid w:val="00D04B59"/>
    <w:rsid w:val="00D05A30"/>
    <w:rsid w:val="00D25278"/>
    <w:rsid w:val="00D34BD0"/>
    <w:rsid w:val="00D35394"/>
    <w:rsid w:val="00D6038E"/>
    <w:rsid w:val="00D62F85"/>
    <w:rsid w:val="00D70509"/>
    <w:rsid w:val="00D725F0"/>
    <w:rsid w:val="00D72D4D"/>
    <w:rsid w:val="00D751B0"/>
    <w:rsid w:val="00D76697"/>
    <w:rsid w:val="00D800A7"/>
    <w:rsid w:val="00D81689"/>
    <w:rsid w:val="00D823FB"/>
    <w:rsid w:val="00D8433F"/>
    <w:rsid w:val="00D85761"/>
    <w:rsid w:val="00D95162"/>
    <w:rsid w:val="00D976BB"/>
    <w:rsid w:val="00DA176A"/>
    <w:rsid w:val="00DA26CB"/>
    <w:rsid w:val="00DA7022"/>
    <w:rsid w:val="00DA7FFA"/>
    <w:rsid w:val="00DB08E1"/>
    <w:rsid w:val="00DB1DA9"/>
    <w:rsid w:val="00DC2609"/>
    <w:rsid w:val="00DC5C95"/>
    <w:rsid w:val="00DC7A99"/>
    <w:rsid w:val="00DC7B61"/>
    <w:rsid w:val="00DD326F"/>
    <w:rsid w:val="00DD3FB8"/>
    <w:rsid w:val="00DD528A"/>
    <w:rsid w:val="00DD6BE1"/>
    <w:rsid w:val="00DE0352"/>
    <w:rsid w:val="00DE0E8D"/>
    <w:rsid w:val="00DE1024"/>
    <w:rsid w:val="00DE3B12"/>
    <w:rsid w:val="00DF012F"/>
    <w:rsid w:val="00DF18D9"/>
    <w:rsid w:val="00DF6696"/>
    <w:rsid w:val="00DF78F8"/>
    <w:rsid w:val="00E04040"/>
    <w:rsid w:val="00E04F4C"/>
    <w:rsid w:val="00E12E17"/>
    <w:rsid w:val="00E23870"/>
    <w:rsid w:val="00E33C97"/>
    <w:rsid w:val="00E33FCF"/>
    <w:rsid w:val="00E40368"/>
    <w:rsid w:val="00E40631"/>
    <w:rsid w:val="00E40CD5"/>
    <w:rsid w:val="00E440E8"/>
    <w:rsid w:val="00E4507B"/>
    <w:rsid w:val="00E5535B"/>
    <w:rsid w:val="00E60D37"/>
    <w:rsid w:val="00E620BE"/>
    <w:rsid w:val="00E6657E"/>
    <w:rsid w:val="00E71495"/>
    <w:rsid w:val="00EA04BE"/>
    <w:rsid w:val="00EA18F1"/>
    <w:rsid w:val="00EA19D2"/>
    <w:rsid w:val="00EA2AA3"/>
    <w:rsid w:val="00EA43AB"/>
    <w:rsid w:val="00EA7A72"/>
    <w:rsid w:val="00EB01F6"/>
    <w:rsid w:val="00EB2194"/>
    <w:rsid w:val="00EB7FA3"/>
    <w:rsid w:val="00EC14D6"/>
    <w:rsid w:val="00EC4F25"/>
    <w:rsid w:val="00ED4EA8"/>
    <w:rsid w:val="00ED708F"/>
    <w:rsid w:val="00EE1FDB"/>
    <w:rsid w:val="00EE2530"/>
    <w:rsid w:val="00EE2F3C"/>
    <w:rsid w:val="00EE2FD6"/>
    <w:rsid w:val="00F0583F"/>
    <w:rsid w:val="00F17731"/>
    <w:rsid w:val="00F17D87"/>
    <w:rsid w:val="00F20DA3"/>
    <w:rsid w:val="00F2130A"/>
    <w:rsid w:val="00F25D11"/>
    <w:rsid w:val="00F25D4D"/>
    <w:rsid w:val="00F36583"/>
    <w:rsid w:val="00F3698F"/>
    <w:rsid w:val="00F40385"/>
    <w:rsid w:val="00F41EFF"/>
    <w:rsid w:val="00F421D7"/>
    <w:rsid w:val="00F503BA"/>
    <w:rsid w:val="00F50DC4"/>
    <w:rsid w:val="00F54A75"/>
    <w:rsid w:val="00F618A0"/>
    <w:rsid w:val="00F72E13"/>
    <w:rsid w:val="00F77128"/>
    <w:rsid w:val="00F813D1"/>
    <w:rsid w:val="00F821C4"/>
    <w:rsid w:val="00F8291D"/>
    <w:rsid w:val="00F87271"/>
    <w:rsid w:val="00F87FA1"/>
    <w:rsid w:val="00F91240"/>
    <w:rsid w:val="00F9798A"/>
    <w:rsid w:val="00FA09D1"/>
    <w:rsid w:val="00FB0404"/>
    <w:rsid w:val="00FB2C7D"/>
    <w:rsid w:val="00FB4700"/>
    <w:rsid w:val="00FC1CC8"/>
    <w:rsid w:val="00FD02B2"/>
    <w:rsid w:val="00FD0956"/>
    <w:rsid w:val="00FE0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995475"/>
  <w15:docId w15:val="{19FBC58F-7EFD-451D-8603-52FA309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90063899">
      <w:bodyDiv w:val="1"/>
      <w:marLeft w:val="0"/>
      <w:marRight w:val="0"/>
      <w:marTop w:val="0"/>
      <w:marBottom w:val="0"/>
      <w:divBdr>
        <w:top w:val="none" w:sz="0" w:space="0" w:color="auto"/>
        <w:left w:val="none" w:sz="0" w:space="0" w:color="auto"/>
        <w:bottom w:val="none" w:sz="0" w:space="0" w:color="auto"/>
        <w:right w:val="none" w:sz="0" w:space="0" w:color="auto"/>
      </w:divBdr>
    </w:div>
    <w:div w:id="327683452">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237862899">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9723">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76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ja.timofejeva@em.gov.lv" TargetMode="External"/><Relationship Id="rId4" Type="http://schemas.openxmlformats.org/officeDocument/2006/relationships/settings" Target="settings.xml"/><Relationship Id="rId9" Type="http://schemas.openxmlformats.org/officeDocument/2006/relationships/hyperlink" Target="mailto:Roberts.Meijers@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4XC0628%2801%2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9F7D-89F1-472E-9686-0CE0A2AC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1607</Words>
  <Characters>10659</Characters>
  <Application>Microsoft Office Word</Application>
  <DocSecurity>0</DocSecurity>
  <Lines>627</Lines>
  <Paragraphs>422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11844</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Logina</dc:creator>
  <cp:lastModifiedBy>EM</cp:lastModifiedBy>
  <cp:revision>7</cp:revision>
  <cp:lastPrinted>2016-02-10T15:07:00Z</cp:lastPrinted>
  <dcterms:created xsi:type="dcterms:W3CDTF">2016-02-10T12:32:00Z</dcterms:created>
  <dcterms:modified xsi:type="dcterms:W3CDTF">2016-02-10T15:08:00Z</dcterms:modified>
</cp:coreProperties>
</file>