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BA3FF" w14:textId="77777777" w:rsidR="00523DCD" w:rsidRPr="007A786B" w:rsidRDefault="00523DCD" w:rsidP="00A64A9C">
      <w:pPr>
        <w:tabs>
          <w:tab w:val="left" w:pos="6804"/>
        </w:tabs>
        <w:jc w:val="both"/>
        <w:rPr>
          <w:szCs w:val="28"/>
        </w:rPr>
      </w:pPr>
    </w:p>
    <w:p w14:paraId="73AF4B72" w14:textId="77777777" w:rsidR="00523DCD" w:rsidRPr="007A786B" w:rsidRDefault="00523DCD" w:rsidP="00A64A9C">
      <w:pPr>
        <w:tabs>
          <w:tab w:val="left" w:pos="6663"/>
        </w:tabs>
        <w:jc w:val="both"/>
        <w:rPr>
          <w:szCs w:val="28"/>
        </w:rPr>
      </w:pPr>
    </w:p>
    <w:p w14:paraId="26EE3E24" w14:textId="77777777" w:rsidR="00523DCD" w:rsidRPr="007A786B" w:rsidRDefault="00523DCD" w:rsidP="00A64A9C">
      <w:pPr>
        <w:tabs>
          <w:tab w:val="left" w:pos="6663"/>
        </w:tabs>
        <w:jc w:val="both"/>
        <w:rPr>
          <w:szCs w:val="28"/>
        </w:rPr>
      </w:pPr>
    </w:p>
    <w:p w14:paraId="1CD2A9F2" w14:textId="19140987" w:rsidR="00523DCD" w:rsidRPr="007A786B" w:rsidRDefault="00523DCD" w:rsidP="00A64A9C">
      <w:pPr>
        <w:tabs>
          <w:tab w:val="left" w:pos="6804"/>
        </w:tabs>
        <w:jc w:val="both"/>
        <w:rPr>
          <w:szCs w:val="28"/>
        </w:rPr>
      </w:pPr>
      <w:r w:rsidRPr="007A786B">
        <w:rPr>
          <w:szCs w:val="28"/>
        </w:rPr>
        <w:t>201</w:t>
      </w:r>
      <w:r w:rsidR="004A6995" w:rsidRPr="007A786B">
        <w:rPr>
          <w:szCs w:val="28"/>
        </w:rPr>
        <w:t>6</w:t>
      </w:r>
      <w:r w:rsidRPr="007A786B">
        <w:rPr>
          <w:szCs w:val="28"/>
        </w:rPr>
        <w:t>. gada __. </w:t>
      </w:r>
      <w:r w:rsidR="00120253" w:rsidRPr="007A786B">
        <w:rPr>
          <w:szCs w:val="28"/>
        </w:rPr>
        <w:t>martā</w:t>
      </w:r>
      <w:r w:rsidRPr="007A786B">
        <w:rPr>
          <w:szCs w:val="28"/>
        </w:rPr>
        <w:tab/>
        <w:t>Noteikumi Nr. ____</w:t>
      </w:r>
    </w:p>
    <w:p w14:paraId="58CE6B99" w14:textId="77777777" w:rsidR="00523DCD" w:rsidRPr="007A786B" w:rsidRDefault="00523DCD" w:rsidP="00A64A9C">
      <w:pPr>
        <w:tabs>
          <w:tab w:val="left" w:pos="6804"/>
        </w:tabs>
        <w:jc w:val="both"/>
        <w:rPr>
          <w:szCs w:val="28"/>
        </w:rPr>
      </w:pPr>
      <w:r w:rsidRPr="007A786B">
        <w:rPr>
          <w:szCs w:val="28"/>
        </w:rPr>
        <w:t>Rīgā</w:t>
      </w:r>
      <w:r w:rsidRPr="007A786B">
        <w:rPr>
          <w:szCs w:val="28"/>
        </w:rPr>
        <w:tab/>
        <w:t>(prot. Nr. ____)</w:t>
      </w:r>
    </w:p>
    <w:p w14:paraId="0202BFC0" w14:textId="77777777" w:rsidR="00523DCD" w:rsidRPr="007A786B" w:rsidRDefault="00523DCD" w:rsidP="00A64A9C">
      <w:pPr>
        <w:jc w:val="both"/>
        <w:rPr>
          <w:rFonts w:cs="Times New Roman"/>
          <w:b/>
          <w:szCs w:val="28"/>
        </w:rPr>
      </w:pPr>
      <w:bookmarkStart w:id="0" w:name="OLE_LINK1"/>
      <w:bookmarkStart w:id="1" w:name="OLE_LINK2"/>
      <w:bookmarkStart w:id="2" w:name="OLE_LINK3"/>
      <w:bookmarkStart w:id="3" w:name="OLE_LINK4"/>
    </w:p>
    <w:p w14:paraId="3E82E332" w14:textId="77777777" w:rsidR="00523DCD" w:rsidRPr="007A786B" w:rsidRDefault="00523DCD" w:rsidP="00A64A9C">
      <w:pPr>
        <w:jc w:val="center"/>
        <w:rPr>
          <w:rFonts w:cs="Times New Roman"/>
          <w:b/>
          <w:szCs w:val="28"/>
        </w:rPr>
      </w:pPr>
      <w:r w:rsidRPr="007A786B">
        <w:rPr>
          <w:rFonts w:cs="Times New Roman"/>
          <w:b/>
          <w:szCs w:val="28"/>
        </w:rPr>
        <w:t xml:space="preserve">Grozījumi Ministru kabineta </w:t>
      </w:r>
      <w:bookmarkEnd w:id="0"/>
      <w:bookmarkEnd w:id="1"/>
      <w:r w:rsidRPr="007A786B">
        <w:rPr>
          <w:rFonts w:cs="Times New Roman"/>
          <w:b/>
          <w:szCs w:val="28"/>
        </w:rPr>
        <w:t>2013.  gada 2. aprīļa noteikumos Nr. 181 "Norvēģijas finanšu instrumenta 2009.–2014. gada perioda programmas "Inovācijas "zaļās" ražošanas jomā" īstenošanas kārtība"</w:t>
      </w:r>
    </w:p>
    <w:bookmarkEnd w:id="2"/>
    <w:bookmarkEnd w:id="3"/>
    <w:p w14:paraId="3E52C2B8" w14:textId="77777777" w:rsidR="00523DCD" w:rsidRPr="007A786B" w:rsidRDefault="00523DCD" w:rsidP="00A64A9C">
      <w:pPr>
        <w:jc w:val="both"/>
        <w:rPr>
          <w:rFonts w:cs="Times New Roman"/>
          <w:szCs w:val="28"/>
        </w:rPr>
      </w:pPr>
    </w:p>
    <w:p w14:paraId="0804D740" w14:textId="77777777" w:rsidR="00523DCD" w:rsidRPr="007A786B" w:rsidRDefault="00523DCD" w:rsidP="00A64A9C">
      <w:pPr>
        <w:jc w:val="right"/>
        <w:rPr>
          <w:rFonts w:cs="Times New Roman"/>
          <w:szCs w:val="28"/>
        </w:rPr>
      </w:pPr>
      <w:r w:rsidRPr="007A786B">
        <w:rPr>
          <w:rFonts w:cs="Times New Roman"/>
          <w:szCs w:val="28"/>
        </w:rPr>
        <w:t>Izdoti saskaņā ar</w:t>
      </w:r>
    </w:p>
    <w:p w14:paraId="3CC273E3" w14:textId="77777777" w:rsidR="00523DCD" w:rsidRPr="007A786B" w:rsidRDefault="00523DCD" w:rsidP="00A64A9C">
      <w:pPr>
        <w:jc w:val="right"/>
        <w:rPr>
          <w:rFonts w:cs="Times New Roman"/>
          <w:szCs w:val="28"/>
        </w:rPr>
      </w:pPr>
      <w:r w:rsidRPr="007A786B">
        <w:rPr>
          <w:rFonts w:cs="Times New Roman"/>
          <w:szCs w:val="28"/>
        </w:rPr>
        <w:t xml:space="preserve">Eiropas Ekonomikas zonas </w:t>
      </w:r>
    </w:p>
    <w:p w14:paraId="0AE4A9CE" w14:textId="77777777" w:rsidR="00523DCD" w:rsidRPr="007A786B" w:rsidRDefault="00523DCD" w:rsidP="00A64A9C">
      <w:pPr>
        <w:jc w:val="right"/>
        <w:rPr>
          <w:rFonts w:cs="Times New Roman"/>
          <w:szCs w:val="28"/>
        </w:rPr>
      </w:pPr>
      <w:r w:rsidRPr="007A786B">
        <w:rPr>
          <w:rFonts w:cs="Times New Roman"/>
          <w:szCs w:val="28"/>
        </w:rPr>
        <w:t>finanšu instrumenta un</w:t>
      </w:r>
    </w:p>
    <w:p w14:paraId="0152EB41" w14:textId="77777777" w:rsidR="00523DCD" w:rsidRPr="007A786B" w:rsidRDefault="00523DCD" w:rsidP="00A64A9C">
      <w:pPr>
        <w:jc w:val="right"/>
        <w:rPr>
          <w:rFonts w:cs="Times New Roman"/>
          <w:szCs w:val="28"/>
        </w:rPr>
      </w:pPr>
      <w:r w:rsidRPr="007A786B">
        <w:rPr>
          <w:rFonts w:cs="Times New Roman"/>
          <w:szCs w:val="28"/>
        </w:rPr>
        <w:t>Norvēģijas finanšu instrumenta</w:t>
      </w:r>
    </w:p>
    <w:p w14:paraId="6517BE8E" w14:textId="77777777" w:rsidR="00523DCD" w:rsidRPr="007A786B" w:rsidRDefault="00523DCD" w:rsidP="00A64A9C">
      <w:pPr>
        <w:jc w:val="right"/>
        <w:rPr>
          <w:rFonts w:cs="Times New Roman"/>
          <w:szCs w:val="28"/>
        </w:rPr>
      </w:pPr>
      <w:r w:rsidRPr="007A786B">
        <w:rPr>
          <w:rFonts w:cs="Times New Roman"/>
          <w:szCs w:val="28"/>
        </w:rPr>
        <w:t>2009.–2014. gada perioda vadības</w:t>
      </w:r>
    </w:p>
    <w:p w14:paraId="5AF6324A" w14:textId="77777777" w:rsidR="00523DCD" w:rsidRPr="007A786B" w:rsidRDefault="00523DCD" w:rsidP="00A64A9C">
      <w:pPr>
        <w:jc w:val="right"/>
        <w:rPr>
          <w:rFonts w:cs="Times New Roman"/>
          <w:szCs w:val="28"/>
        </w:rPr>
      </w:pPr>
      <w:r w:rsidRPr="007A786B">
        <w:rPr>
          <w:rFonts w:cs="Times New Roman"/>
          <w:szCs w:val="28"/>
        </w:rPr>
        <w:t>likuma 9. panta pirmo daļu,</w:t>
      </w:r>
    </w:p>
    <w:p w14:paraId="31F42AFC" w14:textId="77777777" w:rsidR="00523DCD" w:rsidRPr="007A786B" w:rsidRDefault="00523DCD" w:rsidP="00A64A9C">
      <w:pPr>
        <w:jc w:val="right"/>
        <w:rPr>
          <w:rFonts w:cs="Times New Roman"/>
          <w:szCs w:val="28"/>
        </w:rPr>
      </w:pPr>
      <w:r w:rsidRPr="007A786B">
        <w:rPr>
          <w:rFonts w:cs="Times New Roman"/>
          <w:szCs w:val="28"/>
        </w:rPr>
        <w:t>15. panta 5., 6. un 7. punktu</w:t>
      </w:r>
    </w:p>
    <w:p w14:paraId="7F21C0D0" w14:textId="77777777" w:rsidR="00523DCD" w:rsidRPr="007A786B" w:rsidRDefault="00523DCD" w:rsidP="00A64A9C">
      <w:pPr>
        <w:jc w:val="right"/>
        <w:rPr>
          <w:rFonts w:cs="Times New Roman"/>
          <w:szCs w:val="28"/>
        </w:rPr>
      </w:pPr>
    </w:p>
    <w:p w14:paraId="4CEEDF67" w14:textId="77777777" w:rsidR="00523DCD" w:rsidRPr="007A786B" w:rsidRDefault="00523DCD" w:rsidP="00A64A9C">
      <w:pPr>
        <w:jc w:val="both"/>
        <w:rPr>
          <w:rFonts w:cs="Times New Roman"/>
          <w:szCs w:val="28"/>
        </w:rPr>
      </w:pPr>
      <w:r w:rsidRPr="007A786B">
        <w:rPr>
          <w:rFonts w:cs="Times New Roman"/>
          <w:szCs w:val="28"/>
        </w:rPr>
        <w:t>Izdarīt Ministru kabineta 2013. gada 2. aprīļa noteikumos Nr. 181 "Norvēģijas finanšu instrumenta 2009.–2014. gada perioda programmas "Inovācijas "zaļās" ražošanas jomā" īstenošanas kārtība" (Latvijas Vēstnesis, 2013, 78., 183. nr.; 2014, 94. nr.</w:t>
      </w:r>
      <w:r w:rsidR="00B90A19" w:rsidRPr="007A786B">
        <w:rPr>
          <w:rFonts w:cs="Times New Roman"/>
          <w:szCs w:val="28"/>
        </w:rPr>
        <w:t>;</w:t>
      </w:r>
      <w:r w:rsidRPr="007A786B">
        <w:rPr>
          <w:rFonts w:cs="Times New Roman"/>
          <w:szCs w:val="28"/>
        </w:rPr>
        <w:t xml:space="preserve"> 2015, 35. nr., 2015 nr. 78) šādus grozījumus:</w:t>
      </w:r>
    </w:p>
    <w:p w14:paraId="02FD455E" w14:textId="77777777" w:rsidR="00523DCD" w:rsidRPr="007A786B" w:rsidRDefault="00523DCD" w:rsidP="00A64A9C">
      <w:pPr>
        <w:jc w:val="both"/>
        <w:rPr>
          <w:rFonts w:cs="Times New Roman"/>
          <w:szCs w:val="28"/>
        </w:rPr>
      </w:pPr>
    </w:p>
    <w:p w14:paraId="495ADD8C"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Papildināt noteikumus ar 3.6.punktu šādā redakcijā:</w:t>
      </w:r>
    </w:p>
    <w:p w14:paraId="3DF218C2" w14:textId="77777777" w:rsidR="00523DCD" w:rsidRPr="007A786B" w:rsidRDefault="00523DCD" w:rsidP="00A64A9C">
      <w:pPr>
        <w:pStyle w:val="tv213"/>
        <w:spacing w:before="0" w:beforeAutospacing="0" w:after="0" w:afterAutospacing="0"/>
        <w:ind w:left="720"/>
        <w:jc w:val="both"/>
        <w:rPr>
          <w:sz w:val="28"/>
          <w:szCs w:val="28"/>
        </w:rPr>
      </w:pPr>
      <w:r w:rsidRPr="007A786B">
        <w:rPr>
          <w:sz w:val="28"/>
          <w:szCs w:val="28"/>
        </w:rPr>
        <w:t xml:space="preserve">“3.6. Programmas </w:t>
      </w:r>
      <w:proofErr w:type="spellStart"/>
      <w:r w:rsidRPr="007A786B">
        <w:rPr>
          <w:sz w:val="28"/>
          <w:szCs w:val="28"/>
        </w:rPr>
        <w:t>apsaimniekotāja</w:t>
      </w:r>
      <w:proofErr w:type="spellEnd"/>
      <w:r w:rsidRPr="007A786B">
        <w:rPr>
          <w:sz w:val="28"/>
          <w:szCs w:val="28"/>
        </w:rPr>
        <w:t xml:space="preserve"> papildu pasākumi”.</w:t>
      </w:r>
    </w:p>
    <w:p w14:paraId="0BAC8D3E" w14:textId="77777777" w:rsidR="00523DCD" w:rsidRPr="007A786B" w:rsidRDefault="00523DCD" w:rsidP="00A64A9C">
      <w:pPr>
        <w:pStyle w:val="tv213"/>
        <w:spacing w:before="0" w:beforeAutospacing="0" w:after="0" w:afterAutospacing="0"/>
        <w:ind w:left="720"/>
        <w:jc w:val="both"/>
        <w:rPr>
          <w:sz w:val="28"/>
          <w:szCs w:val="28"/>
        </w:rPr>
      </w:pPr>
    </w:p>
    <w:p w14:paraId="75B330ED"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Izteikt 5.1., 5.2., 5.3., 5.4. apakšpunktu un 5.5. apakšpunkta ievaddaļu šādā redakcijā:</w:t>
      </w:r>
    </w:p>
    <w:p w14:paraId="7668F725" w14:textId="77777777" w:rsidR="00523DCD" w:rsidRPr="007A786B" w:rsidRDefault="00523DCD" w:rsidP="00A64A9C">
      <w:pPr>
        <w:pStyle w:val="ListParagraph"/>
        <w:ind w:left="1080"/>
        <w:jc w:val="both"/>
        <w:rPr>
          <w:rFonts w:eastAsia="Times New Roman" w:cs="Times New Roman"/>
          <w:szCs w:val="28"/>
          <w:lang w:eastAsia="lv-LV"/>
        </w:rPr>
      </w:pPr>
      <w:r w:rsidRPr="007A786B">
        <w:rPr>
          <w:rFonts w:cs="Times New Roman"/>
          <w:szCs w:val="28"/>
        </w:rPr>
        <w:t>"5.1. iepriekš noteiktā projekta finansējums EUR 2 757 279</w:t>
      </w:r>
    </w:p>
    <w:p w14:paraId="33DE3ACE" w14:textId="77777777" w:rsidR="00523DCD" w:rsidRPr="007A786B" w:rsidRDefault="00523DCD" w:rsidP="00A64A9C">
      <w:pPr>
        <w:pStyle w:val="ListParagraph"/>
        <w:ind w:left="1080"/>
        <w:jc w:val="both"/>
        <w:rPr>
          <w:rFonts w:eastAsia="Times New Roman" w:cs="Times New Roman"/>
          <w:szCs w:val="28"/>
          <w:lang w:eastAsia="lv-LV"/>
        </w:rPr>
      </w:pPr>
      <w:r w:rsidRPr="007A786B">
        <w:rPr>
          <w:rFonts w:cs="Times New Roman"/>
          <w:szCs w:val="28"/>
        </w:rPr>
        <w:t xml:space="preserve">5.2. neliela apjoma </w:t>
      </w:r>
      <w:proofErr w:type="spellStart"/>
      <w:r w:rsidRPr="007A786B">
        <w:rPr>
          <w:rFonts w:cs="Times New Roman"/>
          <w:szCs w:val="28"/>
        </w:rPr>
        <w:t>grantu</w:t>
      </w:r>
      <w:proofErr w:type="spellEnd"/>
      <w:r w:rsidRPr="007A786B">
        <w:rPr>
          <w:rFonts w:cs="Times New Roman"/>
          <w:szCs w:val="28"/>
        </w:rPr>
        <w:t xml:space="preserve"> shēmas finansējums EUR</w:t>
      </w:r>
      <w:r w:rsidRPr="007A786B">
        <w:rPr>
          <w:rFonts w:eastAsia="Times New Roman" w:cs="Times New Roman"/>
          <w:szCs w:val="28"/>
          <w:lang w:eastAsia="lv-LV"/>
        </w:rPr>
        <w:t xml:space="preserve"> 2 478 711;</w:t>
      </w:r>
    </w:p>
    <w:p w14:paraId="6F82CE1E" w14:textId="77777777" w:rsidR="00523DCD" w:rsidRPr="007A786B" w:rsidRDefault="00523DCD" w:rsidP="00A64A9C">
      <w:pPr>
        <w:pStyle w:val="ListParagraph"/>
        <w:ind w:left="1080"/>
        <w:jc w:val="both"/>
        <w:rPr>
          <w:rFonts w:eastAsia="Times New Roman" w:cs="Times New Roman"/>
          <w:szCs w:val="28"/>
          <w:lang w:eastAsia="lv-LV"/>
        </w:rPr>
      </w:pPr>
      <w:r w:rsidRPr="007A786B">
        <w:rPr>
          <w:rFonts w:cs="Times New Roman"/>
          <w:szCs w:val="28"/>
        </w:rPr>
        <w:t>5.3. atklāta konkursa finansējums EUR</w:t>
      </w:r>
      <w:r w:rsidRPr="007A786B">
        <w:rPr>
          <w:rFonts w:eastAsia="Times New Roman" w:cs="Times New Roman"/>
          <w:szCs w:val="28"/>
          <w:lang w:eastAsia="lv-LV"/>
        </w:rPr>
        <w:t xml:space="preserve"> 5 993 184;</w:t>
      </w:r>
    </w:p>
    <w:p w14:paraId="082A5A93" w14:textId="77777777" w:rsidR="00523DCD" w:rsidRPr="007A786B" w:rsidRDefault="00523DCD" w:rsidP="00A64A9C">
      <w:pPr>
        <w:pStyle w:val="ListParagraph"/>
        <w:ind w:left="1080"/>
        <w:jc w:val="both"/>
        <w:rPr>
          <w:rFonts w:eastAsia="Times New Roman" w:cs="Times New Roman"/>
          <w:szCs w:val="28"/>
          <w:lang w:eastAsia="lv-LV"/>
        </w:rPr>
      </w:pPr>
      <w:r w:rsidRPr="007A786B">
        <w:rPr>
          <w:rFonts w:eastAsia="Times New Roman" w:cs="Times New Roman"/>
          <w:szCs w:val="28"/>
          <w:lang w:eastAsia="lv-LV"/>
        </w:rPr>
        <w:t>5.4. programmas divpusējās sadarbības fonda finansējums EUR 424 000;</w:t>
      </w:r>
    </w:p>
    <w:p w14:paraId="5BE16EAD" w14:textId="77777777" w:rsidR="00523DCD" w:rsidRPr="007A786B" w:rsidRDefault="00523DCD" w:rsidP="00A64A9C">
      <w:pPr>
        <w:pStyle w:val="ListParagraph"/>
        <w:ind w:left="1080"/>
        <w:jc w:val="both"/>
        <w:rPr>
          <w:rFonts w:eastAsia="Times New Roman" w:cs="Times New Roman"/>
          <w:szCs w:val="28"/>
          <w:lang w:eastAsia="lv-LV"/>
        </w:rPr>
      </w:pPr>
      <w:r w:rsidRPr="007A786B">
        <w:rPr>
          <w:rFonts w:eastAsia="Times New Roman" w:cs="Times New Roman"/>
          <w:szCs w:val="28"/>
          <w:lang w:eastAsia="lv-LV"/>
        </w:rPr>
        <w:t>5.5. līdzekļu programmas vadībai finansējums EUR 883 493 šādām attiecināmo programmas vadības izmaksu pozīcijām:".</w:t>
      </w:r>
    </w:p>
    <w:p w14:paraId="725FC24E" w14:textId="77777777" w:rsidR="00523DCD" w:rsidRPr="007A786B" w:rsidRDefault="00523DCD" w:rsidP="00A64A9C">
      <w:pPr>
        <w:pStyle w:val="ListParagraph"/>
        <w:ind w:left="1080"/>
        <w:jc w:val="both"/>
        <w:rPr>
          <w:rFonts w:eastAsia="Times New Roman" w:cs="Times New Roman"/>
          <w:szCs w:val="28"/>
          <w:lang w:eastAsia="lv-LV"/>
        </w:rPr>
      </w:pPr>
    </w:p>
    <w:p w14:paraId="5EAE13E9"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Papildināt noteikumus ar 5.6.</w:t>
      </w:r>
      <w:r w:rsidR="0075354F" w:rsidRPr="007A786B">
        <w:rPr>
          <w:sz w:val="28"/>
          <w:szCs w:val="28"/>
        </w:rPr>
        <w:t xml:space="preserve"> </w:t>
      </w:r>
      <w:r w:rsidRPr="007A786B">
        <w:rPr>
          <w:sz w:val="28"/>
          <w:szCs w:val="28"/>
        </w:rPr>
        <w:t>apakšpunktu šādā redakcijā:</w:t>
      </w:r>
    </w:p>
    <w:p w14:paraId="573EA8EF" w14:textId="77777777" w:rsidR="00AB4E13" w:rsidRPr="007A786B" w:rsidRDefault="00523DCD" w:rsidP="00A64A9C">
      <w:pPr>
        <w:pStyle w:val="tv213"/>
        <w:spacing w:before="0" w:beforeAutospacing="0" w:after="0" w:afterAutospacing="0"/>
        <w:ind w:left="1080"/>
        <w:jc w:val="both"/>
        <w:rPr>
          <w:sz w:val="28"/>
          <w:szCs w:val="28"/>
        </w:rPr>
      </w:pPr>
      <w:r w:rsidRPr="007A786B">
        <w:rPr>
          <w:sz w:val="28"/>
          <w:szCs w:val="28"/>
        </w:rPr>
        <w:t xml:space="preserve">“5.6. Programmas </w:t>
      </w:r>
      <w:proofErr w:type="spellStart"/>
      <w:r w:rsidR="006D2988" w:rsidRPr="007A786B">
        <w:rPr>
          <w:sz w:val="28"/>
          <w:szCs w:val="28"/>
        </w:rPr>
        <w:t>apsaimniekotāja</w:t>
      </w:r>
      <w:proofErr w:type="spellEnd"/>
      <w:r w:rsidR="006D2988" w:rsidRPr="007A786B">
        <w:rPr>
          <w:sz w:val="28"/>
          <w:szCs w:val="28"/>
        </w:rPr>
        <w:t xml:space="preserve"> papildu pasākumu finansējums</w:t>
      </w:r>
      <w:r w:rsidRPr="007A786B">
        <w:rPr>
          <w:sz w:val="28"/>
          <w:szCs w:val="28"/>
        </w:rPr>
        <w:t xml:space="preserve"> EUR 50 000.</w:t>
      </w:r>
      <w:r w:rsidR="0075354F" w:rsidRPr="007A786B">
        <w:rPr>
          <w:sz w:val="28"/>
          <w:szCs w:val="28"/>
        </w:rPr>
        <w:t xml:space="preserve"> </w:t>
      </w:r>
    </w:p>
    <w:p w14:paraId="19E3CA1E" w14:textId="0D3CCEC5" w:rsidR="00AB4E13" w:rsidRPr="007A786B" w:rsidRDefault="00AB4E13" w:rsidP="00A64A9C">
      <w:pPr>
        <w:pStyle w:val="tv213"/>
        <w:spacing w:before="0" w:beforeAutospacing="0" w:after="0" w:afterAutospacing="0"/>
        <w:ind w:left="1080"/>
        <w:jc w:val="both"/>
        <w:rPr>
          <w:sz w:val="28"/>
          <w:szCs w:val="28"/>
        </w:rPr>
      </w:pPr>
      <w:r w:rsidRPr="007A786B">
        <w:rPr>
          <w:sz w:val="28"/>
          <w:szCs w:val="28"/>
        </w:rPr>
        <w:t xml:space="preserve">Papildu pasākumu aktivitātes ir attiecināmas, ja tās organizē Programmas </w:t>
      </w:r>
      <w:proofErr w:type="spellStart"/>
      <w:r w:rsidRPr="007A786B">
        <w:rPr>
          <w:sz w:val="28"/>
          <w:szCs w:val="28"/>
        </w:rPr>
        <w:t>apsaimniekotājs</w:t>
      </w:r>
      <w:proofErr w:type="spellEnd"/>
      <w:r w:rsidRPr="007A786B">
        <w:rPr>
          <w:sz w:val="28"/>
          <w:szCs w:val="28"/>
        </w:rPr>
        <w:t xml:space="preserve"> un/vai cita institūcija</w:t>
      </w:r>
      <w:r w:rsidR="00CC1EE0" w:rsidRPr="007A786B">
        <w:rPr>
          <w:sz w:val="28"/>
          <w:szCs w:val="28"/>
        </w:rPr>
        <w:t>,</w:t>
      </w:r>
      <w:r w:rsidRPr="007A786B">
        <w:rPr>
          <w:sz w:val="28"/>
          <w:szCs w:val="28"/>
        </w:rPr>
        <w:t xml:space="preserve"> tai skaitā aģentūra</w:t>
      </w:r>
      <w:r w:rsidR="00CC1EE0" w:rsidRPr="007A786B">
        <w:rPr>
          <w:sz w:val="28"/>
          <w:szCs w:val="28"/>
        </w:rPr>
        <w:t>,</w:t>
      </w:r>
      <w:r w:rsidRPr="007A786B">
        <w:rPr>
          <w:sz w:val="28"/>
          <w:szCs w:val="28"/>
        </w:rPr>
        <w:t xml:space="preserve"> un kurās ir iesaistīts Programmas </w:t>
      </w:r>
      <w:proofErr w:type="spellStart"/>
      <w:r w:rsidRPr="007A786B">
        <w:rPr>
          <w:sz w:val="28"/>
          <w:szCs w:val="28"/>
        </w:rPr>
        <w:t>apsaimniekotājs</w:t>
      </w:r>
      <w:proofErr w:type="spellEnd"/>
      <w:r w:rsidRPr="007A786B">
        <w:rPr>
          <w:sz w:val="28"/>
          <w:szCs w:val="28"/>
        </w:rPr>
        <w:t>, un  tās sniedz ieguldījumu Programmas mērķu sasniegšanā, lai:</w:t>
      </w:r>
    </w:p>
    <w:p w14:paraId="52CDACF3" w14:textId="77777777" w:rsidR="00AB4E13" w:rsidRPr="007A786B" w:rsidRDefault="00AB4E13" w:rsidP="00A64A9C">
      <w:pPr>
        <w:pStyle w:val="tv213"/>
        <w:spacing w:before="0" w:beforeAutospacing="0" w:after="0" w:afterAutospacing="0"/>
        <w:ind w:left="1080"/>
        <w:jc w:val="both"/>
        <w:rPr>
          <w:sz w:val="28"/>
          <w:szCs w:val="28"/>
        </w:rPr>
      </w:pPr>
      <w:r w:rsidRPr="007A786B">
        <w:rPr>
          <w:sz w:val="28"/>
          <w:szCs w:val="28"/>
        </w:rPr>
        <w:t xml:space="preserve">5.6.1.  sadarbības stiprināšanai starp citu Norvēģijas finanšu instrumenta saņēmējvalstu Programmas </w:t>
      </w:r>
      <w:proofErr w:type="spellStart"/>
      <w:r w:rsidRPr="007A786B">
        <w:rPr>
          <w:sz w:val="28"/>
          <w:szCs w:val="28"/>
        </w:rPr>
        <w:t>apsaimniekotājiem</w:t>
      </w:r>
      <w:proofErr w:type="spellEnd"/>
      <w:r w:rsidRPr="007A786B">
        <w:rPr>
          <w:sz w:val="28"/>
          <w:szCs w:val="28"/>
        </w:rPr>
        <w:t xml:space="preserve"> un līdzīgām iestādēm saņēmējvalstīs un Norvēģijā, kā arī starptautiskām organizācijām, un, </w:t>
      </w:r>
    </w:p>
    <w:p w14:paraId="1502E3FC" w14:textId="5977D50B" w:rsidR="00523DCD" w:rsidRPr="007A786B" w:rsidRDefault="00AB4E13" w:rsidP="00A64A9C">
      <w:pPr>
        <w:pStyle w:val="tv213"/>
        <w:spacing w:before="0" w:beforeAutospacing="0" w:after="0" w:afterAutospacing="0"/>
        <w:ind w:left="1080"/>
        <w:jc w:val="both"/>
        <w:rPr>
          <w:sz w:val="28"/>
          <w:szCs w:val="28"/>
        </w:rPr>
      </w:pPr>
      <w:r w:rsidRPr="007A786B">
        <w:rPr>
          <w:sz w:val="28"/>
          <w:szCs w:val="28"/>
        </w:rPr>
        <w:t>5.6.2. pieredzes un labās prakses apmaiņu, kas saistīta ar Programmas īstenošanu.</w:t>
      </w:r>
      <w:r w:rsidR="00523DCD" w:rsidRPr="007A786B">
        <w:rPr>
          <w:sz w:val="28"/>
          <w:szCs w:val="28"/>
        </w:rPr>
        <w:t>”</w:t>
      </w:r>
    </w:p>
    <w:p w14:paraId="2AF1021B" w14:textId="77777777" w:rsidR="00523DCD" w:rsidRPr="007A786B" w:rsidRDefault="00523DCD" w:rsidP="00A64A9C">
      <w:pPr>
        <w:pStyle w:val="tv213"/>
        <w:spacing w:before="0" w:beforeAutospacing="0" w:after="0" w:afterAutospacing="0"/>
        <w:ind w:left="1080"/>
        <w:jc w:val="both"/>
        <w:rPr>
          <w:sz w:val="28"/>
          <w:szCs w:val="28"/>
        </w:rPr>
      </w:pPr>
    </w:p>
    <w:p w14:paraId="7AEA8B30"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 xml:space="preserve">Izteikt 8. punktu šādā redakcijā: </w:t>
      </w:r>
    </w:p>
    <w:p w14:paraId="12EAB849" w14:textId="77777777" w:rsidR="00523DCD" w:rsidRPr="007A786B" w:rsidRDefault="00523DCD" w:rsidP="00A64A9C">
      <w:pPr>
        <w:pStyle w:val="tv213"/>
        <w:spacing w:before="0" w:beforeAutospacing="0" w:after="0" w:afterAutospacing="0"/>
        <w:ind w:left="1080"/>
        <w:jc w:val="both"/>
        <w:rPr>
          <w:sz w:val="28"/>
          <w:szCs w:val="28"/>
        </w:rPr>
      </w:pPr>
      <w:r w:rsidRPr="007A786B">
        <w:rPr>
          <w:sz w:val="28"/>
          <w:szCs w:val="28"/>
        </w:rPr>
        <w:t>"8. Programmas īstenošanas termiņš ir 2017.gada</w:t>
      </w:r>
      <w:r w:rsidR="006D2988" w:rsidRPr="007A786B">
        <w:rPr>
          <w:sz w:val="28"/>
          <w:szCs w:val="28"/>
        </w:rPr>
        <w:t xml:space="preserve"> </w:t>
      </w:r>
      <w:r w:rsidRPr="007A786B">
        <w:rPr>
          <w:sz w:val="28"/>
          <w:szCs w:val="28"/>
        </w:rPr>
        <w:t>31.decembris."</w:t>
      </w:r>
    </w:p>
    <w:p w14:paraId="51AC8822" w14:textId="77777777" w:rsidR="00523DCD" w:rsidRPr="007A786B" w:rsidRDefault="00523DCD" w:rsidP="00A64A9C">
      <w:pPr>
        <w:pStyle w:val="tv213"/>
        <w:spacing w:before="0" w:beforeAutospacing="0" w:after="0" w:afterAutospacing="0"/>
        <w:jc w:val="both"/>
        <w:rPr>
          <w:sz w:val="28"/>
          <w:szCs w:val="28"/>
        </w:rPr>
      </w:pPr>
    </w:p>
    <w:p w14:paraId="62EF625B" w14:textId="77777777" w:rsidR="000E1957"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 xml:space="preserve"> </w:t>
      </w:r>
      <w:r w:rsidR="000E1957" w:rsidRPr="007A786B">
        <w:rPr>
          <w:sz w:val="28"/>
          <w:szCs w:val="28"/>
        </w:rPr>
        <w:t>Svītrot 16.2.apakšpunktā vārdus “izņemot atbalstu iekārtu iegādei un telpu rekonstrukcijai”.</w:t>
      </w:r>
    </w:p>
    <w:p w14:paraId="4C70831D" w14:textId="77777777" w:rsidR="00120253" w:rsidRPr="007A786B" w:rsidRDefault="00120253" w:rsidP="00A64A9C">
      <w:pPr>
        <w:pStyle w:val="tv213"/>
        <w:spacing w:before="0" w:beforeAutospacing="0" w:after="0" w:afterAutospacing="0"/>
        <w:ind w:left="928"/>
        <w:jc w:val="both"/>
        <w:rPr>
          <w:sz w:val="28"/>
          <w:szCs w:val="28"/>
        </w:rPr>
      </w:pPr>
    </w:p>
    <w:p w14:paraId="2632FDEB" w14:textId="65F60B45" w:rsidR="00A12CC1" w:rsidRPr="007A786B" w:rsidRDefault="00A12CC1" w:rsidP="00A64A9C">
      <w:pPr>
        <w:pStyle w:val="tv213"/>
        <w:numPr>
          <w:ilvl w:val="0"/>
          <w:numId w:val="1"/>
        </w:numPr>
        <w:spacing w:before="0" w:beforeAutospacing="0" w:after="0" w:afterAutospacing="0"/>
        <w:ind w:firstLine="0"/>
        <w:jc w:val="both"/>
        <w:rPr>
          <w:sz w:val="28"/>
          <w:szCs w:val="28"/>
        </w:rPr>
      </w:pPr>
      <w:r w:rsidRPr="007A786B">
        <w:rPr>
          <w:sz w:val="28"/>
          <w:szCs w:val="28"/>
        </w:rPr>
        <w:t>Izteikt 17.punktu šādā redakcijā:</w:t>
      </w:r>
    </w:p>
    <w:p w14:paraId="2B1B4AE2" w14:textId="26A3DBA1" w:rsidR="00A12CC1" w:rsidRPr="007A786B" w:rsidRDefault="00A12CC1" w:rsidP="00A64A9C">
      <w:pPr>
        <w:pStyle w:val="tv213"/>
        <w:spacing w:before="0" w:beforeAutospacing="0" w:after="0" w:afterAutospacing="0"/>
        <w:ind w:left="1080"/>
        <w:jc w:val="both"/>
        <w:rPr>
          <w:sz w:val="28"/>
          <w:szCs w:val="28"/>
        </w:rPr>
      </w:pPr>
      <w:r w:rsidRPr="007A786B">
        <w:rPr>
          <w:sz w:val="28"/>
          <w:szCs w:val="28"/>
        </w:rPr>
        <w:t xml:space="preserve">“17. Vienam līdzfinansējuma saņēmējam un atbalsta saņēmējam piešķirtais </w:t>
      </w:r>
      <w:proofErr w:type="spellStart"/>
      <w:r w:rsidRPr="007A786B">
        <w:rPr>
          <w:i/>
          <w:sz w:val="28"/>
          <w:szCs w:val="28"/>
        </w:rPr>
        <w:t>de</w:t>
      </w:r>
      <w:proofErr w:type="spellEnd"/>
      <w:r w:rsidRPr="007A786B">
        <w:rPr>
          <w:i/>
          <w:sz w:val="28"/>
          <w:szCs w:val="28"/>
        </w:rPr>
        <w:t xml:space="preserve"> </w:t>
      </w:r>
      <w:proofErr w:type="spellStart"/>
      <w:r w:rsidRPr="007A786B">
        <w:rPr>
          <w:i/>
          <w:sz w:val="28"/>
          <w:szCs w:val="28"/>
        </w:rPr>
        <w:t>minimis</w:t>
      </w:r>
      <w:proofErr w:type="spellEnd"/>
      <w:r w:rsidRPr="007A786B">
        <w:rPr>
          <w:sz w:val="28"/>
          <w:szCs w:val="28"/>
        </w:rPr>
        <w:t xml:space="preserve"> atbalsta apmērs kopā ar attiecīgajā fiskālajā gadā un iepriekšējos divos fiskālajos gados piešķirto </w:t>
      </w:r>
      <w:proofErr w:type="spellStart"/>
      <w:r w:rsidRPr="007A786B">
        <w:rPr>
          <w:i/>
          <w:sz w:val="28"/>
          <w:szCs w:val="28"/>
        </w:rPr>
        <w:t>de</w:t>
      </w:r>
      <w:proofErr w:type="spellEnd"/>
      <w:r w:rsidRPr="007A786B">
        <w:rPr>
          <w:i/>
          <w:sz w:val="28"/>
          <w:szCs w:val="28"/>
        </w:rPr>
        <w:t xml:space="preserve"> </w:t>
      </w:r>
      <w:proofErr w:type="spellStart"/>
      <w:r w:rsidRPr="007A786B">
        <w:rPr>
          <w:i/>
          <w:sz w:val="28"/>
          <w:szCs w:val="28"/>
        </w:rPr>
        <w:t>minimis</w:t>
      </w:r>
      <w:proofErr w:type="spellEnd"/>
      <w:r w:rsidRPr="007A786B">
        <w:rPr>
          <w:sz w:val="28"/>
          <w:szCs w:val="28"/>
        </w:rPr>
        <w:t xml:space="preserve"> atbalstu nepārsniedz Komisijas regulas Nr. 1407/2013 3.panta 2.punktā noteikto maksimālo </w:t>
      </w:r>
      <w:proofErr w:type="spellStart"/>
      <w:r w:rsidRPr="007A786B">
        <w:rPr>
          <w:i/>
          <w:sz w:val="28"/>
          <w:szCs w:val="28"/>
        </w:rPr>
        <w:t>de</w:t>
      </w:r>
      <w:proofErr w:type="spellEnd"/>
      <w:r w:rsidRPr="007A786B">
        <w:rPr>
          <w:i/>
          <w:sz w:val="28"/>
          <w:szCs w:val="28"/>
        </w:rPr>
        <w:t xml:space="preserve"> </w:t>
      </w:r>
      <w:proofErr w:type="spellStart"/>
      <w:r w:rsidRPr="007A786B">
        <w:rPr>
          <w:i/>
          <w:sz w:val="28"/>
          <w:szCs w:val="28"/>
        </w:rPr>
        <w:t>minimis</w:t>
      </w:r>
      <w:proofErr w:type="spellEnd"/>
      <w:r w:rsidRPr="007A786B">
        <w:rPr>
          <w:i/>
          <w:sz w:val="28"/>
          <w:szCs w:val="28"/>
        </w:rPr>
        <w:t xml:space="preserve"> </w:t>
      </w:r>
      <w:r w:rsidRPr="007A786B">
        <w:rPr>
          <w:sz w:val="28"/>
          <w:szCs w:val="28"/>
        </w:rPr>
        <w:t xml:space="preserve">atbalsta apmēru. Lēmumu par </w:t>
      </w:r>
      <w:proofErr w:type="spellStart"/>
      <w:r w:rsidRPr="007A786B">
        <w:rPr>
          <w:i/>
          <w:sz w:val="28"/>
          <w:szCs w:val="28"/>
        </w:rPr>
        <w:t>de</w:t>
      </w:r>
      <w:proofErr w:type="spellEnd"/>
      <w:r w:rsidRPr="007A786B">
        <w:rPr>
          <w:i/>
          <w:sz w:val="28"/>
          <w:szCs w:val="28"/>
        </w:rPr>
        <w:t xml:space="preserve"> </w:t>
      </w:r>
      <w:proofErr w:type="spellStart"/>
      <w:r w:rsidRPr="007A786B">
        <w:rPr>
          <w:i/>
          <w:sz w:val="28"/>
          <w:szCs w:val="28"/>
        </w:rPr>
        <w:t>minimis</w:t>
      </w:r>
      <w:proofErr w:type="spellEnd"/>
      <w:r w:rsidRPr="007A786B">
        <w:rPr>
          <w:sz w:val="28"/>
          <w:szCs w:val="28"/>
        </w:rPr>
        <w:t xml:space="preserve"> atbalsta piešķiršanu var pieņemt ne vēlāk kā l</w:t>
      </w:r>
      <w:r w:rsidR="002839E6" w:rsidRPr="007A786B">
        <w:rPr>
          <w:sz w:val="28"/>
          <w:szCs w:val="28"/>
        </w:rPr>
        <w:t>īdz 2017</w:t>
      </w:r>
      <w:r w:rsidRPr="007A786B">
        <w:rPr>
          <w:sz w:val="28"/>
          <w:szCs w:val="28"/>
        </w:rPr>
        <w:t>.gada 30.apr</w:t>
      </w:r>
      <w:r w:rsidR="002839E6" w:rsidRPr="007A786B">
        <w:rPr>
          <w:sz w:val="28"/>
          <w:szCs w:val="28"/>
        </w:rPr>
        <w:t>īlim, nepārsniedzot atbalsta maksimālo saņemšanas termiņu.”</w:t>
      </w:r>
      <w:r w:rsidRPr="007A786B">
        <w:rPr>
          <w:sz w:val="28"/>
          <w:szCs w:val="28"/>
        </w:rPr>
        <w:t xml:space="preserve"> </w:t>
      </w:r>
    </w:p>
    <w:p w14:paraId="1362CF86" w14:textId="77777777" w:rsidR="00120253" w:rsidRPr="007A786B" w:rsidRDefault="00120253" w:rsidP="00A64A9C">
      <w:pPr>
        <w:pStyle w:val="tv213"/>
        <w:spacing w:before="0" w:beforeAutospacing="0" w:after="0" w:afterAutospacing="0"/>
        <w:ind w:left="1080"/>
        <w:jc w:val="both"/>
        <w:rPr>
          <w:sz w:val="28"/>
          <w:szCs w:val="28"/>
        </w:rPr>
      </w:pPr>
    </w:p>
    <w:p w14:paraId="5ABA2203" w14:textId="2EC9419F" w:rsidR="000C3B37" w:rsidRPr="007A786B" w:rsidRDefault="000C3B37" w:rsidP="00A64A9C">
      <w:pPr>
        <w:pStyle w:val="tv213"/>
        <w:numPr>
          <w:ilvl w:val="0"/>
          <w:numId w:val="1"/>
        </w:numPr>
        <w:spacing w:before="0" w:beforeAutospacing="0" w:after="0" w:afterAutospacing="0"/>
        <w:ind w:firstLine="0"/>
        <w:jc w:val="both"/>
        <w:rPr>
          <w:sz w:val="28"/>
          <w:szCs w:val="28"/>
        </w:rPr>
      </w:pPr>
      <w:r w:rsidRPr="007A786B">
        <w:rPr>
          <w:sz w:val="28"/>
          <w:szCs w:val="28"/>
        </w:rPr>
        <w:t>Izteikt 21.punktu šādā redakcijā:</w:t>
      </w:r>
    </w:p>
    <w:p w14:paraId="74B8F2D3" w14:textId="772EEE52" w:rsidR="004A6995" w:rsidRPr="007A786B" w:rsidRDefault="000C3B37" w:rsidP="00A64A9C">
      <w:pPr>
        <w:pStyle w:val="tv213"/>
        <w:spacing w:before="0" w:beforeAutospacing="0" w:after="0" w:afterAutospacing="0"/>
        <w:ind w:left="1080"/>
        <w:jc w:val="both"/>
        <w:rPr>
          <w:sz w:val="28"/>
          <w:szCs w:val="28"/>
        </w:rPr>
      </w:pPr>
      <w:r w:rsidRPr="007A786B">
        <w:rPr>
          <w:sz w:val="28"/>
          <w:szCs w:val="28"/>
        </w:rPr>
        <w:t xml:space="preserve">“21. </w:t>
      </w:r>
      <w:r w:rsidR="00EA00FD" w:rsidRPr="007A786B">
        <w:rPr>
          <w:sz w:val="28"/>
          <w:szCs w:val="28"/>
        </w:rPr>
        <w:t>L</w:t>
      </w:r>
      <w:r w:rsidRPr="007A786B">
        <w:rPr>
          <w:sz w:val="28"/>
          <w:szCs w:val="28"/>
        </w:rPr>
        <w:t xml:space="preserve">īdzfinansējuma saņēmējam un atbalsta saņēmējam atbalsts netiek sniegts, ja tas atbilst grūtībās nonākuša komersanta statusam, proti, tam ar tiesas spriedumu ir pasludināts maksātnespējas process vai ar tiesas spriedumu tiek īstenots tiesiskās aizsardzības process, ar tiesas lēmumu tiek īstenots </w:t>
      </w:r>
      <w:proofErr w:type="spellStart"/>
      <w:r w:rsidRPr="007A786B">
        <w:rPr>
          <w:sz w:val="28"/>
          <w:szCs w:val="28"/>
        </w:rPr>
        <w:t>ārpustiesas</w:t>
      </w:r>
      <w:proofErr w:type="spellEnd"/>
      <w:r w:rsidRPr="007A786B">
        <w:rPr>
          <w:sz w:val="28"/>
          <w:szCs w:val="28"/>
        </w:rPr>
        <w:t xml:space="preserve"> tiesiskās aizsardzības process, tam uzsākta bankrota procedūra, piemērota sanācija vai mierizlīgums vai tā saimnieciskā darbība ir izbeigta, vai tas atbilst normatīvajos aktos noteiktiem kritērijiem, lai tam pēc kreditoru pieprasījuma piemērotu maksātnespējas procedūru.”</w:t>
      </w:r>
    </w:p>
    <w:p w14:paraId="50C005F2" w14:textId="77777777" w:rsidR="00120253" w:rsidRPr="007A786B" w:rsidRDefault="00120253" w:rsidP="00A64A9C">
      <w:pPr>
        <w:pStyle w:val="tv213"/>
        <w:spacing w:before="0" w:beforeAutospacing="0" w:after="0" w:afterAutospacing="0"/>
        <w:ind w:left="1080"/>
        <w:jc w:val="both"/>
        <w:rPr>
          <w:sz w:val="28"/>
          <w:szCs w:val="28"/>
        </w:rPr>
      </w:pPr>
    </w:p>
    <w:p w14:paraId="149D2D61" w14:textId="7E0BC3D6" w:rsidR="00523DCD" w:rsidRPr="007A786B" w:rsidRDefault="00215435" w:rsidP="00A64A9C">
      <w:pPr>
        <w:pStyle w:val="tv213"/>
        <w:numPr>
          <w:ilvl w:val="0"/>
          <w:numId w:val="1"/>
        </w:numPr>
        <w:spacing w:before="0" w:beforeAutospacing="0" w:after="0" w:afterAutospacing="0"/>
        <w:ind w:firstLine="0"/>
        <w:jc w:val="both"/>
        <w:rPr>
          <w:sz w:val="28"/>
          <w:szCs w:val="28"/>
        </w:rPr>
      </w:pPr>
      <w:r w:rsidRPr="007A786B">
        <w:rPr>
          <w:sz w:val="28"/>
          <w:szCs w:val="28"/>
        </w:rPr>
        <w:t xml:space="preserve"> Izteikt 23.punktu šādā </w:t>
      </w:r>
      <w:r w:rsidR="0067463C" w:rsidRPr="007A786B">
        <w:rPr>
          <w:sz w:val="28"/>
          <w:szCs w:val="28"/>
        </w:rPr>
        <w:t>redakcijā:</w:t>
      </w:r>
    </w:p>
    <w:p w14:paraId="6CE2A06D" w14:textId="7AED7DA1" w:rsidR="00523DCD" w:rsidRPr="007A786B" w:rsidRDefault="0067463C" w:rsidP="00A64A9C">
      <w:pPr>
        <w:pStyle w:val="tv213"/>
        <w:spacing w:before="0" w:beforeAutospacing="0" w:after="0" w:afterAutospacing="0"/>
        <w:ind w:left="1080"/>
        <w:jc w:val="both"/>
        <w:rPr>
          <w:sz w:val="28"/>
          <w:szCs w:val="28"/>
        </w:rPr>
      </w:pPr>
      <w:r w:rsidRPr="007A786B">
        <w:rPr>
          <w:sz w:val="28"/>
          <w:szCs w:val="28"/>
        </w:rPr>
        <w:t xml:space="preserve">“23. </w:t>
      </w:r>
      <w:r w:rsidR="0083711C" w:rsidRPr="007A786B">
        <w:rPr>
          <w:sz w:val="28"/>
          <w:szCs w:val="28"/>
        </w:rPr>
        <w:t xml:space="preserve">Ievērojot Komisijas regulas Nr.1407/2013 5.panta 1.un 2.punkta nosacījumus, šo noteikumu II, III, VII un VIII nodaļā paredzēto atbalstu drīkst </w:t>
      </w:r>
      <w:proofErr w:type="spellStart"/>
      <w:r w:rsidR="0083711C" w:rsidRPr="007A786B">
        <w:rPr>
          <w:sz w:val="28"/>
          <w:szCs w:val="28"/>
        </w:rPr>
        <w:t>kumulēt</w:t>
      </w:r>
      <w:proofErr w:type="spellEnd"/>
      <w:r w:rsidR="0083711C" w:rsidRPr="007A786B">
        <w:rPr>
          <w:sz w:val="28"/>
          <w:szCs w:val="28"/>
        </w:rPr>
        <w:t xml:space="preserve"> ar citu </w:t>
      </w:r>
      <w:proofErr w:type="spellStart"/>
      <w:r w:rsidR="0083711C" w:rsidRPr="007A786B">
        <w:rPr>
          <w:i/>
          <w:sz w:val="28"/>
          <w:szCs w:val="28"/>
        </w:rPr>
        <w:t>de</w:t>
      </w:r>
      <w:proofErr w:type="spellEnd"/>
      <w:r w:rsidR="0083711C" w:rsidRPr="007A786B">
        <w:rPr>
          <w:i/>
          <w:sz w:val="28"/>
          <w:szCs w:val="28"/>
        </w:rPr>
        <w:t xml:space="preserve"> </w:t>
      </w:r>
      <w:proofErr w:type="spellStart"/>
      <w:r w:rsidR="0083711C" w:rsidRPr="007A786B">
        <w:rPr>
          <w:i/>
          <w:sz w:val="28"/>
          <w:szCs w:val="28"/>
        </w:rPr>
        <w:t>minimis</w:t>
      </w:r>
      <w:proofErr w:type="spellEnd"/>
      <w:r w:rsidR="0083711C" w:rsidRPr="007A786B">
        <w:rPr>
          <w:sz w:val="28"/>
          <w:szCs w:val="28"/>
        </w:rPr>
        <w:t xml:space="preserve"> atbalstu līdz Regulas Nr.1407/2013 3.panta 2.punktā noteiktajam attiecīgajam robežlielumam un drīkst </w:t>
      </w:r>
      <w:proofErr w:type="spellStart"/>
      <w:r w:rsidR="0083711C" w:rsidRPr="007A786B">
        <w:rPr>
          <w:sz w:val="28"/>
          <w:szCs w:val="28"/>
        </w:rPr>
        <w:t>kumulēt</w:t>
      </w:r>
      <w:proofErr w:type="spellEnd"/>
      <w:r w:rsidR="0083711C" w:rsidRPr="007A786B">
        <w:rPr>
          <w:sz w:val="28"/>
          <w:szCs w:val="28"/>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w:t>
      </w:r>
      <w:r w:rsidR="007A786B" w:rsidRPr="007A786B">
        <w:rPr>
          <w:sz w:val="28"/>
          <w:szCs w:val="28"/>
        </w:rPr>
        <w:t>t</w:t>
      </w:r>
      <w:r w:rsidR="0083711C" w:rsidRPr="007A786B">
        <w:rPr>
          <w:sz w:val="28"/>
          <w:szCs w:val="28"/>
        </w:rPr>
        <w:t>a valsts atbalsta projektā vai Eiropas Komisijas lēmumā.</w:t>
      </w:r>
      <w:r w:rsidR="000C3B37" w:rsidRPr="007A786B">
        <w:rPr>
          <w:sz w:val="28"/>
          <w:szCs w:val="28"/>
        </w:rPr>
        <w:t>”</w:t>
      </w:r>
    </w:p>
    <w:p w14:paraId="5C89AB39" w14:textId="77777777" w:rsidR="008B57EA" w:rsidRPr="007A786B" w:rsidRDefault="008B57EA" w:rsidP="00A64A9C">
      <w:pPr>
        <w:pStyle w:val="tv213"/>
        <w:spacing w:before="0" w:beforeAutospacing="0" w:after="0" w:afterAutospacing="0"/>
        <w:ind w:left="1080"/>
        <w:jc w:val="both"/>
        <w:rPr>
          <w:sz w:val="28"/>
          <w:szCs w:val="28"/>
        </w:rPr>
      </w:pPr>
    </w:p>
    <w:p w14:paraId="287A856C" w14:textId="25FC786F" w:rsidR="008B57EA" w:rsidRPr="007A786B" w:rsidRDefault="008B57EA" w:rsidP="00A64A9C">
      <w:pPr>
        <w:pStyle w:val="tv213"/>
        <w:numPr>
          <w:ilvl w:val="0"/>
          <w:numId w:val="1"/>
        </w:numPr>
        <w:spacing w:before="0" w:beforeAutospacing="0" w:after="0" w:afterAutospacing="0"/>
        <w:ind w:left="993" w:firstLine="0"/>
        <w:jc w:val="both"/>
        <w:rPr>
          <w:sz w:val="28"/>
          <w:szCs w:val="28"/>
        </w:rPr>
      </w:pPr>
      <w:r w:rsidRPr="007A786B">
        <w:rPr>
          <w:sz w:val="28"/>
          <w:szCs w:val="28"/>
        </w:rPr>
        <w:lastRenderedPageBreak/>
        <w:t>Papildināt noteikumus ar 23.</w:t>
      </w:r>
      <w:r w:rsidRPr="007A786B">
        <w:rPr>
          <w:sz w:val="28"/>
          <w:szCs w:val="28"/>
          <w:vertAlign w:val="superscript"/>
        </w:rPr>
        <w:t>1</w:t>
      </w:r>
      <w:r w:rsidRPr="007A786B">
        <w:rPr>
          <w:sz w:val="28"/>
          <w:szCs w:val="28"/>
        </w:rPr>
        <w:t xml:space="preserve"> punktu šādā redakcijā:</w:t>
      </w:r>
    </w:p>
    <w:p w14:paraId="07422402" w14:textId="63485E78" w:rsidR="008B57EA" w:rsidRPr="007A786B" w:rsidRDefault="008B57EA" w:rsidP="00A64A9C">
      <w:pPr>
        <w:pStyle w:val="Default"/>
        <w:ind w:left="993"/>
        <w:jc w:val="both"/>
        <w:rPr>
          <w:color w:val="auto"/>
          <w:sz w:val="28"/>
          <w:szCs w:val="28"/>
        </w:rPr>
      </w:pPr>
      <w:r w:rsidRPr="007A786B">
        <w:rPr>
          <w:color w:val="auto"/>
          <w:sz w:val="28"/>
          <w:szCs w:val="28"/>
        </w:rPr>
        <w:t>“23.</w:t>
      </w:r>
      <w:r w:rsidRPr="007A786B">
        <w:rPr>
          <w:color w:val="auto"/>
          <w:sz w:val="28"/>
          <w:szCs w:val="28"/>
          <w:vertAlign w:val="superscript"/>
        </w:rPr>
        <w:t>1</w:t>
      </w:r>
      <w:r w:rsidRPr="007A786B">
        <w:rPr>
          <w:color w:val="auto"/>
          <w:sz w:val="28"/>
          <w:szCs w:val="28"/>
        </w:rPr>
        <w:t xml:space="preserve"> </w:t>
      </w:r>
      <w:r w:rsidR="00D120B2" w:rsidRPr="007A786B">
        <w:rPr>
          <w:sz w:val="28"/>
          <w:szCs w:val="28"/>
        </w:rPr>
        <w:t xml:space="preserve">Ja saimnieciskās darbības veicējs, kuram piemēro atbalstu, darbojas arī nozarēs un darbības jomās, kas minētas Komisijas regulas Nr.1407/2013 1.panta 1.punktā, tas nodrošina šo nozaru darbību vai izmaksu nošķiršanu no tām darbībām, kurām piešķirts </w:t>
      </w:r>
      <w:proofErr w:type="spellStart"/>
      <w:r w:rsidR="00D120B2" w:rsidRPr="007A786B">
        <w:rPr>
          <w:i/>
          <w:iCs/>
          <w:sz w:val="28"/>
          <w:szCs w:val="28"/>
        </w:rPr>
        <w:t>de</w:t>
      </w:r>
      <w:proofErr w:type="spellEnd"/>
      <w:r w:rsidR="00D120B2" w:rsidRPr="007A786B">
        <w:rPr>
          <w:i/>
          <w:iCs/>
          <w:sz w:val="28"/>
          <w:szCs w:val="28"/>
        </w:rPr>
        <w:t xml:space="preserve"> </w:t>
      </w:r>
      <w:proofErr w:type="spellStart"/>
      <w:r w:rsidR="00D120B2" w:rsidRPr="007A786B">
        <w:rPr>
          <w:i/>
          <w:iCs/>
          <w:sz w:val="28"/>
          <w:szCs w:val="28"/>
        </w:rPr>
        <w:t>minimis</w:t>
      </w:r>
      <w:proofErr w:type="spellEnd"/>
      <w:r w:rsidR="00D120B2" w:rsidRPr="007A786B">
        <w:rPr>
          <w:sz w:val="28"/>
          <w:szCs w:val="28"/>
        </w:rPr>
        <w:t xml:space="preserve"> atbalsts.”</w:t>
      </w:r>
      <w:r w:rsidRPr="007A786B">
        <w:rPr>
          <w:color w:val="auto"/>
          <w:sz w:val="28"/>
          <w:szCs w:val="28"/>
        </w:rPr>
        <w:t xml:space="preserve">” </w:t>
      </w:r>
    </w:p>
    <w:p w14:paraId="61A505A0" w14:textId="47937567" w:rsidR="008B57EA" w:rsidRPr="007A786B" w:rsidRDefault="008B57EA" w:rsidP="00A64A9C">
      <w:pPr>
        <w:pStyle w:val="tv213"/>
        <w:spacing w:before="0" w:beforeAutospacing="0" w:after="0" w:afterAutospacing="0"/>
        <w:ind w:left="993"/>
        <w:jc w:val="both"/>
        <w:rPr>
          <w:sz w:val="28"/>
          <w:szCs w:val="28"/>
        </w:rPr>
      </w:pPr>
    </w:p>
    <w:p w14:paraId="4D316CA9"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 xml:space="preserve">Svītrot noteikumu 27.punkta pirmo teikumu. </w:t>
      </w:r>
    </w:p>
    <w:p w14:paraId="7C225AFE" w14:textId="77777777" w:rsidR="00523DCD" w:rsidRPr="007A786B" w:rsidRDefault="00523DCD" w:rsidP="00A64A9C">
      <w:pPr>
        <w:pStyle w:val="tv213"/>
        <w:spacing w:before="0" w:beforeAutospacing="0" w:after="0" w:afterAutospacing="0"/>
        <w:jc w:val="both"/>
        <w:rPr>
          <w:sz w:val="28"/>
          <w:szCs w:val="28"/>
        </w:rPr>
      </w:pPr>
    </w:p>
    <w:p w14:paraId="4D09CD0A"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Aizstāt noteikumu 29.3.apakšpunktā sk</w:t>
      </w:r>
      <w:r w:rsidR="00C319BD" w:rsidRPr="007A786B">
        <w:rPr>
          <w:sz w:val="28"/>
          <w:szCs w:val="28"/>
        </w:rPr>
        <w:t>aitļus “49 000” ar skaitļiem “15</w:t>
      </w:r>
      <w:r w:rsidRPr="007A786B">
        <w:rPr>
          <w:sz w:val="28"/>
          <w:szCs w:val="28"/>
        </w:rPr>
        <w:t>0 000”.</w:t>
      </w:r>
    </w:p>
    <w:p w14:paraId="0C0BE1C3" w14:textId="77777777" w:rsidR="00523DCD" w:rsidRPr="007A786B" w:rsidRDefault="00523DCD" w:rsidP="00A64A9C">
      <w:pPr>
        <w:pStyle w:val="tv213"/>
        <w:spacing w:before="0" w:beforeAutospacing="0" w:after="0" w:afterAutospacing="0"/>
        <w:jc w:val="both"/>
        <w:rPr>
          <w:sz w:val="28"/>
          <w:szCs w:val="28"/>
        </w:rPr>
      </w:pPr>
    </w:p>
    <w:p w14:paraId="3EE0A33F" w14:textId="61F7A925"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Aizstāt noteikumu 37.punktā skaitļus “1500” ar skaitli “3000”.</w:t>
      </w:r>
    </w:p>
    <w:p w14:paraId="4AE38493" w14:textId="77777777" w:rsidR="00523DCD" w:rsidRPr="007A786B" w:rsidRDefault="00523DCD" w:rsidP="00A64A9C">
      <w:pPr>
        <w:pStyle w:val="tv213"/>
        <w:spacing w:before="0" w:beforeAutospacing="0" w:after="0" w:afterAutospacing="0"/>
        <w:jc w:val="both"/>
        <w:rPr>
          <w:sz w:val="28"/>
          <w:szCs w:val="28"/>
        </w:rPr>
      </w:pPr>
    </w:p>
    <w:p w14:paraId="6B0350CA" w14:textId="56A317B8" w:rsidR="00E00006" w:rsidRPr="007A786B" w:rsidRDefault="00E00006" w:rsidP="00A64A9C">
      <w:pPr>
        <w:pStyle w:val="tv213"/>
        <w:numPr>
          <w:ilvl w:val="0"/>
          <w:numId w:val="1"/>
        </w:numPr>
        <w:spacing w:before="0" w:beforeAutospacing="0" w:after="0" w:afterAutospacing="0"/>
        <w:ind w:firstLine="0"/>
        <w:jc w:val="both"/>
        <w:rPr>
          <w:sz w:val="28"/>
          <w:szCs w:val="28"/>
        </w:rPr>
      </w:pPr>
      <w:r w:rsidRPr="007A786B">
        <w:rPr>
          <w:sz w:val="28"/>
          <w:szCs w:val="28"/>
        </w:rPr>
        <w:t>Aizstāt noteikumu 3.nodaļā terminu “iepriekš noteiktā projekta iesnieguma iesniedzējs” ar terminu attiecīgajā locījumā “iepriekš noteiktā projekta līdzfinansējuma saņēmējs”, izņemot 43.punktu.</w:t>
      </w:r>
    </w:p>
    <w:p w14:paraId="793F52F6" w14:textId="77777777" w:rsidR="00E00006" w:rsidRPr="007A786B" w:rsidRDefault="00E00006" w:rsidP="00A64A9C">
      <w:pPr>
        <w:pStyle w:val="ListParagraph"/>
        <w:jc w:val="both"/>
        <w:rPr>
          <w:szCs w:val="28"/>
        </w:rPr>
      </w:pPr>
    </w:p>
    <w:p w14:paraId="68A35A34" w14:textId="3D324398" w:rsidR="00523DCD" w:rsidRPr="007A786B" w:rsidRDefault="000E1957" w:rsidP="00A64A9C">
      <w:pPr>
        <w:pStyle w:val="tv213"/>
        <w:numPr>
          <w:ilvl w:val="0"/>
          <w:numId w:val="1"/>
        </w:numPr>
        <w:spacing w:before="0" w:beforeAutospacing="0" w:after="0" w:afterAutospacing="0"/>
        <w:ind w:firstLine="0"/>
        <w:jc w:val="both"/>
        <w:rPr>
          <w:sz w:val="28"/>
          <w:szCs w:val="28"/>
        </w:rPr>
      </w:pPr>
      <w:r w:rsidRPr="007A786B">
        <w:rPr>
          <w:rFonts w:eastAsia="Calibri"/>
          <w:sz w:val="28"/>
          <w:szCs w:val="28"/>
        </w:rPr>
        <w:t>Aizstāt 45.3. apakšpunktā skaitli “650 000” ar skaitli “1</w:t>
      </w:r>
      <w:r w:rsidR="007851EF" w:rsidRPr="007A786B">
        <w:rPr>
          <w:rFonts w:eastAsia="Calibri"/>
          <w:sz w:val="28"/>
          <w:szCs w:val="28"/>
        </w:rPr>
        <w:t> 350 000</w:t>
      </w:r>
      <w:r w:rsidRPr="007A786B">
        <w:rPr>
          <w:rFonts w:eastAsia="Calibri"/>
          <w:sz w:val="28"/>
          <w:szCs w:val="28"/>
        </w:rPr>
        <w:t>”.</w:t>
      </w:r>
    </w:p>
    <w:p w14:paraId="3E1F7417" w14:textId="77777777" w:rsidR="004A6995" w:rsidRPr="007A786B" w:rsidRDefault="004A6995" w:rsidP="00A64A9C">
      <w:pPr>
        <w:pStyle w:val="tv213"/>
        <w:spacing w:before="0" w:beforeAutospacing="0" w:after="0" w:afterAutospacing="0"/>
        <w:ind w:left="1080"/>
        <w:jc w:val="both"/>
        <w:rPr>
          <w:sz w:val="28"/>
          <w:szCs w:val="28"/>
        </w:rPr>
      </w:pPr>
    </w:p>
    <w:p w14:paraId="5DC8603E"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Svītrot 45.4.apakšpunktu.</w:t>
      </w:r>
    </w:p>
    <w:p w14:paraId="6B21252E" w14:textId="77777777" w:rsidR="00523DCD" w:rsidRPr="007A786B" w:rsidRDefault="00523DCD" w:rsidP="00A64A9C">
      <w:pPr>
        <w:pStyle w:val="tv213"/>
        <w:spacing w:before="0" w:beforeAutospacing="0" w:after="0" w:afterAutospacing="0"/>
        <w:ind w:left="1080"/>
        <w:jc w:val="both"/>
        <w:rPr>
          <w:sz w:val="28"/>
          <w:szCs w:val="28"/>
        </w:rPr>
      </w:pPr>
    </w:p>
    <w:p w14:paraId="5273324D" w14:textId="0AE08C31" w:rsidR="00523DCD" w:rsidRPr="007A786B" w:rsidRDefault="000E1957" w:rsidP="00A64A9C">
      <w:pPr>
        <w:pStyle w:val="tv213"/>
        <w:numPr>
          <w:ilvl w:val="0"/>
          <w:numId w:val="1"/>
        </w:numPr>
        <w:spacing w:before="0" w:beforeAutospacing="0" w:after="0" w:afterAutospacing="0"/>
        <w:ind w:firstLine="0"/>
        <w:jc w:val="both"/>
        <w:rPr>
          <w:sz w:val="28"/>
          <w:szCs w:val="28"/>
        </w:rPr>
      </w:pPr>
      <w:r w:rsidRPr="007A786B">
        <w:rPr>
          <w:sz w:val="28"/>
          <w:szCs w:val="28"/>
        </w:rPr>
        <w:t>Aizstāt 45.5.apakšpunktā skaitli “520 000” ar skaitli “</w:t>
      </w:r>
      <w:r w:rsidR="007851EF" w:rsidRPr="007A786B">
        <w:rPr>
          <w:sz w:val="28"/>
          <w:szCs w:val="28"/>
        </w:rPr>
        <w:t>9</w:t>
      </w:r>
      <w:r w:rsidR="00412F97" w:rsidRPr="007A786B">
        <w:rPr>
          <w:sz w:val="28"/>
          <w:szCs w:val="28"/>
        </w:rPr>
        <w:t>09</w:t>
      </w:r>
      <w:r w:rsidR="007851EF" w:rsidRPr="007A786B">
        <w:rPr>
          <w:sz w:val="28"/>
          <w:szCs w:val="28"/>
        </w:rPr>
        <w:t xml:space="preserve"> 279</w:t>
      </w:r>
      <w:r w:rsidRPr="007A786B">
        <w:rPr>
          <w:sz w:val="28"/>
          <w:szCs w:val="28"/>
        </w:rPr>
        <w:t>””</w:t>
      </w:r>
      <w:r w:rsidR="001D4451" w:rsidRPr="007A786B">
        <w:rPr>
          <w:sz w:val="28"/>
          <w:szCs w:val="28"/>
        </w:rPr>
        <w:t>.</w:t>
      </w:r>
    </w:p>
    <w:p w14:paraId="57B55BAA" w14:textId="77777777" w:rsidR="004A6995" w:rsidRPr="007A786B" w:rsidRDefault="004A6995" w:rsidP="00A64A9C">
      <w:pPr>
        <w:pStyle w:val="tv213"/>
        <w:spacing w:before="0" w:beforeAutospacing="0" w:after="0" w:afterAutospacing="0"/>
        <w:jc w:val="both"/>
        <w:rPr>
          <w:sz w:val="28"/>
          <w:szCs w:val="28"/>
        </w:rPr>
      </w:pPr>
    </w:p>
    <w:p w14:paraId="285DA51E"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Svītrot 46.punktu.</w:t>
      </w:r>
    </w:p>
    <w:p w14:paraId="2B942E04" w14:textId="77777777" w:rsidR="00552E97" w:rsidRPr="007A786B" w:rsidRDefault="00552E97" w:rsidP="00A64A9C">
      <w:pPr>
        <w:pStyle w:val="tv213"/>
        <w:spacing w:before="0" w:beforeAutospacing="0" w:after="0" w:afterAutospacing="0"/>
        <w:ind w:left="1080"/>
        <w:jc w:val="both"/>
        <w:rPr>
          <w:sz w:val="28"/>
          <w:szCs w:val="28"/>
        </w:rPr>
      </w:pPr>
    </w:p>
    <w:p w14:paraId="6EB6192E"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Svītrot 47.punktu.</w:t>
      </w:r>
    </w:p>
    <w:p w14:paraId="17BB2658" w14:textId="77777777" w:rsidR="003F1471" w:rsidRPr="007A786B" w:rsidRDefault="003F1471" w:rsidP="00A64A9C">
      <w:pPr>
        <w:pStyle w:val="ListParagraph"/>
        <w:jc w:val="both"/>
        <w:rPr>
          <w:szCs w:val="28"/>
        </w:rPr>
      </w:pPr>
    </w:p>
    <w:p w14:paraId="01BABB7D"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Svītrot 48.2.apakšpunktu.</w:t>
      </w:r>
    </w:p>
    <w:p w14:paraId="4F0F3817" w14:textId="77777777" w:rsidR="004A6995" w:rsidRPr="007A786B" w:rsidRDefault="004A6995" w:rsidP="00A64A9C">
      <w:pPr>
        <w:pStyle w:val="tv213"/>
        <w:spacing w:before="0" w:beforeAutospacing="0" w:after="0" w:afterAutospacing="0"/>
        <w:jc w:val="both"/>
        <w:rPr>
          <w:sz w:val="28"/>
          <w:szCs w:val="28"/>
        </w:rPr>
      </w:pPr>
    </w:p>
    <w:p w14:paraId="73B762C1" w14:textId="77777777" w:rsidR="000E1957" w:rsidRPr="007A786B" w:rsidRDefault="000E1957" w:rsidP="00A64A9C">
      <w:pPr>
        <w:pStyle w:val="tv213"/>
        <w:numPr>
          <w:ilvl w:val="0"/>
          <w:numId w:val="1"/>
        </w:numPr>
        <w:spacing w:before="0" w:beforeAutospacing="0" w:after="0" w:afterAutospacing="0"/>
        <w:ind w:firstLine="0"/>
        <w:jc w:val="both"/>
        <w:rPr>
          <w:sz w:val="28"/>
          <w:szCs w:val="28"/>
        </w:rPr>
      </w:pPr>
      <w:r w:rsidRPr="007A786B">
        <w:rPr>
          <w:sz w:val="28"/>
          <w:szCs w:val="28"/>
        </w:rPr>
        <w:t xml:space="preserve"> Svītrot 49.3.12. apakšpunktu.</w:t>
      </w:r>
    </w:p>
    <w:p w14:paraId="72B28269" w14:textId="77777777" w:rsidR="004A6995" w:rsidRPr="007A786B" w:rsidRDefault="004A6995" w:rsidP="00A64A9C">
      <w:pPr>
        <w:pStyle w:val="tv213"/>
        <w:spacing w:before="0" w:beforeAutospacing="0" w:after="0" w:afterAutospacing="0"/>
        <w:ind w:left="1080"/>
        <w:jc w:val="both"/>
        <w:rPr>
          <w:sz w:val="28"/>
          <w:szCs w:val="28"/>
        </w:rPr>
      </w:pPr>
    </w:p>
    <w:p w14:paraId="0C5BD501" w14:textId="77777777" w:rsidR="00523DCD" w:rsidRPr="007A786B" w:rsidRDefault="000E1957" w:rsidP="00A64A9C">
      <w:pPr>
        <w:pStyle w:val="tv213"/>
        <w:numPr>
          <w:ilvl w:val="0"/>
          <w:numId w:val="1"/>
        </w:numPr>
        <w:spacing w:before="0" w:beforeAutospacing="0" w:after="0" w:afterAutospacing="0"/>
        <w:ind w:firstLine="0"/>
        <w:jc w:val="both"/>
        <w:rPr>
          <w:sz w:val="28"/>
          <w:szCs w:val="28"/>
        </w:rPr>
      </w:pPr>
      <w:r w:rsidRPr="007A786B">
        <w:rPr>
          <w:sz w:val="28"/>
          <w:szCs w:val="28"/>
        </w:rPr>
        <w:t>Svītrot 49.4 apakšpunktu.</w:t>
      </w:r>
    </w:p>
    <w:p w14:paraId="42F5F571" w14:textId="77777777" w:rsidR="00523DCD" w:rsidRPr="007A786B" w:rsidRDefault="00523DCD" w:rsidP="00A64A9C">
      <w:pPr>
        <w:pStyle w:val="tv213"/>
        <w:spacing w:before="0" w:beforeAutospacing="0" w:after="0" w:afterAutospacing="0"/>
        <w:jc w:val="both"/>
        <w:rPr>
          <w:sz w:val="28"/>
        </w:rPr>
      </w:pPr>
    </w:p>
    <w:p w14:paraId="07BFE639" w14:textId="4A1B8035" w:rsidR="00D120B2" w:rsidRPr="007A786B" w:rsidRDefault="008B2F5C" w:rsidP="00A64A9C">
      <w:pPr>
        <w:pStyle w:val="tv213"/>
        <w:numPr>
          <w:ilvl w:val="0"/>
          <w:numId w:val="1"/>
        </w:numPr>
        <w:spacing w:before="0" w:beforeAutospacing="0" w:after="0" w:afterAutospacing="0"/>
        <w:ind w:firstLine="0"/>
        <w:jc w:val="both"/>
        <w:rPr>
          <w:sz w:val="28"/>
          <w:szCs w:val="28"/>
        </w:rPr>
      </w:pPr>
      <w:r w:rsidRPr="007A786B">
        <w:rPr>
          <w:sz w:val="28"/>
          <w:szCs w:val="28"/>
        </w:rPr>
        <w:t xml:space="preserve">Svītrot </w:t>
      </w:r>
      <w:r w:rsidR="005D50E3" w:rsidRPr="007A786B">
        <w:rPr>
          <w:sz w:val="28"/>
          <w:szCs w:val="28"/>
        </w:rPr>
        <w:t>49.9.</w:t>
      </w:r>
      <w:r w:rsidR="00D120B2" w:rsidRPr="007A786B">
        <w:rPr>
          <w:sz w:val="28"/>
          <w:szCs w:val="28"/>
        </w:rPr>
        <w:t>apakšpunktu</w:t>
      </w:r>
      <w:r w:rsidR="007A786B" w:rsidRPr="007A786B">
        <w:rPr>
          <w:sz w:val="28"/>
          <w:szCs w:val="28"/>
        </w:rPr>
        <w:t>.</w:t>
      </w:r>
      <w:r w:rsidR="005D50E3" w:rsidRPr="007A786B">
        <w:rPr>
          <w:sz w:val="28"/>
          <w:szCs w:val="28"/>
        </w:rPr>
        <w:t xml:space="preserve"> </w:t>
      </w:r>
    </w:p>
    <w:p w14:paraId="1C125A02" w14:textId="77777777" w:rsidR="007A786B" w:rsidRPr="007A786B" w:rsidRDefault="007A786B" w:rsidP="007A786B">
      <w:pPr>
        <w:pStyle w:val="tv213"/>
        <w:spacing w:before="0" w:beforeAutospacing="0" w:after="0" w:afterAutospacing="0"/>
        <w:jc w:val="both"/>
        <w:rPr>
          <w:sz w:val="28"/>
          <w:szCs w:val="28"/>
        </w:rPr>
      </w:pPr>
    </w:p>
    <w:p w14:paraId="0971F0C2" w14:textId="6696AB94" w:rsidR="008B2F5C" w:rsidRPr="007A786B" w:rsidRDefault="00D120B2" w:rsidP="00A64A9C">
      <w:pPr>
        <w:pStyle w:val="tv213"/>
        <w:numPr>
          <w:ilvl w:val="0"/>
          <w:numId w:val="1"/>
        </w:numPr>
        <w:spacing w:before="0" w:beforeAutospacing="0" w:after="0" w:afterAutospacing="0"/>
        <w:ind w:firstLine="0"/>
        <w:jc w:val="both"/>
        <w:rPr>
          <w:sz w:val="28"/>
          <w:szCs w:val="28"/>
        </w:rPr>
      </w:pPr>
      <w:r w:rsidRPr="007A786B">
        <w:rPr>
          <w:sz w:val="28"/>
          <w:szCs w:val="28"/>
        </w:rPr>
        <w:t xml:space="preserve"> Svītrot</w:t>
      </w:r>
      <w:r w:rsidR="005D50E3" w:rsidRPr="007A786B">
        <w:rPr>
          <w:sz w:val="28"/>
          <w:szCs w:val="28"/>
        </w:rPr>
        <w:t xml:space="preserve"> </w:t>
      </w:r>
      <w:r w:rsidR="008B2F5C" w:rsidRPr="007A786B">
        <w:rPr>
          <w:sz w:val="28"/>
          <w:szCs w:val="28"/>
        </w:rPr>
        <w:t>50.punktu.</w:t>
      </w:r>
    </w:p>
    <w:p w14:paraId="5319B3BC" w14:textId="77777777" w:rsidR="00523DCD" w:rsidRPr="007A786B" w:rsidRDefault="00523DCD" w:rsidP="00A64A9C">
      <w:pPr>
        <w:pStyle w:val="tv213"/>
        <w:spacing w:before="0" w:beforeAutospacing="0" w:after="0" w:afterAutospacing="0"/>
        <w:ind w:left="1080"/>
        <w:jc w:val="both"/>
        <w:rPr>
          <w:sz w:val="28"/>
          <w:szCs w:val="28"/>
        </w:rPr>
      </w:pPr>
    </w:p>
    <w:p w14:paraId="1C111262"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Svītrot 52.2.apakšpunktu.</w:t>
      </w:r>
    </w:p>
    <w:p w14:paraId="55FB0055" w14:textId="77777777" w:rsidR="00523DCD" w:rsidRPr="007A786B" w:rsidRDefault="00523DCD" w:rsidP="00A64A9C">
      <w:pPr>
        <w:pStyle w:val="tv213"/>
        <w:spacing w:before="0" w:beforeAutospacing="0" w:after="0" w:afterAutospacing="0"/>
        <w:jc w:val="both"/>
        <w:rPr>
          <w:sz w:val="28"/>
          <w:szCs w:val="28"/>
        </w:rPr>
      </w:pPr>
    </w:p>
    <w:p w14:paraId="1948A8B4"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Izteikt 54.punktu šādā redakcijā:</w:t>
      </w:r>
    </w:p>
    <w:p w14:paraId="137CC37B" w14:textId="5D3A3A12" w:rsidR="00523DCD" w:rsidRPr="007A786B" w:rsidRDefault="00523DCD" w:rsidP="00A64A9C">
      <w:pPr>
        <w:pStyle w:val="tv213"/>
        <w:spacing w:before="0" w:beforeAutospacing="0" w:after="0" w:afterAutospacing="0"/>
        <w:ind w:left="851"/>
        <w:jc w:val="both"/>
        <w:rPr>
          <w:sz w:val="28"/>
          <w:szCs w:val="28"/>
        </w:rPr>
      </w:pPr>
      <w:r w:rsidRPr="007A786B">
        <w:rPr>
          <w:sz w:val="28"/>
          <w:szCs w:val="28"/>
        </w:rPr>
        <w:t>“54. Iepriekš noteiktā projekta līdzfinansējuma saņēmēj</w:t>
      </w:r>
      <w:r w:rsidR="00857C19" w:rsidRPr="007A786B">
        <w:rPr>
          <w:sz w:val="28"/>
          <w:szCs w:val="28"/>
        </w:rPr>
        <w:t>s</w:t>
      </w:r>
      <w:r w:rsidRPr="007A786B">
        <w:rPr>
          <w:sz w:val="28"/>
          <w:szCs w:val="28"/>
        </w:rPr>
        <w:t>, uzsākot projekta īstenošanu, nodrošina telpu pieejamību iepriekš noteiktā projekta īstenošana</w:t>
      </w:r>
      <w:r w:rsidR="001D4451" w:rsidRPr="007A786B">
        <w:rPr>
          <w:sz w:val="28"/>
          <w:szCs w:val="28"/>
        </w:rPr>
        <w:t>i</w:t>
      </w:r>
      <w:r w:rsidRPr="007A786B">
        <w:rPr>
          <w:sz w:val="28"/>
          <w:szCs w:val="28"/>
        </w:rPr>
        <w:t xml:space="preserve"> vismaz 200m</w:t>
      </w:r>
      <w:r w:rsidRPr="007A786B">
        <w:rPr>
          <w:sz w:val="28"/>
          <w:szCs w:val="28"/>
          <w:vertAlign w:val="superscript"/>
        </w:rPr>
        <w:t>2</w:t>
      </w:r>
      <w:r w:rsidRPr="007A786B">
        <w:rPr>
          <w:sz w:val="28"/>
          <w:szCs w:val="28"/>
        </w:rPr>
        <w:t xml:space="preserve"> platībā.”</w:t>
      </w:r>
    </w:p>
    <w:p w14:paraId="3464011A" w14:textId="77777777" w:rsidR="00523DCD" w:rsidRPr="007A786B" w:rsidRDefault="00523DCD" w:rsidP="00A64A9C">
      <w:pPr>
        <w:pStyle w:val="tv213"/>
        <w:spacing w:before="0" w:beforeAutospacing="0" w:after="0" w:afterAutospacing="0"/>
        <w:jc w:val="both"/>
        <w:rPr>
          <w:sz w:val="28"/>
          <w:szCs w:val="28"/>
        </w:rPr>
      </w:pPr>
    </w:p>
    <w:p w14:paraId="7B8B1DDB" w14:textId="77777777" w:rsidR="0059646B" w:rsidRPr="007A786B" w:rsidRDefault="0059646B" w:rsidP="00A64A9C">
      <w:pPr>
        <w:pStyle w:val="tv213"/>
        <w:numPr>
          <w:ilvl w:val="0"/>
          <w:numId w:val="1"/>
        </w:numPr>
        <w:spacing w:before="0" w:beforeAutospacing="0" w:after="0" w:afterAutospacing="0"/>
        <w:ind w:firstLine="0"/>
        <w:jc w:val="both"/>
        <w:rPr>
          <w:sz w:val="28"/>
          <w:szCs w:val="28"/>
        </w:rPr>
      </w:pPr>
      <w:r w:rsidRPr="007A786B">
        <w:rPr>
          <w:sz w:val="28"/>
          <w:szCs w:val="28"/>
        </w:rPr>
        <w:t>Svītrot 94.punktu.</w:t>
      </w:r>
    </w:p>
    <w:p w14:paraId="5AD39A8B" w14:textId="77777777" w:rsidR="00120253" w:rsidRPr="007A786B" w:rsidRDefault="00120253" w:rsidP="00A64A9C">
      <w:pPr>
        <w:pStyle w:val="tv213"/>
        <w:spacing w:before="0" w:beforeAutospacing="0" w:after="0" w:afterAutospacing="0"/>
        <w:ind w:left="928"/>
        <w:jc w:val="both"/>
        <w:rPr>
          <w:sz w:val="28"/>
          <w:szCs w:val="28"/>
        </w:rPr>
      </w:pPr>
    </w:p>
    <w:p w14:paraId="1C388DE7" w14:textId="22BADD4B" w:rsidR="00523DCD" w:rsidRPr="007A786B" w:rsidRDefault="008B57EA" w:rsidP="00A64A9C">
      <w:pPr>
        <w:pStyle w:val="tv213"/>
        <w:numPr>
          <w:ilvl w:val="0"/>
          <w:numId w:val="1"/>
        </w:numPr>
        <w:spacing w:before="0" w:beforeAutospacing="0" w:after="0" w:afterAutospacing="0"/>
        <w:ind w:firstLine="0"/>
        <w:jc w:val="both"/>
        <w:rPr>
          <w:sz w:val="28"/>
          <w:szCs w:val="28"/>
        </w:rPr>
      </w:pPr>
      <w:r w:rsidRPr="007A786B">
        <w:rPr>
          <w:sz w:val="28"/>
          <w:szCs w:val="28"/>
        </w:rPr>
        <w:t>Papildināt</w:t>
      </w:r>
      <w:r w:rsidR="00CE3857" w:rsidRPr="007A786B">
        <w:rPr>
          <w:sz w:val="28"/>
          <w:szCs w:val="28"/>
        </w:rPr>
        <w:t xml:space="preserve"> 98.punktā starp cipariem “49.3., 49.6.” ar cipariem “49.5.”</w:t>
      </w:r>
      <w:r w:rsidR="00D120B2" w:rsidRPr="007A786B">
        <w:rPr>
          <w:sz w:val="28"/>
          <w:szCs w:val="28"/>
        </w:rPr>
        <w:t xml:space="preserve"> un papildināt aiz cipara “49.7.”</w:t>
      </w:r>
      <w:r w:rsidR="00CE3857" w:rsidRPr="007A786B">
        <w:rPr>
          <w:sz w:val="28"/>
          <w:szCs w:val="28"/>
        </w:rPr>
        <w:t xml:space="preserve"> </w:t>
      </w:r>
      <w:r w:rsidR="00D120B2" w:rsidRPr="007A786B">
        <w:rPr>
          <w:sz w:val="28"/>
          <w:szCs w:val="28"/>
        </w:rPr>
        <w:t>ar ciparu “49.8.”</w:t>
      </w:r>
    </w:p>
    <w:p w14:paraId="02DCABBA" w14:textId="77777777" w:rsidR="00120253" w:rsidRPr="007A786B" w:rsidRDefault="00120253" w:rsidP="00A64A9C">
      <w:pPr>
        <w:pStyle w:val="tv213"/>
        <w:spacing w:before="0" w:beforeAutospacing="0" w:after="0" w:afterAutospacing="0"/>
        <w:jc w:val="both"/>
        <w:rPr>
          <w:sz w:val="28"/>
          <w:szCs w:val="28"/>
        </w:rPr>
      </w:pPr>
    </w:p>
    <w:p w14:paraId="40A895EF"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Aizstāt noteikumu 100.punktā vārdus un skaitļus “2016.gada 15.jūnijam” ar vārdiem un skaitļiem “2017.gada 15.jūnijam”.</w:t>
      </w:r>
    </w:p>
    <w:p w14:paraId="1E8CC273" w14:textId="77777777" w:rsidR="00523DCD" w:rsidRPr="007A786B" w:rsidRDefault="00523DCD" w:rsidP="00A64A9C">
      <w:pPr>
        <w:pStyle w:val="ListParagraph"/>
        <w:jc w:val="both"/>
        <w:rPr>
          <w:szCs w:val="28"/>
        </w:rPr>
      </w:pPr>
    </w:p>
    <w:p w14:paraId="190C7A57" w14:textId="77777777" w:rsidR="00523DCD" w:rsidRPr="007A786B" w:rsidRDefault="00523DCD" w:rsidP="00A64A9C">
      <w:pPr>
        <w:pStyle w:val="tv213"/>
        <w:numPr>
          <w:ilvl w:val="0"/>
          <w:numId w:val="1"/>
        </w:numPr>
        <w:spacing w:before="0" w:beforeAutospacing="0" w:after="0" w:afterAutospacing="0"/>
        <w:ind w:firstLine="0"/>
        <w:jc w:val="both"/>
        <w:rPr>
          <w:sz w:val="28"/>
          <w:szCs w:val="28"/>
        </w:rPr>
      </w:pPr>
      <w:r w:rsidRPr="007A786B">
        <w:rPr>
          <w:sz w:val="28"/>
          <w:szCs w:val="28"/>
        </w:rPr>
        <w:t>Svītrot 112.</w:t>
      </w:r>
      <w:r w:rsidRPr="007A786B">
        <w:rPr>
          <w:sz w:val="28"/>
          <w:szCs w:val="28"/>
          <w:vertAlign w:val="superscript"/>
        </w:rPr>
        <w:t>6</w:t>
      </w:r>
      <w:r w:rsidRPr="007A786B">
        <w:rPr>
          <w:sz w:val="28"/>
          <w:szCs w:val="28"/>
        </w:rPr>
        <w:t xml:space="preserve"> punktu.</w:t>
      </w:r>
    </w:p>
    <w:p w14:paraId="3F66CDC8" w14:textId="77777777" w:rsidR="00120253" w:rsidRPr="007A786B" w:rsidRDefault="00120253" w:rsidP="00A64A9C">
      <w:pPr>
        <w:pStyle w:val="tv213"/>
        <w:spacing w:before="0" w:beforeAutospacing="0" w:after="0" w:afterAutospacing="0"/>
        <w:jc w:val="both"/>
        <w:rPr>
          <w:sz w:val="28"/>
          <w:szCs w:val="28"/>
        </w:rPr>
      </w:pPr>
    </w:p>
    <w:p w14:paraId="65F1431A" w14:textId="77777777" w:rsidR="00120253" w:rsidRPr="007A786B" w:rsidRDefault="00120253" w:rsidP="00A64A9C">
      <w:pPr>
        <w:pStyle w:val="tv213"/>
        <w:spacing w:before="0" w:beforeAutospacing="0" w:after="0" w:afterAutospacing="0"/>
        <w:jc w:val="both"/>
        <w:rPr>
          <w:sz w:val="28"/>
          <w:szCs w:val="28"/>
        </w:rPr>
      </w:pPr>
    </w:p>
    <w:p w14:paraId="2D7D7CFB" w14:textId="766BCC69" w:rsidR="00523DCD" w:rsidRPr="007A786B" w:rsidRDefault="00523DCD" w:rsidP="00A64A9C">
      <w:pPr>
        <w:tabs>
          <w:tab w:val="left" w:pos="6237"/>
        </w:tabs>
        <w:jc w:val="both"/>
        <w:rPr>
          <w:rFonts w:cs="Times New Roman"/>
          <w:szCs w:val="28"/>
        </w:rPr>
      </w:pPr>
      <w:r w:rsidRPr="007A786B">
        <w:rPr>
          <w:rFonts w:cs="Times New Roman"/>
          <w:szCs w:val="28"/>
        </w:rPr>
        <w:t>Ministru prezident</w:t>
      </w:r>
      <w:r w:rsidR="00CC1EE0" w:rsidRPr="007A786B">
        <w:rPr>
          <w:rFonts w:cs="Times New Roman"/>
          <w:szCs w:val="28"/>
        </w:rPr>
        <w:t>s</w:t>
      </w:r>
      <w:r w:rsidRPr="007A786B">
        <w:rPr>
          <w:rFonts w:cs="Times New Roman"/>
          <w:szCs w:val="28"/>
        </w:rPr>
        <w:tab/>
      </w:r>
      <w:r w:rsidR="00CC1EE0" w:rsidRPr="007A786B">
        <w:rPr>
          <w:rFonts w:cs="Times New Roman"/>
          <w:szCs w:val="28"/>
        </w:rPr>
        <w:t>Māris Kučinskis</w:t>
      </w:r>
    </w:p>
    <w:p w14:paraId="4230801A" w14:textId="77777777" w:rsidR="00523DCD" w:rsidRPr="007A786B" w:rsidRDefault="00523DCD" w:rsidP="00A64A9C">
      <w:pPr>
        <w:tabs>
          <w:tab w:val="left" w:pos="6237"/>
        </w:tabs>
        <w:jc w:val="both"/>
        <w:rPr>
          <w:rFonts w:cs="Times New Roman"/>
          <w:szCs w:val="28"/>
        </w:rPr>
      </w:pPr>
    </w:p>
    <w:p w14:paraId="59AF33E5" w14:textId="77777777" w:rsidR="00523DCD" w:rsidRPr="007A786B" w:rsidRDefault="00523DCD" w:rsidP="00A64A9C">
      <w:pPr>
        <w:tabs>
          <w:tab w:val="left" w:pos="6237"/>
        </w:tabs>
        <w:jc w:val="both"/>
        <w:rPr>
          <w:rFonts w:cs="Times New Roman"/>
          <w:szCs w:val="28"/>
        </w:rPr>
      </w:pPr>
    </w:p>
    <w:p w14:paraId="3166B8DA" w14:textId="77777777" w:rsidR="00523DCD" w:rsidRPr="007A786B" w:rsidRDefault="00523DCD" w:rsidP="00A64A9C">
      <w:pPr>
        <w:tabs>
          <w:tab w:val="left" w:pos="6237"/>
        </w:tabs>
        <w:jc w:val="both"/>
        <w:rPr>
          <w:rFonts w:cs="Times New Roman"/>
          <w:szCs w:val="28"/>
        </w:rPr>
      </w:pPr>
    </w:p>
    <w:p w14:paraId="6B7D95B6" w14:textId="77777777" w:rsidR="00C46AB2" w:rsidRPr="007A786B" w:rsidRDefault="00C46AB2" w:rsidP="00A64A9C">
      <w:pPr>
        <w:tabs>
          <w:tab w:val="left" w:pos="6237"/>
        </w:tabs>
        <w:jc w:val="both"/>
        <w:rPr>
          <w:rFonts w:cs="Times New Roman"/>
          <w:szCs w:val="28"/>
        </w:rPr>
      </w:pPr>
      <w:r w:rsidRPr="007A786B">
        <w:rPr>
          <w:rFonts w:cs="Times New Roman"/>
          <w:szCs w:val="28"/>
        </w:rPr>
        <w:t>Ministru prezidenta biedrs,</w:t>
      </w:r>
    </w:p>
    <w:p w14:paraId="4CCE42CF" w14:textId="52BE98B8" w:rsidR="00523DCD" w:rsidRPr="007A786B" w:rsidRDefault="00C46AB2" w:rsidP="00A64A9C">
      <w:pPr>
        <w:tabs>
          <w:tab w:val="left" w:pos="6237"/>
        </w:tabs>
        <w:jc w:val="both"/>
        <w:rPr>
          <w:rFonts w:cs="Times New Roman"/>
          <w:szCs w:val="28"/>
        </w:rPr>
      </w:pPr>
      <w:r w:rsidRPr="007A786B">
        <w:rPr>
          <w:rFonts w:cs="Times New Roman"/>
          <w:szCs w:val="28"/>
        </w:rPr>
        <w:t>e</w:t>
      </w:r>
      <w:r w:rsidR="00523DCD" w:rsidRPr="007A786B">
        <w:rPr>
          <w:rFonts w:cs="Times New Roman"/>
          <w:szCs w:val="28"/>
        </w:rPr>
        <w:t>konomikas ministr</w:t>
      </w:r>
      <w:r w:rsidR="00E3510A" w:rsidRPr="007A786B">
        <w:rPr>
          <w:rFonts w:cs="Times New Roman"/>
          <w:szCs w:val="28"/>
        </w:rPr>
        <w:t>s</w:t>
      </w:r>
      <w:r w:rsidR="00523DCD" w:rsidRPr="007A786B">
        <w:rPr>
          <w:rFonts w:cs="Times New Roman"/>
          <w:szCs w:val="28"/>
        </w:rPr>
        <w:tab/>
      </w:r>
      <w:r w:rsidR="00CC1EE0" w:rsidRPr="007A786B">
        <w:rPr>
          <w:rFonts w:cs="Times New Roman"/>
          <w:szCs w:val="28"/>
        </w:rPr>
        <w:t>Arvils Ašeradens</w:t>
      </w:r>
    </w:p>
    <w:p w14:paraId="1FE5E135" w14:textId="77777777" w:rsidR="00523DCD" w:rsidRPr="007A786B" w:rsidRDefault="00523DCD" w:rsidP="00A64A9C">
      <w:pPr>
        <w:jc w:val="both"/>
      </w:pPr>
    </w:p>
    <w:p w14:paraId="50FD7835" w14:textId="77777777" w:rsidR="002F6858" w:rsidRPr="007A786B" w:rsidRDefault="007A786B" w:rsidP="00A64A9C">
      <w:pPr>
        <w:jc w:val="both"/>
      </w:pPr>
    </w:p>
    <w:p w14:paraId="26F96DCF" w14:textId="612701CF" w:rsidR="00B90A19" w:rsidRPr="007A786B" w:rsidRDefault="007A786B" w:rsidP="00A64A9C">
      <w:pPr>
        <w:jc w:val="both"/>
        <w:rPr>
          <w:rFonts w:cs="Times New Roman"/>
          <w:b/>
          <w:sz w:val="20"/>
          <w:szCs w:val="20"/>
        </w:rPr>
      </w:pPr>
      <w:r>
        <w:rPr>
          <w:rFonts w:cs="Times New Roman"/>
          <w:sz w:val="20"/>
          <w:szCs w:val="20"/>
        </w:rPr>
        <w:t>07</w:t>
      </w:r>
      <w:r w:rsidR="00120253" w:rsidRPr="007A786B">
        <w:rPr>
          <w:rFonts w:cs="Times New Roman"/>
          <w:sz w:val="20"/>
          <w:szCs w:val="20"/>
        </w:rPr>
        <w:t>.03</w:t>
      </w:r>
      <w:r w:rsidR="004A6995" w:rsidRPr="007A786B">
        <w:rPr>
          <w:rFonts w:cs="Times New Roman"/>
          <w:sz w:val="20"/>
          <w:szCs w:val="20"/>
        </w:rPr>
        <w:t>.2016</w:t>
      </w:r>
      <w:r w:rsidR="00B90A19" w:rsidRPr="007A786B">
        <w:rPr>
          <w:rFonts w:cs="Times New Roman"/>
          <w:sz w:val="20"/>
          <w:szCs w:val="20"/>
        </w:rPr>
        <w:t xml:space="preserve"> </w:t>
      </w:r>
      <w:r w:rsidR="004A6995" w:rsidRPr="007A786B">
        <w:rPr>
          <w:rFonts w:cs="Times New Roman"/>
          <w:sz w:val="20"/>
          <w:szCs w:val="20"/>
        </w:rPr>
        <w:t>09</w:t>
      </w:r>
      <w:r w:rsidR="00B90A19" w:rsidRPr="007A786B">
        <w:rPr>
          <w:rFonts w:cs="Times New Roman"/>
          <w:sz w:val="20"/>
          <w:szCs w:val="20"/>
        </w:rPr>
        <w:t>:00</w:t>
      </w:r>
    </w:p>
    <w:p w14:paraId="49F66EE6" w14:textId="4FBA1A33" w:rsidR="00B90A19" w:rsidRPr="007A786B" w:rsidRDefault="007A786B" w:rsidP="00A64A9C">
      <w:pPr>
        <w:jc w:val="both"/>
        <w:rPr>
          <w:rFonts w:eastAsia="Times New Roman" w:cs="Times New Roman"/>
          <w:sz w:val="20"/>
          <w:szCs w:val="20"/>
          <w:lang w:eastAsia="lv-LV" w:bidi="lo-LA"/>
        </w:rPr>
      </w:pPr>
      <w:r>
        <w:rPr>
          <w:rFonts w:eastAsia="Times New Roman" w:cs="Times New Roman"/>
          <w:sz w:val="20"/>
          <w:szCs w:val="20"/>
          <w:lang w:eastAsia="lv-LV" w:bidi="lo-LA"/>
        </w:rPr>
        <w:t>733</w:t>
      </w:r>
    </w:p>
    <w:p w14:paraId="0E093916" w14:textId="77777777" w:rsidR="00B90A19" w:rsidRPr="007A786B" w:rsidRDefault="00B90A19" w:rsidP="00A64A9C">
      <w:pPr>
        <w:jc w:val="both"/>
        <w:rPr>
          <w:rFonts w:cs="Times New Roman"/>
          <w:sz w:val="20"/>
          <w:szCs w:val="20"/>
        </w:rPr>
      </w:pPr>
      <w:proofErr w:type="spellStart"/>
      <w:r w:rsidRPr="007A786B">
        <w:rPr>
          <w:rFonts w:cs="Times New Roman"/>
          <w:sz w:val="20"/>
          <w:szCs w:val="20"/>
        </w:rPr>
        <w:t>E.Grūbe</w:t>
      </w:r>
      <w:proofErr w:type="spellEnd"/>
      <w:r w:rsidRPr="007A786B">
        <w:rPr>
          <w:rFonts w:cs="Times New Roman"/>
          <w:sz w:val="20"/>
          <w:szCs w:val="20"/>
        </w:rPr>
        <w:t>, 67013022</w:t>
      </w:r>
    </w:p>
    <w:p w14:paraId="12DFB811" w14:textId="77777777" w:rsidR="00B90A19" w:rsidRPr="007A786B" w:rsidRDefault="007A786B" w:rsidP="00A64A9C">
      <w:pPr>
        <w:jc w:val="both"/>
        <w:rPr>
          <w:rFonts w:cs="Times New Roman"/>
          <w:sz w:val="20"/>
          <w:szCs w:val="20"/>
        </w:rPr>
      </w:pPr>
      <w:hyperlink r:id="rId8" w:history="1">
        <w:r w:rsidR="00B90A19" w:rsidRPr="007A786B">
          <w:rPr>
            <w:rStyle w:val="Hyperlink"/>
            <w:rFonts w:cs="Times New Roman"/>
            <w:color w:val="auto"/>
            <w:sz w:val="20"/>
            <w:szCs w:val="20"/>
          </w:rPr>
          <w:t>Evita.Grube@em.gov.lv</w:t>
        </w:r>
      </w:hyperlink>
      <w:r w:rsidR="00B90A19" w:rsidRPr="007A786B">
        <w:rPr>
          <w:rFonts w:cs="Times New Roman"/>
          <w:sz w:val="20"/>
          <w:szCs w:val="20"/>
        </w:rPr>
        <w:t xml:space="preserve"> </w:t>
      </w:r>
    </w:p>
    <w:p w14:paraId="2BA52B0F" w14:textId="77777777" w:rsidR="00B90A19" w:rsidRPr="007A786B" w:rsidRDefault="00B90A19" w:rsidP="00A64A9C">
      <w:pPr>
        <w:jc w:val="both"/>
      </w:pPr>
      <w:bookmarkStart w:id="4" w:name="_GoBack"/>
      <w:bookmarkEnd w:id="4"/>
    </w:p>
    <w:sectPr w:rsidR="00B90A19" w:rsidRPr="007A786B" w:rsidSect="00C71D0D">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0B681" w14:textId="77777777" w:rsidR="00C83753" w:rsidRDefault="00B06D40">
      <w:r>
        <w:separator/>
      </w:r>
    </w:p>
  </w:endnote>
  <w:endnote w:type="continuationSeparator" w:id="0">
    <w:p w14:paraId="23B56914" w14:textId="77777777" w:rsidR="00C83753" w:rsidRDefault="00B0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C799" w14:textId="14A782A4" w:rsidR="00C71D0D" w:rsidRPr="00B90A19" w:rsidRDefault="00B90A19" w:rsidP="00B90A19">
    <w:pPr>
      <w:jc w:val="both"/>
      <w:rPr>
        <w:sz w:val="20"/>
        <w:szCs w:val="20"/>
      </w:rPr>
    </w:pPr>
    <w:r>
      <w:rPr>
        <w:sz w:val="20"/>
        <w:szCs w:val="20"/>
      </w:rPr>
      <w:t>EMNot_</w:t>
    </w:r>
    <w:r w:rsidR="00120253">
      <w:rPr>
        <w:sz w:val="20"/>
        <w:szCs w:val="20"/>
      </w:rPr>
      <w:t>0</w:t>
    </w:r>
    <w:r w:rsidR="007A786B">
      <w:rPr>
        <w:sz w:val="20"/>
        <w:szCs w:val="20"/>
      </w:rPr>
      <w:t>7</w:t>
    </w:r>
    <w:r w:rsidR="00120253">
      <w:rPr>
        <w:sz w:val="20"/>
        <w:szCs w:val="20"/>
      </w:rPr>
      <w:t>03</w:t>
    </w:r>
    <w:r w:rsidR="004A6995">
      <w:rPr>
        <w:sz w:val="20"/>
        <w:szCs w:val="20"/>
      </w:rPr>
      <w:t>2016</w:t>
    </w:r>
    <w:r w:rsidRPr="00307AFC">
      <w:rPr>
        <w:sz w:val="20"/>
        <w:szCs w:val="20"/>
      </w:rPr>
      <w:t xml:space="preserve">_NORProgramma; Ministru kabineta noteikumu projekta „Grozījumi Ministru kabineta 2013.gada </w:t>
    </w:r>
    <w:r>
      <w:rPr>
        <w:sz w:val="20"/>
        <w:szCs w:val="20"/>
      </w:rPr>
      <w:t>2</w:t>
    </w:r>
    <w:r w:rsidRPr="00307AFC">
      <w:rPr>
        <w:sz w:val="20"/>
        <w:szCs w:val="20"/>
      </w:rPr>
      <w:t>.</w:t>
    </w:r>
    <w:r>
      <w:rPr>
        <w:sz w:val="20"/>
        <w:szCs w:val="20"/>
      </w:rPr>
      <w:t>aprīļa</w:t>
    </w:r>
    <w:r w:rsidRPr="00307AFC">
      <w:rPr>
        <w:sz w:val="20"/>
        <w:szCs w:val="20"/>
      </w:rPr>
      <w:t xml:space="preserve"> noteikumos Nr.1</w:t>
    </w:r>
    <w:r>
      <w:rPr>
        <w:sz w:val="20"/>
        <w:szCs w:val="20"/>
      </w:rPr>
      <w:t>81</w:t>
    </w:r>
    <w:r w:rsidRPr="00307AFC">
      <w:rPr>
        <w:sz w:val="20"/>
        <w:szCs w:val="20"/>
      </w:rPr>
      <w:t xml:space="preserve"> „Norvēģijas finanšu instrumenta 2009.–2014.gada perioda programmas "Inovācijas "zaļās" ražošanas jomā" īstenošanas kārtība””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7D47" w14:textId="5D3DFF00" w:rsidR="00C71D0D" w:rsidRPr="00B90A19" w:rsidRDefault="004A6995" w:rsidP="00B90A19">
    <w:pPr>
      <w:jc w:val="both"/>
      <w:rPr>
        <w:sz w:val="20"/>
        <w:szCs w:val="20"/>
      </w:rPr>
    </w:pPr>
    <w:r>
      <w:rPr>
        <w:sz w:val="20"/>
        <w:szCs w:val="20"/>
      </w:rPr>
      <w:t>EMNot_</w:t>
    </w:r>
    <w:r w:rsidR="007A786B">
      <w:rPr>
        <w:sz w:val="20"/>
        <w:szCs w:val="20"/>
      </w:rPr>
      <w:t>07</w:t>
    </w:r>
    <w:r w:rsidR="00120253">
      <w:rPr>
        <w:sz w:val="20"/>
        <w:szCs w:val="20"/>
      </w:rPr>
      <w:t>03</w:t>
    </w:r>
    <w:r>
      <w:rPr>
        <w:sz w:val="20"/>
        <w:szCs w:val="20"/>
      </w:rPr>
      <w:t>2016</w:t>
    </w:r>
    <w:r w:rsidR="00B90A19" w:rsidRPr="00307AFC">
      <w:rPr>
        <w:sz w:val="20"/>
        <w:szCs w:val="20"/>
      </w:rPr>
      <w:t xml:space="preserve">_NORProgramma; Ministru kabineta noteikumu projekta „Grozījumi Ministru kabineta 2013.gada </w:t>
    </w:r>
    <w:r w:rsidR="00B90A19">
      <w:rPr>
        <w:sz w:val="20"/>
        <w:szCs w:val="20"/>
      </w:rPr>
      <w:t>2</w:t>
    </w:r>
    <w:r w:rsidR="00B90A19" w:rsidRPr="00307AFC">
      <w:rPr>
        <w:sz w:val="20"/>
        <w:szCs w:val="20"/>
      </w:rPr>
      <w:t>.</w:t>
    </w:r>
    <w:r w:rsidR="00B90A19">
      <w:rPr>
        <w:sz w:val="20"/>
        <w:szCs w:val="20"/>
      </w:rPr>
      <w:t>aprīļa</w:t>
    </w:r>
    <w:r w:rsidR="00B90A19" w:rsidRPr="00307AFC">
      <w:rPr>
        <w:sz w:val="20"/>
        <w:szCs w:val="20"/>
      </w:rPr>
      <w:t xml:space="preserve"> noteikumos Nr.1</w:t>
    </w:r>
    <w:r w:rsidR="00B90A19">
      <w:rPr>
        <w:sz w:val="20"/>
        <w:szCs w:val="20"/>
      </w:rPr>
      <w:t>81</w:t>
    </w:r>
    <w:r w:rsidR="00B90A19" w:rsidRPr="00307AFC">
      <w:rPr>
        <w:sz w:val="20"/>
        <w:szCs w:val="20"/>
      </w:rPr>
      <w:t xml:space="preserve"> „Norvēģijas finanšu instrumenta 2009.–2014.gada perioda programmas "Inovācijas "zaļās" ražošanas jomā" īstenošanas kārtība””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C6A2E" w14:textId="77777777" w:rsidR="00C83753" w:rsidRDefault="00B06D40">
      <w:r>
        <w:separator/>
      </w:r>
    </w:p>
  </w:footnote>
  <w:footnote w:type="continuationSeparator" w:id="0">
    <w:p w14:paraId="75807A48" w14:textId="77777777" w:rsidR="00C83753" w:rsidRDefault="00B0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410469"/>
      <w:docPartObj>
        <w:docPartGallery w:val="Page Numbers (Top of Page)"/>
        <w:docPartUnique/>
      </w:docPartObj>
    </w:sdtPr>
    <w:sdtEndPr>
      <w:rPr>
        <w:noProof/>
        <w:sz w:val="24"/>
      </w:rPr>
    </w:sdtEndPr>
    <w:sdtContent>
      <w:p w14:paraId="149F0CCB" w14:textId="77777777" w:rsidR="00C71D0D" w:rsidRPr="00C71D0D" w:rsidRDefault="00523DCD">
        <w:pPr>
          <w:pStyle w:val="Header"/>
          <w:jc w:val="center"/>
          <w:rPr>
            <w:sz w:val="24"/>
          </w:rPr>
        </w:pPr>
        <w:r w:rsidRPr="00C71D0D">
          <w:rPr>
            <w:sz w:val="24"/>
          </w:rPr>
          <w:fldChar w:fldCharType="begin"/>
        </w:r>
        <w:r w:rsidRPr="00C71D0D">
          <w:rPr>
            <w:sz w:val="24"/>
          </w:rPr>
          <w:instrText xml:space="preserve"> PAGE   \* MERGEFORMAT </w:instrText>
        </w:r>
        <w:r w:rsidRPr="00C71D0D">
          <w:rPr>
            <w:sz w:val="24"/>
          </w:rPr>
          <w:fldChar w:fldCharType="separate"/>
        </w:r>
        <w:r w:rsidR="007A786B">
          <w:rPr>
            <w:noProof/>
            <w:sz w:val="24"/>
          </w:rPr>
          <w:t>4</w:t>
        </w:r>
        <w:r w:rsidRPr="00C71D0D">
          <w:rPr>
            <w:noProof/>
            <w:sz w:val="24"/>
          </w:rPr>
          <w:fldChar w:fldCharType="end"/>
        </w:r>
      </w:p>
    </w:sdtContent>
  </w:sdt>
  <w:p w14:paraId="34BA8FE7" w14:textId="77777777" w:rsidR="00C71D0D" w:rsidRDefault="007A78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7001" w14:textId="77777777" w:rsidR="00C71D0D" w:rsidRDefault="007A786B" w:rsidP="00C71D0D">
    <w:pPr>
      <w:pStyle w:val="Header"/>
      <w:rPr>
        <w:rFonts w:cs="Times New Roman"/>
        <w:sz w:val="32"/>
      </w:rPr>
    </w:pPr>
  </w:p>
  <w:p w14:paraId="0756C915" w14:textId="77777777" w:rsidR="00C71D0D" w:rsidRPr="00C71D0D" w:rsidRDefault="00523DCD" w:rsidP="00C71D0D">
    <w:pPr>
      <w:pStyle w:val="Header"/>
      <w:rPr>
        <w:rFonts w:cs="Times New Roman"/>
        <w:sz w:val="32"/>
      </w:rPr>
    </w:pPr>
    <w:r>
      <w:rPr>
        <w:rFonts w:cs="Times New Roman"/>
        <w:noProof/>
        <w:sz w:val="32"/>
        <w:lang w:eastAsia="lv-LV"/>
      </w:rPr>
      <w:drawing>
        <wp:inline distT="0" distB="0" distL="0" distR="0" wp14:anchorId="349AE174" wp14:editId="34C7F383">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B4318"/>
    <w:multiLevelType w:val="hybridMultilevel"/>
    <w:tmpl w:val="351E106E"/>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 w15:restartNumberingAfterBreak="0">
    <w:nsid w:val="30143B51"/>
    <w:multiLevelType w:val="multilevel"/>
    <w:tmpl w:val="988A8CC8"/>
    <w:lvl w:ilvl="0">
      <w:start w:val="43"/>
      <w:numFmt w:val="decimal"/>
      <w:lvlText w:val="%1"/>
      <w:lvlJc w:val="left"/>
      <w:pPr>
        <w:ind w:left="465" w:hanging="465"/>
      </w:pPr>
      <w:rPr>
        <w:rFonts w:cstheme="minorBidi" w:hint="default"/>
      </w:rPr>
    </w:lvl>
    <w:lvl w:ilvl="1">
      <w:start w:val="2"/>
      <w:numFmt w:val="decimal"/>
      <w:lvlText w:val="%1.%2"/>
      <w:lvlJc w:val="left"/>
      <w:pPr>
        <w:ind w:left="465" w:hanging="46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 w15:restartNumberingAfterBreak="0">
    <w:nsid w:val="4CA76163"/>
    <w:multiLevelType w:val="hybridMultilevel"/>
    <w:tmpl w:val="5D923100"/>
    <w:lvl w:ilvl="0" w:tplc="BD6EB5A8">
      <w:start w:val="1"/>
      <w:numFmt w:val="decimal"/>
      <w:lvlText w:val="%1."/>
      <w:lvlJc w:val="left"/>
      <w:pPr>
        <w:ind w:left="928"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CD"/>
    <w:rsid w:val="000C3B37"/>
    <w:rsid w:val="000D03FF"/>
    <w:rsid w:val="000E1957"/>
    <w:rsid w:val="000E3EEF"/>
    <w:rsid w:val="000E558E"/>
    <w:rsid w:val="00120253"/>
    <w:rsid w:val="001D4451"/>
    <w:rsid w:val="001D71B2"/>
    <w:rsid w:val="00215435"/>
    <w:rsid w:val="002839E6"/>
    <w:rsid w:val="0029278F"/>
    <w:rsid w:val="002E32A8"/>
    <w:rsid w:val="003B4B90"/>
    <w:rsid w:val="003F1471"/>
    <w:rsid w:val="00412F97"/>
    <w:rsid w:val="0042201E"/>
    <w:rsid w:val="004A6995"/>
    <w:rsid w:val="004A757D"/>
    <w:rsid w:val="00523DCD"/>
    <w:rsid w:val="00537C3F"/>
    <w:rsid w:val="00552E97"/>
    <w:rsid w:val="00587C6A"/>
    <w:rsid w:val="0059646B"/>
    <w:rsid w:val="005D50E3"/>
    <w:rsid w:val="005D7240"/>
    <w:rsid w:val="0067463C"/>
    <w:rsid w:val="006C53F1"/>
    <w:rsid w:val="006D2988"/>
    <w:rsid w:val="00727FDE"/>
    <w:rsid w:val="0075354F"/>
    <w:rsid w:val="007851EF"/>
    <w:rsid w:val="007A786B"/>
    <w:rsid w:val="007E023A"/>
    <w:rsid w:val="00823E66"/>
    <w:rsid w:val="0083711C"/>
    <w:rsid w:val="00840618"/>
    <w:rsid w:val="00842A62"/>
    <w:rsid w:val="00857C19"/>
    <w:rsid w:val="008B2F5C"/>
    <w:rsid w:val="008B57EA"/>
    <w:rsid w:val="009908F5"/>
    <w:rsid w:val="009C3DF0"/>
    <w:rsid w:val="009D73C3"/>
    <w:rsid w:val="00A12CC1"/>
    <w:rsid w:val="00A64A9C"/>
    <w:rsid w:val="00AA4095"/>
    <w:rsid w:val="00AB4E13"/>
    <w:rsid w:val="00AC28F6"/>
    <w:rsid w:val="00B06D40"/>
    <w:rsid w:val="00B5446F"/>
    <w:rsid w:val="00B73E00"/>
    <w:rsid w:val="00B90A19"/>
    <w:rsid w:val="00B9575E"/>
    <w:rsid w:val="00C15C3B"/>
    <w:rsid w:val="00C319BD"/>
    <w:rsid w:val="00C46AB2"/>
    <w:rsid w:val="00C74E39"/>
    <w:rsid w:val="00C83753"/>
    <w:rsid w:val="00CC1EE0"/>
    <w:rsid w:val="00CC6F4C"/>
    <w:rsid w:val="00CE3857"/>
    <w:rsid w:val="00D120B2"/>
    <w:rsid w:val="00D13F28"/>
    <w:rsid w:val="00DF3D89"/>
    <w:rsid w:val="00E00006"/>
    <w:rsid w:val="00E3510A"/>
    <w:rsid w:val="00E365FF"/>
    <w:rsid w:val="00EA00FD"/>
    <w:rsid w:val="00F61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227D8F"/>
  <w15:chartTrackingRefBased/>
  <w15:docId w15:val="{7CD41CBF-FEAB-487A-96AB-516F8BA7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C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23DCD"/>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523DCD"/>
    <w:pPr>
      <w:ind w:left="720"/>
      <w:contextualSpacing/>
    </w:pPr>
  </w:style>
  <w:style w:type="character" w:styleId="CommentReference">
    <w:name w:val="annotation reference"/>
    <w:basedOn w:val="DefaultParagraphFont"/>
    <w:uiPriority w:val="99"/>
    <w:semiHidden/>
    <w:unhideWhenUsed/>
    <w:rsid w:val="00523DCD"/>
    <w:rPr>
      <w:sz w:val="16"/>
      <w:szCs w:val="16"/>
    </w:rPr>
  </w:style>
  <w:style w:type="paragraph" w:styleId="CommentText">
    <w:name w:val="annotation text"/>
    <w:basedOn w:val="Normal"/>
    <w:link w:val="CommentTextChar"/>
    <w:uiPriority w:val="99"/>
    <w:unhideWhenUsed/>
    <w:rsid w:val="00523DCD"/>
    <w:rPr>
      <w:sz w:val="20"/>
      <w:szCs w:val="20"/>
    </w:rPr>
  </w:style>
  <w:style w:type="character" w:customStyle="1" w:styleId="CommentTextChar">
    <w:name w:val="Comment Text Char"/>
    <w:basedOn w:val="DefaultParagraphFont"/>
    <w:link w:val="CommentText"/>
    <w:uiPriority w:val="99"/>
    <w:rsid w:val="00523DCD"/>
    <w:rPr>
      <w:rFonts w:ascii="Times New Roman" w:hAnsi="Times New Roman"/>
      <w:sz w:val="20"/>
      <w:szCs w:val="20"/>
    </w:rPr>
  </w:style>
  <w:style w:type="paragraph" w:styleId="Header">
    <w:name w:val="header"/>
    <w:basedOn w:val="Normal"/>
    <w:link w:val="HeaderChar"/>
    <w:uiPriority w:val="99"/>
    <w:unhideWhenUsed/>
    <w:rsid w:val="00523DCD"/>
    <w:pPr>
      <w:tabs>
        <w:tab w:val="center" w:pos="4153"/>
        <w:tab w:val="right" w:pos="8306"/>
      </w:tabs>
    </w:pPr>
  </w:style>
  <w:style w:type="character" w:customStyle="1" w:styleId="HeaderChar">
    <w:name w:val="Header Char"/>
    <w:basedOn w:val="DefaultParagraphFont"/>
    <w:link w:val="Header"/>
    <w:uiPriority w:val="99"/>
    <w:rsid w:val="00523DCD"/>
    <w:rPr>
      <w:rFonts w:ascii="Times New Roman" w:hAnsi="Times New Roman"/>
      <w:sz w:val="28"/>
    </w:rPr>
  </w:style>
  <w:style w:type="paragraph" w:styleId="Footer">
    <w:name w:val="footer"/>
    <w:aliases w:val=" Rakstz."/>
    <w:basedOn w:val="Normal"/>
    <w:link w:val="FooterChar"/>
    <w:uiPriority w:val="99"/>
    <w:unhideWhenUsed/>
    <w:rsid w:val="00523DCD"/>
    <w:pPr>
      <w:tabs>
        <w:tab w:val="center" w:pos="4153"/>
        <w:tab w:val="right" w:pos="8306"/>
      </w:tabs>
    </w:pPr>
  </w:style>
  <w:style w:type="character" w:customStyle="1" w:styleId="FooterChar">
    <w:name w:val="Footer Char"/>
    <w:aliases w:val=" Rakstz. Char"/>
    <w:basedOn w:val="DefaultParagraphFont"/>
    <w:link w:val="Footer"/>
    <w:uiPriority w:val="99"/>
    <w:rsid w:val="00523DCD"/>
    <w:rPr>
      <w:rFonts w:ascii="Times New Roman" w:hAnsi="Times New Roman"/>
      <w:sz w:val="28"/>
    </w:rPr>
  </w:style>
  <w:style w:type="paragraph" w:styleId="BalloonText">
    <w:name w:val="Balloon Text"/>
    <w:basedOn w:val="Normal"/>
    <w:link w:val="BalloonTextChar"/>
    <w:uiPriority w:val="99"/>
    <w:semiHidden/>
    <w:unhideWhenUsed/>
    <w:rsid w:val="00523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CD"/>
    <w:rPr>
      <w:rFonts w:ascii="Segoe UI" w:hAnsi="Segoe UI" w:cs="Segoe UI"/>
      <w:sz w:val="18"/>
      <w:szCs w:val="18"/>
    </w:rPr>
  </w:style>
  <w:style w:type="character" w:styleId="Hyperlink">
    <w:name w:val="Hyperlink"/>
    <w:basedOn w:val="DefaultParagraphFont"/>
    <w:uiPriority w:val="99"/>
    <w:unhideWhenUsed/>
    <w:rsid w:val="00B90A19"/>
    <w:rPr>
      <w:color w:val="0000FF"/>
      <w:u w:val="single"/>
    </w:rPr>
  </w:style>
  <w:style w:type="paragraph" w:customStyle="1" w:styleId="Default">
    <w:name w:val="Default"/>
    <w:basedOn w:val="Normal"/>
    <w:rsid w:val="008B57EA"/>
    <w:pPr>
      <w:autoSpaceDE w:val="0"/>
      <w:autoSpaceDN w:val="0"/>
    </w:pPr>
    <w:rPr>
      <w:rFonts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4920">
      <w:bodyDiv w:val="1"/>
      <w:marLeft w:val="0"/>
      <w:marRight w:val="0"/>
      <w:marTop w:val="0"/>
      <w:marBottom w:val="0"/>
      <w:divBdr>
        <w:top w:val="none" w:sz="0" w:space="0" w:color="auto"/>
        <w:left w:val="none" w:sz="0" w:space="0" w:color="auto"/>
        <w:bottom w:val="none" w:sz="0" w:space="0" w:color="auto"/>
        <w:right w:val="none" w:sz="0" w:space="0" w:color="auto"/>
      </w:divBdr>
    </w:div>
    <w:div w:id="1343970654">
      <w:bodyDiv w:val="1"/>
      <w:marLeft w:val="0"/>
      <w:marRight w:val="0"/>
      <w:marTop w:val="0"/>
      <w:marBottom w:val="0"/>
      <w:divBdr>
        <w:top w:val="none" w:sz="0" w:space="0" w:color="auto"/>
        <w:left w:val="none" w:sz="0" w:space="0" w:color="auto"/>
        <w:bottom w:val="none" w:sz="0" w:space="0" w:color="auto"/>
        <w:right w:val="none" w:sz="0" w:space="0" w:color="auto"/>
      </w:divBdr>
    </w:div>
    <w:div w:id="20250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ita.Grub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4C2-9EB9-4B5C-A088-CC3CCBDB4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3638</Words>
  <Characters>2074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Grūbe</dc:creator>
  <cp:keywords/>
  <dc:description/>
  <cp:lastModifiedBy>Evita Grūbe</cp:lastModifiedBy>
  <cp:revision>3</cp:revision>
  <cp:lastPrinted>2016-03-07T08:51:00Z</cp:lastPrinted>
  <dcterms:created xsi:type="dcterms:W3CDTF">2016-03-07T08:50:00Z</dcterms:created>
  <dcterms:modified xsi:type="dcterms:W3CDTF">2016-03-07T10:08:00Z</dcterms:modified>
</cp:coreProperties>
</file>