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32" w:rsidRPr="00A917E4" w:rsidRDefault="00B12732" w:rsidP="00B12732">
      <w:pPr>
        <w:jc w:val="center"/>
        <w:rPr>
          <w:rFonts w:cs="Times New Roman"/>
          <w:b/>
          <w:szCs w:val="24"/>
        </w:rPr>
      </w:pPr>
      <w:bookmarkStart w:id="0" w:name="_GoBack"/>
      <w:bookmarkEnd w:id="0"/>
      <w:r w:rsidRPr="00A917E4">
        <w:rPr>
          <w:rFonts w:cs="Times New Roman"/>
          <w:b/>
          <w:szCs w:val="24"/>
        </w:rPr>
        <w:t>Likumprojekta</w:t>
      </w:r>
    </w:p>
    <w:p w:rsidR="00B12732" w:rsidRPr="00A917E4" w:rsidRDefault="006F2088" w:rsidP="00B12732">
      <w:pPr>
        <w:jc w:val="center"/>
        <w:rPr>
          <w:rFonts w:cs="Times New Roman"/>
          <w:b/>
          <w:szCs w:val="24"/>
        </w:rPr>
      </w:pPr>
      <w:r w:rsidRPr="00A917E4">
        <w:rPr>
          <w:rFonts w:cs="Times New Roman"/>
          <w:b/>
          <w:bCs/>
          <w:szCs w:val="24"/>
        </w:rPr>
        <w:t>„Grozījumi</w:t>
      </w:r>
      <w:r w:rsidR="00B12732" w:rsidRPr="00A917E4">
        <w:rPr>
          <w:rFonts w:cs="Times New Roman"/>
          <w:b/>
          <w:bCs/>
          <w:szCs w:val="24"/>
        </w:rPr>
        <w:t xml:space="preserve"> Kredītiestāžu likumā</w:t>
      </w:r>
      <w:r w:rsidR="00B12732" w:rsidRPr="00A917E4">
        <w:rPr>
          <w:rFonts w:cs="Times New Roman"/>
          <w:b/>
          <w:szCs w:val="24"/>
        </w:rPr>
        <w:t>"</w:t>
      </w:r>
    </w:p>
    <w:p w:rsidR="00B12732" w:rsidRDefault="00B12732" w:rsidP="00B12732">
      <w:pPr>
        <w:jc w:val="center"/>
        <w:rPr>
          <w:rFonts w:cs="Times New Roman"/>
          <w:b/>
          <w:szCs w:val="24"/>
        </w:rPr>
      </w:pPr>
      <w:r w:rsidRPr="00A917E4">
        <w:rPr>
          <w:rFonts w:cs="Times New Roman"/>
          <w:b/>
          <w:szCs w:val="24"/>
        </w:rPr>
        <w:t>sākotnējās ietekmes novērtējuma ziņojums (anotācija)</w:t>
      </w:r>
    </w:p>
    <w:p w:rsidR="00530FA5" w:rsidRPr="00A917E4" w:rsidRDefault="00530FA5" w:rsidP="00B12732">
      <w:pPr>
        <w:jc w:val="center"/>
        <w:rPr>
          <w:rFonts w:cs="Times New Roman"/>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1504"/>
        <w:gridCol w:w="6171"/>
      </w:tblGrid>
      <w:tr w:rsidR="00B12732" w:rsidRPr="00A917E4" w:rsidTr="00B12732">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2732" w:rsidRPr="00A917E4" w:rsidRDefault="00B12732">
            <w:pPr>
              <w:spacing w:before="100" w:beforeAutospacing="1" w:after="100" w:afterAutospacing="1" w:line="360" w:lineRule="auto"/>
              <w:ind w:firstLine="300"/>
              <w:jc w:val="center"/>
              <w:rPr>
                <w:rFonts w:eastAsia="Times New Roman" w:cs="Times New Roman"/>
                <w:b/>
                <w:bCs/>
                <w:szCs w:val="24"/>
                <w:lang w:eastAsia="lv-LV"/>
              </w:rPr>
            </w:pPr>
            <w:r w:rsidRPr="00A917E4">
              <w:rPr>
                <w:rFonts w:eastAsia="Times New Roman" w:cs="Times New Roman"/>
                <w:b/>
                <w:bCs/>
                <w:szCs w:val="24"/>
                <w:lang w:eastAsia="lv-LV"/>
              </w:rPr>
              <w:t>I. Tiesību akta projekta izstrādes nepieciešamība</w:t>
            </w:r>
          </w:p>
        </w:tc>
      </w:tr>
      <w:tr w:rsidR="00B12732" w:rsidRPr="00A917E4" w:rsidTr="00B12732">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B12732" w:rsidRPr="00A917E4" w:rsidRDefault="00B12732">
            <w:pPr>
              <w:spacing w:before="100" w:beforeAutospacing="1" w:after="100" w:afterAutospacing="1" w:line="360" w:lineRule="auto"/>
              <w:ind w:firstLine="300"/>
              <w:jc w:val="center"/>
              <w:rPr>
                <w:rFonts w:eastAsia="Times New Roman" w:cs="Times New Roman"/>
                <w:szCs w:val="24"/>
                <w:lang w:eastAsia="lv-LV"/>
              </w:rPr>
            </w:pPr>
            <w:r w:rsidRPr="00A917E4">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rsidR="00F840AD" w:rsidRPr="00401FBB" w:rsidRDefault="001F52B6">
            <w:pPr>
              <w:autoSpaceDE w:val="0"/>
              <w:autoSpaceDN w:val="0"/>
              <w:adjustRightInd w:val="0"/>
              <w:jc w:val="both"/>
              <w:rPr>
                <w:szCs w:val="24"/>
              </w:rPr>
            </w:pPr>
            <w:r w:rsidRPr="00401FBB">
              <w:rPr>
                <w:szCs w:val="24"/>
              </w:rPr>
              <w:t>2015. gada 21</w:t>
            </w:r>
            <w:r w:rsidR="00B12732" w:rsidRPr="00401FBB">
              <w:rPr>
                <w:szCs w:val="24"/>
              </w:rPr>
              <w:t>. oktobrī publicētais Ekonomikas Sadarbības un attīstības organizācijas (turpmāk – OECD) otrās fāzes ziņojums “Par OECD Pretkorupcijas konvencijas ieviešanu Latvijā”</w:t>
            </w:r>
            <w:r w:rsidR="00FE203C" w:rsidRPr="00401FBB">
              <w:rPr>
                <w:szCs w:val="24"/>
              </w:rPr>
              <w:t xml:space="preserve"> (turpmāk – Z</w:t>
            </w:r>
            <w:r w:rsidR="00EF50BD" w:rsidRPr="00401FBB">
              <w:rPr>
                <w:szCs w:val="24"/>
              </w:rPr>
              <w:t>iņojums)</w:t>
            </w:r>
            <w:r w:rsidR="00D40AB3" w:rsidRPr="00401FBB">
              <w:rPr>
                <w:szCs w:val="24"/>
              </w:rPr>
              <w:t xml:space="preserve">. </w:t>
            </w:r>
          </w:p>
          <w:p w:rsidR="00F840AD" w:rsidRPr="00401FBB" w:rsidRDefault="00F840AD">
            <w:pPr>
              <w:autoSpaceDE w:val="0"/>
              <w:autoSpaceDN w:val="0"/>
              <w:adjustRightInd w:val="0"/>
              <w:jc w:val="both"/>
              <w:rPr>
                <w:szCs w:val="24"/>
              </w:rPr>
            </w:pPr>
            <w:r w:rsidRPr="00401FBB">
              <w:rPr>
                <w:szCs w:val="24"/>
              </w:rPr>
              <w:t>Eiropas Parlamenta un Padomes</w:t>
            </w:r>
            <w:r w:rsidR="00CF5BF0" w:rsidRPr="00401FBB">
              <w:rPr>
                <w:szCs w:val="24"/>
              </w:rPr>
              <w:t xml:space="preserve"> 2015. gada 20. maija Direktīva</w:t>
            </w:r>
            <w:r w:rsidRPr="00401FBB">
              <w:rPr>
                <w:szCs w:val="24"/>
              </w:rPr>
              <w:t xml:space="preserve"> (ES) 2015/849 </w:t>
            </w:r>
            <w:r w:rsidR="00401FBB" w:rsidRPr="00401FBB">
              <w:rPr>
                <w:bCs/>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401FBB" w:rsidRPr="00401FBB">
              <w:rPr>
                <w:szCs w:val="24"/>
              </w:rPr>
              <w:t xml:space="preserve"> </w:t>
            </w:r>
            <w:r w:rsidR="00D367A3" w:rsidRPr="00401FBB">
              <w:rPr>
                <w:szCs w:val="24"/>
              </w:rPr>
              <w:t>(turpmāk – Direktīva)</w:t>
            </w:r>
            <w:r w:rsidR="005D30EE" w:rsidRPr="00401FBB">
              <w:rPr>
                <w:szCs w:val="24"/>
              </w:rPr>
              <w:t>.</w:t>
            </w:r>
          </w:p>
          <w:p w:rsidR="00D30295" w:rsidRPr="00A917E4" w:rsidRDefault="00D30295" w:rsidP="00D30295">
            <w:pPr>
              <w:autoSpaceDE w:val="0"/>
              <w:autoSpaceDN w:val="0"/>
              <w:adjustRightInd w:val="0"/>
              <w:jc w:val="both"/>
              <w:rPr>
                <w:rFonts w:cs="Times New Roman"/>
                <w:szCs w:val="24"/>
              </w:rPr>
            </w:pPr>
            <w:r w:rsidRPr="00A917E4">
              <w:rPr>
                <w:iCs/>
              </w:rPr>
              <w:t>2012.</w:t>
            </w:r>
            <w:r w:rsidR="00C45875" w:rsidRPr="00A917E4">
              <w:rPr>
                <w:iCs/>
              </w:rPr>
              <w:t xml:space="preserve"> </w:t>
            </w:r>
            <w:r w:rsidRPr="00A917E4">
              <w:rPr>
                <w:iCs/>
              </w:rPr>
              <w:t>gada februārī FATF (</w:t>
            </w:r>
            <w:proofErr w:type="spellStart"/>
            <w:r w:rsidRPr="00A917E4">
              <w:rPr>
                <w:i/>
                <w:iCs/>
              </w:rPr>
              <w:t>Financial</w:t>
            </w:r>
            <w:proofErr w:type="spellEnd"/>
            <w:r w:rsidRPr="00A917E4">
              <w:rPr>
                <w:i/>
                <w:iCs/>
              </w:rPr>
              <w:t xml:space="preserve"> </w:t>
            </w:r>
            <w:proofErr w:type="spellStart"/>
            <w:r w:rsidRPr="00A917E4">
              <w:rPr>
                <w:i/>
                <w:iCs/>
              </w:rPr>
              <w:t>Action</w:t>
            </w:r>
            <w:proofErr w:type="spellEnd"/>
            <w:r w:rsidRPr="00A917E4">
              <w:rPr>
                <w:i/>
                <w:iCs/>
              </w:rPr>
              <w:t xml:space="preserve"> </w:t>
            </w:r>
            <w:proofErr w:type="spellStart"/>
            <w:r w:rsidRPr="00A917E4">
              <w:rPr>
                <w:i/>
                <w:iCs/>
              </w:rPr>
              <w:t>Task</w:t>
            </w:r>
            <w:proofErr w:type="spellEnd"/>
            <w:r w:rsidRPr="00A917E4">
              <w:rPr>
                <w:i/>
                <w:iCs/>
              </w:rPr>
              <w:t xml:space="preserve"> </w:t>
            </w:r>
            <w:proofErr w:type="spellStart"/>
            <w:r w:rsidRPr="00A917E4">
              <w:rPr>
                <w:i/>
                <w:iCs/>
              </w:rPr>
              <w:t>Force</w:t>
            </w:r>
            <w:proofErr w:type="spellEnd"/>
            <w:r w:rsidRPr="00A917E4">
              <w:rPr>
                <w:iCs/>
              </w:rPr>
              <w:t xml:space="preserve">) </w:t>
            </w:r>
            <w:r w:rsidR="00AE6270" w:rsidRPr="00A917E4">
              <w:rPr>
                <w:iCs/>
              </w:rPr>
              <w:t>apstiprināt</w:t>
            </w:r>
            <w:r w:rsidR="00340B6F" w:rsidRPr="00A917E4">
              <w:rPr>
                <w:iCs/>
              </w:rPr>
              <w:t>ā 18. un 35. rekomendācija</w:t>
            </w:r>
            <w:r w:rsidRPr="00A917E4">
              <w:rPr>
                <w:iCs/>
              </w:rPr>
              <w:t>.</w:t>
            </w:r>
          </w:p>
        </w:tc>
      </w:tr>
      <w:tr w:rsidR="00B12732" w:rsidRPr="00A917E4" w:rsidTr="00B12732">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B12732" w:rsidRPr="00A917E4" w:rsidRDefault="00B12732">
            <w:pPr>
              <w:spacing w:before="100" w:beforeAutospacing="1" w:after="100" w:afterAutospacing="1" w:line="360" w:lineRule="auto"/>
              <w:ind w:firstLine="300"/>
              <w:jc w:val="center"/>
              <w:rPr>
                <w:rFonts w:eastAsia="Times New Roman" w:cs="Times New Roman"/>
                <w:szCs w:val="24"/>
                <w:lang w:eastAsia="lv-LV"/>
              </w:rPr>
            </w:pPr>
            <w:r w:rsidRPr="00A917E4">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rsidR="003030B6" w:rsidRPr="00592EC4" w:rsidRDefault="003030B6" w:rsidP="00592EC4">
            <w:pPr>
              <w:jc w:val="both"/>
              <w:rPr>
                <w:rFonts w:cs="Times New Roman"/>
                <w:szCs w:val="24"/>
              </w:rPr>
            </w:pPr>
            <w:r w:rsidRPr="00A917E4">
              <w:rPr>
                <w:rFonts w:eastAsia="Times New Roman" w:cs="Times New Roman"/>
                <w:szCs w:val="24"/>
                <w:lang w:eastAsia="lv-LV"/>
              </w:rPr>
              <w:t>Likumprojekts</w:t>
            </w:r>
            <w:r w:rsidR="00592EC4">
              <w:rPr>
                <w:rFonts w:eastAsia="Times New Roman" w:cs="Times New Roman"/>
                <w:szCs w:val="24"/>
                <w:lang w:eastAsia="lv-LV"/>
              </w:rPr>
              <w:t xml:space="preserve"> </w:t>
            </w:r>
            <w:r w:rsidR="00592EC4" w:rsidRPr="00592EC4">
              <w:rPr>
                <w:rFonts w:cs="Times New Roman"/>
                <w:bCs/>
                <w:szCs w:val="24"/>
              </w:rPr>
              <w:t>„Grozījumi Kredītiestāžu likumā</w:t>
            </w:r>
            <w:r w:rsidR="00592EC4" w:rsidRPr="00592EC4">
              <w:rPr>
                <w:rFonts w:cs="Times New Roman"/>
                <w:szCs w:val="24"/>
              </w:rPr>
              <w:t>"</w:t>
            </w:r>
            <w:r w:rsidR="00592EC4">
              <w:rPr>
                <w:rFonts w:cs="Times New Roman"/>
                <w:szCs w:val="24"/>
              </w:rPr>
              <w:t xml:space="preserve"> (turpmāk  - likumprojekts) </w:t>
            </w:r>
            <w:r w:rsidRPr="00A917E4">
              <w:rPr>
                <w:rFonts w:eastAsia="Times New Roman" w:cs="Times New Roman"/>
                <w:szCs w:val="24"/>
                <w:lang w:eastAsia="lv-LV"/>
              </w:rPr>
              <w:t xml:space="preserve">ir izstrādāts, lai </w:t>
            </w:r>
            <w:r w:rsidR="00811669" w:rsidRPr="00A917E4">
              <w:rPr>
                <w:rFonts w:eastAsia="Times New Roman" w:cs="Times New Roman"/>
                <w:szCs w:val="24"/>
                <w:lang w:eastAsia="lv-LV"/>
              </w:rPr>
              <w:t xml:space="preserve">veicinātu kredītiestāžu darbības atbilstību </w:t>
            </w:r>
            <w:r w:rsidR="0074552A" w:rsidRPr="00A917E4">
              <w:rPr>
                <w:rFonts w:cs="Times New Roman"/>
              </w:rPr>
              <w:t>n</w:t>
            </w:r>
            <w:r w:rsidR="00811669" w:rsidRPr="00A917E4">
              <w:rPr>
                <w:rFonts w:cs="Times New Roman"/>
              </w:rPr>
              <w:t>oziedzīgi iegūtu līdzekļu legalizācijas un terorisma finansēšanas novēršanas</w:t>
            </w:r>
            <w:r w:rsidR="0074552A" w:rsidRPr="00A917E4">
              <w:rPr>
                <w:rFonts w:cs="Times New Roman"/>
              </w:rPr>
              <w:t xml:space="preserve"> (turpmāk - NILLTFN)</w:t>
            </w:r>
            <w:r w:rsidR="00811669" w:rsidRPr="00A917E4">
              <w:rPr>
                <w:rFonts w:cs="Times New Roman"/>
              </w:rPr>
              <w:t xml:space="preserve"> prasīb</w:t>
            </w:r>
            <w:r w:rsidR="0074552A" w:rsidRPr="00A917E4">
              <w:rPr>
                <w:rFonts w:cs="Times New Roman"/>
              </w:rPr>
              <w:t>ām</w:t>
            </w:r>
            <w:r w:rsidR="00811669" w:rsidRPr="00A917E4">
              <w:rPr>
                <w:rFonts w:cs="Times New Roman"/>
              </w:rPr>
              <w:t xml:space="preserve"> un </w:t>
            </w:r>
            <w:r w:rsidR="00811669" w:rsidRPr="00A917E4">
              <w:t>izvirzītu par noziedzīgi iegūtu līdzekļu legalizācijas un terorisma finansēšanas novēršanas prasību izpildi atbildīgajām personām</w:t>
            </w:r>
            <w:r w:rsidR="00A85934" w:rsidRPr="00A917E4">
              <w:t xml:space="preserve"> kredītiestādēs</w:t>
            </w:r>
            <w:r w:rsidR="00811669" w:rsidRPr="00A917E4">
              <w:t xml:space="preserve"> paaugstinātas atbilstības prasības.</w:t>
            </w:r>
          </w:p>
          <w:p w:rsidR="00A917E4" w:rsidRDefault="00287EC9" w:rsidP="00C43093">
            <w:pPr>
              <w:pStyle w:val="Style6"/>
              <w:spacing w:line="240" w:lineRule="auto"/>
              <w:ind w:right="17"/>
              <w:jc w:val="both"/>
              <w:rPr>
                <w:bCs/>
              </w:rPr>
            </w:pPr>
            <w:r w:rsidRPr="00A917E4">
              <w:rPr>
                <w:rFonts w:eastAsia="Times New Roman"/>
              </w:rPr>
              <w:t xml:space="preserve">Ziņojumā tiek norādīts, ka </w:t>
            </w:r>
            <w:r w:rsidRPr="00A917E4">
              <w:t xml:space="preserve">pastāv bažas, ka atbildīgās personas par </w:t>
            </w:r>
            <w:r w:rsidR="00592EC4">
              <w:t>NILLTFN</w:t>
            </w:r>
            <w:r w:rsidRPr="00A917E4">
              <w:t xml:space="preserve"> likuma pārkāpumiem netiek pienācīgi sodītas. </w:t>
            </w:r>
            <w:r w:rsidR="00811669" w:rsidRPr="00A917E4">
              <w:t>Ziņojuma 106. punktā tiek norādīts: “</w:t>
            </w:r>
            <w:r w:rsidR="00811669" w:rsidRPr="00A917E4">
              <w:rPr>
                <w:rStyle w:val="FontStyle16"/>
              </w:rPr>
              <w:t xml:space="preserve">Masu mēdiji ziņoja par apgalvojumiem, ka ārvalstu amatpersonas atmazgājušas vismaz EUR 63 miljonus ienākumu no nodokļu krāpšanas, izmantojot nerezidentu bankas </w:t>
            </w:r>
            <w:r w:rsidR="00811669" w:rsidRPr="00A917E4">
              <w:softHyphen/>
            </w:r>
            <w:r w:rsidR="00811669" w:rsidRPr="00A917E4">
              <w:rPr>
                <w:rStyle w:val="FontStyle16"/>
              </w:rPr>
              <w:t xml:space="preserve">kontus Latvijā. 2013. gadā FKTK piemēroja bankai soda naudu EUR 142 000 apmērā, kas ir maksimālais pieejamais apmērs, saistībā ar šo lietu par AMLTFL pārkāpumu. (Piecas citas Latvijas bankas, par kurām arī tika apgalvots, ka caur tām atmazgāti ienākumi šajā pat lietā, netika sodītas, jo netika uzskatīts, ka tās pārkāpušas AMLTFL). Maksimālā soda nauda bija tikusi piemērota sešos iepriekšējos gadījumos, kas norāda, ka tā ir pārāk maza. Personai </w:t>
            </w:r>
            <w:r w:rsidR="00811669" w:rsidRPr="00A917E4">
              <w:rPr>
                <w:rStyle w:val="FontStyle13"/>
                <w:spacing w:val="30"/>
              </w:rPr>
              <w:t>(piem.</w:t>
            </w:r>
            <w:r w:rsidR="00811669" w:rsidRPr="00A917E4">
              <w:rPr>
                <w:rStyle w:val="FontStyle13"/>
              </w:rPr>
              <w:t xml:space="preserve"> </w:t>
            </w:r>
            <w:r w:rsidR="00811669" w:rsidRPr="00A917E4">
              <w:rPr>
                <w:rStyle w:val="FontStyle16"/>
              </w:rPr>
              <w:t>bankas darbiniekam), kas neziņo par aizdomām par naudas atmazgāšanu, var piemērot naudas sodu tikai līdz EUR 350 apmērā) (Administratīvo pārkāpumu kodeksa 165. pants</w:t>
            </w:r>
            <w:r w:rsidR="00811669" w:rsidRPr="00A917E4">
              <w:rPr>
                <w:rStyle w:val="FontStyle16"/>
                <w:vertAlign w:val="superscript"/>
              </w:rPr>
              <w:t>4</w:t>
            </w:r>
            <w:r w:rsidR="00811669" w:rsidRPr="00A917E4">
              <w:rPr>
                <w:rStyle w:val="FontStyle16"/>
              </w:rPr>
              <w:t xml:space="preserve">). Nevienam finanšu institūciju darbiniekam vai amatpersonai nav piemērotas sankcijas par palīdzību vai sadarbību naudas atmazgāšanā kopš vismaz 2010. gada. 2014. gadā maksimālie naudas sodi tika paaugstināti līdz 10% no juridiskās personas apgrozījuma iepriekšējā gadā un līdz EUR 5 miljoni pret fiziskām personām. Kā tas aprakstīts 62. lpp., naudas atmazgāšana kā krimināls nodarījums arī tiek sodīta </w:t>
            </w:r>
            <w:r w:rsidR="00811669" w:rsidRPr="00A917E4">
              <w:rPr>
                <w:rStyle w:val="FontStyle16"/>
              </w:rPr>
              <w:lastRenderedPageBreak/>
              <w:t>neatbilstoši.”</w:t>
            </w:r>
            <w:r w:rsidR="00A85934" w:rsidRPr="00A917E4">
              <w:rPr>
                <w:rStyle w:val="FootnoteReference"/>
                <w:color w:val="000000"/>
              </w:rPr>
              <w:footnoteReference w:id="1"/>
            </w:r>
            <w:r w:rsidR="00C43093" w:rsidRPr="00A917E4">
              <w:rPr>
                <w:rStyle w:val="FontStyle16"/>
              </w:rPr>
              <w:t xml:space="preserve"> Tādējādi ir nepieciešams palielināt sankcijas, lai   efektīvāk cīnītos ar </w:t>
            </w:r>
            <w:r w:rsidR="00C45875" w:rsidRPr="00A917E4">
              <w:rPr>
                <w:rStyle w:val="FontStyle16"/>
              </w:rPr>
              <w:t>NILLTFN</w:t>
            </w:r>
            <w:r w:rsidR="00C43093" w:rsidRPr="00A917E4">
              <w:rPr>
                <w:rStyle w:val="FontStyle16"/>
              </w:rPr>
              <w:t xml:space="preserve"> prasību pārkāpumiem. Apjomīgu naudas sodu piemērošana ir viens no veidiem, lai praksē padarītu vēl vairāk ekonomiski neizdevīgu Latvijas Republikas finanšu sistēmu noziedzīgi iegūtu līdzekļu legalizācijai un terorisma finansēšanai. </w:t>
            </w:r>
          </w:p>
          <w:p w:rsidR="0077312A" w:rsidRPr="00A917E4" w:rsidRDefault="00A85934" w:rsidP="00C43093">
            <w:pPr>
              <w:pStyle w:val="Style6"/>
              <w:spacing w:line="240" w:lineRule="auto"/>
              <w:ind w:right="17"/>
              <w:jc w:val="both"/>
              <w:rPr>
                <w:bCs/>
              </w:rPr>
            </w:pPr>
            <w:r w:rsidRPr="00A917E4">
              <w:t xml:space="preserve">Ievērojot esošās situācijas problemātiku un starptautisko novērtējumu, </w:t>
            </w:r>
            <w:r w:rsidR="00FE7909" w:rsidRPr="00A917E4">
              <w:t>kā arī to, ka daļa Latvijas finanšu sektora apkalpo nerezidentus un šādu klientu apkalpošana ir saistīta ar paaugstinātu noziedzīgi iegūtu līdzekļu legalizācijas un terorisma finansēšanas risku, ir nepieciešams noteikt efektīvas sankcijas NILLTFN jomā, palielinot soda naudas apmēru par pārkāpumiem.</w:t>
            </w:r>
            <w:r w:rsidR="0082030E" w:rsidRPr="00A917E4">
              <w:t xml:space="preserve"> </w:t>
            </w:r>
            <w:r w:rsidR="005065CE" w:rsidRPr="00A917E4">
              <w:rPr>
                <w:bCs/>
              </w:rPr>
              <w:t xml:space="preserve">Sankciju paaugstināšana nepieciešama, lai nodrošinātu </w:t>
            </w:r>
            <w:r w:rsidR="00C45875" w:rsidRPr="00A917E4">
              <w:rPr>
                <w:bCs/>
              </w:rPr>
              <w:t>Finanšu un kapitāla tirgus komisijas (turpmāk – Komisija)</w:t>
            </w:r>
            <w:r w:rsidR="005065CE" w:rsidRPr="00A917E4">
              <w:rPr>
                <w:bCs/>
              </w:rPr>
              <w:t xml:space="preserve"> tiesības gadījumos, kad konstatēti būtiski pārkāpumi noziedzīgi iegūtu līdzekļu legalizācijas novēršanas normatīvo aktu prasību ievērošanā, piemērot efektīvas un atturošas sankcijas. </w:t>
            </w:r>
            <w:r w:rsidR="005065CE" w:rsidRPr="00A917E4">
              <w:t xml:space="preserve">Tādējādi </w:t>
            </w:r>
            <w:r w:rsidR="005065CE" w:rsidRPr="00A917E4">
              <w:rPr>
                <w:bCs/>
              </w:rPr>
              <w:t>l</w:t>
            </w:r>
            <w:r w:rsidR="00EF50BD" w:rsidRPr="00A917E4">
              <w:rPr>
                <w:bCs/>
              </w:rPr>
              <w:t xml:space="preserve">ikumprojekts ir izstrādāts, lai paaugstinātu administratīvās sankcijas kredītiestādēm par darbībām, kuru rezultātā ir pārkāptas normatīvo aktu prasības attiecībā uz </w:t>
            </w:r>
            <w:r w:rsidR="00B15322">
              <w:rPr>
                <w:bCs/>
              </w:rPr>
              <w:t>NILLTFN</w:t>
            </w:r>
            <w:r w:rsidR="00EF50BD" w:rsidRPr="00A917E4">
              <w:rPr>
                <w:bCs/>
              </w:rPr>
              <w:t xml:space="preserve"> un normatīvo aktu prasības attiecībā uz starptautiskajām vai nacionālajām sankcijām, kas nosaka finanšu ierobežojumus</w:t>
            </w:r>
            <w:r w:rsidR="0082030E" w:rsidRPr="00A917E4">
              <w:rPr>
                <w:bCs/>
              </w:rPr>
              <w:t>, kas kalpos tai skaitā kā preventīvs līdzeklis</w:t>
            </w:r>
            <w:r w:rsidR="00EF50BD" w:rsidRPr="00A917E4">
              <w:rPr>
                <w:bCs/>
              </w:rPr>
              <w:t xml:space="preserve">. </w:t>
            </w:r>
            <w:r w:rsidR="005065CE" w:rsidRPr="00A917E4">
              <w:rPr>
                <w:bCs/>
              </w:rPr>
              <w:t xml:space="preserve"> </w:t>
            </w:r>
          </w:p>
          <w:p w:rsidR="00161B7A" w:rsidRPr="00A917E4" w:rsidRDefault="00161B7A" w:rsidP="00161B7A">
            <w:pPr>
              <w:jc w:val="both"/>
            </w:pPr>
            <w:r w:rsidRPr="00A917E4">
              <w:t xml:space="preserve">Starptautisko un Latvijas Republikas nacionālo sankciju likumu pārkāpumi tāpat kā pārkāpumi </w:t>
            </w:r>
            <w:r w:rsidR="00B15322">
              <w:t>NILLTFN</w:t>
            </w:r>
            <w:r w:rsidRPr="00A917E4">
              <w:t xml:space="preserve"> jomā atstāj būtisku negatīvu ietekmi ne tikai uz Latvijas finanšu sektoru, bet arī Latvijas Republikas starptautisko reputāciju, tāpēc arī par šāda veida pārkāpumiem nepieciešams piemērot atturošas un atbilstoša apmēra sankcijas.</w:t>
            </w:r>
          </w:p>
          <w:p w:rsidR="00AE6270" w:rsidRPr="00A917E4" w:rsidRDefault="00161B7A" w:rsidP="00D367A3">
            <w:pPr>
              <w:jc w:val="both"/>
            </w:pPr>
            <w:r w:rsidRPr="00A917E4">
              <w:t>G</w:t>
            </w:r>
            <w:r w:rsidR="00D367A3" w:rsidRPr="00A917E4">
              <w:t xml:space="preserve">rozījumi izstrādāti saskaņā ar </w:t>
            </w:r>
            <w:r w:rsidR="00C12683" w:rsidRPr="00A917E4">
              <w:t>Direktīvas</w:t>
            </w:r>
            <w:r w:rsidR="00D367A3" w:rsidRPr="00A917E4">
              <w:t xml:space="preserve"> </w:t>
            </w:r>
            <w:r w:rsidR="00D30295" w:rsidRPr="00A917E4">
              <w:t xml:space="preserve">59. panta </w:t>
            </w:r>
            <w:r w:rsidR="00D367A3" w:rsidRPr="00A917E4">
              <w:t>noteikumiem kā arī FATF (</w:t>
            </w:r>
            <w:proofErr w:type="spellStart"/>
            <w:r w:rsidR="00D367A3" w:rsidRPr="00A917E4">
              <w:rPr>
                <w:i/>
              </w:rPr>
              <w:t>Financial</w:t>
            </w:r>
            <w:proofErr w:type="spellEnd"/>
            <w:r w:rsidR="00D367A3" w:rsidRPr="00A917E4">
              <w:rPr>
                <w:i/>
              </w:rPr>
              <w:t xml:space="preserve"> </w:t>
            </w:r>
            <w:proofErr w:type="spellStart"/>
            <w:r w:rsidR="00D367A3" w:rsidRPr="00A917E4">
              <w:rPr>
                <w:i/>
              </w:rPr>
              <w:t>Action</w:t>
            </w:r>
            <w:proofErr w:type="spellEnd"/>
            <w:r w:rsidR="00D367A3" w:rsidRPr="00A917E4">
              <w:rPr>
                <w:i/>
              </w:rPr>
              <w:t xml:space="preserve"> </w:t>
            </w:r>
            <w:proofErr w:type="spellStart"/>
            <w:r w:rsidR="00D367A3" w:rsidRPr="00A917E4">
              <w:rPr>
                <w:i/>
              </w:rPr>
              <w:t>Task</w:t>
            </w:r>
            <w:proofErr w:type="spellEnd"/>
            <w:r w:rsidR="00D367A3" w:rsidRPr="00A917E4">
              <w:rPr>
                <w:i/>
              </w:rPr>
              <w:t xml:space="preserve"> </w:t>
            </w:r>
            <w:proofErr w:type="spellStart"/>
            <w:r w:rsidR="00D367A3" w:rsidRPr="00A917E4">
              <w:rPr>
                <w:i/>
              </w:rPr>
              <w:t>Force</w:t>
            </w:r>
            <w:proofErr w:type="spellEnd"/>
            <w:r w:rsidR="00D367A3" w:rsidRPr="00A917E4">
              <w:t xml:space="preserve">) 35. rekomendācijai, kas paredz, ka valstīm jānodrošina virkne efektīvu, samērīgu un atturošu sankciju, kuras var piemērot personām, kas nepilda </w:t>
            </w:r>
            <w:r w:rsidR="00B15322">
              <w:t>NILLTFN</w:t>
            </w:r>
            <w:r w:rsidR="00D367A3" w:rsidRPr="00A917E4">
              <w:t xml:space="preserve"> prasības. Sankcijām jābūt piemērojamām ne vien finanšu iestādēm, bet arī to direktoriem un augstākajai vadībai</w:t>
            </w:r>
            <w:r w:rsidR="00AE6270" w:rsidRPr="00A917E4">
              <w:t xml:space="preserve"> (angļu valodā – </w:t>
            </w:r>
            <w:r w:rsidR="00AE6270" w:rsidRPr="00A917E4">
              <w:rPr>
                <w:i/>
              </w:rPr>
              <w:t xml:space="preserve">senior </w:t>
            </w:r>
            <w:proofErr w:type="spellStart"/>
            <w:r w:rsidR="00AE6270" w:rsidRPr="00A917E4">
              <w:rPr>
                <w:i/>
              </w:rPr>
              <w:t>management</w:t>
            </w:r>
            <w:proofErr w:type="spellEnd"/>
            <w:r w:rsidR="00AE6270" w:rsidRPr="00A917E4">
              <w:t>).</w:t>
            </w:r>
          </w:p>
          <w:p w:rsidR="0077312A" w:rsidRPr="00A917E4" w:rsidRDefault="00EF50BD" w:rsidP="00AE6270">
            <w:pPr>
              <w:jc w:val="both"/>
            </w:pPr>
            <w:r w:rsidRPr="00A917E4">
              <w:t xml:space="preserve">Likumprojekts paredz palielināt kredītiestādēm piemērojamo maksimālo soda naudu no 10 procentiem no iepriekšējā finanšu gada neto ienākumu summas līdz 10 procentiem no kopējā gada apgrozījuma saskaņā ar pēdējiem pieejamajiem pārskatiem. Vienlaikus arī palielināts iespējamais maksimālās soda naudas apmērs no 142 300 </w:t>
            </w:r>
            <w:proofErr w:type="spellStart"/>
            <w:r w:rsidRPr="00A917E4">
              <w:rPr>
                <w:i/>
              </w:rPr>
              <w:t>euro</w:t>
            </w:r>
            <w:proofErr w:type="spellEnd"/>
            <w:r w:rsidRPr="00A917E4">
              <w:rPr>
                <w:i/>
              </w:rPr>
              <w:t xml:space="preserve"> </w:t>
            </w:r>
            <w:r w:rsidRPr="00A917E4">
              <w:t xml:space="preserve">līdz pieciem miljoniem </w:t>
            </w:r>
            <w:proofErr w:type="spellStart"/>
            <w:r w:rsidRPr="00A917E4">
              <w:rPr>
                <w:i/>
              </w:rPr>
              <w:t>euro</w:t>
            </w:r>
            <w:proofErr w:type="spellEnd"/>
            <w:r w:rsidRPr="00A917E4">
              <w:t xml:space="preserve">.  </w:t>
            </w:r>
          </w:p>
          <w:p w:rsidR="0077312A" w:rsidRPr="00A917E4" w:rsidRDefault="0077312A" w:rsidP="0077312A">
            <w:pPr>
              <w:jc w:val="both"/>
              <w:rPr>
                <w:rFonts w:cs="Times New Roman"/>
                <w:szCs w:val="24"/>
              </w:rPr>
            </w:pPr>
            <w:r w:rsidRPr="00A917E4">
              <w:rPr>
                <w:szCs w:val="24"/>
              </w:rPr>
              <w:t xml:space="preserve">Likumprojekts paredz, ka </w:t>
            </w:r>
            <w:r w:rsidRPr="00A917E4">
              <w:rPr>
                <w:rFonts w:cs="Times New Roman"/>
                <w:szCs w:val="24"/>
              </w:rPr>
              <w:t xml:space="preserve">par darbībām, kuru rezultātā ir pārkāptas normatīvo aktu prasības attiecībā uz </w:t>
            </w:r>
            <w:r w:rsidR="00B15322">
              <w:rPr>
                <w:rFonts w:cs="Times New Roman"/>
                <w:szCs w:val="24"/>
              </w:rPr>
              <w:t>NILLTFN</w:t>
            </w:r>
            <w:r w:rsidRPr="00A917E4">
              <w:rPr>
                <w:rFonts w:cs="Times New Roman"/>
                <w:szCs w:val="24"/>
              </w:rPr>
              <w:t xml:space="preserve"> </w:t>
            </w:r>
            <w:r w:rsidR="009736D1" w:rsidRPr="00A917E4">
              <w:rPr>
                <w:rFonts w:cs="Times New Roman"/>
                <w:szCs w:val="24"/>
              </w:rPr>
              <w:t>K</w:t>
            </w:r>
            <w:r w:rsidRPr="00A917E4">
              <w:rPr>
                <w:rFonts w:cs="Times New Roman"/>
                <w:szCs w:val="24"/>
              </w:rPr>
              <w:t>omisija ir tiesīga:</w:t>
            </w:r>
          </w:p>
          <w:p w:rsidR="0077312A" w:rsidRPr="00A917E4" w:rsidRDefault="0077312A" w:rsidP="0077312A">
            <w:pPr>
              <w:pStyle w:val="ListParagraph"/>
              <w:numPr>
                <w:ilvl w:val="0"/>
                <w:numId w:val="1"/>
              </w:numPr>
              <w:jc w:val="both"/>
              <w:rPr>
                <w:szCs w:val="24"/>
              </w:rPr>
            </w:pPr>
            <w:r w:rsidRPr="00A917E4">
              <w:rPr>
                <w:rFonts w:cs="Times New Roman"/>
                <w:szCs w:val="24"/>
              </w:rPr>
              <w:lastRenderedPageBreak/>
              <w:t xml:space="preserve">uzlikt kredītiestādei soda naudu līdz 10 procentiem no kopējā gada apgrozījuma saskaņā ar pēdējiem pieejamajiem pārskatiem, kurus apstiprinājusi vadības struktūra. Ja 10 procenti no kopējā gada apgrozījuma ir mazāk par pieciem miljoniem </w:t>
            </w:r>
            <w:proofErr w:type="spellStart"/>
            <w:r w:rsidRPr="00A917E4">
              <w:rPr>
                <w:rFonts w:cs="Times New Roman"/>
                <w:i/>
                <w:szCs w:val="24"/>
              </w:rPr>
              <w:t>euro</w:t>
            </w:r>
            <w:proofErr w:type="spellEnd"/>
            <w:r w:rsidRPr="00A917E4">
              <w:rPr>
                <w:rFonts w:cs="Times New Roman"/>
                <w:szCs w:val="24"/>
              </w:rPr>
              <w:t xml:space="preserve">, tad Finanšu un kapitāla tirgus komisija ir tiesīga uzlikt soda naudu līdz pieciem miljoniem </w:t>
            </w:r>
            <w:proofErr w:type="spellStart"/>
            <w:r w:rsidRPr="00A917E4">
              <w:rPr>
                <w:rFonts w:cs="Times New Roman"/>
                <w:i/>
                <w:szCs w:val="24"/>
              </w:rPr>
              <w:t>euro</w:t>
            </w:r>
            <w:proofErr w:type="spellEnd"/>
            <w:r w:rsidRPr="00A917E4">
              <w:rPr>
                <w:rFonts w:cs="Times New Roman"/>
                <w:szCs w:val="24"/>
              </w:rPr>
              <w:t xml:space="preserve">. </w:t>
            </w:r>
          </w:p>
          <w:p w:rsidR="0077312A" w:rsidRPr="00A917E4" w:rsidRDefault="0077312A" w:rsidP="0077312A">
            <w:pPr>
              <w:pStyle w:val="ListParagraph"/>
              <w:numPr>
                <w:ilvl w:val="0"/>
                <w:numId w:val="1"/>
              </w:numPr>
              <w:jc w:val="both"/>
              <w:rPr>
                <w:szCs w:val="24"/>
              </w:rPr>
            </w:pPr>
            <w:r w:rsidRPr="00A917E4">
              <w:rPr>
                <w:rFonts w:cs="Times New Roman"/>
                <w:szCs w:val="24"/>
              </w:rPr>
              <w:t xml:space="preserve">uzlikt par pārkāpumu atbildīgajai fiziskajai personai soda naudu līdz pieciem miljoniem </w:t>
            </w:r>
            <w:proofErr w:type="spellStart"/>
            <w:r w:rsidRPr="00A917E4">
              <w:rPr>
                <w:rFonts w:cs="Times New Roman"/>
                <w:i/>
                <w:szCs w:val="24"/>
              </w:rPr>
              <w:t>euro</w:t>
            </w:r>
            <w:proofErr w:type="spellEnd"/>
            <w:r w:rsidRPr="00A917E4">
              <w:rPr>
                <w:rFonts w:cs="Times New Roman"/>
                <w:szCs w:val="24"/>
              </w:rPr>
              <w:t>.</w:t>
            </w:r>
          </w:p>
          <w:p w:rsidR="0077312A" w:rsidRPr="00A917E4" w:rsidRDefault="0077312A" w:rsidP="0077312A">
            <w:pPr>
              <w:pStyle w:val="ListParagraph"/>
              <w:numPr>
                <w:ilvl w:val="0"/>
                <w:numId w:val="1"/>
              </w:numPr>
              <w:jc w:val="both"/>
              <w:rPr>
                <w:szCs w:val="24"/>
              </w:rPr>
            </w:pPr>
            <w:r w:rsidRPr="00A917E4">
              <w:rPr>
                <w:rFonts w:cs="Times New Roman"/>
                <w:szCs w:val="24"/>
              </w:rPr>
              <w:t xml:space="preserve"> uzlikt soda naudu līdz pārkāpuma rezultātā gūto ienākumu divkāršam apmēram;</w:t>
            </w:r>
          </w:p>
          <w:p w:rsidR="0077312A" w:rsidRPr="00A917E4" w:rsidRDefault="0077312A" w:rsidP="0077312A">
            <w:pPr>
              <w:pStyle w:val="ListParagraph"/>
              <w:numPr>
                <w:ilvl w:val="0"/>
                <w:numId w:val="1"/>
              </w:numPr>
              <w:jc w:val="both"/>
              <w:rPr>
                <w:rFonts w:cs="Times New Roman"/>
                <w:szCs w:val="24"/>
              </w:rPr>
            </w:pPr>
            <w:r w:rsidRPr="00A917E4">
              <w:rPr>
                <w:rFonts w:cs="Times New Roman"/>
                <w:szCs w:val="24"/>
              </w:rPr>
              <w:t>piemērot Kredītiestāžu likuma 113. un 196. pantā minētās sankcijas un pasākumus</w:t>
            </w:r>
            <w:r w:rsidR="005065CE" w:rsidRPr="00A917E4">
              <w:rPr>
                <w:rFonts w:cs="Times New Roman"/>
                <w:szCs w:val="24"/>
              </w:rPr>
              <w:t xml:space="preserve"> (</w:t>
            </w:r>
            <w:r w:rsidR="00761D5F" w:rsidRPr="00A917E4">
              <w:rPr>
                <w:rFonts w:cs="Times New Roman"/>
                <w:szCs w:val="24"/>
              </w:rPr>
              <w:t xml:space="preserve">piemēram </w:t>
            </w:r>
            <w:r w:rsidR="00761D5F" w:rsidRPr="00A917E4">
              <w:rPr>
                <w:rFonts w:cs="Times New Roman"/>
              </w:rPr>
              <w:t xml:space="preserve">izteikt brīdinājumu, noteikt kredītiestādes tiesību un darbības ierobežojumus u.c.) </w:t>
            </w:r>
            <w:r w:rsidRPr="00A917E4">
              <w:rPr>
                <w:rFonts w:cs="Times New Roman"/>
                <w:szCs w:val="24"/>
              </w:rPr>
              <w:t>.</w:t>
            </w:r>
          </w:p>
          <w:p w:rsidR="009736D1" w:rsidRPr="00A917E4" w:rsidRDefault="0077312A" w:rsidP="00A917E4">
            <w:pPr>
              <w:jc w:val="both"/>
              <w:rPr>
                <w:rFonts w:cs="Times New Roman"/>
                <w:szCs w:val="24"/>
              </w:rPr>
            </w:pPr>
            <w:r w:rsidRPr="00A917E4">
              <w:rPr>
                <w:rFonts w:cs="Times New Roman"/>
                <w:szCs w:val="24"/>
              </w:rPr>
              <w:t xml:space="preserve">Likumprojektā </w:t>
            </w:r>
            <w:r w:rsidR="00C12683" w:rsidRPr="00A917E4">
              <w:rPr>
                <w:rFonts w:cs="Times New Roman"/>
                <w:szCs w:val="24"/>
              </w:rPr>
              <w:t xml:space="preserve">6. panta trešajā daļā </w:t>
            </w:r>
            <w:r w:rsidRPr="00A917E4">
              <w:rPr>
                <w:rFonts w:cs="Times New Roman"/>
                <w:szCs w:val="24"/>
              </w:rPr>
              <w:t>tiek lietots jēdziens "ienākums", attiecinot to uz sankcijas apmēra noteikšanu, lai nodrošinātu normatīvajos aktos lietoto jēdzienu saskaņotību ar pašreiz spēkā esošo Kredītiestāžu likuma 198. panta 3.</w:t>
            </w:r>
            <w:r w:rsidR="00422AAA" w:rsidRPr="00A917E4">
              <w:rPr>
                <w:rFonts w:cs="Times New Roman"/>
                <w:szCs w:val="24"/>
              </w:rPr>
              <w:t xml:space="preserve"> </w:t>
            </w:r>
            <w:r w:rsidRPr="00A917E4">
              <w:rPr>
                <w:rFonts w:cs="Times New Roman"/>
                <w:szCs w:val="24"/>
              </w:rPr>
              <w:t>punktu. Arī citos normatīvajos aktos (Finanšu inst</w:t>
            </w:r>
            <w:r w:rsidR="00422AAA" w:rsidRPr="00A917E4">
              <w:rPr>
                <w:rFonts w:cs="Times New Roman"/>
                <w:szCs w:val="24"/>
              </w:rPr>
              <w:t>rumentu tirgus likuma</w:t>
            </w:r>
            <w:r w:rsidRPr="00A917E4">
              <w:rPr>
                <w:rFonts w:cs="Times New Roman"/>
                <w:szCs w:val="24"/>
              </w:rPr>
              <w:t xml:space="preserve"> 148.</w:t>
            </w:r>
            <w:r w:rsidR="00C45875" w:rsidRPr="00A917E4">
              <w:rPr>
                <w:rFonts w:cs="Times New Roman"/>
                <w:szCs w:val="24"/>
              </w:rPr>
              <w:t xml:space="preserve"> </w:t>
            </w:r>
            <w:r w:rsidRPr="00A917E4">
              <w:rPr>
                <w:rFonts w:cs="Times New Roman"/>
                <w:szCs w:val="24"/>
              </w:rPr>
              <w:t>panta 15.daļas 6. punkts) tiek lietots jēdziens "ienākums".</w:t>
            </w:r>
          </w:p>
          <w:p w:rsidR="0077312A" w:rsidRPr="00A917E4" w:rsidRDefault="0077312A" w:rsidP="009736D1">
            <w:pPr>
              <w:ind w:left="60"/>
              <w:jc w:val="both"/>
              <w:rPr>
                <w:rFonts w:cs="Times New Roman"/>
                <w:szCs w:val="24"/>
              </w:rPr>
            </w:pPr>
            <w:r w:rsidRPr="00A917E4">
              <w:rPr>
                <w:rFonts w:cs="Times New Roman"/>
                <w:szCs w:val="24"/>
              </w:rPr>
              <w:t>Direktīvas 59. panta trešā daļa paredz dalībvalstīm iespēju attiecībā uz kredītiestādēm piemērot speciālo regulējumu, nosakot sankciju apmēru.</w:t>
            </w:r>
            <w:r w:rsidR="009736D1" w:rsidRPr="00A917E4">
              <w:rPr>
                <w:rFonts w:cs="Times New Roman"/>
                <w:szCs w:val="24"/>
              </w:rPr>
              <w:t xml:space="preserve"> Attiecībā uz kredītiestādēm saskaņā ar Direktīvas 59. panta trešo daļu ir attiecināms limits "pieci miljoni </w:t>
            </w:r>
            <w:proofErr w:type="spellStart"/>
            <w:r w:rsidR="009736D1" w:rsidRPr="00A917E4">
              <w:rPr>
                <w:rFonts w:cs="Times New Roman"/>
                <w:szCs w:val="24"/>
              </w:rPr>
              <w:t>euro</w:t>
            </w:r>
            <w:proofErr w:type="spellEnd"/>
            <w:r w:rsidR="009736D1" w:rsidRPr="00A917E4">
              <w:rPr>
                <w:rFonts w:cs="Times New Roman"/>
                <w:szCs w:val="24"/>
              </w:rPr>
              <w:t>"</w:t>
            </w:r>
            <w:r w:rsidRPr="00A917E4">
              <w:rPr>
                <w:rFonts w:cs="Times New Roman"/>
                <w:szCs w:val="24"/>
              </w:rPr>
              <w:t xml:space="preserve"> Ievērojot minēto likumprojekts paredz  tiesības Komisijai uzlikt soda naudu līdz pārkāpuma rezultātā gūto ienākumu divkāršam apmēram</w:t>
            </w:r>
            <w:r w:rsidR="009736D1" w:rsidRPr="00A917E4">
              <w:rPr>
                <w:rFonts w:cs="Times New Roman"/>
                <w:szCs w:val="24"/>
              </w:rPr>
              <w:t xml:space="preserve">, apzināti izvairoties no formulējuma  "vai līdz vienam miljonam </w:t>
            </w:r>
            <w:proofErr w:type="spellStart"/>
            <w:r w:rsidR="009736D1" w:rsidRPr="00A917E4">
              <w:rPr>
                <w:rFonts w:cs="Times New Roman"/>
                <w:szCs w:val="24"/>
              </w:rPr>
              <w:t>euro</w:t>
            </w:r>
            <w:proofErr w:type="spellEnd"/>
            <w:r w:rsidR="009736D1" w:rsidRPr="00A917E4">
              <w:rPr>
                <w:rFonts w:cs="Times New Roman"/>
                <w:szCs w:val="24"/>
              </w:rPr>
              <w:t xml:space="preserve">" lietošanas, </w:t>
            </w:r>
            <w:r w:rsidR="00C21C53" w:rsidRPr="00A917E4">
              <w:rPr>
                <w:rFonts w:cs="Times New Roman"/>
                <w:szCs w:val="24"/>
              </w:rPr>
              <w:t>kas</w:t>
            </w:r>
            <w:r w:rsidR="009736D1" w:rsidRPr="00A917E4">
              <w:rPr>
                <w:rFonts w:cs="Times New Roman"/>
                <w:szCs w:val="24"/>
              </w:rPr>
              <w:t xml:space="preserve"> ir attiecināms vispārīgi uz visiem </w:t>
            </w:r>
            <w:r w:rsidR="00422AAA" w:rsidRPr="00A917E4">
              <w:rPr>
                <w:rFonts w:cs="Times New Roman"/>
                <w:szCs w:val="24"/>
              </w:rPr>
              <w:t xml:space="preserve">NILLTFN </w:t>
            </w:r>
            <w:r w:rsidR="009736D1" w:rsidRPr="00A917E4">
              <w:rPr>
                <w:rFonts w:cs="Times New Roman"/>
                <w:szCs w:val="24"/>
              </w:rPr>
              <w:t xml:space="preserve">likuma subjektiem. </w:t>
            </w:r>
            <w:r w:rsidR="00C21C53" w:rsidRPr="00A917E4">
              <w:rPr>
                <w:rFonts w:cs="Times New Roman"/>
                <w:szCs w:val="24"/>
              </w:rPr>
              <w:t>Tādējādi būs iespēja izvairīties</w:t>
            </w:r>
            <w:r w:rsidR="009736D1" w:rsidRPr="00A917E4">
              <w:rPr>
                <w:rFonts w:cs="Times New Roman"/>
                <w:szCs w:val="24"/>
              </w:rPr>
              <w:t xml:space="preserve"> no interpretācijas, ka soda aprēķins no pārkāpuma rezultātā gūtā ienākuma tiek uzskatīts par primāro un to kā saudzējošāko sankciju nepieciešams piemērot kredītiestādei arī gadījumā, ja ienākumu summa ir mazāka par pieciem miljoniem eiro. </w:t>
            </w:r>
          </w:p>
          <w:p w:rsidR="002704BB" w:rsidRPr="00A917E4" w:rsidRDefault="006D4305" w:rsidP="00A917E4">
            <w:pPr>
              <w:jc w:val="both"/>
            </w:pPr>
            <w:r w:rsidRPr="00A917E4">
              <w:t>S</w:t>
            </w:r>
            <w:r w:rsidR="00AE6270" w:rsidRPr="00A917E4">
              <w:t>askaņā ar izstrādāto likumprojektu "Grozījumi Noziedzīgi iegūtu līdzekļu legalizācijas un terorisma finansēšanas novēršanas likumā" ir paredzēts</w:t>
            </w:r>
            <w:r w:rsidR="00422AAA" w:rsidRPr="00A917E4">
              <w:t xml:space="preserve"> papildināt minētā likuma 10.</w:t>
            </w:r>
            <w:r w:rsidR="00761D5F" w:rsidRPr="00A917E4">
              <w:t xml:space="preserve"> </w:t>
            </w:r>
            <w:r w:rsidR="00422AAA" w:rsidRPr="00A917E4">
              <w:t>pantu</w:t>
            </w:r>
            <w:r w:rsidR="00AE6270" w:rsidRPr="00A917E4">
              <w:t xml:space="preserve"> ar jaunu </w:t>
            </w:r>
            <w:r w:rsidR="00422AAA" w:rsidRPr="00A917E4">
              <w:t>2</w:t>
            </w:r>
            <w:r w:rsidR="00AE6270" w:rsidRPr="00A917E4">
              <w:t>.</w:t>
            </w:r>
            <w:r w:rsidR="00AE6270" w:rsidRPr="00A917E4">
              <w:rPr>
                <w:vertAlign w:val="superscript"/>
              </w:rPr>
              <w:t>1</w:t>
            </w:r>
            <w:r w:rsidR="00AE6270" w:rsidRPr="00A917E4">
              <w:t xml:space="preserve"> daļu, kas paredz, ka kredītiestāde izstrādā procedūru, kurā skaidri norāda atbildīgo personu </w:t>
            </w:r>
            <w:r w:rsidR="00B15322">
              <w:t>NILLTFN</w:t>
            </w:r>
            <w:r w:rsidR="00AE6270" w:rsidRPr="00A917E4">
              <w:t xml:space="preserve"> jomā pilnvaru un pienākumu sadali un kārtību, kādā tiek nodrošināta atbildīgo personu darbības uzraudzība. Līdz ar to atbildīgā persona tiks noteikta, vērtējot konkrētos faktiskos apstākļus. Komisija vērš uzmanību uz to, ka arī spēkā esošā Kredītiestāžu likuma 198.</w:t>
            </w:r>
            <w:r w:rsidRPr="00A917E4">
              <w:t xml:space="preserve"> </w:t>
            </w:r>
            <w:r w:rsidR="00AE6270" w:rsidRPr="00A917E4">
              <w:t>panta desmitās daļas 2.</w:t>
            </w:r>
            <w:r w:rsidRPr="00A917E4">
              <w:t xml:space="preserve"> </w:t>
            </w:r>
            <w:r w:rsidR="00AE6270" w:rsidRPr="00A917E4">
              <w:t xml:space="preserve">punkta redakcija paredz Komisijai tiesības par dažādu veidu konstatētajiem pārkāpumiem uzlikt par pārkāpumu atbildīgajai fiziskajai personai soda naudu līdz pieciem miljoniem </w:t>
            </w:r>
            <w:proofErr w:type="spellStart"/>
            <w:r w:rsidR="00AE6270" w:rsidRPr="00A917E4">
              <w:rPr>
                <w:i/>
              </w:rPr>
              <w:t>euro</w:t>
            </w:r>
            <w:proofErr w:type="spellEnd"/>
            <w:r w:rsidR="00AE6270" w:rsidRPr="00A917E4">
              <w:t xml:space="preserve">. </w:t>
            </w:r>
            <w:r w:rsidR="00FB4363" w:rsidRPr="00A917E4">
              <w:t>Turklāt m</w:t>
            </w:r>
            <w:r w:rsidR="002704BB" w:rsidRPr="00A917E4">
              <w:t xml:space="preserve">inētā spēkā esošā redakcija nav attiecināma tikai uz </w:t>
            </w:r>
            <w:r w:rsidR="002704BB" w:rsidRPr="00A917E4">
              <w:lastRenderedPageBreak/>
              <w:t xml:space="preserve">padomes un valdes locekļiem, jo norma nosaka vienīgi pārkāpumu veidus, par kuriem ir piemērojamas noteiktās sankcijas, </w:t>
            </w:r>
            <w:r w:rsidR="00552A5E" w:rsidRPr="00A917E4">
              <w:t>bet nenosaka atbildīgās personas</w:t>
            </w:r>
            <w:r w:rsidR="002704BB" w:rsidRPr="00A917E4">
              <w:t xml:space="preserve">, kurām sankcija var tikt piemērota. </w:t>
            </w:r>
            <w:r w:rsidR="00CA1674" w:rsidRPr="00A917E4">
              <w:t>Pēc analoģijas</w:t>
            </w:r>
            <w:r w:rsidR="002704BB" w:rsidRPr="00A917E4">
              <w:t xml:space="preserve"> un ievērojot likuma struktūru</w:t>
            </w:r>
            <w:r w:rsidR="00CA1674" w:rsidRPr="00A917E4">
              <w:t xml:space="preserve"> ir veidota likumprojekta 6. panta redakcija, kas paredz</w:t>
            </w:r>
            <w:r w:rsidR="00E6405B" w:rsidRPr="00A917E4">
              <w:t xml:space="preserve"> veidot jaunu K</w:t>
            </w:r>
            <w:r w:rsidR="002704BB" w:rsidRPr="00A917E4">
              <w:t>redītiestāžu likuma  198</w:t>
            </w:r>
            <w:r w:rsidR="002704BB" w:rsidRPr="00A917E4">
              <w:rPr>
                <w:vertAlign w:val="superscript"/>
              </w:rPr>
              <w:t>1</w:t>
            </w:r>
            <w:r w:rsidR="002704BB" w:rsidRPr="00A917E4">
              <w:t>. pantu, kura otrā daļa paredz</w:t>
            </w:r>
            <w:r w:rsidR="00CA1674" w:rsidRPr="00A917E4">
              <w:t>, ka</w:t>
            </w:r>
            <w:r w:rsidR="002704BB" w:rsidRPr="00A917E4">
              <w:t xml:space="preserve"> Komisijai ir tiesības</w:t>
            </w:r>
            <w:r w:rsidR="00CA1674" w:rsidRPr="00A917E4">
              <w:t xml:space="preserve">  </w:t>
            </w:r>
            <w:r w:rsidR="002704BB" w:rsidRPr="00A917E4">
              <w:t xml:space="preserve">uzlikt par pārkāpumu atbildīgajai fiziskajai personai soda naudu līdz pieciem miljoniem </w:t>
            </w:r>
            <w:proofErr w:type="spellStart"/>
            <w:r w:rsidR="002704BB" w:rsidRPr="00A917E4">
              <w:rPr>
                <w:i/>
              </w:rPr>
              <w:t>euro</w:t>
            </w:r>
            <w:proofErr w:type="spellEnd"/>
            <w:r w:rsidR="002704BB" w:rsidRPr="00A917E4">
              <w:rPr>
                <w:i/>
              </w:rPr>
              <w:t>.</w:t>
            </w:r>
            <w:r w:rsidR="002704BB" w:rsidRPr="00A917E4">
              <w:t xml:space="preserve"> </w:t>
            </w:r>
          </w:p>
          <w:p w:rsidR="00DE6D34" w:rsidRPr="00A917E4" w:rsidRDefault="003B79AB" w:rsidP="00A917E4">
            <w:pPr>
              <w:jc w:val="both"/>
            </w:pPr>
            <w:r w:rsidRPr="00A917E4">
              <w:t xml:space="preserve">Tā kā </w:t>
            </w:r>
            <w:r w:rsidR="00DE6D34" w:rsidRPr="00A917E4">
              <w:t>Direktīva nosaka vienīgi minimālās prasības dalībvalstīm un sasniedzamo mēr</w:t>
            </w:r>
            <w:r w:rsidRPr="00A917E4">
              <w:t xml:space="preserve">ķi, </w:t>
            </w:r>
            <w:r w:rsidR="00DE6D34" w:rsidRPr="00A917E4">
              <w:t xml:space="preserve"> Direktīvas normas, ņemot vērā to juridisko raksturu, nav nepieciešams "kopēt". Pašreiz spēkā esošā Kredītiestāžu likuma redakcija paredz, ka sankcija ir piemērojama par darbībām, kuru rezultātā ir pārkāptas normatīvo aktu prasības attiecībā uz </w:t>
            </w:r>
            <w:r w:rsidR="00B15322">
              <w:t>NILLTFN</w:t>
            </w:r>
            <w:r w:rsidR="00DE6D34" w:rsidRPr="00A917E4">
              <w:t xml:space="preserve">, neizdalot atsevišķas normas, par kurām piemērojamas sankcijas.  Atsevišķu normu, par kurām piemērojamas sankcijas, izdalīšana nav nepieciešama, jo kredītiestādes pienākums ir kopumā nodrošināt tās darbības atbilstību NILLTFN likuma prasībām. </w:t>
            </w:r>
          </w:p>
          <w:p w:rsidR="00AE6270" w:rsidRPr="00A917E4" w:rsidRDefault="006D4305" w:rsidP="00AE6270">
            <w:pPr>
              <w:jc w:val="both"/>
            </w:pPr>
            <w:r w:rsidRPr="00A917E4">
              <w:t xml:space="preserve">Tādējādi sankcijas tiks noteiktas par visu </w:t>
            </w:r>
            <w:r w:rsidR="00E6405B" w:rsidRPr="00A917E4">
              <w:t>NILLTFN</w:t>
            </w:r>
            <w:r w:rsidRPr="00A917E4">
              <w:t xml:space="preserve"> prasību neizpildi kopumā, nevis tikai par tiem pārkāpumiem, kuri atbilst Direktīvas 10.–24., 33., 34., 35., 40., 45. un 46. panta prasībām. </w:t>
            </w:r>
            <w:r w:rsidR="00AE6270" w:rsidRPr="00A917E4">
              <w:t>Savukārt konkrētā pārkāpuma būtiskumu un sankcijas piemērošanas nepieciešamību un samērīgumu Komisija vērtē saskaņā ar Administratīvā procesa likumā noteikto kārtību.</w:t>
            </w:r>
          </w:p>
          <w:p w:rsidR="0025472E" w:rsidRPr="00A917E4" w:rsidRDefault="0025472E" w:rsidP="00A917E4">
            <w:pPr>
              <w:jc w:val="both"/>
            </w:pPr>
            <w:r w:rsidRPr="00A917E4">
              <w:t>Ievērojot apstākli, ka personas tiesības apstrīdēt Komisijas lēmumu par soda naudas piemērošanu ir noteiktas Administratīvā procesa likumā, nav pamata papildus apstrīdēšanas mehānisma (</w:t>
            </w:r>
            <w:r w:rsidR="00E6405B" w:rsidRPr="00A917E4">
              <w:t xml:space="preserve">piemēram </w:t>
            </w:r>
            <w:r w:rsidR="00592EC4">
              <w:t>Komisijas</w:t>
            </w:r>
            <w:r w:rsidR="00E6405B" w:rsidRPr="00A917E4">
              <w:t xml:space="preserve"> iekšienē izveidots institūts - </w:t>
            </w:r>
            <w:r w:rsidRPr="00A917E4">
              <w:t xml:space="preserve">Administratīvā padome) izveidei, kas konkrētajā gadījumā būtu uzskatāms kā administratīvs šķērslis personu efektīvai tiesību aizsardzībai. Turklāt nav skaidrs neatkarīgo ekspertu statuss, kā nodrošināt šādu ekspertu neatkarību, ja tie darbojas kā Komisijas institūcija (iecelšanas kārtība), to atbilstības kritēriji, fiskālais mehānisms, kā arī šādu ekspertu funkciju un kompetenču nošķiršana no </w:t>
            </w:r>
            <w:r w:rsidR="00E6405B" w:rsidRPr="00A917E4">
              <w:t xml:space="preserve">Komisijas Padomes funkcijām. </w:t>
            </w:r>
            <w:r w:rsidRPr="00A917E4">
              <w:t>Personas iespēja Komisijas lēmumu par  soda naudas piemērošanu apstrīdēt tiesā uzskatāma par pietiekamu līdzekli savu tiesību aizstāvēšanai.</w:t>
            </w:r>
          </w:p>
          <w:p w:rsidR="00227BA4" w:rsidRPr="00A917E4" w:rsidRDefault="00AE6270" w:rsidP="00A917E4">
            <w:pPr>
              <w:jc w:val="both"/>
            </w:pPr>
            <w:r w:rsidRPr="00A917E4">
              <w:t>Direktīvas 59.</w:t>
            </w:r>
            <w:r w:rsidR="00451D75" w:rsidRPr="00A917E4">
              <w:t xml:space="preserve"> </w:t>
            </w:r>
            <w:r w:rsidRPr="00A917E4">
              <w:t>panta trešā daļa ir speciālā norma, kas attiecināma uz kredītiestādēm, savukārt 59.</w:t>
            </w:r>
            <w:r w:rsidR="00451D75" w:rsidRPr="00A917E4">
              <w:t xml:space="preserve"> </w:t>
            </w:r>
            <w:r w:rsidRPr="00A917E4">
              <w:t xml:space="preserve">panta otrā daļa ir attiecināma uz pārējiem </w:t>
            </w:r>
            <w:r w:rsidR="00481640" w:rsidRPr="00A917E4">
              <w:t xml:space="preserve">NILLTFN </w:t>
            </w:r>
            <w:r w:rsidRPr="00A917E4">
              <w:t>likuma subjektiem (tai skaitā nodokļu konsultantiem, zvērinātiem notāriem un advokātiem). Ņemot vērā, ka grozījumi tiek izdarīti Kredītiestāžu likumā attiecībā uz kredītiestādēm, tad ir nepieciešams piemērot speciālo normu (Direktīvas 59.</w:t>
            </w:r>
            <w:r w:rsidR="00451D75" w:rsidRPr="00A917E4">
              <w:t xml:space="preserve"> </w:t>
            </w:r>
            <w:r w:rsidRPr="00A917E4">
              <w:t>panta trešā daļa)</w:t>
            </w:r>
            <w:r w:rsidR="006D4305" w:rsidRPr="00A917E4">
              <w:t xml:space="preserve">, nosakot sankciju </w:t>
            </w:r>
            <w:r w:rsidR="00227BA4" w:rsidRPr="00A917E4">
              <w:t xml:space="preserve">un tās </w:t>
            </w:r>
            <w:r w:rsidR="006D4305" w:rsidRPr="00A917E4">
              <w:t>apmēru</w:t>
            </w:r>
            <w:r w:rsidRPr="00A917E4">
              <w:t>.</w:t>
            </w:r>
          </w:p>
          <w:p w:rsidR="00AE6270" w:rsidRPr="00A917E4" w:rsidRDefault="00AE6270" w:rsidP="00AE6270">
            <w:pPr>
              <w:jc w:val="both"/>
            </w:pPr>
            <w:r w:rsidRPr="00A917E4">
              <w:t>Finanšu un kapitāla tirgus komisijas likuma 17.</w:t>
            </w:r>
            <w:r w:rsidRPr="00A917E4">
              <w:rPr>
                <w:vertAlign w:val="superscript"/>
              </w:rPr>
              <w:t>1</w:t>
            </w:r>
            <w:r w:rsidRPr="00A917E4">
              <w:t xml:space="preserve"> pants paredz, ka, pieņemot lēmumu par sankciju piemērošanu personām, </w:t>
            </w:r>
            <w:r w:rsidRPr="00A917E4">
              <w:lastRenderedPageBreak/>
              <w:t>kuras pārkāpušas finanšu un kapitāla tirgu regulējošos normatīvos aktus, Komisija ņem vērā:</w:t>
            </w:r>
          </w:p>
          <w:p w:rsidR="00AE6270" w:rsidRPr="00A917E4" w:rsidRDefault="00AE6270" w:rsidP="00AE6270">
            <w:pPr>
              <w:jc w:val="both"/>
            </w:pPr>
            <w:r w:rsidRPr="00A917E4">
              <w:t>1) pārkāpuma smagumu;</w:t>
            </w:r>
          </w:p>
          <w:p w:rsidR="00AE6270" w:rsidRPr="00A917E4" w:rsidRDefault="00AE6270" w:rsidP="00AE6270">
            <w:pPr>
              <w:jc w:val="both"/>
            </w:pPr>
            <w:r w:rsidRPr="00A917E4">
              <w:t>2) pārkāpuma ilgumu;</w:t>
            </w:r>
          </w:p>
          <w:p w:rsidR="00AE6270" w:rsidRPr="00A917E4" w:rsidRDefault="00AE6270" w:rsidP="00AE6270">
            <w:pPr>
              <w:jc w:val="both"/>
            </w:pPr>
            <w:r w:rsidRPr="00A917E4">
              <w:t>3) personas atbildības pakāpi;</w:t>
            </w:r>
          </w:p>
          <w:p w:rsidR="00AE6270" w:rsidRPr="00A917E4" w:rsidRDefault="00AE6270" w:rsidP="00AE6270">
            <w:pPr>
              <w:jc w:val="both"/>
            </w:pPr>
            <w:r w:rsidRPr="00A917E4">
              <w:t>4) pārkāpuma rezultātā personas gūtos ienākumus;</w:t>
            </w:r>
          </w:p>
          <w:p w:rsidR="00AE6270" w:rsidRPr="00A917E4" w:rsidRDefault="00AE6270" w:rsidP="00AE6270">
            <w:pPr>
              <w:jc w:val="both"/>
            </w:pPr>
            <w:r w:rsidRPr="00A917E4">
              <w:t>5) pārkāpuma rezultātā radīto zaudējumu atlīdzināšanu;</w:t>
            </w:r>
          </w:p>
          <w:p w:rsidR="00AE6270" w:rsidRPr="00A917E4" w:rsidRDefault="00AE6270" w:rsidP="00AE6270">
            <w:pPr>
              <w:jc w:val="both"/>
            </w:pPr>
            <w:r w:rsidRPr="00A917E4">
              <w:t>6) personas sadarbību pārkāpuma pārbaudē;</w:t>
            </w:r>
          </w:p>
          <w:p w:rsidR="00AE6270" w:rsidRPr="00A917E4" w:rsidRDefault="00AE6270" w:rsidP="00AE6270">
            <w:pPr>
              <w:jc w:val="both"/>
            </w:pPr>
            <w:r w:rsidRPr="00A917E4">
              <w:t>7) personas pieredzi finanšu un kapitāla tirgū;</w:t>
            </w:r>
          </w:p>
          <w:p w:rsidR="00AE6270" w:rsidRPr="00A917E4" w:rsidRDefault="00AE6270" w:rsidP="00AE6270">
            <w:pPr>
              <w:jc w:val="both"/>
            </w:pPr>
            <w:r w:rsidRPr="00A917E4">
              <w:t>8) personas finansiālo stāvokli;</w:t>
            </w:r>
          </w:p>
          <w:p w:rsidR="00AE6270" w:rsidRPr="00A917E4" w:rsidRDefault="00AE6270" w:rsidP="00AE6270">
            <w:pPr>
              <w:jc w:val="both"/>
            </w:pPr>
            <w:r w:rsidRPr="00A917E4">
              <w:t>9) personas iepriekš izdarītos pārkāpumus finanšu un kapitāla tirgū.</w:t>
            </w:r>
          </w:p>
          <w:p w:rsidR="00227BA4" w:rsidRPr="00A917E4" w:rsidRDefault="00227BA4" w:rsidP="00AE6270">
            <w:pPr>
              <w:jc w:val="both"/>
            </w:pPr>
            <w:r w:rsidRPr="00A917E4">
              <w:t>Tādējādi tiek ievērotas Direktīvas 60. panta ceturtā daļā noteiktās prasības par apstākļiem, kas soda piemērotājam jāņem vērā, nosakot soda veidu un apmēru.</w:t>
            </w:r>
          </w:p>
          <w:p w:rsidR="003030B6" w:rsidRPr="00A917E4" w:rsidRDefault="00E6405B" w:rsidP="00821FCE">
            <w:pPr>
              <w:jc w:val="both"/>
            </w:pPr>
            <w:r w:rsidRPr="00A917E4">
              <w:t>Vienlaikus</w:t>
            </w:r>
            <w:r w:rsidR="00AE6270" w:rsidRPr="00A917E4">
              <w:t xml:space="preserve"> piemērojot sankcijas, Komisijai jāņem vērā ne tikai Finanšu un kapitāla tirgus komisijas likumā noteiktais, bet arī Administratīvā procesa likumā noteiktā kārtība un pienākumi.</w:t>
            </w:r>
          </w:p>
          <w:p w:rsidR="00494614" w:rsidRPr="00A917E4" w:rsidRDefault="00287EC9" w:rsidP="00A917E4">
            <w:pPr>
              <w:jc w:val="both"/>
            </w:pPr>
            <w:r w:rsidRPr="00A917E4">
              <w:t xml:space="preserve">Papildus </w:t>
            </w:r>
            <w:r w:rsidR="00ED14A7" w:rsidRPr="00A917E4">
              <w:rPr>
                <w:bCs/>
                <w:szCs w:val="24"/>
              </w:rPr>
              <w:t>Likumprojekts</w:t>
            </w:r>
            <w:r w:rsidR="00494614" w:rsidRPr="00A917E4">
              <w:rPr>
                <w:bCs/>
                <w:szCs w:val="24"/>
              </w:rPr>
              <w:t xml:space="preserve"> paredz </w:t>
            </w:r>
            <w:r w:rsidR="00ED14A7" w:rsidRPr="00A917E4">
              <w:t xml:space="preserve">par </w:t>
            </w:r>
            <w:r w:rsidR="00E6405B" w:rsidRPr="00A917E4">
              <w:t>NILLTFN</w:t>
            </w:r>
            <w:r w:rsidR="00ED14A7" w:rsidRPr="00A917E4">
              <w:t xml:space="preserve"> prasību izpildi atbildīgajai personai izvirzīt tādas pašas prasības, kādas ir izvirzāmas risku direktoram, iekšējā audita dienesta vadītājam un citām Kredītiestāžu likuma 15. un 24.</w:t>
            </w:r>
            <w:r w:rsidR="00227BA4" w:rsidRPr="00A917E4">
              <w:t xml:space="preserve"> </w:t>
            </w:r>
            <w:r w:rsidR="00ED14A7" w:rsidRPr="00A917E4">
              <w:t>pantā minētajām personām. Ņemot vērā atbildīgo personu par NILLTFN likuma prasību izpildi būtisko lomu kredītiestādes darbības atbilstības nodrošināšanā un noziedzīgi iegūtu līdzekļu legalizācijas riskus, kuriem ir pakļautas Latvijas kredītiestādes, ir nepieciešams izvērtēt šo personu profesionālās pieredzes un izglītības piemērotību tām uzticēto pienākumu veikšanai.</w:t>
            </w:r>
          </w:p>
          <w:p w:rsidR="00227BA4" w:rsidRPr="00A917E4" w:rsidRDefault="00287EC9" w:rsidP="00D426A4">
            <w:pPr>
              <w:jc w:val="both"/>
            </w:pPr>
            <w:r w:rsidRPr="00A917E4">
              <w:t>FATF (</w:t>
            </w:r>
            <w:proofErr w:type="spellStart"/>
            <w:r w:rsidRPr="00A917E4">
              <w:t>Financial</w:t>
            </w:r>
            <w:proofErr w:type="spellEnd"/>
            <w:r w:rsidRPr="00A917E4">
              <w:t xml:space="preserve"> </w:t>
            </w:r>
            <w:proofErr w:type="spellStart"/>
            <w:r w:rsidRPr="00A917E4">
              <w:t>Action</w:t>
            </w:r>
            <w:proofErr w:type="spellEnd"/>
            <w:r w:rsidRPr="00A917E4">
              <w:t xml:space="preserve"> </w:t>
            </w:r>
            <w:proofErr w:type="spellStart"/>
            <w:r w:rsidRPr="00A917E4">
              <w:t>Task</w:t>
            </w:r>
            <w:proofErr w:type="spellEnd"/>
            <w:r w:rsidRPr="00A917E4">
              <w:t xml:space="preserve"> </w:t>
            </w:r>
            <w:proofErr w:type="spellStart"/>
            <w:r w:rsidRPr="00A917E4">
              <w:t>Force</w:t>
            </w:r>
            <w:proofErr w:type="spellEnd"/>
            <w:r w:rsidRPr="00A917E4">
              <w:t xml:space="preserve">) 18. rekomendācijas skaidrojumā norādīts, ka finanšu iestāžu programmās, kuras paredzētas </w:t>
            </w:r>
            <w:r w:rsidR="00B15322">
              <w:t>NILLTFN</w:t>
            </w:r>
            <w:r w:rsidRPr="00A917E4">
              <w:t>, jāparedz attiecīgi atbilstības pārvaldības pasākumi, kā arī atbilstīgas pārbaudes procedūras, lai nodrošinātu augstu standartu ievērošanu darbinieku pieņemšanas procesā.</w:t>
            </w:r>
          </w:p>
          <w:p w:rsidR="000B15E8" w:rsidRPr="00A917E4" w:rsidRDefault="0023374F" w:rsidP="00ED14A7">
            <w:pPr>
              <w:jc w:val="both"/>
            </w:pPr>
            <w:r w:rsidRPr="00A917E4">
              <w:t>Saskaņā ar turpmāk anotācijā norādīto ir paredzēts izdarīt grozījumus Komisijas 2009.</w:t>
            </w:r>
            <w:r w:rsidR="002704BB" w:rsidRPr="00A917E4">
              <w:t xml:space="preserve"> </w:t>
            </w:r>
            <w:r w:rsidRPr="00A917E4">
              <w:t>gada 25.</w:t>
            </w:r>
            <w:r w:rsidR="002704BB" w:rsidRPr="00A917E4">
              <w:t xml:space="preserve"> </w:t>
            </w:r>
            <w:r w:rsidRPr="00A917E4">
              <w:t xml:space="preserve">septembra noteikumos Nr.112 "Licenču kredītiestādes un </w:t>
            </w:r>
            <w:proofErr w:type="spellStart"/>
            <w:r w:rsidRPr="00A917E4">
              <w:t>krājaizdevu</w:t>
            </w:r>
            <w:proofErr w:type="spellEnd"/>
            <w:r w:rsidRPr="00A917E4">
              <w:t xml:space="preserve"> sabiedrības darbības veikšanai izsniegšanas, atsevišķu kredītiestāžu un </w:t>
            </w:r>
            <w:proofErr w:type="spellStart"/>
            <w:r w:rsidRPr="00A917E4">
              <w:t>krājaizdevu</w:t>
            </w:r>
            <w:proofErr w:type="spellEnd"/>
            <w:r w:rsidRPr="00A917E4">
              <w:t xml:space="preserve"> sabiedrību darbību reglamentējošo atļauju saņemšanas, dokumentu saskaņošanas un informācijas sniegšanas normatīvie noteikumi", lai noteiktu iesniedzamos dokumentus, uz kuru pamata tiks vērtēts jēdziens "attiecīg</w:t>
            </w:r>
            <w:r w:rsidR="003911C1" w:rsidRPr="00A917E4">
              <w:t xml:space="preserve">a profesionāla darba pieredze". </w:t>
            </w:r>
            <w:r w:rsidRPr="00A917E4">
              <w:t xml:space="preserve">Vienlaikus norādāms, ka normatīvajā aktā minētos jēdzienus nepieciešams atstāt kā klauzulas, kas katrā gadījumā atbilstoši faktiskajiem apstākļiem tiek piepildītas ar saturu, jo normatīvajā aktā nav iespējams sniegt kazuistiku uzskaitījumu par to, kas katrā konkrētajā gadījumā tiks uzskatīts par attiecīgu profesionālu darba pieredzi. Jēdzieni "attiecīga profesionāla darba pieredze" un "kompetenta finanšu vadības jautājumos" tiks vērtēti, ņemot </w:t>
            </w:r>
            <w:r w:rsidRPr="00A917E4">
              <w:lastRenderedPageBreak/>
              <w:t>vērā vairākus apstākļus, piemēram: iestādes lielums, iestādes klientu riska profils, iestādes iekšējās kontroles sistēmas uzbūve un atbildības sadalījums. Arī attiecībā uz citām personām (piemēram, risku direktors, iekšējā audita dienesta vadītājs) saskaņā ar spēkā esošo Kredītiestāžu likuma regulējumu līdz šim jēdzieni "attiecīga profesionāla darba pieredze" un "kompetenta finanšu vadības jautājumos" ir tikuši piemēroti kā klauzula.</w:t>
            </w:r>
          </w:p>
          <w:p w:rsidR="000B15E8" w:rsidRPr="00A917E4" w:rsidRDefault="00D5319A" w:rsidP="00A917E4">
            <w:pPr>
              <w:jc w:val="both"/>
              <w:rPr>
                <w:szCs w:val="24"/>
              </w:rPr>
            </w:pPr>
            <w:r w:rsidRPr="00A917E4">
              <w:rPr>
                <w:szCs w:val="24"/>
              </w:rPr>
              <w:t>Ievērojot nepieciešamību noteikt samērīgu termiņu kredītiestādēm pielāgoties jaunā regulējuma prasību izpildei, l</w:t>
            </w:r>
            <w:r w:rsidR="000B15E8" w:rsidRPr="00A917E4">
              <w:rPr>
                <w:szCs w:val="24"/>
              </w:rPr>
              <w:t xml:space="preserve">ikumprojekts paredz papildināt pārejas noteikumus, kas </w:t>
            </w:r>
            <w:r w:rsidR="0095325E" w:rsidRPr="00A917E4">
              <w:rPr>
                <w:szCs w:val="24"/>
              </w:rPr>
              <w:t>nosaka</w:t>
            </w:r>
            <w:r w:rsidR="000B15E8" w:rsidRPr="00A917E4">
              <w:rPr>
                <w:szCs w:val="24"/>
              </w:rPr>
              <w:t xml:space="preserve">, ka kredītiestādes par </w:t>
            </w:r>
            <w:r w:rsidR="00E6405B" w:rsidRPr="00A917E4">
              <w:rPr>
                <w:szCs w:val="24"/>
              </w:rPr>
              <w:t>NILLTFN</w:t>
            </w:r>
            <w:r w:rsidR="000B15E8" w:rsidRPr="00A917E4">
              <w:rPr>
                <w:szCs w:val="24"/>
              </w:rPr>
              <w:t xml:space="preserve"> prasību izpildi atbildīgo personu atbilstību šā likuma prasībām nodrošina sešu mēnešu laikā no grozījumu spēkā stāšanās dienas.</w:t>
            </w:r>
          </w:p>
        </w:tc>
      </w:tr>
      <w:tr w:rsidR="00B12732" w:rsidRPr="00A917E4" w:rsidTr="00B12732">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B12732" w:rsidRPr="00A917E4" w:rsidRDefault="00B12732">
            <w:pPr>
              <w:spacing w:before="100" w:beforeAutospacing="1" w:after="100" w:afterAutospacing="1" w:line="360" w:lineRule="auto"/>
              <w:ind w:firstLine="300"/>
              <w:jc w:val="center"/>
              <w:rPr>
                <w:rFonts w:eastAsia="Times New Roman" w:cs="Times New Roman"/>
                <w:szCs w:val="24"/>
                <w:lang w:eastAsia="lv-LV"/>
              </w:rPr>
            </w:pPr>
            <w:r w:rsidRPr="00A917E4">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rsidR="00B12732" w:rsidRPr="00A917E4" w:rsidRDefault="00B12732" w:rsidP="00536C4A">
            <w:pPr>
              <w:jc w:val="both"/>
              <w:rPr>
                <w:rFonts w:cs="Times New Roman"/>
                <w:szCs w:val="24"/>
              </w:rPr>
            </w:pPr>
            <w:r w:rsidRPr="00A917E4">
              <w:rPr>
                <w:rFonts w:cs="Times New Roman"/>
                <w:szCs w:val="24"/>
              </w:rPr>
              <w:t>Par likumprojekta izstrādi atbildīgā in</w:t>
            </w:r>
            <w:r w:rsidR="00536C4A" w:rsidRPr="00A917E4">
              <w:rPr>
                <w:rFonts w:cs="Times New Roman"/>
                <w:szCs w:val="24"/>
              </w:rPr>
              <w:t xml:space="preserve">stitūcija ir Finanšu ministrija un </w:t>
            </w:r>
            <w:r w:rsidRPr="00A917E4">
              <w:rPr>
                <w:rFonts w:cs="Times New Roman"/>
                <w:szCs w:val="24"/>
              </w:rPr>
              <w:t>Fina</w:t>
            </w:r>
            <w:r w:rsidR="00536C4A" w:rsidRPr="00A917E4">
              <w:rPr>
                <w:rFonts w:cs="Times New Roman"/>
                <w:szCs w:val="24"/>
              </w:rPr>
              <w:t>nšu un kapitāla tirgus komisija.</w:t>
            </w:r>
          </w:p>
        </w:tc>
      </w:tr>
      <w:tr w:rsidR="00B12732" w:rsidRPr="00A917E4" w:rsidTr="00B12732">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B12732" w:rsidRPr="00A917E4" w:rsidRDefault="00B12732">
            <w:pPr>
              <w:spacing w:before="100" w:beforeAutospacing="1" w:after="100" w:afterAutospacing="1" w:line="360" w:lineRule="auto"/>
              <w:ind w:firstLine="300"/>
              <w:jc w:val="center"/>
              <w:rPr>
                <w:rFonts w:eastAsia="Times New Roman" w:cs="Times New Roman"/>
                <w:szCs w:val="24"/>
                <w:lang w:eastAsia="lv-LV"/>
              </w:rPr>
            </w:pPr>
            <w:r w:rsidRPr="00A917E4">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rsidR="00B12732" w:rsidRPr="00A917E4" w:rsidRDefault="00B12732">
            <w:pPr>
              <w:spacing w:before="100" w:beforeAutospacing="1" w:after="100" w:afterAutospacing="1" w:line="360" w:lineRule="auto"/>
              <w:rPr>
                <w:rFonts w:eastAsia="Times New Roman" w:cs="Times New Roman"/>
                <w:szCs w:val="24"/>
                <w:lang w:eastAsia="lv-LV"/>
              </w:rPr>
            </w:pPr>
            <w:r w:rsidRPr="00A917E4">
              <w:rPr>
                <w:rFonts w:eastAsia="Times New Roman" w:cs="Times New Roman"/>
                <w:szCs w:val="24"/>
                <w:lang w:eastAsia="lv-LV"/>
              </w:rPr>
              <w:t>Nav</w:t>
            </w:r>
          </w:p>
        </w:tc>
      </w:tr>
    </w:tbl>
    <w:p w:rsidR="007470FA" w:rsidRPr="00A917E4" w:rsidRDefault="007470FA" w:rsidP="00B12732">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B12732" w:rsidRPr="00A917E4" w:rsidTr="00B1273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2732" w:rsidRPr="00A917E4" w:rsidRDefault="00B12732">
            <w:pPr>
              <w:spacing w:before="100" w:beforeAutospacing="1" w:after="100" w:afterAutospacing="1" w:line="360" w:lineRule="auto"/>
              <w:ind w:firstLine="300"/>
              <w:jc w:val="center"/>
              <w:rPr>
                <w:rFonts w:eastAsia="Times New Roman" w:cs="Times New Roman"/>
                <w:b/>
                <w:bCs/>
                <w:szCs w:val="24"/>
                <w:lang w:eastAsia="lv-LV"/>
              </w:rPr>
            </w:pPr>
            <w:r w:rsidRPr="00A917E4">
              <w:rPr>
                <w:rFonts w:eastAsia="Times New Roman" w:cs="Times New Roman"/>
                <w:b/>
                <w:bCs/>
                <w:szCs w:val="24"/>
                <w:lang w:eastAsia="lv-LV"/>
              </w:rPr>
              <w:t>II. Tiesību akta projekta ietekme uz sabiedrību, tautsaimniecības attīstību un administratīvo slogu</w:t>
            </w:r>
          </w:p>
        </w:tc>
      </w:tr>
      <w:tr w:rsidR="00B12732" w:rsidRPr="00A917E4" w:rsidTr="00B1273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 xml:space="preserve">Sabiedrības </w:t>
            </w:r>
            <w:proofErr w:type="spellStart"/>
            <w:r w:rsidRPr="00A917E4">
              <w:rPr>
                <w:rFonts w:eastAsia="Times New Roman" w:cs="Times New Roman"/>
                <w:szCs w:val="24"/>
                <w:lang w:eastAsia="lv-LV"/>
              </w:rPr>
              <w:t>mērķgrupas</w:t>
            </w:r>
            <w:proofErr w:type="spellEnd"/>
            <w:r w:rsidRPr="00A917E4">
              <w:rPr>
                <w:rFonts w:eastAsia="Times New Roman" w:cs="Times New Roman"/>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B12732" w:rsidRPr="00A917E4" w:rsidRDefault="007470FA">
            <w:pPr>
              <w:jc w:val="both"/>
              <w:rPr>
                <w:rFonts w:eastAsia="Times New Roman" w:cs="Times New Roman"/>
                <w:szCs w:val="24"/>
                <w:lang w:eastAsia="lv-LV"/>
              </w:rPr>
            </w:pPr>
            <w:r w:rsidRPr="00A917E4">
              <w:rPr>
                <w:rFonts w:eastAsia="Times New Roman" w:cs="Times New Roman"/>
                <w:szCs w:val="24"/>
                <w:lang w:eastAsia="lv-LV"/>
              </w:rPr>
              <w:t>Kredītiestādes, Finanšu un kapitāla tirgus komisija.</w:t>
            </w:r>
          </w:p>
        </w:tc>
      </w:tr>
      <w:tr w:rsidR="00B12732" w:rsidRPr="00A917E4" w:rsidTr="00B12732">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rsidR="00B12732" w:rsidRPr="00A917E4" w:rsidRDefault="00B12732" w:rsidP="00265F07">
            <w:pPr>
              <w:jc w:val="both"/>
              <w:rPr>
                <w:rFonts w:cs="Times New Roman"/>
                <w:szCs w:val="24"/>
              </w:rPr>
            </w:pPr>
            <w:r w:rsidRPr="00A917E4">
              <w:rPr>
                <w:rFonts w:eastAsia="Times New Roman" w:cs="Times New Roman"/>
                <w:szCs w:val="24"/>
                <w:lang w:eastAsia="lv-LV"/>
              </w:rPr>
              <w:t xml:space="preserve">Likumprojekts paredz </w:t>
            </w:r>
            <w:r w:rsidR="007470FA" w:rsidRPr="00A917E4">
              <w:rPr>
                <w:rFonts w:eastAsia="Times New Roman" w:cs="Times New Roman"/>
                <w:szCs w:val="24"/>
                <w:lang w:eastAsia="lv-LV"/>
              </w:rPr>
              <w:t>palielināt soda naudas apmērus p</w:t>
            </w:r>
            <w:r w:rsidR="00F840AD" w:rsidRPr="00A917E4">
              <w:rPr>
                <w:rFonts w:eastAsia="Times New Roman" w:cs="Times New Roman"/>
                <w:szCs w:val="24"/>
                <w:lang w:eastAsia="lv-LV"/>
              </w:rPr>
              <w:t xml:space="preserve">ar NILLLTFN </w:t>
            </w:r>
            <w:r w:rsidR="00265F07" w:rsidRPr="00A917E4">
              <w:rPr>
                <w:rFonts w:eastAsia="Times New Roman" w:cs="Times New Roman"/>
                <w:szCs w:val="24"/>
                <w:lang w:eastAsia="lv-LV"/>
              </w:rPr>
              <w:t>prasību</w:t>
            </w:r>
            <w:r w:rsidR="00F840AD" w:rsidRPr="00A917E4">
              <w:rPr>
                <w:rFonts w:eastAsia="Times New Roman" w:cs="Times New Roman"/>
                <w:szCs w:val="24"/>
                <w:lang w:eastAsia="lv-LV"/>
              </w:rPr>
              <w:t xml:space="preserve"> pārkāpumiem, kā arī </w:t>
            </w:r>
            <w:r w:rsidR="00F840AD" w:rsidRPr="00A917E4">
              <w:rPr>
                <w:bCs/>
                <w:szCs w:val="24"/>
              </w:rPr>
              <w:t xml:space="preserve">par </w:t>
            </w:r>
            <w:r w:rsidR="00265F07" w:rsidRPr="00A917E4">
              <w:rPr>
                <w:bCs/>
                <w:szCs w:val="24"/>
              </w:rPr>
              <w:t>NILLTFN</w:t>
            </w:r>
            <w:r w:rsidR="00F840AD" w:rsidRPr="00A917E4">
              <w:rPr>
                <w:bCs/>
                <w:szCs w:val="24"/>
              </w:rPr>
              <w:t xml:space="preserve"> prasību izpildi atbildīgajai personai izvirzīt tādas pašas prasības, kādas ir izvirzīts risku direktoram, iekšējā audita dienesta vadītājam un citām Kredītiestāžu likuma 15. un 24. pantā minētajām personām. </w:t>
            </w:r>
            <w:r w:rsidR="007470FA" w:rsidRPr="00A917E4">
              <w:rPr>
                <w:rFonts w:eastAsia="Times New Roman" w:cs="Times New Roman"/>
                <w:szCs w:val="24"/>
                <w:lang w:eastAsia="lv-LV"/>
              </w:rPr>
              <w:t xml:space="preserve">  </w:t>
            </w:r>
          </w:p>
        </w:tc>
      </w:tr>
      <w:tr w:rsidR="00B12732" w:rsidRPr="00A917E4" w:rsidTr="00B12732">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rsidR="00B12732" w:rsidRPr="00A917E4" w:rsidRDefault="007470FA" w:rsidP="007470FA">
            <w:pPr>
              <w:jc w:val="both"/>
              <w:rPr>
                <w:rFonts w:eastAsia="Calibri" w:cs="Times New Roman"/>
                <w:szCs w:val="24"/>
              </w:rPr>
            </w:pPr>
            <w:r w:rsidRPr="00A917E4">
              <w:rPr>
                <w:rFonts w:eastAsia="Calibri" w:cs="Times New Roman"/>
                <w:szCs w:val="24"/>
              </w:rPr>
              <w:t>Nav attiecināms.</w:t>
            </w:r>
          </w:p>
        </w:tc>
      </w:tr>
      <w:tr w:rsidR="00B12732" w:rsidRPr="00A917E4" w:rsidTr="00B12732">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B12732" w:rsidRPr="00A917E4" w:rsidRDefault="00B12732">
            <w:pPr>
              <w:spacing w:before="100" w:beforeAutospacing="1" w:after="100" w:afterAutospacing="1" w:line="360" w:lineRule="auto"/>
              <w:jc w:val="both"/>
              <w:rPr>
                <w:rFonts w:eastAsia="Times New Roman" w:cs="Times New Roman"/>
                <w:szCs w:val="24"/>
                <w:lang w:eastAsia="lv-LV"/>
              </w:rPr>
            </w:pPr>
            <w:r w:rsidRPr="00A917E4">
              <w:rPr>
                <w:rFonts w:eastAsia="Times New Roman" w:cs="Times New Roman"/>
                <w:szCs w:val="24"/>
                <w:lang w:eastAsia="lv-LV"/>
              </w:rPr>
              <w:t xml:space="preserve">Nav </w:t>
            </w:r>
          </w:p>
        </w:tc>
      </w:tr>
    </w:tbl>
    <w:p w:rsidR="00B12732" w:rsidRPr="00A917E4" w:rsidRDefault="00B12732" w:rsidP="00B1273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536C4A" w:rsidRPr="00A917E4" w:rsidTr="00AB312E">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C4A" w:rsidRPr="00A917E4" w:rsidRDefault="00536C4A" w:rsidP="00AB312E">
            <w:pPr>
              <w:spacing w:before="100" w:beforeAutospacing="1" w:after="100" w:afterAutospacing="1" w:line="360" w:lineRule="auto"/>
              <w:ind w:firstLine="300"/>
              <w:jc w:val="center"/>
              <w:rPr>
                <w:rFonts w:eastAsia="Times New Roman" w:cs="Times New Roman"/>
                <w:b/>
                <w:bCs/>
                <w:szCs w:val="24"/>
                <w:lang w:eastAsia="lv-LV"/>
              </w:rPr>
            </w:pPr>
            <w:r w:rsidRPr="00A917E4">
              <w:rPr>
                <w:rFonts w:eastAsia="Times New Roman" w:cs="Times New Roman"/>
                <w:b/>
                <w:bCs/>
                <w:szCs w:val="24"/>
                <w:lang w:eastAsia="lv-LV"/>
              </w:rPr>
              <w:lastRenderedPageBreak/>
              <w:t>III. Tiesību akta projekta ietekme uz valsts budžetu un pašvaldību budžetiem</w:t>
            </w:r>
          </w:p>
        </w:tc>
      </w:tr>
      <w:tr w:rsidR="00536C4A" w:rsidRPr="00A917E4" w:rsidTr="00AB312E">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36C4A" w:rsidRPr="00A917E4" w:rsidRDefault="00536C4A" w:rsidP="00AB312E">
            <w:pPr>
              <w:spacing w:before="100" w:beforeAutospacing="1" w:after="100" w:afterAutospacing="1" w:line="360" w:lineRule="auto"/>
              <w:ind w:firstLine="300"/>
              <w:jc w:val="center"/>
              <w:rPr>
                <w:rFonts w:eastAsia="Times New Roman" w:cs="Times New Roman"/>
                <w:bCs/>
                <w:i/>
                <w:szCs w:val="24"/>
                <w:lang w:eastAsia="lv-LV"/>
              </w:rPr>
            </w:pPr>
            <w:r w:rsidRPr="00A917E4">
              <w:rPr>
                <w:rFonts w:eastAsia="Times New Roman" w:cs="Times New Roman"/>
                <w:bCs/>
                <w:i/>
                <w:szCs w:val="24"/>
                <w:lang w:eastAsia="lv-LV"/>
              </w:rPr>
              <w:t>Projekts šo jomu neskar</w:t>
            </w:r>
          </w:p>
        </w:tc>
      </w:tr>
    </w:tbl>
    <w:p w:rsidR="00B12732" w:rsidRPr="00A917E4" w:rsidRDefault="00B12732" w:rsidP="00B1273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399"/>
        <w:gridCol w:w="5437"/>
      </w:tblGrid>
      <w:tr w:rsidR="00B12732" w:rsidRPr="00A917E4" w:rsidTr="00B12732">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2732" w:rsidRPr="00A917E4" w:rsidRDefault="00B12732">
            <w:pPr>
              <w:spacing w:before="100" w:beforeAutospacing="1" w:after="100" w:afterAutospacing="1" w:line="360" w:lineRule="auto"/>
              <w:ind w:firstLine="300"/>
              <w:jc w:val="center"/>
              <w:rPr>
                <w:rFonts w:eastAsia="Times New Roman" w:cs="Times New Roman"/>
                <w:b/>
                <w:bCs/>
                <w:szCs w:val="24"/>
                <w:lang w:eastAsia="lv-LV"/>
              </w:rPr>
            </w:pPr>
            <w:r w:rsidRPr="00A917E4">
              <w:rPr>
                <w:rFonts w:eastAsia="Times New Roman" w:cs="Times New Roman"/>
                <w:b/>
                <w:bCs/>
                <w:szCs w:val="24"/>
                <w:lang w:eastAsia="lv-LV"/>
              </w:rPr>
              <w:t>IV. Tiesību akta projekta ietekme uz spēkā esošo tiesību normu sistēmu</w:t>
            </w:r>
          </w:p>
        </w:tc>
      </w:tr>
      <w:tr w:rsidR="00B12732" w:rsidRPr="00A917E4" w:rsidTr="00B1273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Nepieciešamie saistītie tiesību aktu projekti</w:t>
            </w:r>
          </w:p>
        </w:tc>
        <w:tc>
          <w:tcPr>
            <w:tcW w:w="3252" w:type="pct"/>
            <w:tcBorders>
              <w:top w:val="outset" w:sz="6" w:space="0" w:color="auto"/>
              <w:left w:val="outset" w:sz="6" w:space="0" w:color="auto"/>
              <w:bottom w:val="outset" w:sz="6" w:space="0" w:color="auto"/>
              <w:right w:val="outset" w:sz="6" w:space="0" w:color="auto"/>
            </w:tcBorders>
            <w:hideMark/>
          </w:tcPr>
          <w:p w:rsidR="00B12732" w:rsidRPr="00A917E4" w:rsidRDefault="003A40DA" w:rsidP="00536C4A">
            <w:pPr>
              <w:pStyle w:val="Footer"/>
              <w:tabs>
                <w:tab w:val="left" w:pos="3150"/>
              </w:tabs>
              <w:jc w:val="both"/>
              <w:rPr>
                <w:lang w:eastAsia="en-US"/>
              </w:rPr>
            </w:pPr>
            <w:r w:rsidRPr="00A917E4">
              <w:t xml:space="preserve">Grozījumi nepieciešami Finanšu un kapitāla tirgus komisijas 2009. gada 25. septembra noteikumos Nr. 112 "Licenču kredītiestādes un </w:t>
            </w:r>
            <w:proofErr w:type="spellStart"/>
            <w:r w:rsidRPr="00A917E4">
              <w:t>krājaizdevu</w:t>
            </w:r>
            <w:proofErr w:type="spellEnd"/>
            <w:r w:rsidRPr="00A917E4">
              <w:t xml:space="preserve"> sabiedrības darbības veikšanai izsniegšanas, atsevišķu kredītiestāžu un </w:t>
            </w:r>
            <w:proofErr w:type="spellStart"/>
            <w:r w:rsidRPr="00A917E4">
              <w:t>krājaizdevu</w:t>
            </w:r>
            <w:proofErr w:type="spellEnd"/>
            <w:r w:rsidRPr="00A917E4">
              <w:t xml:space="preserve"> sabiedrību darbību reglamentējošo atļauju saņemšanas, dokumentu saskaņošanas un informācijas sniegšanas normatīvie noteikumi".</w:t>
            </w:r>
          </w:p>
        </w:tc>
      </w:tr>
      <w:tr w:rsidR="00B12732" w:rsidRPr="00A917E4" w:rsidTr="00B1273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2.</w:t>
            </w:r>
          </w:p>
        </w:tc>
        <w:tc>
          <w:tcPr>
            <w:tcW w:w="1429"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Atbildīgā institūcija</w:t>
            </w:r>
          </w:p>
        </w:tc>
        <w:tc>
          <w:tcPr>
            <w:tcW w:w="3252" w:type="pct"/>
            <w:tcBorders>
              <w:top w:val="outset" w:sz="6" w:space="0" w:color="auto"/>
              <w:left w:val="outset" w:sz="6" w:space="0" w:color="auto"/>
              <w:bottom w:val="outset" w:sz="6" w:space="0" w:color="auto"/>
              <w:right w:val="outset" w:sz="6" w:space="0" w:color="auto"/>
            </w:tcBorders>
            <w:hideMark/>
          </w:tcPr>
          <w:p w:rsidR="00B12732" w:rsidRPr="00A917E4" w:rsidRDefault="003A40DA" w:rsidP="00536C4A">
            <w:pPr>
              <w:pStyle w:val="Footer"/>
              <w:tabs>
                <w:tab w:val="left" w:pos="3150"/>
              </w:tabs>
              <w:jc w:val="both"/>
              <w:rPr>
                <w:lang w:eastAsia="en-US"/>
              </w:rPr>
            </w:pPr>
            <w:r w:rsidRPr="00A917E4">
              <w:rPr>
                <w:lang w:eastAsia="en-US"/>
              </w:rPr>
              <w:t>Fina</w:t>
            </w:r>
            <w:r w:rsidR="00536C4A" w:rsidRPr="00A917E4">
              <w:rPr>
                <w:lang w:eastAsia="en-US"/>
              </w:rPr>
              <w:t>nšu un kapitāla tirgus komisija</w:t>
            </w:r>
          </w:p>
        </w:tc>
      </w:tr>
      <w:tr w:rsidR="00B12732" w:rsidRPr="00A917E4" w:rsidTr="00B1273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3.</w:t>
            </w:r>
          </w:p>
        </w:tc>
        <w:tc>
          <w:tcPr>
            <w:tcW w:w="1429"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Cita informācija</w:t>
            </w:r>
          </w:p>
        </w:tc>
        <w:tc>
          <w:tcPr>
            <w:tcW w:w="3252" w:type="pct"/>
            <w:tcBorders>
              <w:top w:val="outset" w:sz="6" w:space="0" w:color="auto"/>
              <w:left w:val="outset" w:sz="6" w:space="0" w:color="auto"/>
              <w:bottom w:val="outset" w:sz="6" w:space="0" w:color="auto"/>
              <w:right w:val="outset" w:sz="6" w:space="0" w:color="auto"/>
            </w:tcBorders>
            <w:hideMark/>
          </w:tcPr>
          <w:p w:rsidR="00B12732" w:rsidRPr="00A917E4" w:rsidRDefault="00B12732">
            <w:pPr>
              <w:ind w:firstLine="34"/>
              <w:jc w:val="both"/>
              <w:rPr>
                <w:rFonts w:cs="Times New Roman"/>
                <w:szCs w:val="24"/>
              </w:rPr>
            </w:pPr>
            <w:r w:rsidRPr="00A917E4">
              <w:rPr>
                <w:rFonts w:cs="Times New Roman"/>
                <w:szCs w:val="24"/>
              </w:rPr>
              <w:t>Nav.</w:t>
            </w:r>
          </w:p>
        </w:tc>
      </w:tr>
    </w:tbl>
    <w:p w:rsidR="00B12732" w:rsidRPr="00A917E4" w:rsidRDefault="00B12732" w:rsidP="00B12732">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363"/>
        <w:gridCol w:w="5478"/>
      </w:tblGrid>
      <w:tr w:rsidR="00B12732" w:rsidRPr="00A917E4" w:rsidTr="00B12732">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rsidR="00B12732" w:rsidRPr="00A917E4" w:rsidRDefault="00B12732">
            <w:pPr>
              <w:spacing w:before="100" w:beforeAutospacing="1" w:after="100" w:afterAutospacing="1" w:line="360" w:lineRule="auto"/>
              <w:ind w:firstLine="300"/>
              <w:jc w:val="center"/>
              <w:rPr>
                <w:rFonts w:eastAsia="Times New Roman" w:cs="Times New Roman"/>
                <w:b/>
                <w:bCs/>
                <w:szCs w:val="24"/>
                <w:lang w:eastAsia="lv-LV"/>
              </w:rPr>
            </w:pPr>
            <w:r w:rsidRPr="00A917E4">
              <w:rPr>
                <w:rFonts w:eastAsia="Times New Roman" w:cs="Times New Roman"/>
                <w:b/>
                <w:bCs/>
                <w:szCs w:val="24"/>
                <w:lang w:eastAsia="lv-LV"/>
              </w:rPr>
              <w:t>V. Tiesību akta projekta atbilstība Latvijas Republikas starptautiskajām saistībām</w:t>
            </w:r>
          </w:p>
        </w:tc>
      </w:tr>
      <w:tr w:rsidR="00B12732" w:rsidRPr="00A917E4" w:rsidTr="00B12732">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rsidR="00B12732" w:rsidRDefault="00F840AD" w:rsidP="00E53395">
            <w:pPr>
              <w:jc w:val="both"/>
            </w:pPr>
            <w:r w:rsidRPr="00A917E4">
              <w:rPr>
                <w:rFonts w:cs="Times New Roman"/>
                <w:szCs w:val="24"/>
              </w:rPr>
              <w:t xml:space="preserve">Likumprojekts izstrādāts, lai nodrošinātu atbilstību </w:t>
            </w:r>
            <w:r w:rsidR="00401FBB" w:rsidRPr="00401FBB">
              <w:rPr>
                <w:szCs w:val="24"/>
              </w:rPr>
              <w:t>Eiropas Parlamenta un Padomes 2015. gada 20. maija Direktīva</w:t>
            </w:r>
            <w:r w:rsidR="00401FBB">
              <w:rPr>
                <w:szCs w:val="24"/>
              </w:rPr>
              <w:t>s</w:t>
            </w:r>
            <w:r w:rsidR="00401FBB" w:rsidRPr="00401FBB">
              <w:rPr>
                <w:szCs w:val="24"/>
              </w:rPr>
              <w:t xml:space="preserve"> (ES) 2015/849 </w:t>
            </w:r>
            <w:r w:rsidR="00401FBB" w:rsidRPr="00401FBB">
              <w:rPr>
                <w:bCs/>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Pr="00A917E4">
              <w:t xml:space="preserve"> 59.</w:t>
            </w:r>
            <w:r w:rsidR="003A340C" w:rsidRPr="00A917E4">
              <w:t xml:space="preserve"> </w:t>
            </w:r>
            <w:r w:rsidRPr="00A917E4">
              <w:t>panta</w:t>
            </w:r>
            <w:r w:rsidR="00DC6F71">
              <w:t xml:space="preserve"> trešās daļas</w:t>
            </w:r>
            <w:r w:rsidRPr="00A917E4">
              <w:t xml:space="preserve"> prasībām</w:t>
            </w:r>
            <w:r w:rsidR="00E53395">
              <w:t>, kuru</w:t>
            </w:r>
            <w:r w:rsidR="00E53395" w:rsidRPr="001A0665">
              <w:rPr>
                <w:rFonts w:eastAsia="Times New Roman" w:cs="Times New Roman"/>
                <w:szCs w:val="24"/>
                <w:lang w:eastAsia="lv-LV"/>
              </w:rPr>
              <w:t xml:space="preserve"> ir pienākums transponēt līdz 2017. gada 26.jūnijam</w:t>
            </w:r>
            <w:r w:rsidRPr="00A917E4">
              <w:t>.</w:t>
            </w:r>
          </w:p>
          <w:p w:rsidR="00401FBB" w:rsidRPr="00A917E4" w:rsidRDefault="00401FBB" w:rsidP="00E53395">
            <w:pPr>
              <w:jc w:val="both"/>
              <w:rPr>
                <w:rFonts w:cs="Times New Roman"/>
                <w:szCs w:val="24"/>
              </w:rPr>
            </w:pPr>
          </w:p>
        </w:tc>
      </w:tr>
      <w:tr w:rsidR="00B12732" w:rsidRPr="00A917E4" w:rsidTr="00B12732">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2.</w:t>
            </w:r>
          </w:p>
        </w:tc>
        <w:tc>
          <w:tcPr>
            <w:tcW w:w="141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rsidR="00B12732" w:rsidRPr="00A917E4" w:rsidRDefault="007470FA" w:rsidP="004F1ABC">
            <w:pPr>
              <w:jc w:val="both"/>
              <w:rPr>
                <w:rFonts w:cs="Times New Roman"/>
                <w:iCs/>
                <w:szCs w:val="24"/>
              </w:rPr>
            </w:pPr>
            <w:r w:rsidRPr="00A917E4">
              <w:rPr>
                <w:rFonts w:cs="Times New Roman"/>
                <w:szCs w:val="24"/>
              </w:rPr>
              <w:t xml:space="preserve">Likumprojekts izstrādāts, lai nodrošinātu atbilstību  </w:t>
            </w:r>
            <w:r w:rsidR="00A25B41" w:rsidRPr="00A917E4">
              <w:rPr>
                <w:rFonts w:cs="Times New Roman"/>
                <w:szCs w:val="24"/>
              </w:rPr>
              <w:t>OECD</w:t>
            </w:r>
            <w:r w:rsidR="00A6190C" w:rsidRPr="00A917E4">
              <w:rPr>
                <w:rFonts w:cs="Times New Roman"/>
                <w:szCs w:val="24"/>
              </w:rPr>
              <w:t xml:space="preserve"> un FATF</w:t>
            </w:r>
            <w:r w:rsidR="004F1ABC" w:rsidRPr="00A917E4">
              <w:rPr>
                <w:rFonts w:cs="Times New Roman"/>
                <w:szCs w:val="24"/>
              </w:rPr>
              <w:t xml:space="preserve"> </w:t>
            </w:r>
            <w:r w:rsidR="004F1ABC" w:rsidRPr="00A917E4">
              <w:rPr>
                <w:iCs/>
              </w:rPr>
              <w:t>(</w:t>
            </w:r>
            <w:proofErr w:type="spellStart"/>
            <w:r w:rsidR="004F1ABC" w:rsidRPr="00A917E4">
              <w:rPr>
                <w:i/>
                <w:iCs/>
              </w:rPr>
              <w:t>Financial</w:t>
            </w:r>
            <w:proofErr w:type="spellEnd"/>
            <w:r w:rsidR="004F1ABC" w:rsidRPr="00A917E4">
              <w:rPr>
                <w:i/>
                <w:iCs/>
              </w:rPr>
              <w:t xml:space="preserve"> </w:t>
            </w:r>
            <w:proofErr w:type="spellStart"/>
            <w:r w:rsidR="004F1ABC" w:rsidRPr="00A917E4">
              <w:rPr>
                <w:i/>
                <w:iCs/>
              </w:rPr>
              <w:t>Action</w:t>
            </w:r>
            <w:proofErr w:type="spellEnd"/>
            <w:r w:rsidR="004F1ABC" w:rsidRPr="00A917E4">
              <w:rPr>
                <w:i/>
                <w:iCs/>
              </w:rPr>
              <w:t xml:space="preserve"> </w:t>
            </w:r>
            <w:proofErr w:type="spellStart"/>
            <w:r w:rsidR="004F1ABC" w:rsidRPr="00A917E4">
              <w:rPr>
                <w:i/>
                <w:iCs/>
              </w:rPr>
              <w:t>Task</w:t>
            </w:r>
            <w:proofErr w:type="spellEnd"/>
            <w:r w:rsidR="004F1ABC" w:rsidRPr="00A917E4">
              <w:rPr>
                <w:i/>
                <w:iCs/>
              </w:rPr>
              <w:t xml:space="preserve"> </w:t>
            </w:r>
            <w:proofErr w:type="spellStart"/>
            <w:r w:rsidR="004F1ABC" w:rsidRPr="00A917E4">
              <w:rPr>
                <w:i/>
                <w:iCs/>
              </w:rPr>
              <w:t>Force</w:t>
            </w:r>
            <w:proofErr w:type="spellEnd"/>
            <w:r w:rsidR="004F1ABC" w:rsidRPr="00A917E4">
              <w:rPr>
                <w:iCs/>
              </w:rPr>
              <w:t>) 2012.</w:t>
            </w:r>
            <w:r w:rsidR="00536C4A" w:rsidRPr="00A917E4">
              <w:rPr>
                <w:iCs/>
              </w:rPr>
              <w:t xml:space="preserve"> </w:t>
            </w:r>
            <w:r w:rsidR="004F1ABC" w:rsidRPr="00A917E4">
              <w:rPr>
                <w:iCs/>
              </w:rPr>
              <w:t>gada februārī apstiprinātajām</w:t>
            </w:r>
            <w:r w:rsidR="00A25B41" w:rsidRPr="00A917E4">
              <w:rPr>
                <w:rFonts w:cs="Times New Roman"/>
                <w:szCs w:val="24"/>
              </w:rPr>
              <w:t xml:space="preserve"> rekomendācijām.</w:t>
            </w:r>
          </w:p>
        </w:tc>
      </w:tr>
      <w:tr w:rsidR="00B12732" w:rsidRPr="00A917E4" w:rsidTr="00B12732">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rsidR="00B12732" w:rsidRPr="00A917E4" w:rsidRDefault="00B12732">
            <w:pPr>
              <w:jc w:val="both"/>
              <w:rPr>
                <w:rFonts w:cs="Times New Roman"/>
                <w:szCs w:val="24"/>
              </w:rPr>
            </w:pPr>
            <w:r w:rsidRPr="00A917E4">
              <w:rPr>
                <w:rFonts w:cs="Times New Roman"/>
                <w:szCs w:val="24"/>
              </w:rPr>
              <w:t xml:space="preserve">Nav. </w:t>
            </w:r>
          </w:p>
        </w:tc>
      </w:tr>
    </w:tbl>
    <w:p w:rsidR="00B12732" w:rsidRDefault="00B12732" w:rsidP="00B12732">
      <w:pPr>
        <w:spacing w:before="100" w:beforeAutospacing="1" w:after="100" w:afterAutospacing="1" w:line="360" w:lineRule="auto"/>
        <w:rPr>
          <w:rFonts w:eastAsia="Times New Roman" w:cs="Times New Roman"/>
          <w:szCs w:val="24"/>
          <w:lang w:eastAsia="lv-LV"/>
        </w:rPr>
      </w:pPr>
    </w:p>
    <w:p w:rsidR="00401FBB" w:rsidRPr="00A917E4" w:rsidRDefault="00401FBB" w:rsidP="00B12732">
      <w:pPr>
        <w:spacing w:before="100" w:beforeAutospacing="1" w:after="100" w:afterAutospacing="1" w:line="360" w:lineRule="auto"/>
        <w:rPr>
          <w:rFonts w:eastAsia="Times New Roman" w:cs="Times New Roman"/>
          <w:szCs w:val="24"/>
          <w:lang w:eastAsia="lv-LV"/>
        </w:rPr>
      </w:pP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0"/>
        <w:gridCol w:w="2370"/>
        <w:gridCol w:w="2327"/>
        <w:gridCol w:w="2264"/>
      </w:tblGrid>
      <w:tr w:rsidR="004F48FB" w:rsidRPr="00192293" w:rsidTr="00A34004">
        <w:trPr>
          <w:trHeight w:val="698"/>
          <w:jc w:val="center"/>
        </w:trPr>
        <w:tc>
          <w:tcPr>
            <w:tcW w:w="8311" w:type="dxa"/>
            <w:gridSpan w:val="4"/>
            <w:tcBorders>
              <w:top w:val="single" w:sz="4" w:space="0" w:color="auto"/>
              <w:left w:val="single" w:sz="4" w:space="0" w:color="auto"/>
              <w:bottom w:val="single" w:sz="4" w:space="0" w:color="auto"/>
              <w:right w:val="single" w:sz="4" w:space="0" w:color="auto"/>
            </w:tcBorders>
            <w:vAlign w:val="center"/>
          </w:tcPr>
          <w:p w:rsidR="004F48FB" w:rsidRPr="00192293" w:rsidRDefault="004F48FB" w:rsidP="00A34004">
            <w:pPr>
              <w:pStyle w:val="naisnod"/>
              <w:spacing w:before="0" w:after="0"/>
            </w:pPr>
            <w:r w:rsidRPr="00192293">
              <w:lastRenderedPageBreak/>
              <w:t xml:space="preserve">1.tabula </w:t>
            </w:r>
          </w:p>
          <w:p w:rsidR="004F48FB" w:rsidRDefault="004F48FB" w:rsidP="00A34004">
            <w:pPr>
              <w:pStyle w:val="naisnod"/>
            </w:pPr>
            <w:r w:rsidRPr="00192293">
              <w:t>Tiesību akta projekta atbilstība ES tiesību aktiem</w:t>
            </w:r>
          </w:p>
          <w:p w:rsidR="00401FBB" w:rsidRPr="00464A43" w:rsidRDefault="00401FBB" w:rsidP="00A34004">
            <w:pPr>
              <w:pStyle w:val="naisnod"/>
            </w:pPr>
          </w:p>
        </w:tc>
      </w:tr>
      <w:tr w:rsidR="004F48FB" w:rsidRPr="00192293" w:rsidTr="00A34004">
        <w:tblPrEx>
          <w:jc w:val="left"/>
          <w:tblCellMar>
            <w:top w:w="28" w:type="dxa"/>
            <w:left w:w="28" w:type="dxa"/>
            <w:bottom w:w="28" w:type="dxa"/>
            <w:right w:w="28" w:type="dxa"/>
          </w:tblCellMar>
        </w:tblPrEx>
        <w:trPr>
          <w:trHeight w:val="1058"/>
        </w:trPr>
        <w:tc>
          <w:tcPr>
            <w:tcW w:w="1350" w:type="dxa"/>
            <w:vAlign w:val="center"/>
          </w:tcPr>
          <w:p w:rsidR="004F48FB" w:rsidRPr="00192293" w:rsidRDefault="004F48FB" w:rsidP="00A34004">
            <w:pPr>
              <w:ind w:hanging="10"/>
              <w:jc w:val="center"/>
              <w:rPr>
                <w:szCs w:val="24"/>
                <w:lang w:eastAsia="lv-LV"/>
              </w:rPr>
            </w:pPr>
            <w:r w:rsidRPr="00192293">
              <w:rPr>
                <w:szCs w:val="24"/>
                <w:lang w:eastAsia="lv-LV"/>
              </w:rPr>
              <w:t>Attiecīgā ES tiesību akta datums, numurs un nosaukums</w:t>
            </w:r>
          </w:p>
        </w:tc>
        <w:tc>
          <w:tcPr>
            <w:tcW w:w="6961" w:type="dxa"/>
            <w:gridSpan w:val="3"/>
            <w:vAlign w:val="center"/>
          </w:tcPr>
          <w:p w:rsidR="004F48FB" w:rsidRPr="00192293" w:rsidRDefault="004F48FB" w:rsidP="00A34004">
            <w:pPr>
              <w:jc w:val="center"/>
              <w:rPr>
                <w:szCs w:val="24"/>
                <w:lang w:eastAsia="lv-LV"/>
              </w:rPr>
            </w:pPr>
            <w:r w:rsidRPr="00192293">
              <w:rPr>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4F48FB" w:rsidRPr="00192293" w:rsidTr="00A34004">
        <w:tblPrEx>
          <w:jc w:val="left"/>
          <w:tblCellMar>
            <w:top w:w="28" w:type="dxa"/>
            <w:left w:w="28" w:type="dxa"/>
            <w:bottom w:w="28" w:type="dxa"/>
            <w:right w:w="28" w:type="dxa"/>
          </w:tblCellMar>
        </w:tblPrEx>
        <w:trPr>
          <w:trHeight w:val="165"/>
        </w:trPr>
        <w:tc>
          <w:tcPr>
            <w:tcW w:w="1350" w:type="dxa"/>
            <w:vAlign w:val="center"/>
          </w:tcPr>
          <w:p w:rsidR="004F48FB" w:rsidRPr="00192293" w:rsidRDefault="004F48FB" w:rsidP="00A34004">
            <w:pPr>
              <w:jc w:val="center"/>
              <w:rPr>
                <w:szCs w:val="24"/>
                <w:lang w:eastAsia="lv-LV"/>
              </w:rPr>
            </w:pPr>
            <w:r w:rsidRPr="00192293">
              <w:rPr>
                <w:szCs w:val="24"/>
                <w:lang w:eastAsia="lv-LV"/>
              </w:rPr>
              <w:t>A</w:t>
            </w:r>
          </w:p>
        </w:tc>
        <w:tc>
          <w:tcPr>
            <w:tcW w:w="2370" w:type="dxa"/>
            <w:vAlign w:val="center"/>
          </w:tcPr>
          <w:p w:rsidR="004F48FB" w:rsidRPr="00192293" w:rsidRDefault="004F48FB" w:rsidP="00A34004">
            <w:pPr>
              <w:jc w:val="center"/>
              <w:rPr>
                <w:szCs w:val="24"/>
                <w:lang w:eastAsia="lv-LV"/>
              </w:rPr>
            </w:pPr>
            <w:r w:rsidRPr="00192293">
              <w:rPr>
                <w:szCs w:val="24"/>
                <w:lang w:eastAsia="lv-LV"/>
              </w:rPr>
              <w:t>B</w:t>
            </w:r>
          </w:p>
        </w:tc>
        <w:tc>
          <w:tcPr>
            <w:tcW w:w="2327" w:type="dxa"/>
            <w:vAlign w:val="center"/>
          </w:tcPr>
          <w:p w:rsidR="004F48FB" w:rsidRPr="00192293" w:rsidRDefault="004F48FB" w:rsidP="00A34004">
            <w:pPr>
              <w:jc w:val="center"/>
              <w:rPr>
                <w:szCs w:val="24"/>
                <w:lang w:eastAsia="lv-LV"/>
              </w:rPr>
            </w:pPr>
            <w:r w:rsidRPr="00192293">
              <w:rPr>
                <w:szCs w:val="24"/>
                <w:lang w:eastAsia="lv-LV"/>
              </w:rPr>
              <w:t>C</w:t>
            </w:r>
          </w:p>
        </w:tc>
        <w:tc>
          <w:tcPr>
            <w:tcW w:w="2264" w:type="dxa"/>
            <w:vAlign w:val="center"/>
          </w:tcPr>
          <w:p w:rsidR="004F48FB" w:rsidRPr="00192293" w:rsidRDefault="004F48FB" w:rsidP="00A34004">
            <w:pPr>
              <w:jc w:val="center"/>
              <w:rPr>
                <w:szCs w:val="24"/>
                <w:lang w:eastAsia="lv-LV"/>
              </w:rPr>
            </w:pPr>
            <w:r w:rsidRPr="00192293">
              <w:rPr>
                <w:szCs w:val="24"/>
                <w:lang w:eastAsia="lv-LV"/>
              </w:rPr>
              <w:t>D</w:t>
            </w:r>
          </w:p>
        </w:tc>
      </w:tr>
      <w:tr w:rsidR="004F48FB" w:rsidRPr="00192293" w:rsidTr="00A34004">
        <w:tblPrEx>
          <w:jc w:val="left"/>
          <w:tblCellMar>
            <w:top w:w="28" w:type="dxa"/>
            <w:left w:w="28" w:type="dxa"/>
            <w:bottom w:w="28" w:type="dxa"/>
            <w:right w:w="28" w:type="dxa"/>
          </w:tblCellMar>
        </w:tblPrEx>
        <w:trPr>
          <w:trHeight w:val="857"/>
        </w:trPr>
        <w:tc>
          <w:tcPr>
            <w:tcW w:w="1350" w:type="dxa"/>
          </w:tcPr>
          <w:p w:rsidR="004F48FB" w:rsidRPr="00192293" w:rsidRDefault="004F48FB" w:rsidP="00A34004">
            <w:pPr>
              <w:jc w:val="both"/>
              <w:rPr>
                <w:szCs w:val="24"/>
                <w:lang w:eastAsia="lv-LV"/>
              </w:rPr>
            </w:pPr>
            <w:r w:rsidRPr="00192293">
              <w:rPr>
                <w:szCs w:val="24"/>
                <w:lang w:eastAsia="lv-LV"/>
              </w:rPr>
              <w:t>Attiecīgā ES tiesību akta panta numurs (uzskaitot katru tiesību akta vienību - pantu, daļu, punktu, apakšpunktu)</w:t>
            </w:r>
          </w:p>
        </w:tc>
        <w:tc>
          <w:tcPr>
            <w:tcW w:w="2370" w:type="dxa"/>
          </w:tcPr>
          <w:p w:rsidR="004F48FB" w:rsidRPr="00192293" w:rsidRDefault="004F48FB" w:rsidP="00A34004">
            <w:pPr>
              <w:jc w:val="both"/>
              <w:rPr>
                <w:szCs w:val="24"/>
                <w:lang w:eastAsia="lv-LV"/>
              </w:rPr>
            </w:pPr>
            <w:r w:rsidRPr="00192293">
              <w:rPr>
                <w:szCs w:val="24"/>
                <w:lang w:eastAsia="lv-LV"/>
              </w:rPr>
              <w:t>Projekta vienība, kas pārņem vai ievieš katru šīs tabulas A ailē minēto ES tiesību akta vienību</w:t>
            </w:r>
          </w:p>
        </w:tc>
        <w:tc>
          <w:tcPr>
            <w:tcW w:w="2327" w:type="dxa"/>
          </w:tcPr>
          <w:p w:rsidR="004F48FB" w:rsidRPr="00192293" w:rsidRDefault="004F48FB" w:rsidP="00A34004">
            <w:pPr>
              <w:jc w:val="both"/>
              <w:rPr>
                <w:spacing w:val="-6"/>
                <w:szCs w:val="24"/>
                <w:lang w:eastAsia="lv-LV"/>
              </w:rPr>
            </w:pPr>
            <w:r w:rsidRPr="00192293">
              <w:rPr>
                <w:spacing w:val="-6"/>
                <w:szCs w:val="24"/>
                <w:lang w:eastAsia="lv-LV"/>
              </w:rPr>
              <w:t>Informācija par to, vai šīs tabulas A ailē minētās ES tiesību akta vienības tiek pārņemtas vai ieviestas pilnībā vai daļēji.</w:t>
            </w:r>
          </w:p>
          <w:p w:rsidR="004F48FB" w:rsidRPr="00192293" w:rsidRDefault="004F48FB" w:rsidP="00A34004">
            <w:pPr>
              <w:jc w:val="both"/>
              <w:rPr>
                <w:spacing w:val="-6"/>
                <w:szCs w:val="24"/>
                <w:lang w:eastAsia="lv-LV"/>
              </w:rPr>
            </w:pPr>
            <w:r w:rsidRPr="00192293">
              <w:rPr>
                <w:spacing w:val="-6"/>
                <w:szCs w:val="24"/>
                <w:lang w:eastAsia="lv-LV"/>
              </w:rPr>
              <w:t>Ja attiecīgā ES tiesību akta vienība tiek pārņemta vai ieviesta daļēji, - sniedz attiecīgu skaidrojumu, kā arī precīzi norāda, kad un kādā veidā ES tiesību akta vienība tiks pārņemta vai ieviesta pilnībā.</w:t>
            </w:r>
          </w:p>
          <w:p w:rsidR="004F48FB" w:rsidRPr="00192293" w:rsidRDefault="004F48FB" w:rsidP="00A34004">
            <w:pPr>
              <w:jc w:val="both"/>
              <w:rPr>
                <w:szCs w:val="24"/>
                <w:lang w:eastAsia="lv-LV"/>
              </w:rPr>
            </w:pPr>
            <w:r w:rsidRPr="00192293">
              <w:rPr>
                <w:szCs w:val="24"/>
                <w:lang w:eastAsia="lv-LV"/>
              </w:rPr>
              <w:t>Norāda institūciju, kas ir atbildīga par šo saistību izpildi pilnībā</w:t>
            </w:r>
          </w:p>
        </w:tc>
        <w:tc>
          <w:tcPr>
            <w:tcW w:w="2264" w:type="dxa"/>
          </w:tcPr>
          <w:p w:rsidR="004F48FB" w:rsidRPr="00192293" w:rsidRDefault="004F48FB" w:rsidP="00A34004">
            <w:pPr>
              <w:jc w:val="both"/>
              <w:rPr>
                <w:spacing w:val="-6"/>
                <w:szCs w:val="24"/>
                <w:lang w:eastAsia="lv-LV"/>
              </w:rPr>
            </w:pPr>
            <w:r w:rsidRPr="00192293">
              <w:rPr>
                <w:spacing w:val="-6"/>
                <w:szCs w:val="24"/>
                <w:lang w:eastAsia="lv-LV"/>
              </w:rPr>
              <w:t>Informācija par to, vai šīs tabulas B ailē minētās projekta vienības paredz stingrākas prasības nekā šīs tabulas A ailē minētās ES tiesību akta vienības.</w:t>
            </w:r>
          </w:p>
          <w:p w:rsidR="004F48FB" w:rsidRPr="00192293" w:rsidRDefault="004F48FB" w:rsidP="00A34004">
            <w:pPr>
              <w:jc w:val="both"/>
              <w:rPr>
                <w:spacing w:val="-6"/>
                <w:szCs w:val="24"/>
                <w:lang w:eastAsia="lv-LV"/>
              </w:rPr>
            </w:pPr>
            <w:r w:rsidRPr="00192293">
              <w:rPr>
                <w:spacing w:val="-6"/>
                <w:szCs w:val="24"/>
                <w:lang w:eastAsia="lv-LV"/>
              </w:rPr>
              <w:t>Ja projekts satur stingrākas prasības nekā attiecīgais ES tiesību akts, - norāda pamatojumu un samērīgumu.</w:t>
            </w:r>
          </w:p>
          <w:p w:rsidR="004F48FB" w:rsidRPr="00192293" w:rsidRDefault="004F48FB" w:rsidP="00A34004">
            <w:pPr>
              <w:jc w:val="both"/>
              <w:rPr>
                <w:spacing w:val="-6"/>
                <w:szCs w:val="24"/>
                <w:lang w:eastAsia="lv-LV"/>
              </w:rPr>
            </w:pPr>
            <w:r w:rsidRPr="00192293">
              <w:rPr>
                <w:spacing w:val="-6"/>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F48FB" w:rsidRPr="00192293" w:rsidTr="00A34004">
        <w:tblPrEx>
          <w:jc w:val="left"/>
          <w:tblCellMar>
            <w:top w:w="28" w:type="dxa"/>
            <w:left w:w="28" w:type="dxa"/>
            <w:bottom w:w="28" w:type="dxa"/>
            <w:right w:w="28" w:type="dxa"/>
          </w:tblCellMar>
        </w:tblPrEx>
        <w:trPr>
          <w:trHeight w:val="254"/>
        </w:trPr>
        <w:tc>
          <w:tcPr>
            <w:tcW w:w="8311" w:type="dxa"/>
            <w:gridSpan w:val="4"/>
          </w:tcPr>
          <w:p w:rsidR="004F48FB" w:rsidRPr="00192293" w:rsidRDefault="004F48FB" w:rsidP="00A34004">
            <w:pPr>
              <w:jc w:val="both"/>
              <w:rPr>
                <w:b/>
                <w:szCs w:val="24"/>
                <w:lang w:eastAsia="lv-LV"/>
              </w:rPr>
            </w:pPr>
            <w:r>
              <w:rPr>
                <w:b/>
                <w:szCs w:val="24"/>
                <w:lang w:eastAsia="lv-LV"/>
              </w:rPr>
              <w:t>Direktīva 2015/849</w:t>
            </w:r>
          </w:p>
        </w:tc>
      </w:tr>
      <w:tr w:rsidR="004F48FB" w:rsidRPr="00192293" w:rsidTr="00A34004">
        <w:tblPrEx>
          <w:jc w:val="left"/>
          <w:tblCellMar>
            <w:top w:w="28" w:type="dxa"/>
            <w:left w:w="28" w:type="dxa"/>
            <w:bottom w:w="28" w:type="dxa"/>
            <w:right w:w="28" w:type="dxa"/>
          </w:tblCellMar>
        </w:tblPrEx>
        <w:trPr>
          <w:trHeight w:val="227"/>
        </w:trPr>
        <w:tc>
          <w:tcPr>
            <w:tcW w:w="1350" w:type="dxa"/>
          </w:tcPr>
          <w:p w:rsidR="004F48FB" w:rsidRPr="00192293" w:rsidRDefault="004F48FB" w:rsidP="00A34004">
            <w:pPr>
              <w:rPr>
                <w:szCs w:val="24"/>
              </w:rPr>
            </w:pPr>
            <w:r>
              <w:rPr>
                <w:szCs w:val="24"/>
              </w:rPr>
              <w:t xml:space="preserve"> 59. panta trešā daļa</w:t>
            </w:r>
          </w:p>
        </w:tc>
        <w:tc>
          <w:tcPr>
            <w:tcW w:w="2370" w:type="dxa"/>
          </w:tcPr>
          <w:p w:rsidR="004F48FB" w:rsidRPr="00192293" w:rsidRDefault="004F48FB" w:rsidP="00A34004">
            <w:pPr>
              <w:rPr>
                <w:szCs w:val="24"/>
              </w:rPr>
            </w:pPr>
            <w:r>
              <w:rPr>
                <w:szCs w:val="24"/>
              </w:rPr>
              <w:t xml:space="preserve">Likumprojekta 6. pants </w:t>
            </w:r>
          </w:p>
        </w:tc>
        <w:tc>
          <w:tcPr>
            <w:tcW w:w="2327" w:type="dxa"/>
          </w:tcPr>
          <w:p w:rsidR="004F48FB" w:rsidRPr="00192293" w:rsidRDefault="004F48FB" w:rsidP="00A34004">
            <w:pPr>
              <w:rPr>
                <w:szCs w:val="24"/>
              </w:rPr>
            </w:pPr>
            <w:r w:rsidRPr="00192293">
              <w:rPr>
                <w:szCs w:val="24"/>
              </w:rPr>
              <w:t>ES tiesību akta vienība tiek ieviesta pilnībā.</w:t>
            </w:r>
          </w:p>
        </w:tc>
        <w:tc>
          <w:tcPr>
            <w:tcW w:w="2264" w:type="dxa"/>
          </w:tcPr>
          <w:p w:rsidR="004F48FB" w:rsidRPr="00192293" w:rsidRDefault="004F48FB" w:rsidP="004F48FB">
            <w:pPr>
              <w:jc w:val="both"/>
              <w:rPr>
                <w:szCs w:val="24"/>
              </w:rPr>
            </w:pPr>
            <w:r w:rsidRPr="00192293">
              <w:rPr>
                <w:szCs w:val="24"/>
              </w:rPr>
              <w:t xml:space="preserve">Projekts </w:t>
            </w:r>
            <w:r>
              <w:rPr>
                <w:szCs w:val="24"/>
              </w:rPr>
              <w:t>ne</w:t>
            </w:r>
            <w:r w:rsidRPr="00192293">
              <w:rPr>
                <w:szCs w:val="24"/>
              </w:rPr>
              <w:t xml:space="preserve">paredz ieviest stingrākas prasības, kā to paredz direktīva. </w:t>
            </w:r>
          </w:p>
        </w:tc>
      </w:tr>
      <w:tr w:rsidR="004F48FB" w:rsidRPr="00225B51" w:rsidTr="00A34004">
        <w:trPr>
          <w:trHeight w:val="698"/>
          <w:jc w:val="center"/>
        </w:trPr>
        <w:tc>
          <w:tcPr>
            <w:tcW w:w="8311" w:type="dxa"/>
            <w:gridSpan w:val="4"/>
            <w:vAlign w:val="center"/>
          </w:tcPr>
          <w:p w:rsidR="004F48FB" w:rsidRPr="00225B51" w:rsidRDefault="004F48FB" w:rsidP="00A34004">
            <w:pPr>
              <w:pStyle w:val="naisnod"/>
              <w:spacing w:before="0" w:after="0"/>
            </w:pPr>
            <w:r w:rsidRPr="00225B51">
              <w:t xml:space="preserve">2. tabula </w:t>
            </w:r>
          </w:p>
          <w:p w:rsidR="004F48FB" w:rsidRPr="00225B51" w:rsidRDefault="004F48FB" w:rsidP="00A34004">
            <w:pPr>
              <w:pStyle w:val="naisnod"/>
              <w:spacing w:before="0" w:after="0"/>
            </w:pPr>
            <w:r w:rsidRPr="00225B51">
              <w:t>Ar tiesību akta projektu uzņemtās saistības, kas izriet no starptautiskajiem tiesību aktiem vai starptautiskas institūcijas vai organizācijas dokumentiem.</w:t>
            </w:r>
          </w:p>
          <w:p w:rsidR="004F48FB" w:rsidRDefault="004F48FB" w:rsidP="00A34004">
            <w:pPr>
              <w:pStyle w:val="naisnod"/>
              <w:spacing w:before="0" w:after="0"/>
            </w:pPr>
            <w:r w:rsidRPr="00225B51">
              <w:t>Pasākumi šo saistību izpildei</w:t>
            </w:r>
          </w:p>
          <w:p w:rsidR="00401FBB" w:rsidRPr="00225B51" w:rsidRDefault="00401FBB" w:rsidP="00A34004">
            <w:pPr>
              <w:pStyle w:val="naisnod"/>
              <w:spacing w:before="0" w:after="0"/>
            </w:pPr>
          </w:p>
        </w:tc>
      </w:tr>
      <w:tr w:rsidR="004F48FB" w:rsidRPr="00225B51" w:rsidTr="00A34004">
        <w:trPr>
          <w:trHeight w:val="223"/>
          <w:jc w:val="center"/>
        </w:trPr>
        <w:tc>
          <w:tcPr>
            <w:tcW w:w="8311" w:type="dxa"/>
            <w:gridSpan w:val="4"/>
            <w:vAlign w:val="center"/>
          </w:tcPr>
          <w:p w:rsidR="004F48FB" w:rsidRPr="00225B51" w:rsidRDefault="004F48FB" w:rsidP="00A34004">
            <w:pPr>
              <w:pStyle w:val="naisnod"/>
              <w:spacing w:before="0" w:after="0"/>
              <w:rPr>
                <w:b w:val="0"/>
              </w:rPr>
            </w:pPr>
            <w:r w:rsidRPr="00225B51">
              <w:rPr>
                <w:b w:val="0"/>
                <w:i/>
              </w:rPr>
              <w:t>Projekts šo jomu neskar.</w:t>
            </w:r>
          </w:p>
        </w:tc>
      </w:tr>
    </w:tbl>
    <w:p w:rsidR="00C416E1" w:rsidRDefault="00C416E1" w:rsidP="00B12732">
      <w:pPr>
        <w:spacing w:before="100" w:beforeAutospacing="1" w:after="100" w:afterAutospacing="1" w:line="360" w:lineRule="auto"/>
        <w:rPr>
          <w:rFonts w:eastAsia="Times New Roman" w:cs="Times New Roman"/>
          <w:szCs w:val="24"/>
          <w:lang w:eastAsia="lv-LV"/>
        </w:rPr>
      </w:pPr>
    </w:p>
    <w:p w:rsidR="00401FBB" w:rsidRPr="00A917E4" w:rsidRDefault="00401FBB" w:rsidP="00B1273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B12732" w:rsidRPr="00A917E4" w:rsidTr="00B12732">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2732" w:rsidRPr="00A917E4" w:rsidRDefault="00B12732">
            <w:pPr>
              <w:spacing w:before="100" w:beforeAutospacing="1" w:after="100" w:afterAutospacing="1" w:line="360" w:lineRule="auto"/>
              <w:ind w:firstLine="300"/>
              <w:jc w:val="center"/>
              <w:rPr>
                <w:rFonts w:eastAsia="Times New Roman" w:cs="Times New Roman"/>
                <w:b/>
                <w:bCs/>
                <w:szCs w:val="24"/>
                <w:lang w:eastAsia="lv-LV"/>
              </w:rPr>
            </w:pPr>
            <w:r w:rsidRPr="00A917E4">
              <w:rPr>
                <w:rFonts w:eastAsia="Times New Roman" w:cs="Times New Roman"/>
                <w:b/>
                <w:bCs/>
                <w:szCs w:val="24"/>
                <w:lang w:eastAsia="lv-LV"/>
              </w:rPr>
              <w:t>VI. Sabiedrības līdzdalība un komunikācijas aktivitātes</w:t>
            </w:r>
          </w:p>
        </w:tc>
      </w:tr>
      <w:tr w:rsidR="00B12732" w:rsidRPr="00A917E4" w:rsidTr="00B12732">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rsidR="00B12732" w:rsidRPr="00A917E4" w:rsidRDefault="00B12732" w:rsidP="004F1ABC">
            <w:pPr>
              <w:jc w:val="both"/>
              <w:rPr>
                <w:rFonts w:cs="Times New Roman"/>
                <w:szCs w:val="24"/>
              </w:rPr>
            </w:pPr>
            <w:r w:rsidRPr="00A917E4">
              <w:rPr>
                <w:rFonts w:cs="Times New Roman"/>
                <w:szCs w:val="24"/>
              </w:rPr>
              <w:t>Likumprojekta izstrāde notika konsultējoties</w:t>
            </w:r>
            <w:r w:rsidR="004F1ABC" w:rsidRPr="00A917E4">
              <w:rPr>
                <w:rFonts w:cs="Times New Roman"/>
                <w:szCs w:val="24"/>
              </w:rPr>
              <w:t xml:space="preserve"> ar</w:t>
            </w:r>
            <w:r w:rsidRPr="00A917E4">
              <w:rPr>
                <w:rFonts w:cs="Times New Roman"/>
                <w:szCs w:val="24"/>
              </w:rPr>
              <w:t xml:space="preserve"> Finanšu un kapitāla tirgus komisiju</w:t>
            </w:r>
            <w:r w:rsidR="004F1ABC" w:rsidRPr="00A917E4">
              <w:rPr>
                <w:rFonts w:cs="Times New Roman"/>
                <w:szCs w:val="24"/>
              </w:rPr>
              <w:t>,</w:t>
            </w:r>
            <w:r w:rsidR="00D30FD6">
              <w:rPr>
                <w:rFonts w:cs="Times New Roman"/>
                <w:szCs w:val="24"/>
              </w:rPr>
              <w:t xml:space="preserve"> Latvijas Banku,</w:t>
            </w:r>
            <w:r w:rsidR="004F1ABC" w:rsidRPr="00A917E4">
              <w:rPr>
                <w:rFonts w:cs="Times New Roman"/>
                <w:szCs w:val="24"/>
              </w:rPr>
              <w:t xml:space="preserve"> Latvijas K</w:t>
            </w:r>
            <w:r w:rsidR="00A25B41" w:rsidRPr="00A917E4">
              <w:rPr>
                <w:rFonts w:cs="Times New Roman"/>
                <w:szCs w:val="24"/>
              </w:rPr>
              <w:t>omercbanku asociāciju</w:t>
            </w:r>
            <w:r w:rsidRPr="00A917E4">
              <w:rPr>
                <w:rFonts w:cs="Times New Roman"/>
                <w:szCs w:val="24"/>
              </w:rPr>
              <w:t>.</w:t>
            </w:r>
          </w:p>
        </w:tc>
      </w:tr>
      <w:tr w:rsidR="00B12732" w:rsidRPr="00A917E4" w:rsidTr="00B12732">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cs="Times New Roman"/>
                <w:szCs w:val="24"/>
              </w:rPr>
            </w:pPr>
            <w:r w:rsidRPr="00A917E4">
              <w:rPr>
                <w:rFonts w:cs="Times New Roman"/>
                <w:szCs w:val="24"/>
              </w:rPr>
              <w:t>Notikušas iepriekšējā punktā minētās konsultācijas.</w:t>
            </w:r>
          </w:p>
        </w:tc>
      </w:tr>
      <w:tr w:rsidR="00B12732" w:rsidRPr="00A917E4" w:rsidTr="00B12732">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rsidR="0095325E" w:rsidRPr="00A917E4" w:rsidRDefault="00B12732" w:rsidP="0095325E">
            <w:pPr>
              <w:jc w:val="both"/>
            </w:pPr>
            <w:r w:rsidRPr="00A917E4">
              <w:rPr>
                <w:rFonts w:cs="Times New Roman"/>
                <w:szCs w:val="24"/>
              </w:rPr>
              <w:t>Izstrādājot likumprojektu, tika ņemti vērā Finanšu un kapitāla tirgus komisijas</w:t>
            </w:r>
            <w:r w:rsidR="00D30FD6">
              <w:rPr>
                <w:rFonts w:cs="Times New Roman"/>
                <w:szCs w:val="24"/>
              </w:rPr>
              <w:t xml:space="preserve"> un Latvijas Bankas</w:t>
            </w:r>
            <w:r w:rsidR="00536C4A" w:rsidRPr="00A917E4">
              <w:rPr>
                <w:rFonts w:cs="Times New Roman"/>
                <w:szCs w:val="24"/>
              </w:rPr>
              <w:t xml:space="preserve"> ieteikumi. </w:t>
            </w:r>
            <w:r w:rsidR="00536C4A" w:rsidRPr="00A917E4">
              <w:t xml:space="preserve">Iebildumus par Likumprojektu izteica </w:t>
            </w:r>
            <w:r w:rsidR="00682533" w:rsidRPr="00A917E4">
              <w:rPr>
                <w:rFonts w:cs="Times New Roman"/>
                <w:szCs w:val="24"/>
              </w:rPr>
              <w:t>Latvijas Komercbanku asociācija</w:t>
            </w:r>
            <w:r w:rsidR="00536C4A" w:rsidRPr="00A917E4">
              <w:t xml:space="preserve">. </w:t>
            </w:r>
          </w:p>
          <w:p w:rsidR="00B12732" w:rsidRPr="00A917E4" w:rsidRDefault="00CF420B" w:rsidP="0095325E">
            <w:pPr>
              <w:jc w:val="both"/>
              <w:rPr>
                <w:rFonts w:cs="Times New Roman"/>
                <w:szCs w:val="24"/>
              </w:rPr>
            </w:pPr>
            <w:r w:rsidRPr="00A917E4">
              <w:rPr>
                <w:rFonts w:cs="Times New Roman"/>
                <w:szCs w:val="24"/>
              </w:rPr>
              <w:t>Likumprojekts</w:t>
            </w:r>
            <w:r w:rsidR="00841CBD" w:rsidRPr="00A917E4">
              <w:rPr>
                <w:rFonts w:cs="Times New Roman"/>
                <w:szCs w:val="24"/>
              </w:rPr>
              <w:t xml:space="preserve"> tika publicēts</w:t>
            </w:r>
            <w:r w:rsidR="00B12732" w:rsidRPr="00A917E4">
              <w:rPr>
                <w:rFonts w:cs="Times New Roman"/>
                <w:szCs w:val="24"/>
              </w:rPr>
              <w:t xml:space="preserve"> Finanšu ministrijas mājas lapā, sadaļā “Sabiedrības līdzdalība”. </w:t>
            </w:r>
          </w:p>
        </w:tc>
      </w:tr>
      <w:tr w:rsidR="00B12732" w:rsidRPr="00A917E4" w:rsidTr="00B12732">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536C4A" w:rsidRPr="00A917E4" w:rsidRDefault="00536C4A" w:rsidP="00536C4A">
            <w:pPr>
              <w:spacing w:after="120"/>
              <w:jc w:val="both"/>
            </w:pPr>
            <w:r w:rsidRPr="00A917E4">
              <w:t xml:space="preserve">Sabiedrība pēc normatīvā akta pieņemšanas tiks informēta ar publikāciju laikrakstā "Latvijas Vēstnesis", kā arī tas tiks ievietots informācijas sistēmā "NAIS" un bezmaksas normatīvo aktu datu bāzē </w:t>
            </w:r>
            <w:r w:rsidRPr="00A917E4">
              <w:rPr>
                <w:rFonts w:eastAsia="Calibri"/>
              </w:rPr>
              <w:t>www.likumi.lv</w:t>
            </w:r>
            <w:r w:rsidRPr="00A917E4">
              <w:t>.</w:t>
            </w:r>
          </w:p>
          <w:p w:rsidR="00B12732" w:rsidRPr="00A917E4" w:rsidRDefault="00536C4A" w:rsidP="00536C4A">
            <w:pPr>
              <w:spacing w:before="100" w:beforeAutospacing="1" w:after="100" w:afterAutospacing="1" w:line="360" w:lineRule="auto"/>
              <w:rPr>
                <w:rFonts w:eastAsia="Times New Roman" w:cs="Times New Roman"/>
                <w:szCs w:val="24"/>
                <w:lang w:eastAsia="lv-LV"/>
              </w:rPr>
            </w:pPr>
            <w:r w:rsidRPr="00A917E4">
              <w:t>Likums tiks ievietots arī Komisijas mājas lapā internetā.</w:t>
            </w:r>
          </w:p>
        </w:tc>
      </w:tr>
    </w:tbl>
    <w:p w:rsidR="00C416E1" w:rsidRDefault="00C416E1" w:rsidP="00B12732">
      <w:pPr>
        <w:spacing w:before="100" w:beforeAutospacing="1" w:after="100" w:afterAutospacing="1" w:line="360" w:lineRule="auto"/>
        <w:rPr>
          <w:rFonts w:eastAsia="Times New Roman" w:cs="Times New Roman"/>
          <w:szCs w:val="24"/>
          <w:lang w:eastAsia="lv-LV"/>
        </w:rPr>
      </w:pPr>
    </w:p>
    <w:p w:rsidR="00401FBB" w:rsidRPr="00A917E4" w:rsidRDefault="00401FBB" w:rsidP="00B1273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B12732" w:rsidRPr="00A917E4" w:rsidTr="00B1273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2732" w:rsidRPr="00A917E4" w:rsidRDefault="00B12732">
            <w:pPr>
              <w:spacing w:before="100" w:beforeAutospacing="1" w:after="100" w:afterAutospacing="1" w:line="360" w:lineRule="auto"/>
              <w:ind w:firstLine="300"/>
              <w:jc w:val="center"/>
              <w:rPr>
                <w:rFonts w:eastAsia="Times New Roman" w:cs="Times New Roman"/>
                <w:b/>
                <w:bCs/>
                <w:szCs w:val="24"/>
                <w:lang w:eastAsia="lv-LV"/>
              </w:rPr>
            </w:pPr>
            <w:r w:rsidRPr="00A917E4">
              <w:rPr>
                <w:rFonts w:eastAsia="Times New Roman" w:cs="Times New Roman"/>
                <w:b/>
                <w:bCs/>
                <w:szCs w:val="24"/>
                <w:lang w:eastAsia="lv-LV"/>
              </w:rPr>
              <w:t>VII. Tiesību akta projekta izpildes nodrošināšana un tās ietekme uz institūcijām</w:t>
            </w:r>
          </w:p>
        </w:tc>
      </w:tr>
      <w:tr w:rsidR="00B12732" w:rsidRPr="00A917E4" w:rsidTr="00B12732">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B12732" w:rsidRPr="00A917E4" w:rsidRDefault="00B12732" w:rsidP="00A25B41">
            <w:pPr>
              <w:jc w:val="both"/>
              <w:rPr>
                <w:rFonts w:eastAsia="Times New Roman" w:cs="Times New Roman"/>
                <w:szCs w:val="24"/>
                <w:lang w:eastAsia="lv-LV"/>
              </w:rPr>
            </w:pPr>
            <w:r w:rsidRPr="00A917E4">
              <w:rPr>
                <w:rFonts w:cs="Times New Roman"/>
                <w:szCs w:val="24"/>
              </w:rPr>
              <w:t>Likumprojekta izpildi nodrošinās Finanšu un kapitāla tirgus komisija</w:t>
            </w:r>
            <w:r w:rsidRPr="00A917E4">
              <w:rPr>
                <w:rFonts w:eastAsia="Times New Roman" w:cs="Times New Roman"/>
                <w:szCs w:val="24"/>
                <w:lang w:eastAsia="lv-LV"/>
              </w:rPr>
              <w:t>.</w:t>
            </w:r>
          </w:p>
        </w:tc>
      </w:tr>
      <w:tr w:rsidR="00B12732" w:rsidRPr="00A917E4" w:rsidTr="00B12732">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B12732" w:rsidRPr="00A917E4" w:rsidRDefault="00B12732" w:rsidP="00A87312">
            <w:pPr>
              <w:jc w:val="both"/>
              <w:rPr>
                <w:rFonts w:eastAsia="Times New Roman" w:cs="Times New Roman"/>
                <w:szCs w:val="24"/>
                <w:lang w:eastAsia="lv-LV"/>
              </w:rPr>
            </w:pPr>
            <w:r w:rsidRPr="00A917E4">
              <w:rPr>
                <w:rFonts w:eastAsia="Times New Roman" w:cs="Times New Roman"/>
                <w:szCs w:val="24"/>
                <w:lang w:eastAsia="lv-LV"/>
              </w:rPr>
              <w:t xml:space="preserve">Projekta izpildes ietekme uz pārvaldes funkcijām un institucionālo struktūru. </w:t>
            </w:r>
          </w:p>
          <w:p w:rsidR="00B12732" w:rsidRPr="00A917E4" w:rsidRDefault="00B12732" w:rsidP="00A87312">
            <w:pPr>
              <w:jc w:val="both"/>
              <w:rPr>
                <w:rFonts w:eastAsia="Times New Roman" w:cs="Times New Roman"/>
                <w:szCs w:val="24"/>
                <w:lang w:eastAsia="lv-LV"/>
              </w:rPr>
            </w:pPr>
            <w:r w:rsidRPr="00A917E4">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B12732" w:rsidRPr="00A917E4" w:rsidRDefault="00B12732" w:rsidP="00682533">
            <w:pPr>
              <w:jc w:val="both"/>
              <w:rPr>
                <w:rFonts w:cs="Times New Roman"/>
                <w:szCs w:val="24"/>
              </w:rPr>
            </w:pPr>
            <w:r w:rsidRPr="00A917E4">
              <w:rPr>
                <w:rFonts w:eastAsia="Times New Roman" w:cs="Times New Roman"/>
                <w:szCs w:val="24"/>
                <w:lang w:eastAsia="lv-LV"/>
              </w:rPr>
              <w:t xml:space="preserve">Tiesību akta projekta apstiprināšanas rezultātā </w:t>
            </w:r>
            <w:r w:rsidR="00A25B41" w:rsidRPr="00A917E4">
              <w:rPr>
                <w:rFonts w:cs="Times New Roman"/>
                <w:szCs w:val="24"/>
              </w:rPr>
              <w:t xml:space="preserve">tiks palielināts soda naudas apmērs </w:t>
            </w:r>
            <w:r w:rsidR="00A6190C" w:rsidRPr="00A917E4">
              <w:rPr>
                <w:rFonts w:cs="Times New Roman"/>
                <w:szCs w:val="24"/>
              </w:rPr>
              <w:t xml:space="preserve">par NILLTFN </w:t>
            </w:r>
            <w:r w:rsidR="00682533" w:rsidRPr="00A917E4">
              <w:rPr>
                <w:rFonts w:cs="Times New Roman"/>
                <w:szCs w:val="24"/>
              </w:rPr>
              <w:t>prasību</w:t>
            </w:r>
            <w:r w:rsidR="00A6190C" w:rsidRPr="00A917E4">
              <w:rPr>
                <w:rFonts w:cs="Times New Roman"/>
                <w:szCs w:val="24"/>
              </w:rPr>
              <w:t xml:space="preserve"> pārkāpumiem, savukārt </w:t>
            </w:r>
            <w:r w:rsidR="00A6190C" w:rsidRPr="00A917E4">
              <w:rPr>
                <w:bCs/>
                <w:szCs w:val="24"/>
              </w:rPr>
              <w:t xml:space="preserve">par </w:t>
            </w:r>
            <w:r w:rsidR="00682533" w:rsidRPr="00A917E4">
              <w:rPr>
                <w:bCs/>
                <w:szCs w:val="24"/>
              </w:rPr>
              <w:t>NILLTFN</w:t>
            </w:r>
            <w:r w:rsidR="00A6190C" w:rsidRPr="00A917E4">
              <w:rPr>
                <w:bCs/>
                <w:szCs w:val="24"/>
              </w:rPr>
              <w:t xml:space="preserve"> prasību izpildi atbildīgajai personai tiks  izvirzītas tādas pašas prasības, kādas ir izvirzīts risku direktoram, iekšējā audita dienesta vadītājam un citām Kredītiestāžu likuma 15. un 24. pantā minētajām personām. </w:t>
            </w:r>
            <w:r w:rsidR="00A6190C" w:rsidRPr="00A917E4">
              <w:rPr>
                <w:rFonts w:eastAsia="Times New Roman" w:cs="Times New Roman"/>
                <w:szCs w:val="24"/>
                <w:lang w:eastAsia="lv-LV"/>
              </w:rPr>
              <w:t xml:space="preserve">  </w:t>
            </w:r>
            <w:r w:rsidRPr="00A917E4">
              <w:rPr>
                <w:rFonts w:cs="Times New Roman"/>
                <w:szCs w:val="24"/>
              </w:rPr>
              <w:t xml:space="preserve"> </w:t>
            </w:r>
          </w:p>
        </w:tc>
      </w:tr>
      <w:tr w:rsidR="00B12732" w:rsidRPr="00A917E4" w:rsidTr="00B12732">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B12732" w:rsidRPr="00A917E4" w:rsidRDefault="00B12732">
            <w:pPr>
              <w:rPr>
                <w:rFonts w:eastAsia="Times New Roman" w:cs="Times New Roman"/>
                <w:szCs w:val="24"/>
                <w:lang w:eastAsia="lv-LV"/>
              </w:rPr>
            </w:pPr>
            <w:r w:rsidRPr="00A917E4">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B12732" w:rsidRPr="00A917E4" w:rsidRDefault="00B12732">
            <w:pPr>
              <w:spacing w:before="100" w:beforeAutospacing="1" w:after="100" w:afterAutospacing="1" w:line="360" w:lineRule="auto"/>
              <w:rPr>
                <w:rFonts w:eastAsia="Times New Roman" w:cs="Times New Roman"/>
                <w:szCs w:val="24"/>
                <w:lang w:eastAsia="lv-LV"/>
              </w:rPr>
            </w:pPr>
            <w:r w:rsidRPr="00A917E4">
              <w:rPr>
                <w:rFonts w:eastAsia="Times New Roman" w:cs="Times New Roman"/>
                <w:szCs w:val="24"/>
                <w:lang w:eastAsia="lv-LV"/>
              </w:rPr>
              <w:t>Nav</w:t>
            </w:r>
          </w:p>
        </w:tc>
      </w:tr>
    </w:tbl>
    <w:p w:rsidR="00B12732" w:rsidRPr="00A917E4" w:rsidRDefault="00B12732" w:rsidP="00B12732">
      <w:pPr>
        <w:rPr>
          <w:rFonts w:cs="Times New Roman"/>
          <w:szCs w:val="24"/>
        </w:rPr>
      </w:pPr>
    </w:p>
    <w:p w:rsidR="00A32F52" w:rsidRPr="00A917E4" w:rsidRDefault="00A32F52" w:rsidP="00A32F52">
      <w:pPr>
        <w:pStyle w:val="NormalWeb"/>
        <w:tabs>
          <w:tab w:val="left" w:pos="6521"/>
        </w:tabs>
        <w:spacing w:before="0" w:beforeAutospacing="0" w:after="0" w:afterAutospacing="0"/>
        <w:ind w:left="540" w:hanging="540"/>
      </w:pPr>
      <w:r w:rsidRPr="00A917E4">
        <w:t xml:space="preserve">Finanšu ministre                                                                                </w:t>
      </w:r>
      <w:r w:rsidRPr="00A917E4">
        <w:rPr>
          <w:color w:val="000000"/>
        </w:rPr>
        <w:t>D. Reizniece-Ozola</w:t>
      </w:r>
    </w:p>
    <w:p w:rsidR="00536C4A" w:rsidRPr="00A917E4" w:rsidRDefault="00536C4A" w:rsidP="00050F20">
      <w:pPr>
        <w:pStyle w:val="NormalWeb"/>
        <w:tabs>
          <w:tab w:val="left" w:pos="6521"/>
        </w:tabs>
        <w:spacing w:before="0" w:beforeAutospacing="0" w:after="0" w:afterAutospacing="0"/>
      </w:pPr>
    </w:p>
    <w:p w:rsidR="00B12732" w:rsidRPr="00A917E4" w:rsidRDefault="000F0550" w:rsidP="00B12732">
      <w:pPr>
        <w:rPr>
          <w:rFonts w:eastAsia="Times New Roman" w:cs="Times New Roman"/>
          <w:sz w:val="20"/>
          <w:szCs w:val="20"/>
        </w:rPr>
      </w:pPr>
      <w:r>
        <w:rPr>
          <w:rFonts w:eastAsia="Times New Roman" w:cs="Times New Roman"/>
          <w:sz w:val="20"/>
          <w:szCs w:val="20"/>
        </w:rPr>
        <w:t>01.03</w:t>
      </w:r>
      <w:r w:rsidR="00287EC9" w:rsidRPr="00A917E4">
        <w:rPr>
          <w:rFonts w:eastAsia="Times New Roman" w:cs="Times New Roman"/>
          <w:sz w:val="20"/>
          <w:szCs w:val="20"/>
        </w:rPr>
        <w:t>.2016</w:t>
      </w:r>
      <w:r w:rsidR="00B12732" w:rsidRPr="00A917E4">
        <w:rPr>
          <w:rFonts w:eastAsia="Times New Roman" w:cs="Times New Roman"/>
          <w:sz w:val="20"/>
          <w:szCs w:val="20"/>
        </w:rPr>
        <w:t>. 9:35</w:t>
      </w:r>
    </w:p>
    <w:p w:rsidR="00B12732" w:rsidRPr="00A917E4" w:rsidRDefault="00D30FD6" w:rsidP="00B12732">
      <w:pPr>
        <w:rPr>
          <w:rFonts w:eastAsia="Times New Roman" w:cs="Times New Roman"/>
          <w:sz w:val="20"/>
          <w:szCs w:val="20"/>
        </w:rPr>
      </w:pPr>
      <w:r>
        <w:rPr>
          <w:rFonts w:eastAsia="Times New Roman" w:cs="Times New Roman"/>
          <w:sz w:val="20"/>
          <w:szCs w:val="20"/>
        </w:rPr>
        <w:t>2607</w:t>
      </w:r>
    </w:p>
    <w:p w:rsidR="00B12732" w:rsidRPr="00A917E4" w:rsidRDefault="00B12732" w:rsidP="00B12732">
      <w:pPr>
        <w:rPr>
          <w:rFonts w:eastAsia="Times New Roman" w:cs="Times New Roman"/>
          <w:sz w:val="20"/>
          <w:szCs w:val="20"/>
        </w:rPr>
      </w:pPr>
      <w:r w:rsidRPr="00A917E4">
        <w:rPr>
          <w:rFonts w:eastAsia="Times New Roman" w:cs="Times New Roman"/>
          <w:sz w:val="20"/>
          <w:szCs w:val="20"/>
        </w:rPr>
        <w:t>I. Repše</w:t>
      </w:r>
    </w:p>
    <w:p w:rsidR="009021EC" w:rsidRPr="00621B99" w:rsidRDefault="00B12732">
      <w:pPr>
        <w:rPr>
          <w:rFonts w:eastAsia="Times New Roman" w:cs="Times New Roman"/>
          <w:sz w:val="20"/>
          <w:szCs w:val="20"/>
        </w:rPr>
      </w:pPr>
      <w:r w:rsidRPr="00A917E4">
        <w:rPr>
          <w:rFonts w:eastAsia="Times New Roman" w:cs="Times New Roman"/>
          <w:sz w:val="20"/>
          <w:szCs w:val="20"/>
        </w:rPr>
        <w:t xml:space="preserve">67095490, </w:t>
      </w:r>
      <w:hyperlink r:id="rId8" w:history="1">
        <w:r w:rsidRPr="00A917E4">
          <w:rPr>
            <w:rStyle w:val="Hyperlink"/>
            <w:rFonts w:eastAsia="Times New Roman" w:cs="Times New Roman"/>
            <w:sz w:val="20"/>
            <w:szCs w:val="20"/>
          </w:rPr>
          <w:t>inta.repse@fm.gov.lv</w:t>
        </w:r>
      </w:hyperlink>
    </w:p>
    <w:sectPr w:rsidR="009021EC" w:rsidRPr="00621B99" w:rsidSect="00C416E1">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41" w:rsidRDefault="00A25B41" w:rsidP="00A25B41">
      <w:r>
        <w:separator/>
      </w:r>
    </w:p>
  </w:endnote>
  <w:endnote w:type="continuationSeparator" w:id="0">
    <w:p w:rsidR="00A25B41" w:rsidRDefault="00A25B41" w:rsidP="00A2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41" w:rsidRPr="00C416E1" w:rsidRDefault="000F0550" w:rsidP="00A25B41">
    <w:pPr>
      <w:jc w:val="both"/>
      <w:rPr>
        <w:rFonts w:cs="Times New Roman"/>
        <w:sz w:val="20"/>
        <w:szCs w:val="20"/>
      </w:rPr>
    </w:pPr>
    <w:r>
      <w:rPr>
        <w:rFonts w:cs="Times New Roman"/>
        <w:sz w:val="20"/>
        <w:szCs w:val="20"/>
      </w:rPr>
      <w:t>FMAnot_010316</w:t>
    </w:r>
    <w:r w:rsidR="00A25B41" w:rsidRPr="00C416E1">
      <w:rPr>
        <w:rFonts w:cs="Times New Roman"/>
        <w:sz w:val="20"/>
        <w:szCs w:val="20"/>
      </w:rPr>
      <w:t xml:space="preserve">_KIL; Likumprojekta </w:t>
    </w:r>
    <w:r w:rsidR="00A25B41" w:rsidRPr="00C416E1">
      <w:rPr>
        <w:rFonts w:cs="Times New Roman"/>
        <w:bCs/>
        <w:sz w:val="20"/>
        <w:szCs w:val="20"/>
      </w:rPr>
      <w:t>„Grozījums Kredītiestāžu likumā</w:t>
    </w:r>
    <w:r w:rsidR="00A25B41" w:rsidRPr="00C416E1">
      <w:rPr>
        <w:rFonts w:cs="Times New Roman"/>
        <w:sz w:val="20"/>
        <w:szCs w:val="20"/>
      </w:rPr>
      <w:t>" sākotnējās ietekmes novērtējuma ziņojums (anotācija)</w:t>
    </w:r>
  </w:p>
  <w:p w:rsidR="00A25B41" w:rsidRDefault="00A25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41" w:rsidRPr="00C416E1" w:rsidRDefault="000F0550" w:rsidP="00A25B41">
    <w:pPr>
      <w:jc w:val="both"/>
      <w:rPr>
        <w:rFonts w:cs="Times New Roman"/>
        <w:sz w:val="20"/>
        <w:szCs w:val="20"/>
      </w:rPr>
    </w:pPr>
    <w:r>
      <w:rPr>
        <w:rFonts w:cs="Times New Roman"/>
        <w:sz w:val="20"/>
        <w:szCs w:val="20"/>
      </w:rPr>
      <w:t>FMAnot_010316</w:t>
    </w:r>
    <w:r w:rsidR="00A25B41" w:rsidRPr="00C416E1">
      <w:rPr>
        <w:rFonts w:cs="Times New Roman"/>
        <w:sz w:val="20"/>
        <w:szCs w:val="20"/>
      </w:rPr>
      <w:t xml:space="preserve">_KIL; Likumprojekta </w:t>
    </w:r>
    <w:r w:rsidR="00A25B41" w:rsidRPr="00C416E1">
      <w:rPr>
        <w:rFonts w:cs="Times New Roman"/>
        <w:bCs/>
        <w:sz w:val="20"/>
        <w:szCs w:val="20"/>
      </w:rPr>
      <w:t>„Grozījums Kredītiestāžu likumā</w:t>
    </w:r>
    <w:r w:rsidR="00A25B41" w:rsidRPr="00C416E1">
      <w:rPr>
        <w:rFonts w:cs="Times New Roman"/>
        <w:sz w:val="20"/>
        <w:szCs w:val="20"/>
      </w:rPr>
      <w:t>" sākotnējās ietekmes novērtējuma ziņojums (anotācija)</w:t>
    </w:r>
  </w:p>
  <w:p w:rsidR="00A25B41" w:rsidRDefault="00A25B41" w:rsidP="00A25B4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41" w:rsidRDefault="00A25B41" w:rsidP="00A25B41">
      <w:r>
        <w:separator/>
      </w:r>
    </w:p>
  </w:footnote>
  <w:footnote w:type="continuationSeparator" w:id="0">
    <w:p w:rsidR="00A25B41" w:rsidRDefault="00A25B41" w:rsidP="00A25B41">
      <w:r>
        <w:continuationSeparator/>
      </w:r>
    </w:p>
  </w:footnote>
  <w:footnote w:id="1">
    <w:p w:rsidR="00A85934" w:rsidRDefault="00A85934">
      <w:pPr>
        <w:pStyle w:val="FootnoteText"/>
      </w:pPr>
      <w:r>
        <w:rPr>
          <w:rStyle w:val="FootnoteReference"/>
        </w:rPr>
        <w:footnoteRef/>
      </w:r>
      <w:r>
        <w:t xml:space="preserve"> </w:t>
      </w:r>
      <w:r>
        <w:rPr>
          <w:szCs w:val="24"/>
        </w:rPr>
        <w:t>2015. gada 20. oktobrī publicētais</w:t>
      </w:r>
      <w:r w:rsidRPr="003709D8">
        <w:rPr>
          <w:szCs w:val="24"/>
        </w:rPr>
        <w:t xml:space="preserve"> Ekonomikas Sadarbības un attīstības organizācijas (turpmāk – OECD) otrās fāzes ziņojums “Par OECD Pretkorupcijas konvencijas ieviešanu Latvijā</w:t>
      </w:r>
      <w:r>
        <w:rPr>
          <w:szCs w:val="24"/>
        </w:rPr>
        <w:t xml:space="preserve"> 106.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13743"/>
      <w:docPartObj>
        <w:docPartGallery w:val="Page Numbers (Top of Page)"/>
        <w:docPartUnique/>
      </w:docPartObj>
    </w:sdtPr>
    <w:sdtEndPr>
      <w:rPr>
        <w:noProof/>
      </w:rPr>
    </w:sdtEndPr>
    <w:sdtContent>
      <w:p w:rsidR="00A25B41" w:rsidRDefault="00A25B41">
        <w:pPr>
          <w:pStyle w:val="Header"/>
          <w:jc w:val="center"/>
        </w:pPr>
        <w:r>
          <w:fldChar w:fldCharType="begin"/>
        </w:r>
        <w:r>
          <w:instrText xml:space="preserve"> PAGE   \* MERGEFORMAT </w:instrText>
        </w:r>
        <w:r>
          <w:fldChar w:fldCharType="separate"/>
        </w:r>
        <w:r w:rsidR="00C73764">
          <w:rPr>
            <w:noProof/>
          </w:rPr>
          <w:t>2</w:t>
        </w:r>
        <w:r>
          <w:rPr>
            <w:noProof/>
          </w:rPr>
          <w:fldChar w:fldCharType="end"/>
        </w:r>
      </w:p>
    </w:sdtContent>
  </w:sdt>
  <w:p w:rsidR="00A25B41" w:rsidRDefault="00A25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F1F"/>
    <w:multiLevelType w:val="hybridMultilevel"/>
    <w:tmpl w:val="1804999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0A21D9"/>
    <w:multiLevelType w:val="hybridMultilevel"/>
    <w:tmpl w:val="F5DA77FA"/>
    <w:lvl w:ilvl="0" w:tplc="218664F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70500B50"/>
    <w:multiLevelType w:val="hybridMultilevel"/>
    <w:tmpl w:val="BA9A39C0"/>
    <w:lvl w:ilvl="0" w:tplc="18C466AE">
      <w:start w:val="1"/>
      <w:numFmt w:val="decimal"/>
      <w:lvlText w:val="%1."/>
      <w:lvlJc w:val="left"/>
      <w:pPr>
        <w:ind w:left="720" w:hanging="360"/>
      </w:pPr>
      <w:rPr>
        <w:rFonts w:eastAsia="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32"/>
    <w:rsid w:val="0002523B"/>
    <w:rsid w:val="00050F20"/>
    <w:rsid w:val="00057EE3"/>
    <w:rsid w:val="00095B48"/>
    <w:rsid w:val="000B15E8"/>
    <w:rsid w:val="000F0550"/>
    <w:rsid w:val="00102E0F"/>
    <w:rsid w:val="00130831"/>
    <w:rsid w:val="00161B7A"/>
    <w:rsid w:val="001F52B6"/>
    <w:rsid w:val="00211C08"/>
    <w:rsid w:val="00227BA4"/>
    <w:rsid w:val="0023374F"/>
    <w:rsid w:val="0025472E"/>
    <w:rsid w:val="00265F07"/>
    <w:rsid w:val="002704BB"/>
    <w:rsid w:val="00287EC9"/>
    <w:rsid w:val="003030B6"/>
    <w:rsid w:val="003061D4"/>
    <w:rsid w:val="00340B6F"/>
    <w:rsid w:val="00340CB7"/>
    <w:rsid w:val="003911C1"/>
    <w:rsid w:val="003A340C"/>
    <w:rsid w:val="003A40DA"/>
    <w:rsid w:val="003B79AB"/>
    <w:rsid w:val="00401FBB"/>
    <w:rsid w:val="00422AAA"/>
    <w:rsid w:val="00451D75"/>
    <w:rsid w:val="00461CD0"/>
    <w:rsid w:val="00481640"/>
    <w:rsid w:val="00494614"/>
    <w:rsid w:val="004B7454"/>
    <w:rsid w:val="004D4A68"/>
    <w:rsid w:val="004E29B8"/>
    <w:rsid w:val="004F1ABC"/>
    <w:rsid w:val="004F48FB"/>
    <w:rsid w:val="0050406B"/>
    <w:rsid w:val="005065CE"/>
    <w:rsid w:val="00530FA5"/>
    <w:rsid w:val="00536C4A"/>
    <w:rsid w:val="00552A5E"/>
    <w:rsid w:val="00570FA8"/>
    <w:rsid w:val="00592EC4"/>
    <w:rsid w:val="00594527"/>
    <w:rsid w:val="005A2596"/>
    <w:rsid w:val="005C4232"/>
    <w:rsid w:val="005D30EE"/>
    <w:rsid w:val="005F0808"/>
    <w:rsid w:val="005F5FF8"/>
    <w:rsid w:val="00611953"/>
    <w:rsid w:val="00615CDF"/>
    <w:rsid w:val="00621B99"/>
    <w:rsid w:val="00622BB3"/>
    <w:rsid w:val="00630F07"/>
    <w:rsid w:val="00655587"/>
    <w:rsid w:val="00682533"/>
    <w:rsid w:val="006B36E5"/>
    <w:rsid w:val="006C759C"/>
    <w:rsid w:val="006D4305"/>
    <w:rsid w:val="006F2088"/>
    <w:rsid w:val="0074552A"/>
    <w:rsid w:val="007470FA"/>
    <w:rsid w:val="00761D5F"/>
    <w:rsid w:val="0077312A"/>
    <w:rsid w:val="00787186"/>
    <w:rsid w:val="007922CF"/>
    <w:rsid w:val="00795B60"/>
    <w:rsid w:val="007A067E"/>
    <w:rsid w:val="007A0C06"/>
    <w:rsid w:val="00811669"/>
    <w:rsid w:val="0082030E"/>
    <w:rsid w:val="00821FCE"/>
    <w:rsid w:val="008369BB"/>
    <w:rsid w:val="00841CBD"/>
    <w:rsid w:val="008960D2"/>
    <w:rsid w:val="008D1F7C"/>
    <w:rsid w:val="008F5B67"/>
    <w:rsid w:val="009021EC"/>
    <w:rsid w:val="0095325E"/>
    <w:rsid w:val="00973452"/>
    <w:rsid w:val="009736D1"/>
    <w:rsid w:val="009D76AD"/>
    <w:rsid w:val="009E6E31"/>
    <w:rsid w:val="00A25B41"/>
    <w:rsid w:val="00A32F52"/>
    <w:rsid w:val="00A433F1"/>
    <w:rsid w:val="00A6190C"/>
    <w:rsid w:val="00A85934"/>
    <w:rsid w:val="00A87312"/>
    <w:rsid w:val="00A917E4"/>
    <w:rsid w:val="00AD2231"/>
    <w:rsid w:val="00AE6270"/>
    <w:rsid w:val="00B12732"/>
    <w:rsid w:val="00B15322"/>
    <w:rsid w:val="00B325DF"/>
    <w:rsid w:val="00B57C69"/>
    <w:rsid w:val="00C12683"/>
    <w:rsid w:val="00C21C53"/>
    <w:rsid w:val="00C416E1"/>
    <w:rsid w:val="00C43093"/>
    <w:rsid w:val="00C45875"/>
    <w:rsid w:val="00C61FCD"/>
    <w:rsid w:val="00C73764"/>
    <w:rsid w:val="00CA1674"/>
    <w:rsid w:val="00CF420B"/>
    <w:rsid w:val="00CF5BF0"/>
    <w:rsid w:val="00D30295"/>
    <w:rsid w:val="00D3031D"/>
    <w:rsid w:val="00D30FD6"/>
    <w:rsid w:val="00D3379D"/>
    <w:rsid w:val="00D367A3"/>
    <w:rsid w:val="00D40AB3"/>
    <w:rsid w:val="00D426A4"/>
    <w:rsid w:val="00D5319A"/>
    <w:rsid w:val="00D66967"/>
    <w:rsid w:val="00DC6F71"/>
    <w:rsid w:val="00DE6D34"/>
    <w:rsid w:val="00DF07DF"/>
    <w:rsid w:val="00E224E9"/>
    <w:rsid w:val="00E53395"/>
    <w:rsid w:val="00E6405B"/>
    <w:rsid w:val="00E73BF2"/>
    <w:rsid w:val="00EB36E9"/>
    <w:rsid w:val="00ED14A7"/>
    <w:rsid w:val="00EF50BD"/>
    <w:rsid w:val="00F840AD"/>
    <w:rsid w:val="00FB4363"/>
    <w:rsid w:val="00FC47A1"/>
    <w:rsid w:val="00FE203C"/>
    <w:rsid w:val="00FE79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338ACB1-A6D8-45F2-926B-745EB9B9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12732"/>
    <w:rPr>
      <w:color w:val="0000FF"/>
      <w:u w:val="single"/>
    </w:rPr>
  </w:style>
  <w:style w:type="paragraph" w:styleId="NormalWeb">
    <w:name w:val="Normal (Web)"/>
    <w:basedOn w:val="Normal"/>
    <w:unhideWhenUsed/>
    <w:rsid w:val="00B12732"/>
    <w:pPr>
      <w:spacing w:before="100" w:beforeAutospacing="1" w:after="100" w:afterAutospacing="1"/>
    </w:pPr>
    <w:rPr>
      <w:rFonts w:eastAsia="Times New Roman" w:cs="Times New Roman"/>
      <w:szCs w:val="24"/>
      <w:lang w:eastAsia="lv-LV"/>
    </w:rPr>
  </w:style>
  <w:style w:type="paragraph" w:styleId="Footer">
    <w:name w:val="footer"/>
    <w:basedOn w:val="Normal"/>
    <w:link w:val="FooterChar"/>
    <w:uiPriority w:val="99"/>
    <w:unhideWhenUsed/>
    <w:rsid w:val="00B12732"/>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B12732"/>
    <w:rPr>
      <w:rFonts w:eastAsia="Times New Roman" w:cs="Times New Roman"/>
      <w:szCs w:val="24"/>
      <w:lang w:eastAsia="lv-LV"/>
    </w:rPr>
  </w:style>
  <w:style w:type="paragraph" w:customStyle="1" w:styleId="naisnod">
    <w:name w:val="naisnod"/>
    <w:basedOn w:val="Normal"/>
    <w:rsid w:val="00B12732"/>
    <w:pPr>
      <w:spacing w:before="150" w:after="150"/>
      <w:jc w:val="center"/>
    </w:pPr>
    <w:rPr>
      <w:rFonts w:eastAsia="Times New Roman" w:cs="Times New Roman"/>
      <w:b/>
      <w:bCs/>
      <w:szCs w:val="24"/>
      <w:lang w:eastAsia="lv-LV"/>
    </w:rPr>
  </w:style>
  <w:style w:type="paragraph" w:customStyle="1" w:styleId="naisf">
    <w:name w:val="naisf"/>
    <w:basedOn w:val="Normal"/>
    <w:semiHidden/>
    <w:rsid w:val="00B12732"/>
    <w:pPr>
      <w:spacing w:before="75" w:after="75"/>
      <w:ind w:firstLine="375"/>
      <w:jc w:val="both"/>
    </w:pPr>
    <w:rPr>
      <w:rFonts w:eastAsia="Times New Roman" w:cs="Times New Roman"/>
      <w:szCs w:val="24"/>
      <w:lang w:eastAsia="lv-LV"/>
    </w:rPr>
  </w:style>
  <w:style w:type="paragraph" w:customStyle="1" w:styleId="naiskr">
    <w:name w:val="naiskr"/>
    <w:basedOn w:val="Normal"/>
    <w:semiHidden/>
    <w:rsid w:val="00B12732"/>
    <w:pPr>
      <w:spacing w:before="75" w:after="75"/>
    </w:pPr>
    <w:rPr>
      <w:rFonts w:eastAsia="Times New Roman" w:cs="Times New Roman"/>
      <w:szCs w:val="24"/>
      <w:lang w:eastAsia="lv-LV"/>
    </w:rPr>
  </w:style>
  <w:style w:type="paragraph" w:styleId="Header">
    <w:name w:val="header"/>
    <w:basedOn w:val="Normal"/>
    <w:link w:val="HeaderChar"/>
    <w:uiPriority w:val="99"/>
    <w:unhideWhenUsed/>
    <w:rsid w:val="00A25B41"/>
    <w:pPr>
      <w:tabs>
        <w:tab w:val="center" w:pos="4153"/>
        <w:tab w:val="right" w:pos="8306"/>
      </w:tabs>
    </w:pPr>
  </w:style>
  <w:style w:type="character" w:customStyle="1" w:styleId="HeaderChar">
    <w:name w:val="Header Char"/>
    <w:basedOn w:val="DefaultParagraphFont"/>
    <w:link w:val="Header"/>
    <w:uiPriority w:val="99"/>
    <w:rsid w:val="00A25B41"/>
  </w:style>
  <w:style w:type="paragraph" w:customStyle="1" w:styleId="Datums">
    <w:name w:val="Datums"/>
    <w:basedOn w:val="Normal"/>
    <w:next w:val="Normal"/>
    <w:rsid w:val="00EF50BD"/>
    <w:pPr>
      <w:spacing w:before="1700"/>
    </w:pPr>
    <w:rPr>
      <w:rFonts w:eastAsia="Times New Roman" w:cs="Times New Roman"/>
      <w:szCs w:val="20"/>
      <w:lang w:val="en-US"/>
    </w:rPr>
  </w:style>
  <w:style w:type="paragraph" w:styleId="ListParagraph">
    <w:name w:val="List Paragraph"/>
    <w:basedOn w:val="Normal"/>
    <w:uiPriority w:val="34"/>
    <w:qFormat/>
    <w:rsid w:val="00B325DF"/>
    <w:pPr>
      <w:ind w:left="720"/>
      <w:contextualSpacing/>
    </w:pPr>
  </w:style>
  <w:style w:type="paragraph" w:customStyle="1" w:styleId="Style6">
    <w:name w:val="Style6"/>
    <w:basedOn w:val="Normal"/>
    <w:uiPriority w:val="99"/>
    <w:rsid w:val="00811669"/>
    <w:pPr>
      <w:autoSpaceDE w:val="0"/>
      <w:autoSpaceDN w:val="0"/>
      <w:spacing w:line="230" w:lineRule="exact"/>
    </w:pPr>
    <w:rPr>
      <w:rFonts w:cs="Times New Roman"/>
      <w:szCs w:val="24"/>
      <w:lang w:eastAsia="lv-LV"/>
    </w:rPr>
  </w:style>
  <w:style w:type="paragraph" w:customStyle="1" w:styleId="Style8">
    <w:name w:val="Style8"/>
    <w:basedOn w:val="Normal"/>
    <w:uiPriority w:val="99"/>
    <w:rsid w:val="00811669"/>
    <w:pPr>
      <w:autoSpaceDE w:val="0"/>
      <w:autoSpaceDN w:val="0"/>
      <w:spacing w:line="254" w:lineRule="exact"/>
    </w:pPr>
    <w:rPr>
      <w:rFonts w:cs="Times New Roman"/>
      <w:szCs w:val="24"/>
      <w:lang w:eastAsia="lv-LV"/>
    </w:rPr>
  </w:style>
  <w:style w:type="character" w:customStyle="1" w:styleId="FontStyle13">
    <w:name w:val="Font Style13"/>
    <w:basedOn w:val="DefaultParagraphFont"/>
    <w:uiPriority w:val="99"/>
    <w:rsid w:val="00811669"/>
    <w:rPr>
      <w:rFonts w:ascii="Times New Roman" w:hAnsi="Times New Roman" w:cs="Times New Roman" w:hint="default"/>
      <w:i/>
      <w:iCs/>
      <w:color w:val="000000"/>
    </w:rPr>
  </w:style>
  <w:style w:type="character" w:customStyle="1" w:styleId="FontStyle16">
    <w:name w:val="Font Style16"/>
    <w:basedOn w:val="DefaultParagraphFont"/>
    <w:uiPriority w:val="99"/>
    <w:rsid w:val="00811669"/>
    <w:rPr>
      <w:rFonts w:ascii="Times New Roman" w:hAnsi="Times New Roman" w:cs="Times New Roman" w:hint="default"/>
      <w:color w:val="000000"/>
    </w:rPr>
  </w:style>
  <w:style w:type="paragraph" w:styleId="FootnoteText">
    <w:name w:val="footnote text"/>
    <w:basedOn w:val="Normal"/>
    <w:link w:val="FootnoteTextChar"/>
    <w:uiPriority w:val="99"/>
    <w:semiHidden/>
    <w:unhideWhenUsed/>
    <w:rsid w:val="00A85934"/>
    <w:rPr>
      <w:sz w:val="20"/>
      <w:szCs w:val="20"/>
    </w:rPr>
  </w:style>
  <w:style w:type="character" w:customStyle="1" w:styleId="FootnoteTextChar">
    <w:name w:val="Footnote Text Char"/>
    <w:basedOn w:val="DefaultParagraphFont"/>
    <w:link w:val="FootnoteText"/>
    <w:uiPriority w:val="99"/>
    <w:semiHidden/>
    <w:rsid w:val="00A85934"/>
    <w:rPr>
      <w:sz w:val="20"/>
      <w:szCs w:val="20"/>
    </w:rPr>
  </w:style>
  <w:style w:type="character" w:styleId="FootnoteReference">
    <w:name w:val="footnote reference"/>
    <w:basedOn w:val="DefaultParagraphFont"/>
    <w:uiPriority w:val="99"/>
    <w:semiHidden/>
    <w:unhideWhenUsed/>
    <w:rsid w:val="00A85934"/>
    <w:rPr>
      <w:vertAlign w:val="superscript"/>
    </w:rPr>
  </w:style>
  <w:style w:type="paragraph" w:styleId="BalloonText">
    <w:name w:val="Balloon Text"/>
    <w:basedOn w:val="Normal"/>
    <w:link w:val="BalloonTextChar"/>
    <w:uiPriority w:val="99"/>
    <w:semiHidden/>
    <w:unhideWhenUsed/>
    <w:rsid w:val="00025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31064">
      <w:bodyDiv w:val="1"/>
      <w:marLeft w:val="0"/>
      <w:marRight w:val="0"/>
      <w:marTop w:val="0"/>
      <w:marBottom w:val="0"/>
      <w:divBdr>
        <w:top w:val="none" w:sz="0" w:space="0" w:color="auto"/>
        <w:left w:val="none" w:sz="0" w:space="0" w:color="auto"/>
        <w:bottom w:val="none" w:sz="0" w:space="0" w:color="auto"/>
        <w:right w:val="none" w:sz="0" w:space="0" w:color="auto"/>
      </w:divBdr>
    </w:div>
    <w:div w:id="1608076949">
      <w:bodyDiv w:val="1"/>
      <w:marLeft w:val="0"/>
      <w:marRight w:val="0"/>
      <w:marTop w:val="0"/>
      <w:marBottom w:val="0"/>
      <w:divBdr>
        <w:top w:val="none" w:sz="0" w:space="0" w:color="auto"/>
        <w:left w:val="none" w:sz="0" w:space="0" w:color="auto"/>
        <w:bottom w:val="none" w:sz="0" w:space="0" w:color="auto"/>
        <w:right w:val="none" w:sz="0" w:space="0" w:color="auto"/>
      </w:divBdr>
    </w:div>
    <w:div w:id="1615013571">
      <w:bodyDiv w:val="1"/>
      <w:marLeft w:val="0"/>
      <w:marRight w:val="0"/>
      <w:marTop w:val="0"/>
      <w:marBottom w:val="0"/>
      <w:divBdr>
        <w:top w:val="none" w:sz="0" w:space="0" w:color="auto"/>
        <w:left w:val="none" w:sz="0" w:space="0" w:color="auto"/>
        <w:bottom w:val="none" w:sz="0" w:space="0" w:color="auto"/>
        <w:right w:val="none" w:sz="0" w:space="0" w:color="auto"/>
      </w:divBdr>
    </w:div>
    <w:div w:id="1661494988">
      <w:bodyDiv w:val="1"/>
      <w:marLeft w:val="0"/>
      <w:marRight w:val="0"/>
      <w:marTop w:val="0"/>
      <w:marBottom w:val="0"/>
      <w:divBdr>
        <w:top w:val="none" w:sz="0" w:space="0" w:color="auto"/>
        <w:left w:val="none" w:sz="0" w:space="0" w:color="auto"/>
        <w:bottom w:val="none" w:sz="0" w:space="0" w:color="auto"/>
        <w:right w:val="none" w:sz="0" w:space="0" w:color="auto"/>
      </w:divBdr>
    </w:div>
    <w:div w:id="18413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eps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A6E8-5B82-459C-8D3F-33786EFB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10</Pages>
  <Words>13027</Words>
  <Characters>7426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Kredītiestāžu likumā"</dc:title>
  <dc:subject/>
  <dc:creator>Inta Repše</dc:creator>
  <cp:keywords/>
  <dc:description>Inta Repše
inta.repse@fm.gov.lv
Tālr:67095490</dc:description>
  <cp:lastModifiedBy>Inta Repše</cp:lastModifiedBy>
  <cp:revision>91</cp:revision>
  <dcterms:created xsi:type="dcterms:W3CDTF">2015-11-02T11:06:00Z</dcterms:created>
  <dcterms:modified xsi:type="dcterms:W3CDTF">2016-03-02T11:04:00Z</dcterms:modified>
</cp:coreProperties>
</file>