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46" w:rsidRPr="003265A8" w:rsidRDefault="00342746" w:rsidP="00342746">
      <w:pPr>
        <w:ind w:left="360"/>
        <w:jc w:val="right"/>
        <w:rPr>
          <w:rFonts w:ascii="Times New Roman" w:hAnsi="Times New Roman" w:cs="Times New Roman"/>
          <w:i/>
          <w:sz w:val="28"/>
          <w:szCs w:val="28"/>
        </w:rPr>
      </w:pPr>
      <w:bookmarkStart w:id="0" w:name="_GoBack"/>
      <w:bookmarkEnd w:id="0"/>
      <w:r w:rsidRPr="003265A8">
        <w:rPr>
          <w:rFonts w:ascii="Times New Roman" w:hAnsi="Times New Roman" w:cs="Times New Roman"/>
          <w:i/>
          <w:sz w:val="28"/>
          <w:szCs w:val="28"/>
        </w:rPr>
        <w:t>Likumprojekts</w:t>
      </w:r>
    </w:p>
    <w:p w:rsidR="00342746" w:rsidRPr="003265A8" w:rsidRDefault="00342746" w:rsidP="00342746">
      <w:pPr>
        <w:spacing w:after="0" w:line="240" w:lineRule="auto"/>
        <w:ind w:firstLine="709"/>
        <w:jc w:val="center"/>
        <w:rPr>
          <w:rFonts w:ascii="Times New Roman" w:eastAsia="Times New Roman" w:hAnsi="Times New Roman"/>
          <w:b/>
          <w:bCs/>
          <w:sz w:val="28"/>
          <w:szCs w:val="28"/>
        </w:rPr>
      </w:pPr>
      <w:r w:rsidRPr="003265A8">
        <w:rPr>
          <w:rFonts w:ascii="Times New Roman" w:eastAsia="Times New Roman" w:hAnsi="Times New Roman"/>
          <w:b/>
          <w:bCs/>
          <w:sz w:val="28"/>
          <w:szCs w:val="28"/>
        </w:rPr>
        <w:t>Grozījumi Finanšu un kapitāla tirgus komisijas likumā</w:t>
      </w:r>
    </w:p>
    <w:p w:rsidR="00342746" w:rsidRPr="003265A8" w:rsidRDefault="00342746" w:rsidP="00342746">
      <w:pPr>
        <w:spacing w:after="0" w:line="240" w:lineRule="auto"/>
        <w:ind w:firstLine="709"/>
        <w:jc w:val="both"/>
        <w:rPr>
          <w:rFonts w:ascii="Times New Roman" w:eastAsia="Times New Roman" w:hAnsi="Times New Roman"/>
          <w:bCs/>
          <w:sz w:val="28"/>
          <w:szCs w:val="28"/>
        </w:rPr>
      </w:pPr>
    </w:p>
    <w:p w:rsidR="00342746" w:rsidRPr="003265A8" w:rsidRDefault="00342746" w:rsidP="00342746">
      <w:pPr>
        <w:spacing w:after="0" w:line="240" w:lineRule="auto"/>
        <w:ind w:firstLine="567"/>
        <w:jc w:val="both"/>
        <w:rPr>
          <w:rFonts w:ascii="Times New Roman" w:eastAsia="Times New Roman" w:hAnsi="Times New Roman"/>
          <w:bCs/>
          <w:sz w:val="28"/>
          <w:szCs w:val="28"/>
        </w:rPr>
      </w:pPr>
      <w:r w:rsidRPr="003265A8">
        <w:rPr>
          <w:rFonts w:ascii="Times New Roman" w:eastAsia="Times New Roman" w:hAnsi="Times New Roman"/>
          <w:bCs/>
          <w:sz w:val="28"/>
          <w:szCs w:val="28"/>
        </w:rPr>
        <w:t>Izdarīt Finanšu un kapitāla tirgus komisijas likumā (Latvijas Republikas Saeimas un Ministru Kabineta Ziņotājs, 2000, 13.nr.; 2001, 24.nr.; 2009, 2., 6.nr.; Latvijas Vēstnesis, 2009, 196.nr.; 2010, 205.nr.; 2011, 169.nr.; 2012, 186.nr.; 2013, 183., 243.nr.; 2015, 122.nr.) šādus grozījumus:</w:t>
      </w:r>
    </w:p>
    <w:p w:rsidR="00342746" w:rsidRPr="003265A8" w:rsidRDefault="00342746" w:rsidP="00342746">
      <w:pPr>
        <w:spacing w:after="0" w:line="240" w:lineRule="auto"/>
        <w:ind w:firstLine="709"/>
        <w:jc w:val="both"/>
        <w:rPr>
          <w:rFonts w:ascii="Times New Roman" w:eastAsia="Times New Roman" w:hAnsi="Times New Roman"/>
          <w:color w:val="000000"/>
          <w:sz w:val="28"/>
          <w:szCs w:val="28"/>
        </w:rPr>
      </w:pPr>
    </w:p>
    <w:p w:rsidR="00342746" w:rsidRPr="003265A8" w:rsidRDefault="00342746" w:rsidP="00342746">
      <w:pPr>
        <w:pStyle w:val="BlockText"/>
        <w:spacing w:before="0" w:beforeAutospacing="0" w:after="0" w:afterAutospacing="0"/>
        <w:jc w:val="both"/>
        <w:rPr>
          <w:sz w:val="28"/>
          <w:szCs w:val="28"/>
        </w:rPr>
      </w:pPr>
    </w:p>
    <w:p w:rsidR="00342746" w:rsidRPr="003265A8" w:rsidRDefault="00342746" w:rsidP="00342746">
      <w:pPr>
        <w:pStyle w:val="BlockText"/>
        <w:numPr>
          <w:ilvl w:val="0"/>
          <w:numId w:val="1"/>
        </w:numPr>
        <w:spacing w:before="0" w:beforeAutospacing="0" w:after="0" w:afterAutospacing="0"/>
        <w:ind w:hanging="502"/>
        <w:jc w:val="both"/>
        <w:rPr>
          <w:sz w:val="28"/>
          <w:szCs w:val="28"/>
        </w:rPr>
      </w:pPr>
      <w:r w:rsidRPr="003265A8">
        <w:rPr>
          <w:sz w:val="28"/>
          <w:szCs w:val="28"/>
        </w:rPr>
        <w:t>Papildināt 15. pantu ar piekto daļu šādā redakcijā:</w:t>
      </w:r>
    </w:p>
    <w:p w:rsidR="00342746" w:rsidRPr="003265A8" w:rsidRDefault="00342746" w:rsidP="00342746">
      <w:pPr>
        <w:pStyle w:val="BlockText"/>
        <w:spacing w:before="0" w:beforeAutospacing="0" w:after="0" w:afterAutospacing="0"/>
        <w:ind w:left="1069"/>
        <w:jc w:val="both"/>
        <w:rPr>
          <w:sz w:val="28"/>
          <w:szCs w:val="28"/>
        </w:rPr>
      </w:pPr>
    </w:p>
    <w:p w:rsidR="00342746" w:rsidRPr="003265A8" w:rsidRDefault="00342746" w:rsidP="00342746">
      <w:pPr>
        <w:pStyle w:val="BlockText"/>
        <w:spacing w:before="0" w:beforeAutospacing="0" w:after="0" w:afterAutospacing="0"/>
        <w:ind w:left="1134" w:hanging="141"/>
        <w:jc w:val="both"/>
        <w:rPr>
          <w:sz w:val="28"/>
          <w:szCs w:val="28"/>
        </w:rPr>
      </w:pPr>
      <w:r w:rsidRPr="003265A8">
        <w:rPr>
          <w:sz w:val="28"/>
          <w:szCs w:val="28"/>
        </w:rPr>
        <w:t>"(5) Padomes sēdes notiek klātienē. Lai nodrošinātu kvorumu, padomes loceklis, kurš nevar piedalīties klātienē, padomes sēdē piedalās attālināti. Kārtību, kādā notiek piedalīšanās padomes sēdēs, debates un balsošana attālināti, nosaka Komisijas priekšsēdētājs."</w:t>
      </w:r>
    </w:p>
    <w:p w:rsidR="00342746" w:rsidRPr="003265A8" w:rsidRDefault="00342746" w:rsidP="00342746">
      <w:pPr>
        <w:pStyle w:val="BlockText"/>
        <w:spacing w:before="0" w:beforeAutospacing="0" w:after="0" w:afterAutospacing="0"/>
        <w:jc w:val="both"/>
        <w:rPr>
          <w:sz w:val="28"/>
          <w:szCs w:val="28"/>
        </w:rPr>
      </w:pPr>
    </w:p>
    <w:p w:rsidR="003265A8" w:rsidRPr="003265A8" w:rsidRDefault="003265A8" w:rsidP="003265A8">
      <w:pPr>
        <w:pStyle w:val="BlockText"/>
        <w:numPr>
          <w:ilvl w:val="0"/>
          <w:numId w:val="1"/>
        </w:numPr>
        <w:spacing w:before="0" w:beforeAutospacing="0" w:after="0" w:afterAutospacing="0"/>
        <w:ind w:hanging="502"/>
        <w:jc w:val="both"/>
        <w:rPr>
          <w:sz w:val="28"/>
          <w:szCs w:val="28"/>
        </w:rPr>
      </w:pPr>
      <w:r w:rsidRPr="003265A8">
        <w:rPr>
          <w:sz w:val="28"/>
          <w:szCs w:val="28"/>
        </w:rPr>
        <w:t>Papildināt 17. pantu ar 6.</w:t>
      </w:r>
      <w:r w:rsidRPr="003265A8">
        <w:rPr>
          <w:sz w:val="28"/>
          <w:szCs w:val="28"/>
          <w:vertAlign w:val="superscript"/>
        </w:rPr>
        <w:t>2</w:t>
      </w:r>
      <w:r w:rsidRPr="003265A8">
        <w:rPr>
          <w:sz w:val="28"/>
          <w:szCs w:val="28"/>
        </w:rPr>
        <w:t xml:space="preserve"> punktu šādā redakcijā:</w:t>
      </w:r>
    </w:p>
    <w:p w:rsidR="003265A8" w:rsidRPr="003265A8" w:rsidRDefault="003265A8" w:rsidP="003265A8">
      <w:pPr>
        <w:pStyle w:val="BlockText"/>
        <w:spacing w:before="0" w:beforeAutospacing="0" w:after="0" w:afterAutospacing="0"/>
        <w:ind w:left="1069"/>
        <w:jc w:val="both"/>
        <w:rPr>
          <w:sz w:val="28"/>
          <w:szCs w:val="28"/>
        </w:rPr>
      </w:pPr>
    </w:p>
    <w:p w:rsidR="003265A8" w:rsidRPr="003265A8" w:rsidRDefault="003265A8" w:rsidP="003265A8">
      <w:pPr>
        <w:pStyle w:val="BlockText"/>
        <w:spacing w:before="0" w:beforeAutospacing="0" w:after="0" w:afterAutospacing="0"/>
        <w:ind w:left="1134"/>
        <w:jc w:val="both"/>
        <w:rPr>
          <w:sz w:val="28"/>
          <w:szCs w:val="28"/>
        </w:rPr>
      </w:pPr>
      <w:r w:rsidRPr="003265A8">
        <w:rPr>
          <w:sz w:val="28"/>
          <w:szCs w:val="28"/>
        </w:rPr>
        <w:t>"6</w:t>
      </w:r>
      <w:r w:rsidRPr="003265A8">
        <w:rPr>
          <w:sz w:val="28"/>
          <w:szCs w:val="28"/>
          <w:vertAlign w:val="superscript"/>
        </w:rPr>
        <w:t>2</w:t>
      </w:r>
      <w:r w:rsidRPr="003265A8">
        <w:rPr>
          <w:sz w:val="28"/>
          <w:szCs w:val="28"/>
        </w:rPr>
        <w:t xml:space="preserve">) pieņemt lēmumu par finanšu un kapitāla tirgus dalībnieka pienākumu veikt savas darbības pārbaudi, iesaistot trešo personu, ja tas ir nepieciešams, lai īstenotu kādu no šādiem mērķiem: </w:t>
      </w:r>
    </w:p>
    <w:p w:rsidR="003265A8" w:rsidRPr="003265A8" w:rsidRDefault="003265A8" w:rsidP="003265A8">
      <w:pPr>
        <w:pStyle w:val="BlockText"/>
        <w:spacing w:before="0" w:beforeAutospacing="0" w:after="0" w:afterAutospacing="0"/>
        <w:ind w:left="1134"/>
        <w:jc w:val="both"/>
        <w:rPr>
          <w:sz w:val="28"/>
          <w:szCs w:val="28"/>
        </w:rPr>
      </w:pPr>
      <w:r w:rsidRPr="003265A8">
        <w:rPr>
          <w:sz w:val="28"/>
          <w:szCs w:val="28"/>
        </w:rPr>
        <w:t>a) nodrošināt, ka finanšu un kapitāla tirgus dalībnieks atbilstoši noziedzīgi iegūtu līdzekļu legalizācijas un terorisma finansēšanas riskam, kas piemīt tā saimnieciskajai darbībai, ir izveidojis efektīvu iekšējās kontroles sistēmu noziedzīgi iegūtu līdzekļu legalizācijas un terorisma finansēšanas risku novēršanai;</w:t>
      </w:r>
    </w:p>
    <w:p w:rsidR="003265A8" w:rsidRPr="003265A8" w:rsidRDefault="003265A8" w:rsidP="003265A8">
      <w:pPr>
        <w:pStyle w:val="BlockText"/>
        <w:spacing w:before="0" w:beforeAutospacing="0" w:after="0" w:afterAutospacing="0"/>
        <w:ind w:left="1134"/>
        <w:jc w:val="both"/>
        <w:rPr>
          <w:sz w:val="28"/>
          <w:szCs w:val="28"/>
        </w:rPr>
      </w:pPr>
      <w:r w:rsidRPr="003265A8">
        <w:rPr>
          <w:sz w:val="28"/>
          <w:szCs w:val="28"/>
        </w:rPr>
        <w:t>b) nodrošināt, ka finanšu un kapitāla tirgus dalībnieks</w:t>
      </w:r>
      <w:r w:rsidRPr="003265A8">
        <w:t xml:space="preserve"> </w:t>
      </w:r>
      <w:r w:rsidRPr="003265A8">
        <w:rPr>
          <w:sz w:val="28"/>
          <w:szCs w:val="28"/>
        </w:rPr>
        <w:t>atbilstoši starptautiski noteikto sankciju neievērošanas riskam, kas piemīt tā saimnieciskajai darbībai, ir izveidojis efektīvu iekšējās kontroles sistēmu starptautiski noteikto sankciju ievērošanai;</w:t>
      </w:r>
    </w:p>
    <w:p w:rsidR="003265A8" w:rsidRPr="003265A8" w:rsidRDefault="003265A8" w:rsidP="003265A8">
      <w:pPr>
        <w:pStyle w:val="BlockText"/>
        <w:spacing w:before="0" w:beforeAutospacing="0" w:after="0" w:afterAutospacing="0"/>
        <w:ind w:left="1134"/>
        <w:jc w:val="both"/>
        <w:rPr>
          <w:sz w:val="28"/>
          <w:szCs w:val="28"/>
        </w:rPr>
      </w:pPr>
      <w:r w:rsidRPr="003265A8">
        <w:rPr>
          <w:sz w:val="28"/>
          <w:szCs w:val="28"/>
        </w:rPr>
        <w:t xml:space="preserve">c) nodrošināt ieguldītāju, noguldītāju un apdrošināto personu aizsardzību vai finanšu tirgus stabilitāti. </w:t>
      </w:r>
    </w:p>
    <w:p w:rsidR="003265A8" w:rsidRPr="003265A8" w:rsidRDefault="003265A8" w:rsidP="003265A8">
      <w:pPr>
        <w:pStyle w:val="BlockText"/>
        <w:spacing w:before="0" w:beforeAutospacing="0" w:after="0" w:afterAutospacing="0"/>
        <w:ind w:left="1134"/>
        <w:jc w:val="both"/>
        <w:rPr>
          <w:sz w:val="28"/>
          <w:szCs w:val="28"/>
        </w:rPr>
      </w:pPr>
      <w:r w:rsidRPr="003265A8">
        <w:rPr>
          <w:sz w:val="28"/>
          <w:szCs w:val="28"/>
        </w:rPr>
        <w:t>Padome lēmumā nosaka trešās personas izvēles prasības, trešās personas uzdevumus un pārbaudes veikšanas kārtību. Finanšu un kapitāla tirgus dalībnieks sedz atlīdzību trešajai perso</w:t>
      </w:r>
      <w:r w:rsidR="00414746">
        <w:rPr>
          <w:sz w:val="28"/>
          <w:szCs w:val="28"/>
        </w:rPr>
        <w:t>nai par savas darbības pārbaudi.</w:t>
      </w:r>
    </w:p>
    <w:p w:rsidR="00342746" w:rsidRPr="003265A8" w:rsidRDefault="00342746" w:rsidP="00342746">
      <w:pPr>
        <w:pStyle w:val="BlockText"/>
        <w:spacing w:before="0" w:beforeAutospacing="0" w:after="0" w:afterAutospacing="0"/>
        <w:ind w:left="1134"/>
        <w:jc w:val="both"/>
        <w:rPr>
          <w:sz w:val="28"/>
          <w:szCs w:val="28"/>
        </w:rPr>
      </w:pPr>
    </w:p>
    <w:p w:rsidR="00342746" w:rsidRPr="003265A8" w:rsidRDefault="00342746" w:rsidP="00342746">
      <w:pPr>
        <w:pStyle w:val="BlockText"/>
        <w:spacing w:before="0" w:beforeAutospacing="0" w:after="0" w:afterAutospacing="0"/>
        <w:ind w:firstLine="720"/>
        <w:jc w:val="both"/>
        <w:rPr>
          <w:sz w:val="28"/>
          <w:szCs w:val="28"/>
        </w:rPr>
      </w:pPr>
    </w:p>
    <w:p w:rsidR="00342746" w:rsidRPr="003265A8" w:rsidRDefault="00342746" w:rsidP="00342746">
      <w:pPr>
        <w:pStyle w:val="BlockText"/>
        <w:spacing w:before="0" w:beforeAutospacing="0" w:after="0" w:afterAutospacing="0"/>
        <w:ind w:firstLine="720"/>
        <w:jc w:val="both"/>
        <w:rPr>
          <w:sz w:val="28"/>
          <w:szCs w:val="28"/>
        </w:rPr>
      </w:pPr>
    </w:p>
    <w:p w:rsidR="00342746" w:rsidRPr="003265A8" w:rsidRDefault="00342746" w:rsidP="00342746">
      <w:pPr>
        <w:pStyle w:val="BlockText"/>
        <w:numPr>
          <w:ilvl w:val="0"/>
          <w:numId w:val="1"/>
        </w:numPr>
        <w:spacing w:before="0" w:beforeAutospacing="0" w:after="0" w:afterAutospacing="0"/>
        <w:ind w:hanging="502"/>
        <w:jc w:val="both"/>
        <w:rPr>
          <w:sz w:val="28"/>
          <w:szCs w:val="28"/>
        </w:rPr>
      </w:pPr>
      <w:r w:rsidRPr="003265A8">
        <w:rPr>
          <w:sz w:val="28"/>
          <w:szCs w:val="28"/>
        </w:rPr>
        <w:t>Papildināt likumu ar 17.</w:t>
      </w:r>
      <w:r w:rsidRPr="003265A8">
        <w:rPr>
          <w:sz w:val="28"/>
          <w:szCs w:val="28"/>
          <w:vertAlign w:val="superscript"/>
        </w:rPr>
        <w:t>2</w:t>
      </w:r>
      <w:r w:rsidRPr="003265A8">
        <w:rPr>
          <w:sz w:val="28"/>
          <w:szCs w:val="28"/>
        </w:rPr>
        <w:t xml:space="preserve"> pantu šādā redakcijā:</w:t>
      </w:r>
    </w:p>
    <w:p w:rsidR="00342746" w:rsidRPr="003265A8" w:rsidRDefault="00342746" w:rsidP="00342746">
      <w:pPr>
        <w:pStyle w:val="BlockText"/>
        <w:spacing w:before="0" w:beforeAutospacing="0" w:after="0" w:afterAutospacing="0"/>
        <w:ind w:left="1069"/>
        <w:jc w:val="both"/>
        <w:rPr>
          <w:sz w:val="28"/>
          <w:szCs w:val="28"/>
        </w:rPr>
      </w:pPr>
    </w:p>
    <w:p w:rsidR="00342746" w:rsidRPr="003265A8" w:rsidRDefault="00342746" w:rsidP="00342746">
      <w:pPr>
        <w:pStyle w:val="BlockText"/>
        <w:spacing w:before="0" w:beforeAutospacing="0" w:after="0" w:afterAutospacing="0"/>
        <w:ind w:left="1069"/>
        <w:jc w:val="both"/>
        <w:rPr>
          <w:sz w:val="28"/>
          <w:szCs w:val="28"/>
        </w:rPr>
      </w:pPr>
      <w:r w:rsidRPr="003265A8">
        <w:rPr>
          <w:sz w:val="28"/>
          <w:szCs w:val="28"/>
        </w:rPr>
        <w:t>"Padomes izdotā administratīvā akta par finanšu un kapitāla tirgus dalībnieka pienākumu veikt savas darbības pārbaudi</w:t>
      </w:r>
      <w:r w:rsidR="00D726D3" w:rsidRPr="003265A8">
        <w:rPr>
          <w:sz w:val="28"/>
          <w:szCs w:val="28"/>
        </w:rPr>
        <w:t xml:space="preserve"> pārsūdzēšana neaptur tā darbību</w:t>
      </w:r>
      <w:r w:rsidRPr="003265A8">
        <w:rPr>
          <w:sz w:val="28"/>
          <w:szCs w:val="28"/>
        </w:rPr>
        <w:t>."</w:t>
      </w:r>
    </w:p>
    <w:p w:rsidR="00342746" w:rsidRPr="003265A8" w:rsidRDefault="00342746" w:rsidP="00342746">
      <w:pPr>
        <w:pStyle w:val="BlockText"/>
        <w:spacing w:before="0" w:beforeAutospacing="0" w:after="0" w:afterAutospacing="0"/>
        <w:ind w:left="1069"/>
        <w:jc w:val="both"/>
        <w:rPr>
          <w:sz w:val="28"/>
          <w:szCs w:val="28"/>
        </w:rPr>
      </w:pPr>
    </w:p>
    <w:p w:rsidR="00342746" w:rsidRPr="003265A8" w:rsidRDefault="00342746" w:rsidP="00342746">
      <w:pPr>
        <w:pStyle w:val="BlockText"/>
        <w:numPr>
          <w:ilvl w:val="0"/>
          <w:numId w:val="1"/>
        </w:numPr>
        <w:spacing w:before="0" w:beforeAutospacing="0" w:after="0" w:afterAutospacing="0"/>
        <w:ind w:hanging="502"/>
        <w:jc w:val="both"/>
        <w:rPr>
          <w:sz w:val="28"/>
          <w:szCs w:val="28"/>
        </w:rPr>
      </w:pPr>
      <w:r w:rsidRPr="003265A8">
        <w:rPr>
          <w:sz w:val="28"/>
          <w:szCs w:val="28"/>
        </w:rPr>
        <w:t>21. pantā:</w:t>
      </w:r>
    </w:p>
    <w:p w:rsidR="00342746" w:rsidRPr="003265A8" w:rsidRDefault="00342746" w:rsidP="00342746">
      <w:pPr>
        <w:pStyle w:val="BlockText"/>
        <w:spacing w:before="0" w:beforeAutospacing="0" w:after="0" w:afterAutospacing="0"/>
        <w:ind w:left="1069"/>
        <w:jc w:val="both"/>
        <w:rPr>
          <w:sz w:val="28"/>
          <w:szCs w:val="28"/>
        </w:rPr>
      </w:pPr>
    </w:p>
    <w:p w:rsidR="00342746" w:rsidRPr="003265A8" w:rsidRDefault="00342746" w:rsidP="00342746">
      <w:pPr>
        <w:pStyle w:val="BlockText"/>
        <w:spacing w:before="0" w:beforeAutospacing="0" w:after="0" w:afterAutospacing="0"/>
        <w:ind w:firstLine="1134"/>
        <w:jc w:val="both"/>
        <w:rPr>
          <w:sz w:val="28"/>
          <w:szCs w:val="28"/>
        </w:rPr>
      </w:pPr>
      <w:r w:rsidRPr="003265A8">
        <w:rPr>
          <w:sz w:val="28"/>
          <w:szCs w:val="28"/>
        </w:rPr>
        <w:t>izteikt ceturto daļu šādā redakcijā:</w:t>
      </w:r>
    </w:p>
    <w:p w:rsidR="00342746" w:rsidRPr="003265A8" w:rsidRDefault="00342746" w:rsidP="00342746">
      <w:pPr>
        <w:pStyle w:val="BlockText"/>
        <w:spacing w:before="0" w:beforeAutospacing="0" w:after="0" w:afterAutospacing="0"/>
        <w:ind w:firstLine="720"/>
        <w:jc w:val="both"/>
        <w:rPr>
          <w:sz w:val="28"/>
          <w:szCs w:val="28"/>
        </w:rPr>
      </w:pPr>
    </w:p>
    <w:p w:rsidR="00342746" w:rsidRPr="003265A8" w:rsidRDefault="00342746" w:rsidP="00342746">
      <w:pPr>
        <w:pStyle w:val="BlockText"/>
        <w:spacing w:before="0" w:beforeAutospacing="0" w:after="0" w:afterAutospacing="0"/>
        <w:ind w:left="1134"/>
        <w:jc w:val="both"/>
        <w:rPr>
          <w:sz w:val="28"/>
          <w:szCs w:val="28"/>
        </w:rPr>
      </w:pPr>
      <w:r w:rsidRPr="003265A8">
        <w:rPr>
          <w:sz w:val="28"/>
          <w:szCs w:val="28"/>
        </w:rPr>
        <w:t>"(4) Konsultatīvā padome ir lemttiesīga, ja tās sēdē piedalās ne mazāk kā puse no Konsultatīvās padomes locekļu skaita vai rakstveida procedūras ietvaros saņemtas atbildes no ne mazāk kā puses Konsultatīvās padomes locekļu. Konsultatīvā padome lēmumus pieņem ar vienkāršu balsu vairākumu. Ja balsis sadalās līdzīgi, lēmums uzskatāms par nepieņemtu.";</w:t>
      </w:r>
    </w:p>
    <w:p w:rsidR="00342746" w:rsidRPr="003265A8" w:rsidRDefault="00342746" w:rsidP="00342746">
      <w:pPr>
        <w:pStyle w:val="BlockText"/>
        <w:spacing w:before="0" w:beforeAutospacing="0" w:after="0" w:afterAutospacing="0"/>
        <w:ind w:firstLine="720"/>
        <w:jc w:val="both"/>
        <w:rPr>
          <w:sz w:val="28"/>
          <w:szCs w:val="28"/>
        </w:rPr>
      </w:pPr>
    </w:p>
    <w:p w:rsidR="00342746" w:rsidRPr="003265A8" w:rsidRDefault="00342746" w:rsidP="00342746">
      <w:pPr>
        <w:pStyle w:val="BlockText"/>
        <w:spacing w:before="0" w:beforeAutospacing="0" w:after="0" w:afterAutospacing="0"/>
        <w:ind w:firstLine="1134"/>
        <w:jc w:val="both"/>
        <w:rPr>
          <w:sz w:val="28"/>
          <w:szCs w:val="28"/>
        </w:rPr>
      </w:pPr>
      <w:r w:rsidRPr="003265A8">
        <w:rPr>
          <w:sz w:val="28"/>
          <w:szCs w:val="28"/>
        </w:rPr>
        <w:t>papildināt ar 4.</w:t>
      </w:r>
      <w:r w:rsidRPr="003265A8">
        <w:rPr>
          <w:sz w:val="28"/>
          <w:szCs w:val="28"/>
          <w:vertAlign w:val="superscript"/>
        </w:rPr>
        <w:t>1</w:t>
      </w:r>
      <w:r w:rsidRPr="003265A8">
        <w:rPr>
          <w:sz w:val="28"/>
          <w:szCs w:val="28"/>
        </w:rPr>
        <w:t>, 4.</w:t>
      </w:r>
      <w:r w:rsidRPr="003265A8">
        <w:rPr>
          <w:sz w:val="28"/>
          <w:szCs w:val="28"/>
          <w:vertAlign w:val="superscript"/>
        </w:rPr>
        <w:t>2</w:t>
      </w:r>
      <w:r w:rsidRPr="003265A8">
        <w:rPr>
          <w:sz w:val="28"/>
          <w:szCs w:val="28"/>
        </w:rPr>
        <w:t xml:space="preserve"> un 4.</w:t>
      </w:r>
      <w:r w:rsidRPr="003265A8">
        <w:rPr>
          <w:sz w:val="28"/>
          <w:szCs w:val="28"/>
          <w:vertAlign w:val="superscript"/>
        </w:rPr>
        <w:t>3</w:t>
      </w:r>
      <w:r w:rsidRPr="003265A8">
        <w:rPr>
          <w:sz w:val="28"/>
          <w:szCs w:val="28"/>
        </w:rPr>
        <w:t>daļu šādā redakcijā:</w:t>
      </w:r>
    </w:p>
    <w:p w:rsidR="00342746" w:rsidRPr="003265A8" w:rsidRDefault="00342746" w:rsidP="00342746">
      <w:pPr>
        <w:pStyle w:val="BlockText"/>
        <w:spacing w:before="0" w:beforeAutospacing="0" w:after="0" w:afterAutospacing="0"/>
        <w:ind w:firstLine="720"/>
        <w:jc w:val="both"/>
        <w:rPr>
          <w:sz w:val="28"/>
          <w:szCs w:val="28"/>
        </w:rPr>
      </w:pPr>
    </w:p>
    <w:p w:rsidR="00342746" w:rsidRPr="003265A8" w:rsidRDefault="00342746" w:rsidP="00342746">
      <w:pPr>
        <w:pStyle w:val="BlockText"/>
        <w:spacing w:before="0" w:beforeAutospacing="0" w:after="0" w:afterAutospacing="0"/>
        <w:ind w:left="1134"/>
        <w:jc w:val="both"/>
        <w:rPr>
          <w:sz w:val="28"/>
          <w:szCs w:val="28"/>
        </w:rPr>
      </w:pPr>
      <w:r w:rsidRPr="003265A8">
        <w:rPr>
          <w:sz w:val="28"/>
          <w:szCs w:val="28"/>
        </w:rPr>
        <w:t>"(4</w:t>
      </w:r>
      <w:r w:rsidRPr="003265A8">
        <w:rPr>
          <w:sz w:val="28"/>
          <w:szCs w:val="28"/>
          <w:vertAlign w:val="superscript"/>
        </w:rPr>
        <w:t>1</w:t>
      </w:r>
      <w:r w:rsidRPr="003265A8">
        <w:rPr>
          <w:sz w:val="28"/>
          <w:szCs w:val="28"/>
        </w:rPr>
        <w:t>) Konsultatīvās padomes sēdes notiek klātienē. Konsultatīvās padomes loceklis, kurš nevar piedalīties klātienē, Konsultatīvās padomes sēdē piedalās attālināti.</w:t>
      </w:r>
    </w:p>
    <w:p w:rsidR="00342746" w:rsidRPr="003265A8" w:rsidRDefault="00342746" w:rsidP="00342746">
      <w:pPr>
        <w:pStyle w:val="BlockText"/>
        <w:spacing w:before="0" w:beforeAutospacing="0" w:after="0" w:afterAutospacing="0"/>
        <w:ind w:left="1134"/>
        <w:jc w:val="both"/>
        <w:rPr>
          <w:sz w:val="28"/>
          <w:szCs w:val="28"/>
        </w:rPr>
      </w:pPr>
      <w:r w:rsidRPr="003265A8">
        <w:rPr>
          <w:sz w:val="28"/>
          <w:szCs w:val="28"/>
        </w:rPr>
        <w:t>(4</w:t>
      </w:r>
      <w:r w:rsidRPr="003265A8">
        <w:rPr>
          <w:sz w:val="28"/>
          <w:szCs w:val="28"/>
          <w:vertAlign w:val="superscript"/>
        </w:rPr>
        <w:t>2</w:t>
      </w:r>
      <w:r w:rsidRPr="003265A8">
        <w:rPr>
          <w:sz w:val="28"/>
          <w:szCs w:val="28"/>
        </w:rPr>
        <w:t>) Konsultatīvā padome ir tiesīga pieņemt lēmumu, sazinoties elektroniski, rakstveida procedūras ietvaros.</w:t>
      </w:r>
    </w:p>
    <w:p w:rsidR="00342746" w:rsidRPr="003265A8" w:rsidRDefault="00342746" w:rsidP="00342746">
      <w:pPr>
        <w:pStyle w:val="BlockText"/>
        <w:spacing w:before="0" w:beforeAutospacing="0" w:after="0" w:afterAutospacing="0"/>
        <w:ind w:left="1134"/>
        <w:jc w:val="both"/>
        <w:rPr>
          <w:sz w:val="28"/>
          <w:szCs w:val="28"/>
        </w:rPr>
      </w:pPr>
      <w:r w:rsidRPr="003265A8">
        <w:rPr>
          <w:sz w:val="28"/>
          <w:szCs w:val="28"/>
        </w:rPr>
        <w:t>(4</w:t>
      </w:r>
      <w:r w:rsidRPr="003265A8">
        <w:rPr>
          <w:sz w:val="28"/>
          <w:szCs w:val="28"/>
          <w:vertAlign w:val="superscript"/>
        </w:rPr>
        <w:t>3</w:t>
      </w:r>
      <w:r w:rsidRPr="003265A8">
        <w:rPr>
          <w:sz w:val="28"/>
          <w:szCs w:val="28"/>
        </w:rPr>
        <w:t>) Kārtību, kādā notiek piedalīšanās Konsultatīvās padomes sēdēs, debates un balsošana attālināti, kā arī elektronisko rakstveida procedūru, nosaka Komisijas priekšsēdētājs."</w:t>
      </w:r>
    </w:p>
    <w:p w:rsidR="00342746" w:rsidRPr="003265A8" w:rsidRDefault="00342746" w:rsidP="00342746">
      <w:pPr>
        <w:pStyle w:val="PlainText"/>
        <w:ind w:left="567"/>
        <w:jc w:val="both"/>
        <w:rPr>
          <w:rFonts w:ascii="Times New Roman" w:hAnsi="Times New Roman" w:cs="Times New Roman"/>
          <w:sz w:val="28"/>
          <w:szCs w:val="28"/>
        </w:rPr>
      </w:pPr>
    </w:p>
    <w:p w:rsidR="00342746" w:rsidRPr="003265A8" w:rsidRDefault="00342746" w:rsidP="00342746">
      <w:pPr>
        <w:pStyle w:val="PlainText"/>
        <w:ind w:left="567"/>
        <w:jc w:val="both"/>
        <w:rPr>
          <w:rFonts w:ascii="Times New Roman" w:hAnsi="Times New Roman" w:cs="Times New Roman"/>
          <w:sz w:val="28"/>
          <w:szCs w:val="28"/>
        </w:rPr>
      </w:pPr>
    </w:p>
    <w:p w:rsidR="00342746" w:rsidRPr="003265A8" w:rsidRDefault="00342746" w:rsidP="00342746">
      <w:pPr>
        <w:pStyle w:val="NormalWeb"/>
        <w:tabs>
          <w:tab w:val="left" w:pos="6521"/>
        </w:tabs>
        <w:spacing w:before="0" w:beforeAutospacing="0" w:after="0" w:afterAutospacing="0"/>
        <w:ind w:left="540" w:hanging="540"/>
        <w:rPr>
          <w:sz w:val="28"/>
          <w:szCs w:val="28"/>
        </w:rPr>
      </w:pPr>
      <w:r w:rsidRPr="003265A8">
        <w:rPr>
          <w:sz w:val="28"/>
          <w:szCs w:val="28"/>
        </w:rPr>
        <w:t xml:space="preserve">Finanšu ministre                                                           </w:t>
      </w:r>
      <w:r w:rsidRPr="003265A8">
        <w:rPr>
          <w:color w:val="000000"/>
          <w:sz w:val="28"/>
          <w:szCs w:val="28"/>
        </w:rPr>
        <w:t>D. Reizniece-Ozola</w:t>
      </w:r>
    </w:p>
    <w:p w:rsidR="00342746" w:rsidRPr="003265A8" w:rsidRDefault="00342746" w:rsidP="00342746">
      <w:pPr>
        <w:spacing w:after="0" w:line="240" w:lineRule="auto"/>
        <w:ind w:left="360" w:hanging="360"/>
        <w:rPr>
          <w:rFonts w:ascii="Times New Roman" w:eastAsia="Times New Roman" w:hAnsi="Times New Roman" w:cs="Times New Roman"/>
          <w:color w:val="000000"/>
          <w:sz w:val="28"/>
          <w:szCs w:val="28"/>
        </w:rPr>
      </w:pPr>
      <w:r w:rsidRPr="003265A8">
        <w:rPr>
          <w:rFonts w:ascii="Times New Roman" w:eastAsia="Times New Roman" w:hAnsi="Times New Roman" w:cs="Times New Roman"/>
          <w:color w:val="000000"/>
          <w:sz w:val="28"/>
          <w:szCs w:val="28"/>
        </w:rPr>
        <w:t xml:space="preserve"> </w:t>
      </w:r>
      <w:r w:rsidRPr="003265A8">
        <w:rPr>
          <w:rFonts w:ascii="Times New Roman" w:eastAsia="Times New Roman" w:hAnsi="Times New Roman" w:cs="Times New Roman"/>
          <w:color w:val="000000"/>
          <w:sz w:val="28"/>
          <w:szCs w:val="28"/>
        </w:rPr>
        <w:tab/>
      </w:r>
    </w:p>
    <w:p w:rsidR="00342746" w:rsidRPr="003265A8" w:rsidRDefault="00342746" w:rsidP="00342746">
      <w:pPr>
        <w:spacing w:after="0" w:line="240" w:lineRule="auto"/>
        <w:ind w:left="360"/>
        <w:rPr>
          <w:rFonts w:ascii="Times New Roman" w:eastAsia="Times New Roman" w:hAnsi="Times New Roman" w:cs="Times New Roman"/>
          <w:color w:val="000000"/>
          <w:sz w:val="28"/>
          <w:szCs w:val="28"/>
        </w:rPr>
      </w:pPr>
      <w:r w:rsidRPr="003265A8">
        <w:rPr>
          <w:rFonts w:ascii="Times New Roman" w:eastAsia="Times New Roman" w:hAnsi="Times New Roman" w:cs="Times New Roman"/>
          <w:color w:val="000000"/>
          <w:sz w:val="28"/>
          <w:szCs w:val="28"/>
        </w:rPr>
        <w:t xml:space="preserve">                             </w:t>
      </w:r>
    </w:p>
    <w:p w:rsidR="00342746" w:rsidRPr="003265A8" w:rsidRDefault="00914083" w:rsidP="0034274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01.03</w:t>
      </w:r>
      <w:r w:rsidR="00342746" w:rsidRPr="003265A8">
        <w:rPr>
          <w:rFonts w:ascii="Times New Roman" w:eastAsia="Times New Roman" w:hAnsi="Times New Roman" w:cs="Times New Roman"/>
          <w:color w:val="000000"/>
          <w:sz w:val="20"/>
          <w:szCs w:val="20"/>
        </w:rPr>
        <w:t>.2016. 9:35</w:t>
      </w:r>
    </w:p>
    <w:p w:rsidR="00342746" w:rsidRPr="003265A8" w:rsidRDefault="00414746" w:rsidP="0034274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w:t>
      </w:r>
    </w:p>
    <w:p w:rsidR="00342746" w:rsidRPr="003265A8" w:rsidRDefault="00342746" w:rsidP="00342746">
      <w:pPr>
        <w:spacing w:after="0" w:line="240" w:lineRule="auto"/>
        <w:rPr>
          <w:rFonts w:ascii="Times New Roman" w:eastAsia="Times New Roman" w:hAnsi="Times New Roman" w:cs="Times New Roman"/>
          <w:color w:val="000000"/>
          <w:sz w:val="20"/>
          <w:szCs w:val="20"/>
        </w:rPr>
      </w:pPr>
      <w:proofErr w:type="spellStart"/>
      <w:r w:rsidRPr="003265A8">
        <w:rPr>
          <w:rFonts w:ascii="Times New Roman" w:eastAsia="Times New Roman" w:hAnsi="Times New Roman" w:cs="Times New Roman"/>
          <w:color w:val="000000"/>
          <w:sz w:val="20"/>
          <w:szCs w:val="20"/>
        </w:rPr>
        <w:t>I.Repše</w:t>
      </w:r>
      <w:proofErr w:type="spellEnd"/>
    </w:p>
    <w:p w:rsidR="00342746" w:rsidRPr="000C546F" w:rsidRDefault="00342746" w:rsidP="00342746">
      <w:pPr>
        <w:spacing w:after="0" w:line="240" w:lineRule="auto"/>
        <w:rPr>
          <w:rFonts w:ascii="Times New Roman" w:eastAsia="Times New Roman" w:hAnsi="Times New Roman" w:cs="Times New Roman"/>
          <w:color w:val="000000"/>
          <w:sz w:val="20"/>
          <w:szCs w:val="20"/>
        </w:rPr>
      </w:pPr>
      <w:r w:rsidRPr="003265A8">
        <w:rPr>
          <w:rFonts w:ascii="Times New Roman" w:eastAsia="Times New Roman" w:hAnsi="Times New Roman" w:cs="Times New Roman"/>
          <w:color w:val="000000"/>
          <w:sz w:val="20"/>
          <w:szCs w:val="20"/>
        </w:rPr>
        <w:t>67095490, inta.repse@fm.gov.lv</w:t>
      </w:r>
    </w:p>
    <w:p w:rsidR="00342746" w:rsidRDefault="00342746" w:rsidP="00342746"/>
    <w:p w:rsidR="00342746" w:rsidRDefault="00342746" w:rsidP="00342746"/>
    <w:p w:rsidR="00A753B7" w:rsidRDefault="00A753B7"/>
    <w:sectPr w:rsidR="00A753B7" w:rsidSect="008C3A54">
      <w:headerReference w:type="default" r:id="rId7"/>
      <w:footerReference w:type="default" r:id="rId8"/>
      <w:footerReference w:type="first" r:id="rId9"/>
      <w:pgSz w:w="11906" w:h="16838"/>
      <w:pgMar w:top="1440" w:right="18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4E" w:rsidRDefault="00677A02">
      <w:pPr>
        <w:spacing w:after="0" w:line="240" w:lineRule="auto"/>
      </w:pPr>
      <w:r>
        <w:separator/>
      </w:r>
    </w:p>
  </w:endnote>
  <w:endnote w:type="continuationSeparator" w:id="0">
    <w:p w:rsidR="00BA2C4E" w:rsidRDefault="0067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5" w:rsidRPr="00A0032E" w:rsidRDefault="00907C00" w:rsidP="00C50D45">
    <w:pPr>
      <w:pStyle w:val="Footer"/>
      <w:jc w:val="both"/>
      <w:rPr>
        <w:rFonts w:ascii="Times New Roman" w:hAnsi="Times New Roman" w:cs="Times New Roman"/>
        <w:sz w:val="20"/>
        <w:szCs w:val="20"/>
      </w:rPr>
    </w:pPr>
    <w:r>
      <w:rPr>
        <w:rFonts w:ascii="Times New Roman" w:hAnsi="Times New Roman" w:cs="Times New Roman"/>
        <w:sz w:val="20"/>
        <w:szCs w:val="20"/>
      </w:rPr>
      <w:t>FMLik_010316</w:t>
    </w:r>
    <w:r w:rsidR="00B134C1" w:rsidRPr="00A0032E">
      <w:rPr>
        <w:rFonts w:ascii="Times New Roman" w:hAnsi="Times New Roman" w:cs="Times New Roman"/>
        <w:sz w:val="20"/>
        <w:szCs w:val="20"/>
      </w:rPr>
      <w:t xml:space="preserve">_FKTKL; Likumprojekts </w:t>
    </w:r>
    <w:r w:rsidR="00B134C1" w:rsidRPr="00A0032E">
      <w:rPr>
        <w:rFonts w:ascii="Times New Roman" w:eastAsia="Times New Roman" w:hAnsi="Times New Roman" w:cs="Times New Roman"/>
        <w:bCs/>
        <w:sz w:val="20"/>
        <w:szCs w:val="20"/>
      </w:rPr>
      <w:t xml:space="preserve">“Grozījumi </w:t>
    </w:r>
    <w:hyperlink r:id="rId1" w:tgtFrame="_blank" w:history="1">
      <w:r w:rsidR="00B134C1" w:rsidRPr="00A0032E">
        <w:rPr>
          <w:rFonts w:ascii="Times New Roman" w:eastAsia="Times New Roman" w:hAnsi="Times New Roman" w:cs="Times New Roman"/>
          <w:bCs/>
          <w:sz w:val="20"/>
          <w:szCs w:val="20"/>
        </w:rPr>
        <w:t>Finanšu un kapitāla tirgus komisijas likumā</w:t>
      </w:r>
    </w:hyperlink>
    <w:r w:rsidR="00B134C1" w:rsidRPr="00A0032E">
      <w:rPr>
        <w:rFonts w:ascii="Times New Roman" w:eastAsia="Times New Roman" w:hAnsi="Times New Roman" w:cs="Times New Roman"/>
        <w:bCs/>
        <w:sz w:val="20"/>
        <w:szCs w:val="20"/>
      </w:rPr>
      <w:t>”</w:t>
    </w:r>
  </w:p>
  <w:p w:rsidR="00DA7E64" w:rsidRDefault="00997FA4" w:rsidP="00C50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1D" w:rsidRPr="00A0032E" w:rsidRDefault="00907C00" w:rsidP="002646EC">
    <w:pPr>
      <w:pStyle w:val="Footer"/>
      <w:jc w:val="both"/>
      <w:rPr>
        <w:rFonts w:ascii="Times New Roman" w:hAnsi="Times New Roman" w:cs="Times New Roman"/>
        <w:sz w:val="20"/>
        <w:szCs w:val="20"/>
      </w:rPr>
    </w:pPr>
    <w:r>
      <w:rPr>
        <w:rFonts w:ascii="Times New Roman" w:hAnsi="Times New Roman" w:cs="Times New Roman"/>
        <w:sz w:val="20"/>
        <w:szCs w:val="20"/>
      </w:rPr>
      <w:t>FMLik_010316</w:t>
    </w:r>
    <w:r w:rsidR="00B134C1" w:rsidRPr="00A0032E">
      <w:rPr>
        <w:rFonts w:ascii="Times New Roman" w:hAnsi="Times New Roman" w:cs="Times New Roman"/>
        <w:sz w:val="20"/>
        <w:szCs w:val="20"/>
      </w:rPr>
      <w:t xml:space="preserve">_FKTKL; Likumprojekts </w:t>
    </w:r>
    <w:r w:rsidR="00B134C1" w:rsidRPr="00A0032E">
      <w:rPr>
        <w:rFonts w:ascii="Times New Roman" w:eastAsia="Times New Roman" w:hAnsi="Times New Roman" w:cs="Times New Roman"/>
        <w:bCs/>
        <w:sz w:val="20"/>
        <w:szCs w:val="20"/>
      </w:rPr>
      <w:t xml:space="preserve">“Grozījumi </w:t>
    </w:r>
    <w:hyperlink r:id="rId1" w:tgtFrame="_blank" w:history="1">
      <w:r w:rsidR="00B134C1" w:rsidRPr="00A0032E">
        <w:rPr>
          <w:rFonts w:ascii="Times New Roman" w:eastAsia="Times New Roman" w:hAnsi="Times New Roman" w:cs="Times New Roman"/>
          <w:bCs/>
          <w:sz w:val="20"/>
          <w:szCs w:val="20"/>
        </w:rPr>
        <w:t>Finanšu un kapitāla tirgus komisijas likumā</w:t>
      </w:r>
    </w:hyperlink>
    <w:r w:rsidR="00B134C1" w:rsidRPr="00A0032E">
      <w:rPr>
        <w:rFonts w:ascii="Times New Roman" w:eastAsia="Times New Roman" w:hAnsi="Times New Roman" w:cs="Times New Roman"/>
        <w:bCs/>
        <w:sz w:val="20"/>
        <w:szCs w:val="20"/>
      </w:rPr>
      <w:t>”</w:t>
    </w:r>
  </w:p>
  <w:p w:rsidR="008C3A54" w:rsidRPr="0075441D" w:rsidRDefault="00997FA4" w:rsidP="0075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4E" w:rsidRDefault="00677A02">
      <w:pPr>
        <w:spacing w:after="0" w:line="240" w:lineRule="auto"/>
      </w:pPr>
      <w:r>
        <w:separator/>
      </w:r>
    </w:p>
  </w:footnote>
  <w:footnote w:type="continuationSeparator" w:id="0">
    <w:p w:rsidR="00BA2C4E" w:rsidRDefault="0067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98853"/>
      <w:docPartObj>
        <w:docPartGallery w:val="Page Numbers (Top of Page)"/>
        <w:docPartUnique/>
      </w:docPartObj>
    </w:sdtPr>
    <w:sdtEndPr>
      <w:rPr>
        <w:noProof/>
      </w:rPr>
    </w:sdtEndPr>
    <w:sdtContent>
      <w:p w:rsidR="008C3A54" w:rsidRDefault="00B134C1">
        <w:pPr>
          <w:pStyle w:val="Header"/>
          <w:jc w:val="center"/>
        </w:pPr>
        <w:r>
          <w:fldChar w:fldCharType="begin"/>
        </w:r>
        <w:r>
          <w:instrText xml:space="preserve"> PAGE   \* MERGEFORMAT </w:instrText>
        </w:r>
        <w:r>
          <w:fldChar w:fldCharType="separate"/>
        </w:r>
        <w:r w:rsidR="00997FA4">
          <w:rPr>
            <w:noProof/>
          </w:rPr>
          <w:t>2</w:t>
        </w:r>
        <w:r>
          <w:rPr>
            <w:noProof/>
          </w:rPr>
          <w:fldChar w:fldCharType="end"/>
        </w:r>
      </w:p>
    </w:sdtContent>
  </w:sdt>
  <w:p w:rsidR="008C3A54" w:rsidRDefault="00997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268"/>
    <w:multiLevelType w:val="hybridMultilevel"/>
    <w:tmpl w:val="192C1EB2"/>
    <w:lvl w:ilvl="0" w:tplc="D6AAE51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6"/>
    <w:rsid w:val="003265A8"/>
    <w:rsid w:val="00342746"/>
    <w:rsid w:val="00393A11"/>
    <w:rsid w:val="00414746"/>
    <w:rsid w:val="00677A02"/>
    <w:rsid w:val="00907C00"/>
    <w:rsid w:val="00914083"/>
    <w:rsid w:val="00997FA4"/>
    <w:rsid w:val="00A753B7"/>
    <w:rsid w:val="00B134C1"/>
    <w:rsid w:val="00BA2C4E"/>
    <w:rsid w:val="00D72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EE42C-B0CC-4A0A-9DD4-08D9B7C3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46"/>
    <w:pPr>
      <w:spacing w:after="200" w:line="276" w:lineRule="auto"/>
    </w:pPr>
    <w:rPr>
      <w:rFonts w:asciiTheme="minorHAnsi" w:eastAsiaTheme="minorEastAsia" w:hAnsiTheme="minorHAns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274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42746"/>
    <w:rPr>
      <w:rFonts w:ascii="Calibri" w:hAnsi="Calibri"/>
      <w:sz w:val="22"/>
      <w:szCs w:val="21"/>
    </w:rPr>
  </w:style>
  <w:style w:type="paragraph" w:styleId="Header">
    <w:name w:val="header"/>
    <w:basedOn w:val="Normal"/>
    <w:link w:val="HeaderChar"/>
    <w:uiPriority w:val="99"/>
    <w:unhideWhenUsed/>
    <w:rsid w:val="003427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746"/>
    <w:rPr>
      <w:rFonts w:asciiTheme="minorHAnsi" w:eastAsiaTheme="minorEastAsia" w:hAnsiTheme="minorHAnsi"/>
      <w:sz w:val="22"/>
      <w:lang w:eastAsia="lv-LV"/>
    </w:rPr>
  </w:style>
  <w:style w:type="paragraph" w:styleId="Footer">
    <w:name w:val="footer"/>
    <w:basedOn w:val="Normal"/>
    <w:link w:val="FooterChar"/>
    <w:uiPriority w:val="99"/>
    <w:unhideWhenUsed/>
    <w:rsid w:val="003427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746"/>
    <w:rPr>
      <w:rFonts w:asciiTheme="minorHAnsi" w:eastAsiaTheme="minorEastAsia" w:hAnsiTheme="minorHAnsi"/>
      <w:sz w:val="22"/>
      <w:lang w:eastAsia="lv-LV"/>
    </w:rPr>
  </w:style>
  <w:style w:type="paragraph" w:styleId="BlockText">
    <w:name w:val="Block Text"/>
    <w:basedOn w:val="Normal"/>
    <w:uiPriority w:val="99"/>
    <w:unhideWhenUsed/>
    <w:rsid w:val="0034274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42746"/>
    <w:pPr>
      <w:ind w:left="720"/>
      <w:contextualSpacing/>
    </w:pPr>
  </w:style>
  <w:style w:type="paragraph" w:styleId="NormalWeb">
    <w:name w:val="Normal (Web)"/>
    <w:basedOn w:val="Normal"/>
    <w:semiHidden/>
    <w:unhideWhenUsed/>
    <w:rsid w:val="00342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1982</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Finanšu un kapitāla tirgus komisijas likumā"</dc:title>
  <dc:subject/>
  <dc:creator>Inta Repše</dc:creator>
  <cp:keywords/>
  <dc:description>Inta Repše
inta.repse@fm.gov.lv
Tālr:67095490</dc:description>
  <cp:lastModifiedBy>Inta Repše</cp:lastModifiedBy>
  <cp:revision>10</cp:revision>
  <dcterms:created xsi:type="dcterms:W3CDTF">2016-02-25T08:34:00Z</dcterms:created>
  <dcterms:modified xsi:type="dcterms:W3CDTF">2016-03-02T11:02:00Z</dcterms:modified>
</cp:coreProperties>
</file>