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B2941">
      <w:pPr>
        <w:jc w:val="center"/>
        <w:rPr>
          <w:b/>
        </w:rPr>
      </w:pPr>
    </w:p>
    <w:p w:rsidR="0075738B" w:rsidRPr="006742EE" w:rsidRDefault="0075738B" w:rsidP="00581822">
      <w:pPr>
        <w:rPr>
          <w:b/>
        </w:rPr>
      </w:pPr>
    </w:p>
    <w:p w:rsidR="0075738B" w:rsidRPr="006742EE" w:rsidRDefault="0075738B" w:rsidP="0075738B">
      <w:pPr>
        <w:rPr>
          <w:b/>
        </w:rPr>
      </w:pPr>
    </w:p>
    <w:p w:rsidR="0075738B" w:rsidRPr="006742EE" w:rsidRDefault="0075738B" w:rsidP="005B2941">
      <w:pPr>
        <w:jc w:val="center"/>
        <w:rPr>
          <w:b/>
        </w:rPr>
      </w:pPr>
    </w:p>
    <w:p w:rsidR="0075738B" w:rsidRPr="006742EE" w:rsidRDefault="0075738B" w:rsidP="005B2941">
      <w:pPr>
        <w:jc w:val="center"/>
        <w:rPr>
          <w:b/>
        </w:rPr>
      </w:pPr>
    </w:p>
    <w:p w:rsidR="005B2941" w:rsidRPr="006742EE" w:rsidRDefault="005B2941" w:rsidP="005B2941">
      <w:pPr>
        <w:jc w:val="center"/>
        <w:rPr>
          <w:b/>
        </w:rPr>
      </w:pPr>
      <w:r w:rsidRPr="006742EE">
        <w:rPr>
          <w:b/>
        </w:rPr>
        <w:t xml:space="preserve">Informatīvais ziņojums </w:t>
      </w:r>
    </w:p>
    <w:p w:rsidR="00237A1C" w:rsidRPr="006742EE" w:rsidRDefault="005B2941" w:rsidP="005B2941">
      <w:pPr>
        <w:jc w:val="center"/>
        <w:rPr>
          <w:b/>
        </w:rPr>
      </w:pPr>
      <w:r w:rsidRPr="006742EE">
        <w:rPr>
          <w:b/>
        </w:rPr>
        <w:t>“</w:t>
      </w:r>
      <w:r w:rsidR="00D42CD6" w:rsidRPr="006742EE">
        <w:rPr>
          <w:b/>
        </w:rPr>
        <w:t>Paveiktie un plānotie pasākumi, ieviešot budžeta sistēmu, kas balstīta uz attīstības plānošanas dokumentu mērķu sasniegšanu</w:t>
      </w:r>
      <w:r w:rsidRPr="006742EE">
        <w:rPr>
          <w:b/>
        </w:rPr>
        <w:t>”</w:t>
      </w:r>
    </w:p>
    <w:p w:rsidR="005B2941" w:rsidRPr="006742EE" w:rsidRDefault="005B2941" w:rsidP="005B2941">
      <w:pPr>
        <w:rPr>
          <w:b/>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581822" w:rsidRPr="006742EE" w:rsidRDefault="00581822" w:rsidP="00A33DE6">
      <w:pPr>
        <w:ind w:firstLine="709"/>
        <w:jc w:val="both"/>
        <w:rPr>
          <w:szCs w:val="24"/>
        </w:rPr>
      </w:pPr>
    </w:p>
    <w:p w:rsidR="00581822" w:rsidRPr="006742EE" w:rsidRDefault="00581822" w:rsidP="00A33DE6">
      <w:pPr>
        <w:ind w:firstLine="709"/>
        <w:jc w:val="both"/>
        <w:rPr>
          <w:szCs w:val="24"/>
        </w:rPr>
      </w:pPr>
    </w:p>
    <w:p w:rsidR="00581822" w:rsidRPr="006742EE" w:rsidRDefault="00581822" w:rsidP="00A33DE6">
      <w:pPr>
        <w:ind w:firstLine="709"/>
        <w:jc w:val="both"/>
        <w:rPr>
          <w:szCs w:val="24"/>
        </w:rPr>
      </w:pPr>
    </w:p>
    <w:p w:rsidR="00581822" w:rsidRPr="006742EE" w:rsidRDefault="00581822" w:rsidP="00A33DE6">
      <w:pPr>
        <w:ind w:firstLine="709"/>
        <w:jc w:val="both"/>
        <w:rPr>
          <w:szCs w:val="24"/>
        </w:rPr>
      </w:pPr>
    </w:p>
    <w:p w:rsidR="00581822" w:rsidRPr="006742EE" w:rsidRDefault="00581822" w:rsidP="00A33DE6">
      <w:pPr>
        <w:ind w:firstLine="709"/>
        <w:jc w:val="both"/>
        <w:rPr>
          <w:szCs w:val="24"/>
        </w:rPr>
      </w:pPr>
    </w:p>
    <w:p w:rsidR="00581822" w:rsidRPr="006742EE" w:rsidRDefault="00581822" w:rsidP="00A33DE6">
      <w:pPr>
        <w:ind w:firstLine="709"/>
        <w:jc w:val="both"/>
        <w:rPr>
          <w:szCs w:val="24"/>
        </w:rPr>
      </w:pPr>
    </w:p>
    <w:p w:rsidR="0075738B" w:rsidRPr="006742EE" w:rsidRDefault="0075738B" w:rsidP="00A33DE6">
      <w:pPr>
        <w:ind w:firstLine="709"/>
        <w:jc w:val="both"/>
        <w:rPr>
          <w:szCs w:val="24"/>
        </w:rPr>
      </w:pPr>
    </w:p>
    <w:p w:rsidR="0075738B" w:rsidRPr="00B35F3D" w:rsidRDefault="0075738B" w:rsidP="0075738B">
      <w:pPr>
        <w:ind w:firstLine="709"/>
        <w:jc w:val="center"/>
        <w:rPr>
          <w:b/>
          <w:szCs w:val="24"/>
        </w:rPr>
      </w:pPr>
      <w:r w:rsidRPr="00B35F3D">
        <w:rPr>
          <w:b/>
          <w:szCs w:val="24"/>
        </w:rPr>
        <w:lastRenderedPageBreak/>
        <w:t>Saturs</w:t>
      </w:r>
    </w:p>
    <w:p w:rsidR="0075738B" w:rsidRPr="006742EE" w:rsidRDefault="0075738B" w:rsidP="00581822">
      <w:pPr>
        <w:jc w:val="both"/>
        <w:rPr>
          <w:szCs w:val="24"/>
        </w:rPr>
      </w:pPr>
    </w:p>
    <w:sdt>
      <w:sdtPr>
        <w:rPr>
          <w:rFonts w:ascii="Times New Roman" w:eastAsiaTheme="minorHAnsi" w:hAnsi="Times New Roman" w:cstheme="minorBidi"/>
          <w:color w:val="auto"/>
          <w:sz w:val="24"/>
          <w:szCs w:val="22"/>
          <w:lang w:val="lv-LV"/>
        </w:rPr>
        <w:id w:val="1985120884"/>
        <w:docPartObj>
          <w:docPartGallery w:val="Table of Contents"/>
          <w:docPartUnique/>
        </w:docPartObj>
      </w:sdtPr>
      <w:sdtEndPr>
        <w:rPr>
          <w:bCs/>
          <w:noProof/>
        </w:rPr>
      </w:sdtEndPr>
      <w:sdtContent>
        <w:p w:rsidR="00B87CF8" w:rsidRPr="006742EE" w:rsidRDefault="00B87CF8">
          <w:pPr>
            <w:pStyle w:val="TOCHeading"/>
            <w:rPr>
              <w:lang w:val="lv-LV"/>
            </w:rPr>
          </w:pPr>
        </w:p>
        <w:p w:rsidR="004C714B" w:rsidRPr="004C714B" w:rsidRDefault="00B87CF8">
          <w:pPr>
            <w:pStyle w:val="TOC1"/>
            <w:rPr>
              <w:rFonts w:asciiTheme="minorHAnsi" w:eastAsiaTheme="minorEastAsia" w:hAnsiTheme="minorHAnsi" w:cstheme="minorBidi"/>
              <w:b w:val="0"/>
              <w:sz w:val="22"/>
              <w:lang w:eastAsia="lv-LV"/>
            </w:rPr>
          </w:pPr>
          <w:r w:rsidRPr="004C6282">
            <w:rPr>
              <w:b w:val="0"/>
              <w:noProof w:val="0"/>
            </w:rPr>
            <w:fldChar w:fldCharType="begin"/>
          </w:r>
          <w:r w:rsidRPr="004C6282">
            <w:rPr>
              <w:b w:val="0"/>
            </w:rPr>
            <w:instrText xml:space="preserve"> TOC \o "1-3" \h \z \u </w:instrText>
          </w:r>
          <w:r w:rsidRPr="004C6282">
            <w:rPr>
              <w:b w:val="0"/>
              <w:noProof w:val="0"/>
            </w:rPr>
            <w:fldChar w:fldCharType="separate"/>
          </w:r>
          <w:hyperlink w:anchor="_Toc443558710" w:history="1">
            <w:r w:rsidR="004C714B" w:rsidRPr="004C714B">
              <w:rPr>
                <w:rStyle w:val="Hyperlink"/>
                <w:b w:val="0"/>
              </w:rPr>
              <w:t>1.</w:t>
            </w:r>
            <w:r w:rsidR="004C714B" w:rsidRPr="004C714B">
              <w:rPr>
                <w:rFonts w:asciiTheme="minorHAnsi" w:eastAsiaTheme="minorEastAsia" w:hAnsiTheme="minorHAnsi" w:cstheme="minorBidi"/>
                <w:b w:val="0"/>
                <w:sz w:val="22"/>
                <w:lang w:eastAsia="lv-LV"/>
              </w:rPr>
              <w:tab/>
            </w:r>
            <w:r w:rsidR="004C714B" w:rsidRPr="004C714B">
              <w:rPr>
                <w:rStyle w:val="Hyperlink"/>
                <w:b w:val="0"/>
              </w:rPr>
              <w:t>Normatīvais regulējums</w:t>
            </w:r>
            <w:r w:rsidR="004C714B" w:rsidRPr="004C714B">
              <w:rPr>
                <w:b w:val="0"/>
                <w:webHidden/>
              </w:rPr>
              <w:tab/>
            </w:r>
            <w:r w:rsidR="004C714B" w:rsidRPr="004C714B">
              <w:rPr>
                <w:b w:val="0"/>
                <w:webHidden/>
              </w:rPr>
              <w:fldChar w:fldCharType="begin"/>
            </w:r>
            <w:r w:rsidR="004C714B" w:rsidRPr="004C714B">
              <w:rPr>
                <w:b w:val="0"/>
                <w:webHidden/>
              </w:rPr>
              <w:instrText xml:space="preserve"> PAGEREF _Toc443558710 \h </w:instrText>
            </w:r>
            <w:r w:rsidR="004C714B" w:rsidRPr="004C714B">
              <w:rPr>
                <w:b w:val="0"/>
                <w:webHidden/>
              </w:rPr>
            </w:r>
            <w:r w:rsidR="004C714B" w:rsidRPr="004C714B">
              <w:rPr>
                <w:b w:val="0"/>
                <w:webHidden/>
              </w:rPr>
              <w:fldChar w:fldCharType="separate"/>
            </w:r>
            <w:r w:rsidR="00F92A82">
              <w:rPr>
                <w:b w:val="0"/>
                <w:webHidden/>
              </w:rPr>
              <w:t>3</w:t>
            </w:r>
            <w:r w:rsidR="004C714B" w:rsidRPr="004C714B">
              <w:rPr>
                <w:b w:val="0"/>
                <w:webHidden/>
              </w:rPr>
              <w:fldChar w:fldCharType="end"/>
            </w:r>
          </w:hyperlink>
        </w:p>
        <w:p w:rsidR="004C714B" w:rsidRPr="004C714B" w:rsidRDefault="00464A16">
          <w:pPr>
            <w:pStyle w:val="TOC1"/>
            <w:rPr>
              <w:rFonts w:asciiTheme="minorHAnsi" w:eastAsiaTheme="minorEastAsia" w:hAnsiTheme="minorHAnsi" w:cstheme="minorBidi"/>
              <w:b w:val="0"/>
              <w:sz w:val="22"/>
              <w:lang w:eastAsia="lv-LV"/>
            </w:rPr>
          </w:pPr>
          <w:hyperlink w:anchor="_Toc443558711" w:history="1">
            <w:r w:rsidR="004C714B" w:rsidRPr="004C714B">
              <w:rPr>
                <w:rStyle w:val="Hyperlink"/>
                <w:b w:val="0"/>
              </w:rPr>
              <w:t>2.</w:t>
            </w:r>
            <w:r w:rsidR="004C714B" w:rsidRPr="004C714B">
              <w:rPr>
                <w:rFonts w:asciiTheme="minorHAnsi" w:eastAsiaTheme="minorEastAsia" w:hAnsiTheme="minorHAnsi" w:cstheme="minorBidi"/>
                <w:b w:val="0"/>
                <w:sz w:val="22"/>
                <w:lang w:eastAsia="lv-LV"/>
              </w:rPr>
              <w:tab/>
            </w:r>
            <w:r w:rsidR="004C714B" w:rsidRPr="004C714B">
              <w:rPr>
                <w:rStyle w:val="Hyperlink"/>
                <w:b w:val="0"/>
              </w:rPr>
              <w:t>Pašreizējā situācija finansējuma sasaistē ar attīstības plānošanas dokumentiem</w:t>
            </w:r>
            <w:r w:rsidR="004C714B" w:rsidRPr="004C714B">
              <w:rPr>
                <w:b w:val="0"/>
                <w:webHidden/>
              </w:rPr>
              <w:tab/>
            </w:r>
            <w:r w:rsidR="004C714B" w:rsidRPr="004C714B">
              <w:rPr>
                <w:b w:val="0"/>
                <w:webHidden/>
              </w:rPr>
              <w:fldChar w:fldCharType="begin"/>
            </w:r>
            <w:r w:rsidR="004C714B" w:rsidRPr="004C714B">
              <w:rPr>
                <w:b w:val="0"/>
                <w:webHidden/>
              </w:rPr>
              <w:instrText xml:space="preserve"> PAGEREF _Toc443558711 \h </w:instrText>
            </w:r>
            <w:r w:rsidR="004C714B" w:rsidRPr="004C714B">
              <w:rPr>
                <w:b w:val="0"/>
                <w:webHidden/>
              </w:rPr>
            </w:r>
            <w:r w:rsidR="004C714B" w:rsidRPr="004C714B">
              <w:rPr>
                <w:b w:val="0"/>
                <w:webHidden/>
              </w:rPr>
              <w:fldChar w:fldCharType="separate"/>
            </w:r>
            <w:r w:rsidR="00F92A82">
              <w:rPr>
                <w:b w:val="0"/>
                <w:webHidden/>
              </w:rPr>
              <w:t>3</w:t>
            </w:r>
            <w:r w:rsidR="004C714B" w:rsidRPr="004C714B">
              <w:rPr>
                <w:b w:val="0"/>
                <w:webHidden/>
              </w:rPr>
              <w:fldChar w:fldCharType="end"/>
            </w:r>
          </w:hyperlink>
        </w:p>
        <w:p w:rsidR="004C714B" w:rsidRPr="004C714B" w:rsidRDefault="00464A16">
          <w:pPr>
            <w:pStyle w:val="TOC2"/>
            <w:rPr>
              <w:rFonts w:asciiTheme="minorHAnsi" w:eastAsiaTheme="minorEastAsia" w:hAnsiTheme="minorHAnsi" w:cstheme="minorBidi"/>
              <w:b w:val="0"/>
              <w:sz w:val="22"/>
              <w:lang w:eastAsia="lv-LV"/>
            </w:rPr>
          </w:pPr>
          <w:hyperlink w:anchor="_Toc443558712" w:history="1">
            <w:r w:rsidR="004C714B" w:rsidRPr="004C714B">
              <w:rPr>
                <w:rStyle w:val="Hyperlink"/>
                <w:b w:val="0"/>
              </w:rPr>
              <w:t>2.1.</w:t>
            </w:r>
            <w:r w:rsidR="004C714B" w:rsidRPr="004C714B">
              <w:rPr>
                <w:rFonts w:asciiTheme="minorHAnsi" w:eastAsiaTheme="minorEastAsia" w:hAnsiTheme="minorHAnsi" w:cstheme="minorBidi"/>
                <w:b w:val="0"/>
                <w:sz w:val="22"/>
                <w:lang w:eastAsia="lv-LV"/>
              </w:rPr>
              <w:tab/>
            </w:r>
            <w:r w:rsidR="004C714B" w:rsidRPr="004C714B">
              <w:rPr>
                <w:rStyle w:val="Hyperlink"/>
                <w:b w:val="0"/>
              </w:rPr>
              <w:t>Finansējums budžeta bāzes un attīstības daļai 2013. – 2018.gadam</w:t>
            </w:r>
            <w:r w:rsidR="004C714B" w:rsidRPr="004C714B">
              <w:rPr>
                <w:b w:val="0"/>
                <w:webHidden/>
              </w:rPr>
              <w:tab/>
            </w:r>
            <w:r w:rsidR="004C714B" w:rsidRPr="004C714B">
              <w:rPr>
                <w:b w:val="0"/>
                <w:webHidden/>
              </w:rPr>
              <w:fldChar w:fldCharType="begin"/>
            </w:r>
            <w:r w:rsidR="004C714B" w:rsidRPr="004C714B">
              <w:rPr>
                <w:b w:val="0"/>
                <w:webHidden/>
              </w:rPr>
              <w:instrText xml:space="preserve"> PAGEREF _Toc443558712 \h </w:instrText>
            </w:r>
            <w:r w:rsidR="004C714B" w:rsidRPr="004C714B">
              <w:rPr>
                <w:b w:val="0"/>
                <w:webHidden/>
              </w:rPr>
            </w:r>
            <w:r w:rsidR="004C714B" w:rsidRPr="004C714B">
              <w:rPr>
                <w:b w:val="0"/>
                <w:webHidden/>
              </w:rPr>
              <w:fldChar w:fldCharType="separate"/>
            </w:r>
            <w:r w:rsidR="00F92A82">
              <w:rPr>
                <w:b w:val="0"/>
                <w:webHidden/>
              </w:rPr>
              <w:t>4</w:t>
            </w:r>
            <w:r w:rsidR="004C714B" w:rsidRPr="004C714B">
              <w:rPr>
                <w:b w:val="0"/>
                <w:webHidden/>
              </w:rPr>
              <w:fldChar w:fldCharType="end"/>
            </w:r>
          </w:hyperlink>
        </w:p>
        <w:p w:rsidR="004C714B" w:rsidRPr="004C714B" w:rsidRDefault="00464A16">
          <w:pPr>
            <w:pStyle w:val="TOC2"/>
            <w:rPr>
              <w:rFonts w:asciiTheme="minorHAnsi" w:eastAsiaTheme="minorEastAsia" w:hAnsiTheme="minorHAnsi" w:cstheme="minorBidi"/>
              <w:b w:val="0"/>
              <w:sz w:val="22"/>
              <w:lang w:eastAsia="lv-LV"/>
            </w:rPr>
          </w:pPr>
          <w:hyperlink w:anchor="_Toc443558713" w:history="1">
            <w:r w:rsidR="004C714B" w:rsidRPr="004C714B">
              <w:rPr>
                <w:rStyle w:val="Hyperlink"/>
                <w:b w:val="0"/>
              </w:rPr>
              <w:t>2.2.</w:t>
            </w:r>
            <w:r w:rsidR="004C714B" w:rsidRPr="004C714B">
              <w:rPr>
                <w:rFonts w:asciiTheme="minorHAnsi" w:eastAsiaTheme="minorEastAsia" w:hAnsiTheme="minorHAnsi" w:cstheme="minorBidi"/>
                <w:b w:val="0"/>
                <w:sz w:val="22"/>
                <w:lang w:eastAsia="lv-LV"/>
              </w:rPr>
              <w:tab/>
            </w:r>
            <w:r w:rsidR="004C714B" w:rsidRPr="004C714B">
              <w:rPr>
                <w:rStyle w:val="Hyperlink"/>
                <w:b w:val="0"/>
              </w:rPr>
              <w:t>Budžeta attīstības daļas attiecināšana uz attīstības plānošanas dokumenta mērķiem</w:t>
            </w:r>
            <w:r w:rsidR="004C714B" w:rsidRPr="004C714B">
              <w:rPr>
                <w:b w:val="0"/>
                <w:webHidden/>
              </w:rPr>
              <w:tab/>
            </w:r>
            <w:r w:rsidR="004C714B" w:rsidRPr="004C714B">
              <w:rPr>
                <w:b w:val="0"/>
                <w:webHidden/>
              </w:rPr>
              <w:fldChar w:fldCharType="begin"/>
            </w:r>
            <w:r w:rsidR="004C714B" w:rsidRPr="004C714B">
              <w:rPr>
                <w:b w:val="0"/>
                <w:webHidden/>
              </w:rPr>
              <w:instrText xml:space="preserve"> PAGEREF _Toc443558713 \h </w:instrText>
            </w:r>
            <w:r w:rsidR="004C714B" w:rsidRPr="004C714B">
              <w:rPr>
                <w:b w:val="0"/>
                <w:webHidden/>
              </w:rPr>
            </w:r>
            <w:r w:rsidR="004C714B" w:rsidRPr="004C714B">
              <w:rPr>
                <w:b w:val="0"/>
                <w:webHidden/>
              </w:rPr>
              <w:fldChar w:fldCharType="separate"/>
            </w:r>
            <w:r w:rsidR="00F92A82">
              <w:rPr>
                <w:b w:val="0"/>
                <w:webHidden/>
              </w:rPr>
              <w:t>10</w:t>
            </w:r>
            <w:r w:rsidR="004C714B" w:rsidRPr="004C714B">
              <w:rPr>
                <w:b w:val="0"/>
                <w:webHidden/>
              </w:rPr>
              <w:fldChar w:fldCharType="end"/>
            </w:r>
          </w:hyperlink>
        </w:p>
        <w:p w:rsidR="004C714B" w:rsidRPr="004C714B" w:rsidRDefault="00464A16">
          <w:pPr>
            <w:pStyle w:val="TOC3"/>
            <w:tabs>
              <w:tab w:val="left" w:pos="1320"/>
              <w:tab w:val="right" w:leader="dot" w:pos="9344"/>
            </w:tabs>
            <w:rPr>
              <w:rFonts w:asciiTheme="minorHAnsi" w:eastAsiaTheme="minorEastAsia" w:hAnsiTheme="minorHAnsi"/>
              <w:noProof/>
              <w:sz w:val="22"/>
              <w:lang w:eastAsia="lv-LV"/>
            </w:rPr>
          </w:pPr>
          <w:hyperlink w:anchor="_Toc443558714" w:history="1">
            <w:r w:rsidR="004C714B" w:rsidRPr="004C714B">
              <w:rPr>
                <w:rStyle w:val="Hyperlink"/>
                <w:rFonts w:cs="Times New Roman"/>
                <w:noProof/>
              </w:rPr>
              <w:t>2.2.1.</w:t>
            </w:r>
            <w:r w:rsidR="004C714B" w:rsidRPr="004C714B">
              <w:rPr>
                <w:rFonts w:asciiTheme="minorHAnsi" w:eastAsiaTheme="minorEastAsia" w:hAnsiTheme="minorHAnsi"/>
                <w:noProof/>
                <w:sz w:val="22"/>
                <w:lang w:eastAsia="lv-LV"/>
              </w:rPr>
              <w:tab/>
            </w:r>
            <w:r w:rsidR="004C714B" w:rsidRPr="004C714B">
              <w:rPr>
                <w:rStyle w:val="Hyperlink"/>
                <w:rFonts w:cs="Times New Roman"/>
                <w:noProof/>
              </w:rPr>
              <w:t>NAP 2014.</w:t>
            </w:r>
            <w:r w:rsidR="004C714B" w:rsidRPr="004C714B">
              <w:rPr>
                <w:rStyle w:val="Hyperlink"/>
                <w:rFonts w:cs="Times New Roman"/>
                <w:i/>
                <w:noProof/>
              </w:rPr>
              <w:t>–</w:t>
            </w:r>
            <w:r w:rsidR="004C714B" w:rsidRPr="004C714B">
              <w:rPr>
                <w:rStyle w:val="Hyperlink"/>
                <w:rFonts w:cs="Times New Roman"/>
                <w:noProof/>
              </w:rPr>
              <w:t>2020.gadam</w:t>
            </w:r>
            <w:r w:rsidR="004C714B" w:rsidRPr="004C714B">
              <w:rPr>
                <w:noProof/>
                <w:webHidden/>
              </w:rPr>
              <w:tab/>
            </w:r>
            <w:r w:rsidR="004C714B" w:rsidRPr="004C714B">
              <w:rPr>
                <w:noProof/>
                <w:webHidden/>
              </w:rPr>
              <w:fldChar w:fldCharType="begin"/>
            </w:r>
            <w:r w:rsidR="004C714B" w:rsidRPr="004C714B">
              <w:rPr>
                <w:noProof/>
                <w:webHidden/>
              </w:rPr>
              <w:instrText xml:space="preserve"> PAGEREF _Toc443558714 \h </w:instrText>
            </w:r>
            <w:r w:rsidR="004C714B" w:rsidRPr="004C714B">
              <w:rPr>
                <w:noProof/>
                <w:webHidden/>
              </w:rPr>
            </w:r>
            <w:r w:rsidR="004C714B" w:rsidRPr="004C714B">
              <w:rPr>
                <w:noProof/>
                <w:webHidden/>
              </w:rPr>
              <w:fldChar w:fldCharType="separate"/>
            </w:r>
            <w:r w:rsidR="00F92A82">
              <w:rPr>
                <w:noProof/>
                <w:webHidden/>
              </w:rPr>
              <w:t>10</w:t>
            </w:r>
            <w:r w:rsidR="004C714B" w:rsidRPr="004C714B">
              <w:rPr>
                <w:noProof/>
                <w:webHidden/>
              </w:rPr>
              <w:fldChar w:fldCharType="end"/>
            </w:r>
          </w:hyperlink>
        </w:p>
        <w:p w:rsidR="004C714B" w:rsidRPr="004C714B" w:rsidRDefault="00464A16">
          <w:pPr>
            <w:pStyle w:val="TOC3"/>
            <w:tabs>
              <w:tab w:val="left" w:pos="1320"/>
              <w:tab w:val="right" w:leader="dot" w:pos="9344"/>
            </w:tabs>
            <w:rPr>
              <w:rFonts w:asciiTheme="minorHAnsi" w:eastAsiaTheme="minorEastAsia" w:hAnsiTheme="minorHAnsi"/>
              <w:noProof/>
              <w:sz w:val="22"/>
              <w:lang w:eastAsia="lv-LV"/>
            </w:rPr>
          </w:pPr>
          <w:hyperlink w:anchor="_Toc443558715" w:history="1">
            <w:r w:rsidR="004C714B" w:rsidRPr="004C714B">
              <w:rPr>
                <w:rStyle w:val="Hyperlink"/>
                <w:rFonts w:cs="Times New Roman"/>
                <w:noProof/>
              </w:rPr>
              <w:t>2.2.2.</w:t>
            </w:r>
            <w:r w:rsidR="004C714B" w:rsidRPr="004C714B">
              <w:rPr>
                <w:rFonts w:asciiTheme="minorHAnsi" w:eastAsiaTheme="minorEastAsia" w:hAnsiTheme="minorHAnsi"/>
                <w:noProof/>
                <w:sz w:val="22"/>
                <w:lang w:eastAsia="lv-LV"/>
              </w:rPr>
              <w:tab/>
            </w:r>
            <w:r w:rsidR="004C714B" w:rsidRPr="004C714B">
              <w:rPr>
                <w:rStyle w:val="Hyperlink"/>
                <w:rFonts w:cs="Times New Roman"/>
                <w:noProof/>
              </w:rPr>
              <w:t>Politikas plānošanas dokumenti</w:t>
            </w:r>
            <w:r w:rsidR="004C714B" w:rsidRPr="004C714B">
              <w:rPr>
                <w:noProof/>
                <w:webHidden/>
              </w:rPr>
              <w:tab/>
            </w:r>
            <w:r w:rsidR="004C714B" w:rsidRPr="004C714B">
              <w:rPr>
                <w:noProof/>
                <w:webHidden/>
              </w:rPr>
              <w:fldChar w:fldCharType="begin"/>
            </w:r>
            <w:r w:rsidR="004C714B" w:rsidRPr="004C714B">
              <w:rPr>
                <w:noProof/>
                <w:webHidden/>
              </w:rPr>
              <w:instrText xml:space="preserve"> PAGEREF _Toc443558715 \h </w:instrText>
            </w:r>
            <w:r w:rsidR="004C714B" w:rsidRPr="004C714B">
              <w:rPr>
                <w:noProof/>
                <w:webHidden/>
              </w:rPr>
            </w:r>
            <w:r w:rsidR="004C714B" w:rsidRPr="004C714B">
              <w:rPr>
                <w:noProof/>
                <w:webHidden/>
              </w:rPr>
              <w:fldChar w:fldCharType="separate"/>
            </w:r>
            <w:r w:rsidR="00F92A82">
              <w:rPr>
                <w:noProof/>
                <w:webHidden/>
              </w:rPr>
              <w:t>11</w:t>
            </w:r>
            <w:r w:rsidR="004C714B" w:rsidRPr="004C714B">
              <w:rPr>
                <w:noProof/>
                <w:webHidden/>
              </w:rPr>
              <w:fldChar w:fldCharType="end"/>
            </w:r>
          </w:hyperlink>
        </w:p>
        <w:p w:rsidR="004C714B" w:rsidRPr="004C714B" w:rsidRDefault="00464A16">
          <w:pPr>
            <w:pStyle w:val="TOC3"/>
            <w:tabs>
              <w:tab w:val="left" w:pos="1320"/>
              <w:tab w:val="right" w:leader="dot" w:pos="9344"/>
            </w:tabs>
            <w:rPr>
              <w:rFonts w:asciiTheme="minorHAnsi" w:eastAsiaTheme="minorEastAsia" w:hAnsiTheme="minorHAnsi"/>
              <w:noProof/>
              <w:sz w:val="22"/>
              <w:lang w:eastAsia="lv-LV"/>
            </w:rPr>
          </w:pPr>
          <w:hyperlink w:anchor="_Toc443558716" w:history="1">
            <w:r w:rsidR="004C714B" w:rsidRPr="004C714B">
              <w:rPr>
                <w:rStyle w:val="Hyperlink"/>
                <w:rFonts w:cs="Times New Roman"/>
                <w:noProof/>
              </w:rPr>
              <w:t>2.2.3.</w:t>
            </w:r>
            <w:r w:rsidR="004C714B" w:rsidRPr="004C714B">
              <w:rPr>
                <w:rFonts w:asciiTheme="minorHAnsi" w:eastAsiaTheme="minorEastAsia" w:hAnsiTheme="minorHAnsi"/>
                <w:noProof/>
                <w:sz w:val="22"/>
                <w:lang w:eastAsia="lv-LV"/>
              </w:rPr>
              <w:tab/>
            </w:r>
            <w:r w:rsidR="004C714B" w:rsidRPr="004C714B">
              <w:rPr>
                <w:rStyle w:val="Hyperlink"/>
                <w:rFonts w:cs="Times New Roman"/>
                <w:noProof/>
              </w:rPr>
              <w:t>NAP īstenošanas uzraudzība – finansējuma piešķiršana un rezultātu sasniegšana</w:t>
            </w:r>
            <w:r w:rsidR="004C714B" w:rsidRPr="004C714B">
              <w:rPr>
                <w:noProof/>
                <w:webHidden/>
              </w:rPr>
              <w:tab/>
            </w:r>
            <w:r w:rsidR="004C714B" w:rsidRPr="004C714B">
              <w:rPr>
                <w:noProof/>
                <w:webHidden/>
              </w:rPr>
              <w:fldChar w:fldCharType="begin"/>
            </w:r>
            <w:r w:rsidR="004C714B" w:rsidRPr="004C714B">
              <w:rPr>
                <w:noProof/>
                <w:webHidden/>
              </w:rPr>
              <w:instrText xml:space="preserve"> PAGEREF _Toc443558716 \h </w:instrText>
            </w:r>
            <w:r w:rsidR="004C714B" w:rsidRPr="004C714B">
              <w:rPr>
                <w:noProof/>
                <w:webHidden/>
              </w:rPr>
            </w:r>
            <w:r w:rsidR="004C714B" w:rsidRPr="004C714B">
              <w:rPr>
                <w:noProof/>
                <w:webHidden/>
              </w:rPr>
              <w:fldChar w:fldCharType="separate"/>
            </w:r>
            <w:r w:rsidR="00F92A82">
              <w:rPr>
                <w:noProof/>
                <w:webHidden/>
              </w:rPr>
              <w:t>12</w:t>
            </w:r>
            <w:r w:rsidR="004C714B" w:rsidRPr="004C714B">
              <w:rPr>
                <w:noProof/>
                <w:webHidden/>
              </w:rPr>
              <w:fldChar w:fldCharType="end"/>
            </w:r>
          </w:hyperlink>
        </w:p>
        <w:p w:rsidR="004C714B" w:rsidRPr="004C714B" w:rsidRDefault="00464A16">
          <w:pPr>
            <w:pStyle w:val="TOC2"/>
            <w:rPr>
              <w:rFonts w:asciiTheme="minorHAnsi" w:eastAsiaTheme="minorEastAsia" w:hAnsiTheme="minorHAnsi" w:cstheme="minorBidi"/>
              <w:b w:val="0"/>
              <w:sz w:val="22"/>
              <w:lang w:eastAsia="lv-LV"/>
            </w:rPr>
          </w:pPr>
          <w:hyperlink w:anchor="_Toc443558717" w:history="1">
            <w:r w:rsidR="004C714B" w:rsidRPr="004C714B">
              <w:rPr>
                <w:rStyle w:val="Hyperlink"/>
                <w:b w:val="0"/>
              </w:rPr>
              <w:t>2.3.</w:t>
            </w:r>
            <w:r w:rsidR="004C714B" w:rsidRPr="004C714B">
              <w:rPr>
                <w:rFonts w:asciiTheme="minorHAnsi" w:eastAsiaTheme="minorEastAsia" w:hAnsiTheme="minorHAnsi" w:cstheme="minorBidi"/>
                <w:b w:val="0"/>
                <w:sz w:val="22"/>
                <w:lang w:eastAsia="lv-LV"/>
              </w:rPr>
              <w:tab/>
            </w:r>
            <w:r w:rsidR="004C714B" w:rsidRPr="004C714B">
              <w:rPr>
                <w:rStyle w:val="Hyperlink"/>
                <w:b w:val="0"/>
              </w:rPr>
              <w:t>Budžeta dokumentācijā ietvertie mērķi un rezultāti</w:t>
            </w:r>
            <w:r w:rsidR="004C714B" w:rsidRPr="004C714B">
              <w:rPr>
                <w:b w:val="0"/>
                <w:webHidden/>
              </w:rPr>
              <w:tab/>
            </w:r>
            <w:r w:rsidR="004C714B" w:rsidRPr="004C714B">
              <w:rPr>
                <w:b w:val="0"/>
                <w:webHidden/>
              </w:rPr>
              <w:fldChar w:fldCharType="begin"/>
            </w:r>
            <w:r w:rsidR="004C714B" w:rsidRPr="004C714B">
              <w:rPr>
                <w:b w:val="0"/>
                <w:webHidden/>
              </w:rPr>
              <w:instrText xml:space="preserve"> PAGEREF _Toc443558717 \h </w:instrText>
            </w:r>
            <w:r w:rsidR="004C714B" w:rsidRPr="004C714B">
              <w:rPr>
                <w:b w:val="0"/>
                <w:webHidden/>
              </w:rPr>
            </w:r>
            <w:r w:rsidR="004C714B" w:rsidRPr="004C714B">
              <w:rPr>
                <w:b w:val="0"/>
                <w:webHidden/>
              </w:rPr>
              <w:fldChar w:fldCharType="separate"/>
            </w:r>
            <w:r w:rsidR="00F92A82">
              <w:rPr>
                <w:b w:val="0"/>
                <w:webHidden/>
              </w:rPr>
              <w:t>13</w:t>
            </w:r>
            <w:r w:rsidR="004C714B" w:rsidRPr="004C714B">
              <w:rPr>
                <w:b w:val="0"/>
                <w:webHidden/>
              </w:rPr>
              <w:fldChar w:fldCharType="end"/>
            </w:r>
          </w:hyperlink>
        </w:p>
        <w:p w:rsidR="004C714B" w:rsidRPr="004C714B" w:rsidRDefault="00464A16">
          <w:pPr>
            <w:pStyle w:val="TOC1"/>
            <w:rPr>
              <w:rFonts w:asciiTheme="minorHAnsi" w:eastAsiaTheme="minorEastAsia" w:hAnsiTheme="minorHAnsi" w:cstheme="minorBidi"/>
              <w:b w:val="0"/>
              <w:sz w:val="22"/>
              <w:lang w:eastAsia="lv-LV"/>
            </w:rPr>
          </w:pPr>
          <w:hyperlink w:anchor="_Toc443558718" w:history="1">
            <w:r w:rsidR="004C714B" w:rsidRPr="004C714B">
              <w:rPr>
                <w:rStyle w:val="Hyperlink"/>
                <w:b w:val="0"/>
              </w:rPr>
              <w:t>3.</w:t>
            </w:r>
            <w:r w:rsidR="004C714B" w:rsidRPr="004C714B">
              <w:rPr>
                <w:rFonts w:asciiTheme="minorHAnsi" w:eastAsiaTheme="minorEastAsia" w:hAnsiTheme="minorHAnsi" w:cstheme="minorBidi"/>
                <w:b w:val="0"/>
                <w:sz w:val="22"/>
                <w:lang w:eastAsia="lv-LV"/>
              </w:rPr>
              <w:tab/>
            </w:r>
            <w:r w:rsidR="004C714B" w:rsidRPr="004C714B">
              <w:rPr>
                <w:rStyle w:val="Hyperlink"/>
                <w:b w:val="0"/>
              </w:rPr>
              <w:t>Turpmākie darbības virzieni</w:t>
            </w:r>
            <w:r w:rsidR="004C714B" w:rsidRPr="004C714B">
              <w:rPr>
                <w:b w:val="0"/>
                <w:webHidden/>
              </w:rPr>
              <w:tab/>
            </w:r>
            <w:r w:rsidR="004C714B" w:rsidRPr="004C714B">
              <w:rPr>
                <w:b w:val="0"/>
                <w:webHidden/>
              </w:rPr>
              <w:fldChar w:fldCharType="begin"/>
            </w:r>
            <w:r w:rsidR="004C714B" w:rsidRPr="004C714B">
              <w:rPr>
                <w:b w:val="0"/>
                <w:webHidden/>
              </w:rPr>
              <w:instrText xml:space="preserve"> PAGEREF _Toc443558718 \h </w:instrText>
            </w:r>
            <w:r w:rsidR="004C714B" w:rsidRPr="004C714B">
              <w:rPr>
                <w:b w:val="0"/>
                <w:webHidden/>
              </w:rPr>
            </w:r>
            <w:r w:rsidR="004C714B" w:rsidRPr="004C714B">
              <w:rPr>
                <w:b w:val="0"/>
                <w:webHidden/>
              </w:rPr>
              <w:fldChar w:fldCharType="separate"/>
            </w:r>
            <w:r w:rsidR="00F92A82">
              <w:rPr>
                <w:b w:val="0"/>
                <w:webHidden/>
              </w:rPr>
              <w:t>19</w:t>
            </w:r>
            <w:r w:rsidR="004C714B" w:rsidRPr="004C714B">
              <w:rPr>
                <w:b w:val="0"/>
                <w:webHidden/>
              </w:rPr>
              <w:fldChar w:fldCharType="end"/>
            </w:r>
          </w:hyperlink>
        </w:p>
        <w:p w:rsidR="004C714B" w:rsidRPr="004C714B" w:rsidRDefault="00464A16">
          <w:pPr>
            <w:pStyle w:val="TOC2"/>
            <w:rPr>
              <w:rFonts w:asciiTheme="minorHAnsi" w:eastAsiaTheme="minorEastAsia" w:hAnsiTheme="minorHAnsi" w:cstheme="minorBidi"/>
              <w:b w:val="0"/>
              <w:sz w:val="22"/>
              <w:lang w:eastAsia="lv-LV"/>
            </w:rPr>
          </w:pPr>
          <w:hyperlink w:anchor="_Toc443558719" w:history="1">
            <w:r w:rsidR="004C714B" w:rsidRPr="004C714B">
              <w:rPr>
                <w:rStyle w:val="Hyperlink"/>
                <w:b w:val="0"/>
              </w:rPr>
              <w:t>3.1.</w:t>
            </w:r>
            <w:r w:rsidR="004C714B" w:rsidRPr="004C714B">
              <w:rPr>
                <w:rFonts w:asciiTheme="minorHAnsi" w:eastAsiaTheme="minorEastAsia" w:hAnsiTheme="minorHAnsi" w:cstheme="minorBidi"/>
                <w:b w:val="0"/>
                <w:sz w:val="22"/>
                <w:lang w:eastAsia="lv-LV"/>
              </w:rPr>
              <w:tab/>
            </w:r>
            <w:r w:rsidR="004C714B" w:rsidRPr="004C714B">
              <w:rPr>
                <w:rStyle w:val="Hyperlink"/>
                <w:b w:val="0"/>
              </w:rPr>
              <w:t>Starptautiskās prakses adaptācijas iespējas izdevumu efektivitātes jomā</w:t>
            </w:r>
            <w:r w:rsidR="004C714B" w:rsidRPr="004C714B">
              <w:rPr>
                <w:b w:val="0"/>
                <w:webHidden/>
              </w:rPr>
              <w:tab/>
            </w:r>
            <w:r w:rsidR="004C714B" w:rsidRPr="004C714B">
              <w:rPr>
                <w:b w:val="0"/>
                <w:webHidden/>
              </w:rPr>
              <w:fldChar w:fldCharType="begin"/>
            </w:r>
            <w:r w:rsidR="004C714B" w:rsidRPr="004C714B">
              <w:rPr>
                <w:b w:val="0"/>
                <w:webHidden/>
              </w:rPr>
              <w:instrText xml:space="preserve"> PAGEREF _Toc443558719 \h </w:instrText>
            </w:r>
            <w:r w:rsidR="004C714B" w:rsidRPr="004C714B">
              <w:rPr>
                <w:b w:val="0"/>
                <w:webHidden/>
              </w:rPr>
            </w:r>
            <w:r w:rsidR="004C714B" w:rsidRPr="004C714B">
              <w:rPr>
                <w:b w:val="0"/>
                <w:webHidden/>
              </w:rPr>
              <w:fldChar w:fldCharType="separate"/>
            </w:r>
            <w:r w:rsidR="00F92A82">
              <w:rPr>
                <w:b w:val="0"/>
                <w:webHidden/>
              </w:rPr>
              <w:t>19</w:t>
            </w:r>
            <w:r w:rsidR="004C714B" w:rsidRPr="004C714B">
              <w:rPr>
                <w:b w:val="0"/>
                <w:webHidden/>
              </w:rPr>
              <w:fldChar w:fldCharType="end"/>
            </w:r>
          </w:hyperlink>
        </w:p>
        <w:p w:rsidR="004C714B" w:rsidRPr="004C714B" w:rsidRDefault="00464A16">
          <w:pPr>
            <w:pStyle w:val="TOC2"/>
            <w:rPr>
              <w:rFonts w:asciiTheme="minorHAnsi" w:eastAsiaTheme="minorEastAsia" w:hAnsiTheme="minorHAnsi" w:cstheme="minorBidi"/>
              <w:b w:val="0"/>
              <w:sz w:val="22"/>
              <w:lang w:eastAsia="lv-LV"/>
            </w:rPr>
          </w:pPr>
          <w:hyperlink w:anchor="_Toc443558720" w:history="1">
            <w:r w:rsidR="004C714B" w:rsidRPr="004C714B">
              <w:rPr>
                <w:rStyle w:val="Hyperlink"/>
                <w:b w:val="0"/>
              </w:rPr>
              <w:t>3.2.</w:t>
            </w:r>
            <w:r w:rsidR="004C714B" w:rsidRPr="004C714B">
              <w:rPr>
                <w:rFonts w:asciiTheme="minorHAnsi" w:eastAsiaTheme="minorEastAsia" w:hAnsiTheme="minorHAnsi" w:cstheme="minorBidi"/>
                <w:b w:val="0"/>
                <w:sz w:val="22"/>
                <w:lang w:eastAsia="lv-LV"/>
              </w:rPr>
              <w:tab/>
            </w:r>
            <w:r w:rsidR="004C714B" w:rsidRPr="004C714B">
              <w:rPr>
                <w:rStyle w:val="Hyperlink"/>
                <w:b w:val="0"/>
              </w:rPr>
              <w:t>Budžeta bāzes daļas izdevumu sasaiste ar politikas mērķiem un to rezultātiem</w:t>
            </w:r>
            <w:r w:rsidR="004C714B" w:rsidRPr="004C714B">
              <w:rPr>
                <w:b w:val="0"/>
                <w:webHidden/>
              </w:rPr>
              <w:tab/>
            </w:r>
            <w:r w:rsidR="004C714B" w:rsidRPr="004C714B">
              <w:rPr>
                <w:b w:val="0"/>
                <w:webHidden/>
              </w:rPr>
              <w:fldChar w:fldCharType="begin"/>
            </w:r>
            <w:r w:rsidR="004C714B" w:rsidRPr="004C714B">
              <w:rPr>
                <w:b w:val="0"/>
                <w:webHidden/>
              </w:rPr>
              <w:instrText xml:space="preserve"> PAGEREF _Toc443558720 \h </w:instrText>
            </w:r>
            <w:r w:rsidR="004C714B" w:rsidRPr="004C714B">
              <w:rPr>
                <w:b w:val="0"/>
                <w:webHidden/>
              </w:rPr>
            </w:r>
            <w:r w:rsidR="004C714B" w:rsidRPr="004C714B">
              <w:rPr>
                <w:b w:val="0"/>
                <w:webHidden/>
              </w:rPr>
              <w:fldChar w:fldCharType="separate"/>
            </w:r>
            <w:r w:rsidR="00F92A82">
              <w:rPr>
                <w:b w:val="0"/>
                <w:webHidden/>
              </w:rPr>
              <w:t>21</w:t>
            </w:r>
            <w:r w:rsidR="004C714B" w:rsidRPr="004C714B">
              <w:rPr>
                <w:b w:val="0"/>
                <w:webHidden/>
              </w:rPr>
              <w:fldChar w:fldCharType="end"/>
            </w:r>
          </w:hyperlink>
        </w:p>
        <w:p w:rsidR="004C714B" w:rsidRPr="004C714B" w:rsidRDefault="00464A16">
          <w:pPr>
            <w:pStyle w:val="TOC3"/>
            <w:tabs>
              <w:tab w:val="left" w:pos="1320"/>
              <w:tab w:val="right" w:leader="dot" w:pos="9344"/>
            </w:tabs>
            <w:rPr>
              <w:rFonts w:asciiTheme="minorHAnsi" w:eastAsiaTheme="minorEastAsia" w:hAnsiTheme="minorHAnsi"/>
              <w:noProof/>
              <w:sz w:val="22"/>
              <w:lang w:eastAsia="lv-LV"/>
            </w:rPr>
          </w:pPr>
          <w:hyperlink w:anchor="_Toc443558721" w:history="1">
            <w:r w:rsidR="004C714B" w:rsidRPr="004C714B">
              <w:rPr>
                <w:rStyle w:val="Hyperlink"/>
                <w:rFonts w:cs="Times New Roman"/>
                <w:noProof/>
              </w:rPr>
              <w:t>3.2.1.</w:t>
            </w:r>
            <w:r w:rsidR="004C714B" w:rsidRPr="004C714B">
              <w:rPr>
                <w:rFonts w:asciiTheme="minorHAnsi" w:eastAsiaTheme="minorEastAsia" w:hAnsiTheme="minorHAnsi"/>
                <w:noProof/>
                <w:sz w:val="22"/>
                <w:lang w:eastAsia="lv-LV"/>
              </w:rPr>
              <w:tab/>
            </w:r>
            <w:r w:rsidR="004C714B" w:rsidRPr="004C714B">
              <w:rPr>
                <w:rStyle w:val="Hyperlink"/>
                <w:rFonts w:cs="Times New Roman"/>
                <w:noProof/>
              </w:rPr>
              <w:t>Budžeta bāzes izdevumu detalizācijas pakāpe, kurā būtu nodrošināma sasaiste ar politikas mērķiem un rezultātiem</w:t>
            </w:r>
            <w:r w:rsidR="004C714B" w:rsidRPr="004C714B">
              <w:rPr>
                <w:noProof/>
                <w:webHidden/>
              </w:rPr>
              <w:tab/>
            </w:r>
            <w:r w:rsidR="004C714B" w:rsidRPr="004C714B">
              <w:rPr>
                <w:noProof/>
                <w:webHidden/>
              </w:rPr>
              <w:fldChar w:fldCharType="begin"/>
            </w:r>
            <w:r w:rsidR="004C714B" w:rsidRPr="004C714B">
              <w:rPr>
                <w:noProof/>
                <w:webHidden/>
              </w:rPr>
              <w:instrText xml:space="preserve"> PAGEREF _Toc443558721 \h </w:instrText>
            </w:r>
            <w:r w:rsidR="004C714B" w:rsidRPr="004C714B">
              <w:rPr>
                <w:noProof/>
                <w:webHidden/>
              </w:rPr>
            </w:r>
            <w:r w:rsidR="004C714B" w:rsidRPr="004C714B">
              <w:rPr>
                <w:noProof/>
                <w:webHidden/>
              </w:rPr>
              <w:fldChar w:fldCharType="separate"/>
            </w:r>
            <w:r w:rsidR="00F92A82">
              <w:rPr>
                <w:noProof/>
                <w:webHidden/>
              </w:rPr>
              <w:t>22</w:t>
            </w:r>
            <w:r w:rsidR="004C714B" w:rsidRPr="004C714B">
              <w:rPr>
                <w:noProof/>
                <w:webHidden/>
              </w:rPr>
              <w:fldChar w:fldCharType="end"/>
            </w:r>
          </w:hyperlink>
        </w:p>
        <w:p w:rsidR="004C714B" w:rsidRPr="004C714B" w:rsidRDefault="00464A16">
          <w:pPr>
            <w:pStyle w:val="TOC3"/>
            <w:tabs>
              <w:tab w:val="left" w:pos="1320"/>
              <w:tab w:val="right" w:leader="dot" w:pos="9344"/>
            </w:tabs>
            <w:rPr>
              <w:rFonts w:asciiTheme="minorHAnsi" w:eastAsiaTheme="minorEastAsia" w:hAnsiTheme="minorHAnsi"/>
              <w:noProof/>
              <w:sz w:val="22"/>
              <w:lang w:eastAsia="lv-LV"/>
            </w:rPr>
          </w:pPr>
          <w:hyperlink w:anchor="_Toc443558722" w:history="1">
            <w:r w:rsidR="004C714B" w:rsidRPr="004C714B">
              <w:rPr>
                <w:rStyle w:val="Hyperlink"/>
                <w:rFonts w:cs="Times New Roman"/>
                <w:noProof/>
              </w:rPr>
              <w:t>3.2.2.</w:t>
            </w:r>
            <w:r w:rsidR="004C714B" w:rsidRPr="004C714B">
              <w:rPr>
                <w:rFonts w:asciiTheme="minorHAnsi" w:eastAsiaTheme="minorEastAsia" w:hAnsiTheme="minorHAnsi"/>
                <w:noProof/>
                <w:sz w:val="22"/>
                <w:lang w:eastAsia="lv-LV"/>
              </w:rPr>
              <w:tab/>
            </w:r>
            <w:r w:rsidR="004C714B" w:rsidRPr="004C714B">
              <w:rPr>
                <w:rStyle w:val="Hyperlink"/>
                <w:rFonts w:cs="Times New Roman"/>
                <w:noProof/>
              </w:rPr>
              <w:t>Iespējamie risinājumi (alternatīvas) budžeta bāzes izdevumu sasaistei ar politikas mērķiem un to rezultātiem</w:t>
            </w:r>
            <w:r w:rsidR="004C714B" w:rsidRPr="004C714B">
              <w:rPr>
                <w:noProof/>
                <w:webHidden/>
              </w:rPr>
              <w:tab/>
            </w:r>
            <w:r w:rsidR="004C714B" w:rsidRPr="004C714B">
              <w:rPr>
                <w:noProof/>
                <w:webHidden/>
              </w:rPr>
              <w:fldChar w:fldCharType="begin"/>
            </w:r>
            <w:r w:rsidR="004C714B" w:rsidRPr="004C714B">
              <w:rPr>
                <w:noProof/>
                <w:webHidden/>
              </w:rPr>
              <w:instrText xml:space="preserve"> PAGEREF _Toc443558722 \h </w:instrText>
            </w:r>
            <w:r w:rsidR="004C714B" w:rsidRPr="004C714B">
              <w:rPr>
                <w:noProof/>
                <w:webHidden/>
              </w:rPr>
            </w:r>
            <w:r w:rsidR="004C714B" w:rsidRPr="004C714B">
              <w:rPr>
                <w:noProof/>
                <w:webHidden/>
              </w:rPr>
              <w:fldChar w:fldCharType="separate"/>
            </w:r>
            <w:r w:rsidR="00F92A82">
              <w:rPr>
                <w:noProof/>
                <w:webHidden/>
              </w:rPr>
              <w:t>23</w:t>
            </w:r>
            <w:r w:rsidR="004C714B" w:rsidRPr="004C714B">
              <w:rPr>
                <w:noProof/>
                <w:webHidden/>
              </w:rPr>
              <w:fldChar w:fldCharType="end"/>
            </w:r>
          </w:hyperlink>
        </w:p>
        <w:p w:rsidR="004C714B" w:rsidRPr="004C714B" w:rsidRDefault="00464A16">
          <w:pPr>
            <w:pStyle w:val="TOC3"/>
            <w:tabs>
              <w:tab w:val="left" w:pos="1320"/>
              <w:tab w:val="right" w:leader="dot" w:pos="9344"/>
            </w:tabs>
            <w:rPr>
              <w:rFonts w:asciiTheme="minorHAnsi" w:eastAsiaTheme="minorEastAsia" w:hAnsiTheme="minorHAnsi"/>
              <w:noProof/>
              <w:sz w:val="22"/>
              <w:lang w:eastAsia="lv-LV"/>
            </w:rPr>
          </w:pPr>
          <w:hyperlink w:anchor="_Toc443558723" w:history="1">
            <w:r w:rsidR="004C714B" w:rsidRPr="004C714B">
              <w:rPr>
                <w:rStyle w:val="Hyperlink"/>
                <w:rFonts w:cs="Times New Roman"/>
                <w:noProof/>
              </w:rPr>
              <w:t>3.2.3.</w:t>
            </w:r>
            <w:r w:rsidR="004C714B" w:rsidRPr="004C714B">
              <w:rPr>
                <w:rFonts w:asciiTheme="minorHAnsi" w:eastAsiaTheme="minorEastAsia" w:hAnsiTheme="minorHAnsi"/>
                <w:noProof/>
                <w:sz w:val="22"/>
                <w:lang w:eastAsia="lv-LV"/>
              </w:rPr>
              <w:tab/>
            </w:r>
            <w:r w:rsidR="004C714B" w:rsidRPr="004C714B">
              <w:rPr>
                <w:rStyle w:val="Hyperlink"/>
                <w:rFonts w:cs="Times New Roman"/>
                <w:noProof/>
              </w:rPr>
              <w:t>Nepieciešamība ieviest mehānismu budžeta bāzes izdevumu efektivitātes noteikšanai politikas mērķu un rezultātu sasniegšanā</w:t>
            </w:r>
            <w:r w:rsidR="004C714B" w:rsidRPr="004C714B">
              <w:rPr>
                <w:noProof/>
                <w:webHidden/>
              </w:rPr>
              <w:tab/>
            </w:r>
            <w:r w:rsidR="004C714B" w:rsidRPr="004C714B">
              <w:rPr>
                <w:noProof/>
                <w:webHidden/>
              </w:rPr>
              <w:fldChar w:fldCharType="begin"/>
            </w:r>
            <w:r w:rsidR="004C714B" w:rsidRPr="004C714B">
              <w:rPr>
                <w:noProof/>
                <w:webHidden/>
              </w:rPr>
              <w:instrText xml:space="preserve"> PAGEREF _Toc443558723 \h </w:instrText>
            </w:r>
            <w:r w:rsidR="004C714B" w:rsidRPr="004C714B">
              <w:rPr>
                <w:noProof/>
                <w:webHidden/>
              </w:rPr>
            </w:r>
            <w:r w:rsidR="004C714B" w:rsidRPr="004C714B">
              <w:rPr>
                <w:noProof/>
                <w:webHidden/>
              </w:rPr>
              <w:fldChar w:fldCharType="separate"/>
            </w:r>
            <w:r w:rsidR="00F92A82">
              <w:rPr>
                <w:noProof/>
                <w:webHidden/>
              </w:rPr>
              <w:t>24</w:t>
            </w:r>
            <w:r w:rsidR="004C714B" w:rsidRPr="004C714B">
              <w:rPr>
                <w:noProof/>
                <w:webHidden/>
              </w:rPr>
              <w:fldChar w:fldCharType="end"/>
            </w:r>
          </w:hyperlink>
        </w:p>
        <w:p w:rsidR="004C714B" w:rsidRPr="004C714B" w:rsidRDefault="00464A16">
          <w:pPr>
            <w:pStyle w:val="TOC2"/>
            <w:rPr>
              <w:rFonts w:asciiTheme="minorHAnsi" w:eastAsiaTheme="minorEastAsia" w:hAnsiTheme="minorHAnsi" w:cstheme="minorBidi"/>
              <w:b w:val="0"/>
              <w:sz w:val="22"/>
              <w:lang w:eastAsia="lv-LV"/>
            </w:rPr>
          </w:pPr>
          <w:hyperlink w:anchor="_Toc443558724" w:history="1">
            <w:r w:rsidR="004C714B" w:rsidRPr="004C714B">
              <w:rPr>
                <w:rStyle w:val="Hyperlink"/>
                <w:b w:val="0"/>
              </w:rPr>
              <w:t>3.3.</w:t>
            </w:r>
            <w:r w:rsidR="004C714B" w:rsidRPr="004C714B">
              <w:rPr>
                <w:rFonts w:asciiTheme="minorHAnsi" w:eastAsiaTheme="minorEastAsia" w:hAnsiTheme="minorHAnsi" w:cstheme="minorBidi"/>
                <w:b w:val="0"/>
                <w:sz w:val="22"/>
                <w:lang w:eastAsia="lv-LV"/>
              </w:rPr>
              <w:tab/>
            </w:r>
            <w:r w:rsidR="004C714B" w:rsidRPr="004C714B">
              <w:rPr>
                <w:rStyle w:val="Hyperlink"/>
                <w:b w:val="0"/>
              </w:rPr>
              <w:t>Valsts budžeta izdevumu pārskatīšanas virzieni</w:t>
            </w:r>
            <w:r w:rsidR="004C714B" w:rsidRPr="004C714B">
              <w:rPr>
                <w:b w:val="0"/>
                <w:webHidden/>
              </w:rPr>
              <w:tab/>
            </w:r>
            <w:r w:rsidR="004C714B" w:rsidRPr="004C714B">
              <w:rPr>
                <w:b w:val="0"/>
                <w:webHidden/>
              </w:rPr>
              <w:fldChar w:fldCharType="begin"/>
            </w:r>
            <w:r w:rsidR="004C714B" w:rsidRPr="004C714B">
              <w:rPr>
                <w:b w:val="0"/>
                <w:webHidden/>
              </w:rPr>
              <w:instrText xml:space="preserve"> PAGEREF _Toc443558724 \h </w:instrText>
            </w:r>
            <w:r w:rsidR="004C714B" w:rsidRPr="004C714B">
              <w:rPr>
                <w:b w:val="0"/>
                <w:webHidden/>
              </w:rPr>
            </w:r>
            <w:r w:rsidR="004C714B" w:rsidRPr="004C714B">
              <w:rPr>
                <w:b w:val="0"/>
                <w:webHidden/>
              </w:rPr>
              <w:fldChar w:fldCharType="separate"/>
            </w:r>
            <w:r w:rsidR="00F92A82">
              <w:rPr>
                <w:b w:val="0"/>
                <w:webHidden/>
              </w:rPr>
              <w:t>24</w:t>
            </w:r>
            <w:r w:rsidR="004C714B" w:rsidRPr="004C714B">
              <w:rPr>
                <w:b w:val="0"/>
                <w:webHidden/>
              </w:rPr>
              <w:fldChar w:fldCharType="end"/>
            </w:r>
          </w:hyperlink>
        </w:p>
        <w:p w:rsidR="004C714B" w:rsidRPr="004C714B" w:rsidRDefault="00464A16">
          <w:pPr>
            <w:pStyle w:val="TOC2"/>
            <w:rPr>
              <w:rFonts w:asciiTheme="minorHAnsi" w:eastAsiaTheme="minorEastAsia" w:hAnsiTheme="minorHAnsi" w:cstheme="minorBidi"/>
              <w:b w:val="0"/>
              <w:sz w:val="22"/>
              <w:lang w:eastAsia="lv-LV"/>
            </w:rPr>
          </w:pPr>
          <w:hyperlink w:anchor="_Toc443558725" w:history="1">
            <w:r w:rsidR="004C714B" w:rsidRPr="004C714B">
              <w:rPr>
                <w:rStyle w:val="Hyperlink"/>
                <w:b w:val="0"/>
              </w:rPr>
              <w:t>3.4.</w:t>
            </w:r>
            <w:r w:rsidR="004C714B" w:rsidRPr="004C714B">
              <w:rPr>
                <w:rFonts w:asciiTheme="minorHAnsi" w:eastAsiaTheme="minorEastAsia" w:hAnsiTheme="minorHAnsi" w:cstheme="minorBidi"/>
                <w:b w:val="0"/>
                <w:sz w:val="22"/>
                <w:lang w:eastAsia="lv-LV"/>
              </w:rPr>
              <w:tab/>
            </w:r>
            <w:r w:rsidR="004C714B" w:rsidRPr="004C714B">
              <w:rPr>
                <w:rStyle w:val="Hyperlink"/>
                <w:b w:val="0"/>
              </w:rPr>
              <w:t>Budžeta paskaidrojumu pilnveidošana</w:t>
            </w:r>
            <w:r w:rsidR="004C714B" w:rsidRPr="004C714B">
              <w:rPr>
                <w:b w:val="0"/>
                <w:webHidden/>
              </w:rPr>
              <w:tab/>
            </w:r>
            <w:r w:rsidR="004C714B" w:rsidRPr="004C714B">
              <w:rPr>
                <w:b w:val="0"/>
                <w:webHidden/>
              </w:rPr>
              <w:fldChar w:fldCharType="begin"/>
            </w:r>
            <w:r w:rsidR="004C714B" w:rsidRPr="004C714B">
              <w:rPr>
                <w:b w:val="0"/>
                <w:webHidden/>
              </w:rPr>
              <w:instrText xml:space="preserve"> PAGEREF _Toc443558725 \h </w:instrText>
            </w:r>
            <w:r w:rsidR="004C714B" w:rsidRPr="004C714B">
              <w:rPr>
                <w:b w:val="0"/>
                <w:webHidden/>
              </w:rPr>
            </w:r>
            <w:r w:rsidR="004C714B" w:rsidRPr="004C714B">
              <w:rPr>
                <w:b w:val="0"/>
                <w:webHidden/>
              </w:rPr>
              <w:fldChar w:fldCharType="separate"/>
            </w:r>
            <w:r w:rsidR="00F92A82">
              <w:rPr>
                <w:b w:val="0"/>
                <w:webHidden/>
              </w:rPr>
              <w:t>25</w:t>
            </w:r>
            <w:r w:rsidR="004C714B" w:rsidRPr="004C714B">
              <w:rPr>
                <w:b w:val="0"/>
                <w:webHidden/>
              </w:rPr>
              <w:fldChar w:fldCharType="end"/>
            </w:r>
          </w:hyperlink>
        </w:p>
        <w:p w:rsidR="004C714B" w:rsidRDefault="00464A16">
          <w:pPr>
            <w:pStyle w:val="TOC1"/>
            <w:rPr>
              <w:rFonts w:asciiTheme="minorHAnsi" w:eastAsiaTheme="minorEastAsia" w:hAnsiTheme="minorHAnsi" w:cstheme="minorBidi"/>
              <w:b w:val="0"/>
              <w:sz w:val="22"/>
              <w:lang w:eastAsia="lv-LV"/>
            </w:rPr>
          </w:pPr>
          <w:hyperlink w:anchor="_Toc443558726" w:history="1">
            <w:r w:rsidR="004C714B" w:rsidRPr="004C714B">
              <w:rPr>
                <w:rStyle w:val="Hyperlink"/>
                <w:b w:val="0"/>
              </w:rPr>
              <w:t>4.</w:t>
            </w:r>
            <w:r w:rsidR="004C714B" w:rsidRPr="004C714B">
              <w:rPr>
                <w:rFonts w:asciiTheme="minorHAnsi" w:eastAsiaTheme="minorEastAsia" w:hAnsiTheme="minorHAnsi" w:cstheme="minorBidi"/>
                <w:b w:val="0"/>
                <w:sz w:val="22"/>
                <w:lang w:eastAsia="lv-LV"/>
              </w:rPr>
              <w:tab/>
            </w:r>
            <w:r w:rsidR="004C714B" w:rsidRPr="004C714B">
              <w:rPr>
                <w:rStyle w:val="Hyperlink"/>
                <w:b w:val="0"/>
              </w:rPr>
              <w:t>Kopsavilkums</w:t>
            </w:r>
            <w:r w:rsidR="004C714B" w:rsidRPr="004C714B">
              <w:rPr>
                <w:b w:val="0"/>
                <w:webHidden/>
              </w:rPr>
              <w:tab/>
            </w:r>
            <w:r w:rsidR="004C714B" w:rsidRPr="004C714B">
              <w:rPr>
                <w:b w:val="0"/>
                <w:webHidden/>
              </w:rPr>
              <w:fldChar w:fldCharType="begin"/>
            </w:r>
            <w:r w:rsidR="004C714B" w:rsidRPr="004C714B">
              <w:rPr>
                <w:b w:val="0"/>
                <w:webHidden/>
              </w:rPr>
              <w:instrText xml:space="preserve"> PAGEREF _Toc443558726 \h </w:instrText>
            </w:r>
            <w:r w:rsidR="004C714B" w:rsidRPr="004C714B">
              <w:rPr>
                <w:b w:val="0"/>
                <w:webHidden/>
              </w:rPr>
            </w:r>
            <w:r w:rsidR="004C714B" w:rsidRPr="004C714B">
              <w:rPr>
                <w:b w:val="0"/>
                <w:webHidden/>
              </w:rPr>
              <w:fldChar w:fldCharType="separate"/>
            </w:r>
            <w:r w:rsidR="00F92A82">
              <w:rPr>
                <w:b w:val="0"/>
                <w:webHidden/>
              </w:rPr>
              <w:t>26</w:t>
            </w:r>
            <w:r w:rsidR="004C714B" w:rsidRPr="004C714B">
              <w:rPr>
                <w:b w:val="0"/>
                <w:webHidden/>
              </w:rPr>
              <w:fldChar w:fldCharType="end"/>
            </w:r>
          </w:hyperlink>
        </w:p>
        <w:p w:rsidR="00B87CF8" w:rsidRPr="004C6282" w:rsidRDefault="00B87CF8">
          <w:r w:rsidRPr="004C6282">
            <w:rPr>
              <w:bCs/>
              <w:noProof/>
            </w:rPr>
            <w:fldChar w:fldCharType="end"/>
          </w:r>
        </w:p>
      </w:sdtContent>
    </w:sdt>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75738B" w:rsidRPr="006742EE" w:rsidRDefault="0075738B" w:rsidP="00A33DE6">
      <w:pPr>
        <w:ind w:firstLine="709"/>
        <w:jc w:val="both"/>
        <w:rPr>
          <w:szCs w:val="24"/>
        </w:rPr>
      </w:pPr>
    </w:p>
    <w:p w:rsidR="00FF1BA6" w:rsidRPr="006742EE" w:rsidRDefault="00FF1BA6" w:rsidP="00EB54A9">
      <w:pPr>
        <w:jc w:val="both"/>
        <w:rPr>
          <w:szCs w:val="24"/>
        </w:rPr>
      </w:pPr>
    </w:p>
    <w:p w:rsidR="00690BAB" w:rsidRDefault="0075738B" w:rsidP="00690BAB">
      <w:pPr>
        <w:ind w:firstLine="709"/>
        <w:jc w:val="both"/>
        <w:rPr>
          <w:szCs w:val="24"/>
        </w:rPr>
      </w:pPr>
      <w:r w:rsidRPr="006742EE">
        <w:rPr>
          <w:szCs w:val="24"/>
        </w:rPr>
        <w:lastRenderedPageBreak/>
        <w:t>Inf</w:t>
      </w:r>
      <w:r w:rsidR="00A33DE6" w:rsidRPr="006742EE">
        <w:rPr>
          <w:szCs w:val="24"/>
        </w:rPr>
        <w:t>ormatīvais ziņojums “</w:t>
      </w:r>
      <w:r w:rsidR="00FA7427" w:rsidRPr="006742EE">
        <w:rPr>
          <w:szCs w:val="24"/>
        </w:rPr>
        <w:t>Paveiktie un plānotie pasākumi, ieviešot budžeta sistēmu, kas balstīta uz attīstības plānošanas dokumentu mērķu sasniegšanu</w:t>
      </w:r>
      <w:r w:rsidR="00A33DE6" w:rsidRPr="006742EE">
        <w:rPr>
          <w:szCs w:val="24"/>
        </w:rPr>
        <w:t xml:space="preserve">” (turpmāk – informatīvais ziņojums) izstrādāts, pamatojoties uz Ministru prezidenta 2015.gada 5.novembra rezolūcijā Nr.90/TA-2373 uzdoto Finanšu ministrijai </w:t>
      </w:r>
      <w:r w:rsidR="00AB1DCB" w:rsidRPr="006742EE">
        <w:rPr>
          <w:szCs w:val="24"/>
        </w:rPr>
        <w:t xml:space="preserve">(turpmāk – FM) </w:t>
      </w:r>
      <w:r w:rsidR="00A33DE6" w:rsidRPr="006742EE">
        <w:rPr>
          <w:szCs w:val="24"/>
        </w:rPr>
        <w:t xml:space="preserve">kopīgi ar Pārresoru koordinācijas centru </w:t>
      </w:r>
      <w:r w:rsidR="00AB1DCB" w:rsidRPr="006742EE">
        <w:rPr>
          <w:szCs w:val="24"/>
        </w:rPr>
        <w:t xml:space="preserve">(turpmāk – PKC) </w:t>
      </w:r>
      <w:r w:rsidR="00A33DE6" w:rsidRPr="006742EE">
        <w:rPr>
          <w:szCs w:val="24"/>
        </w:rPr>
        <w:t xml:space="preserve">un Valsts kanceleju </w:t>
      </w:r>
      <w:r w:rsidR="00AF5A15">
        <w:rPr>
          <w:szCs w:val="24"/>
        </w:rPr>
        <w:t xml:space="preserve">(turpmāk – VK) </w:t>
      </w:r>
      <w:r w:rsidR="00A33DE6" w:rsidRPr="006742EE">
        <w:rPr>
          <w:szCs w:val="24"/>
        </w:rPr>
        <w:t xml:space="preserve">sagatavot Saeimas Publisko izdevumu un revīzijas komisijas </w:t>
      </w:r>
      <w:r w:rsidR="00AE694F" w:rsidRPr="006742EE">
        <w:rPr>
          <w:szCs w:val="24"/>
        </w:rPr>
        <w:t>(turpmāk –</w:t>
      </w:r>
      <w:r w:rsidR="00CC3CB1" w:rsidRPr="006742EE">
        <w:rPr>
          <w:szCs w:val="24"/>
        </w:rPr>
        <w:t xml:space="preserve"> </w:t>
      </w:r>
      <w:r w:rsidR="00AE694F" w:rsidRPr="006742EE">
        <w:rPr>
          <w:szCs w:val="24"/>
        </w:rPr>
        <w:t xml:space="preserve">komisija) </w:t>
      </w:r>
      <w:r w:rsidR="00A33DE6" w:rsidRPr="006742EE">
        <w:rPr>
          <w:szCs w:val="24"/>
        </w:rPr>
        <w:t xml:space="preserve">2015.gada 20.oktobra sēdes lēmuma 1.1.punktā minēto starpziņojumu. </w:t>
      </w:r>
      <w:r w:rsidR="00AE694F" w:rsidRPr="006742EE">
        <w:rPr>
          <w:szCs w:val="24"/>
        </w:rPr>
        <w:t xml:space="preserve">Komisijas 2015.gada 20.oktobra sēdes lēmuma 1.1.punkts paredz Ministru kabinetam </w:t>
      </w:r>
      <w:r w:rsidR="00C27281">
        <w:rPr>
          <w:szCs w:val="24"/>
        </w:rPr>
        <w:t xml:space="preserve">(turpmāk – MK) </w:t>
      </w:r>
      <w:r w:rsidR="00AE694F" w:rsidRPr="006742EE">
        <w:rPr>
          <w:szCs w:val="24"/>
        </w:rPr>
        <w:t>līdz 2016.gada 1.martam iesniegt komisijai starpziņojumu par paveiktajiem un plānotajiem pasākumiem, ieviešot tādu gadskārtējā un vidēja termiņa budžeta plānošanas sistēmu, kas būtu balstīta uz attīstības plānošanas dokumentos noteikto mērķu sasniegšanu un ļautu pārskatāmi izsekot šo mērķu sasniegšanas pakāpei.</w:t>
      </w:r>
      <w:r w:rsidR="00690BAB">
        <w:rPr>
          <w:szCs w:val="24"/>
        </w:rPr>
        <w:t xml:space="preserve"> </w:t>
      </w:r>
    </w:p>
    <w:p w:rsidR="00BF47CC" w:rsidRPr="006742EE" w:rsidRDefault="006E2426" w:rsidP="00690BAB">
      <w:pPr>
        <w:ind w:firstLine="709"/>
        <w:jc w:val="both"/>
        <w:rPr>
          <w:szCs w:val="24"/>
        </w:rPr>
      </w:pPr>
      <w:r>
        <w:rPr>
          <w:szCs w:val="24"/>
        </w:rPr>
        <w:t xml:space="preserve">Vienlaikus </w:t>
      </w:r>
      <w:r w:rsidR="00BF47CC">
        <w:rPr>
          <w:szCs w:val="24"/>
        </w:rPr>
        <w:t xml:space="preserve">informatīvais ziņojums </w:t>
      </w:r>
      <w:r>
        <w:rPr>
          <w:szCs w:val="24"/>
        </w:rPr>
        <w:t xml:space="preserve">aptver arī </w:t>
      </w:r>
      <w:r w:rsidR="00862EDF">
        <w:rPr>
          <w:szCs w:val="24"/>
        </w:rPr>
        <w:t>MK</w:t>
      </w:r>
      <w:r w:rsidR="00E465BF">
        <w:rPr>
          <w:szCs w:val="24"/>
        </w:rPr>
        <w:t xml:space="preserve"> 2015.gada 6.oktobra protok</w:t>
      </w:r>
      <w:r w:rsidR="008004CE">
        <w:rPr>
          <w:szCs w:val="24"/>
        </w:rPr>
        <w:t>o</w:t>
      </w:r>
      <w:r w:rsidR="00E465BF">
        <w:rPr>
          <w:szCs w:val="24"/>
        </w:rPr>
        <w:t>llēmuma (prot. Nr.53, 41.</w:t>
      </w:r>
      <w:r w:rsidR="00E465BF">
        <w:rPr>
          <w:rFonts w:cs="Times New Roman"/>
          <w:szCs w:val="24"/>
        </w:rPr>
        <w:t>§</w:t>
      </w:r>
      <w:r w:rsidR="00E465BF">
        <w:rPr>
          <w:szCs w:val="24"/>
        </w:rPr>
        <w:t>) 3.1.1.punktā uzdoto – PKC</w:t>
      </w:r>
      <w:r w:rsidR="00E465BF" w:rsidRPr="003662B3">
        <w:rPr>
          <w:szCs w:val="24"/>
        </w:rPr>
        <w:t xml:space="preserve"> sadarbībā ar </w:t>
      </w:r>
      <w:r w:rsidR="00E465BF">
        <w:rPr>
          <w:szCs w:val="24"/>
        </w:rPr>
        <w:t>FM</w:t>
      </w:r>
      <w:r w:rsidR="00E465BF" w:rsidRPr="003662B3">
        <w:rPr>
          <w:szCs w:val="24"/>
        </w:rPr>
        <w:t xml:space="preserve"> veikt nepieciešamās darbības, lai nodrošinātu tādu attīstības plānošanas sistēmas sasaisti ar budžeta plānošanu, kas ļautu pārskatāmi izsekot, vai un kādā pakāpē ar gadskārtējo un vidēja termiņa valsts budžetu ir plānots sasniegt attīstības plānoša</w:t>
      </w:r>
      <w:r w:rsidR="00E465BF">
        <w:rPr>
          <w:szCs w:val="24"/>
        </w:rPr>
        <w:t xml:space="preserve">nas dokumentos noteiktos mērķus un līdz 2016.gada 30.decembrim sagatavot starpziņojumu </w:t>
      </w:r>
      <w:r w:rsidR="00862EDF">
        <w:rPr>
          <w:szCs w:val="24"/>
        </w:rPr>
        <w:t>MK</w:t>
      </w:r>
      <w:r w:rsidR="00E465BF">
        <w:rPr>
          <w:szCs w:val="24"/>
        </w:rPr>
        <w:t xml:space="preserve">. Kā arī </w:t>
      </w:r>
      <w:r w:rsidR="00862EDF">
        <w:rPr>
          <w:szCs w:val="24"/>
        </w:rPr>
        <w:t>MK</w:t>
      </w:r>
      <w:r w:rsidR="00BF47CC" w:rsidRPr="00BF47CC">
        <w:rPr>
          <w:szCs w:val="24"/>
        </w:rPr>
        <w:t xml:space="preserve"> 2014.gada 25.februāra rīkojumā Nr.84 “Par Attīstības plānošanas sistēmas u</w:t>
      </w:r>
      <w:r w:rsidR="00E465BF">
        <w:rPr>
          <w:szCs w:val="24"/>
        </w:rPr>
        <w:t>zl</w:t>
      </w:r>
      <w:r w:rsidR="007473C7">
        <w:rPr>
          <w:szCs w:val="24"/>
        </w:rPr>
        <w:t>abošanas pasākumu plānu 2014.–</w:t>
      </w:r>
      <w:r w:rsidR="00BF47CC" w:rsidRPr="00BF47CC">
        <w:rPr>
          <w:szCs w:val="24"/>
        </w:rPr>
        <w:t xml:space="preserve">2016.gadam” uzdoto </w:t>
      </w:r>
      <w:r>
        <w:rPr>
          <w:szCs w:val="24"/>
        </w:rPr>
        <w:t xml:space="preserve">– </w:t>
      </w:r>
      <w:r w:rsidR="00BF47CC">
        <w:rPr>
          <w:szCs w:val="24"/>
        </w:rPr>
        <w:t>FM</w:t>
      </w:r>
      <w:r w:rsidR="00BF47CC" w:rsidRPr="00BF47CC">
        <w:rPr>
          <w:szCs w:val="24"/>
        </w:rPr>
        <w:t xml:space="preserve"> sadarbībā ar </w:t>
      </w:r>
      <w:r w:rsidR="00BF47CC">
        <w:rPr>
          <w:szCs w:val="24"/>
        </w:rPr>
        <w:t>PKC</w:t>
      </w:r>
      <w:r w:rsidR="00BF47CC" w:rsidRPr="00BF47CC">
        <w:rPr>
          <w:szCs w:val="24"/>
        </w:rPr>
        <w:t xml:space="preserve"> analizēt iespējas ieviest nozaru un plānošanas politiku izdevumu izvērtējumu.</w:t>
      </w:r>
      <w:r>
        <w:rPr>
          <w:szCs w:val="24"/>
        </w:rPr>
        <w:t xml:space="preserve"> </w:t>
      </w:r>
    </w:p>
    <w:p w:rsidR="00690BAB" w:rsidRPr="006742EE" w:rsidRDefault="00ED139F" w:rsidP="00862EDF">
      <w:pPr>
        <w:ind w:firstLine="709"/>
        <w:jc w:val="both"/>
        <w:rPr>
          <w:szCs w:val="24"/>
        </w:rPr>
      </w:pPr>
      <w:r w:rsidRPr="006742EE">
        <w:rPr>
          <w:szCs w:val="24"/>
        </w:rPr>
        <w:t xml:space="preserve">Informatīvajā ziņojumā ir sniegta analīze </w:t>
      </w:r>
      <w:r w:rsidR="00920F50" w:rsidRPr="006742EE">
        <w:rPr>
          <w:szCs w:val="24"/>
        </w:rPr>
        <w:t>par paveikt</w:t>
      </w:r>
      <w:r w:rsidR="001A47DB" w:rsidRPr="006742EE">
        <w:rPr>
          <w:szCs w:val="24"/>
        </w:rPr>
        <w:t>ajiem un plānotajiem pasākumiem</w:t>
      </w:r>
      <w:r w:rsidR="00920F50" w:rsidRPr="006742EE">
        <w:rPr>
          <w:szCs w:val="24"/>
        </w:rPr>
        <w:t xml:space="preserve"> gadskārtējā un vidēja termiņa budžeta plā</w:t>
      </w:r>
      <w:r w:rsidR="001A47DB" w:rsidRPr="006742EE">
        <w:rPr>
          <w:szCs w:val="24"/>
        </w:rPr>
        <w:t>nošanas sistēmā</w:t>
      </w:r>
      <w:r w:rsidR="00920F50" w:rsidRPr="006742EE">
        <w:rPr>
          <w:szCs w:val="24"/>
        </w:rPr>
        <w:t>, kas balstīta uz attīstības plānošanas dokumentos noteikto mērķu sasniegšanu.</w:t>
      </w:r>
    </w:p>
    <w:p w:rsidR="00690BAB" w:rsidRPr="00690BAB" w:rsidRDefault="00FA7427" w:rsidP="00FB4B60">
      <w:pPr>
        <w:pStyle w:val="Heading1"/>
        <w:numPr>
          <w:ilvl w:val="0"/>
          <w:numId w:val="3"/>
        </w:numPr>
        <w:rPr>
          <w:rFonts w:ascii="Times New Roman" w:hAnsi="Times New Roman" w:cs="Times New Roman"/>
          <w:b/>
          <w:color w:val="auto"/>
          <w:sz w:val="24"/>
          <w:szCs w:val="24"/>
        </w:rPr>
      </w:pPr>
      <w:bookmarkStart w:id="0" w:name="_Toc443558710"/>
      <w:r w:rsidRPr="006742EE">
        <w:rPr>
          <w:rFonts w:ascii="Times New Roman" w:hAnsi="Times New Roman" w:cs="Times New Roman"/>
          <w:b/>
          <w:color w:val="auto"/>
          <w:sz w:val="24"/>
          <w:szCs w:val="24"/>
        </w:rPr>
        <w:t>Normatīvais regulējums</w:t>
      </w:r>
      <w:bookmarkEnd w:id="0"/>
    </w:p>
    <w:p w:rsidR="00B87CF8" w:rsidRPr="006742EE" w:rsidRDefault="00B87CF8" w:rsidP="00B87CF8"/>
    <w:tbl>
      <w:tblPr>
        <w:tblStyle w:val="TableGrid"/>
        <w:tblW w:w="0" w:type="auto"/>
        <w:tblLook w:val="04A0" w:firstRow="1" w:lastRow="0" w:firstColumn="1" w:lastColumn="0" w:noHBand="0" w:noVBand="1"/>
      </w:tblPr>
      <w:tblGrid>
        <w:gridCol w:w="9344"/>
      </w:tblGrid>
      <w:tr w:rsidR="00853CFE" w:rsidRPr="006742EE" w:rsidTr="00581822">
        <w:tc>
          <w:tcPr>
            <w:tcW w:w="9344" w:type="dxa"/>
            <w:shd w:val="clear" w:color="auto" w:fill="D9D9D9" w:themeFill="background1" w:themeFillShade="D9"/>
          </w:tcPr>
          <w:p w:rsidR="00853CFE" w:rsidRPr="006742EE" w:rsidRDefault="00853CFE" w:rsidP="00AF5A15">
            <w:pPr>
              <w:jc w:val="both"/>
              <w:rPr>
                <w:b/>
              </w:rPr>
            </w:pPr>
            <w:r w:rsidRPr="006742EE">
              <w:rPr>
                <w:b/>
              </w:rPr>
              <w:t>Valsts budžeta izstrādāšan</w:t>
            </w:r>
            <w:r w:rsidR="00AF5A15">
              <w:rPr>
                <w:b/>
              </w:rPr>
              <w:t>as</w:t>
            </w:r>
            <w:r w:rsidRPr="006742EE">
              <w:rPr>
                <w:b/>
              </w:rPr>
              <w:t xml:space="preserve"> un apstiprināšan</w:t>
            </w:r>
            <w:r w:rsidR="00AF5A15">
              <w:rPr>
                <w:b/>
              </w:rPr>
              <w:t>as</w:t>
            </w:r>
            <w:r w:rsidRPr="006742EE">
              <w:rPr>
                <w:b/>
              </w:rPr>
              <w:t xml:space="preserve"> kārtību regulējošie normatīvie akti:</w:t>
            </w:r>
          </w:p>
        </w:tc>
      </w:tr>
      <w:tr w:rsidR="00853CFE" w:rsidRPr="006742EE" w:rsidTr="00742576">
        <w:tc>
          <w:tcPr>
            <w:tcW w:w="9344" w:type="dxa"/>
          </w:tcPr>
          <w:p w:rsidR="00690BAB" w:rsidRDefault="00853CFE" w:rsidP="00FB4B60">
            <w:pPr>
              <w:pStyle w:val="ListParagraph"/>
              <w:numPr>
                <w:ilvl w:val="0"/>
                <w:numId w:val="4"/>
              </w:numPr>
              <w:ind w:left="313" w:hanging="284"/>
              <w:jc w:val="both"/>
            </w:pPr>
            <w:r w:rsidRPr="006742EE">
              <w:t>Likums par budžetu un finanšu vadību</w:t>
            </w:r>
            <w:r w:rsidR="00C27281">
              <w:t xml:space="preserve"> (turpmāk – LBFV)</w:t>
            </w:r>
            <w:r w:rsidRPr="006742EE">
              <w:t>;</w:t>
            </w:r>
          </w:p>
          <w:p w:rsidR="00690BAB" w:rsidRDefault="00862EDF" w:rsidP="00FB4B60">
            <w:pPr>
              <w:pStyle w:val="ListParagraph"/>
              <w:numPr>
                <w:ilvl w:val="0"/>
                <w:numId w:val="4"/>
              </w:numPr>
              <w:ind w:left="313" w:hanging="284"/>
              <w:jc w:val="both"/>
            </w:pPr>
            <w:r>
              <w:t>MK</w:t>
            </w:r>
            <w:r w:rsidR="00853CFE" w:rsidRPr="006742EE">
              <w:t xml:space="preserve"> 2012.gada 31.jūlija noteikumi Nr.523 “Noteikumi par budžeta pieprasījumu izstrādāšanas un iesniegšanas pamatprincipiem” (turpmāk</w:t>
            </w:r>
            <w:r w:rsidR="00AF5A15">
              <w:t xml:space="preserve"> </w:t>
            </w:r>
            <w:r w:rsidR="00853CFE" w:rsidRPr="006742EE">
              <w:t>–</w:t>
            </w:r>
            <w:r w:rsidR="00690BAB">
              <w:t xml:space="preserve"> </w:t>
            </w:r>
            <w:r w:rsidR="00853CFE" w:rsidRPr="006742EE">
              <w:t>MK noteikumi Nr.523);</w:t>
            </w:r>
          </w:p>
          <w:p w:rsidR="00853CFE" w:rsidRPr="006742EE" w:rsidRDefault="00862EDF" w:rsidP="00FB4B60">
            <w:pPr>
              <w:pStyle w:val="ListParagraph"/>
              <w:numPr>
                <w:ilvl w:val="0"/>
                <w:numId w:val="4"/>
              </w:numPr>
              <w:ind w:left="313" w:hanging="284"/>
              <w:jc w:val="both"/>
            </w:pPr>
            <w:r>
              <w:t>MK</w:t>
            </w:r>
            <w:r w:rsidR="00853CFE" w:rsidRPr="006742EE">
              <w:t xml:space="preserve"> 2012.gada 11.decembra noteikumi Nr.867 “Kārtība, kādā nosakāms maksimāli pieļaujamais valsts budžeta izdevumu kopapjoms un maksimāli pieļaujamais valsts budžeta izdevumu kopējais apjoms katrai ministrijai un citām centrālajām valsts iestādēm vidējam termiņam” (turpmāk – MK noteikumi Nr.867).</w:t>
            </w:r>
          </w:p>
        </w:tc>
      </w:tr>
      <w:tr w:rsidR="00853CFE" w:rsidRPr="006742EE" w:rsidTr="00581822">
        <w:tc>
          <w:tcPr>
            <w:tcW w:w="9344" w:type="dxa"/>
            <w:shd w:val="clear" w:color="auto" w:fill="D9D9D9" w:themeFill="background1" w:themeFillShade="D9"/>
          </w:tcPr>
          <w:p w:rsidR="00853CFE" w:rsidRPr="006742EE" w:rsidRDefault="003C774A" w:rsidP="007442F0">
            <w:r w:rsidRPr="006742EE">
              <w:rPr>
                <w:b/>
              </w:rPr>
              <w:t>Valsts budžeta izpildes analīzi</w:t>
            </w:r>
            <w:r w:rsidR="00853CFE" w:rsidRPr="006742EE">
              <w:rPr>
                <w:b/>
              </w:rPr>
              <w:t xml:space="preserve"> regulējoš</w:t>
            </w:r>
            <w:r w:rsidR="007442F0" w:rsidRPr="006742EE">
              <w:rPr>
                <w:b/>
              </w:rPr>
              <w:t>ais</w:t>
            </w:r>
            <w:r w:rsidR="00853CFE" w:rsidRPr="006742EE">
              <w:rPr>
                <w:b/>
              </w:rPr>
              <w:t xml:space="preserve"> normatīvais akts:</w:t>
            </w:r>
          </w:p>
        </w:tc>
      </w:tr>
      <w:tr w:rsidR="00853CFE" w:rsidRPr="006742EE" w:rsidTr="00742576">
        <w:tc>
          <w:tcPr>
            <w:tcW w:w="9344" w:type="dxa"/>
          </w:tcPr>
          <w:p w:rsidR="00853CFE" w:rsidRPr="006742EE" w:rsidRDefault="00862EDF" w:rsidP="00FB4B60">
            <w:pPr>
              <w:pStyle w:val="ListParagraph"/>
              <w:numPr>
                <w:ilvl w:val="0"/>
                <w:numId w:val="5"/>
              </w:numPr>
              <w:ind w:left="313" w:hanging="284"/>
              <w:jc w:val="both"/>
            </w:pPr>
            <w:r>
              <w:rPr>
                <w:szCs w:val="24"/>
              </w:rPr>
              <w:t>MK</w:t>
            </w:r>
            <w:r w:rsidR="007442F0" w:rsidRPr="006742EE">
              <w:rPr>
                <w:szCs w:val="24"/>
              </w:rPr>
              <w:t xml:space="preserve"> </w:t>
            </w:r>
            <w:r w:rsidR="00991866">
              <w:rPr>
                <w:szCs w:val="24"/>
              </w:rPr>
              <w:t xml:space="preserve">2011.gada 23.augusta </w:t>
            </w:r>
            <w:r w:rsidR="007442F0" w:rsidRPr="006742EE">
              <w:rPr>
                <w:szCs w:val="24"/>
              </w:rPr>
              <w:t>instrukcija Nr.8 “Instrukcija par valsts budžeta izpildes analīzi” (turpmāk – MK instrukcija Nr.8).</w:t>
            </w:r>
          </w:p>
        </w:tc>
      </w:tr>
      <w:tr w:rsidR="007442F0" w:rsidRPr="006742EE" w:rsidTr="00581822">
        <w:tc>
          <w:tcPr>
            <w:tcW w:w="9344" w:type="dxa"/>
            <w:shd w:val="clear" w:color="auto" w:fill="D9D9D9" w:themeFill="background1" w:themeFillShade="D9"/>
          </w:tcPr>
          <w:p w:rsidR="007442F0" w:rsidRPr="006742EE" w:rsidRDefault="007442F0" w:rsidP="00853CFE">
            <w:pPr>
              <w:rPr>
                <w:b/>
              </w:rPr>
            </w:pPr>
            <w:r w:rsidRPr="006742EE">
              <w:rPr>
                <w:b/>
              </w:rPr>
              <w:t>Attīstības plānošanas principus regulējošie normatīvie akti:</w:t>
            </w:r>
          </w:p>
        </w:tc>
      </w:tr>
      <w:tr w:rsidR="007442F0" w:rsidRPr="006742EE" w:rsidTr="00742576">
        <w:tc>
          <w:tcPr>
            <w:tcW w:w="9344" w:type="dxa"/>
          </w:tcPr>
          <w:p w:rsidR="007442F0" w:rsidRDefault="007442F0" w:rsidP="00FB4B60">
            <w:pPr>
              <w:pStyle w:val="ListParagraph"/>
              <w:numPr>
                <w:ilvl w:val="0"/>
                <w:numId w:val="6"/>
              </w:numPr>
              <w:ind w:left="313" w:hanging="284"/>
              <w:jc w:val="both"/>
            </w:pPr>
            <w:r w:rsidRPr="006742EE">
              <w:t xml:space="preserve">Attīstības plānošanas sistēmas likums; </w:t>
            </w:r>
          </w:p>
          <w:p w:rsidR="0035392A" w:rsidRPr="006742EE" w:rsidRDefault="00862EDF" w:rsidP="00FB4B60">
            <w:pPr>
              <w:pStyle w:val="ListParagraph"/>
              <w:numPr>
                <w:ilvl w:val="0"/>
                <w:numId w:val="6"/>
              </w:numPr>
              <w:ind w:left="313" w:hanging="284"/>
              <w:jc w:val="both"/>
            </w:pPr>
            <w:r>
              <w:t>MK</w:t>
            </w:r>
            <w:r w:rsidR="0035392A" w:rsidRPr="0035392A">
              <w:t xml:space="preserve"> 2014.gada 2.decembra noteikumi Nr.737 “Attīstības plānošanas dokumentu izstrādes un ietekmes izvērtēšanas noteikumi”</w:t>
            </w:r>
            <w:r w:rsidR="0035392A">
              <w:t xml:space="preserve"> (turpmāk – MK noteikumi Nr.737);</w:t>
            </w:r>
          </w:p>
          <w:p w:rsidR="007442F0" w:rsidRPr="006742EE" w:rsidRDefault="00862EDF" w:rsidP="00FB4B60">
            <w:pPr>
              <w:pStyle w:val="ListParagraph"/>
              <w:numPr>
                <w:ilvl w:val="0"/>
                <w:numId w:val="6"/>
              </w:numPr>
              <w:ind w:left="313" w:hanging="284"/>
              <w:jc w:val="both"/>
            </w:pPr>
            <w:r>
              <w:rPr>
                <w:szCs w:val="24"/>
              </w:rPr>
              <w:t>MK</w:t>
            </w:r>
            <w:r w:rsidR="007442F0" w:rsidRPr="006742EE">
              <w:rPr>
                <w:szCs w:val="24"/>
              </w:rPr>
              <w:t xml:space="preserve"> 2009.gada 1.septembra noteikumi Nr.979 “Rezultātu un rezultatīvo rādītāju sistēmas darbības kārtība” (turpmāk – MK noteikumi Nr.979);</w:t>
            </w:r>
          </w:p>
          <w:p w:rsidR="0035392A" w:rsidRPr="006742EE" w:rsidRDefault="00862EDF" w:rsidP="00FB4B60">
            <w:pPr>
              <w:pStyle w:val="ListParagraph"/>
              <w:numPr>
                <w:ilvl w:val="0"/>
                <w:numId w:val="6"/>
              </w:numPr>
              <w:ind w:left="313" w:hanging="284"/>
              <w:jc w:val="both"/>
            </w:pPr>
            <w:r>
              <w:rPr>
                <w:szCs w:val="24"/>
              </w:rPr>
              <w:t>MK</w:t>
            </w:r>
            <w:r w:rsidR="007442F0" w:rsidRPr="006742EE">
              <w:rPr>
                <w:szCs w:val="24"/>
              </w:rPr>
              <w:t xml:space="preserve"> 2009.gada 17.novembra instrukcija Nr.16 “Ministriju un citu centrālo valsts iestāžu rezultātu un to rezultatīvo rādītāju izpildes un novērtēšanas metodika” (turpmāk – MK instrukcija Nr.16).</w:t>
            </w:r>
          </w:p>
        </w:tc>
      </w:tr>
    </w:tbl>
    <w:p w:rsidR="00690BAB" w:rsidRPr="003E5070" w:rsidRDefault="00690BAB" w:rsidP="00B87CF8">
      <w:pPr>
        <w:rPr>
          <w:sz w:val="20"/>
          <w:szCs w:val="20"/>
        </w:rPr>
      </w:pPr>
    </w:p>
    <w:p w:rsidR="00C755DB" w:rsidRPr="006742EE" w:rsidRDefault="00A91CC3" w:rsidP="00FB4B60">
      <w:pPr>
        <w:pStyle w:val="Heading1"/>
        <w:numPr>
          <w:ilvl w:val="0"/>
          <w:numId w:val="3"/>
        </w:numPr>
        <w:rPr>
          <w:rFonts w:ascii="Times New Roman" w:hAnsi="Times New Roman" w:cs="Times New Roman"/>
          <w:b/>
          <w:color w:val="auto"/>
          <w:sz w:val="24"/>
          <w:szCs w:val="24"/>
        </w:rPr>
      </w:pPr>
      <w:bookmarkStart w:id="1" w:name="_Toc443558711"/>
      <w:r w:rsidRPr="006742EE">
        <w:rPr>
          <w:rFonts w:ascii="Times New Roman" w:hAnsi="Times New Roman" w:cs="Times New Roman"/>
          <w:b/>
          <w:color w:val="auto"/>
          <w:sz w:val="24"/>
          <w:szCs w:val="24"/>
        </w:rPr>
        <w:t>Pašreizējā situācija</w:t>
      </w:r>
      <w:r w:rsidR="00C755DB" w:rsidRPr="006742EE">
        <w:rPr>
          <w:rFonts w:ascii="Times New Roman" w:hAnsi="Times New Roman" w:cs="Times New Roman"/>
          <w:b/>
          <w:color w:val="auto"/>
          <w:sz w:val="24"/>
          <w:szCs w:val="24"/>
        </w:rPr>
        <w:t xml:space="preserve"> finansējuma sasaist</w:t>
      </w:r>
      <w:r w:rsidRPr="006742EE">
        <w:rPr>
          <w:rFonts w:ascii="Times New Roman" w:hAnsi="Times New Roman" w:cs="Times New Roman"/>
          <w:b/>
          <w:color w:val="auto"/>
          <w:sz w:val="24"/>
          <w:szCs w:val="24"/>
        </w:rPr>
        <w:t>ē</w:t>
      </w:r>
      <w:r w:rsidR="00C755DB" w:rsidRPr="006742EE">
        <w:rPr>
          <w:rFonts w:ascii="Times New Roman" w:hAnsi="Times New Roman" w:cs="Times New Roman"/>
          <w:b/>
          <w:color w:val="auto"/>
          <w:sz w:val="24"/>
          <w:szCs w:val="24"/>
        </w:rPr>
        <w:t xml:space="preserve"> ar attīstības plānošanas dokumentiem</w:t>
      </w:r>
      <w:bookmarkEnd w:id="1"/>
    </w:p>
    <w:p w:rsidR="002F47AF" w:rsidRPr="006742EE" w:rsidRDefault="002F47AF" w:rsidP="002F47AF">
      <w:pPr>
        <w:pStyle w:val="ListParagraph"/>
        <w:jc w:val="both"/>
        <w:rPr>
          <w:b/>
        </w:rPr>
      </w:pPr>
    </w:p>
    <w:p w:rsidR="00D643C9" w:rsidRPr="006742EE" w:rsidRDefault="00D643C9" w:rsidP="00D643C9">
      <w:pPr>
        <w:pStyle w:val="ListParagraph"/>
        <w:ind w:left="0" w:firstLine="709"/>
        <w:jc w:val="both"/>
      </w:pPr>
      <w:r w:rsidRPr="006742EE">
        <w:t xml:space="preserve">LBFV nosaka, ka vidēja termiņa valsts budžeta plānošana ir process, kurā tiek noteikti pieejamie resursi vidējam termiņam un nodrošināta šo resursu izlietošana </w:t>
      </w:r>
      <w:r w:rsidRPr="009A45F9">
        <w:t>atbilstoši valdības</w:t>
      </w:r>
      <w:r w:rsidRPr="006742EE">
        <w:t xml:space="preserve"> </w:t>
      </w:r>
      <w:r w:rsidRPr="006742EE">
        <w:lastRenderedPageBreak/>
        <w:t>noteiktajām prioritātēm. Ar vidēju termiņu tiek saprasts triju gadu periods, ko veido saimnieciskais gads, kuram plāno valsts budžetu, un tam sekojošie divi saimnieciskie gadi.</w:t>
      </w:r>
    </w:p>
    <w:p w:rsidR="00D643C9" w:rsidRPr="006742EE" w:rsidRDefault="00D643C9" w:rsidP="0042713A">
      <w:pPr>
        <w:pStyle w:val="ListParagraph"/>
        <w:ind w:left="0" w:firstLine="709"/>
        <w:jc w:val="both"/>
      </w:pPr>
      <w:r w:rsidRPr="006742EE">
        <w:t>Vidēja termiņa budžeta plānošana un finanšu vadība tiek īstenota, ievērojot Fiskālās disciplīnas likumā noteiktos fiskālās politikas principus, nodrošinot pārredzamu un atbildīgu fiskālo politiku.</w:t>
      </w:r>
      <w:r w:rsidR="0042713A">
        <w:t xml:space="preserve"> </w:t>
      </w:r>
      <w:r w:rsidRPr="006742EE">
        <w:t>Vidēja termiņa plānošanai jānodrošina ilgtspējīgu un sistemātisku virzību uz valsts svarīgāko prioritāšu īstenošanu, līdz ar to plāniem, kā arī to finansiālajam pamatojumam ir jābūt pārmantojamam gadu no gada.</w:t>
      </w:r>
    </w:p>
    <w:p w:rsidR="00D643C9" w:rsidRDefault="00D643C9" w:rsidP="00D643C9">
      <w:pPr>
        <w:pStyle w:val="ListParagraph"/>
        <w:ind w:left="0" w:firstLine="709"/>
        <w:jc w:val="both"/>
      </w:pPr>
      <w:r w:rsidRPr="006742EE">
        <w:t>Latvijas budžeta sistēmā centrālais vidēja termiņa budžeta plānošanas elements ir vidēja termiņa budžeta ietvara likums (turpmāk – Ietvara likums).</w:t>
      </w:r>
    </w:p>
    <w:p w:rsidR="00D774B4" w:rsidRDefault="00D774B4" w:rsidP="00D643C9">
      <w:pPr>
        <w:pStyle w:val="ListParagraph"/>
        <w:ind w:left="0" w:firstLine="709"/>
        <w:jc w:val="both"/>
      </w:pPr>
      <w:r w:rsidRPr="006742EE">
        <w:t xml:space="preserve">Sākot ar 2012.gadu, lai nodrošinātu Ietvara likumā noteikto funkciju izpildi, t.i., nodrošinātu pieejamo resursu sasaisti </w:t>
      </w:r>
      <w:r w:rsidRPr="009A45F9">
        <w:t>ar valdības politikas</w:t>
      </w:r>
      <w:r w:rsidRPr="006742EE">
        <w:t xml:space="preserve"> prioritātēm vidējā termiņā un sniegtu priekštatu par šodien aktuālo lēmumu ietekmi uz nākošajiem periodiem,</w:t>
      </w:r>
      <w:r>
        <w:t xml:space="preserve"> LBFV noteikts, </w:t>
      </w:r>
      <w:r w:rsidRPr="00D774B4">
        <w:t xml:space="preserve">ka ministrijas </w:t>
      </w:r>
      <w:r>
        <w:t xml:space="preserve">un citas centrālās valsts iestādes (turpmāk – ministrija) </w:t>
      </w:r>
      <w:r w:rsidRPr="00D774B4">
        <w:t xml:space="preserve">sagatavo </w:t>
      </w:r>
      <w:r>
        <w:t>jaunās politikas iniciat</w:t>
      </w:r>
      <w:r w:rsidR="0042713A">
        <w:t>īvas</w:t>
      </w:r>
      <w:r>
        <w:t xml:space="preserve">, </w:t>
      </w:r>
      <w:r w:rsidRPr="00D774B4">
        <w:t xml:space="preserve">pamatojoties uz </w:t>
      </w:r>
      <w:r>
        <w:t xml:space="preserve">Nacionālajā attīstības plānā (turpmāk – </w:t>
      </w:r>
      <w:r w:rsidRPr="00D774B4">
        <w:t>NAP</w:t>
      </w:r>
      <w:r>
        <w:t>)</w:t>
      </w:r>
      <w:r w:rsidRPr="00D774B4">
        <w:t xml:space="preserve"> un valsts aizsardzības koncepcijā (turpmāk – VAK) noteiktajām prioritātēm un mērķiem</w:t>
      </w:r>
      <w:r>
        <w:t>, kā arī paredzētas</w:t>
      </w:r>
      <w:r w:rsidRPr="006742EE">
        <w:t xml:space="preserve"> </w:t>
      </w:r>
      <w:r>
        <w:t>MK</w:t>
      </w:r>
      <w:r w:rsidRPr="006742EE">
        <w:t xml:space="preserve"> tiesības noteikt, ka ministrijas, sagatavojot </w:t>
      </w:r>
      <w:r>
        <w:t>JPI</w:t>
      </w:r>
      <w:r w:rsidRPr="006742EE">
        <w:t>, pamatojas arī uz citos attīstības plānošanas dokumentos noteiktajām prioritātēm un mērķiem, tostarp ņemot vērā nepieciešamību veikt budžeta iestāžu administratīvās spējas stiprināšanas pasākumus.</w:t>
      </w:r>
      <w:r>
        <w:t xml:space="preserve"> </w:t>
      </w:r>
    </w:p>
    <w:p w:rsidR="00D643C9" w:rsidRDefault="00D643C9" w:rsidP="00D643C9">
      <w:pPr>
        <w:ind w:firstLine="709"/>
        <w:jc w:val="both"/>
      </w:pPr>
      <w:r w:rsidRPr="006742EE">
        <w:t xml:space="preserve">Vienlaikus </w:t>
      </w:r>
      <w:r>
        <w:t>uz</w:t>
      </w:r>
      <w:r w:rsidRPr="006742EE">
        <w:t xml:space="preserve"> LBFV </w:t>
      </w:r>
      <w:r>
        <w:t xml:space="preserve">pamata </w:t>
      </w:r>
      <w:r w:rsidRPr="006742EE">
        <w:t>iz</w:t>
      </w:r>
      <w:r>
        <w:t>dot</w:t>
      </w:r>
      <w:r w:rsidRPr="006742EE">
        <w:t xml:space="preserve">ajos MK noteikumos Nr.867 ietverta </w:t>
      </w:r>
      <w:r>
        <w:t>JPI</w:t>
      </w:r>
      <w:r w:rsidRPr="006742EE">
        <w:t xml:space="preserve"> vērtēšanas metodoloģija, kas paredz piešķirt augstāku vērtējumu par </w:t>
      </w:r>
      <w:r>
        <w:t>JPI</w:t>
      </w:r>
      <w:r w:rsidRPr="006742EE">
        <w:t xml:space="preserve"> atbilstību NAP vai </w:t>
      </w:r>
      <w:r w:rsidR="00BC7AAD">
        <w:t>VAK</w:t>
      </w:r>
      <w:r w:rsidRPr="006742EE">
        <w:t xml:space="preserve"> un salīdzinoši zemāku vērtējumu par atbilstību citiem attīstības plānošanas dokumentiem un valdības Deklarācijai.</w:t>
      </w:r>
    </w:p>
    <w:p w:rsidR="00E54F1A" w:rsidRPr="006742EE" w:rsidRDefault="00E54F1A" w:rsidP="00E54F1A">
      <w:pPr>
        <w:ind w:firstLine="709"/>
        <w:jc w:val="both"/>
      </w:pPr>
    </w:p>
    <w:p w:rsidR="00DB3B6F" w:rsidRPr="006742EE" w:rsidRDefault="00DB3B6F" w:rsidP="00FB4B60">
      <w:pPr>
        <w:pStyle w:val="Heading2"/>
        <w:numPr>
          <w:ilvl w:val="1"/>
          <w:numId w:val="3"/>
        </w:numPr>
        <w:rPr>
          <w:rFonts w:ascii="Times New Roman" w:hAnsi="Times New Roman" w:cs="Times New Roman"/>
          <w:b/>
          <w:color w:val="auto"/>
          <w:sz w:val="24"/>
          <w:szCs w:val="24"/>
        </w:rPr>
      </w:pPr>
      <w:bookmarkStart w:id="2" w:name="_Toc443558712"/>
      <w:r w:rsidRPr="006742EE">
        <w:rPr>
          <w:rFonts w:ascii="Times New Roman" w:hAnsi="Times New Roman" w:cs="Times New Roman"/>
          <w:b/>
          <w:color w:val="auto"/>
          <w:sz w:val="24"/>
          <w:szCs w:val="24"/>
        </w:rPr>
        <w:t>Finansējums budžeta bāzes un attīstības daļai 2013.</w:t>
      </w:r>
      <w:r>
        <w:rPr>
          <w:rFonts w:ascii="Times New Roman" w:hAnsi="Times New Roman" w:cs="Times New Roman"/>
          <w:b/>
          <w:color w:val="auto"/>
          <w:sz w:val="24"/>
          <w:szCs w:val="24"/>
        </w:rPr>
        <w:t xml:space="preserve"> – </w:t>
      </w:r>
      <w:r w:rsidRPr="006742EE">
        <w:rPr>
          <w:rFonts w:ascii="Times New Roman" w:hAnsi="Times New Roman" w:cs="Times New Roman"/>
          <w:b/>
          <w:color w:val="auto"/>
          <w:sz w:val="24"/>
          <w:szCs w:val="24"/>
        </w:rPr>
        <w:t>2018.gadam</w:t>
      </w:r>
      <w:bookmarkEnd w:id="2"/>
    </w:p>
    <w:p w:rsidR="00A91CC3" w:rsidRPr="006742EE" w:rsidRDefault="00A91CC3" w:rsidP="00A91CC3">
      <w:pPr>
        <w:rPr>
          <w:b/>
          <w:szCs w:val="24"/>
        </w:rPr>
      </w:pPr>
    </w:p>
    <w:p w:rsidR="0018458F" w:rsidRDefault="0018458F" w:rsidP="0018458F">
      <w:pPr>
        <w:ind w:firstLine="709"/>
        <w:jc w:val="both"/>
        <w:rPr>
          <w:szCs w:val="24"/>
        </w:rPr>
      </w:pPr>
      <w:r w:rsidRPr="006742EE">
        <w:rPr>
          <w:szCs w:val="24"/>
        </w:rPr>
        <w:t>Maksimāli pieļaujam</w:t>
      </w:r>
      <w:r w:rsidR="0042713A">
        <w:rPr>
          <w:szCs w:val="24"/>
        </w:rPr>
        <w:t>o</w:t>
      </w:r>
      <w:r w:rsidRPr="006742EE">
        <w:rPr>
          <w:szCs w:val="24"/>
        </w:rPr>
        <w:t xml:space="preserve"> izdevumu kopapjom</w:t>
      </w:r>
      <w:r>
        <w:rPr>
          <w:szCs w:val="24"/>
        </w:rPr>
        <w:t xml:space="preserve">u nosaka gan </w:t>
      </w:r>
      <w:r w:rsidRPr="006742EE">
        <w:rPr>
          <w:szCs w:val="24"/>
        </w:rPr>
        <w:t>valsts pamatbudžeta</w:t>
      </w:r>
      <w:r>
        <w:rPr>
          <w:szCs w:val="24"/>
        </w:rPr>
        <w:t>m, gan</w:t>
      </w:r>
      <w:r w:rsidRPr="006742EE">
        <w:rPr>
          <w:szCs w:val="24"/>
        </w:rPr>
        <w:t xml:space="preserve"> valsts speciāl</w:t>
      </w:r>
      <w:r>
        <w:rPr>
          <w:szCs w:val="24"/>
        </w:rPr>
        <w:t>ajam</w:t>
      </w:r>
      <w:r w:rsidRPr="006742EE">
        <w:rPr>
          <w:szCs w:val="24"/>
        </w:rPr>
        <w:t xml:space="preserve"> budžeta</w:t>
      </w:r>
      <w:r>
        <w:rPr>
          <w:szCs w:val="24"/>
        </w:rPr>
        <w:t>m.</w:t>
      </w:r>
      <w:r w:rsidRPr="006742EE">
        <w:rPr>
          <w:szCs w:val="24"/>
        </w:rPr>
        <w:t xml:space="preserve"> </w:t>
      </w:r>
      <w:r>
        <w:rPr>
          <w:szCs w:val="24"/>
        </w:rPr>
        <w:t>Valsts budžetu iedala divās daļās:</w:t>
      </w:r>
    </w:p>
    <w:p w:rsidR="0018458F" w:rsidRDefault="0018458F" w:rsidP="00FB4B60">
      <w:pPr>
        <w:pStyle w:val="ListParagraph"/>
        <w:numPr>
          <w:ilvl w:val="0"/>
          <w:numId w:val="22"/>
        </w:numPr>
        <w:jc w:val="both"/>
        <w:rPr>
          <w:szCs w:val="24"/>
        </w:rPr>
      </w:pPr>
      <w:r w:rsidRPr="0082337C">
        <w:rPr>
          <w:szCs w:val="24"/>
        </w:rPr>
        <w:t>valsts pamatfunkciju īstenošana</w:t>
      </w:r>
      <w:r>
        <w:rPr>
          <w:szCs w:val="24"/>
        </w:rPr>
        <w:t xml:space="preserve">s daļa </w:t>
      </w:r>
      <w:r w:rsidRPr="0082337C">
        <w:rPr>
          <w:szCs w:val="24"/>
        </w:rPr>
        <w:t>un</w:t>
      </w:r>
    </w:p>
    <w:p w:rsidR="0018458F" w:rsidRDefault="0018458F" w:rsidP="00FB4B60">
      <w:pPr>
        <w:pStyle w:val="ListParagraph"/>
        <w:numPr>
          <w:ilvl w:val="0"/>
          <w:numId w:val="22"/>
        </w:numPr>
        <w:jc w:val="both"/>
        <w:rPr>
          <w:szCs w:val="24"/>
        </w:rPr>
      </w:pPr>
      <w:r w:rsidRPr="0082337C">
        <w:rPr>
          <w:szCs w:val="24"/>
        </w:rPr>
        <w:t>Eiropas Savienības politikas instrumentu un pārējās ārvalstu finanšu palīdzības līdzfinansēto un finansēto projektu un pasākumu īstenošana</w:t>
      </w:r>
      <w:r>
        <w:rPr>
          <w:szCs w:val="24"/>
        </w:rPr>
        <w:t>s</w:t>
      </w:r>
      <w:r w:rsidRPr="0082337C">
        <w:rPr>
          <w:szCs w:val="24"/>
        </w:rPr>
        <w:t xml:space="preserve"> </w:t>
      </w:r>
      <w:r>
        <w:rPr>
          <w:szCs w:val="24"/>
        </w:rPr>
        <w:t xml:space="preserve">daļa </w:t>
      </w:r>
      <w:r w:rsidRPr="0082337C">
        <w:rPr>
          <w:szCs w:val="24"/>
        </w:rPr>
        <w:t>(turpmāk – ES projekti)</w:t>
      </w:r>
    </w:p>
    <w:p w:rsidR="0018458F" w:rsidRPr="0082337C" w:rsidRDefault="0018458F" w:rsidP="0018458F">
      <w:pPr>
        <w:ind w:firstLine="709"/>
        <w:jc w:val="both"/>
        <w:rPr>
          <w:szCs w:val="24"/>
        </w:rPr>
      </w:pPr>
      <w:r>
        <w:rPr>
          <w:szCs w:val="24"/>
        </w:rPr>
        <w:t xml:space="preserve">Ievērojot iepriekš minēto valsts budžeta izdevumu struktūru, maksimālo izdevumu kopapjoms </w:t>
      </w:r>
      <w:r w:rsidRPr="0082337C">
        <w:rPr>
          <w:szCs w:val="24"/>
        </w:rPr>
        <w:t>sastāv no:</w:t>
      </w:r>
    </w:p>
    <w:p w:rsidR="0018458F" w:rsidRDefault="0018458F" w:rsidP="00FB4B60">
      <w:pPr>
        <w:pStyle w:val="ListParagraph"/>
        <w:numPr>
          <w:ilvl w:val="0"/>
          <w:numId w:val="22"/>
        </w:numPr>
        <w:jc w:val="both"/>
        <w:rPr>
          <w:szCs w:val="24"/>
        </w:rPr>
      </w:pPr>
      <w:r w:rsidRPr="009F6718">
        <w:rPr>
          <w:szCs w:val="24"/>
        </w:rPr>
        <w:t>valsts pamatbudžeta un speciālā budžeta</w:t>
      </w:r>
      <w:r w:rsidRPr="007C22BD">
        <w:rPr>
          <w:i/>
          <w:szCs w:val="24"/>
        </w:rPr>
        <w:t xml:space="preserve"> bāzes izdevumiem</w:t>
      </w:r>
      <w:r w:rsidRPr="0082337C">
        <w:rPr>
          <w:szCs w:val="24"/>
        </w:rPr>
        <w:t xml:space="preserve"> un </w:t>
      </w:r>
    </w:p>
    <w:p w:rsidR="0018458F" w:rsidRPr="0082337C" w:rsidRDefault="0018458F" w:rsidP="00FB4B60">
      <w:pPr>
        <w:pStyle w:val="ListParagraph"/>
        <w:numPr>
          <w:ilvl w:val="0"/>
          <w:numId w:val="22"/>
        </w:numPr>
        <w:jc w:val="both"/>
        <w:rPr>
          <w:szCs w:val="24"/>
        </w:rPr>
      </w:pPr>
      <w:r w:rsidRPr="009F6718">
        <w:rPr>
          <w:szCs w:val="24"/>
        </w:rPr>
        <w:t>valsts pamatbudžeta un speciālā budžeta</w:t>
      </w:r>
      <w:r w:rsidRPr="007C22BD">
        <w:rPr>
          <w:i/>
          <w:szCs w:val="24"/>
        </w:rPr>
        <w:t xml:space="preserve"> </w:t>
      </w:r>
      <w:r w:rsidR="0042713A">
        <w:rPr>
          <w:szCs w:val="24"/>
        </w:rPr>
        <w:t>vidējam termiņam atbalstītajām</w:t>
      </w:r>
      <w:r w:rsidR="0042713A" w:rsidRPr="0042713A">
        <w:rPr>
          <w:szCs w:val="24"/>
        </w:rPr>
        <w:t xml:space="preserve"> jaun</w:t>
      </w:r>
      <w:r w:rsidR="0042713A">
        <w:rPr>
          <w:szCs w:val="24"/>
        </w:rPr>
        <w:t>ajām</w:t>
      </w:r>
      <w:r w:rsidR="0042713A" w:rsidRPr="0042713A">
        <w:rPr>
          <w:szCs w:val="24"/>
        </w:rPr>
        <w:t xml:space="preserve"> politikas iniciatīv</w:t>
      </w:r>
      <w:r w:rsidR="0042713A">
        <w:rPr>
          <w:szCs w:val="24"/>
        </w:rPr>
        <w:t>ām</w:t>
      </w:r>
      <w:r w:rsidR="0042713A" w:rsidRPr="0042713A">
        <w:rPr>
          <w:szCs w:val="24"/>
        </w:rPr>
        <w:t xml:space="preserve"> vai cita veida </w:t>
      </w:r>
      <w:r w:rsidR="0042713A" w:rsidRPr="0042713A">
        <w:rPr>
          <w:i/>
          <w:szCs w:val="24"/>
        </w:rPr>
        <w:t>valsts budžeta attīstības daļas pasākumiem</w:t>
      </w:r>
      <w:r w:rsidR="0042713A" w:rsidRPr="0042713A">
        <w:rPr>
          <w:szCs w:val="24"/>
        </w:rPr>
        <w:t xml:space="preserve"> (turpmāk – JPI) un optimizācijas pasākumi</w:t>
      </w:r>
      <w:r w:rsidR="0042713A">
        <w:rPr>
          <w:szCs w:val="24"/>
        </w:rPr>
        <w:t>em</w:t>
      </w:r>
      <w:r w:rsidR="0042713A" w:rsidRPr="0042713A">
        <w:rPr>
          <w:szCs w:val="24"/>
        </w:rPr>
        <w:t>, ja tādi nepieciešami)</w:t>
      </w:r>
      <w:r w:rsidRPr="0042713A">
        <w:rPr>
          <w:szCs w:val="24"/>
        </w:rPr>
        <w:t>.</w:t>
      </w:r>
    </w:p>
    <w:p w:rsidR="00A91CC3" w:rsidRPr="00B54831" w:rsidRDefault="00A91CC3" w:rsidP="0034349F">
      <w:pPr>
        <w:jc w:val="both"/>
        <w:rPr>
          <w:sz w:val="16"/>
          <w:szCs w:val="16"/>
        </w:rPr>
      </w:pPr>
    </w:p>
    <w:p w:rsidR="00A91CC3" w:rsidRPr="006742EE" w:rsidRDefault="00A91CC3" w:rsidP="00A91CC3">
      <w:pPr>
        <w:spacing w:after="240"/>
        <w:rPr>
          <w:sz w:val="22"/>
        </w:rPr>
      </w:pPr>
      <w:r w:rsidRPr="006742EE">
        <w:rPr>
          <w:noProof/>
          <w:lang w:eastAsia="lv-LV"/>
        </w:rPr>
        <w:drawing>
          <wp:inline distT="0" distB="0" distL="0" distR="0" wp14:anchorId="14BA7F63" wp14:editId="51B5C072">
            <wp:extent cx="5807710" cy="1711757"/>
            <wp:effectExtent l="0" t="38100" r="0" b="793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91CC3" w:rsidRDefault="008E4443" w:rsidP="0042713A">
      <w:pPr>
        <w:jc w:val="center"/>
        <w:rPr>
          <w:b/>
          <w:sz w:val="16"/>
          <w:szCs w:val="16"/>
        </w:rPr>
      </w:pPr>
      <w:r w:rsidRPr="006742EE">
        <w:rPr>
          <w:i/>
          <w:sz w:val="22"/>
        </w:rPr>
        <w:t>1</w:t>
      </w:r>
      <w:r w:rsidR="00A91CC3" w:rsidRPr="006742EE">
        <w:rPr>
          <w:i/>
          <w:sz w:val="22"/>
        </w:rPr>
        <w:t>.att.</w:t>
      </w:r>
      <w:r w:rsidR="00A91CC3" w:rsidRPr="006742EE">
        <w:rPr>
          <w:sz w:val="22"/>
        </w:rPr>
        <w:t xml:space="preserve"> </w:t>
      </w:r>
      <w:r w:rsidR="00A91CC3" w:rsidRPr="006742EE">
        <w:rPr>
          <w:b/>
          <w:sz w:val="22"/>
        </w:rPr>
        <w:t>Maksimāli pieļaujamā izdevumu kopapjoma noteikšana</w:t>
      </w:r>
    </w:p>
    <w:p w:rsidR="00B54831" w:rsidRPr="0010096F" w:rsidRDefault="00B54831" w:rsidP="0042713A">
      <w:pPr>
        <w:jc w:val="center"/>
        <w:rPr>
          <w:b/>
          <w:sz w:val="20"/>
          <w:szCs w:val="20"/>
        </w:rPr>
      </w:pPr>
    </w:p>
    <w:p w:rsidR="008F7CE1" w:rsidRPr="006742EE" w:rsidRDefault="008F7CE1" w:rsidP="00B54831">
      <w:pPr>
        <w:ind w:firstLine="709"/>
        <w:jc w:val="both"/>
        <w:rPr>
          <w:szCs w:val="24"/>
        </w:rPr>
      </w:pPr>
      <w:r>
        <w:rPr>
          <w:szCs w:val="24"/>
        </w:rPr>
        <w:t>I</w:t>
      </w:r>
      <w:r w:rsidRPr="006742EE">
        <w:rPr>
          <w:szCs w:val="24"/>
        </w:rPr>
        <w:t xml:space="preserve">zdevumu plānošanā sākotnēji tiek aprēķināti un </w:t>
      </w:r>
      <w:r>
        <w:rPr>
          <w:szCs w:val="24"/>
        </w:rPr>
        <w:t xml:space="preserve">ar ministrijām </w:t>
      </w:r>
      <w:r w:rsidRPr="006742EE">
        <w:rPr>
          <w:szCs w:val="24"/>
        </w:rPr>
        <w:t xml:space="preserve">saskaņoti </w:t>
      </w:r>
      <w:r w:rsidRPr="006742EE">
        <w:rPr>
          <w:i/>
          <w:szCs w:val="24"/>
        </w:rPr>
        <w:t>bāzes izdevumi</w:t>
      </w:r>
      <w:r w:rsidRPr="006742EE">
        <w:rPr>
          <w:szCs w:val="24"/>
        </w:rPr>
        <w:t>. Bāzes izdevumu aprēķinu un sasaist</w:t>
      </w:r>
      <w:r>
        <w:rPr>
          <w:szCs w:val="24"/>
        </w:rPr>
        <w:t>i</w:t>
      </w:r>
      <w:r w:rsidRPr="006742EE">
        <w:rPr>
          <w:szCs w:val="24"/>
        </w:rPr>
        <w:t xml:space="preserve"> ar </w:t>
      </w:r>
      <w:r>
        <w:rPr>
          <w:szCs w:val="24"/>
        </w:rPr>
        <w:t>I</w:t>
      </w:r>
      <w:r w:rsidRPr="006742EE">
        <w:rPr>
          <w:szCs w:val="24"/>
        </w:rPr>
        <w:t>etvara liku</w:t>
      </w:r>
      <w:r>
        <w:rPr>
          <w:szCs w:val="24"/>
        </w:rPr>
        <w:t>mu nosaka  MK noteikumi Nr.867, t</w:t>
      </w:r>
      <w:r w:rsidRPr="006742EE">
        <w:rPr>
          <w:szCs w:val="24"/>
        </w:rPr>
        <w:t xml:space="preserve">ādējādi </w:t>
      </w:r>
      <w:r w:rsidRPr="006742EE">
        <w:rPr>
          <w:szCs w:val="24"/>
        </w:rPr>
        <w:lastRenderedPageBreak/>
        <w:t xml:space="preserve">sākotnēji tiek noteikts nepieciešamais izdevumu apjoms, lai </w:t>
      </w:r>
      <w:r>
        <w:rPr>
          <w:szCs w:val="24"/>
        </w:rPr>
        <w:t xml:space="preserve">vidējā termiņā </w:t>
      </w:r>
      <w:r w:rsidRPr="006742EE">
        <w:rPr>
          <w:szCs w:val="24"/>
        </w:rPr>
        <w:t>nodrošinātu valsts funkciju izpildi nemainīgā līmenī.</w:t>
      </w:r>
    </w:p>
    <w:p w:rsidR="008F7CE1" w:rsidRPr="006742EE" w:rsidRDefault="008F7CE1" w:rsidP="008F7CE1">
      <w:pPr>
        <w:ind w:firstLine="709"/>
        <w:jc w:val="both"/>
        <w:rPr>
          <w:szCs w:val="24"/>
        </w:rPr>
      </w:pPr>
      <w:r w:rsidRPr="006742EE">
        <w:rPr>
          <w:szCs w:val="24"/>
        </w:rPr>
        <w:t xml:space="preserve">Gadskārtējā valsts budžeta likuma sagatavošana tiek veikta atbilstoši </w:t>
      </w:r>
      <w:r>
        <w:rPr>
          <w:szCs w:val="24"/>
        </w:rPr>
        <w:t>MK</w:t>
      </w:r>
      <w:r w:rsidRPr="006742EE">
        <w:rPr>
          <w:szCs w:val="24"/>
        </w:rPr>
        <w:t xml:space="preserve"> apstiprinātam gadskārtējā un vidēja termiņa budžeta ietvara sagatavošanas grafikam</w:t>
      </w:r>
      <w:r>
        <w:rPr>
          <w:szCs w:val="24"/>
        </w:rPr>
        <w:t xml:space="preserve"> (turpmāk – budžeta grafiks)</w:t>
      </w:r>
      <w:r w:rsidRPr="006742EE">
        <w:rPr>
          <w:szCs w:val="24"/>
        </w:rPr>
        <w:t>.</w:t>
      </w:r>
    </w:p>
    <w:p w:rsidR="008F7CE1" w:rsidRPr="006742EE" w:rsidRDefault="008F7CE1" w:rsidP="008F7CE1">
      <w:pPr>
        <w:ind w:firstLine="709"/>
        <w:jc w:val="both"/>
        <w:rPr>
          <w:szCs w:val="24"/>
        </w:rPr>
      </w:pPr>
      <w:r>
        <w:rPr>
          <w:szCs w:val="24"/>
        </w:rPr>
        <w:t>MK</w:t>
      </w:r>
      <w:r w:rsidRPr="006742EE">
        <w:rPr>
          <w:szCs w:val="24"/>
        </w:rPr>
        <w:t xml:space="preserve"> sākotnēji apstiprina ministriju valsts budžeta bāzes izdevumus, kas vēlāk tiek precizēti atbilstoši </w:t>
      </w:r>
      <w:r>
        <w:rPr>
          <w:szCs w:val="24"/>
        </w:rPr>
        <w:t>MK</w:t>
      </w:r>
      <w:r w:rsidRPr="006742EE">
        <w:rPr>
          <w:szCs w:val="24"/>
        </w:rPr>
        <w:t xml:space="preserve"> atbalstītajiem papildu pieprasījumiem, kā arī ministriju iesniegtajiem tehniskajiem precizējumiem. Ministriju bāzes izdevumu aktualizācij</w:t>
      </w:r>
      <w:r>
        <w:rPr>
          <w:szCs w:val="24"/>
        </w:rPr>
        <w:t>u</w:t>
      </w:r>
      <w:r w:rsidRPr="006742EE">
        <w:rPr>
          <w:szCs w:val="24"/>
        </w:rPr>
        <w:t xml:space="preserve"> vei</w:t>
      </w:r>
      <w:r>
        <w:rPr>
          <w:szCs w:val="24"/>
        </w:rPr>
        <w:t>c</w:t>
      </w:r>
      <w:r w:rsidRPr="006742EE">
        <w:rPr>
          <w:szCs w:val="24"/>
        </w:rPr>
        <w:t>, ievērojot MK noteikumu Nr.867 prasības.</w:t>
      </w:r>
    </w:p>
    <w:p w:rsidR="00E23387" w:rsidRPr="006742EE" w:rsidRDefault="008F7CE1" w:rsidP="00E23387">
      <w:pPr>
        <w:ind w:firstLine="709"/>
        <w:jc w:val="both"/>
        <w:rPr>
          <w:szCs w:val="24"/>
        </w:rPr>
      </w:pPr>
      <w:r w:rsidRPr="006742EE">
        <w:rPr>
          <w:szCs w:val="24"/>
        </w:rPr>
        <w:t xml:space="preserve">Lai nodrošinātu gadskārtējā valsts budžeta sagatavošanu, ministrijas sagatavo un, atbilstoši budžeta grafikam, iesniedz FM un PKC pieteikumus par </w:t>
      </w:r>
      <w:r>
        <w:rPr>
          <w:szCs w:val="24"/>
        </w:rPr>
        <w:t>JPI</w:t>
      </w:r>
      <w:r w:rsidRPr="006742EE">
        <w:rPr>
          <w:szCs w:val="24"/>
        </w:rPr>
        <w:t xml:space="preserve">, kurām tika vērtēta atbilstība attīstības plānošanas dokumentiem. FM tiek iesniegti arī pārējie </w:t>
      </w:r>
      <w:r>
        <w:rPr>
          <w:szCs w:val="24"/>
        </w:rPr>
        <w:t>JPI</w:t>
      </w:r>
      <w:r w:rsidRPr="006742EE">
        <w:rPr>
          <w:szCs w:val="24"/>
        </w:rPr>
        <w:t xml:space="preserve"> pieteikumi jeb pieteikumi administratīvās kapacitātes stiprināšanas pasākumiem. </w:t>
      </w:r>
      <w:r w:rsidRPr="00F43790">
        <w:rPr>
          <w:szCs w:val="24"/>
        </w:rPr>
        <w:t>LBFV 16.</w:t>
      </w:r>
      <w:r w:rsidRPr="00F43790">
        <w:rPr>
          <w:szCs w:val="24"/>
          <w:vertAlign w:val="superscript"/>
        </w:rPr>
        <w:t>1</w:t>
      </w:r>
      <w:r>
        <w:rPr>
          <w:szCs w:val="24"/>
        </w:rPr>
        <w:t xml:space="preserve"> otrā daļa </w:t>
      </w:r>
      <w:r w:rsidRPr="00F43790">
        <w:rPr>
          <w:szCs w:val="24"/>
        </w:rPr>
        <w:t xml:space="preserve">nosaka, ka priekšlikumus </w:t>
      </w:r>
      <w:r>
        <w:rPr>
          <w:szCs w:val="24"/>
        </w:rPr>
        <w:t xml:space="preserve">JPI </w:t>
      </w:r>
      <w:r w:rsidRPr="00F43790">
        <w:rPr>
          <w:szCs w:val="24"/>
        </w:rPr>
        <w:t>iesniedz tikai tad, ja aktualizētās makroekonomiskajās attīstības prognozes liecina</w:t>
      </w:r>
      <w:r>
        <w:rPr>
          <w:szCs w:val="24"/>
        </w:rPr>
        <w:t xml:space="preserve"> par </w:t>
      </w:r>
      <w:r w:rsidRPr="00F43790">
        <w:rPr>
          <w:szCs w:val="24"/>
        </w:rPr>
        <w:t>l</w:t>
      </w:r>
      <w:r>
        <w:rPr>
          <w:szCs w:val="24"/>
        </w:rPr>
        <w:t>īdzekļu pieejamību</w:t>
      </w:r>
      <w:r w:rsidRPr="00F43790">
        <w:rPr>
          <w:szCs w:val="24"/>
        </w:rPr>
        <w:t xml:space="preserve"> </w:t>
      </w:r>
      <w:r>
        <w:rPr>
          <w:szCs w:val="24"/>
        </w:rPr>
        <w:t xml:space="preserve">jaunu JPI finansēšanai. Ja šādi papildu līdzekļi nav pieejami, tad </w:t>
      </w:r>
      <w:r w:rsidRPr="00F43790">
        <w:rPr>
          <w:szCs w:val="24"/>
        </w:rPr>
        <w:t xml:space="preserve">MK var pieņemt  lēmumu, ka </w:t>
      </w:r>
      <w:r>
        <w:rPr>
          <w:szCs w:val="24"/>
        </w:rPr>
        <w:t xml:space="preserve">ministrijas priekšlikumus </w:t>
      </w:r>
      <w:r w:rsidRPr="00F43790">
        <w:rPr>
          <w:szCs w:val="24"/>
        </w:rPr>
        <w:t xml:space="preserve">JPI </w:t>
      </w:r>
      <w:r>
        <w:rPr>
          <w:szCs w:val="24"/>
        </w:rPr>
        <w:t>neiesniedz.</w:t>
      </w:r>
      <w:r w:rsidR="00E23387">
        <w:rPr>
          <w:szCs w:val="24"/>
        </w:rPr>
        <w:t xml:space="preserve"> </w:t>
      </w:r>
    </w:p>
    <w:p w:rsidR="008F7CE1" w:rsidRPr="006742EE" w:rsidRDefault="008F7CE1" w:rsidP="008F7CE1">
      <w:pPr>
        <w:ind w:firstLine="709"/>
        <w:jc w:val="both"/>
        <w:rPr>
          <w:szCs w:val="24"/>
        </w:rPr>
      </w:pPr>
      <w:r w:rsidRPr="006742EE">
        <w:rPr>
          <w:szCs w:val="24"/>
        </w:rPr>
        <w:t xml:space="preserve">FM atbilstoši </w:t>
      </w:r>
      <w:r>
        <w:rPr>
          <w:szCs w:val="24"/>
        </w:rPr>
        <w:t>MK</w:t>
      </w:r>
      <w:r w:rsidRPr="006742EE">
        <w:rPr>
          <w:szCs w:val="24"/>
        </w:rPr>
        <w:t xml:space="preserve"> akceptētajiem valsts budžeta bāzes izdevumiem, kā arī </w:t>
      </w:r>
      <w:r>
        <w:rPr>
          <w:szCs w:val="24"/>
        </w:rPr>
        <w:t>MK</w:t>
      </w:r>
      <w:r w:rsidRPr="006742EE">
        <w:rPr>
          <w:szCs w:val="24"/>
        </w:rPr>
        <w:t xml:space="preserve"> pieņemtajiem lēmumiem un atbalstītajām </w:t>
      </w:r>
      <w:r>
        <w:rPr>
          <w:szCs w:val="24"/>
        </w:rPr>
        <w:t>JPI</w:t>
      </w:r>
      <w:r w:rsidRPr="006742EE">
        <w:rPr>
          <w:szCs w:val="24"/>
        </w:rPr>
        <w:t xml:space="preserve">, sadarbībā ar ministrijām aprēķina maksimāli pieļaujamo valsts budžeta izdevumu apjomu. Maksimāli pieļaujamais valsts budžeta izdevumu kopapjoms izriet no iepriekšējā gadā apstiprinātā </w:t>
      </w:r>
      <w:r>
        <w:rPr>
          <w:szCs w:val="24"/>
        </w:rPr>
        <w:t>I</w:t>
      </w:r>
      <w:r w:rsidRPr="006742EE">
        <w:rPr>
          <w:szCs w:val="24"/>
        </w:rPr>
        <w:t>etvara likuma, ievērojot Fiskālās disciplīnas likumā un LBFV ietvertos pārmantojamības nosacījumus.</w:t>
      </w:r>
    </w:p>
    <w:p w:rsidR="00796B0E" w:rsidRDefault="00796B0E" w:rsidP="00796B0E">
      <w:pPr>
        <w:ind w:firstLine="680"/>
        <w:jc w:val="both"/>
      </w:pPr>
      <w:r>
        <w:t>M</w:t>
      </w:r>
      <w:r w:rsidRPr="006742EE">
        <w:t xml:space="preserve">inistriju iesniegtās </w:t>
      </w:r>
      <w:r>
        <w:t>JPI</w:t>
      </w:r>
      <w:r w:rsidRPr="006742EE">
        <w:t>, kurām tiek vērtēta atbilstība attīstības plānošanas dokumentiem, tiek vērtētas</w:t>
      </w:r>
      <w:r w:rsidRPr="002B70DE">
        <w:t xml:space="preserve"> </w:t>
      </w:r>
      <w:r>
        <w:t>s</w:t>
      </w:r>
      <w:r w:rsidRPr="002B70DE">
        <w:t>askaņā ar MK noteikumos Nr.867 apstiprinātajiem kritērijiem</w:t>
      </w:r>
      <w:r>
        <w:t>:</w:t>
      </w:r>
    </w:p>
    <w:p w:rsidR="00796B0E" w:rsidRPr="002B70DE" w:rsidRDefault="00796B0E" w:rsidP="00FB4B60">
      <w:pPr>
        <w:pStyle w:val="ListParagraph"/>
        <w:numPr>
          <w:ilvl w:val="0"/>
          <w:numId w:val="26"/>
        </w:numPr>
        <w:jc w:val="both"/>
        <w:rPr>
          <w:szCs w:val="24"/>
        </w:rPr>
      </w:pPr>
      <w:r w:rsidRPr="002B70DE">
        <w:rPr>
          <w:rFonts w:eastAsia="Times New Roman" w:cs="Times New Roman"/>
          <w:szCs w:val="24"/>
          <w:lang w:eastAsia="lv-LV"/>
        </w:rPr>
        <w:t>Atbilstība NAP noteiktajiem stratēģiskajiem rādītājiem un uzdevumiem vai VAK;</w:t>
      </w:r>
    </w:p>
    <w:p w:rsidR="00796B0E" w:rsidRPr="002B70DE" w:rsidRDefault="00796B0E" w:rsidP="00FB4B60">
      <w:pPr>
        <w:pStyle w:val="ListParagraph"/>
        <w:numPr>
          <w:ilvl w:val="0"/>
          <w:numId w:val="26"/>
        </w:numPr>
        <w:jc w:val="both"/>
        <w:rPr>
          <w:szCs w:val="24"/>
        </w:rPr>
      </w:pPr>
      <w:r>
        <w:rPr>
          <w:szCs w:val="24"/>
        </w:rPr>
        <w:t>A</w:t>
      </w:r>
      <w:r w:rsidRPr="002B70DE">
        <w:rPr>
          <w:szCs w:val="24"/>
        </w:rPr>
        <w:t>tbilstība nacionālajiem normatīvajiem aktiem vai ES tiesību aktiem</w:t>
      </w:r>
      <w:r w:rsidRPr="002B70DE">
        <w:rPr>
          <w:rFonts w:eastAsia="Times New Roman" w:cs="Times New Roman"/>
          <w:szCs w:val="24"/>
          <w:lang w:eastAsia="lv-LV"/>
        </w:rPr>
        <w:t>;</w:t>
      </w:r>
    </w:p>
    <w:p w:rsidR="00796B0E" w:rsidRPr="002B70DE" w:rsidRDefault="00796B0E" w:rsidP="00FB4B60">
      <w:pPr>
        <w:pStyle w:val="ListParagraph"/>
        <w:numPr>
          <w:ilvl w:val="0"/>
          <w:numId w:val="26"/>
        </w:numPr>
        <w:jc w:val="both"/>
        <w:rPr>
          <w:szCs w:val="24"/>
        </w:rPr>
      </w:pPr>
      <w:r>
        <w:rPr>
          <w:szCs w:val="24"/>
        </w:rPr>
        <w:t>A</w:t>
      </w:r>
      <w:r w:rsidRPr="002B70DE">
        <w:rPr>
          <w:szCs w:val="24"/>
        </w:rPr>
        <w:t>tbilstība citiem attīstības plānošanas dokumentiem;</w:t>
      </w:r>
    </w:p>
    <w:p w:rsidR="00796B0E" w:rsidRPr="002B70DE" w:rsidRDefault="00796B0E" w:rsidP="00FB4B60">
      <w:pPr>
        <w:pStyle w:val="ListParagraph"/>
        <w:numPr>
          <w:ilvl w:val="0"/>
          <w:numId w:val="26"/>
        </w:numPr>
        <w:jc w:val="both"/>
        <w:rPr>
          <w:szCs w:val="24"/>
        </w:rPr>
      </w:pPr>
      <w:r>
        <w:rPr>
          <w:szCs w:val="24"/>
        </w:rPr>
        <w:t>A</w:t>
      </w:r>
      <w:r w:rsidRPr="002B70DE">
        <w:rPr>
          <w:szCs w:val="24"/>
        </w:rPr>
        <w:t>tbilstība uzdevumiem, kas norādīti MK Deklarācijā;</w:t>
      </w:r>
    </w:p>
    <w:p w:rsidR="00796B0E" w:rsidRPr="002B70DE" w:rsidRDefault="00796B0E" w:rsidP="00FB4B60">
      <w:pPr>
        <w:pStyle w:val="ListParagraph"/>
        <w:numPr>
          <w:ilvl w:val="0"/>
          <w:numId w:val="26"/>
        </w:numPr>
        <w:jc w:val="both"/>
        <w:rPr>
          <w:rFonts w:eastAsia="Times New Roman" w:cs="Times New Roman"/>
          <w:szCs w:val="24"/>
          <w:lang w:eastAsia="lv-LV"/>
        </w:rPr>
      </w:pPr>
      <w:r>
        <w:rPr>
          <w:rFonts w:eastAsia="Times New Roman" w:cs="Times New Roman"/>
          <w:szCs w:val="24"/>
          <w:lang w:eastAsia="lv-LV"/>
        </w:rPr>
        <w:t>A</w:t>
      </w:r>
      <w:r w:rsidRPr="00DC2BDA">
        <w:rPr>
          <w:rFonts w:eastAsia="Times New Roman" w:cs="Times New Roman"/>
          <w:szCs w:val="24"/>
          <w:lang w:eastAsia="lv-LV"/>
        </w:rPr>
        <w:t>tbilstība MK rīkojumiem un protokollēmumiem;</w:t>
      </w:r>
    </w:p>
    <w:p w:rsidR="00796B0E" w:rsidRPr="002B70DE" w:rsidRDefault="00796B0E" w:rsidP="00FB4B60">
      <w:pPr>
        <w:pStyle w:val="ListParagraph"/>
        <w:numPr>
          <w:ilvl w:val="0"/>
          <w:numId w:val="26"/>
        </w:numPr>
        <w:jc w:val="both"/>
        <w:rPr>
          <w:rFonts w:eastAsia="Times New Roman" w:cs="Times New Roman"/>
          <w:szCs w:val="24"/>
          <w:lang w:eastAsia="lv-LV"/>
        </w:rPr>
      </w:pPr>
      <w:r w:rsidRPr="002B70DE">
        <w:rPr>
          <w:rFonts w:eastAsia="Times New Roman" w:cs="Times New Roman"/>
          <w:szCs w:val="24"/>
          <w:lang w:eastAsia="lv-LV"/>
        </w:rPr>
        <w:t>JPI vieta ministrijas iesniegtajā JPI sarakstā.</w:t>
      </w:r>
    </w:p>
    <w:p w:rsidR="00352073" w:rsidRDefault="00352073" w:rsidP="00352073">
      <w:pPr>
        <w:ind w:firstLine="709"/>
        <w:jc w:val="both"/>
        <w:rPr>
          <w:rFonts w:cs="Times New Roman"/>
          <w:szCs w:val="24"/>
        </w:rPr>
      </w:pPr>
      <w:r>
        <w:rPr>
          <w:rFonts w:cs="Times New Roman"/>
          <w:szCs w:val="24"/>
        </w:rPr>
        <w:t>JPI</w:t>
      </w:r>
      <w:r w:rsidRPr="006742EE">
        <w:rPr>
          <w:rFonts w:cs="Times New Roman"/>
          <w:szCs w:val="24"/>
        </w:rPr>
        <w:t xml:space="preserve"> vērtēšanā kā būtiskākais kritērijs noteikts – “Atbilstība </w:t>
      </w:r>
      <w:r>
        <w:rPr>
          <w:rFonts w:cs="Times New Roman"/>
          <w:szCs w:val="24"/>
        </w:rPr>
        <w:t>NAP</w:t>
      </w:r>
      <w:r w:rsidRPr="006742EE">
        <w:rPr>
          <w:rFonts w:cs="Times New Roman"/>
          <w:szCs w:val="24"/>
        </w:rPr>
        <w:t xml:space="preserve"> noteiktajiem stratēģiskajiem rādītājiem un uzdevumiem vai </w:t>
      </w:r>
      <w:r>
        <w:rPr>
          <w:rFonts w:cs="Times New Roman"/>
          <w:szCs w:val="24"/>
        </w:rPr>
        <w:t>VAK</w:t>
      </w:r>
      <w:r w:rsidRPr="006742EE">
        <w:rPr>
          <w:rFonts w:cs="Times New Roman"/>
          <w:szCs w:val="24"/>
        </w:rPr>
        <w:t>”, kas noteikta arī LBFV 16.</w:t>
      </w:r>
      <w:r w:rsidRPr="006742EE">
        <w:rPr>
          <w:rFonts w:cs="Times New Roman"/>
          <w:szCs w:val="24"/>
          <w:vertAlign w:val="superscript"/>
        </w:rPr>
        <w:t>1</w:t>
      </w:r>
      <w:r w:rsidRPr="006742EE">
        <w:rPr>
          <w:rFonts w:cs="Times New Roman"/>
          <w:szCs w:val="24"/>
        </w:rPr>
        <w:t xml:space="preserve"> panta trešajā daļā. Vienlaikus LBFV paredz tiesības </w:t>
      </w:r>
      <w:r>
        <w:rPr>
          <w:rFonts w:cs="Times New Roman"/>
          <w:szCs w:val="24"/>
        </w:rPr>
        <w:t>MK</w:t>
      </w:r>
      <w:r w:rsidRPr="006742EE">
        <w:rPr>
          <w:rFonts w:cs="Times New Roman"/>
          <w:szCs w:val="24"/>
        </w:rPr>
        <w:t xml:space="preserve"> noteikt, ka ministrijas, sagatavojot </w:t>
      </w:r>
      <w:r>
        <w:rPr>
          <w:rFonts w:cs="Times New Roman"/>
          <w:szCs w:val="24"/>
        </w:rPr>
        <w:t>JPI</w:t>
      </w:r>
      <w:r w:rsidRPr="006742EE">
        <w:rPr>
          <w:rFonts w:cs="Times New Roman"/>
          <w:szCs w:val="24"/>
        </w:rPr>
        <w:t>, pamatojas arī uz citos attīstības plānošanas dokumentos noteiktajām prioritātēm un mērķiem, tostarp ņemot vērā nepieciešamību veikt budžeta iestāžu kapacitātes (administratīvās spējas) stiprināšanas pasākumus</w:t>
      </w:r>
      <w:r>
        <w:rPr>
          <w:rFonts w:cs="Times New Roman"/>
          <w:szCs w:val="24"/>
        </w:rPr>
        <w:t>. T</w:t>
      </w:r>
      <w:r w:rsidRPr="006742EE">
        <w:rPr>
          <w:rFonts w:cs="Times New Roman"/>
          <w:szCs w:val="24"/>
        </w:rPr>
        <w:t xml:space="preserve">aču par </w:t>
      </w:r>
      <w:r>
        <w:rPr>
          <w:rFonts w:cs="Times New Roman"/>
          <w:szCs w:val="24"/>
        </w:rPr>
        <w:t>JPI</w:t>
      </w:r>
      <w:r w:rsidRPr="006742EE">
        <w:rPr>
          <w:rFonts w:cs="Times New Roman"/>
          <w:szCs w:val="24"/>
        </w:rPr>
        <w:t xml:space="preserve"> atbilstību citiem plānošanas dokumentiem iespējams saņemt mazāku punktu skaitu, </w:t>
      </w:r>
      <w:r>
        <w:rPr>
          <w:rFonts w:cs="Times New Roman"/>
          <w:szCs w:val="24"/>
        </w:rPr>
        <w:t>līdzsvarojot to</w:t>
      </w:r>
      <w:r w:rsidRPr="006742EE">
        <w:rPr>
          <w:rFonts w:cs="Times New Roman"/>
          <w:szCs w:val="24"/>
        </w:rPr>
        <w:t xml:space="preserve"> </w:t>
      </w:r>
      <w:r>
        <w:rPr>
          <w:rFonts w:cs="Times New Roman"/>
          <w:szCs w:val="24"/>
        </w:rPr>
        <w:t xml:space="preserve">ar </w:t>
      </w:r>
      <w:r w:rsidRPr="006742EE">
        <w:rPr>
          <w:rFonts w:cs="Times New Roman"/>
          <w:szCs w:val="24"/>
        </w:rPr>
        <w:t xml:space="preserve">NAP nozīmīgumu. Pamatojoties uz minēto, </w:t>
      </w:r>
      <w:r w:rsidR="00F410DF">
        <w:rPr>
          <w:rFonts w:cs="Times New Roman"/>
          <w:szCs w:val="24"/>
        </w:rPr>
        <w:t>valsts budžeta attīstības daļas</w:t>
      </w:r>
      <w:r w:rsidRPr="00AC47CC">
        <w:rPr>
          <w:rFonts w:cs="Times New Roman"/>
          <w:szCs w:val="24"/>
        </w:rPr>
        <w:t xml:space="preserve"> plānošana</w:t>
      </w:r>
      <w:r w:rsidRPr="006742EE">
        <w:rPr>
          <w:rFonts w:cs="Times New Roman"/>
          <w:szCs w:val="24"/>
        </w:rPr>
        <w:t xml:space="preserve"> teorētiski tiek nodrošināta atbilstoši vidējam termiņam izvirzītajiem attīstības virzieniem un prioritātēm.</w:t>
      </w:r>
    </w:p>
    <w:p w:rsidR="00352073" w:rsidRPr="00F97C26" w:rsidRDefault="00352073" w:rsidP="009A430F">
      <w:pPr>
        <w:ind w:firstLine="709"/>
        <w:jc w:val="both"/>
        <w:rPr>
          <w:rFonts w:cs="Times New Roman"/>
        </w:rPr>
      </w:pPr>
      <w:r>
        <w:rPr>
          <w:rFonts w:cs="Times New Roman"/>
        </w:rPr>
        <w:t>FM</w:t>
      </w:r>
      <w:r w:rsidRPr="00F97C26">
        <w:rPr>
          <w:rFonts w:cs="Times New Roman"/>
        </w:rPr>
        <w:t xml:space="preserve"> un </w:t>
      </w:r>
      <w:r>
        <w:rPr>
          <w:rFonts w:cs="Times New Roman"/>
        </w:rPr>
        <w:t>PKC</w:t>
      </w:r>
      <w:r w:rsidRPr="00F97C26">
        <w:rPr>
          <w:rFonts w:cs="Times New Roman"/>
        </w:rPr>
        <w:t xml:space="preserve"> izvērtē ministriju iesniegtās JPI un piešķir attiecīgu punktu skaitu</w:t>
      </w:r>
      <w:r w:rsidR="009A430F">
        <w:rPr>
          <w:rFonts w:cs="Times New Roman"/>
        </w:rPr>
        <w:t xml:space="preserve">. </w:t>
      </w:r>
      <w:r>
        <w:rPr>
          <w:rFonts w:cs="Times New Roman"/>
        </w:rPr>
        <w:t>FM</w:t>
      </w:r>
      <w:r w:rsidRPr="00F97C26">
        <w:rPr>
          <w:rFonts w:cs="Times New Roman"/>
        </w:rPr>
        <w:t xml:space="preserve">, pamatojoties uz abu institūciju vērtējumu, katrai JPI aprēķina vidējo punktu skaitu un </w:t>
      </w:r>
      <w:r>
        <w:rPr>
          <w:rFonts w:cs="Times New Roman"/>
        </w:rPr>
        <w:t>s</w:t>
      </w:r>
      <w:r w:rsidRPr="00F97C26">
        <w:rPr>
          <w:rFonts w:cs="Times New Roman"/>
        </w:rPr>
        <w:t>aranžē tās prioritārā secībā atbilstoši lielākajam vidējam punktus skaitam. Vienādu punktu skaitu ieguvušās JPI tiek savstarpēji salīdzinātas un secīgi sakārtotas pēc lielākā vidējā punktu skai</w:t>
      </w:r>
      <w:r>
        <w:rPr>
          <w:rFonts w:cs="Times New Roman"/>
        </w:rPr>
        <w:t>ta kritērijā “Atbilstība NAP</w:t>
      </w:r>
      <w:r w:rsidRPr="00F97C26">
        <w:rPr>
          <w:rFonts w:cs="Times New Roman"/>
        </w:rPr>
        <w:t xml:space="preserve"> noteiktajiem stratēģiskajiem rādītājiem un uzdevumiem vai </w:t>
      </w:r>
      <w:r>
        <w:rPr>
          <w:rFonts w:cs="Times New Roman"/>
        </w:rPr>
        <w:t>VAK</w:t>
      </w:r>
      <w:r w:rsidRPr="00F97C26">
        <w:rPr>
          <w:rFonts w:cs="Times New Roman"/>
        </w:rPr>
        <w:t>”. Līdz ar to visaugstāko vērtējumu saskaņā ar esošo JPI izvērtēšanas kārtību var saņemt</w:t>
      </w:r>
      <w:r>
        <w:rPr>
          <w:rFonts w:cs="Times New Roman"/>
        </w:rPr>
        <w:t xml:space="preserve"> tās JPI, kas vērstas uz NAP</w:t>
      </w:r>
      <w:r w:rsidRPr="00F97C26">
        <w:rPr>
          <w:rFonts w:cs="Times New Roman"/>
        </w:rPr>
        <w:t xml:space="preserve"> stratēģisk</w:t>
      </w:r>
      <w:r>
        <w:rPr>
          <w:rFonts w:cs="Times New Roman"/>
        </w:rPr>
        <w:t>o</w:t>
      </w:r>
      <w:r w:rsidRPr="00F97C26">
        <w:rPr>
          <w:rFonts w:cs="Times New Roman"/>
        </w:rPr>
        <w:t xml:space="preserve"> rādītāju sasniegšanu un uzdevumu izpildi, kā arī </w:t>
      </w:r>
      <w:r>
        <w:rPr>
          <w:rFonts w:cs="Times New Roman"/>
        </w:rPr>
        <w:t>VAK</w:t>
      </w:r>
      <w:r w:rsidRPr="00F97C26">
        <w:rPr>
          <w:rFonts w:cs="Times New Roman"/>
        </w:rPr>
        <w:t xml:space="preserve"> mērķiem. </w:t>
      </w:r>
    </w:p>
    <w:p w:rsidR="00352073" w:rsidRDefault="00352073" w:rsidP="00352073">
      <w:pPr>
        <w:ind w:firstLine="709"/>
        <w:jc w:val="both"/>
        <w:rPr>
          <w:rFonts w:cs="Times New Roman"/>
          <w:szCs w:val="24"/>
        </w:rPr>
      </w:pPr>
      <w:r w:rsidRPr="00F97C26">
        <w:rPr>
          <w:rFonts w:cs="Times New Roman"/>
        </w:rPr>
        <w:t xml:space="preserve">JPI vērtēšanas procesa noslēgumā </w:t>
      </w:r>
      <w:r>
        <w:rPr>
          <w:rFonts w:cs="Times New Roman"/>
        </w:rPr>
        <w:t>FM</w:t>
      </w:r>
      <w:r w:rsidRPr="00F97C26">
        <w:rPr>
          <w:rFonts w:cs="Times New Roman"/>
        </w:rPr>
        <w:t xml:space="preserve"> budžeta grafikā noteiktajā termiņā iesniedz izskatīšanai </w:t>
      </w:r>
      <w:r>
        <w:rPr>
          <w:rFonts w:cs="Times New Roman"/>
        </w:rPr>
        <w:t>MK</w:t>
      </w:r>
      <w:r w:rsidRPr="00F97C26">
        <w:rPr>
          <w:rFonts w:cs="Times New Roman"/>
        </w:rPr>
        <w:t xml:space="preserve"> informatīvo ziņojumu ar priekšlikumiem par atbalstāmajām JPI, </w:t>
      </w:r>
      <w:r>
        <w:rPr>
          <w:rFonts w:cs="Times New Roman"/>
        </w:rPr>
        <w:t>t.sk.</w:t>
      </w:r>
      <w:r w:rsidRPr="00F97C26">
        <w:rPr>
          <w:rFonts w:cs="Times New Roman"/>
        </w:rPr>
        <w:t xml:space="preserve">, atsevišķos sarakstos nodalot JPI, kuras attiecināmas uz attīstības plānošanas dokumentu mērķiem un JPI, kuras saistītas ar </w:t>
      </w:r>
      <w:r>
        <w:rPr>
          <w:rFonts w:cs="Times New Roman"/>
        </w:rPr>
        <w:t>VAK</w:t>
      </w:r>
      <w:r w:rsidRPr="00F97C26">
        <w:rPr>
          <w:rFonts w:cs="Times New Roman"/>
        </w:rPr>
        <w:t xml:space="preserve"> īstenošanu.</w:t>
      </w:r>
    </w:p>
    <w:p w:rsidR="00E23387" w:rsidRDefault="00FC026C" w:rsidP="00E23387">
      <w:pPr>
        <w:ind w:firstLine="709"/>
        <w:jc w:val="both"/>
        <w:rPr>
          <w:szCs w:val="24"/>
        </w:rPr>
      </w:pPr>
      <w:r>
        <w:rPr>
          <w:szCs w:val="24"/>
        </w:rPr>
        <w:t xml:space="preserve">Gadījumos, kad MK pieņem lēmumu ministrijām neiesniegt priekšlikumu JPI, </w:t>
      </w:r>
      <w:r w:rsidR="00E23387" w:rsidRPr="00E23387">
        <w:rPr>
          <w:szCs w:val="24"/>
        </w:rPr>
        <w:t xml:space="preserve">lēmumi par papildu līdzekļu piešķiršanu </w:t>
      </w:r>
      <w:r w:rsidR="00E23387">
        <w:rPr>
          <w:szCs w:val="24"/>
        </w:rPr>
        <w:t>JPI</w:t>
      </w:r>
      <w:r w:rsidR="00E23387" w:rsidRPr="00E23387">
        <w:rPr>
          <w:szCs w:val="24"/>
        </w:rPr>
        <w:t xml:space="preserve"> tiek pieņemti, neievērojot MK noteikumos Nr.867 noteikto kārtību. Tā</w:t>
      </w:r>
      <w:r w:rsidR="00E23387">
        <w:rPr>
          <w:szCs w:val="24"/>
        </w:rPr>
        <w:t>,</w:t>
      </w:r>
      <w:r w:rsidR="00E23387" w:rsidRPr="00E23387">
        <w:rPr>
          <w:szCs w:val="24"/>
        </w:rPr>
        <w:t xml:space="preserve"> piemēram, 2015.gadā, ņemot vērā aktuālākās makroekonomiskās attīstības prognozes, </w:t>
      </w:r>
      <w:r w:rsidR="00E23387" w:rsidRPr="00E23387">
        <w:rPr>
          <w:szCs w:val="24"/>
        </w:rPr>
        <w:lastRenderedPageBreak/>
        <w:t xml:space="preserve">MK uzdeva ministrijām negatavot un neiesniegt priekšlikumus </w:t>
      </w:r>
      <w:r w:rsidR="00E23387">
        <w:rPr>
          <w:szCs w:val="24"/>
        </w:rPr>
        <w:t>JPI</w:t>
      </w:r>
      <w:r w:rsidR="00E23387" w:rsidRPr="00E23387">
        <w:rPr>
          <w:szCs w:val="24"/>
        </w:rPr>
        <w:t xml:space="preserve"> 2016., 2017. un 2018.gadam, izņemot veselības un izglītības jomu saistībā ar strukturālām reformām, kā arī iekšējās un ārējās drošības jomu, kā arī noteica, ka jautājumi par valsts budžeta līdzekļu piešķiršanu skatāmi atbilstoši valsts budžeta finansiālajām iespējām. Tā rezultātā tika pieņemts lēmums atbalstīt papildu izdevumus neatliekamiem pasākumiem.</w:t>
      </w:r>
    </w:p>
    <w:p w:rsidR="00CD7AC2" w:rsidRPr="00CD7AC2" w:rsidRDefault="00CD7AC2" w:rsidP="00F22456">
      <w:pPr>
        <w:jc w:val="both"/>
        <w:rPr>
          <w:sz w:val="16"/>
          <w:szCs w:val="16"/>
        </w:rPr>
      </w:pPr>
    </w:p>
    <w:p w:rsidR="009B67FE" w:rsidRPr="008532F4" w:rsidRDefault="008532F4" w:rsidP="008532F4">
      <w:pPr>
        <w:tabs>
          <w:tab w:val="left" w:pos="8647"/>
        </w:tabs>
        <w:jc w:val="center"/>
        <w:rPr>
          <w:b/>
        </w:rPr>
      </w:pPr>
      <w:r>
        <w:rPr>
          <w:noProof/>
          <w:lang w:eastAsia="lv-LV"/>
        </w:rPr>
        <w:drawing>
          <wp:inline distT="0" distB="0" distL="0" distR="0" wp14:anchorId="7D09537F" wp14:editId="2C270553">
            <wp:extent cx="4871720" cy="2626157"/>
            <wp:effectExtent l="0" t="0" r="5080" b="3175"/>
            <wp:docPr id="2114" name="Chart 2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32F4" w:rsidRPr="006C1F4B" w:rsidRDefault="008532F4" w:rsidP="009B67FE">
      <w:pPr>
        <w:jc w:val="center"/>
        <w:rPr>
          <w:i/>
          <w:sz w:val="16"/>
          <w:szCs w:val="16"/>
        </w:rPr>
      </w:pPr>
    </w:p>
    <w:p w:rsidR="00AF35D3" w:rsidRDefault="00436A3F" w:rsidP="008C22A7">
      <w:pPr>
        <w:tabs>
          <w:tab w:val="left" w:pos="709"/>
          <w:tab w:val="left" w:pos="8647"/>
        </w:tabs>
        <w:jc w:val="center"/>
        <w:rPr>
          <w:b/>
          <w:i/>
          <w:sz w:val="22"/>
        </w:rPr>
      </w:pPr>
      <w:r>
        <w:rPr>
          <w:i/>
          <w:sz w:val="22"/>
        </w:rPr>
        <w:t>2</w:t>
      </w:r>
      <w:r w:rsidR="009B67FE" w:rsidRPr="006742EE">
        <w:rPr>
          <w:i/>
          <w:sz w:val="22"/>
        </w:rPr>
        <w:t>.att.</w:t>
      </w:r>
      <w:r w:rsidR="009B67FE" w:rsidRPr="006742EE">
        <w:rPr>
          <w:b/>
          <w:i/>
          <w:sz w:val="22"/>
        </w:rPr>
        <w:t xml:space="preserve"> </w:t>
      </w:r>
      <w:r w:rsidR="007C096F">
        <w:rPr>
          <w:b/>
          <w:sz w:val="22"/>
        </w:rPr>
        <w:t>V</w:t>
      </w:r>
      <w:r w:rsidR="009B67FE" w:rsidRPr="006742EE">
        <w:rPr>
          <w:b/>
          <w:sz w:val="22"/>
        </w:rPr>
        <w:t xml:space="preserve">alsts </w:t>
      </w:r>
      <w:r w:rsidR="007C096F">
        <w:rPr>
          <w:b/>
          <w:sz w:val="22"/>
        </w:rPr>
        <w:t xml:space="preserve">budžeta </w:t>
      </w:r>
      <w:r w:rsidR="009B67FE" w:rsidRPr="006742EE">
        <w:rPr>
          <w:b/>
          <w:sz w:val="22"/>
        </w:rPr>
        <w:t>bāzes daļa</w:t>
      </w:r>
      <w:r w:rsidR="007C096F">
        <w:rPr>
          <w:b/>
          <w:sz w:val="22"/>
        </w:rPr>
        <w:t xml:space="preserve"> </w:t>
      </w:r>
      <w:r w:rsidR="009B67FE" w:rsidRPr="006742EE">
        <w:rPr>
          <w:b/>
          <w:sz w:val="22"/>
        </w:rPr>
        <w:t xml:space="preserve">un </w:t>
      </w:r>
      <w:r w:rsidR="006C1F4B">
        <w:rPr>
          <w:b/>
          <w:sz w:val="22"/>
        </w:rPr>
        <w:t>JPI</w:t>
      </w:r>
      <w:r w:rsidR="009B67FE" w:rsidRPr="006742EE">
        <w:rPr>
          <w:b/>
          <w:sz w:val="22"/>
        </w:rPr>
        <w:t xml:space="preserve"> </w:t>
      </w:r>
      <w:r w:rsidR="002575CC">
        <w:rPr>
          <w:b/>
          <w:sz w:val="22"/>
        </w:rPr>
        <w:t>2013.–</w:t>
      </w:r>
      <w:r w:rsidR="00CC5624">
        <w:rPr>
          <w:b/>
          <w:sz w:val="22"/>
        </w:rPr>
        <w:t>2018.gadā</w:t>
      </w:r>
      <w:r w:rsidR="009B67FE" w:rsidRPr="006742EE">
        <w:rPr>
          <w:b/>
          <w:sz w:val="22"/>
        </w:rPr>
        <w:t xml:space="preserve">, milj. </w:t>
      </w:r>
      <w:r w:rsidR="002C40E1" w:rsidRPr="002C40E1">
        <w:rPr>
          <w:b/>
          <w:i/>
          <w:sz w:val="22"/>
        </w:rPr>
        <w:t>euro</w:t>
      </w:r>
      <w:r w:rsidR="002C40E1">
        <w:rPr>
          <w:b/>
          <w:i/>
          <w:sz w:val="22"/>
        </w:rPr>
        <w:t>*</w:t>
      </w:r>
    </w:p>
    <w:p w:rsidR="000667C2" w:rsidRPr="002C40E1" w:rsidRDefault="000667C2" w:rsidP="00BA73F2">
      <w:pPr>
        <w:jc w:val="both"/>
        <w:rPr>
          <w:sz w:val="16"/>
          <w:szCs w:val="16"/>
        </w:rPr>
      </w:pPr>
    </w:p>
    <w:p w:rsidR="003A63A6" w:rsidRDefault="00D46F62" w:rsidP="002D0D3D">
      <w:pPr>
        <w:tabs>
          <w:tab w:val="left" w:pos="8647"/>
        </w:tabs>
        <w:ind w:firstLine="720"/>
        <w:jc w:val="both"/>
      </w:pPr>
      <w:r>
        <w:t xml:space="preserve">Kā redzams </w:t>
      </w:r>
      <w:r w:rsidR="00436A3F">
        <w:t>2</w:t>
      </w:r>
      <w:r>
        <w:t xml:space="preserve">.attēlā, </w:t>
      </w:r>
      <w:r w:rsidRPr="006742EE">
        <w:t xml:space="preserve">Latvijas ekonomiskā situācija pēdējos gados </w:t>
      </w:r>
      <w:r>
        <w:t xml:space="preserve">ir </w:t>
      </w:r>
      <w:r w:rsidRPr="006742EE">
        <w:t xml:space="preserve">ļāvusi </w:t>
      </w:r>
      <w:r>
        <w:t xml:space="preserve">no </w:t>
      </w:r>
      <w:r w:rsidRPr="006742EE">
        <w:t xml:space="preserve">2013. līdz 2018.gadam </w:t>
      </w:r>
      <w:r>
        <w:t xml:space="preserve">valsts budžeta kopējiem </w:t>
      </w:r>
      <w:r w:rsidRPr="006742EE">
        <w:t>izdevumi</w:t>
      </w:r>
      <w:r>
        <w:t xml:space="preserve">em pieaugt </w:t>
      </w:r>
      <w:r w:rsidRPr="007B2EAD">
        <w:t>par 1,</w:t>
      </w:r>
      <w:r w:rsidR="007B2EAD" w:rsidRPr="007B2EAD">
        <w:t>6</w:t>
      </w:r>
      <w:r w:rsidRPr="007B2EAD">
        <w:t xml:space="preserve"> miljardiem </w:t>
      </w:r>
      <w:r w:rsidRPr="007B2EAD">
        <w:rPr>
          <w:i/>
        </w:rPr>
        <w:t>euro</w:t>
      </w:r>
      <w:r w:rsidRPr="007B2EAD">
        <w:t xml:space="preserve"> jeb 2</w:t>
      </w:r>
      <w:r w:rsidR="00B65670" w:rsidRPr="007B2EAD">
        <w:t>3</w:t>
      </w:r>
      <w:r w:rsidRPr="007B2EAD">
        <w:t>,</w:t>
      </w:r>
      <w:r w:rsidR="00B65670" w:rsidRPr="007B2EAD">
        <w:t>5</w:t>
      </w:r>
      <w:r w:rsidRPr="007B2EAD">
        <w:t xml:space="preserve">%. </w:t>
      </w:r>
      <w:r>
        <w:t xml:space="preserve">Vienlaikus tautsaimniecības apstākļi </w:t>
      </w:r>
      <w:r w:rsidR="002516A4">
        <w:t xml:space="preserve">pēdējos gados </w:t>
      </w:r>
      <w:r>
        <w:t xml:space="preserve">ir devuši iespēju veidot </w:t>
      </w:r>
      <w:r w:rsidRPr="00C61D6F">
        <w:t>būtisku budžeta attīstības daļu,</w:t>
      </w:r>
      <w:r>
        <w:t xml:space="preserve"> kas, piemēram, šim gadam ir vairāk nekā 7</w:t>
      </w:r>
      <w:r w:rsidR="007B2EAD">
        <w:t>90</w:t>
      </w:r>
      <w:r>
        <w:t xml:space="preserve"> milj. </w:t>
      </w:r>
      <w:r>
        <w:rPr>
          <w:i/>
        </w:rPr>
        <w:t>euro</w:t>
      </w:r>
      <w:r>
        <w:t xml:space="preserve"> jeb </w:t>
      </w:r>
      <w:r w:rsidR="00C61D6F">
        <w:t>10,</w:t>
      </w:r>
      <w:r w:rsidR="007B2EAD">
        <w:t>3</w:t>
      </w:r>
      <w:r>
        <w:t>% no kopējiem 2016.gada valsts budžeta izdevumiem¸ tādējādi nodrošinot nepieciešamos resursus valsts svarīgāko prioritāšu finansēšanai.</w:t>
      </w:r>
    </w:p>
    <w:p w:rsidR="00BA73F2" w:rsidRPr="00BA73F2" w:rsidRDefault="00BA73F2" w:rsidP="00BA73F2">
      <w:pPr>
        <w:ind w:firstLine="720"/>
        <w:jc w:val="both"/>
        <w:rPr>
          <w:sz w:val="16"/>
          <w:szCs w:val="16"/>
        </w:rPr>
      </w:pPr>
    </w:p>
    <w:p w:rsidR="00F926A9" w:rsidRDefault="002A1EA5" w:rsidP="00BA73F2">
      <w:pPr>
        <w:tabs>
          <w:tab w:val="left" w:pos="1134"/>
          <w:tab w:val="left" w:pos="8647"/>
        </w:tabs>
        <w:jc w:val="center"/>
        <w:rPr>
          <w:sz w:val="20"/>
          <w:szCs w:val="20"/>
        </w:rPr>
      </w:pPr>
      <w:r>
        <w:rPr>
          <w:noProof/>
          <w:lang w:eastAsia="lv-LV"/>
        </w:rPr>
        <w:drawing>
          <wp:inline distT="0" distB="0" distL="0" distR="0" wp14:anchorId="3B2C87F2" wp14:editId="36682D8D">
            <wp:extent cx="4959350" cy="2794406"/>
            <wp:effectExtent l="0" t="0" r="1270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40E1" w:rsidRPr="00B42D3B" w:rsidRDefault="002C40E1" w:rsidP="002C40E1">
      <w:pPr>
        <w:jc w:val="center"/>
        <w:rPr>
          <w:i/>
          <w:sz w:val="16"/>
          <w:szCs w:val="16"/>
        </w:rPr>
      </w:pPr>
    </w:p>
    <w:p w:rsidR="00BA73F2" w:rsidRPr="00436A3F" w:rsidRDefault="00436A3F" w:rsidP="00436A3F">
      <w:pPr>
        <w:jc w:val="center"/>
        <w:rPr>
          <w:b/>
          <w:i/>
          <w:sz w:val="22"/>
        </w:rPr>
      </w:pPr>
      <w:r>
        <w:rPr>
          <w:i/>
          <w:sz w:val="22"/>
        </w:rPr>
        <w:t>3</w:t>
      </w:r>
      <w:r w:rsidR="00A96F26" w:rsidRPr="006742EE">
        <w:rPr>
          <w:i/>
          <w:sz w:val="22"/>
        </w:rPr>
        <w:t>.att.</w:t>
      </w:r>
      <w:r w:rsidR="00A96F26" w:rsidRPr="006742EE">
        <w:rPr>
          <w:b/>
          <w:i/>
          <w:sz w:val="22"/>
        </w:rPr>
        <w:t xml:space="preserve"> </w:t>
      </w:r>
      <w:r w:rsidR="00A96F26" w:rsidRPr="006742EE">
        <w:rPr>
          <w:b/>
          <w:sz w:val="22"/>
        </w:rPr>
        <w:t>Valsts pamatbudžeta izdevumi 201</w:t>
      </w:r>
      <w:r w:rsidR="002575CC">
        <w:rPr>
          <w:b/>
          <w:sz w:val="22"/>
        </w:rPr>
        <w:t>3.–</w:t>
      </w:r>
      <w:r w:rsidR="00A96F26" w:rsidRPr="006742EE">
        <w:rPr>
          <w:b/>
          <w:sz w:val="22"/>
        </w:rPr>
        <w:t>2018.gad</w:t>
      </w:r>
      <w:r w:rsidR="00020275">
        <w:rPr>
          <w:b/>
          <w:sz w:val="22"/>
        </w:rPr>
        <w:t>ā</w:t>
      </w:r>
      <w:r w:rsidR="00A96F26" w:rsidRPr="006742EE">
        <w:rPr>
          <w:b/>
          <w:sz w:val="22"/>
        </w:rPr>
        <w:t xml:space="preserve">, milj. </w:t>
      </w:r>
      <w:r w:rsidR="006B0E63" w:rsidRPr="006B0E63">
        <w:rPr>
          <w:b/>
          <w:i/>
          <w:sz w:val="22"/>
        </w:rPr>
        <w:t>euro</w:t>
      </w:r>
      <w:r w:rsidR="002C40E1">
        <w:rPr>
          <w:b/>
          <w:i/>
          <w:sz w:val="22"/>
        </w:rPr>
        <w:t>*</w:t>
      </w:r>
    </w:p>
    <w:p w:rsidR="002C40E1" w:rsidRDefault="002C40E1" w:rsidP="002C40E1">
      <w:pPr>
        <w:rPr>
          <w:b/>
          <w:i/>
          <w:sz w:val="16"/>
          <w:szCs w:val="16"/>
        </w:rPr>
      </w:pPr>
    </w:p>
    <w:p w:rsidR="002C40E1" w:rsidRPr="002C40E1" w:rsidRDefault="002C40E1" w:rsidP="002C40E1">
      <w:pPr>
        <w:rPr>
          <w:sz w:val="18"/>
          <w:szCs w:val="18"/>
        </w:rPr>
      </w:pPr>
      <w:r w:rsidRPr="002C40E1">
        <w:rPr>
          <w:sz w:val="20"/>
          <w:szCs w:val="20"/>
        </w:rPr>
        <w:t>*</w:t>
      </w:r>
      <w:r w:rsidRPr="002C40E1">
        <w:rPr>
          <w:i/>
          <w:sz w:val="16"/>
          <w:szCs w:val="16"/>
        </w:rPr>
        <w:t xml:space="preserve"> </w:t>
      </w:r>
      <w:r w:rsidRPr="002C40E1">
        <w:rPr>
          <w:sz w:val="18"/>
          <w:szCs w:val="18"/>
        </w:rPr>
        <w:t>attēl</w:t>
      </w:r>
      <w:r w:rsidR="00A53BA6">
        <w:rPr>
          <w:sz w:val="18"/>
          <w:szCs w:val="18"/>
        </w:rPr>
        <w:t>os</w:t>
      </w:r>
      <w:r w:rsidRPr="002C40E1">
        <w:rPr>
          <w:sz w:val="18"/>
          <w:szCs w:val="18"/>
        </w:rPr>
        <w:t xml:space="preserve"> norādīti valsts budžeta neto izdevumi</w:t>
      </w:r>
    </w:p>
    <w:p w:rsidR="0010096F" w:rsidRDefault="0010096F" w:rsidP="00BA73F2">
      <w:pPr>
        <w:ind w:firstLine="720"/>
        <w:jc w:val="both"/>
      </w:pPr>
    </w:p>
    <w:p w:rsidR="001C4E7B" w:rsidRPr="00BA73F2" w:rsidRDefault="00BA73F2" w:rsidP="00BA73F2">
      <w:pPr>
        <w:ind w:firstLine="720"/>
        <w:jc w:val="both"/>
        <w:rPr>
          <w:sz w:val="18"/>
          <w:szCs w:val="18"/>
        </w:rPr>
      </w:pPr>
      <w:r>
        <w:t>V</w:t>
      </w:r>
      <w:r w:rsidRPr="006742EE">
        <w:t xml:space="preserve">alsts pamatfunkciju īstenošanai </w:t>
      </w:r>
      <w:r>
        <w:t>paredzētie pamatbudžeta izdevumi</w:t>
      </w:r>
      <w:r w:rsidRPr="006742EE">
        <w:t xml:space="preserve"> </w:t>
      </w:r>
      <w:r>
        <w:t xml:space="preserve">no </w:t>
      </w:r>
      <w:r w:rsidRPr="006742EE">
        <w:t xml:space="preserve">2013. līdz 2018.gadam </w:t>
      </w:r>
      <w:r>
        <w:t xml:space="preserve">ir </w:t>
      </w:r>
      <w:r w:rsidRPr="006742EE">
        <w:t>pieaug</w:t>
      </w:r>
      <w:r>
        <w:t>uši</w:t>
      </w:r>
      <w:r w:rsidRPr="006742EE">
        <w:t xml:space="preserve"> par 1,</w:t>
      </w:r>
      <w:r>
        <w:t>2</w:t>
      </w:r>
      <w:r w:rsidRPr="006742EE">
        <w:t xml:space="preserve"> miljardiem </w:t>
      </w:r>
      <w:r w:rsidRPr="006742EE">
        <w:rPr>
          <w:i/>
        </w:rPr>
        <w:t>euro</w:t>
      </w:r>
      <w:r w:rsidRPr="006742EE">
        <w:t xml:space="preserve"> jeb 3</w:t>
      </w:r>
      <w:r>
        <w:t>3</w:t>
      </w:r>
      <w:r w:rsidRPr="006742EE">
        <w:t>,</w:t>
      </w:r>
      <w:r>
        <w:t>9</w:t>
      </w:r>
      <w:r w:rsidRPr="006742EE">
        <w:t>%.</w:t>
      </w:r>
      <w:r>
        <w:t xml:space="preserve"> Vienlaikus nozīmīgu daļu (2016.gadā </w:t>
      </w:r>
      <w:r>
        <w:lastRenderedPageBreak/>
        <w:t xml:space="preserve">vairāk nekā piektdaļu no valsts pamatbudžeta) no publiskā finansējuma veido ārvalstu līdzfinansētie </w:t>
      </w:r>
      <w:r w:rsidRPr="0079633B">
        <w:t>projekti, tādējādi neradot tiešu slogu uz Latvijas nodokļu maksātājiem.</w:t>
      </w:r>
    </w:p>
    <w:p w:rsidR="001C4E7B" w:rsidRPr="001C4E7B" w:rsidRDefault="001C4E7B" w:rsidP="001C4E7B">
      <w:pPr>
        <w:ind w:firstLine="720"/>
        <w:jc w:val="both"/>
        <w:rPr>
          <w:sz w:val="18"/>
          <w:szCs w:val="18"/>
        </w:rPr>
      </w:pPr>
      <w:r>
        <w:t xml:space="preserve">Kaut arī nākamgad plānotie pamatbudžeta izdevumi par teju 500 milj. </w:t>
      </w:r>
      <w:r>
        <w:rPr>
          <w:i/>
        </w:rPr>
        <w:t xml:space="preserve">euro </w:t>
      </w:r>
      <w:r>
        <w:t xml:space="preserve">pārsniedz to līmeni, kas Latvijā bija 2008.gadā, svarīgi ir izprast, ka šo gadu laikā ir būtiski mainījusies izdevumu struktūra (skat. </w:t>
      </w:r>
      <w:r w:rsidR="00436A3F">
        <w:t>1.tabulu</w:t>
      </w:r>
      <w:r>
        <w:t xml:space="preserve">). Lielākā daļa no pamatbudžeta izdevumu palielinājuma ir ārējais finansējums (pamatā ES fondi), savukārt, pamatfunkciju daļas pieaugums, ko tiešā veidā finansē nodokļu maksātāji, veido vien ceturto daļu. Turklāt lielākoties šos papildu izdevumus kopš 2008.gada ir ietekmējis straujais valsts parāda palielinājums ekonomiskās krīzes gados. Līdz ar to izdevumi, kas ir attiecināmi uz valsts budžeta iestāžu pamatdarbību, attiecībā pret 2008.gadu joprojām ir par vairāk nekā 312 milj. </w:t>
      </w:r>
      <w:r>
        <w:rPr>
          <w:i/>
        </w:rPr>
        <w:t>euro</w:t>
      </w:r>
      <w:r>
        <w:t xml:space="preserve"> mazāki.</w:t>
      </w:r>
    </w:p>
    <w:p w:rsidR="007B772F" w:rsidRPr="00807B5E" w:rsidRDefault="007B772F" w:rsidP="00807B5E">
      <w:pPr>
        <w:jc w:val="right"/>
        <w:rPr>
          <w:szCs w:val="24"/>
        </w:rPr>
      </w:pPr>
      <w:r w:rsidRPr="00436A3F">
        <w:rPr>
          <w:szCs w:val="24"/>
        </w:rPr>
        <w:t>1.tabula</w:t>
      </w:r>
    </w:p>
    <w:p w:rsidR="007B772F" w:rsidRPr="00436A3F" w:rsidRDefault="007B772F" w:rsidP="007B772F">
      <w:pPr>
        <w:jc w:val="center"/>
        <w:rPr>
          <w:b/>
          <w:i/>
          <w:sz w:val="22"/>
        </w:rPr>
      </w:pPr>
      <w:r w:rsidRPr="00436A3F">
        <w:rPr>
          <w:b/>
          <w:sz w:val="22"/>
        </w:rPr>
        <w:t xml:space="preserve">Būtiskākās izmaiņas valsts pamatbudžetā 2017.gadā, salīdzinot ar 2008.gadu, milj. </w:t>
      </w:r>
      <w:r w:rsidRPr="00436A3F">
        <w:rPr>
          <w:b/>
          <w:i/>
          <w:sz w:val="22"/>
        </w:rPr>
        <w:t>euro</w:t>
      </w:r>
      <w:r w:rsidR="00436A3F">
        <w:rPr>
          <w:b/>
          <w:i/>
          <w:sz w:val="22"/>
        </w:rPr>
        <w:t>*</w:t>
      </w:r>
    </w:p>
    <w:p w:rsidR="007B772F" w:rsidRPr="007B772F" w:rsidRDefault="007B772F" w:rsidP="007B772F">
      <w:pPr>
        <w:jc w:val="center"/>
        <w:rPr>
          <w:sz w:val="16"/>
          <w:szCs w:val="16"/>
        </w:rPr>
      </w:pPr>
    </w:p>
    <w:tbl>
      <w:tblPr>
        <w:tblStyle w:val="TableGrid"/>
        <w:tblW w:w="9397" w:type="dxa"/>
        <w:tblLook w:val="0420" w:firstRow="1" w:lastRow="0" w:firstColumn="0" w:lastColumn="0" w:noHBand="0" w:noVBand="1"/>
      </w:tblPr>
      <w:tblGrid>
        <w:gridCol w:w="6566"/>
        <w:gridCol w:w="2831"/>
      </w:tblGrid>
      <w:tr w:rsidR="001C27ED" w:rsidRPr="006742EE" w:rsidTr="001D5EB7">
        <w:trPr>
          <w:trHeight w:val="269"/>
        </w:trPr>
        <w:tc>
          <w:tcPr>
            <w:tcW w:w="6566" w:type="dxa"/>
            <w:shd w:val="clear" w:color="auto" w:fill="D9D9D9" w:themeFill="background1" w:themeFillShade="D9"/>
            <w:hideMark/>
          </w:tcPr>
          <w:p w:rsidR="001C27ED" w:rsidRPr="006742EE" w:rsidRDefault="001C27ED" w:rsidP="001C27ED">
            <w:pPr>
              <w:rPr>
                <w:b/>
                <w:i/>
                <w:sz w:val="20"/>
                <w:szCs w:val="20"/>
              </w:rPr>
            </w:pPr>
          </w:p>
        </w:tc>
        <w:tc>
          <w:tcPr>
            <w:tcW w:w="2831" w:type="dxa"/>
            <w:shd w:val="clear" w:color="auto" w:fill="D9D9D9" w:themeFill="background1" w:themeFillShade="D9"/>
            <w:vAlign w:val="center"/>
            <w:hideMark/>
          </w:tcPr>
          <w:p w:rsidR="001C27ED" w:rsidRPr="006742EE" w:rsidRDefault="001D5EB7" w:rsidP="00436A3F">
            <w:pPr>
              <w:jc w:val="center"/>
              <w:rPr>
                <w:b/>
                <w:sz w:val="20"/>
                <w:szCs w:val="20"/>
              </w:rPr>
            </w:pPr>
            <w:r>
              <w:rPr>
                <w:b/>
                <w:bCs/>
                <w:sz w:val="20"/>
                <w:szCs w:val="20"/>
              </w:rPr>
              <w:t>Izmaiņas 2017.</w:t>
            </w:r>
            <w:r w:rsidR="001C27ED" w:rsidRPr="006742EE">
              <w:rPr>
                <w:b/>
                <w:bCs/>
                <w:sz w:val="20"/>
                <w:szCs w:val="20"/>
              </w:rPr>
              <w:t xml:space="preserve"> pret 2008.gadu</w:t>
            </w:r>
          </w:p>
        </w:tc>
      </w:tr>
      <w:tr w:rsidR="001C27ED" w:rsidRPr="006742EE" w:rsidTr="00FA1D2B">
        <w:trPr>
          <w:trHeight w:val="355"/>
        </w:trPr>
        <w:tc>
          <w:tcPr>
            <w:tcW w:w="6566" w:type="dxa"/>
            <w:hideMark/>
          </w:tcPr>
          <w:p w:rsidR="001C27ED" w:rsidRPr="006742EE" w:rsidRDefault="001C27ED" w:rsidP="00D403CB">
            <w:pPr>
              <w:jc w:val="right"/>
              <w:rPr>
                <w:b/>
                <w:sz w:val="20"/>
                <w:szCs w:val="20"/>
              </w:rPr>
            </w:pPr>
            <w:r w:rsidRPr="006742EE">
              <w:rPr>
                <w:b/>
                <w:bCs/>
                <w:sz w:val="20"/>
                <w:szCs w:val="20"/>
              </w:rPr>
              <w:t>Valsts pamatbudžets kopā:</w:t>
            </w:r>
          </w:p>
        </w:tc>
        <w:tc>
          <w:tcPr>
            <w:tcW w:w="2831" w:type="dxa"/>
            <w:hideMark/>
          </w:tcPr>
          <w:p w:rsidR="001C27ED" w:rsidRPr="006742EE" w:rsidRDefault="001C27ED" w:rsidP="00D403CB">
            <w:pPr>
              <w:jc w:val="center"/>
              <w:rPr>
                <w:b/>
                <w:sz w:val="20"/>
                <w:szCs w:val="20"/>
              </w:rPr>
            </w:pPr>
            <w:r w:rsidRPr="006742EE">
              <w:rPr>
                <w:b/>
                <w:bCs/>
                <w:sz w:val="20"/>
                <w:szCs w:val="20"/>
              </w:rPr>
              <w:t>+496,3</w:t>
            </w:r>
          </w:p>
        </w:tc>
      </w:tr>
      <w:tr w:rsidR="001C27ED" w:rsidRPr="006742EE" w:rsidTr="00FA1D2B">
        <w:trPr>
          <w:trHeight w:val="355"/>
        </w:trPr>
        <w:tc>
          <w:tcPr>
            <w:tcW w:w="6566" w:type="dxa"/>
            <w:hideMark/>
          </w:tcPr>
          <w:p w:rsidR="001C27ED" w:rsidRPr="006742EE" w:rsidRDefault="001C27ED" w:rsidP="001C27ED">
            <w:pPr>
              <w:rPr>
                <w:b/>
                <w:sz w:val="20"/>
                <w:szCs w:val="20"/>
              </w:rPr>
            </w:pPr>
            <w:r w:rsidRPr="006742EE">
              <w:rPr>
                <w:b/>
                <w:bCs/>
                <w:sz w:val="20"/>
                <w:szCs w:val="20"/>
              </w:rPr>
              <w:t>Izdevumi pamatfunkcijām</w:t>
            </w:r>
          </w:p>
        </w:tc>
        <w:tc>
          <w:tcPr>
            <w:tcW w:w="2831" w:type="dxa"/>
            <w:hideMark/>
          </w:tcPr>
          <w:p w:rsidR="001C27ED" w:rsidRPr="006742EE" w:rsidRDefault="001C27ED" w:rsidP="00D403CB">
            <w:pPr>
              <w:jc w:val="center"/>
              <w:rPr>
                <w:b/>
                <w:sz w:val="20"/>
                <w:szCs w:val="20"/>
              </w:rPr>
            </w:pPr>
            <w:r w:rsidRPr="006742EE">
              <w:rPr>
                <w:b/>
                <w:bCs/>
                <w:sz w:val="20"/>
                <w:szCs w:val="20"/>
              </w:rPr>
              <w:t>+126,6</w:t>
            </w:r>
          </w:p>
        </w:tc>
      </w:tr>
      <w:tr w:rsidR="001C27ED" w:rsidRPr="006742EE" w:rsidTr="00436A3F">
        <w:trPr>
          <w:trHeight w:val="164"/>
        </w:trPr>
        <w:tc>
          <w:tcPr>
            <w:tcW w:w="6566" w:type="dxa"/>
            <w:hideMark/>
          </w:tcPr>
          <w:p w:rsidR="001C27ED" w:rsidRPr="006742EE" w:rsidRDefault="001C27ED" w:rsidP="00D403CB">
            <w:pPr>
              <w:jc w:val="right"/>
              <w:rPr>
                <w:i/>
                <w:sz w:val="20"/>
                <w:szCs w:val="20"/>
              </w:rPr>
            </w:pPr>
            <w:r w:rsidRPr="006742EE">
              <w:rPr>
                <w:i/>
                <w:iCs/>
                <w:sz w:val="20"/>
                <w:szCs w:val="20"/>
              </w:rPr>
              <w:t>tai skaitā</w:t>
            </w:r>
          </w:p>
        </w:tc>
        <w:tc>
          <w:tcPr>
            <w:tcW w:w="2831" w:type="dxa"/>
            <w:hideMark/>
          </w:tcPr>
          <w:p w:rsidR="001C27ED" w:rsidRPr="006742EE" w:rsidRDefault="001C27ED" w:rsidP="00D403CB">
            <w:pPr>
              <w:jc w:val="center"/>
              <w:rPr>
                <w:b/>
                <w:i/>
                <w:sz w:val="20"/>
                <w:szCs w:val="20"/>
              </w:rPr>
            </w:pPr>
          </w:p>
        </w:tc>
      </w:tr>
      <w:tr w:rsidR="001C27ED" w:rsidRPr="006742EE" w:rsidTr="00FA1D2B">
        <w:trPr>
          <w:trHeight w:val="355"/>
        </w:trPr>
        <w:tc>
          <w:tcPr>
            <w:tcW w:w="6566" w:type="dxa"/>
            <w:hideMark/>
          </w:tcPr>
          <w:p w:rsidR="001C27ED" w:rsidRPr="006742EE" w:rsidRDefault="001C27ED" w:rsidP="001C27ED">
            <w:pPr>
              <w:rPr>
                <w:i/>
                <w:sz w:val="20"/>
                <w:szCs w:val="20"/>
              </w:rPr>
            </w:pPr>
            <w:r w:rsidRPr="006742EE">
              <w:rPr>
                <w:i/>
                <w:iCs/>
                <w:sz w:val="20"/>
                <w:szCs w:val="20"/>
              </w:rPr>
              <w:t>Valsts parāda vadība</w:t>
            </w:r>
          </w:p>
        </w:tc>
        <w:tc>
          <w:tcPr>
            <w:tcW w:w="2831" w:type="dxa"/>
            <w:hideMark/>
          </w:tcPr>
          <w:p w:rsidR="001C27ED" w:rsidRPr="006742EE" w:rsidRDefault="001C27ED" w:rsidP="00D403CB">
            <w:pPr>
              <w:jc w:val="center"/>
              <w:rPr>
                <w:i/>
                <w:sz w:val="20"/>
                <w:szCs w:val="20"/>
              </w:rPr>
            </w:pPr>
            <w:r w:rsidRPr="006742EE">
              <w:rPr>
                <w:i/>
                <w:iCs/>
                <w:sz w:val="20"/>
                <w:szCs w:val="20"/>
              </w:rPr>
              <w:t>+185,9</w:t>
            </w:r>
          </w:p>
        </w:tc>
      </w:tr>
      <w:tr w:rsidR="008108CC" w:rsidRPr="006742EE" w:rsidTr="00FA1D2B">
        <w:trPr>
          <w:trHeight w:val="355"/>
        </w:trPr>
        <w:tc>
          <w:tcPr>
            <w:tcW w:w="6566" w:type="dxa"/>
          </w:tcPr>
          <w:p w:rsidR="008108CC" w:rsidRPr="006742EE" w:rsidRDefault="008108CC" w:rsidP="001C27ED">
            <w:pPr>
              <w:rPr>
                <w:i/>
                <w:iCs/>
                <w:sz w:val="20"/>
                <w:szCs w:val="20"/>
              </w:rPr>
            </w:pPr>
            <w:r w:rsidRPr="006742EE">
              <w:rPr>
                <w:i/>
                <w:iCs/>
                <w:sz w:val="20"/>
                <w:szCs w:val="20"/>
              </w:rPr>
              <w:t>Transferti valsts speciālajam budžetam</w:t>
            </w:r>
          </w:p>
        </w:tc>
        <w:tc>
          <w:tcPr>
            <w:tcW w:w="2831" w:type="dxa"/>
          </w:tcPr>
          <w:p w:rsidR="008108CC" w:rsidRPr="006742EE" w:rsidRDefault="008108CC" w:rsidP="00D403CB">
            <w:pPr>
              <w:jc w:val="center"/>
              <w:rPr>
                <w:i/>
                <w:iCs/>
                <w:sz w:val="20"/>
                <w:szCs w:val="20"/>
              </w:rPr>
            </w:pPr>
            <w:r w:rsidRPr="006742EE">
              <w:rPr>
                <w:i/>
                <w:iCs/>
                <w:sz w:val="20"/>
                <w:szCs w:val="20"/>
              </w:rPr>
              <w:t>+162,1</w:t>
            </w:r>
          </w:p>
        </w:tc>
      </w:tr>
      <w:tr w:rsidR="001C27ED" w:rsidRPr="006742EE" w:rsidTr="00FA1D2B">
        <w:trPr>
          <w:trHeight w:val="355"/>
        </w:trPr>
        <w:tc>
          <w:tcPr>
            <w:tcW w:w="6566" w:type="dxa"/>
            <w:hideMark/>
          </w:tcPr>
          <w:p w:rsidR="001C27ED" w:rsidRPr="006742EE" w:rsidRDefault="001C27ED" w:rsidP="001C27ED">
            <w:pPr>
              <w:rPr>
                <w:i/>
                <w:sz w:val="20"/>
                <w:szCs w:val="20"/>
              </w:rPr>
            </w:pPr>
            <w:r w:rsidRPr="006742EE">
              <w:rPr>
                <w:i/>
                <w:iCs/>
                <w:sz w:val="20"/>
                <w:szCs w:val="20"/>
              </w:rPr>
              <w:t>Iemaksas Eiropas Kopienas budžetā</w:t>
            </w:r>
          </w:p>
        </w:tc>
        <w:tc>
          <w:tcPr>
            <w:tcW w:w="2831" w:type="dxa"/>
            <w:hideMark/>
          </w:tcPr>
          <w:p w:rsidR="001C27ED" w:rsidRPr="006742EE" w:rsidRDefault="001C27ED" w:rsidP="00D403CB">
            <w:pPr>
              <w:jc w:val="center"/>
              <w:rPr>
                <w:i/>
                <w:sz w:val="20"/>
                <w:szCs w:val="20"/>
              </w:rPr>
            </w:pPr>
            <w:r w:rsidRPr="006742EE">
              <w:rPr>
                <w:i/>
                <w:iCs/>
                <w:sz w:val="20"/>
                <w:szCs w:val="20"/>
              </w:rPr>
              <w:t>+90,8</w:t>
            </w:r>
          </w:p>
        </w:tc>
      </w:tr>
      <w:tr w:rsidR="001C27ED" w:rsidRPr="006742EE" w:rsidTr="00FA1D2B">
        <w:trPr>
          <w:trHeight w:val="355"/>
        </w:trPr>
        <w:tc>
          <w:tcPr>
            <w:tcW w:w="6566" w:type="dxa"/>
            <w:hideMark/>
          </w:tcPr>
          <w:p w:rsidR="001C27ED" w:rsidRPr="006742EE" w:rsidRDefault="001C27ED" w:rsidP="001C27ED">
            <w:pPr>
              <w:rPr>
                <w:i/>
                <w:sz w:val="20"/>
                <w:szCs w:val="20"/>
              </w:rPr>
            </w:pPr>
            <w:r w:rsidRPr="006742EE">
              <w:rPr>
                <w:i/>
                <w:iCs/>
                <w:sz w:val="20"/>
                <w:szCs w:val="20"/>
              </w:rPr>
              <w:t xml:space="preserve">Pārējie pamatfunkciju izdevumi </w:t>
            </w:r>
          </w:p>
        </w:tc>
        <w:tc>
          <w:tcPr>
            <w:tcW w:w="2831" w:type="dxa"/>
            <w:hideMark/>
          </w:tcPr>
          <w:p w:rsidR="001C27ED" w:rsidRPr="006742EE" w:rsidRDefault="001C27ED" w:rsidP="00D403CB">
            <w:pPr>
              <w:jc w:val="center"/>
              <w:rPr>
                <w:i/>
                <w:sz w:val="20"/>
                <w:szCs w:val="20"/>
              </w:rPr>
            </w:pPr>
            <w:r w:rsidRPr="006742EE">
              <w:rPr>
                <w:i/>
                <w:iCs/>
                <w:sz w:val="20"/>
                <w:szCs w:val="20"/>
              </w:rPr>
              <w:t>-312,3</w:t>
            </w:r>
          </w:p>
        </w:tc>
      </w:tr>
      <w:tr w:rsidR="001C27ED" w:rsidRPr="006742EE" w:rsidTr="00436A3F">
        <w:trPr>
          <w:trHeight w:val="316"/>
        </w:trPr>
        <w:tc>
          <w:tcPr>
            <w:tcW w:w="6566" w:type="dxa"/>
            <w:hideMark/>
          </w:tcPr>
          <w:p w:rsidR="001C27ED" w:rsidRPr="006742EE" w:rsidRDefault="001C27ED" w:rsidP="00035B4F">
            <w:pPr>
              <w:rPr>
                <w:b/>
                <w:sz w:val="20"/>
                <w:szCs w:val="20"/>
              </w:rPr>
            </w:pPr>
            <w:r w:rsidRPr="00035B4F">
              <w:rPr>
                <w:b/>
                <w:bCs/>
                <w:sz w:val="20"/>
                <w:szCs w:val="20"/>
              </w:rPr>
              <w:t xml:space="preserve">Izdevumi ES </w:t>
            </w:r>
            <w:r w:rsidR="00035B4F" w:rsidRPr="00035B4F">
              <w:rPr>
                <w:b/>
                <w:bCs/>
                <w:sz w:val="20"/>
                <w:szCs w:val="20"/>
              </w:rPr>
              <w:t xml:space="preserve">projektu </w:t>
            </w:r>
            <w:r w:rsidRPr="00035B4F">
              <w:rPr>
                <w:b/>
                <w:bCs/>
                <w:sz w:val="20"/>
                <w:szCs w:val="20"/>
              </w:rPr>
              <w:t>apguvei</w:t>
            </w:r>
          </w:p>
        </w:tc>
        <w:tc>
          <w:tcPr>
            <w:tcW w:w="2831" w:type="dxa"/>
            <w:hideMark/>
          </w:tcPr>
          <w:p w:rsidR="001C27ED" w:rsidRPr="006742EE" w:rsidRDefault="001C27ED" w:rsidP="00D403CB">
            <w:pPr>
              <w:jc w:val="center"/>
              <w:rPr>
                <w:b/>
                <w:sz w:val="20"/>
                <w:szCs w:val="20"/>
              </w:rPr>
            </w:pPr>
            <w:r w:rsidRPr="006742EE">
              <w:rPr>
                <w:b/>
                <w:bCs/>
                <w:sz w:val="20"/>
                <w:szCs w:val="20"/>
              </w:rPr>
              <w:t>+369,7</w:t>
            </w:r>
          </w:p>
        </w:tc>
      </w:tr>
    </w:tbl>
    <w:p w:rsidR="00802672" w:rsidRDefault="00802672" w:rsidP="00A45C46">
      <w:pPr>
        <w:rPr>
          <w:b/>
          <w:i/>
          <w:sz w:val="20"/>
          <w:szCs w:val="20"/>
        </w:rPr>
      </w:pPr>
    </w:p>
    <w:p w:rsidR="001C4E7B" w:rsidRPr="001C4E7B" w:rsidRDefault="001C4E7B" w:rsidP="001C4E7B">
      <w:pPr>
        <w:ind w:firstLine="720"/>
        <w:jc w:val="both"/>
        <w:rPr>
          <w:sz w:val="18"/>
          <w:szCs w:val="18"/>
        </w:rPr>
      </w:pPr>
      <w:r>
        <w:t xml:space="preserve">Citādāka šī situācija izskatās, ja salīdzina pamatbudžeta izdevumu pieaugumu pret pirmo gadu, kad valsts budžetā pēc ekonomiskās recesijas atsāka </w:t>
      </w:r>
      <w:r w:rsidR="006531C5">
        <w:t>piešķirt finansējumu JPI</w:t>
      </w:r>
      <w:r>
        <w:t xml:space="preserve">, t.i., pret 2013.gadu. Laikā, kopš ir atsākta JPI finansēšana, papildus finansējums vairāk nekā 1 miljarda </w:t>
      </w:r>
      <w:r>
        <w:rPr>
          <w:i/>
        </w:rPr>
        <w:t xml:space="preserve">euro </w:t>
      </w:r>
      <w:r>
        <w:t>apmērā ir piešķirts tieši nozarēm, savukārt, valsts parāda procentu maksājumi ir pat samazinājušies.</w:t>
      </w:r>
    </w:p>
    <w:p w:rsidR="00436A3F" w:rsidRPr="00436A3F" w:rsidRDefault="00436A3F" w:rsidP="00807B5E">
      <w:pPr>
        <w:jc w:val="right"/>
        <w:rPr>
          <w:sz w:val="16"/>
          <w:szCs w:val="16"/>
        </w:rPr>
      </w:pPr>
      <w:r>
        <w:rPr>
          <w:szCs w:val="24"/>
        </w:rPr>
        <w:t>2.tabula</w:t>
      </w:r>
    </w:p>
    <w:p w:rsidR="00436A3F" w:rsidRDefault="00436A3F" w:rsidP="00436A3F">
      <w:pPr>
        <w:jc w:val="center"/>
        <w:rPr>
          <w:b/>
          <w:i/>
          <w:sz w:val="16"/>
          <w:szCs w:val="16"/>
        </w:rPr>
      </w:pPr>
      <w:r w:rsidRPr="006742EE">
        <w:rPr>
          <w:b/>
          <w:sz w:val="22"/>
        </w:rPr>
        <w:t>Būtiskākās izmaiņas valsts pamatbudžetā 2017.gadā, salīdzinot ar 20</w:t>
      </w:r>
      <w:r>
        <w:rPr>
          <w:b/>
          <w:sz w:val="22"/>
        </w:rPr>
        <w:t>13</w:t>
      </w:r>
      <w:r w:rsidRPr="006742EE">
        <w:rPr>
          <w:b/>
          <w:sz w:val="22"/>
        </w:rPr>
        <w:t xml:space="preserve">.gadu, milj. </w:t>
      </w:r>
      <w:r w:rsidRPr="00436A3F">
        <w:rPr>
          <w:b/>
          <w:i/>
          <w:sz w:val="22"/>
        </w:rPr>
        <w:t>euro</w:t>
      </w:r>
      <w:r>
        <w:rPr>
          <w:b/>
          <w:i/>
          <w:sz w:val="22"/>
        </w:rPr>
        <w:t>*</w:t>
      </w:r>
    </w:p>
    <w:p w:rsidR="00436A3F" w:rsidRPr="00436A3F" w:rsidRDefault="00436A3F" w:rsidP="00436A3F">
      <w:pPr>
        <w:jc w:val="center"/>
        <w:rPr>
          <w:sz w:val="16"/>
          <w:szCs w:val="16"/>
        </w:rPr>
      </w:pPr>
    </w:p>
    <w:tbl>
      <w:tblPr>
        <w:tblStyle w:val="TableGrid"/>
        <w:tblW w:w="9397" w:type="dxa"/>
        <w:tblLook w:val="0420" w:firstRow="1" w:lastRow="0" w:firstColumn="0" w:lastColumn="0" w:noHBand="0" w:noVBand="1"/>
      </w:tblPr>
      <w:tblGrid>
        <w:gridCol w:w="6566"/>
        <w:gridCol w:w="2831"/>
      </w:tblGrid>
      <w:tr w:rsidR="00F93C4E" w:rsidRPr="006742EE" w:rsidTr="001D5EB7">
        <w:trPr>
          <w:trHeight w:val="345"/>
          <w:tblHeader/>
        </w:trPr>
        <w:tc>
          <w:tcPr>
            <w:tcW w:w="6566" w:type="dxa"/>
            <w:shd w:val="clear" w:color="auto" w:fill="D9D9D9" w:themeFill="background1" w:themeFillShade="D9"/>
            <w:hideMark/>
          </w:tcPr>
          <w:p w:rsidR="00F93C4E" w:rsidRPr="006742EE" w:rsidRDefault="00F93C4E" w:rsidP="00C36AC5">
            <w:pPr>
              <w:rPr>
                <w:b/>
                <w:i/>
                <w:sz w:val="20"/>
                <w:szCs w:val="20"/>
              </w:rPr>
            </w:pPr>
          </w:p>
        </w:tc>
        <w:tc>
          <w:tcPr>
            <w:tcW w:w="2831" w:type="dxa"/>
            <w:shd w:val="clear" w:color="auto" w:fill="D9D9D9" w:themeFill="background1" w:themeFillShade="D9"/>
            <w:vAlign w:val="center"/>
            <w:hideMark/>
          </w:tcPr>
          <w:p w:rsidR="00F93C4E" w:rsidRPr="006742EE" w:rsidRDefault="001D5EB7" w:rsidP="00436A3F">
            <w:pPr>
              <w:jc w:val="center"/>
              <w:rPr>
                <w:b/>
                <w:sz w:val="20"/>
                <w:szCs w:val="20"/>
              </w:rPr>
            </w:pPr>
            <w:r>
              <w:rPr>
                <w:b/>
                <w:bCs/>
                <w:sz w:val="20"/>
                <w:szCs w:val="20"/>
              </w:rPr>
              <w:t>Izmaiņas 2017.</w:t>
            </w:r>
            <w:r w:rsidR="00F93C4E" w:rsidRPr="006742EE">
              <w:rPr>
                <w:b/>
                <w:bCs/>
                <w:sz w:val="20"/>
                <w:szCs w:val="20"/>
              </w:rPr>
              <w:t xml:space="preserve"> pret 20</w:t>
            </w:r>
            <w:r w:rsidR="00631C06">
              <w:rPr>
                <w:b/>
                <w:bCs/>
                <w:sz w:val="20"/>
                <w:szCs w:val="20"/>
              </w:rPr>
              <w:t>13</w:t>
            </w:r>
            <w:r w:rsidR="00F93C4E" w:rsidRPr="006742EE">
              <w:rPr>
                <w:b/>
                <w:bCs/>
                <w:sz w:val="20"/>
                <w:szCs w:val="20"/>
              </w:rPr>
              <w:t>.gadu</w:t>
            </w:r>
          </w:p>
        </w:tc>
      </w:tr>
      <w:tr w:rsidR="00F93C4E" w:rsidRPr="006742EE" w:rsidTr="008108CC">
        <w:trPr>
          <w:trHeight w:val="355"/>
        </w:trPr>
        <w:tc>
          <w:tcPr>
            <w:tcW w:w="6566" w:type="dxa"/>
            <w:hideMark/>
          </w:tcPr>
          <w:p w:rsidR="00F93C4E" w:rsidRPr="006742EE" w:rsidRDefault="00F93C4E" w:rsidP="00C36AC5">
            <w:pPr>
              <w:jc w:val="right"/>
              <w:rPr>
                <w:b/>
                <w:sz w:val="20"/>
                <w:szCs w:val="20"/>
              </w:rPr>
            </w:pPr>
            <w:r w:rsidRPr="006742EE">
              <w:rPr>
                <w:b/>
                <w:bCs/>
                <w:sz w:val="20"/>
                <w:szCs w:val="20"/>
              </w:rPr>
              <w:t>Valsts pamatbudžets kopā:</w:t>
            </w:r>
          </w:p>
        </w:tc>
        <w:tc>
          <w:tcPr>
            <w:tcW w:w="2831" w:type="dxa"/>
          </w:tcPr>
          <w:p w:rsidR="00F93C4E" w:rsidRPr="006742EE" w:rsidRDefault="005033D4" w:rsidP="00C36AC5">
            <w:pPr>
              <w:jc w:val="center"/>
              <w:rPr>
                <w:b/>
                <w:sz w:val="20"/>
                <w:szCs w:val="20"/>
              </w:rPr>
            </w:pPr>
            <w:r>
              <w:rPr>
                <w:b/>
                <w:sz w:val="20"/>
                <w:szCs w:val="20"/>
              </w:rPr>
              <w:t>+1 272,1</w:t>
            </w:r>
          </w:p>
        </w:tc>
      </w:tr>
      <w:tr w:rsidR="00F93C4E" w:rsidRPr="006742EE" w:rsidTr="008108CC">
        <w:trPr>
          <w:trHeight w:val="355"/>
        </w:trPr>
        <w:tc>
          <w:tcPr>
            <w:tcW w:w="6566" w:type="dxa"/>
            <w:hideMark/>
          </w:tcPr>
          <w:p w:rsidR="00F93C4E" w:rsidRPr="006742EE" w:rsidRDefault="00F93C4E" w:rsidP="00C36AC5">
            <w:pPr>
              <w:rPr>
                <w:b/>
                <w:sz w:val="20"/>
                <w:szCs w:val="20"/>
              </w:rPr>
            </w:pPr>
            <w:r w:rsidRPr="006742EE">
              <w:rPr>
                <w:b/>
                <w:bCs/>
                <w:sz w:val="20"/>
                <w:szCs w:val="20"/>
              </w:rPr>
              <w:t>Izdevumi pamatfunkcijām</w:t>
            </w:r>
          </w:p>
        </w:tc>
        <w:tc>
          <w:tcPr>
            <w:tcW w:w="2831" w:type="dxa"/>
          </w:tcPr>
          <w:p w:rsidR="00F93C4E" w:rsidRPr="006742EE" w:rsidRDefault="005033D4" w:rsidP="00C36AC5">
            <w:pPr>
              <w:jc w:val="center"/>
              <w:rPr>
                <w:b/>
                <w:sz w:val="20"/>
                <w:szCs w:val="20"/>
              </w:rPr>
            </w:pPr>
            <w:r>
              <w:rPr>
                <w:b/>
                <w:sz w:val="20"/>
                <w:szCs w:val="20"/>
              </w:rPr>
              <w:t>+1 223,8</w:t>
            </w:r>
          </w:p>
        </w:tc>
      </w:tr>
      <w:tr w:rsidR="00F93C4E" w:rsidRPr="006742EE" w:rsidTr="008108CC">
        <w:trPr>
          <w:trHeight w:val="355"/>
        </w:trPr>
        <w:tc>
          <w:tcPr>
            <w:tcW w:w="6566" w:type="dxa"/>
            <w:hideMark/>
          </w:tcPr>
          <w:p w:rsidR="00F93C4E" w:rsidRPr="006742EE" w:rsidRDefault="00F93C4E" w:rsidP="00C36AC5">
            <w:pPr>
              <w:jc w:val="right"/>
              <w:rPr>
                <w:i/>
                <w:sz w:val="20"/>
                <w:szCs w:val="20"/>
              </w:rPr>
            </w:pPr>
            <w:r w:rsidRPr="006742EE">
              <w:rPr>
                <w:i/>
                <w:iCs/>
                <w:sz w:val="20"/>
                <w:szCs w:val="20"/>
              </w:rPr>
              <w:t>tai skaitā</w:t>
            </w:r>
          </w:p>
        </w:tc>
        <w:tc>
          <w:tcPr>
            <w:tcW w:w="2831" w:type="dxa"/>
          </w:tcPr>
          <w:p w:rsidR="00F93C4E" w:rsidRPr="006742EE" w:rsidRDefault="00F93C4E" w:rsidP="00C36AC5">
            <w:pPr>
              <w:jc w:val="center"/>
              <w:rPr>
                <w:b/>
                <w:i/>
                <w:sz w:val="20"/>
                <w:szCs w:val="20"/>
              </w:rPr>
            </w:pPr>
          </w:p>
        </w:tc>
      </w:tr>
      <w:tr w:rsidR="00F93C4E" w:rsidRPr="006742EE" w:rsidTr="008108CC">
        <w:trPr>
          <w:trHeight w:val="355"/>
        </w:trPr>
        <w:tc>
          <w:tcPr>
            <w:tcW w:w="6566" w:type="dxa"/>
            <w:hideMark/>
          </w:tcPr>
          <w:p w:rsidR="00F93C4E" w:rsidRPr="006742EE" w:rsidRDefault="00F93C4E" w:rsidP="00C36AC5">
            <w:pPr>
              <w:rPr>
                <w:i/>
                <w:sz w:val="20"/>
                <w:szCs w:val="20"/>
              </w:rPr>
            </w:pPr>
            <w:r w:rsidRPr="006742EE">
              <w:rPr>
                <w:i/>
                <w:iCs/>
                <w:sz w:val="20"/>
                <w:szCs w:val="20"/>
              </w:rPr>
              <w:t>Valsts parāda vadība</w:t>
            </w:r>
          </w:p>
        </w:tc>
        <w:tc>
          <w:tcPr>
            <w:tcW w:w="2831" w:type="dxa"/>
          </w:tcPr>
          <w:p w:rsidR="00F93C4E" w:rsidRPr="006742EE" w:rsidRDefault="005033D4" w:rsidP="00C36AC5">
            <w:pPr>
              <w:jc w:val="center"/>
              <w:rPr>
                <w:i/>
                <w:sz w:val="20"/>
                <w:szCs w:val="20"/>
              </w:rPr>
            </w:pPr>
            <w:r>
              <w:rPr>
                <w:i/>
                <w:sz w:val="20"/>
                <w:szCs w:val="20"/>
              </w:rPr>
              <w:t>-4,9</w:t>
            </w:r>
          </w:p>
        </w:tc>
      </w:tr>
      <w:tr w:rsidR="008108CC" w:rsidRPr="006742EE" w:rsidTr="008108CC">
        <w:trPr>
          <w:trHeight w:val="355"/>
        </w:trPr>
        <w:tc>
          <w:tcPr>
            <w:tcW w:w="6566" w:type="dxa"/>
          </w:tcPr>
          <w:p w:rsidR="008108CC" w:rsidRPr="006742EE" w:rsidRDefault="008108CC" w:rsidP="00C36AC5">
            <w:pPr>
              <w:rPr>
                <w:i/>
                <w:iCs/>
                <w:sz w:val="20"/>
                <w:szCs w:val="20"/>
              </w:rPr>
            </w:pPr>
            <w:r w:rsidRPr="006742EE">
              <w:rPr>
                <w:i/>
                <w:iCs/>
                <w:sz w:val="20"/>
                <w:szCs w:val="20"/>
              </w:rPr>
              <w:t>Transferti valsts speciālajam budžetam</w:t>
            </w:r>
          </w:p>
        </w:tc>
        <w:tc>
          <w:tcPr>
            <w:tcW w:w="2831" w:type="dxa"/>
          </w:tcPr>
          <w:p w:rsidR="008108CC" w:rsidRPr="006742EE" w:rsidRDefault="005033D4" w:rsidP="00C36AC5">
            <w:pPr>
              <w:jc w:val="center"/>
              <w:rPr>
                <w:i/>
                <w:sz w:val="20"/>
                <w:szCs w:val="20"/>
              </w:rPr>
            </w:pPr>
            <w:r>
              <w:rPr>
                <w:i/>
                <w:sz w:val="20"/>
                <w:szCs w:val="20"/>
              </w:rPr>
              <w:t>+157,7</w:t>
            </w:r>
          </w:p>
        </w:tc>
      </w:tr>
      <w:tr w:rsidR="00F93C4E" w:rsidRPr="006742EE" w:rsidTr="008108CC">
        <w:trPr>
          <w:trHeight w:val="355"/>
        </w:trPr>
        <w:tc>
          <w:tcPr>
            <w:tcW w:w="6566" w:type="dxa"/>
            <w:hideMark/>
          </w:tcPr>
          <w:p w:rsidR="00F93C4E" w:rsidRPr="006742EE" w:rsidRDefault="00F93C4E" w:rsidP="00C36AC5">
            <w:pPr>
              <w:rPr>
                <w:i/>
                <w:sz w:val="20"/>
                <w:szCs w:val="20"/>
              </w:rPr>
            </w:pPr>
            <w:r w:rsidRPr="006742EE">
              <w:rPr>
                <w:i/>
                <w:iCs/>
                <w:sz w:val="20"/>
                <w:szCs w:val="20"/>
              </w:rPr>
              <w:t>Iemaksas Eiropas Kopienas budžetā</w:t>
            </w:r>
          </w:p>
        </w:tc>
        <w:tc>
          <w:tcPr>
            <w:tcW w:w="2831" w:type="dxa"/>
          </w:tcPr>
          <w:p w:rsidR="00F93C4E" w:rsidRPr="006742EE" w:rsidRDefault="005033D4" w:rsidP="00C36AC5">
            <w:pPr>
              <w:jc w:val="center"/>
              <w:rPr>
                <w:i/>
                <w:sz w:val="20"/>
                <w:szCs w:val="20"/>
              </w:rPr>
            </w:pPr>
            <w:r>
              <w:rPr>
                <w:i/>
                <w:sz w:val="20"/>
                <w:szCs w:val="20"/>
              </w:rPr>
              <w:t>+42,0</w:t>
            </w:r>
          </w:p>
        </w:tc>
      </w:tr>
      <w:tr w:rsidR="00F93C4E" w:rsidRPr="006742EE" w:rsidTr="008108CC">
        <w:trPr>
          <w:trHeight w:val="355"/>
        </w:trPr>
        <w:tc>
          <w:tcPr>
            <w:tcW w:w="6566" w:type="dxa"/>
            <w:hideMark/>
          </w:tcPr>
          <w:p w:rsidR="00F93C4E" w:rsidRPr="006742EE" w:rsidRDefault="008108CC" w:rsidP="00C36AC5">
            <w:pPr>
              <w:rPr>
                <w:i/>
                <w:sz w:val="20"/>
                <w:szCs w:val="20"/>
              </w:rPr>
            </w:pPr>
            <w:r w:rsidRPr="006742EE">
              <w:rPr>
                <w:i/>
                <w:iCs/>
                <w:sz w:val="20"/>
                <w:szCs w:val="20"/>
              </w:rPr>
              <w:t>Pārējie pamatfunkciju izdevumi</w:t>
            </w:r>
          </w:p>
        </w:tc>
        <w:tc>
          <w:tcPr>
            <w:tcW w:w="2831" w:type="dxa"/>
          </w:tcPr>
          <w:p w:rsidR="00F93C4E" w:rsidRPr="006742EE" w:rsidRDefault="00FA4323" w:rsidP="00C36AC5">
            <w:pPr>
              <w:jc w:val="center"/>
              <w:rPr>
                <w:i/>
                <w:sz w:val="20"/>
                <w:szCs w:val="20"/>
              </w:rPr>
            </w:pPr>
            <w:r>
              <w:rPr>
                <w:i/>
                <w:sz w:val="20"/>
                <w:szCs w:val="20"/>
              </w:rPr>
              <w:t>+</w:t>
            </w:r>
            <w:r w:rsidR="005033D4">
              <w:rPr>
                <w:i/>
                <w:sz w:val="20"/>
                <w:szCs w:val="20"/>
              </w:rPr>
              <w:t>1 029,0</w:t>
            </w:r>
          </w:p>
        </w:tc>
      </w:tr>
      <w:tr w:rsidR="00F93C4E" w:rsidRPr="006742EE" w:rsidTr="008108CC">
        <w:trPr>
          <w:trHeight w:val="355"/>
        </w:trPr>
        <w:tc>
          <w:tcPr>
            <w:tcW w:w="6566" w:type="dxa"/>
            <w:hideMark/>
          </w:tcPr>
          <w:p w:rsidR="00F93C4E" w:rsidRPr="006742EE" w:rsidRDefault="00F93C4E" w:rsidP="00035B4F">
            <w:pPr>
              <w:rPr>
                <w:b/>
                <w:sz w:val="20"/>
                <w:szCs w:val="20"/>
              </w:rPr>
            </w:pPr>
            <w:r w:rsidRPr="006742EE">
              <w:rPr>
                <w:b/>
                <w:bCs/>
                <w:sz w:val="20"/>
                <w:szCs w:val="20"/>
              </w:rPr>
              <w:t xml:space="preserve">Izdevumi </w:t>
            </w:r>
            <w:r w:rsidRPr="00560B9A">
              <w:rPr>
                <w:b/>
                <w:bCs/>
                <w:sz w:val="20"/>
                <w:szCs w:val="20"/>
              </w:rPr>
              <w:t xml:space="preserve">ES </w:t>
            </w:r>
            <w:r w:rsidR="00035B4F" w:rsidRPr="00560B9A">
              <w:rPr>
                <w:b/>
                <w:bCs/>
                <w:sz w:val="20"/>
                <w:szCs w:val="20"/>
              </w:rPr>
              <w:t>projektu</w:t>
            </w:r>
            <w:r w:rsidRPr="00560B9A">
              <w:rPr>
                <w:b/>
                <w:bCs/>
                <w:sz w:val="20"/>
                <w:szCs w:val="20"/>
              </w:rPr>
              <w:t xml:space="preserve"> apguvei</w:t>
            </w:r>
          </w:p>
        </w:tc>
        <w:tc>
          <w:tcPr>
            <w:tcW w:w="2831" w:type="dxa"/>
          </w:tcPr>
          <w:p w:rsidR="00F93C4E" w:rsidRPr="006742EE" w:rsidRDefault="005033D4" w:rsidP="00C36AC5">
            <w:pPr>
              <w:jc w:val="center"/>
              <w:rPr>
                <w:b/>
                <w:sz w:val="20"/>
                <w:szCs w:val="20"/>
              </w:rPr>
            </w:pPr>
            <w:r>
              <w:rPr>
                <w:b/>
                <w:sz w:val="20"/>
                <w:szCs w:val="20"/>
              </w:rPr>
              <w:t>+48,3</w:t>
            </w:r>
          </w:p>
        </w:tc>
      </w:tr>
    </w:tbl>
    <w:p w:rsidR="00436A3F" w:rsidRDefault="00436A3F" w:rsidP="00436A3F">
      <w:pPr>
        <w:pStyle w:val="FootnoteText"/>
      </w:pPr>
    </w:p>
    <w:p w:rsidR="00436A3F" w:rsidRPr="00436A3F" w:rsidRDefault="00436A3F" w:rsidP="00436A3F">
      <w:pPr>
        <w:pStyle w:val="FootnoteText"/>
        <w:rPr>
          <w:sz w:val="18"/>
          <w:szCs w:val="18"/>
        </w:rPr>
      </w:pPr>
      <w:r w:rsidRPr="00436A3F">
        <w:rPr>
          <w:sz w:val="18"/>
          <w:szCs w:val="18"/>
        </w:rPr>
        <w:t>*tabulās izmaiņas norādītas par pamatu ņemot valsts budžeta bruto izdevumus</w:t>
      </w:r>
    </w:p>
    <w:p w:rsidR="00581822" w:rsidRPr="00436A3F" w:rsidRDefault="00581822" w:rsidP="00A45C46">
      <w:pPr>
        <w:rPr>
          <w:b/>
          <w:i/>
          <w:sz w:val="16"/>
          <w:szCs w:val="16"/>
        </w:rPr>
      </w:pPr>
    </w:p>
    <w:p w:rsidR="00CA74A4" w:rsidRPr="006742EE" w:rsidRDefault="00CA74A4" w:rsidP="00CA74A4">
      <w:pPr>
        <w:ind w:firstLine="709"/>
        <w:jc w:val="both"/>
        <w:rPr>
          <w:i/>
          <w:sz w:val="16"/>
          <w:szCs w:val="16"/>
        </w:rPr>
      </w:pPr>
      <w:r>
        <w:t xml:space="preserve">Detalizētāk apskatot piešķirto JPI finansējumu (skatīt </w:t>
      </w:r>
      <w:r w:rsidR="00436A3F">
        <w:t>3.tabulu</w:t>
      </w:r>
      <w:r>
        <w:t xml:space="preserve">), redzams, ka vislielāko </w:t>
      </w:r>
      <w:r w:rsidRPr="001F0DD7">
        <w:t xml:space="preserve">papildu finansējumu valsts prioritāšu finansēšanai ir izdevies rast, izstrādājot Ietvara likumu 2014. – 2016.gadam, kad vidēji gadā piešķirtais JPI finansējums bija 367,8 milj. </w:t>
      </w:r>
      <w:r w:rsidRPr="001F0DD7">
        <w:rPr>
          <w:i/>
        </w:rPr>
        <w:t>euro</w:t>
      </w:r>
      <w:r w:rsidRPr="001F0DD7">
        <w:t xml:space="preserve">. Vislielākais JPI finansējums līdz šim ir akumulēts 2015.gada izdevumos, kad tas veidoja 827,1 milj. </w:t>
      </w:r>
      <w:r w:rsidRPr="001F0DD7">
        <w:rPr>
          <w:i/>
        </w:rPr>
        <w:t>euro</w:t>
      </w:r>
      <w:r w:rsidRPr="001F0DD7">
        <w:t xml:space="preserve">. Savukārt, 2017., 2018. un 2019.gadā finansējuma apmēru JPI noteiks šā gada vasarā aktualizētie makroekonomiskās un fiskālās attīstības scenārija rezultāti.  </w:t>
      </w:r>
    </w:p>
    <w:p w:rsidR="00436A3F" w:rsidRPr="00807B5E" w:rsidRDefault="00436A3F" w:rsidP="00807B5E">
      <w:pPr>
        <w:ind w:firstLine="709"/>
        <w:jc w:val="right"/>
        <w:rPr>
          <w:szCs w:val="24"/>
        </w:rPr>
      </w:pPr>
      <w:r>
        <w:rPr>
          <w:szCs w:val="24"/>
        </w:rPr>
        <w:lastRenderedPageBreak/>
        <w:t>3.tabula</w:t>
      </w:r>
    </w:p>
    <w:p w:rsidR="004511C0" w:rsidRDefault="00436A3F" w:rsidP="00436A3F">
      <w:pPr>
        <w:jc w:val="center"/>
        <w:rPr>
          <w:b/>
          <w:i/>
          <w:sz w:val="16"/>
          <w:szCs w:val="16"/>
        </w:rPr>
      </w:pPr>
      <w:r w:rsidRPr="006742EE">
        <w:rPr>
          <w:b/>
          <w:sz w:val="22"/>
        </w:rPr>
        <w:t xml:space="preserve">Papildu piešķirtais finansējums </w:t>
      </w:r>
      <w:r>
        <w:rPr>
          <w:b/>
          <w:sz w:val="22"/>
        </w:rPr>
        <w:t>JPI</w:t>
      </w:r>
      <w:r w:rsidRPr="006742EE">
        <w:rPr>
          <w:b/>
          <w:sz w:val="22"/>
        </w:rPr>
        <w:t xml:space="preserve"> 2013.</w:t>
      </w:r>
      <w:r>
        <w:rPr>
          <w:b/>
          <w:sz w:val="22"/>
        </w:rPr>
        <w:t>–</w:t>
      </w:r>
      <w:r w:rsidRPr="006742EE">
        <w:rPr>
          <w:b/>
          <w:sz w:val="22"/>
        </w:rPr>
        <w:t>2018.gad</w:t>
      </w:r>
      <w:r>
        <w:rPr>
          <w:b/>
          <w:sz w:val="22"/>
        </w:rPr>
        <w:t>ā</w:t>
      </w:r>
      <w:r w:rsidRPr="006742EE">
        <w:rPr>
          <w:b/>
          <w:sz w:val="22"/>
        </w:rPr>
        <w:t xml:space="preserve">, milj. </w:t>
      </w:r>
      <w:r w:rsidRPr="00436A3F">
        <w:rPr>
          <w:b/>
          <w:i/>
          <w:sz w:val="22"/>
        </w:rPr>
        <w:t>euro</w:t>
      </w:r>
    </w:p>
    <w:p w:rsidR="00436A3F" w:rsidRPr="00436A3F" w:rsidRDefault="00436A3F" w:rsidP="00436A3F">
      <w:pPr>
        <w:jc w:val="center"/>
        <w:rPr>
          <w:b/>
          <w:sz w:val="16"/>
          <w:szCs w:val="16"/>
        </w:rPr>
      </w:pPr>
    </w:p>
    <w:tbl>
      <w:tblPr>
        <w:tblStyle w:val="TableGrid"/>
        <w:tblW w:w="9351" w:type="dxa"/>
        <w:tblLook w:val="04A0" w:firstRow="1" w:lastRow="0" w:firstColumn="1" w:lastColumn="0" w:noHBand="0" w:noVBand="1"/>
      </w:tblPr>
      <w:tblGrid>
        <w:gridCol w:w="3256"/>
        <w:gridCol w:w="1160"/>
        <w:gridCol w:w="1015"/>
        <w:gridCol w:w="1015"/>
        <w:gridCol w:w="1015"/>
        <w:gridCol w:w="1016"/>
        <w:gridCol w:w="874"/>
      </w:tblGrid>
      <w:tr w:rsidR="00853416" w:rsidRPr="006742EE" w:rsidTr="00D97E81">
        <w:trPr>
          <w:trHeight w:val="318"/>
          <w:tblHeader/>
        </w:trPr>
        <w:tc>
          <w:tcPr>
            <w:tcW w:w="3256" w:type="dxa"/>
            <w:shd w:val="clear" w:color="auto" w:fill="D9D9D9" w:themeFill="background1" w:themeFillShade="D9"/>
            <w:noWrap/>
            <w:hideMark/>
          </w:tcPr>
          <w:p w:rsidR="00853416" w:rsidRPr="006742EE" w:rsidRDefault="00853416">
            <w:pPr>
              <w:rPr>
                <w:sz w:val="20"/>
                <w:szCs w:val="20"/>
              </w:rPr>
            </w:pPr>
          </w:p>
        </w:tc>
        <w:tc>
          <w:tcPr>
            <w:tcW w:w="1160" w:type="dxa"/>
            <w:shd w:val="clear" w:color="auto" w:fill="D9D9D9" w:themeFill="background1" w:themeFillShade="D9"/>
            <w:noWrap/>
            <w:hideMark/>
          </w:tcPr>
          <w:p w:rsidR="00853416" w:rsidRPr="006742EE" w:rsidRDefault="00853416" w:rsidP="00980172">
            <w:pPr>
              <w:jc w:val="center"/>
              <w:rPr>
                <w:b/>
                <w:bCs/>
                <w:sz w:val="20"/>
                <w:szCs w:val="20"/>
              </w:rPr>
            </w:pPr>
            <w:r w:rsidRPr="006742EE">
              <w:rPr>
                <w:b/>
                <w:bCs/>
                <w:sz w:val="20"/>
                <w:szCs w:val="20"/>
              </w:rPr>
              <w:t>2013</w:t>
            </w:r>
          </w:p>
        </w:tc>
        <w:tc>
          <w:tcPr>
            <w:tcW w:w="1015" w:type="dxa"/>
            <w:shd w:val="clear" w:color="auto" w:fill="D9D9D9" w:themeFill="background1" w:themeFillShade="D9"/>
            <w:noWrap/>
            <w:hideMark/>
          </w:tcPr>
          <w:p w:rsidR="00853416" w:rsidRPr="006742EE" w:rsidRDefault="00853416" w:rsidP="00980172">
            <w:pPr>
              <w:jc w:val="center"/>
              <w:rPr>
                <w:b/>
                <w:bCs/>
                <w:sz w:val="20"/>
                <w:szCs w:val="20"/>
              </w:rPr>
            </w:pPr>
            <w:r w:rsidRPr="006742EE">
              <w:rPr>
                <w:b/>
                <w:bCs/>
                <w:sz w:val="20"/>
                <w:szCs w:val="20"/>
              </w:rPr>
              <w:t>2014</w:t>
            </w:r>
          </w:p>
        </w:tc>
        <w:tc>
          <w:tcPr>
            <w:tcW w:w="1015" w:type="dxa"/>
            <w:shd w:val="clear" w:color="auto" w:fill="D9D9D9" w:themeFill="background1" w:themeFillShade="D9"/>
            <w:noWrap/>
            <w:hideMark/>
          </w:tcPr>
          <w:p w:rsidR="00853416" w:rsidRPr="006742EE" w:rsidRDefault="00853416" w:rsidP="00980172">
            <w:pPr>
              <w:jc w:val="center"/>
              <w:rPr>
                <w:b/>
                <w:bCs/>
                <w:sz w:val="20"/>
                <w:szCs w:val="20"/>
              </w:rPr>
            </w:pPr>
            <w:r w:rsidRPr="006742EE">
              <w:rPr>
                <w:b/>
                <w:bCs/>
                <w:sz w:val="20"/>
                <w:szCs w:val="20"/>
              </w:rPr>
              <w:t>2015</w:t>
            </w:r>
          </w:p>
        </w:tc>
        <w:tc>
          <w:tcPr>
            <w:tcW w:w="1015" w:type="dxa"/>
            <w:shd w:val="clear" w:color="auto" w:fill="D9D9D9" w:themeFill="background1" w:themeFillShade="D9"/>
            <w:noWrap/>
            <w:hideMark/>
          </w:tcPr>
          <w:p w:rsidR="00853416" w:rsidRPr="006742EE" w:rsidRDefault="00853416" w:rsidP="00980172">
            <w:pPr>
              <w:jc w:val="center"/>
              <w:rPr>
                <w:b/>
                <w:bCs/>
                <w:sz w:val="20"/>
                <w:szCs w:val="20"/>
              </w:rPr>
            </w:pPr>
            <w:r w:rsidRPr="006742EE">
              <w:rPr>
                <w:b/>
                <w:bCs/>
                <w:sz w:val="20"/>
                <w:szCs w:val="20"/>
              </w:rPr>
              <w:t>2016</w:t>
            </w:r>
          </w:p>
        </w:tc>
        <w:tc>
          <w:tcPr>
            <w:tcW w:w="1016" w:type="dxa"/>
            <w:shd w:val="clear" w:color="auto" w:fill="D9D9D9" w:themeFill="background1" w:themeFillShade="D9"/>
            <w:noWrap/>
            <w:hideMark/>
          </w:tcPr>
          <w:p w:rsidR="00853416" w:rsidRPr="006742EE" w:rsidRDefault="00853416" w:rsidP="00980172">
            <w:pPr>
              <w:jc w:val="center"/>
              <w:rPr>
                <w:b/>
                <w:bCs/>
                <w:sz w:val="20"/>
                <w:szCs w:val="20"/>
              </w:rPr>
            </w:pPr>
            <w:r w:rsidRPr="006742EE">
              <w:rPr>
                <w:b/>
                <w:bCs/>
                <w:sz w:val="20"/>
                <w:szCs w:val="20"/>
              </w:rPr>
              <w:t>2017</w:t>
            </w:r>
          </w:p>
        </w:tc>
        <w:tc>
          <w:tcPr>
            <w:tcW w:w="874" w:type="dxa"/>
            <w:shd w:val="clear" w:color="auto" w:fill="D9D9D9" w:themeFill="background1" w:themeFillShade="D9"/>
            <w:noWrap/>
            <w:hideMark/>
          </w:tcPr>
          <w:p w:rsidR="00853416" w:rsidRPr="006742EE" w:rsidRDefault="00853416" w:rsidP="00980172">
            <w:pPr>
              <w:jc w:val="center"/>
              <w:rPr>
                <w:b/>
                <w:bCs/>
                <w:sz w:val="20"/>
                <w:szCs w:val="20"/>
              </w:rPr>
            </w:pPr>
            <w:r w:rsidRPr="006742EE">
              <w:rPr>
                <w:b/>
                <w:bCs/>
                <w:sz w:val="20"/>
                <w:szCs w:val="20"/>
              </w:rPr>
              <w:t>2018</w:t>
            </w:r>
          </w:p>
        </w:tc>
      </w:tr>
      <w:tr w:rsidR="00853416" w:rsidRPr="006742EE" w:rsidTr="00D97E81">
        <w:trPr>
          <w:trHeight w:val="318"/>
        </w:trPr>
        <w:tc>
          <w:tcPr>
            <w:tcW w:w="3256" w:type="dxa"/>
            <w:noWrap/>
            <w:hideMark/>
          </w:tcPr>
          <w:p w:rsidR="00853416" w:rsidRPr="006742EE" w:rsidRDefault="00853416" w:rsidP="00B15954">
            <w:pPr>
              <w:jc w:val="right"/>
              <w:rPr>
                <w:b/>
                <w:sz w:val="20"/>
                <w:szCs w:val="20"/>
              </w:rPr>
            </w:pPr>
            <w:r w:rsidRPr="006742EE">
              <w:rPr>
                <w:b/>
                <w:sz w:val="20"/>
                <w:szCs w:val="20"/>
              </w:rPr>
              <w:t>Kopā:</w:t>
            </w:r>
          </w:p>
        </w:tc>
        <w:tc>
          <w:tcPr>
            <w:tcW w:w="1160" w:type="dxa"/>
            <w:noWrap/>
            <w:hideMark/>
          </w:tcPr>
          <w:p w:rsidR="00853416" w:rsidRPr="006742EE" w:rsidRDefault="00853416" w:rsidP="0034349F">
            <w:pPr>
              <w:jc w:val="right"/>
              <w:rPr>
                <w:b/>
                <w:bCs/>
                <w:sz w:val="20"/>
                <w:szCs w:val="20"/>
              </w:rPr>
            </w:pPr>
            <w:r w:rsidRPr="006742EE">
              <w:rPr>
                <w:b/>
                <w:bCs/>
                <w:sz w:val="20"/>
                <w:szCs w:val="20"/>
              </w:rPr>
              <w:t>275,</w:t>
            </w:r>
            <w:r w:rsidR="0034349F">
              <w:rPr>
                <w:b/>
                <w:bCs/>
                <w:sz w:val="20"/>
                <w:szCs w:val="20"/>
              </w:rPr>
              <w:t>2</w:t>
            </w:r>
          </w:p>
        </w:tc>
        <w:tc>
          <w:tcPr>
            <w:tcW w:w="1015" w:type="dxa"/>
            <w:noWrap/>
            <w:hideMark/>
          </w:tcPr>
          <w:p w:rsidR="00853416" w:rsidRPr="006742EE" w:rsidRDefault="00853416" w:rsidP="0034349F">
            <w:pPr>
              <w:jc w:val="right"/>
              <w:rPr>
                <w:b/>
                <w:bCs/>
                <w:sz w:val="20"/>
                <w:szCs w:val="20"/>
              </w:rPr>
            </w:pPr>
            <w:r w:rsidRPr="006742EE">
              <w:rPr>
                <w:b/>
                <w:bCs/>
                <w:sz w:val="20"/>
                <w:szCs w:val="20"/>
              </w:rPr>
              <w:t>5</w:t>
            </w:r>
            <w:r w:rsidR="0034349F">
              <w:rPr>
                <w:b/>
                <w:bCs/>
                <w:sz w:val="20"/>
                <w:szCs w:val="20"/>
              </w:rPr>
              <w:t>53</w:t>
            </w:r>
            <w:r w:rsidRPr="006742EE">
              <w:rPr>
                <w:b/>
                <w:bCs/>
                <w:sz w:val="20"/>
                <w:szCs w:val="20"/>
              </w:rPr>
              <w:t>,</w:t>
            </w:r>
            <w:r w:rsidR="0034349F">
              <w:rPr>
                <w:b/>
                <w:bCs/>
                <w:sz w:val="20"/>
                <w:szCs w:val="20"/>
              </w:rPr>
              <w:t>1</w:t>
            </w:r>
          </w:p>
        </w:tc>
        <w:tc>
          <w:tcPr>
            <w:tcW w:w="1015" w:type="dxa"/>
            <w:noWrap/>
            <w:hideMark/>
          </w:tcPr>
          <w:p w:rsidR="00853416" w:rsidRPr="006742EE" w:rsidRDefault="00853416" w:rsidP="0034349F">
            <w:pPr>
              <w:jc w:val="right"/>
              <w:rPr>
                <w:b/>
                <w:bCs/>
                <w:sz w:val="20"/>
                <w:szCs w:val="20"/>
              </w:rPr>
            </w:pPr>
            <w:r w:rsidRPr="006742EE">
              <w:rPr>
                <w:b/>
                <w:bCs/>
                <w:sz w:val="20"/>
                <w:szCs w:val="20"/>
              </w:rPr>
              <w:t>82</w:t>
            </w:r>
            <w:r w:rsidR="0034349F">
              <w:rPr>
                <w:b/>
                <w:bCs/>
                <w:sz w:val="20"/>
                <w:szCs w:val="20"/>
              </w:rPr>
              <w:t>7</w:t>
            </w:r>
            <w:r w:rsidRPr="006742EE">
              <w:rPr>
                <w:b/>
                <w:bCs/>
                <w:sz w:val="20"/>
                <w:szCs w:val="20"/>
              </w:rPr>
              <w:t>,</w:t>
            </w:r>
            <w:r w:rsidR="0034349F">
              <w:rPr>
                <w:b/>
                <w:bCs/>
                <w:sz w:val="20"/>
                <w:szCs w:val="20"/>
              </w:rPr>
              <w:t>1</w:t>
            </w:r>
          </w:p>
        </w:tc>
        <w:tc>
          <w:tcPr>
            <w:tcW w:w="1015" w:type="dxa"/>
            <w:noWrap/>
            <w:hideMark/>
          </w:tcPr>
          <w:p w:rsidR="00853416" w:rsidRPr="006742EE" w:rsidRDefault="00853416" w:rsidP="00E17D9A">
            <w:pPr>
              <w:jc w:val="right"/>
              <w:rPr>
                <w:b/>
                <w:bCs/>
                <w:sz w:val="20"/>
                <w:szCs w:val="20"/>
              </w:rPr>
            </w:pPr>
            <w:r w:rsidRPr="006742EE">
              <w:rPr>
                <w:b/>
                <w:bCs/>
                <w:sz w:val="20"/>
                <w:szCs w:val="20"/>
              </w:rPr>
              <w:t>7</w:t>
            </w:r>
            <w:r w:rsidR="00E17D9A">
              <w:rPr>
                <w:b/>
                <w:bCs/>
                <w:sz w:val="20"/>
                <w:szCs w:val="20"/>
              </w:rPr>
              <w:t>90</w:t>
            </w:r>
            <w:r w:rsidRPr="006742EE">
              <w:rPr>
                <w:b/>
                <w:bCs/>
                <w:sz w:val="20"/>
                <w:szCs w:val="20"/>
              </w:rPr>
              <w:t>,</w:t>
            </w:r>
            <w:r w:rsidR="00007F7C">
              <w:rPr>
                <w:b/>
                <w:bCs/>
                <w:sz w:val="20"/>
                <w:szCs w:val="20"/>
              </w:rPr>
              <w:t>7</w:t>
            </w:r>
          </w:p>
        </w:tc>
        <w:tc>
          <w:tcPr>
            <w:tcW w:w="1016" w:type="dxa"/>
            <w:noWrap/>
            <w:hideMark/>
          </w:tcPr>
          <w:p w:rsidR="00853416" w:rsidRPr="006742EE" w:rsidRDefault="00853416" w:rsidP="001F0DD7">
            <w:pPr>
              <w:jc w:val="right"/>
              <w:rPr>
                <w:b/>
                <w:bCs/>
                <w:sz w:val="20"/>
                <w:szCs w:val="20"/>
              </w:rPr>
            </w:pPr>
            <w:r w:rsidRPr="006742EE">
              <w:rPr>
                <w:b/>
                <w:bCs/>
                <w:sz w:val="20"/>
                <w:szCs w:val="20"/>
              </w:rPr>
              <w:t>4</w:t>
            </w:r>
            <w:r w:rsidR="001F0DD7">
              <w:rPr>
                <w:b/>
                <w:bCs/>
                <w:sz w:val="20"/>
                <w:szCs w:val="20"/>
              </w:rPr>
              <w:t>3</w:t>
            </w:r>
            <w:r w:rsidRPr="006742EE">
              <w:rPr>
                <w:b/>
                <w:bCs/>
                <w:sz w:val="20"/>
                <w:szCs w:val="20"/>
              </w:rPr>
              <w:t>8,</w:t>
            </w:r>
            <w:r w:rsidR="00007F7C">
              <w:rPr>
                <w:b/>
                <w:bCs/>
                <w:sz w:val="20"/>
                <w:szCs w:val="20"/>
              </w:rPr>
              <w:t>1</w:t>
            </w:r>
          </w:p>
        </w:tc>
        <w:tc>
          <w:tcPr>
            <w:tcW w:w="874" w:type="dxa"/>
            <w:noWrap/>
            <w:hideMark/>
          </w:tcPr>
          <w:p w:rsidR="00853416" w:rsidRPr="006742EE" w:rsidRDefault="00853416" w:rsidP="001F0DD7">
            <w:pPr>
              <w:jc w:val="right"/>
              <w:rPr>
                <w:b/>
                <w:bCs/>
                <w:sz w:val="20"/>
                <w:szCs w:val="20"/>
              </w:rPr>
            </w:pPr>
            <w:r w:rsidRPr="006742EE">
              <w:rPr>
                <w:b/>
                <w:bCs/>
                <w:sz w:val="20"/>
                <w:szCs w:val="20"/>
              </w:rPr>
              <w:t>2</w:t>
            </w:r>
            <w:r w:rsidR="001F0DD7">
              <w:rPr>
                <w:b/>
                <w:bCs/>
                <w:sz w:val="20"/>
                <w:szCs w:val="20"/>
              </w:rPr>
              <w:t>2</w:t>
            </w:r>
            <w:r w:rsidR="00007F7C">
              <w:rPr>
                <w:b/>
                <w:bCs/>
                <w:sz w:val="20"/>
                <w:szCs w:val="20"/>
              </w:rPr>
              <w:t>6</w:t>
            </w:r>
            <w:r w:rsidRPr="006742EE">
              <w:rPr>
                <w:b/>
                <w:bCs/>
                <w:sz w:val="20"/>
                <w:szCs w:val="20"/>
              </w:rPr>
              <w:t>,</w:t>
            </w:r>
            <w:r w:rsidR="00007F7C">
              <w:rPr>
                <w:b/>
                <w:bCs/>
                <w:sz w:val="20"/>
                <w:szCs w:val="20"/>
              </w:rPr>
              <w:t>6</w:t>
            </w:r>
          </w:p>
        </w:tc>
      </w:tr>
      <w:tr w:rsidR="00853416" w:rsidRPr="006742EE" w:rsidTr="00D97E81">
        <w:trPr>
          <w:trHeight w:val="318"/>
        </w:trPr>
        <w:tc>
          <w:tcPr>
            <w:tcW w:w="3256" w:type="dxa"/>
            <w:noWrap/>
            <w:hideMark/>
          </w:tcPr>
          <w:p w:rsidR="00853416" w:rsidRPr="006742EE" w:rsidRDefault="00853416" w:rsidP="00824DE8">
            <w:pPr>
              <w:rPr>
                <w:sz w:val="20"/>
                <w:szCs w:val="20"/>
              </w:rPr>
            </w:pPr>
            <w:r>
              <w:rPr>
                <w:sz w:val="20"/>
                <w:szCs w:val="20"/>
              </w:rPr>
              <w:t>Ietvars 2013 – 2015</w:t>
            </w:r>
          </w:p>
        </w:tc>
        <w:tc>
          <w:tcPr>
            <w:tcW w:w="1160" w:type="dxa"/>
            <w:shd w:val="clear" w:color="auto" w:fill="D9D9D9" w:themeFill="background1" w:themeFillShade="D9"/>
            <w:noWrap/>
            <w:hideMark/>
          </w:tcPr>
          <w:p w:rsidR="00853416" w:rsidRPr="006742EE" w:rsidRDefault="00853416" w:rsidP="0034349F">
            <w:pPr>
              <w:jc w:val="right"/>
              <w:rPr>
                <w:sz w:val="20"/>
                <w:szCs w:val="20"/>
              </w:rPr>
            </w:pPr>
            <w:r w:rsidRPr="006742EE">
              <w:rPr>
                <w:sz w:val="20"/>
                <w:szCs w:val="20"/>
              </w:rPr>
              <w:t>275,</w:t>
            </w:r>
            <w:r w:rsidR="0034349F">
              <w:rPr>
                <w:sz w:val="20"/>
                <w:szCs w:val="20"/>
              </w:rPr>
              <w:t>2</w:t>
            </w:r>
          </w:p>
        </w:tc>
        <w:tc>
          <w:tcPr>
            <w:tcW w:w="1015" w:type="dxa"/>
            <w:shd w:val="clear" w:color="auto" w:fill="D9D9D9" w:themeFill="background1" w:themeFillShade="D9"/>
            <w:noWrap/>
            <w:hideMark/>
          </w:tcPr>
          <w:p w:rsidR="00853416" w:rsidRPr="006742EE" w:rsidRDefault="00853416" w:rsidP="0034349F">
            <w:pPr>
              <w:jc w:val="right"/>
              <w:rPr>
                <w:sz w:val="20"/>
                <w:szCs w:val="20"/>
              </w:rPr>
            </w:pPr>
            <w:r w:rsidRPr="006742EE">
              <w:rPr>
                <w:sz w:val="20"/>
                <w:szCs w:val="20"/>
              </w:rPr>
              <w:t>28</w:t>
            </w:r>
            <w:r w:rsidR="0034349F">
              <w:rPr>
                <w:sz w:val="20"/>
                <w:szCs w:val="20"/>
              </w:rPr>
              <w:t>6</w:t>
            </w:r>
            <w:r w:rsidRPr="006742EE">
              <w:rPr>
                <w:sz w:val="20"/>
                <w:szCs w:val="20"/>
              </w:rPr>
              <w:t>,</w:t>
            </w:r>
            <w:r w:rsidR="0034349F">
              <w:rPr>
                <w:sz w:val="20"/>
                <w:szCs w:val="20"/>
              </w:rPr>
              <w:t>3</w:t>
            </w:r>
          </w:p>
        </w:tc>
        <w:tc>
          <w:tcPr>
            <w:tcW w:w="1015" w:type="dxa"/>
            <w:shd w:val="clear" w:color="auto" w:fill="D9D9D9" w:themeFill="background1" w:themeFillShade="D9"/>
            <w:noWrap/>
            <w:hideMark/>
          </w:tcPr>
          <w:p w:rsidR="00853416" w:rsidRPr="006742EE" w:rsidRDefault="00853416" w:rsidP="0034349F">
            <w:pPr>
              <w:jc w:val="right"/>
              <w:rPr>
                <w:sz w:val="20"/>
                <w:szCs w:val="20"/>
              </w:rPr>
            </w:pPr>
            <w:r w:rsidRPr="006742EE">
              <w:rPr>
                <w:sz w:val="20"/>
                <w:szCs w:val="20"/>
              </w:rPr>
              <w:t>2</w:t>
            </w:r>
            <w:r w:rsidR="0034349F">
              <w:rPr>
                <w:sz w:val="20"/>
                <w:szCs w:val="20"/>
              </w:rPr>
              <w:t>72</w:t>
            </w:r>
            <w:r w:rsidRPr="006742EE">
              <w:rPr>
                <w:sz w:val="20"/>
                <w:szCs w:val="20"/>
              </w:rPr>
              <w:t>,</w:t>
            </w:r>
            <w:r w:rsidR="0034349F">
              <w:rPr>
                <w:sz w:val="20"/>
                <w:szCs w:val="20"/>
              </w:rPr>
              <w:t>1</w:t>
            </w:r>
          </w:p>
        </w:tc>
        <w:tc>
          <w:tcPr>
            <w:tcW w:w="1015" w:type="dxa"/>
            <w:noWrap/>
          </w:tcPr>
          <w:p w:rsidR="00853416" w:rsidRPr="006742EE" w:rsidRDefault="00853416" w:rsidP="00980172">
            <w:pPr>
              <w:jc w:val="right"/>
              <w:rPr>
                <w:sz w:val="20"/>
                <w:szCs w:val="20"/>
              </w:rPr>
            </w:pPr>
          </w:p>
        </w:tc>
        <w:tc>
          <w:tcPr>
            <w:tcW w:w="1016" w:type="dxa"/>
            <w:noWrap/>
          </w:tcPr>
          <w:p w:rsidR="00853416" w:rsidRPr="006742EE" w:rsidRDefault="00853416" w:rsidP="00980172">
            <w:pPr>
              <w:jc w:val="right"/>
              <w:rPr>
                <w:sz w:val="20"/>
                <w:szCs w:val="20"/>
              </w:rPr>
            </w:pPr>
          </w:p>
        </w:tc>
        <w:tc>
          <w:tcPr>
            <w:tcW w:w="874" w:type="dxa"/>
            <w:noWrap/>
          </w:tcPr>
          <w:p w:rsidR="00853416" w:rsidRPr="006742EE" w:rsidRDefault="00853416" w:rsidP="00980172">
            <w:pPr>
              <w:jc w:val="right"/>
              <w:rPr>
                <w:sz w:val="20"/>
                <w:szCs w:val="20"/>
              </w:rPr>
            </w:pPr>
          </w:p>
        </w:tc>
      </w:tr>
      <w:tr w:rsidR="00853416" w:rsidRPr="006742EE" w:rsidTr="00D97E81">
        <w:trPr>
          <w:trHeight w:val="318"/>
        </w:trPr>
        <w:tc>
          <w:tcPr>
            <w:tcW w:w="3256" w:type="dxa"/>
            <w:noWrap/>
            <w:hideMark/>
          </w:tcPr>
          <w:p w:rsidR="00853416" w:rsidRPr="006742EE" w:rsidRDefault="00853416" w:rsidP="00824DE8">
            <w:pPr>
              <w:rPr>
                <w:sz w:val="20"/>
                <w:szCs w:val="20"/>
              </w:rPr>
            </w:pPr>
            <w:r>
              <w:rPr>
                <w:sz w:val="20"/>
                <w:szCs w:val="20"/>
              </w:rPr>
              <w:t>Ietvars 2014 – 2016</w:t>
            </w:r>
          </w:p>
        </w:tc>
        <w:tc>
          <w:tcPr>
            <w:tcW w:w="1160" w:type="dxa"/>
            <w:noWrap/>
          </w:tcPr>
          <w:p w:rsidR="00853416" w:rsidRPr="006742EE" w:rsidRDefault="00853416" w:rsidP="00980172">
            <w:pPr>
              <w:jc w:val="right"/>
              <w:rPr>
                <w:sz w:val="20"/>
                <w:szCs w:val="20"/>
              </w:rPr>
            </w:pPr>
          </w:p>
        </w:tc>
        <w:tc>
          <w:tcPr>
            <w:tcW w:w="1015" w:type="dxa"/>
            <w:shd w:val="clear" w:color="auto" w:fill="D9D9D9" w:themeFill="background1" w:themeFillShade="D9"/>
            <w:noWrap/>
            <w:hideMark/>
          </w:tcPr>
          <w:p w:rsidR="00853416" w:rsidRPr="006742EE" w:rsidRDefault="00853416" w:rsidP="00980172">
            <w:pPr>
              <w:jc w:val="right"/>
              <w:rPr>
                <w:sz w:val="20"/>
                <w:szCs w:val="20"/>
              </w:rPr>
            </w:pPr>
            <w:r w:rsidRPr="006742EE">
              <w:rPr>
                <w:sz w:val="20"/>
                <w:szCs w:val="20"/>
              </w:rPr>
              <w:t>266,8</w:t>
            </w:r>
          </w:p>
        </w:tc>
        <w:tc>
          <w:tcPr>
            <w:tcW w:w="1015" w:type="dxa"/>
            <w:shd w:val="clear" w:color="auto" w:fill="D9D9D9" w:themeFill="background1" w:themeFillShade="D9"/>
            <w:noWrap/>
            <w:hideMark/>
          </w:tcPr>
          <w:p w:rsidR="00853416" w:rsidRPr="006742EE" w:rsidRDefault="00853416" w:rsidP="00980172">
            <w:pPr>
              <w:jc w:val="right"/>
              <w:rPr>
                <w:sz w:val="20"/>
                <w:szCs w:val="20"/>
              </w:rPr>
            </w:pPr>
            <w:r w:rsidRPr="006742EE">
              <w:rPr>
                <w:sz w:val="20"/>
                <w:szCs w:val="20"/>
              </w:rPr>
              <w:t>393,1</w:t>
            </w:r>
          </w:p>
        </w:tc>
        <w:tc>
          <w:tcPr>
            <w:tcW w:w="1015" w:type="dxa"/>
            <w:shd w:val="clear" w:color="auto" w:fill="D9D9D9" w:themeFill="background1" w:themeFillShade="D9"/>
            <w:noWrap/>
            <w:hideMark/>
          </w:tcPr>
          <w:p w:rsidR="00853416" w:rsidRPr="006742EE" w:rsidRDefault="00853416" w:rsidP="00980172">
            <w:pPr>
              <w:jc w:val="right"/>
              <w:rPr>
                <w:sz w:val="20"/>
                <w:szCs w:val="20"/>
              </w:rPr>
            </w:pPr>
            <w:r w:rsidRPr="006742EE">
              <w:rPr>
                <w:sz w:val="20"/>
                <w:szCs w:val="20"/>
              </w:rPr>
              <w:t>443,4</w:t>
            </w:r>
          </w:p>
        </w:tc>
        <w:tc>
          <w:tcPr>
            <w:tcW w:w="1016" w:type="dxa"/>
            <w:noWrap/>
          </w:tcPr>
          <w:p w:rsidR="00853416" w:rsidRPr="006742EE" w:rsidRDefault="00853416" w:rsidP="00980172">
            <w:pPr>
              <w:jc w:val="right"/>
              <w:rPr>
                <w:sz w:val="20"/>
                <w:szCs w:val="20"/>
              </w:rPr>
            </w:pPr>
          </w:p>
        </w:tc>
        <w:tc>
          <w:tcPr>
            <w:tcW w:w="874" w:type="dxa"/>
            <w:noWrap/>
          </w:tcPr>
          <w:p w:rsidR="00853416" w:rsidRPr="006742EE" w:rsidRDefault="00853416" w:rsidP="00980172">
            <w:pPr>
              <w:jc w:val="right"/>
              <w:rPr>
                <w:sz w:val="20"/>
                <w:szCs w:val="20"/>
              </w:rPr>
            </w:pPr>
          </w:p>
        </w:tc>
      </w:tr>
      <w:tr w:rsidR="00853416" w:rsidRPr="006742EE" w:rsidTr="00D97E81">
        <w:trPr>
          <w:trHeight w:val="318"/>
        </w:trPr>
        <w:tc>
          <w:tcPr>
            <w:tcW w:w="3256" w:type="dxa"/>
            <w:noWrap/>
            <w:hideMark/>
          </w:tcPr>
          <w:p w:rsidR="00853416" w:rsidRPr="006742EE" w:rsidRDefault="00853416" w:rsidP="00824DE8">
            <w:pPr>
              <w:rPr>
                <w:sz w:val="20"/>
                <w:szCs w:val="20"/>
              </w:rPr>
            </w:pPr>
            <w:r>
              <w:rPr>
                <w:sz w:val="20"/>
                <w:szCs w:val="20"/>
              </w:rPr>
              <w:t>Ietvars 2015 – 2017</w:t>
            </w:r>
          </w:p>
        </w:tc>
        <w:tc>
          <w:tcPr>
            <w:tcW w:w="1160" w:type="dxa"/>
            <w:noWrap/>
          </w:tcPr>
          <w:p w:rsidR="00853416" w:rsidRPr="006742EE" w:rsidRDefault="00853416" w:rsidP="00980172">
            <w:pPr>
              <w:jc w:val="right"/>
              <w:rPr>
                <w:sz w:val="20"/>
                <w:szCs w:val="20"/>
              </w:rPr>
            </w:pPr>
          </w:p>
        </w:tc>
        <w:tc>
          <w:tcPr>
            <w:tcW w:w="1015" w:type="dxa"/>
            <w:noWrap/>
            <w:hideMark/>
          </w:tcPr>
          <w:p w:rsidR="00853416" w:rsidRPr="006742EE" w:rsidRDefault="00AD4934" w:rsidP="00AD4934">
            <w:pPr>
              <w:tabs>
                <w:tab w:val="center" w:pos="388"/>
                <w:tab w:val="right" w:pos="776"/>
              </w:tabs>
              <w:rPr>
                <w:sz w:val="20"/>
                <w:szCs w:val="20"/>
              </w:rPr>
            </w:pPr>
            <w:r>
              <w:rPr>
                <w:sz w:val="20"/>
                <w:szCs w:val="20"/>
              </w:rPr>
              <w:tab/>
            </w:r>
          </w:p>
        </w:tc>
        <w:tc>
          <w:tcPr>
            <w:tcW w:w="1015" w:type="dxa"/>
            <w:shd w:val="clear" w:color="auto" w:fill="D9D9D9" w:themeFill="background1" w:themeFillShade="D9"/>
            <w:noWrap/>
            <w:hideMark/>
          </w:tcPr>
          <w:p w:rsidR="00853416" w:rsidRPr="006742EE" w:rsidRDefault="00853416" w:rsidP="00980172">
            <w:pPr>
              <w:jc w:val="right"/>
              <w:rPr>
                <w:sz w:val="20"/>
                <w:szCs w:val="20"/>
              </w:rPr>
            </w:pPr>
            <w:r w:rsidRPr="006742EE">
              <w:rPr>
                <w:sz w:val="20"/>
                <w:szCs w:val="20"/>
              </w:rPr>
              <w:t>162,0</w:t>
            </w:r>
          </w:p>
        </w:tc>
        <w:tc>
          <w:tcPr>
            <w:tcW w:w="1015" w:type="dxa"/>
            <w:shd w:val="clear" w:color="auto" w:fill="D9D9D9" w:themeFill="background1" w:themeFillShade="D9"/>
            <w:noWrap/>
            <w:hideMark/>
          </w:tcPr>
          <w:p w:rsidR="00853416" w:rsidRPr="006742EE" w:rsidRDefault="00853416" w:rsidP="00007F7C">
            <w:pPr>
              <w:jc w:val="right"/>
              <w:rPr>
                <w:sz w:val="20"/>
                <w:szCs w:val="20"/>
              </w:rPr>
            </w:pPr>
            <w:r w:rsidRPr="006742EE">
              <w:rPr>
                <w:sz w:val="20"/>
                <w:szCs w:val="20"/>
              </w:rPr>
              <w:t>20</w:t>
            </w:r>
            <w:r w:rsidR="00007F7C">
              <w:rPr>
                <w:sz w:val="20"/>
                <w:szCs w:val="20"/>
              </w:rPr>
              <w:t>2</w:t>
            </w:r>
            <w:r w:rsidRPr="006742EE">
              <w:rPr>
                <w:sz w:val="20"/>
                <w:szCs w:val="20"/>
              </w:rPr>
              <w:t>,1</w:t>
            </w:r>
          </w:p>
        </w:tc>
        <w:tc>
          <w:tcPr>
            <w:tcW w:w="1016" w:type="dxa"/>
            <w:shd w:val="clear" w:color="auto" w:fill="D9D9D9" w:themeFill="background1" w:themeFillShade="D9"/>
            <w:noWrap/>
            <w:hideMark/>
          </w:tcPr>
          <w:p w:rsidR="00853416" w:rsidRPr="006742EE" w:rsidRDefault="00853416" w:rsidP="00980172">
            <w:pPr>
              <w:jc w:val="right"/>
              <w:rPr>
                <w:sz w:val="20"/>
                <w:szCs w:val="20"/>
              </w:rPr>
            </w:pPr>
            <w:r w:rsidRPr="006742EE">
              <w:rPr>
                <w:sz w:val="20"/>
                <w:szCs w:val="20"/>
              </w:rPr>
              <w:t>256,0</w:t>
            </w:r>
          </w:p>
        </w:tc>
        <w:tc>
          <w:tcPr>
            <w:tcW w:w="874" w:type="dxa"/>
            <w:noWrap/>
            <w:hideMark/>
          </w:tcPr>
          <w:p w:rsidR="00853416" w:rsidRPr="006742EE" w:rsidRDefault="00853416" w:rsidP="00980172">
            <w:pPr>
              <w:jc w:val="right"/>
              <w:rPr>
                <w:sz w:val="20"/>
                <w:szCs w:val="20"/>
              </w:rPr>
            </w:pPr>
          </w:p>
        </w:tc>
      </w:tr>
      <w:tr w:rsidR="00853416" w:rsidRPr="006742EE" w:rsidTr="00D97E81">
        <w:trPr>
          <w:trHeight w:val="253"/>
        </w:trPr>
        <w:tc>
          <w:tcPr>
            <w:tcW w:w="3256" w:type="dxa"/>
            <w:hideMark/>
          </w:tcPr>
          <w:p w:rsidR="00853416" w:rsidRPr="006742EE" w:rsidRDefault="00853416" w:rsidP="00824DE8">
            <w:pPr>
              <w:rPr>
                <w:sz w:val="20"/>
                <w:szCs w:val="20"/>
              </w:rPr>
            </w:pPr>
            <w:r>
              <w:rPr>
                <w:sz w:val="20"/>
                <w:szCs w:val="20"/>
              </w:rPr>
              <w:t>Ietvars 2016 – 2018</w:t>
            </w:r>
          </w:p>
        </w:tc>
        <w:tc>
          <w:tcPr>
            <w:tcW w:w="1160" w:type="dxa"/>
            <w:noWrap/>
          </w:tcPr>
          <w:p w:rsidR="00853416" w:rsidRPr="006742EE" w:rsidRDefault="00853416" w:rsidP="00980172">
            <w:pPr>
              <w:jc w:val="right"/>
              <w:rPr>
                <w:sz w:val="20"/>
                <w:szCs w:val="20"/>
              </w:rPr>
            </w:pPr>
          </w:p>
        </w:tc>
        <w:tc>
          <w:tcPr>
            <w:tcW w:w="1015" w:type="dxa"/>
            <w:noWrap/>
            <w:hideMark/>
          </w:tcPr>
          <w:p w:rsidR="00853416" w:rsidRPr="006742EE" w:rsidRDefault="00853416" w:rsidP="00980172">
            <w:pPr>
              <w:jc w:val="right"/>
              <w:rPr>
                <w:sz w:val="20"/>
                <w:szCs w:val="20"/>
              </w:rPr>
            </w:pPr>
          </w:p>
        </w:tc>
        <w:tc>
          <w:tcPr>
            <w:tcW w:w="1015" w:type="dxa"/>
            <w:noWrap/>
            <w:hideMark/>
          </w:tcPr>
          <w:p w:rsidR="00853416" w:rsidRPr="006742EE" w:rsidRDefault="00853416" w:rsidP="00980172">
            <w:pPr>
              <w:jc w:val="right"/>
              <w:rPr>
                <w:sz w:val="20"/>
                <w:szCs w:val="20"/>
              </w:rPr>
            </w:pPr>
          </w:p>
        </w:tc>
        <w:tc>
          <w:tcPr>
            <w:tcW w:w="1015" w:type="dxa"/>
            <w:shd w:val="clear" w:color="auto" w:fill="D9D9D9" w:themeFill="background1" w:themeFillShade="D9"/>
            <w:noWrap/>
            <w:hideMark/>
          </w:tcPr>
          <w:p w:rsidR="00853416" w:rsidRPr="006742EE" w:rsidRDefault="001F0DD7" w:rsidP="00E17D9A">
            <w:pPr>
              <w:jc w:val="right"/>
              <w:rPr>
                <w:sz w:val="20"/>
                <w:szCs w:val="20"/>
              </w:rPr>
            </w:pPr>
            <w:r>
              <w:rPr>
                <w:bCs/>
                <w:sz w:val="20"/>
                <w:szCs w:val="20"/>
              </w:rPr>
              <w:t>1</w:t>
            </w:r>
            <w:r w:rsidR="00E17D9A">
              <w:rPr>
                <w:bCs/>
                <w:sz w:val="20"/>
                <w:szCs w:val="20"/>
              </w:rPr>
              <w:t>45</w:t>
            </w:r>
            <w:r w:rsidR="00853416" w:rsidRPr="006742EE">
              <w:rPr>
                <w:bCs/>
                <w:sz w:val="20"/>
                <w:szCs w:val="20"/>
              </w:rPr>
              <w:t>,</w:t>
            </w:r>
            <w:r w:rsidR="00007F7C">
              <w:rPr>
                <w:bCs/>
                <w:sz w:val="20"/>
                <w:szCs w:val="20"/>
              </w:rPr>
              <w:t>2</w:t>
            </w:r>
          </w:p>
        </w:tc>
        <w:tc>
          <w:tcPr>
            <w:tcW w:w="1016" w:type="dxa"/>
            <w:shd w:val="clear" w:color="auto" w:fill="D9D9D9" w:themeFill="background1" w:themeFillShade="D9"/>
            <w:noWrap/>
            <w:hideMark/>
          </w:tcPr>
          <w:p w:rsidR="00853416" w:rsidRPr="006742EE" w:rsidRDefault="00853416" w:rsidP="001F0DD7">
            <w:pPr>
              <w:jc w:val="right"/>
              <w:rPr>
                <w:sz w:val="20"/>
                <w:szCs w:val="20"/>
              </w:rPr>
            </w:pPr>
            <w:r w:rsidRPr="006742EE">
              <w:rPr>
                <w:bCs/>
                <w:sz w:val="20"/>
                <w:szCs w:val="20"/>
              </w:rPr>
              <w:t>1</w:t>
            </w:r>
            <w:r w:rsidR="001F0DD7">
              <w:rPr>
                <w:bCs/>
                <w:sz w:val="20"/>
                <w:szCs w:val="20"/>
              </w:rPr>
              <w:t>8</w:t>
            </w:r>
            <w:r w:rsidRPr="006742EE">
              <w:rPr>
                <w:bCs/>
                <w:sz w:val="20"/>
                <w:szCs w:val="20"/>
              </w:rPr>
              <w:t>2,</w:t>
            </w:r>
            <w:r w:rsidR="00007F7C">
              <w:rPr>
                <w:bCs/>
                <w:sz w:val="20"/>
                <w:szCs w:val="20"/>
              </w:rPr>
              <w:t>1</w:t>
            </w:r>
          </w:p>
        </w:tc>
        <w:tc>
          <w:tcPr>
            <w:tcW w:w="874" w:type="dxa"/>
            <w:shd w:val="clear" w:color="auto" w:fill="D9D9D9" w:themeFill="background1" w:themeFillShade="D9"/>
            <w:noWrap/>
            <w:hideMark/>
          </w:tcPr>
          <w:p w:rsidR="00853416" w:rsidRPr="006742EE" w:rsidRDefault="00853416" w:rsidP="001F0DD7">
            <w:pPr>
              <w:jc w:val="right"/>
              <w:rPr>
                <w:sz w:val="20"/>
                <w:szCs w:val="20"/>
              </w:rPr>
            </w:pPr>
            <w:r w:rsidRPr="006742EE">
              <w:rPr>
                <w:bCs/>
                <w:sz w:val="20"/>
                <w:szCs w:val="20"/>
              </w:rPr>
              <w:t>2</w:t>
            </w:r>
            <w:r w:rsidR="001F0DD7">
              <w:rPr>
                <w:bCs/>
                <w:sz w:val="20"/>
                <w:szCs w:val="20"/>
              </w:rPr>
              <w:t>2</w:t>
            </w:r>
            <w:r w:rsidR="00007F7C">
              <w:rPr>
                <w:bCs/>
                <w:sz w:val="20"/>
                <w:szCs w:val="20"/>
              </w:rPr>
              <w:t>6</w:t>
            </w:r>
            <w:r w:rsidRPr="006742EE">
              <w:rPr>
                <w:bCs/>
                <w:sz w:val="20"/>
                <w:szCs w:val="20"/>
              </w:rPr>
              <w:t>,</w:t>
            </w:r>
            <w:r w:rsidR="00007F7C">
              <w:rPr>
                <w:bCs/>
                <w:sz w:val="20"/>
                <w:szCs w:val="20"/>
              </w:rPr>
              <w:t>6</w:t>
            </w:r>
          </w:p>
        </w:tc>
      </w:tr>
    </w:tbl>
    <w:p w:rsidR="00BD09B3" w:rsidRPr="00983C88" w:rsidRDefault="00BD09B3" w:rsidP="00436A3F">
      <w:pPr>
        <w:spacing w:before="60" w:after="120"/>
        <w:rPr>
          <w:sz w:val="16"/>
          <w:szCs w:val="16"/>
        </w:rPr>
      </w:pPr>
    </w:p>
    <w:p w:rsidR="00AC6A4B" w:rsidRDefault="00436A3F" w:rsidP="00AC6A4B">
      <w:pPr>
        <w:ind w:firstLine="720"/>
        <w:jc w:val="both"/>
        <w:rPr>
          <w:sz w:val="16"/>
          <w:szCs w:val="16"/>
        </w:rPr>
      </w:pPr>
      <w:r>
        <w:rPr>
          <w:szCs w:val="24"/>
        </w:rPr>
        <w:t>4</w:t>
      </w:r>
      <w:r w:rsidR="00AC6A4B">
        <w:rPr>
          <w:szCs w:val="24"/>
        </w:rPr>
        <w:t>.attēlā</w:t>
      </w:r>
      <w:r w:rsidR="00AC6A4B" w:rsidRPr="006742EE">
        <w:rPr>
          <w:szCs w:val="24"/>
        </w:rPr>
        <w:t xml:space="preserve"> attēlotas ministrijas, k</w:t>
      </w:r>
      <w:r w:rsidR="00AC6A4B">
        <w:rPr>
          <w:szCs w:val="24"/>
        </w:rPr>
        <w:t>urām</w:t>
      </w:r>
      <w:r w:rsidR="00AC6A4B" w:rsidRPr="006742EE">
        <w:rPr>
          <w:szCs w:val="24"/>
        </w:rPr>
        <w:t xml:space="preserve"> </w:t>
      </w:r>
      <w:r w:rsidR="00AC6A4B">
        <w:rPr>
          <w:szCs w:val="24"/>
        </w:rPr>
        <w:t>2015. un 2016.gadā</w:t>
      </w:r>
      <w:r w:rsidR="00AC6A4B" w:rsidRPr="006742EE">
        <w:rPr>
          <w:szCs w:val="24"/>
        </w:rPr>
        <w:t xml:space="preserve"> </w:t>
      </w:r>
      <w:r w:rsidR="00AC6A4B">
        <w:rPr>
          <w:szCs w:val="24"/>
        </w:rPr>
        <w:t>JPI</w:t>
      </w:r>
      <w:r w:rsidR="00AC6A4B" w:rsidRPr="006742EE">
        <w:rPr>
          <w:szCs w:val="24"/>
        </w:rPr>
        <w:t xml:space="preserve"> finansējums piešķirts vairāk nekā 1 milj. </w:t>
      </w:r>
      <w:r w:rsidR="00AC6A4B" w:rsidRPr="006742EE">
        <w:rPr>
          <w:i/>
          <w:szCs w:val="24"/>
        </w:rPr>
        <w:t>euro</w:t>
      </w:r>
      <w:r w:rsidR="00AC6A4B" w:rsidRPr="006742EE">
        <w:rPr>
          <w:szCs w:val="24"/>
        </w:rPr>
        <w:t xml:space="preserve"> apmērā. </w:t>
      </w:r>
      <w:r w:rsidR="00EA26D0">
        <w:rPr>
          <w:szCs w:val="24"/>
        </w:rPr>
        <w:t>L</w:t>
      </w:r>
      <w:r w:rsidR="00AC6A4B" w:rsidRPr="006742EE">
        <w:rPr>
          <w:szCs w:val="24"/>
        </w:rPr>
        <w:t xml:space="preserve">ielākie </w:t>
      </w:r>
      <w:r w:rsidR="00AC6A4B">
        <w:rPr>
          <w:szCs w:val="24"/>
        </w:rPr>
        <w:t xml:space="preserve">2016.gada </w:t>
      </w:r>
      <w:r w:rsidR="00AC6A4B" w:rsidRPr="006742EE">
        <w:rPr>
          <w:szCs w:val="24"/>
        </w:rPr>
        <w:t xml:space="preserve">budžeta attīstības daļas piešķīrumi ir </w:t>
      </w:r>
      <w:r w:rsidR="00AC6A4B">
        <w:rPr>
          <w:szCs w:val="24"/>
        </w:rPr>
        <w:t>Aizsardzības</w:t>
      </w:r>
      <w:r w:rsidR="00EA26D0">
        <w:rPr>
          <w:szCs w:val="24"/>
        </w:rPr>
        <w:t xml:space="preserve"> un</w:t>
      </w:r>
      <w:r w:rsidR="00AC6A4B">
        <w:rPr>
          <w:szCs w:val="24"/>
        </w:rPr>
        <w:t xml:space="preserve"> </w:t>
      </w:r>
      <w:r w:rsidR="00AC6A4B" w:rsidRPr="006742EE">
        <w:rPr>
          <w:szCs w:val="24"/>
        </w:rPr>
        <w:t>Veselības ministrijām, kas</w:t>
      </w:r>
      <w:r w:rsidR="00AC6A4B">
        <w:rPr>
          <w:szCs w:val="24"/>
        </w:rPr>
        <w:t xml:space="preserve"> </w:t>
      </w:r>
      <w:r w:rsidR="00AC6A4B" w:rsidRPr="006742EE">
        <w:rPr>
          <w:szCs w:val="24"/>
        </w:rPr>
        <w:t xml:space="preserve">kopā veido </w:t>
      </w:r>
      <w:r w:rsidR="00EA26D0">
        <w:rPr>
          <w:szCs w:val="24"/>
        </w:rPr>
        <w:t>265,4</w:t>
      </w:r>
      <w:r w:rsidR="00AC6A4B">
        <w:rPr>
          <w:szCs w:val="24"/>
        </w:rPr>
        <w:t xml:space="preserve"> milj.</w:t>
      </w:r>
      <w:r w:rsidR="00AC6A4B" w:rsidRPr="006742EE">
        <w:rPr>
          <w:szCs w:val="24"/>
        </w:rPr>
        <w:t xml:space="preserve"> </w:t>
      </w:r>
      <w:r w:rsidR="00AC6A4B" w:rsidRPr="007B2EAD">
        <w:rPr>
          <w:i/>
          <w:szCs w:val="24"/>
        </w:rPr>
        <w:t>euro</w:t>
      </w:r>
      <w:r w:rsidR="00AC6A4B" w:rsidRPr="007B2EAD">
        <w:rPr>
          <w:szCs w:val="24"/>
        </w:rPr>
        <w:t xml:space="preserve"> jeb </w:t>
      </w:r>
      <w:r w:rsidR="00EA26D0" w:rsidRPr="007B2EAD">
        <w:rPr>
          <w:szCs w:val="24"/>
        </w:rPr>
        <w:t>3</w:t>
      </w:r>
      <w:r w:rsidR="007B2EAD">
        <w:rPr>
          <w:szCs w:val="24"/>
        </w:rPr>
        <w:t>3</w:t>
      </w:r>
      <w:r w:rsidR="00EA26D0" w:rsidRPr="007B2EAD">
        <w:rPr>
          <w:szCs w:val="24"/>
        </w:rPr>
        <w:t>,</w:t>
      </w:r>
      <w:r w:rsidR="007B2EAD">
        <w:rPr>
          <w:szCs w:val="24"/>
        </w:rPr>
        <w:t>6</w:t>
      </w:r>
      <w:r w:rsidR="00AC6A4B" w:rsidRPr="007B2EAD">
        <w:rPr>
          <w:szCs w:val="24"/>
        </w:rPr>
        <w:t xml:space="preserve">% no </w:t>
      </w:r>
      <w:r w:rsidR="00AC6A4B" w:rsidRPr="006742EE">
        <w:rPr>
          <w:szCs w:val="24"/>
        </w:rPr>
        <w:t xml:space="preserve">kopējā </w:t>
      </w:r>
      <w:r w:rsidR="00AC6A4B">
        <w:rPr>
          <w:szCs w:val="24"/>
        </w:rPr>
        <w:t>JPI finansējuma. Šāds finansējuma sadalījums ir pilnībā atbilstošs aktuālajām prioritātēm valsts drošības un veselības aprūpes jomās.</w:t>
      </w:r>
    </w:p>
    <w:p w:rsidR="00436A3F" w:rsidRPr="00E909FC" w:rsidRDefault="00436A3F" w:rsidP="00AC6A4B">
      <w:pPr>
        <w:ind w:firstLine="720"/>
        <w:jc w:val="both"/>
        <w:rPr>
          <w:sz w:val="20"/>
          <w:szCs w:val="20"/>
        </w:rPr>
      </w:pPr>
    </w:p>
    <w:p w:rsidR="00B32CD8" w:rsidRDefault="0063266C" w:rsidP="00436A3F">
      <w:pPr>
        <w:jc w:val="center"/>
        <w:rPr>
          <w:sz w:val="18"/>
          <w:szCs w:val="18"/>
        </w:rPr>
      </w:pPr>
      <w:r>
        <w:rPr>
          <w:noProof/>
          <w:lang w:eastAsia="lv-LV"/>
        </w:rPr>
        <w:drawing>
          <wp:inline distT="0" distB="0" distL="0" distR="0" wp14:anchorId="75E0827F" wp14:editId="15D41CC3">
            <wp:extent cx="5939790" cy="3994099"/>
            <wp:effectExtent l="0" t="0" r="3810" b="698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6A3F" w:rsidRPr="003877DA" w:rsidRDefault="00436A3F" w:rsidP="00436A3F">
      <w:pPr>
        <w:jc w:val="center"/>
        <w:rPr>
          <w:sz w:val="16"/>
          <w:szCs w:val="16"/>
        </w:rPr>
      </w:pPr>
    </w:p>
    <w:p w:rsidR="005E5883" w:rsidRPr="005E5883" w:rsidRDefault="00436A3F" w:rsidP="005E5883">
      <w:pPr>
        <w:spacing w:before="60" w:after="120"/>
        <w:jc w:val="center"/>
        <w:rPr>
          <w:b/>
          <w:i/>
          <w:sz w:val="16"/>
          <w:szCs w:val="16"/>
        </w:rPr>
      </w:pPr>
      <w:r>
        <w:rPr>
          <w:i/>
          <w:sz w:val="22"/>
        </w:rPr>
        <w:t>4</w:t>
      </w:r>
      <w:r w:rsidR="00DA5634" w:rsidRPr="006742EE">
        <w:rPr>
          <w:sz w:val="22"/>
        </w:rPr>
        <w:t>.</w:t>
      </w:r>
      <w:r w:rsidR="00DA5634" w:rsidRPr="006742EE">
        <w:rPr>
          <w:i/>
          <w:sz w:val="22"/>
        </w:rPr>
        <w:t>att</w:t>
      </w:r>
      <w:r w:rsidR="00DA5634" w:rsidRPr="006742EE">
        <w:rPr>
          <w:sz w:val="22"/>
        </w:rPr>
        <w:t>.</w:t>
      </w:r>
      <w:r w:rsidR="00DA5634" w:rsidRPr="006742EE">
        <w:rPr>
          <w:b/>
          <w:sz w:val="22"/>
        </w:rPr>
        <w:t xml:space="preserve"> </w:t>
      </w:r>
      <w:r w:rsidR="00E20733">
        <w:rPr>
          <w:b/>
          <w:sz w:val="22"/>
        </w:rPr>
        <w:t>JPI</w:t>
      </w:r>
      <w:r w:rsidR="00DA5634" w:rsidRPr="006742EE">
        <w:rPr>
          <w:b/>
          <w:sz w:val="22"/>
        </w:rPr>
        <w:t xml:space="preserve"> finansējums ministrijām </w:t>
      </w:r>
      <w:r w:rsidR="007D405D">
        <w:rPr>
          <w:b/>
          <w:sz w:val="22"/>
        </w:rPr>
        <w:t>201</w:t>
      </w:r>
      <w:r w:rsidR="002279D6">
        <w:rPr>
          <w:b/>
          <w:sz w:val="22"/>
        </w:rPr>
        <w:t>5</w:t>
      </w:r>
      <w:r w:rsidR="007D405D">
        <w:rPr>
          <w:b/>
          <w:sz w:val="22"/>
        </w:rPr>
        <w:t>.</w:t>
      </w:r>
      <w:r w:rsidR="002279D6">
        <w:rPr>
          <w:b/>
          <w:sz w:val="22"/>
        </w:rPr>
        <w:t xml:space="preserve"> un </w:t>
      </w:r>
      <w:r w:rsidR="00DA5634" w:rsidRPr="006742EE">
        <w:rPr>
          <w:b/>
          <w:sz w:val="22"/>
        </w:rPr>
        <w:t>201</w:t>
      </w:r>
      <w:r w:rsidR="002279D6">
        <w:rPr>
          <w:b/>
          <w:sz w:val="22"/>
        </w:rPr>
        <w:t>6</w:t>
      </w:r>
      <w:r w:rsidR="00AC426C">
        <w:rPr>
          <w:b/>
          <w:sz w:val="22"/>
        </w:rPr>
        <w:t>.gadā</w:t>
      </w:r>
      <w:r w:rsidR="00DA5634" w:rsidRPr="006742EE">
        <w:rPr>
          <w:b/>
          <w:sz w:val="22"/>
        </w:rPr>
        <w:t xml:space="preserve">, milj. </w:t>
      </w:r>
      <w:r w:rsidR="003877DA" w:rsidRPr="003877DA">
        <w:rPr>
          <w:b/>
          <w:i/>
          <w:sz w:val="22"/>
        </w:rPr>
        <w:t>euro</w:t>
      </w:r>
      <w:r w:rsidR="00A53BA6">
        <w:rPr>
          <w:b/>
          <w:i/>
          <w:sz w:val="22"/>
        </w:rPr>
        <w:t>*</w:t>
      </w:r>
      <w:r w:rsidR="005E5883">
        <w:rPr>
          <w:b/>
          <w:i/>
          <w:sz w:val="22"/>
        </w:rPr>
        <w:t>**</w:t>
      </w:r>
    </w:p>
    <w:p w:rsidR="005E5883" w:rsidRDefault="005E5883" w:rsidP="005E5883">
      <w:pPr>
        <w:rPr>
          <w:sz w:val="18"/>
          <w:szCs w:val="18"/>
        </w:rPr>
      </w:pPr>
      <w:r>
        <w:rPr>
          <w:sz w:val="18"/>
          <w:szCs w:val="18"/>
        </w:rPr>
        <w:t>*Mērķdotācijas pašvaldībām (t.sk., pedagogu algas)</w:t>
      </w:r>
    </w:p>
    <w:p w:rsidR="005E5883" w:rsidRDefault="005E5883" w:rsidP="005E5883">
      <w:pPr>
        <w:rPr>
          <w:sz w:val="18"/>
          <w:szCs w:val="18"/>
        </w:rPr>
      </w:pPr>
      <w:r>
        <w:rPr>
          <w:sz w:val="18"/>
          <w:szCs w:val="18"/>
        </w:rPr>
        <w:t>**</w:t>
      </w:r>
      <w:r w:rsidR="00AF1F5E">
        <w:rPr>
          <w:sz w:val="18"/>
          <w:szCs w:val="18"/>
        </w:rPr>
        <w:t>Gadskārtējā valsts budžeta izpildes procesā pārdalāmais finansēsjums</w:t>
      </w:r>
    </w:p>
    <w:p w:rsidR="003877DA" w:rsidRPr="003877DA" w:rsidRDefault="00A53BA6" w:rsidP="005E5883">
      <w:pPr>
        <w:rPr>
          <w:b/>
          <w:i/>
          <w:sz w:val="16"/>
          <w:szCs w:val="16"/>
        </w:rPr>
      </w:pPr>
      <w:r>
        <w:rPr>
          <w:sz w:val="18"/>
          <w:szCs w:val="18"/>
        </w:rPr>
        <w:t>*</w:t>
      </w:r>
      <w:r w:rsidR="005E5883">
        <w:rPr>
          <w:sz w:val="18"/>
          <w:szCs w:val="18"/>
        </w:rPr>
        <w:t>**</w:t>
      </w:r>
      <w:r w:rsidRPr="002C40E1">
        <w:rPr>
          <w:sz w:val="18"/>
          <w:szCs w:val="18"/>
        </w:rPr>
        <w:t>attēl</w:t>
      </w:r>
      <w:r>
        <w:rPr>
          <w:sz w:val="18"/>
          <w:szCs w:val="18"/>
        </w:rPr>
        <w:t>ā</w:t>
      </w:r>
      <w:r w:rsidRPr="002C40E1">
        <w:rPr>
          <w:sz w:val="18"/>
          <w:szCs w:val="18"/>
        </w:rPr>
        <w:t xml:space="preserve"> norādīti valsts budžeta neto izdevumi</w:t>
      </w:r>
    </w:p>
    <w:p w:rsidR="00A53BA6" w:rsidRDefault="00A53BA6" w:rsidP="003877DA">
      <w:pPr>
        <w:ind w:firstLine="720"/>
        <w:jc w:val="both"/>
        <w:rPr>
          <w:szCs w:val="24"/>
        </w:rPr>
      </w:pPr>
    </w:p>
    <w:p w:rsidR="00AB4973" w:rsidRPr="003877DA" w:rsidRDefault="00783078" w:rsidP="003877DA">
      <w:pPr>
        <w:ind w:firstLine="720"/>
        <w:jc w:val="both"/>
        <w:rPr>
          <w:sz w:val="16"/>
          <w:szCs w:val="16"/>
        </w:rPr>
      </w:pPr>
      <w:r>
        <w:rPr>
          <w:szCs w:val="24"/>
        </w:rPr>
        <w:t xml:space="preserve">Zemāk ievietotajā </w:t>
      </w:r>
      <w:r w:rsidR="003877DA">
        <w:rPr>
          <w:szCs w:val="24"/>
        </w:rPr>
        <w:t>5</w:t>
      </w:r>
      <w:r>
        <w:rPr>
          <w:szCs w:val="24"/>
        </w:rPr>
        <w:t>.attēlā</w:t>
      </w:r>
      <w:r w:rsidRPr="006742EE">
        <w:rPr>
          <w:szCs w:val="24"/>
        </w:rPr>
        <w:t xml:space="preserve"> </w:t>
      </w:r>
      <w:r>
        <w:rPr>
          <w:szCs w:val="24"/>
        </w:rPr>
        <w:t>apkopots</w:t>
      </w:r>
      <w:r w:rsidRPr="006742EE">
        <w:rPr>
          <w:szCs w:val="24"/>
        </w:rPr>
        <w:t xml:space="preserve"> </w:t>
      </w:r>
      <w:r>
        <w:rPr>
          <w:szCs w:val="24"/>
        </w:rPr>
        <w:t>2013.–2018.gadā piešķirtais</w:t>
      </w:r>
      <w:r w:rsidRPr="006742EE">
        <w:rPr>
          <w:szCs w:val="24"/>
        </w:rPr>
        <w:t xml:space="preserve"> </w:t>
      </w:r>
      <w:r>
        <w:rPr>
          <w:szCs w:val="24"/>
        </w:rPr>
        <w:t>JPI finansējums funkcionālā sadalījumā, kas uzskatāmi atspoguļo valdības prioritāšu dinamiku. Ja 2014. un 2015.gada izdevumos JPI finansējums ir vairāk izkliedēts pa visām valdības funkcijām, bet ar uzsvariem uz ekonomisko darbību un veselību, tad 2016. un 2017.gada papildu izdevumiem skaidri iezīmējas aizsardzības funkcija.</w:t>
      </w:r>
    </w:p>
    <w:p w:rsidR="00AC47CC" w:rsidRDefault="002516A4" w:rsidP="00AC47CC">
      <w:pPr>
        <w:jc w:val="both"/>
        <w:rPr>
          <w:szCs w:val="24"/>
        </w:rPr>
      </w:pPr>
      <w:r>
        <w:rPr>
          <w:noProof/>
          <w:lang w:eastAsia="lv-LV"/>
        </w:rPr>
        <w:lastRenderedPageBreak/>
        <w:drawing>
          <wp:inline distT="0" distB="0" distL="0" distR="0" wp14:anchorId="710601AA" wp14:editId="7B824C59">
            <wp:extent cx="5939790" cy="3452774"/>
            <wp:effectExtent l="0" t="0" r="381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47CC" w:rsidRPr="003877DA" w:rsidRDefault="00AC47CC" w:rsidP="007D405D">
      <w:pPr>
        <w:ind w:firstLine="709"/>
        <w:jc w:val="both"/>
        <w:rPr>
          <w:sz w:val="16"/>
          <w:szCs w:val="16"/>
        </w:rPr>
      </w:pPr>
    </w:p>
    <w:p w:rsidR="00AC47CC" w:rsidRDefault="003877DA" w:rsidP="00783078">
      <w:pPr>
        <w:spacing w:before="60" w:after="120"/>
        <w:jc w:val="center"/>
        <w:rPr>
          <w:b/>
          <w:i/>
          <w:sz w:val="16"/>
          <w:szCs w:val="16"/>
        </w:rPr>
      </w:pPr>
      <w:r>
        <w:rPr>
          <w:i/>
          <w:sz w:val="22"/>
        </w:rPr>
        <w:t>5</w:t>
      </w:r>
      <w:r w:rsidR="002659A6" w:rsidRPr="006742EE">
        <w:rPr>
          <w:sz w:val="22"/>
        </w:rPr>
        <w:t>.</w:t>
      </w:r>
      <w:r w:rsidR="002659A6" w:rsidRPr="006742EE">
        <w:rPr>
          <w:i/>
          <w:sz w:val="22"/>
        </w:rPr>
        <w:t>att</w:t>
      </w:r>
      <w:r w:rsidR="002659A6" w:rsidRPr="006742EE">
        <w:rPr>
          <w:sz w:val="22"/>
        </w:rPr>
        <w:t>.</w:t>
      </w:r>
      <w:r w:rsidR="002659A6" w:rsidRPr="006742EE">
        <w:rPr>
          <w:b/>
          <w:sz w:val="22"/>
        </w:rPr>
        <w:t xml:space="preserve"> </w:t>
      </w:r>
      <w:r w:rsidR="003829D6">
        <w:rPr>
          <w:b/>
          <w:sz w:val="22"/>
        </w:rPr>
        <w:t>JPI finansējums funkcionālajā sadalījumā 2013. – 2018.gadā</w:t>
      </w:r>
      <w:r w:rsidR="003829D6" w:rsidRPr="006742EE">
        <w:rPr>
          <w:b/>
          <w:sz w:val="22"/>
        </w:rPr>
        <w:t xml:space="preserve">, milj. </w:t>
      </w:r>
      <w:r w:rsidRPr="003877DA">
        <w:rPr>
          <w:b/>
          <w:i/>
          <w:sz w:val="22"/>
        </w:rPr>
        <w:t>euro</w:t>
      </w:r>
      <w:r w:rsidR="00A53BA6">
        <w:rPr>
          <w:b/>
          <w:i/>
          <w:sz w:val="22"/>
        </w:rPr>
        <w:t>*</w:t>
      </w:r>
    </w:p>
    <w:p w:rsidR="003877DA" w:rsidRPr="00A53BA6" w:rsidRDefault="00A53BA6" w:rsidP="00A53BA6">
      <w:pPr>
        <w:spacing w:before="60" w:after="120"/>
        <w:rPr>
          <w:b/>
          <w:i/>
          <w:sz w:val="16"/>
          <w:szCs w:val="16"/>
        </w:rPr>
      </w:pPr>
      <w:r>
        <w:rPr>
          <w:sz w:val="18"/>
          <w:szCs w:val="18"/>
        </w:rPr>
        <w:t>*</w:t>
      </w:r>
      <w:r w:rsidRPr="002C40E1">
        <w:rPr>
          <w:sz w:val="18"/>
          <w:szCs w:val="18"/>
        </w:rPr>
        <w:t>attēl</w:t>
      </w:r>
      <w:r>
        <w:rPr>
          <w:sz w:val="18"/>
          <w:szCs w:val="18"/>
        </w:rPr>
        <w:t>ā</w:t>
      </w:r>
      <w:r w:rsidRPr="002C40E1">
        <w:rPr>
          <w:sz w:val="18"/>
          <w:szCs w:val="18"/>
        </w:rPr>
        <w:t xml:space="preserve"> norādīti valsts budžeta neto izdevumi</w:t>
      </w:r>
    </w:p>
    <w:p w:rsidR="00FE0F36" w:rsidRDefault="00B92D7A" w:rsidP="00B92D7A">
      <w:pPr>
        <w:ind w:firstLine="709"/>
        <w:jc w:val="both"/>
        <w:rPr>
          <w:szCs w:val="24"/>
        </w:rPr>
      </w:pPr>
      <w:r>
        <w:rPr>
          <w:szCs w:val="24"/>
        </w:rPr>
        <w:t xml:space="preserve">Turpinot izvērst budžeta attīstības finansējuma saturu, </w:t>
      </w:r>
      <w:r w:rsidR="003877DA">
        <w:rPr>
          <w:szCs w:val="24"/>
        </w:rPr>
        <w:t>4</w:t>
      </w:r>
      <w:r w:rsidRPr="006742EE">
        <w:rPr>
          <w:szCs w:val="24"/>
        </w:rPr>
        <w:t xml:space="preserve">.tabulā iekļauti </w:t>
      </w:r>
      <w:r>
        <w:rPr>
          <w:szCs w:val="24"/>
        </w:rPr>
        <w:t>10</w:t>
      </w:r>
      <w:r w:rsidRPr="006742EE">
        <w:rPr>
          <w:szCs w:val="24"/>
        </w:rPr>
        <w:t xml:space="preserve"> finansiāli ietilpīgākie </w:t>
      </w:r>
      <w:r>
        <w:rPr>
          <w:szCs w:val="24"/>
        </w:rPr>
        <w:t xml:space="preserve">2016.gada </w:t>
      </w:r>
      <w:r w:rsidRPr="006742EE">
        <w:rPr>
          <w:szCs w:val="24"/>
        </w:rPr>
        <w:t xml:space="preserve">budžeta attīstības daļas pasākumi, </w:t>
      </w:r>
      <w:r>
        <w:rPr>
          <w:szCs w:val="24"/>
        </w:rPr>
        <w:t xml:space="preserve">kopumā </w:t>
      </w:r>
      <w:r w:rsidR="001B7AC8">
        <w:rPr>
          <w:szCs w:val="24"/>
        </w:rPr>
        <w:t>33</w:t>
      </w:r>
      <w:r w:rsidR="002000BD">
        <w:rPr>
          <w:szCs w:val="24"/>
        </w:rPr>
        <w:t>5</w:t>
      </w:r>
      <w:r>
        <w:rPr>
          <w:szCs w:val="24"/>
        </w:rPr>
        <w:t>,</w:t>
      </w:r>
      <w:r w:rsidR="002000BD">
        <w:rPr>
          <w:szCs w:val="24"/>
        </w:rPr>
        <w:t>0</w:t>
      </w:r>
      <w:r>
        <w:rPr>
          <w:szCs w:val="24"/>
        </w:rPr>
        <w:t xml:space="preserve"> milj. </w:t>
      </w:r>
      <w:r w:rsidRPr="00C501B7">
        <w:rPr>
          <w:i/>
          <w:szCs w:val="24"/>
        </w:rPr>
        <w:t>euro</w:t>
      </w:r>
      <w:r w:rsidRPr="00C501B7">
        <w:rPr>
          <w:szCs w:val="24"/>
        </w:rPr>
        <w:t xml:space="preserve"> jeb </w:t>
      </w:r>
      <w:r w:rsidR="009F7E5F">
        <w:rPr>
          <w:szCs w:val="24"/>
        </w:rPr>
        <w:t>42,4</w:t>
      </w:r>
      <w:r w:rsidRPr="00C501B7">
        <w:rPr>
          <w:szCs w:val="24"/>
        </w:rPr>
        <w:t xml:space="preserve">% </w:t>
      </w:r>
      <w:r>
        <w:rPr>
          <w:szCs w:val="24"/>
        </w:rPr>
        <w:t>no kopējā šī gada JPI finansējuma.</w:t>
      </w:r>
    </w:p>
    <w:p w:rsidR="00FE0F36" w:rsidRDefault="00FE0F36" w:rsidP="00BC5A10">
      <w:pPr>
        <w:ind w:firstLine="709"/>
        <w:jc w:val="right"/>
        <w:rPr>
          <w:szCs w:val="24"/>
        </w:rPr>
      </w:pPr>
    </w:p>
    <w:p w:rsidR="00BC5A10" w:rsidRPr="00807B5E" w:rsidRDefault="003877DA" w:rsidP="00807B5E">
      <w:pPr>
        <w:ind w:firstLine="709"/>
        <w:jc w:val="right"/>
        <w:rPr>
          <w:szCs w:val="24"/>
        </w:rPr>
      </w:pPr>
      <w:r>
        <w:rPr>
          <w:szCs w:val="24"/>
        </w:rPr>
        <w:t>4</w:t>
      </w:r>
      <w:r w:rsidR="00807B5E">
        <w:rPr>
          <w:szCs w:val="24"/>
        </w:rPr>
        <w:t>.tabula</w:t>
      </w:r>
    </w:p>
    <w:p w:rsidR="00B92D7A" w:rsidRPr="006742EE" w:rsidRDefault="00B92D7A" w:rsidP="00B92D7A">
      <w:pPr>
        <w:ind w:firstLine="709"/>
        <w:jc w:val="center"/>
        <w:rPr>
          <w:b/>
          <w:sz w:val="22"/>
        </w:rPr>
      </w:pPr>
      <w:r>
        <w:rPr>
          <w:b/>
          <w:sz w:val="22"/>
        </w:rPr>
        <w:t>10</w:t>
      </w:r>
      <w:r w:rsidRPr="006742EE">
        <w:rPr>
          <w:b/>
          <w:sz w:val="22"/>
        </w:rPr>
        <w:t xml:space="preserve"> finansiāli ietilpīgākie </w:t>
      </w:r>
      <w:r>
        <w:rPr>
          <w:b/>
          <w:sz w:val="22"/>
        </w:rPr>
        <w:t>JPI pasākumi</w:t>
      </w:r>
      <w:r w:rsidRPr="006742EE">
        <w:rPr>
          <w:b/>
          <w:sz w:val="22"/>
        </w:rPr>
        <w:t xml:space="preserve"> 201</w:t>
      </w:r>
      <w:r>
        <w:rPr>
          <w:b/>
          <w:sz w:val="22"/>
        </w:rPr>
        <w:t>6</w:t>
      </w:r>
      <w:r w:rsidRPr="006742EE">
        <w:rPr>
          <w:b/>
          <w:sz w:val="22"/>
        </w:rPr>
        <w:t>.gad</w:t>
      </w:r>
      <w:r>
        <w:rPr>
          <w:b/>
          <w:sz w:val="22"/>
        </w:rPr>
        <w:t>ā</w:t>
      </w:r>
      <w:r w:rsidR="003877DA">
        <w:rPr>
          <w:b/>
          <w:sz w:val="22"/>
        </w:rPr>
        <w:t xml:space="preserve"> </w:t>
      </w:r>
      <w:r>
        <w:rPr>
          <w:rFonts w:eastAsia="Times New Roman" w:cs="Times New Roman"/>
          <w:b/>
          <w:bCs/>
          <w:color w:val="000000"/>
          <w:sz w:val="22"/>
          <w:lang w:eastAsia="lv-LV"/>
        </w:rPr>
        <w:t xml:space="preserve">milj. </w:t>
      </w:r>
      <w:r w:rsidRPr="00434A2A">
        <w:rPr>
          <w:rFonts w:eastAsia="Times New Roman" w:cs="Times New Roman"/>
          <w:b/>
          <w:bCs/>
          <w:i/>
          <w:color w:val="000000"/>
          <w:sz w:val="22"/>
          <w:lang w:eastAsia="lv-LV"/>
        </w:rPr>
        <w:t>euro</w:t>
      </w:r>
    </w:p>
    <w:p w:rsidR="006B6BB1" w:rsidRPr="003877DA" w:rsidRDefault="006B6BB1" w:rsidP="00BC5A10">
      <w:pPr>
        <w:jc w:val="center"/>
        <w:rPr>
          <w:sz w:val="16"/>
          <w:szCs w:val="16"/>
        </w:rPr>
      </w:pPr>
    </w:p>
    <w:tbl>
      <w:tblPr>
        <w:tblW w:w="9209" w:type="dxa"/>
        <w:tblLook w:val="04A0" w:firstRow="1" w:lastRow="0" w:firstColumn="1" w:lastColumn="0" w:noHBand="0" w:noVBand="1"/>
      </w:tblPr>
      <w:tblGrid>
        <w:gridCol w:w="1067"/>
        <w:gridCol w:w="6863"/>
        <w:gridCol w:w="1414"/>
      </w:tblGrid>
      <w:tr w:rsidR="00B92D7A" w:rsidRPr="00434A2A" w:rsidTr="008E36CB">
        <w:trPr>
          <w:trHeight w:val="243"/>
          <w:tblHeader/>
        </w:trPr>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92D7A" w:rsidRPr="00434A2A" w:rsidRDefault="00B92D7A" w:rsidP="00434A2A">
            <w:pPr>
              <w:jc w:val="center"/>
              <w:rPr>
                <w:rFonts w:eastAsia="Times New Roman" w:cs="Times New Roman"/>
                <w:b/>
                <w:bCs/>
                <w:color w:val="000000"/>
                <w:sz w:val="22"/>
                <w:lang w:eastAsia="lv-LV"/>
              </w:rPr>
            </w:pPr>
            <w:r w:rsidRPr="00434A2A">
              <w:rPr>
                <w:rFonts w:eastAsia="Times New Roman" w:cs="Times New Roman"/>
                <w:b/>
                <w:bCs/>
                <w:color w:val="000000"/>
                <w:sz w:val="22"/>
                <w:lang w:eastAsia="lv-LV"/>
              </w:rPr>
              <w:t>Nr.</w:t>
            </w:r>
          </w:p>
        </w:tc>
        <w:tc>
          <w:tcPr>
            <w:tcW w:w="686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92D7A" w:rsidRPr="00434A2A" w:rsidRDefault="00B92D7A" w:rsidP="00434A2A">
            <w:pPr>
              <w:jc w:val="center"/>
              <w:rPr>
                <w:rFonts w:eastAsia="Times New Roman" w:cs="Times New Roman"/>
                <w:b/>
                <w:bCs/>
                <w:color w:val="000000"/>
                <w:sz w:val="22"/>
                <w:lang w:eastAsia="lv-LV"/>
              </w:rPr>
            </w:pPr>
            <w:r w:rsidRPr="00434A2A">
              <w:rPr>
                <w:rFonts w:eastAsia="Times New Roman" w:cs="Times New Roman"/>
                <w:b/>
                <w:bCs/>
                <w:color w:val="000000"/>
                <w:sz w:val="22"/>
                <w:lang w:eastAsia="lv-LV"/>
              </w:rPr>
              <w:t>Pasākums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92D7A" w:rsidRPr="00434A2A" w:rsidRDefault="00B92D7A" w:rsidP="00434A2A">
            <w:pPr>
              <w:jc w:val="center"/>
              <w:rPr>
                <w:rFonts w:eastAsia="Times New Roman" w:cs="Times New Roman"/>
                <w:b/>
                <w:bCs/>
                <w:color w:val="000000"/>
                <w:sz w:val="22"/>
                <w:lang w:eastAsia="lv-LV"/>
              </w:rPr>
            </w:pPr>
            <w:r>
              <w:rPr>
                <w:rFonts w:eastAsia="Times New Roman" w:cs="Times New Roman"/>
                <w:b/>
                <w:bCs/>
                <w:color w:val="000000"/>
                <w:sz w:val="22"/>
                <w:lang w:eastAsia="lv-LV"/>
              </w:rPr>
              <w:t>Finansējums</w:t>
            </w:r>
          </w:p>
        </w:tc>
      </w:tr>
      <w:tr w:rsidR="00B92D7A" w:rsidRPr="00434A2A" w:rsidTr="008E36CB">
        <w:trPr>
          <w:trHeight w:val="487"/>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B92D7A" w:rsidRPr="00434A2A" w:rsidRDefault="00B92D7A" w:rsidP="00434A2A">
            <w:pPr>
              <w:jc w:val="center"/>
              <w:rPr>
                <w:rFonts w:eastAsia="Times New Roman" w:cs="Times New Roman"/>
                <w:color w:val="000000"/>
                <w:sz w:val="22"/>
                <w:lang w:eastAsia="lv-LV"/>
              </w:rPr>
            </w:pPr>
            <w:r w:rsidRPr="00434A2A">
              <w:rPr>
                <w:rFonts w:eastAsia="Times New Roman" w:cs="Times New Roman"/>
                <w:color w:val="000000"/>
                <w:sz w:val="22"/>
                <w:lang w:eastAsia="lv-LV"/>
              </w:rPr>
              <w:t>1</w:t>
            </w:r>
            <w:r>
              <w:rPr>
                <w:rFonts w:eastAsia="Times New Roman" w:cs="Times New Roman"/>
                <w:color w:val="000000"/>
                <w:sz w:val="22"/>
                <w:lang w:eastAsia="lv-LV"/>
              </w:rPr>
              <w:t>.</w:t>
            </w:r>
          </w:p>
        </w:tc>
        <w:tc>
          <w:tcPr>
            <w:tcW w:w="6865" w:type="dxa"/>
            <w:tcBorders>
              <w:top w:val="nil"/>
              <w:left w:val="nil"/>
              <w:bottom w:val="single" w:sz="4" w:space="0" w:color="auto"/>
              <w:right w:val="single" w:sz="4" w:space="0" w:color="auto"/>
            </w:tcBorders>
            <w:shd w:val="clear" w:color="auto" w:fill="auto"/>
            <w:vAlign w:val="center"/>
            <w:hideMark/>
          </w:tcPr>
          <w:p w:rsidR="00B92D7A" w:rsidRPr="00434A2A" w:rsidRDefault="007936DC" w:rsidP="007936DC">
            <w:pPr>
              <w:jc w:val="both"/>
              <w:rPr>
                <w:rFonts w:eastAsia="Times New Roman" w:cs="Times New Roman"/>
                <w:color w:val="000000"/>
                <w:sz w:val="22"/>
                <w:lang w:eastAsia="lv-LV"/>
              </w:rPr>
            </w:pPr>
            <w:r w:rsidRPr="007936DC">
              <w:rPr>
                <w:rFonts w:eastAsia="Times New Roman" w:cs="Times New Roman"/>
                <w:color w:val="000000"/>
                <w:sz w:val="22"/>
                <w:lang w:eastAsia="lv-LV"/>
              </w:rPr>
              <w:t>Autoce</w:t>
            </w:r>
            <w:r>
              <w:rPr>
                <w:rFonts w:eastAsia="Times New Roman" w:cs="Times New Roman"/>
                <w:color w:val="000000"/>
                <w:sz w:val="22"/>
                <w:lang w:eastAsia="lv-LV"/>
              </w:rPr>
              <w:t>ļu sakārtošanas programma 2014.–</w:t>
            </w:r>
            <w:r w:rsidRPr="007936DC">
              <w:rPr>
                <w:rFonts w:eastAsia="Times New Roman" w:cs="Times New Roman"/>
                <w:color w:val="000000"/>
                <w:sz w:val="22"/>
                <w:lang w:eastAsia="lv-LV"/>
              </w:rPr>
              <w:t>2020.gadam</w:t>
            </w:r>
          </w:p>
        </w:tc>
        <w:tc>
          <w:tcPr>
            <w:tcW w:w="1276" w:type="dxa"/>
            <w:tcBorders>
              <w:top w:val="nil"/>
              <w:left w:val="nil"/>
              <w:bottom w:val="single" w:sz="4" w:space="0" w:color="auto"/>
              <w:right w:val="single" w:sz="4" w:space="0" w:color="auto"/>
            </w:tcBorders>
            <w:shd w:val="clear" w:color="auto" w:fill="auto"/>
            <w:noWrap/>
            <w:vAlign w:val="center"/>
          </w:tcPr>
          <w:p w:rsidR="00B92D7A" w:rsidRPr="00434A2A" w:rsidRDefault="007936DC" w:rsidP="008F057E">
            <w:pPr>
              <w:jc w:val="right"/>
              <w:rPr>
                <w:rFonts w:eastAsia="Times New Roman" w:cs="Times New Roman"/>
                <w:color w:val="000000"/>
                <w:sz w:val="22"/>
                <w:lang w:eastAsia="lv-LV"/>
              </w:rPr>
            </w:pPr>
            <w:r>
              <w:rPr>
                <w:rFonts w:eastAsia="Times New Roman" w:cs="Times New Roman"/>
                <w:color w:val="000000"/>
                <w:sz w:val="22"/>
                <w:lang w:eastAsia="lv-LV"/>
              </w:rPr>
              <w:t>65,5</w:t>
            </w:r>
          </w:p>
        </w:tc>
      </w:tr>
      <w:tr w:rsidR="00B92D7A" w:rsidRPr="00434A2A" w:rsidTr="008E36CB">
        <w:trPr>
          <w:trHeight w:val="243"/>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B92D7A" w:rsidRPr="003877DA" w:rsidRDefault="00B92D7A" w:rsidP="00434A2A">
            <w:pPr>
              <w:jc w:val="center"/>
              <w:rPr>
                <w:rFonts w:eastAsia="Times New Roman" w:cs="Times New Roman"/>
                <w:sz w:val="22"/>
                <w:lang w:eastAsia="lv-LV"/>
              </w:rPr>
            </w:pPr>
            <w:r w:rsidRPr="003877DA">
              <w:rPr>
                <w:rFonts w:eastAsia="Times New Roman" w:cs="Times New Roman"/>
                <w:sz w:val="22"/>
                <w:lang w:eastAsia="lv-LV"/>
              </w:rPr>
              <w:t>2.</w:t>
            </w:r>
          </w:p>
        </w:tc>
        <w:tc>
          <w:tcPr>
            <w:tcW w:w="6865" w:type="dxa"/>
            <w:tcBorders>
              <w:top w:val="nil"/>
              <w:left w:val="nil"/>
              <w:bottom w:val="single" w:sz="4" w:space="0" w:color="auto"/>
              <w:right w:val="single" w:sz="4" w:space="0" w:color="auto"/>
            </w:tcBorders>
            <w:shd w:val="clear" w:color="auto" w:fill="auto"/>
            <w:vAlign w:val="center"/>
          </w:tcPr>
          <w:p w:rsidR="00B92D7A" w:rsidRPr="003877DA" w:rsidRDefault="007936DC" w:rsidP="007936DC">
            <w:pPr>
              <w:jc w:val="both"/>
              <w:rPr>
                <w:rFonts w:eastAsia="Times New Roman" w:cs="Times New Roman"/>
                <w:sz w:val="22"/>
                <w:lang w:eastAsia="lv-LV"/>
              </w:rPr>
            </w:pPr>
            <w:r w:rsidRPr="003877DA">
              <w:rPr>
                <w:rFonts w:eastAsia="Times New Roman" w:cs="Times New Roman"/>
                <w:sz w:val="22"/>
                <w:lang w:eastAsia="lv-LV"/>
              </w:rPr>
              <w:t>Elektroenerģijas ražošanas atbalsta fonda (EAF) izveide konkurētspējīgas elektroenerģijas kopējās cenas nodrošināšanai</w:t>
            </w:r>
          </w:p>
        </w:tc>
        <w:tc>
          <w:tcPr>
            <w:tcW w:w="1276" w:type="dxa"/>
            <w:tcBorders>
              <w:top w:val="nil"/>
              <w:left w:val="nil"/>
              <w:bottom w:val="single" w:sz="4" w:space="0" w:color="auto"/>
              <w:right w:val="single" w:sz="4" w:space="0" w:color="auto"/>
            </w:tcBorders>
            <w:shd w:val="clear" w:color="auto" w:fill="auto"/>
            <w:noWrap/>
            <w:vAlign w:val="center"/>
          </w:tcPr>
          <w:p w:rsidR="00B92D7A" w:rsidRPr="003877DA" w:rsidRDefault="007936DC" w:rsidP="00AD4934">
            <w:pPr>
              <w:jc w:val="right"/>
              <w:rPr>
                <w:rFonts w:eastAsia="Times New Roman" w:cs="Times New Roman"/>
                <w:sz w:val="22"/>
                <w:lang w:eastAsia="lv-LV"/>
              </w:rPr>
            </w:pPr>
            <w:r w:rsidRPr="003877DA">
              <w:rPr>
                <w:rFonts w:eastAsia="Times New Roman" w:cs="Times New Roman"/>
                <w:sz w:val="22"/>
                <w:lang w:eastAsia="lv-LV"/>
              </w:rPr>
              <w:t>56,1</w:t>
            </w:r>
          </w:p>
        </w:tc>
      </w:tr>
      <w:tr w:rsidR="00B92D7A" w:rsidRPr="00434A2A" w:rsidTr="008E36CB">
        <w:trPr>
          <w:trHeight w:val="243"/>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B92D7A" w:rsidRPr="00434A2A" w:rsidRDefault="00B92D7A" w:rsidP="00434A2A">
            <w:pPr>
              <w:jc w:val="center"/>
              <w:rPr>
                <w:rFonts w:eastAsia="Times New Roman" w:cs="Times New Roman"/>
                <w:color w:val="000000"/>
                <w:sz w:val="22"/>
                <w:lang w:eastAsia="lv-LV"/>
              </w:rPr>
            </w:pPr>
            <w:r w:rsidRPr="00434A2A">
              <w:rPr>
                <w:rFonts w:eastAsia="Times New Roman" w:cs="Times New Roman"/>
                <w:color w:val="000000"/>
                <w:sz w:val="22"/>
                <w:lang w:eastAsia="lv-LV"/>
              </w:rPr>
              <w:t>3</w:t>
            </w:r>
            <w:r>
              <w:rPr>
                <w:rFonts w:eastAsia="Times New Roman" w:cs="Times New Roman"/>
                <w:color w:val="000000"/>
                <w:sz w:val="22"/>
                <w:lang w:eastAsia="lv-LV"/>
              </w:rPr>
              <w:t>.</w:t>
            </w:r>
          </w:p>
        </w:tc>
        <w:tc>
          <w:tcPr>
            <w:tcW w:w="6865" w:type="dxa"/>
            <w:tcBorders>
              <w:top w:val="nil"/>
              <w:left w:val="nil"/>
              <w:bottom w:val="single" w:sz="4" w:space="0" w:color="auto"/>
              <w:right w:val="single" w:sz="4" w:space="0" w:color="auto"/>
            </w:tcBorders>
            <w:shd w:val="clear" w:color="auto" w:fill="auto"/>
            <w:vAlign w:val="center"/>
          </w:tcPr>
          <w:p w:rsidR="00B92D7A" w:rsidRPr="00434A2A" w:rsidRDefault="007936DC" w:rsidP="007936DC">
            <w:pPr>
              <w:jc w:val="both"/>
              <w:rPr>
                <w:rFonts w:eastAsia="Times New Roman" w:cs="Times New Roman"/>
                <w:color w:val="000000"/>
                <w:sz w:val="22"/>
                <w:lang w:eastAsia="lv-LV"/>
              </w:rPr>
            </w:pPr>
            <w:r w:rsidRPr="007936DC">
              <w:rPr>
                <w:rFonts w:eastAsia="Times New Roman" w:cs="Times New Roman"/>
                <w:color w:val="000000"/>
                <w:sz w:val="22"/>
                <w:lang w:eastAsia="lv-LV"/>
              </w:rPr>
              <w:t>Nacionālo bruņoto spēku kaujas spēju celšana</w:t>
            </w:r>
          </w:p>
        </w:tc>
        <w:tc>
          <w:tcPr>
            <w:tcW w:w="1276" w:type="dxa"/>
            <w:tcBorders>
              <w:top w:val="nil"/>
              <w:left w:val="nil"/>
              <w:bottom w:val="single" w:sz="4" w:space="0" w:color="auto"/>
              <w:right w:val="single" w:sz="4" w:space="0" w:color="auto"/>
            </w:tcBorders>
            <w:shd w:val="clear" w:color="auto" w:fill="auto"/>
            <w:noWrap/>
            <w:vAlign w:val="center"/>
          </w:tcPr>
          <w:p w:rsidR="00B92D7A" w:rsidRPr="00434A2A" w:rsidRDefault="00A05BF2" w:rsidP="00AD4934">
            <w:pPr>
              <w:jc w:val="right"/>
              <w:rPr>
                <w:rFonts w:eastAsia="Times New Roman" w:cs="Times New Roman"/>
                <w:color w:val="000000"/>
                <w:sz w:val="22"/>
                <w:lang w:eastAsia="lv-LV"/>
              </w:rPr>
            </w:pPr>
            <w:r>
              <w:rPr>
                <w:rFonts w:eastAsia="Times New Roman" w:cs="Times New Roman"/>
                <w:color w:val="000000"/>
                <w:sz w:val="22"/>
                <w:lang w:eastAsia="lv-LV"/>
              </w:rPr>
              <w:t>53,1</w:t>
            </w:r>
          </w:p>
        </w:tc>
      </w:tr>
      <w:tr w:rsidR="00B92D7A" w:rsidRPr="00434A2A" w:rsidTr="008E36CB">
        <w:trPr>
          <w:trHeight w:val="243"/>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B92D7A" w:rsidRPr="00434A2A" w:rsidRDefault="00B92D7A" w:rsidP="00434A2A">
            <w:pPr>
              <w:jc w:val="center"/>
              <w:rPr>
                <w:rFonts w:eastAsia="Times New Roman" w:cs="Times New Roman"/>
                <w:color w:val="000000"/>
                <w:sz w:val="22"/>
                <w:lang w:eastAsia="lv-LV"/>
              </w:rPr>
            </w:pPr>
            <w:r w:rsidRPr="00434A2A">
              <w:rPr>
                <w:rFonts w:eastAsia="Times New Roman" w:cs="Times New Roman"/>
                <w:color w:val="000000"/>
                <w:sz w:val="22"/>
                <w:lang w:eastAsia="lv-LV"/>
              </w:rPr>
              <w:t>4</w:t>
            </w:r>
            <w:r>
              <w:rPr>
                <w:rFonts w:eastAsia="Times New Roman" w:cs="Times New Roman"/>
                <w:color w:val="000000"/>
                <w:sz w:val="22"/>
                <w:lang w:eastAsia="lv-LV"/>
              </w:rPr>
              <w:t>.</w:t>
            </w:r>
          </w:p>
        </w:tc>
        <w:tc>
          <w:tcPr>
            <w:tcW w:w="6865" w:type="dxa"/>
            <w:tcBorders>
              <w:top w:val="nil"/>
              <w:left w:val="nil"/>
              <w:bottom w:val="single" w:sz="4" w:space="0" w:color="auto"/>
              <w:right w:val="single" w:sz="4" w:space="0" w:color="auto"/>
            </w:tcBorders>
            <w:shd w:val="clear" w:color="auto" w:fill="auto"/>
            <w:vAlign w:val="center"/>
          </w:tcPr>
          <w:p w:rsidR="00B92D7A" w:rsidRPr="00434A2A" w:rsidRDefault="007936DC" w:rsidP="00BF2D64">
            <w:pPr>
              <w:jc w:val="both"/>
              <w:rPr>
                <w:rFonts w:eastAsia="Times New Roman" w:cs="Times New Roman"/>
                <w:color w:val="000000"/>
                <w:sz w:val="22"/>
                <w:lang w:eastAsia="lv-LV"/>
              </w:rPr>
            </w:pPr>
            <w:r w:rsidRPr="007936DC">
              <w:rPr>
                <w:rFonts w:eastAsia="Times New Roman" w:cs="Times New Roman"/>
                <w:color w:val="000000"/>
                <w:sz w:val="22"/>
                <w:lang w:eastAsia="lv-LV"/>
              </w:rPr>
              <w:t>Demogrāfijas pasākumu īstenošana</w:t>
            </w:r>
            <w:r>
              <w:rPr>
                <w:rFonts w:eastAsia="Times New Roman" w:cs="Times New Roman"/>
                <w:color w:val="000000"/>
                <w:sz w:val="22"/>
                <w:lang w:eastAsia="lv-LV"/>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92D7A" w:rsidRPr="00434A2A" w:rsidRDefault="00A05BF2" w:rsidP="00A05BF2">
            <w:pPr>
              <w:jc w:val="right"/>
              <w:rPr>
                <w:rFonts w:eastAsia="Times New Roman" w:cs="Times New Roman"/>
                <w:color w:val="000000"/>
                <w:sz w:val="22"/>
                <w:lang w:eastAsia="lv-LV"/>
              </w:rPr>
            </w:pPr>
            <w:r>
              <w:rPr>
                <w:rFonts w:eastAsia="Times New Roman" w:cs="Times New Roman"/>
                <w:color w:val="000000"/>
                <w:sz w:val="22"/>
                <w:lang w:eastAsia="lv-LV"/>
              </w:rPr>
              <w:t>29,1</w:t>
            </w:r>
          </w:p>
        </w:tc>
      </w:tr>
      <w:tr w:rsidR="00B92D7A" w:rsidRPr="00434A2A" w:rsidTr="008E36CB">
        <w:trPr>
          <w:trHeight w:val="487"/>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B92D7A" w:rsidRPr="00434A2A" w:rsidRDefault="00B92D7A" w:rsidP="00434A2A">
            <w:pPr>
              <w:jc w:val="center"/>
              <w:rPr>
                <w:rFonts w:eastAsia="Times New Roman" w:cs="Times New Roman"/>
                <w:color w:val="000000"/>
                <w:sz w:val="22"/>
                <w:lang w:eastAsia="lv-LV"/>
              </w:rPr>
            </w:pPr>
            <w:r w:rsidRPr="00434A2A">
              <w:rPr>
                <w:rFonts w:eastAsia="Times New Roman" w:cs="Times New Roman"/>
                <w:color w:val="000000"/>
                <w:sz w:val="22"/>
                <w:lang w:eastAsia="lv-LV"/>
              </w:rPr>
              <w:t>5</w:t>
            </w:r>
            <w:r>
              <w:rPr>
                <w:rFonts w:eastAsia="Times New Roman" w:cs="Times New Roman"/>
                <w:color w:val="000000"/>
                <w:sz w:val="22"/>
                <w:lang w:eastAsia="lv-LV"/>
              </w:rPr>
              <w:t>.</w:t>
            </w:r>
          </w:p>
        </w:tc>
        <w:tc>
          <w:tcPr>
            <w:tcW w:w="6865" w:type="dxa"/>
            <w:tcBorders>
              <w:top w:val="nil"/>
              <w:left w:val="nil"/>
              <w:bottom w:val="single" w:sz="4" w:space="0" w:color="auto"/>
              <w:right w:val="single" w:sz="4" w:space="0" w:color="auto"/>
            </w:tcBorders>
            <w:shd w:val="clear" w:color="auto" w:fill="auto"/>
            <w:vAlign w:val="center"/>
          </w:tcPr>
          <w:p w:rsidR="00B92D7A" w:rsidRPr="00434A2A" w:rsidRDefault="007936DC" w:rsidP="007936DC">
            <w:pPr>
              <w:jc w:val="both"/>
              <w:rPr>
                <w:rFonts w:eastAsia="Times New Roman" w:cs="Times New Roman"/>
                <w:color w:val="000000"/>
                <w:sz w:val="22"/>
                <w:lang w:eastAsia="lv-LV"/>
              </w:rPr>
            </w:pPr>
            <w:r w:rsidRPr="007936DC">
              <w:rPr>
                <w:rFonts w:eastAsia="Times New Roman" w:cs="Times New Roman"/>
                <w:color w:val="000000"/>
                <w:sz w:val="22"/>
                <w:lang w:eastAsia="lv-LV"/>
              </w:rPr>
              <w:t>Pārejas posma valsts atbalsta (PPVA) un investīciju veicināšanas pasākumi lauksaimniecībā</w:t>
            </w:r>
          </w:p>
        </w:tc>
        <w:tc>
          <w:tcPr>
            <w:tcW w:w="1276" w:type="dxa"/>
            <w:tcBorders>
              <w:top w:val="nil"/>
              <w:left w:val="nil"/>
              <w:bottom w:val="single" w:sz="4" w:space="0" w:color="auto"/>
              <w:right w:val="single" w:sz="4" w:space="0" w:color="auto"/>
            </w:tcBorders>
            <w:shd w:val="clear" w:color="auto" w:fill="auto"/>
            <w:noWrap/>
            <w:vAlign w:val="center"/>
          </w:tcPr>
          <w:p w:rsidR="00B92D7A" w:rsidRPr="00434A2A" w:rsidRDefault="00A05BF2" w:rsidP="00A05BF2">
            <w:pPr>
              <w:jc w:val="right"/>
              <w:rPr>
                <w:rFonts w:eastAsia="Times New Roman" w:cs="Times New Roman"/>
                <w:color w:val="000000"/>
                <w:sz w:val="22"/>
                <w:lang w:eastAsia="lv-LV"/>
              </w:rPr>
            </w:pPr>
            <w:r>
              <w:rPr>
                <w:rFonts w:eastAsia="Times New Roman" w:cs="Times New Roman"/>
                <w:color w:val="000000"/>
                <w:sz w:val="22"/>
                <w:lang w:eastAsia="lv-LV"/>
              </w:rPr>
              <w:t>26,2</w:t>
            </w:r>
          </w:p>
        </w:tc>
      </w:tr>
      <w:tr w:rsidR="00B92D7A" w:rsidRPr="00434A2A" w:rsidTr="008E36CB">
        <w:trPr>
          <w:trHeight w:val="243"/>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B92D7A" w:rsidRPr="00434A2A" w:rsidRDefault="00B92D7A" w:rsidP="00434A2A">
            <w:pPr>
              <w:jc w:val="center"/>
              <w:rPr>
                <w:rFonts w:eastAsia="Times New Roman" w:cs="Times New Roman"/>
                <w:color w:val="000000"/>
                <w:sz w:val="22"/>
                <w:lang w:eastAsia="lv-LV"/>
              </w:rPr>
            </w:pPr>
            <w:r w:rsidRPr="00434A2A">
              <w:rPr>
                <w:rFonts w:eastAsia="Times New Roman" w:cs="Times New Roman"/>
                <w:color w:val="000000"/>
                <w:sz w:val="22"/>
                <w:lang w:eastAsia="lv-LV"/>
              </w:rPr>
              <w:t>6</w:t>
            </w:r>
            <w:r>
              <w:rPr>
                <w:rFonts w:eastAsia="Times New Roman" w:cs="Times New Roman"/>
                <w:color w:val="000000"/>
                <w:sz w:val="22"/>
                <w:lang w:eastAsia="lv-LV"/>
              </w:rPr>
              <w:t>.</w:t>
            </w:r>
          </w:p>
        </w:tc>
        <w:tc>
          <w:tcPr>
            <w:tcW w:w="6865" w:type="dxa"/>
            <w:tcBorders>
              <w:top w:val="nil"/>
              <w:left w:val="nil"/>
              <w:bottom w:val="single" w:sz="4" w:space="0" w:color="auto"/>
              <w:right w:val="single" w:sz="4" w:space="0" w:color="auto"/>
            </w:tcBorders>
            <w:shd w:val="clear" w:color="auto" w:fill="auto"/>
            <w:vAlign w:val="center"/>
          </w:tcPr>
          <w:p w:rsidR="00B92D7A" w:rsidRPr="00434A2A" w:rsidRDefault="007936DC" w:rsidP="008B613F">
            <w:pPr>
              <w:jc w:val="both"/>
              <w:rPr>
                <w:rFonts w:eastAsia="Times New Roman" w:cs="Times New Roman"/>
                <w:color w:val="000000"/>
                <w:sz w:val="22"/>
                <w:lang w:eastAsia="lv-LV"/>
              </w:rPr>
            </w:pPr>
            <w:r w:rsidRPr="007936DC">
              <w:rPr>
                <w:rFonts w:eastAsia="Times New Roman" w:cs="Times New Roman"/>
                <w:color w:val="000000"/>
                <w:sz w:val="22"/>
                <w:lang w:eastAsia="lv-LV"/>
              </w:rPr>
              <w:t>Izdevumi atlīdzības nodrošināšanai Iekšlietu ministrijas sistēmas iestāžu</w:t>
            </w:r>
            <w:r w:rsidR="008B613F">
              <w:rPr>
                <w:rFonts w:eastAsia="Times New Roman" w:cs="Times New Roman"/>
                <w:color w:val="000000"/>
                <w:sz w:val="22"/>
                <w:lang w:eastAsia="lv-LV"/>
              </w:rPr>
              <w:t xml:space="preserve"> un </w:t>
            </w:r>
            <w:r w:rsidR="00157F63">
              <w:rPr>
                <w:rFonts w:eastAsia="Times New Roman" w:cs="Times New Roman"/>
                <w:color w:val="000000"/>
                <w:sz w:val="22"/>
                <w:lang w:eastAsia="lv-LV"/>
              </w:rPr>
              <w:t xml:space="preserve">Tieslietu </w:t>
            </w:r>
            <w:r w:rsidR="00157F63" w:rsidRPr="00157F63">
              <w:rPr>
                <w:rFonts w:eastAsia="Times New Roman" w:cs="Times New Roman"/>
                <w:sz w:val="22"/>
                <w:lang w:eastAsia="lv-LV"/>
              </w:rPr>
              <w:t xml:space="preserve">ministrijas </w:t>
            </w:r>
            <w:r w:rsidR="008B613F" w:rsidRPr="00157F63">
              <w:rPr>
                <w:rFonts w:eastAsia="Times New Roman" w:cs="Times New Roman"/>
                <w:sz w:val="22"/>
                <w:lang w:eastAsia="lv-LV"/>
              </w:rPr>
              <w:t>Ieslodzījumu vietu pārvaldes</w:t>
            </w:r>
            <w:r w:rsidRPr="00157F63">
              <w:rPr>
                <w:rFonts w:eastAsia="Times New Roman" w:cs="Times New Roman"/>
                <w:sz w:val="22"/>
                <w:lang w:eastAsia="lv-LV"/>
              </w:rPr>
              <w:t xml:space="preserve"> </w:t>
            </w:r>
            <w:r w:rsidRPr="007936DC">
              <w:rPr>
                <w:rFonts w:eastAsia="Times New Roman" w:cs="Times New Roman"/>
                <w:color w:val="000000"/>
                <w:sz w:val="22"/>
                <w:lang w:eastAsia="lv-LV"/>
              </w:rPr>
              <w:t>amatpersonām ar speciālajām dienesta pakāpēm</w:t>
            </w:r>
          </w:p>
        </w:tc>
        <w:tc>
          <w:tcPr>
            <w:tcW w:w="1276" w:type="dxa"/>
            <w:tcBorders>
              <w:top w:val="nil"/>
              <w:left w:val="nil"/>
              <w:bottom w:val="single" w:sz="4" w:space="0" w:color="auto"/>
              <w:right w:val="single" w:sz="4" w:space="0" w:color="auto"/>
            </w:tcBorders>
            <w:shd w:val="clear" w:color="auto" w:fill="auto"/>
            <w:noWrap/>
            <w:vAlign w:val="center"/>
          </w:tcPr>
          <w:p w:rsidR="008B613F" w:rsidRPr="00157F63" w:rsidRDefault="008B613F" w:rsidP="00A05BF2">
            <w:pPr>
              <w:jc w:val="right"/>
              <w:rPr>
                <w:rFonts w:eastAsia="Times New Roman" w:cs="Times New Roman"/>
                <w:sz w:val="22"/>
                <w:lang w:eastAsia="lv-LV"/>
              </w:rPr>
            </w:pPr>
            <w:r w:rsidRPr="00157F63">
              <w:rPr>
                <w:rFonts w:eastAsia="Times New Roman" w:cs="Times New Roman"/>
                <w:sz w:val="22"/>
                <w:lang w:eastAsia="lv-LV"/>
              </w:rPr>
              <w:t>29,9</w:t>
            </w:r>
          </w:p>
        </w:tc>
      </w:tr>
      <w:tr w:rsidR="00B92D7A" w:rsidRPr="00434A2A" w:rsidTr="008E36CB">
        <w:trPr>
          <w:trHeight w:val="336"/>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B92D7A" w:rsidRPr="00434A2A" w:rsidRDefault="00B92D7A" w:rsidP="00434A2A">
            <w:pPr>
              <w:jc w:val="center"/>
              <w:rPr>
                <w:rFonts w:eastAsia="Times New Roman" w:cs="Times New Roman"/>
                <w:color w:val="000000"/>
                <w:sz w:val="22"/>
                <w:lang w:eastAsia="lv-LV"/>
              </w:rPr>
            </w:pPr>
            <w:r w:rsidRPr="00434A2A">
              <w:rPr>
                <w:rFonts w:eastAsia="Times New Roman" w:cs="Times New Roman"/>
                <w:color w:val="000000"/>
                <w:sz w:val="22"/>
                <w:lang w:eastAsia="lv-LV"/>
              </w:rPr>
              <w:t>7</w:t>
            </w:r>
            <w:r>
              <w:rPr>
                <w:rFonts w:eastAsia="Times New Roman" w:cs="Times New Roman"/>
                <w:color w:val="000000"/>
                <w:sz w:val="22"/>
                <w:lang w:eastAsia="lv-LV"/>
              </w:rPr>
              <w:t>.</w:t>
            </w:r>
          </w:p>
        </w:tc>
        <w:tc>
          <w:tcPr>
            <w:tcW w:w="6865" w:type="dxa"/>
            <w:tcBorders>
              <w:top w:val="nil"/>
              <w:left w:val="nil"/>
              <w:bottom w:val="single" w:sz="4" w:space="0" w:color="auto"/>
              <w:right w:val="single" w:sz="4" w:space="0" w:color="auto"/>
            </w:tcBorders>
            <w:shd w:val="clear" w:color="auto" w:fill="auto"/>
            <w:vAlign w:val="center"/>
          </w:tcPr>
          <w:p w:rsidR="00B92D7A" w:rsidRPr="00434A2A" w:rsidRDefault="007936DC" w:rsidP="007936DC">
            <w:pPr>
              <w:rPr>
                <w:rFonts w:eastAsia="Times New Roman" w:cs="Times New Roman"/>
                <w:color w:val="000000"/>
                <w:sz w:val="22"/>
                <w:lang w:eastAsia="lv-LV"/>
              </w:rPr>
            </w:pPr>
            <w:r w:rsidRPr="007936DC">
              <w:rPr>
                <w:rFonts w:eastAsia="Times New Roman" w:cs="Times New Roman"/>
                <w:color w:val="000000"/>
                <w:sz w:val="22"/>
                <w:lang w:eastAsia="lv-LV"/>
              </w:rPr>
              <w:t>Ārstniecības personu darba samaksas paaugstināšana</w:t>
            </w:r>
          </w:p>
        </w:tc>
        <w:tc>
          <w:tcPr>
            <w:tcW w:w="1276" w:type="dxa"/>
            <w:tcBorders>
              <w:top w:val="nil"/>
              <w:left w:val="nil"/>
              <w:bottom w:val="single" w:sz="4" w:space="0" w:color="auto"/>
              <w:right w:val="single" w:sz="4" w:space="0" w:color="auto"/>
            </w:tcBorders>
            <w:shd w:val="clear" w:color="auto" w:fill="auto"/>
            <w:noWrap/>
            <w:vAlign w:val="center"/>
          </w:tcPr>
          <w:p w:rsidR="00B92D7A" w:rsidRPr="00434A2A" w:rsidRDefault="00A05BF2" w:rsidP="00A05BF2">
            <w:pPr>
              <w:jc w:val="right"/>
              <w:rPr>
                <w:rFonts w:eastAsia="Times New Roman" w:cs="Times New Roman"/>
                <w:color w:val="000000"/>
                <w:sz w:val="22"/>
                <w:lang w:eastAsia="lv-LV"/>
              </w:rPr>
            </w:pPr>
            <w:r>
              <w:rPr>
                <w:rFonts w:eastAsia="Times New Roman" w:cs="Times New Roman"/>
                <w:color w:val="000000"/>
                <w:sz w:val="22"/>
                <w:lang w:eastAsia="lv-LV"/>
              </w:rPr>
              <w:t>22,0</w:t>
            </w:r>
          </w:p>
        </w:tc>
      </w:tr>
      <w:tr w:rsidR="00B92D7A" w:rsidRPr="00434A2A" w:rsidTr="008E36CB">
        <w:trPr>
          <w:trHeight w:val="243"/>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B92D7A" w:rsidRPr="00434A2A" w:rsidRDefault="00B92D7A" w:rsidP="00434A2A">
            <w:pPr>
              <w:jc w:val="center"/>
              <w:rPr>
                <w:rFonts w:eastAsia="Times New Roman" w:cs="Times New Roman"/>
                <w:color w:val="000000"/>
                <w:sz w:val="22"/>
                <w:lang w:eastAsia="lv-LV"/>
              </w:rPr>
            </w:pPr>
            <w:r w:rsidRPr="00434A2A">
              <w:rPr>
                <w:rFonts w:eastAsia="Times New Roman" w:cs="Times New Roman"/>
                <w:color w:val="000000"/>
                <w:sz w:val="22"/>
                <w:lang w:eastAsia="lv-LV"/>
              </w:rPr>
              <w:t>8</w:t>
            </w:r>
            <w:r>
              <w:rPr>
                <w:rFonts w:eastAsia="Times New Roman" w:cs="Times New Roman"/>
                <w:color w:val="000000"/>
                <w:sz w:val="22"/>
                <w:lang w:eastAsia="lv-LV"/>
              </w:rPr>
              <w:t>.</w:t>
            </w:r>
          </w:p>
        </w:tc>
        <w:tc>
          <w:tcPr>
            <w:tcW w:w="6865" w:type="dxa"/>
            <w:tcBorders>
              <w:top w:val="nil"/>
              <w:left w:val="nil"/>
              <w:bottom w:val="single" w:sz="4" w:space="0" w:color="auto"/>
              <w:right w:val="single" w:sz="4" w:space="0" w:color="auto"/>
            </w:tcBorders>
            <w:shd w:val="clear" w:color="auto" w:fill="auto"/>
            <w:vAlign w:val="center"/>
          </w:tcPr>
          <w:p w:rsidR="00B92D7A" w:rsidRPr="00434A2A" w:rsidRDefault="007936DC" w:rsidP="007936DC">
            <w:pPr>
              <w:rPr>
                <w:rFonts w:eastAsia="Times New Roman" w:cs="Times New Roman"/>
                <w:color w:val="000000"/>
                <w:sz w:val="22"/>
                <w:lang w:eastAsia="lv-LV"/>
              </w:rPr>
            </w:pPr>
            <w:r w:rsidRPr="007936DC">
              <w:rPr>
                <w:rFonts w:eastAsia="Times New Roman" w:cs="Times New Roman"/>
                <w:color w:val="000000"/>
                <w:sz w:val="22"/>
                <w:lang w:eastAsia="lv-LV"/>
              </w:rPr>
              <w:t>Nacionālo bruņoto spēku Kājnieku brigādes mehanizācija</w:t>
            </w:r>
          </w:p>
        </w:tc>
        <w:tc>
          <w:tcPr>
            <w:tcW w:w="1276" w:type="dxa"/>
            <w:tcBorders>
              <w:top w:val="nil"/>
              <w:left w:val="nil"/>
              <w:bottom w:val="single" w:sz="4" w:space="0" w:color="auto"/>
              <w:right w:val="single" w:sz="4" w:space="0" w:color="auto"/>
            </w:tcBorders>
            <w:shd w:val="clear" w:color="auto" w:fill="auto"/>
            <w:noWrap/>
            <w:vAlign w:val="center"/>
          </w:tcPr>
          <w:p w:rsidR="00B92D7A" w:rsidRPr="00434A2A" w:rsidRDefault="00A05BF2" w:rsidP="00A05BF2">
            <w:pPr>
              <w:jc w:val="right"/>
              <w:rPr>
                <w:rFonts w:eastAsia="Times New Roman" w:cs="Times New Roman"/>
                <w:color w:val="000000"/>
                <w:sz w:val="22"/>
                <w:lang w:eastAsia="lv-LV"/>
              </w:rPr>
            </w:pPr>
            <w:r>
              <w:rPr>
                <w:rFonts w:eastAsia="Times New Roman" w:cs="Times New Roman"/>
                <w:color w:val="000000"/>
                <w:sz w:val="22"/>
                <w:lang w:eastAsia="lv-LV"/>
              </w:rPr>
              <w:t>18,6</w:t>
            </w:r>
          </w:p>
        </w:tc>
      </w:tr>
      <w:tr w:rsidR="00B92D7A" w:rsidRPr="00434A2A" w:rsidTr="008E36CB">
        <w:trPr>
          <w:trHeight w:val="487"/>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B92D7A" w:rsidRPr="00434A2A" w:rsidRDefault="00B92D7A" w:rsidP="00434A2A">
            <w:pPr>
              <w:jc w:val="center"/>
              <w:rPr>
                <w:rFonts w:eastAsia="Times New Roman" w:cs="Times New Roman"/>
                <w:color w:val="000000"/>
                <w:sz w:val="22"/>
                <w:lang w:eastAsia="lv-LV"/>
              </w:rPr>
            </w:pPr>
            <w:r w:rsidRPr="00434A2A">
              <w:rPr>
                <w:rFonts w:eastAsia="Times New Roman" w:cs="Times New Roman"/>
                <w:color w:val="000000"/>
                <w:sz w:val="22"/>
                <w:lang w:eastAsia="lv-LV"/>
              </w:rPr>
              <w:t>9</w:t>
            </w:r>
            <w:r>
              <w:rPr>
                <w:rFonts w:eastAsia="Times New Roman" w:cs="Times New Roman"/>
                <w:color w:val="000000"/>
                <w:sz w:val="22"/>
                <w:lang w:eastAsia="lv-LV"/>
              </w:rPr>
              <w:t>.</w:t>
            </w:r>
          </w:p>
        </w:tc>
        <w:tc>
          <w:tcPr>
            <w:tcW w:w="6865" w:type="dxa"/>
            <w:tcBorders>
              <w:top w:val="nil"/>
              <w:left w:val="nil"/>
              <w:bottom w:val="single" w:sz="4" w:space="0" w:color="auto"/>
              <w:right w:val="single" w:sz="4" w:space="0" w:color="auto"/>
            </w:tcBorders>
            <w:shd w:val="clear" w:color="auto" w:fill="auto"/>
            <w:vAlign w:val="center"/>
          </w:tcPr>
          <w:p w:rsidR="00B92D7A" w:rsidRPr="00434A2A" w:rsidRDefault="007936DC" w:rsidP="007936DC">
            <w:pPr>
              <w:rPr>
                <w:rFonts w:eastAsia="Times New Roman" w:cs="Times New Roman"/>
                <w:color w:val="000000"/>
                <w:sz w:val="22"/>
                <w:lang w:eastAsia="lv-LV"/>
              </w:rPr>
            </w:pPr>
            <w:r w:rsidRPr="007936DC">
              <w:rPr>
                <w:rFonts w:eastAsia="Times New Roman" w:cs="Times New Roman"/>
                <w:color w:val="000000"/>
                <w:sz w:val="22"/>
                <w:lang w:eastAsia="lv-LV"/>
              </w:rPr>
              <w:t xml:space="preserve">Minimālās mēneša darba algas paaugstināšana līdz 320 </w:t>
            </w:r>
            <w:r w:rsidRPr="003F1103">
              <w:rPr>
                <w:rFonts w:eastAsia="Times New Roman" w:cs="Times New Roman"/>
                <w:i/>
                <w:color w:val="000000"/>
                <w:sz w:val="22"/>
                <w:lang w:eastAsia="lv-LV"/>
              </w:rPr>
              <w:t>euro</w:t>
            </w:r>
            <w:r w:rsidRPr="007936DC">
              <w:rPr>
                <w:rFonts w:eastAsia="Times New Roman" w:cs="Times New Roman"/>
                <w:color w:val="000000"/>
                <w:sz w:val="22"/>
                <w:lang w:eastAsia="lv-LV"/>
              </w:rPr>
              <w:t xml:space="preserve"> ar 2014.gada 1.janvāri</w:t>
            </w:r>
          </w:p>
        </w:tc>
        <w:tc>
          <w:tcPr>
            <w:tcW w:w="1276" w:type="dxa"/>
            <w:tcBorders>
              <w:top w:val="nil"/>
              <w:left w:val="nil"/>
              <w:bottom w:val="single" w:sz="4" w:space="0" w:color="auto"/>
              <w:right w:val="single" w:sz="4" w:space="0" w:color="auto"/>
            </w:tcBorders>
            <w:shd w:val="clear" w:color="auto" w:fill="auto"/>
            <w:noWrap/>
            <w:vAlign w:val="center"/>
          </w:tcPr>
          <w:p w:rsidR="00B92D7A" w:rsidRPr="00434A2A" w:rsidRDefault="00A05BF2" w:rsidP="00A05BF2">
            <w:pPr>
              <w:jc w:val="right"/>
              <w:rPr>
                <w:rFonts w:eastAsia="Times New Roman" w:cs="Times New Roman"/>
                <w:color w:val="000000"/>
                <w:sz w:val="22"/>
                <w:lang w:eastAsia="lv-LV"/>
              </w:rPr>
            </w:pPr>
            <w:r>
              <w:rPr>
                <w:rFonts w:eastAsia="Times New Roman" w:cs="Times New Roman"/>
                <w:color w:val="000000"/>
                <w:sz w:val="22"/>
                <w:lang w:eastAsia="lv-LV"/>
              </w:rPr>
              <w:t>18,1</w:t>
            </w:r>
          </w:p>
        </w:tc>
      </w:tr>
      <w:tr w:rsidR="00B92D7A" w:rsidRPr="00434A2A" w:rsidTr="0061717F">
        <w:trPr>
          <w:trHeight w:val="402"/>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B92D7A" w:rsidRPr="00434A2A" w:rsidRDefault="00B92D7A" w:rsidP="00434A2A">
            <w:pPr>
              <w:jc w:val="center"/>
              <w:rPr>
                <w:rFonts w:eastAsia="Times New Roman" w:cs="Times New Roman"/>
                <w:color w:val="000000"/>
                <w:sz w:val="22"/>
                <w:lang w:eastAsia="lv-LV"/>
              </w:rPr>
            </w:pPr>
            <w:r w:rsidRPr="00434A2A">
              <w:rPr>
                <w:rFonts w:eastAsia="Times New Roman" w:cs="Times New Roman"/>
                <w:color w:val="000000"/>
                <w:sz w:val="22"/>
                <w:lang w:eastAsia="lv-LV"/>
              </w:rPr>
              <w:t>10</w:t>
            </w:r>
            <w:r>
              <w:rPr>
                <w:rFonts w:eastAsia="Times New Roman" w:cs="Times New Roman"/>
                <w:color w:val="000000"/>
                <w:sz w:val="22"/>
                <w:lang w:eastAsia="lv-LV"/>
              </w:rPr>
              <w:t>.</w:t>
            </w:r>
          </w:p>
        </w:tc>
        <w:tc>
          <w:tcPr>
            <w:tcW w:w="6865" w:type="dxa"/>
            <w:tcBorders>
              <w:top w:val="nil"/>
              <w:left w:val="nil"/>
              <w:bottom w:val="single" w:sz="4" w:space="0" w:color="auto"/>
              <w:right w:val="single" w:sz="4" w:space="0" w:color="auto"/>
            </w:tcBorders>
            <w:shd w:val="clear" w:color="auto" w:fill="auto"/>
            <w:vAlign w:val="center"/>
          </w:tcPr>
          <w:p w:rsidR="00B92D7A" w:rsidRPr="009B7BA7" w:rsidRDefault="007936DC" w:rsidP="007936DC">
            <w:pPr>
              <w:rPr>
                <w:rFonts w:eastAsia="Times New Roman" w:cs="Times New Roman"/>
                <w:color w:val="000000"/>
                <w:sz w:val="22"/>
                <w:lang w:eastAsia="lv-LV"/>
              </w:rPr>
            </w:pPr>
            <w:r w:rsidRPr="007936DC">
              <w:rPr>
                <w:rFonts w:eastAsia="Times New Roman" w:cs="Times New Roman"/>
                <w:color w:val="000000"/>
                <w:sz w:val="22"/>
                <w:lang w:eastAsia="lv-LV"/>
              </w:rPr>
              <w:t>Zinātnes bāzes finansējums</w:t>
            </w:r>
          </w:p>
        </w:tc>
        <w:tc>
          <w:tcPr>
            <w:tcW w:w="1276" w:type="dxa"/>
            <w:tcBorders>
              <w:top w:val="nil"/>
              <w:left w:val="nil"/>
              <w:bottom w:val="single" w:sz="4" w:space="0" w:color="auto"/>
              <w:right w:val="single" w:sz="4" w:space="0" w:color="auto"/>
            </w:tcBorders>
            <w:shd w:val="clear" w:color="auto" w:fill="auto"/>
            <w:noWrap/>
            <w:vAlign w:val="center"/>
          </w:tcPr>
          <w:p w:rsidR="00B92D7A" w:rsidRPr="00434A2A" w:rsidRDefault="00A05BF2" w:rsidP="00A05BF2">
            <w:pPr>
              <w:jc w:val="right"/>
              <w:rPr>
                <w:rFonts w:eastAsia="Times New Roman" w:cs="Times New Roman"/>
                <w:color w:val="000000"/>
                <w:sz w:val="22"/>
                <w:lang w:eastAsia="lv-LV"/>
              </w:rPr>
            </w:pPr>
            <w:r>
              <w:rPr>
                <w:rFonts w:eastAsia="Times New Roman" w:cs="Times New Roman"/>
                <w:color w:val="000000"/>
                <w:sz w:val="22"/>
                <w:lang w:eastAsia="lv-LV"/>
              </w:rPr>
              <w:t>16,4</w:t>
            </w:r>
          </w:p>
        </w:tc>
      </w:tr>
      <w:tr w:rsidR="00B92D7A" w:rsidRPr="00434A2A" w:rsidTr="008E36CB">
        <w:trPr>
          <w:trHeight w:val="326"/>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D7A" w:rsidRPr="00434A2A" w:rsidRDefault="00B92D7A" w:rsidP="007936DC">
            <w:pPr>
              <w:jc w:val="right"/>
              <w:rPr>
                <w:rFonts w:eastAsia="Times New Roman" w:cs="Times New Roman"/>
                <w:color w:val="000000"/>
                <w:sz w:val="22"/>
                <w:lang w:eastAsia="lv-LV"/>
              </w:rPr>
            </w:pPr>
          </w:p>
        </w:tc>
        <w:tc>
          <w:tcPr>
            <w:tcW w:w="6865" w:type="dxa"/>
            <w:tcBorders>
              <w:top w:val="single" w:sz="4" w:space="0" w:color="auto"/>
              <w:left w:val="nil"/>
              <w:bottom w:val="single" w:sz="4" w:space="0" w:color="auto"/>
              <w:right w:val="single" w:sz="4" w:space="0" w:color="auto"/>
            </w:tcBorders>
            <w:shd w:val="clear" w:color="auto" w:fill="auto"/>
            <w:vAlign w:val="center"/>
          </w:tcPr>
          <w:p w:rsidR="00B92D7A" w:rsidRPr="0047167C" w:rsidRDefault="00B92D7A" w:rsidP="007936DC">
            <w:pPr>
              <w:jc w:val="right"/>
              <w:rPr>
                <w:rFonts w:eastAsia="Times New Roman" w:cs="Times New Roman"/>
                <w:b/>
                <w:color w:val="000000"/>
                <w:sz w:val="22"/>
                <w:lang w:eastAsia="lv-LV"/>
              </w:rPr>
            </w:pPr>
            <w:r>
              <w:rPr>
                <w:rFonts w:eastAsia="Times New Roman" w:cs="Times New Roman"/>
                <w:b/>
                <w:color w:val="000000"/>
                <w:sz w:val="22"/>
                <w:lang w:eastAsia="lv-LV"/>
              </w:rPr>
              <w:t>Kopā: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2D7A" w:rsidRPr="0047167C" w:rsidRDefault="001B7AC8" w:rsidP="002000BD">
            <w:pPr>
              <w:jc w:val="right"/>
              <w:rPr>
                <w:rFonts w:eastAsia="Times New Roman" w:cs="Times New Roman"/>
                <w:b/>
                <w:color w:val="000000"/>
                <w:sz w:val="22"/>
                <w:lang w:eastAsia="lv-LV"/>
              </w:rPr>
            </w:pPr>
            <w:r>
              <w:rPr>
                <w:rFonts w:eastAsia="Times New Roman" w:cs="Times New Roman"/>
                <w:b/>
                <w:color w:val="000000"/>
                <w:sz w:val="22"/>
                <w:lang w:eastAsia="lv-LV"/>
              </w:rPr>
              <w:t>33</w:t>
            </w:r>
            <w:r w:rsidR="002000BD">
              <w:rPr>
                <w:rFonts w:eastAsia="Times New Roman" w:cs="Times New Roman"/>
                <w:b/>
                <w:color w:val="000000"/>
                <w:sz w:val="22"/>
                <w:lang w:eastAsia="lv-LV"/>
              </w:rPr>
              <w:t>5</w:t>
            </w:r>
            <w:r>
              <w:rPr>
                <w:rFonts w:eastAsia="Times New Roman" w:cs="Times New Roman"/>
                <w:b/>
                <w:color w:val="000000"/>
                <w:sz w:val="22"/>
                <w:lang w:eastAsia="lv-LV"/>
              </w:rPr>
              <w:t>,</w:t>
            </w:r>
            <w:r w:rsidR="002000BD">
              <w:rPr>
                <w:rFonts w:eastAsia="Times New Roman" w:cs="Times New Roman"/>
                <w:b/>
                <w:color w:val="000000"/>
                <w:sz w:val="22"/>
                <w:lang w:eastAsia="lv-LV"/>
              </w:rPr>
              <w:t>0</w:t>
            </w:r>
          </w:p>
        </w:tc>
      </w:tr>
    </w:tbl>
    <w:p w:rsidR="00AF72D6" w:rsidRPr="006742EE" w:rsidRDefault="00AF72D6" w:rsidP="00AF72D6">
      <w:pPr>
        <w:jc w:val="both"/>
        <w:rPr>
          <w:szCs w:val="24"/>
        </w:rPr>
      </w:pPr>
    </w:p>
    <w:p w:rsidR="007936DC" w:rsidRPr="006742EE" w:rsidRDefault="003877DA" w:rsidP="007936DC">
      <w:pPr>
        <w:ind w:firstLine="709"/>
        <w:jc w:val="both"/>
        <w:rPr>
          <w:szCs w:val="24"/>
        </w:rPr>
      </w:pPr>
      <w:r>
        <w:rPr>
          <w:szCs w:val="24"/>
        </w:rPr>
        <w:t>5</w:t>
      </w:r>
      <w:r w:rsidR="007936DC" w:rsidRPr="006742EE">
        <w:rPr>
          <w:szCs w:val="24"/>
        </w:rPr>
        <w:t xml:space="preserve">.tabulā iekļautas </w:t>
      </w:r>
      <w:r w:rsidR="007936DC">
        <w:rPr>
          <w:szCs w:val="24"/>
        </w:rPr>
        <w:t>10</w:t>
      </w:r>
      <w:r w:rsidR="007936DC" w:rsidRPr="006742EE">
        <w:rPr>
          <w:szCs w:val="24"/>
        </w:rPr>
        <w:t xml:space="preserve"> budžeta attīstības daļas programmas, kurās 201</w:t>
      </w:r>
      <w:r w:rsidR="007936DC">
        <w:rPr>
          <w:szCs w:val="24"/>
        </w:rPr>
        <w:t>6</w:t>
      </w:r>
      <w:r w:rsidR="007936DC" w:rsidRPr="006742EE">
        <w:rPr>
          <w:szCs w:val="24"/>
        </w:rPr>
        <w:t>.gad</w:t>
      </w:r>
      <w:r w:rsidR="007936DC">
        <w:rPr>
          <w:szCs w:val="24"/>
        </w:rPr>
        <w:t>ā</w:t>
      </w:r>
      <w:r w:rsidR="007936DC" w:rsidRPr="006742EE">
        <w:rPr>
          <w:szCs w:val="24"/>
        </w:rPr>
        <w:t xml:space="preserve"> piešķirts vislielākais papildu finansējums </w:t>
      </w:r>
      <w:r w:rsidR="00926F7F" w:rsidRPr="00C501B7">
        <w:rPr>
          <w:szCs w:val="24"/>
        </w:rPr>
        <w:t>4</w:t>
      </w:r>
      <w:r w:rsidR="00D35A28" w:rsidRPr="00C501B7">
        <w:rPr>
          <w:szCs w:val="24"/>
        </w:rPr>
        <w:t>5</w:t>
      </w:r>
      <w:r w:rsidR="00926F7F" w:rsidRPr="00C501B7">
        <w:rPr>
          <w:szCs w:val="24"/>
        </w:rPr>
        <w:t>5</w:t>
      </w:r>
      <w:r w:rsidR="007936DC" w:rsidRPr="00C501B7">
        <w:rPr>
          <w:szCs w:val="24"/>
        </w:rPr>
        <w:t>,</w:t>
      </w:r>
      <w:r w:rsidR="00926F7F" w:rsidRPr="00C501B7">
        <w:rPr>
          <w:szCs w:val="24"/>
        </w:rPr>
        <w:t>0</w:t>
      </w:r>
      <w:r w:rsidR="007936DC" w:rsidRPr="00C501B7">
        <w:rPr>
          <w:szCs w:val="24"/>
        </w:rPr>
        <w:t xml:space="preserve"> milj. </w:t>
      </w:r>
      <w:r w:rsidR="007936DC" w:rsidRPr="00C501B7">
        <w:rPr>
          <w:i/>
          <w:szCs w:val="24"/>
        </w:rPr>
        <w:t>euro</w:t>
      </w:r>
      <w:r w:rsidR="007936DC" w:rsidRPr="00C501B7">
        <w:rPr>
          <w:szCs w:val="24"/>
        </w:rPr>
        <w:t xml:space="preserve"> jeb </w:t>
      </w:r>
      <w:r w:rsidR="000C5F7E">
        <w:rPr>
          <w:szCs w:val="24"/>
        </w:rPr>
        <w:t>57,5</w:t>
      </w:r>
      <w:r w:rsidR="007936DC" w:rsidRPr="00C501B7">
        <w:rPr>
          <w:szCs w:val="24"/>
        </w:rPr>
        <w:t>% no kopējā 2016</w:t>
      </w:r>
      <w:r w:rsidR="007936DC">
        <w:rPr>
          <w:szCs w:val="24"/>
        </w:rPr>
        <w:t>.gada JPI finansējuma</w:t>
      </w:r>
      <w:r w:rsidR="007936DC" w:rsidRPr="006742EE">
        <w:rPr>
          <w:szCs w:val="24"/>
        </w:rPr>
        <w:t>.</w:t>
      </w:r>
    </w:p>
    <w:p w:rsidR="00BC1E7D" w:rsidRDefault="00BC1E7D" w:rsidP="003877DA">
      <w:pPr>
        <w:rPr>
          <w:szCs w:val="24"/>
        </w:rPr>
      </w:pPr>
    </w:p>
    <w:p w:rsidR="00503150" w:rsidRPr="00AB114D" w:rsidRDefault="003877DA" w:rsidP="00AB114D">
      <w:pPr>
        <w:ind w:firstLine="709"/>
        <w:jc w:val="right"/>
        <w:rPr>
          <w:szCs w:val="24"/>
        </w:rPr>
      </w:pPr>
      <w:r>
        <w:rPr>
          <w:szCs w:val="24"/>
        </w:rPr>
        <w:lastRenderedPageBreak/>
        <w:t>5</w:t>
      </w:r>
      <w:r w:rsidR="00AB114D">
        <w:rPr>
          <w:szCs w:val="24"/>
        </w:rPr>
        <w:t>.tabula</w:t>
      </w:r>
    </w:p>
    <w:p w:rsidR="007936DC" w:rsidRPr="006742EE" w:rsidRDefault="007936DC" w:rsidP="00826F5E">
      <w:pPr>
        <w:jc w:val="center"/>
        <w:rPr>
          <w:b/>
          <w:sz w:val="22"/>
        </w:rPr>
      </w:pPr>
      <w:r>
        <w:rPr>
          <w:b/>
          <w:sz w:val="22"/>
        </w:rPr>
        <w:t>10</w:t>
      </w:r>
      <w:r w:rsidRPr="006742EE">
        <w:rPr>
          <w:b/>
          <w:sz w:val="22"/>
        </w:rPr>
        <w:t xml:space="preserve"> budžeta programmas</w:t>
      </w:r>
      <w:r w:rsidR="008B613F">
        <w:rPr>
          <w:b/>
          <w:sz w:val="22"/>
        </w:rPr>
        <w:t xml:space="preserve"> (apakšprogrammas)</w:t>
      </w:r>
      <w:r w:rsidRPr="006742EE">
        <w:rPr>
          <w:b/>
          <w:sz w:val="22"/>
        </w:rPr>
        <w:t>, kurās 201</w:t>
      </w:r>
      <w:r>
        <w:rPr>
          <w:b/>
          <w:sz w:val="22"/>
        </w:rPr>
        <w:t>6</w:t>
      </w:r>
      <w:r w:rsidRPr="006742EE">
        <w:rPr>
          <w:b/>
          <w:sz w:val="22"/>
        </w:rPr>
        <w:t>.gad</w:t>
      </w:r>
      <w:r>
        <w:rPr>
          <w:b/>
          <w:sz w:val="22"/>
        </w:rPr>
        <w:t>ā</w:t>
      </w:r>
      <w:r w:rsidRPr="006742EE">
        <w:rPr>
          <w:b/>
          <w:sz w:val="22"/>
        </w:rPr>
        <w:t xml:space="preserve"> </w:t>
      </w:r>
      <w:r w:rsidRPr="003877DA">
        <w:rPr>
          <w:b/>
          <w:sz w:val="22"/>
        </w:rPr>
        <w:t>piešķirts vislielākais papildu finansējums</w:t>
      </w:r>
      <w:r w:rsidR="003877DA" w:rsidRPr="003877DA">
        <w:rPr>
          <w:b/>
          <w:sz w:val="22"/>
        </w:rPr>
        <w:t xml:space="preserve"> JPI</w:t>
      </w:r>
      <w:r w:rsidRPr="003877DA">
        <w:rPr>
          <w:rFonts w:eastAsia="Times New Roman" w:cs="Times New Roman"/>
          <w:b/>
          <w:bCs/>
          <w:sz w:val="22"/>
          <w:lang w:eastAsia="lv-LV"/>
        </w:rPr>
        <w:t xml:space="preserve">, milj. </w:t>
      </w:r>
      <w:r w:rsidRPr="003877DA">
        <w:rPr>
          <w:rFonts w:eastAsia="Times New Roman" w:cs="Times New Roman"/>
          <w:b/>
          <w:bCs/>
          <w:i/>
          <w:sz w:val="22"/>
          <w:lang w:eastAsia="lv-LV"/>
        </w:rPr>
        <w:t>euro</w:t>
      </w:r>
    </w:p>
    <w:p w:rsidR="006C14D1" w:rsidRPr="003877DA" w:rsidRDefault="006C14D1" w:rsidP="006C14D1">
      <w:pPr>
        <w:rPr>
          <w:b/>
          <w:sz w:val="16"/>
          <w:szCs w:val="16"/>
        </w:rPr>
      </w:pPr>
    </w:p>
    <w:tbl>
      <w:tblPr>
        <w:tblW w:w="9356" w:type="dxa"/>
        <w:jc w:val="center"/>
        <w:tblLook w:val="04A0" w:firstRow="1" w:lastRow="0" w:firstColumn="1" w:lastColumn="0" w:noHBand="0" w:noVBand="1"/>
      </w:tblPr>
      <w:tblGrid>
        <w:gridCol w:w="1023"/>
        <w:gridCol w:w="6855"/>
        <w:gridCol w:w="1478"/>
      </w:tblGrid>
      <w:tr w:rsidR="007936DC" w:rsidRPr="00132B68" w:rsidTr="00BF61B1">
        <w:trPr>
          <w:trHeight w:val="276"/>
          <w:tblHeader/>
          <w:jc w:val="center"/>
        </w:trPr>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36DC" w:rsidRPr="00132B68" w:rsidRDefault="007936DC" w:rsidP="007936DC">
            <w:pPr>
              <w:ind w:left="-255"/>
              <w:jc w:val="center"/>
              <w:rPr>
                <w:rFonts w:eastAsia="Times New Roman" w:cs="Times New Roman"/>
                <w:b/>
                <w:bCs/>
                <w:color w:val="000000"/>
                <w:sz w:val="22"/>
                <w:lang w:eastAsia="lv-LV"/>
              </w:rPr>
            </w:pPr>
            <w:r w:rsidRPr="00434A2A">
              <w:rPr>
                <w:rFonts w:eastAsia="Times New Roman" w:cs="Times New Roman"/>
                <w:b/>
                <w:bCs/>
                <w:color w:val="000000"/>
                <w:sz w:val="22"/>
                <w:lang w:eastAsia="lv-LV"/>
              </w:rPr>
              <w:t>Nr.</w:t>
            </w:r>
          </w:p>
        </w:tc>
        <w:tc>
          <w:tcPr>
            <w:tcW w:w="6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936DC" w:rsidRPr="00132B68" w:rsidRDefault="007936DC" w:rsidP="007936DC">
            <w:pPr>
              <w:jc w:val="center"/>
              <w:rPr>
                <w:rFonts w:eastAsia="Times New Roman" w:cs="Times New Roman"/>
                <w:b/>
                <w:bCs/>
                <w:color w:val="000000"/>
                <w:sz w:val="22"/>
                <w:lang w:eastAsia="lv-LV"/>
              </w:rPr>
            </w:pPr>
            <w:r w:rsidRPr="00132B68">
              <w:rPr>
                <w:rFonts w:eastAsia="Times New Roman" w:cs="Times New Roman"/>
                <w:b/>
                <w:bCs/>
                <w:color w:val="000000"/>
                <w:sz w:val="22"/>
                <w:lang w:eastAsia="lv-LV"/>
              </w:rPr>
              <w:t>Programmas (apakšprogrammas) nosaukums</w:t>
            </w:r>
          </w:p>
        </w:tc>
        <w:tc>
          <w:tcPr>
            <w:tcW w:w="1478" w:type="dxa"/>
            <w:tcBorders>
              <w:top w:val="single" w:sz="4" w:space="0" w:color="auto"/>
              <w:left w:val="nil"/>
              <w:bottom w:val="single" w:sz="4" w:space="0" w:color="auto"/>
              <w:right w:val="single" w:sz="4" w:space="0" w:color="auto"/>
            </w:tcBorders>
            <w:shd w:val="clear" w:color="auto" w:fill="D9D9D9" w:themeFill="background1" w:themeFillShade="D9"/>
          </w:tcPr>
          <w:p w:rsidR="007936DC" w:rsidRPr="00DE19DC" w:rsidRDefault="007936DC" w:rsidP="007936DC">
            <w:pPr>
              <w:jc w:val="center"/>
              <w:rPr>
                <w:rFonts w:eastAsia="Times New Roman" w:cs="Times New Roman"/>
                <w:b/>
                <w:bCs/>
                <w:color w:val="000000"/>
                <w:sz w:val="22"/>
                <w:lang w:eastAsia="lv-LV"/>
              </w:rPr>
            </w:pPr>
            <w:r>
              <w:rPr>
                <w:rFonts w:eastAsia="Times New Roman" w:cs="Times New Roman"/>
                <w:b/>
                <w:bCs/>
                <w:color w:val="000000"/>
                <w:sz w:val="22"/>
                <w:lang w:eastAsia="lv-LV"/>
              </w:rPr>
              <w:t>Finansējums</w:t>
            </w:r>
          </w:p>
        </w:tc>
      </w:tr>
      <w:tr w:rsidR="007936DC" w:rsidRPr="00132B68" w:rsidTr="00826F5E">
        <w:trPr>
          <w:trHeight w:val="57"/>
          <w:jc w:val="center"/>
        </w:trPr>
        <w:tc>
          <w:tcPr>
            <w:tcW w:w="1023" w:type="dxa"/>
            <w:tcBorders>
              <w:top w:val="nil"/>
              <w:left w:val="single" w:sz="4" w:space="0" w:color="auto"/>
              <w:bottom w:val="single" w:sz="4" w:space="0" w:color="auto"/>
              <w:right w:val="single" w:sz="4" w:space="0" w:color="auto"/>
            </w:tcBorders>
            <w:vAlign w:val="center"/>
          </w:tcPr>
          <w:p w:rsidR="007936DC" w:rsidRPr="00826F5E" w:rsidRDefault="007936DC" w:rsidP="007936DC">
            <w:pPr>
              <w:jc w:val="center"/>
              <w:rPr>
                <w:rFonts w:eastAsia="Times New Roman" w:cs="Times New Roman"/>
                <w:color w:val="000000"/>
                <w:sz w:val="20"/>
                <w:szCs w:val="20"/>
                <w:lang w:eastAsia="lv-LV"/>
              </w:rPr>
            </w:pPr>
            <w:r w:rsidRPr="00826F5E">
              <w:rPr>
                <w:rFonts w:eastAsia="Times New Roman" w:cs="Times New Roman"/>
                <w:color w:val="000000"/>
                <w:sz w:val="20"/>
                <w:szCs w:val="20"/>
                <w:lang w:eastAsia="lv-LV"/>
              </w:rPr>
              <w:t>1.</w:t>
            </w:r>
          </w:p>
        </w:tc>
        <w:tc>
          <w:tcPr>
            <w:tcW w:w="6855" w:type="dxa"/>
            <w:tcBorders>
              <w:top w:val="nil"/>
              <w:left w:val="single" w:sz="4" w:space="0" w:color="auto"/>
              <w:bottom w:val="single" w:sz="4" w:space="0" w:color="auto"/>
              <w:right w:val="single" w:sz="4" w:space="0" w:color="auto"/>
            </w:tcBorders>
            <w:shd w:val="clear" w:color="auto" w:fill="auto"/>
            <w:vAlign w:val="bottom"/>
            <w:hideMark/>
          </w:tcPr>
          <w:p w:rsidR="007936DC" w:rsidRPr="00826F5E" w:rsidRDefault="00926F7F" w:rsidP="007936DC">
            <w:pPr>
              <w:rPr>
                <w:rFonts w:eastAsia="Times New Roman" w:cs="Times New Roman"/>
                <w:color w:val="000000"/>
                <w:sz w:val="20"/>
                <w:szCs w:val="20"/>
                <w:lang w:eastAsia="lv-LV"/>
              </w:rPr>
            </w:pPr>
            <w:r w:rsidRPr="00826F5E">
              <w:rPr>
                <w:rFonts w:eastAsia="Times New Roman" w:cs="Times New Roman"/>
                <w:color w:val="000000"/>
                <w:sz w:val="20"/>
                <w:szCs w:val="20"/>
                <w:lang w:eastAsia="lv-LV"/>
              </w:rPr>
              <w:t>Nacionālo bruņoto spēku uzturēšana</w:t>
            </w:r>
          </w:p>
        </w:tc>
        <w:tc>
          <w:tcPr>
            <w:tcW w:w="1478" w:type="dxa"/>
            <w:tcBorders>
              <w:top w:val="nil"/>
              <w:left w:val="single" w:sz="4" w:space="0" w:color="auto"/>
              <w:bottom w:val="single" w:sz="4" w:space="0" w:color="auto"/>
              <w:right w:val="single" w:sz="4" w:space="0" w:color="auto"/>
            </w:tcBorders>
            <w:shd w:val="clear" w:color="auto" w:fill="auto"/>
            <w:vAlign w:val="center"/>
          </w:tcPr>
          <w:p w:rsidR="007936DC" w:rsidRPr="00826F5E" w:rsidRDefault="00926F7F" w:rsidP="007936DC">
            <w:pPr>
              <w:jc w:val="right"/>
              <w:rPr>
                <w:rFonts w:eastAsia="Times New Roman" w:cs="Times New Roman"/>
                <w:color w:val="000000"/>
                <w:sz w:val="20"/>
                <w:szCs w:val="20"/>
                <w:lang w:eastAsia="lv-LV"/>
              </w:rPr>
            </w:pPr>
            <w:r w:rsidRPr="00826F5E">
              <w:rPr>
                <w:rFonts w:eastAsia="Times New Roman" w:cs="Times New Roman"/>
                <w:color w:val="000000"/>
                <w:sz w:val="20"/>
                <w:szCs w:val="20"/>
                <w:lang w:eastAsia="lv-LV"/>
              </w:rPr>
              <w:t>98,7</w:t>
            </w:r>
          </w:p>
        </w:tc>
      </w:tr>
      <w:tr w:rsidR="007936DC" w:rsidRPr="00132B68" w:rsidTr="00826F5E">
        <w:trPr>
          <w:trHeight w:val="57"/>
          <w:jc w:val="center"/>
        </w:trPr>
        <w:tc>
          <w:tcPr>
            <w:tcW w:w="1023" w:type="dxa"/>
            <w:tcBorders>
              <w:top w:val="nil"/>
              <w:left w:val="single" w:sz="4" w:space="0" w:color="auto"/>
              <w:bottom w:val="single" w:sz="4" w:space="0" w:color="auto"/>
              <w:right w:val="single" w:sz="4" w:space="0" w:color="auto"/>
            </w:tcBorders>
            <w:vAlign w:val="center"/>
          </w:tcPr>
          <w:p w:rsidR="007936DC" w:rsidRPr="00826F5E" w:rsidRDefault="007936DC" w:rsidP="007936DC">
            <w:pPr>
              <w:jc w:val="center"/>
              <w:rPr>
                <w:rFonts w:eastAsia="Times New Roman" w:cs="Times New Roman"/>
                <w:color w:val="000000"/>
                <w:sz w:val="20"/>
                <w:szCs w:val="20"/>
                <w:lang w:eastAsia="lv-LV"/>
              </w:rPr>
            </w:pPr>
            <w:r w:rsidRPr="00826F5E">
              <w:rPr>
                <w:rFonts w:eastAsia="Times New Roman" w:cs="Times New Roman"/>
                <w:color w:val="000000"/>
                <w:sz w:val="20"/>
                <w:szCs w:val="20"/>
                <w:lang w:eastAsia="lv-LV"/>
              </w:rPr>
              <w:t>2.</w:t>
            </w:r>
          </w:p>
        </w:tc>
        <w:tc>
          <w:tcPr>
            <w:tcW w:w="6855" w:type="dxa"/>
            <w:tcBorders>
              <w:top w:val="nil"/>
              <w:left w:val="single" w:sz="4" w:space="0" w:color="auto"/>
              <w:bottom w:val="single" w:sz="4" w:space="0" w:color="auto"/>
              <w:right w:val="single" w:sz="4" w:space="0" w:color="auto"/>
            </w:tcBorders>
            <w:shd w:val="clear" w:color="auto" w:fill="auto"/>
            <w:vAlign w:val="bottom"/>
          </w:tcPr>
          <w:p w:rsidR="007936DC" w:rsidRPr="00826F5E" w:rsidRDefault="00926F7F" w:rsidP="007936DC">
            <w:pPr>
              <w:rPr>
                <w:rFonts w:eastAsia="Times New Roman" w:cs="Times New Roman"/>
                <w:color w:val="000000"/>
                <w:sz w:val="20"/>
                <w:szCs w:val="20"/>
                <w:lang w:eastAsia="lv-LV"/>
              </w:rPr>
            </w:pPr>
            <w:r w:rsidRPr="00826F5E">
              <w:rPr>
                <w:rFonts w:eastAsia="Times New Roman" w:cs="Times New Roman"/>
                <w:color w:val="000000"/>
                <w:sz w:val="20"/>
                <w:szCs w:val="20"/>
                <w:lang w:eastAsia="lv-LV"/>
              </w:rPr>
              <w:t>Ārstniecība</w:t>
            </w:r>
          </w:p>
        </w:tc>
        <w:tc>
          <w:tcPr>
            <w:tcW w:w="1478" w:type="dxa"/>
            <w:tcBorders>
              <w:top w:val="nil"/>
              <w:left w:val="single" w:sz="4" w:space="0" w:color="auto"/>
              <w:bottom w:val="single" w:sz="4" w:space="0" w:color="auto"/>
              <w:right w:val="single" w:sz="4" w:space="0" w:color="auto"/>
            </w:tcBorders>
            <w:shd w:val="clear" w:color="auto" w:fill="auto"/>
            <w:vAlign w:val="center"/>
          </w:tcPr>
          <w:p w:rsidR="007936DC" w:rsidRPr="00826F5E" w:rsidRDefault="00D35A28" w:rsidP="007936DC">
            <w:pPr>
              <w:jc w:val="right"/>
              <w:rPr>
                <w:rFonts w:eastAsia="Times New Roman" w:cs="Times New Roman"/>
                <w:color w:val="000000"/>
                <w:sz w:val="20"/>
                <w:szCs w:val="20"/>
                <w:lang w:eastAsia="lv-LV"/>
              </w:rPr>
            </w:pPr>
            <w:r w:rsidRPr="00826F5E">
              <w:rPr>
                <w:rFonts w:eastAsia="Times New Roman" w:cs="Times New Roman"/>
                <w:color w:val="000000"/>
                <w:sz w:val="20"/>
                <w:szCs w:val="20"/>
                <w:lang w:eastAsia="lv-LV"/>
              </w:rPr>
              <w:t>7</w:t>
            </w:r>
            <w:r w:rsidR="00926F7F" w:rsidRPr="00826F5E">
              <w:rPr>
                <w:rFonts w:eastAsia="Times New Roman" w:cs="Times New Roman"/>
                <w:color w:val="000000"/>
                <w:sz w:val="20"/>
                <w:szCs w:val="20"/>
                <w:lang w:eastAsia="lv-LV"/>
              </w:rPr>
              <w:t>4,8</w:t>
            </w:r>
          </w:p>
        </w:tc>
      </w:tr>
      <w:tr w:rsidR="007936DC" w:rsidRPr="00132B68" w:rsidTr="00826F5E">
        <w:trPr>
          <w:trHeight w:val="57"/>
          <w:jc w:val="center"/>
        </w:trPr>
        <w:tc>
          <w:tcPr>
            <w:tcW w:w="1023" w:type="dxa"/>
            <w:tcBorders>
              <w:top w:val="nil"/>
              <w:left w:val="single" w:sz="4" w:space="0" w:color="auto"/>
              <w:bottom w:val="single" w:sz="4" w:space="0" w:color="auto"/>
              <w:right w:val="single" w:sz="4" w:space="0" w:color="auto"/>
            </w:tcBorders>
            <w:vAlign w:val="center"/>
          </w:tcPr>
          <w:p w:rsidR="007936DC" w:rsidRPr="00826F5E" w:rsidRDefault="007936DC" w:rsidP="007936DC">
            <w:pPr>
              <w:jc w:val="center"/>
              <w:rPr>
                <w:rFonts w:eastAsia="Times New Roman" w:cs="Times New Roman"/>
                <w:color w:val="000000"/>
                <w:sz w:val="20"/>
                <w:szCs w:val="20"/>
                <w:lang w:eastAsia="lv-LV"/>
              </w:rPr>
            </w:pPr>
            <w:r w:rsidRPr="00826F5E">
              <w:rPr>
                <w:rFonts w:eastAsia="Times New Roman" w:cs="Times New Roman"/>
                <w:color w:val="000000"/>
                <w:sz w:val="20"/>
                <w:szCs w:val="20"/>
                <w:lang w:eastAsia="lv-LV"/>
              </w:rPr>
              <w:t>3.</w:t>
            </w:r>
          </w:p>
        </w:tc>
        <w:tc>
          <w:tcPr>
            <w:tcW w:w="6855" w:type="dxa"/>
            <w:tcBorders>
              <w:top w:val="nil"/>
              <w:left w:val="single" w:sz="4" w:space="0" w:color="auto"/>
              <w:bottom w:val="single" w:sz="4" w:space="0" w:color="auto"/>
              <w:right w:val="single" w:sz="4" w:space="0" w:color="auto"/>
            </w:tcBorders>
            <w:shd w:val="clear" w:color="auto" w:fill="auto"/>
            <w:vAlign w:val="bottom"/>
          </w:tcPr>
          <w:p w:rsidR="007936DC" w:rsidRPr="00826F5E" w:rsidRDefault="00926F7F" w:rsidP="007936DC">
            <w:pPr>
              <w:jc w:val="both"/>
              <w:rPr>
                <w:rFonts w:eastAsia="Times New Roman" w:cs="Times New Roman"/>
                <w:color w:val="000000"/>
                <w:sz w:val="20"/>
                <w:szCs w:val="20"/>
                <w:lang w:eastAsia="lv-LV"/>
              </w:rPr>
            </w:pPr>
            <w:r w:rsidRPr="00826F5E">
              <w:rPr>
                <w:rFonts w:eastAsia="Times New Roman" w:cs="Times New Roman"/>
                <w:color w:val="000000"/>
                <w:sz w:val="20"/>
                <w:szCs w:val="20"/>
                <w:lang w:eastAsia="lv-LV"/>
              </w:rPr>
              <w:t>Elektroenerģijas lietotāju atbalsts</w:t>
            </w:r>
          </w:p>
        </w:tc>
        <w:tc>
          <w:tcPr>
            <w:tcW w:w="1478" w:type="dxa"/>
            <w:tcBorders>
              <w:top w:val="nil"/>
              <w:left w:val="single" w:sz="4" w:space="0" w:color="auto"/>
              <w:bottom w:val="single" w:sz="4" w:space="0" w:color="auto"/>
              <w:right w:val="single" w:sz="4" w:space="0" w:color="auto"/>
            </w:tcBorders>
            <w:shd w:val="clear" w:color="auto" w:fill="auto"/>
            <w:vAlign w:val="center"/>
          </w:tcPr>
          <w:p w:rsidR="007936DC" w:rsidRPr="00826F5E" w:rsidRDefault="00926F7F" w:rsidP="007936DC">
            <w:pPr>
              <w:jc w:val="right"/>
              <w:rPr>
                <w:rFonts w:eastAsia="Times New Roman" w:cs="Times New Roman"/>
                <w:color w:val="000000"/>
                <w:sz w:val="20"/>
                <w:szCs w:val="20"/>
                <w:lang w:eastAsia="lv-LV"/>
              </w:rPr>
            </w:pPr>
            <w:r w:rsidRPr="00826F5E">
              <w:rPr>
                <w:rFonts w:eastAsia="Times New Roman" w:cs="Times New Roman"/>
                <w:color w:val="000000"/>
                <w:sz w:val="20"/>
                <w:szCs w:val="20"/>
                <w:lang w:eastAsia="lv-LV"/>
              </w:rPr>
              <w:t>56,1</w:t>
            </w:r>
          </w:p>
        </w:tc>
      </w:tr>
      <w:tr w:rsidR="007936DC" w:rsidRPr="00132B68" w:rsidTr="00826F5E">
        <w:trPr>
          <w:trHeight w:val="57"/>
          <w:jc w:val="center"/>
        </w:trPr>
        <w:tc>
          <w:tcPr>
            <w:tcW w:w="1023" w:type="dxa"/>
            <w:tcBorders>
              <w:top w:val="nil"/>
              <w:left w:val="single" w:sz="4" w:space="0" w:color="auto"/>
              <w:bottom w:val="single" w:sz="4" w:space="0" w:color="auto"/>
              <w:right w:val="single" w:sz="4" w:space="0" w:color="auto"/>
            </w:tcBorders>
            <w:vAlign w:val="center"/>
          </w:tcPr>
          <w:p w:rsidR="007936DC" w:rsidRPr="00826F5E" w:rsidRDefault="007936DC" w:rsidP="007936DC">
            <w:pPr>
              <w:jc w:val="center"/>
              <w:rPr>
                <w:rFonts w:eastAsia="Times New Roman" w:cs="Times New Roman"/>
                <w:color w:val="000000"/>
                <w:sz w:val="20"/>
                <w:szCs w:val="20"/>
                <w:lang w:eastAsia="lv-LV"/>
              </w:rPr>
            </w:pPr>
            <w:r w:rsidRPr="00826F5E">
              <w:rPr>
                <w:rFonts w:eastAsia="Times New Roman" w:cs="Times New Roman"/>
                <w:color w:val="000000"/>
                <w:sz w:val="20"/>
                <w:szCs w:val="20"/>
                <w:lang w:eastAsia="lv-LV"/>
              </w:rPr>
              <w:t>4.</w:t>
            </w:r>
          </w:p>
        </w:tc>
        <w:tc>
          <w:tcPr>
            <w:tcW w:w="6855" w:type="dxa"/>
            <w:tcBorders>
              <w:top w:val="nil"/>
              <w:left w:val="single" w:sz="4" w:space="0" w:color="auto"/>
              <w:bottom w:val="single" w:sz="4" w:space="0" w:color="auto"/>
              <w:right w:val="single" w:sz="4" w:space="0" w:color="auto"/>
            </w:tcBorders>
            <w:shd w:val="clear" w:color="auto" w:fill="auto"/>
            <w:vAlign w:val="bottom"/>
          </w:tcPr>
          <w:p w:rsidR="007936DC" w:rsidRPr="00826F5E" w:rsidRDefault="00926F7F" w:rsidP="007936DC">
            <w:pPr>
              <w:jc w:val="both"/>
              <w:rPr>
                <w:rFonts w:eastAsia="Times New Roman" w:cs="Times New Roman"/>
                <w:color w:val="000000"/>
                <w:sz w:val="20"/>
                <w:szCs w:val="20"/>
                <w:lang w:eastAsia="lv-LV"/>
              </w:rPr>
            </w:pPr>
            <w:r w:rsidRPr="00826F5E">
              <w:rPr>
                <w:rFonts w:eastAsia="Times New Roman" w:cs="Times New Roman"/>
                <w:color w:val="000000"/>
                <w:sz w:val="20"/>
                <w:szCs w:val="20"/>
                <w:lang w:eastAsia="lv-LV"/>
              </w:rPr>
              <w:t>Valsts autoceļu pārvaldīšana, uzturēšana un atjaunošana</w:t>
            </w:r>
          </w:p>
        </w:tc>
        <w:tc>
          <w:tcPr>
            <w:tcW w:w="1478" w:type="dxa"/>
            <w:tcBorders>
              <w:top w:val="nil"/>
              <w:left w:val="single" w:sz="4" w:space="0" w:color="auto"/>
              <w:bottom w:val="single" w:sz="4" w:space="0" w:color="auto"/>
              <w:right w:val="single" w:sz="4" w:space="0" w:color="auto"/>
            </w:tcBorders>
            <w:shd w:val="clear" w:color="auto" w:fill="auto"/>
            <w:vAlign w:val="center"/>
          </w:tcPr>
          <w:p w:rsidR="007936DC" w:rsidRPr="00826F5E" w:rsidRDefault="00926F7F" w:rsidP="007936DC">
            <w:pPr>
              <w:jc w:val="right"/>
              <w:rPr>
                <w:rFonts w:eastAsia="Times New Roman" w:cs="Times New Roman"/>
                <w:color w:val="000000"/>
                <w:sz w:val="20"/>
                <w:szCs w:val="20"/>
                <w:lang w:eastAsia="lv-LV"/>
              </w:rPr>
            </w:pPr>
            <w:r w:rsidRPr="00826F5E">
              <w:rPr>
                <w:rFonts w:eastAsia="Times New Roman" w:cs="Times New Roman"/>
                <w:color w:val="000000"/>
                <w:sz w:val="20"/>
                <w:szCs w:val="20"/>
                <w:lang w:eastAsia="lv-LV"/>
              </w:rPr>
              <w:t>50,0</w:t>
            </w:r>
          </w:p>
        </w:tc>
      </w:tr>
      <w:tr w:rsidR="007936DC" w:rsidRPr="00132B68" w:rsidTr="00826F5E">
        <w:trPr>
          <w:trHeight w:val="57"/>
          <w:jc w:val="center"/>
        </w:trPr>
        <w:tc>
          <w:tcPr>
            <w:tcW w:w="1023" w:type="dxa"/>
            <w:tcBorders>
              <w:top w:val="nil"/>
              <w:left w:val="single" w:sz="4" w:space="0" w:color="auto"/>
              <w:bottom w:val="single" w:sz="4" w:space="0" w:color="auto"/>
              <w:right w:val="single" w:sz="4" w:space="0" w:color="auto"/>
            </w:tcBorders>
            <w:vAlign w:val="center"/>
          </w:tcPr>
          <w:p w:rsidR="007936DC" w:rsidRPr="00826F5E" w:rsidRDefault="007936DC" w:rsidP="007936DC">
            <w:pPr>
              <w:jc w:val="center"/>
              <w:rPr>
                <w:rFonts w:eastAsia="Times New Roman" w:cs="Times New Roman"/>
                <w:color w:val="000000"/>
                <w:sz w:val="20"/>
                <w:szCs w:val="20"/>
                <w:lang w:eastAsia="lv-LV"/>
              </w:rPr>
            </w:pPr>
            <w:r w:rsidRPr="00826F5E">
              <w:rPr>
                <w:rFonts w:eastAsia="Times New Roman" w:cs="Times New Roman"/>
                <w:color w:val="000000"/>
                <w:sz w:val="20"/>
                <w:szCs w:val="20"/>
                <w:lang w:eastAsia="lv-LV"/>
              </w:rPr>
              <w:t>5.</w:t>
            </w:r>
          </w:p>
        </w:tc>
        <w:tc>
          <w:tcPr>
            <w:tcW w:w="6855" w:type="dxa"/>
            <w:tcBorders>
              <w:top w:val="nil"/>
              <w:left w:val="single" w:sz="4" w:space="0" w:color="auto"/>
              <w:bottom w:val="single" w:sz="4" w:space="0" w:color="auto"/>
              <w:right w:val="single" w:sz="4" w:space="0" w:color="auto"/>
            </w:tcBorders>
            <w:shd w:val="clear" w:color="auto" w:fill="auto"/>
            <w:vAlign w:val="bottom"/>
          </w:tcPr>
          <w:p w:rsidR="007936DC" w:rsidRPr="00826F5E" w:rsidRDefault="00926F7F" w:rsidP="007936DC">
            <w:pPr>
              <w:jc w:val="both"/>
              <w:rPr>
                <w:rFonts w:eastAsia="Times New Roman" w:cs="Times New Roman"/>
                <w:color w:val="000000"/>
                <w:sz w:val="20"/>
                <w:szCs w:val="20"/>
                <w:lang w:eastAsia="lv-LV"/>
              </w:rPr>
            </w:pPr>
            <w:r w:rsidRPr="00826F5E">
              <w:rPr>
                <w:rFonts w:eastAsia="Times New Roman" w:cs="Times New Roman"/>
                <w:color w:val="000000"/>
                <w:sz w:val="20"/>
                <w:szCs w:val="20"/>
                <w:lang w:eastAsia="lv-LV"/>
              </w:rPr>
              <w:t>Valsts sociālie pabalsti</w:t>
            </w:r>
          </w:p>
        </w:tc>
        <w:tc>
          <w:tcPr>
            <w:tcW w:w="1478" w:type="dxa"/>
            <w:tcBorders>
              <w:top w:val="nil"/>
              <w:left w:val="single" w:sz="4" w:space="0" w:color="auto"/>
              <w:bottom w:val="single" w:sz="4" w:space="0" w:color="auto"/>
              <w:right w:val="single" w:sz="4" w:space="0" w:color="auto"/>
            </w:tcBorders>
            <w:shd w:val="clear" w:color="auto" w:fill="auto"/>
            <w:vAlign w:val="center"/>
          </w:tcPr>
          <w:p w:rsidR="007936DC" w:rsidRPr="00826F5E" w:rsidRDefault="00926F7F" w:rsidP="007936DC">
            <w:pPr>
              <w:jc w:val="right"/>
              <w:rPr>
                <w:rFonts w:eastAsia="Times New Roman" w:cs="Times New Roman"/>
                <w:color w:val="000000"/>
                <w:sz w:val="20"/>
                <w:szCs w:val="20"/>
                <w:lang w:eastAsia="lv-LV"/>
              </w:rPr>
            </w:pPr>
            <w:r w:rsidRPr="00826F5E">
              <w:rPr>
                <w:rFonts w:eastAsia="Times New Roman" w:cs="Times New Roman"/>
                <w:color w:val="000000"/>
                <w:sz w:val="20"/>
                <w:szCs w:val="20"/>
                <w:lang w:eastAsia="lv-LV"/>
              </w:rPr>
              <w:t>44,5</w:t>
            </w:r>
          </w:p>
        </w:tc>
      </w:tr>
      <w:tr w:rsidR="007936DC" w:rsidRPr="00132B68" w:rsidTr="00826F5E">
        <w:trPr>
          <w:trHeight w:val="57"/>
          <w:jc w:val="center"/>
        </w:trPr>
        <w:tc>
          <w:tcPr>
            <w:tcW w:w="1023" w:type="dxa"/>
            <w:tcBorders>
              <w:top w:val="nil"/>
              <w:left w:val="single" w:sz="4" w:space="0" w:color="auto"/>
              <w:bottom w:val="single" w:sz="4" w:space="0" w:color="auto"/>
              <w:right w:val="single" w:sz="4" w:space="0" w:color="auto"/>
            </w:tcBorders>
            <w:vAlign w:val="center"/>
          </w:tcPr>
          <w:p w:rsidR="007936DC" w:rsidRPr="00826F5E" w:rsidRDefault="007936DC" w:rsidP="007936DC">
            <w:pPr>
              <w:jc w:val="center"/>
              <w:rPr>
                <w:rFonts w:eastAsia="Times New Roman" w:cs="Times New Roman"/>
                <w:color w:val="000000"/>
                <w:sz w:val="20"/>
                <w:szCs w:val="20"/>
                <w:lang w:eastAsia="lv-LV"/>
              </w:rPr>
            </w:pPr>
            <w:r w:rsidRPr="00826F5E">
              <w:rPr>
                <w:rFonts w:eastAsia="Times New Roman" w:cs="Times New Roman"/>
                <w:color w:val="000000"/>
                <w:sz w:val="20"/>
                <w:szCs w:val="20"/>
                <w:lang w:eastAsia="lv-LV"/>
              </w:rPr>
              <w:t>6.</w:t>
            </w:r>
          </w:p>
        </w:tc>
        <w:tc>
          <w:tcPr>
            <w:tcW w:w="6855" w:type="dxa"/>
            <w:tcBorders>
              <w:top w:val="nil"/>
              <w:left w:val="single" w:sz="4" w:space="0" w:color="auto"/>
              <w:bottom w:val="single" w:sz="4" w:space="0" w:color="auto"/>
              <w:right w:val="single" w:sz="4" w:space="0" w:color="auto"/>
            </w:tcBorders>
            <w:shd w:val="clear" w:color="auto" w:fill="auto"/>
            <w:vAlign w:val="bottom"/>
          </w:tcPr>
          <w:p w:rsidR="007936DC" w:rsidRPr="00826F5E" w:rsidRDefault="00926F7F" w:rsidP="007936DC">
            <w:pPr>
              <w:jc w:val="both"/>
              <w:rPr>
                <w:rFonts w:eastAsia="Times New Roman" w:cs="Times New Roman"/>
                <w:color w:val="000000"/>
                <w:sz w:val="20"/>
                <w:szCs w:val="20"/>
                <w:lang w:eastAsia="lv-LV"/>
              </w:rPr>
            </w:pPr>
            <w:r w:rsidRPr="00826F5E">
              <w:rPr>
                <w:rFonts w:eastAsia="Times New Roman" w:cs="Times New Roman"/>
                <w:color w:val="000000"/>
                <w:sz w:val="20"/>
                <w:szCs w:val="20"/>
                <w:lang w:eastAsia="lv-LV"/>
              </w:rPr>
              <w:t>Starptautisko operāciju un Nacionālo bruņoto spēku personālsastāva centralizētais atalgojums</w:t>
            </w:r>
          </w:p>
        </w:tc>
        <w:tc>
          <w:tcPr>
            <w:tcW w:w="1478" w:type="dxa"/>
            <w:tcBorders>
              <w:top w:val="nil"/>
              <w:left w:val="single" w:sz="4" w:space="0" w:color="auto"/>
              <w:bottom w:val="single" w:sz="4" w:space="0" w:color="auto"/>
              <w:right w:val="single" w:sz="4" w:space="0" w:color="auto"/>
            </w:tcBorders>
            <w:shd w:val="clear" w:color="auto" w:fill="auto"/>
            <w:vAlign w:val="center"/>
          </w:tcPr>
          <w:p w:rsidR="007936DC" w:rsidRPr="00826F5E" w:rsidRDefault="00926F7F" w:rsidP="007936DC">
            <w:pPr>
              <w:jc w:val="right"/>
              <w:rPr>
                <w:rFonts w:eastAsia="Times New Roman" w:cs="Times New Roman"/>
                <w:color w:val="000000"/>
                <w:sz w:val="20"/>
                <w:szCs w:val="20"/>
                <w:lang w:eastAsia="lv-LV"/>
              </w:rPr>
            </w:pPr>
            <w:r w:rsidRPr="00826F5E">
              <w:rPr>
                <w:rFonts w:eastAsia="Times New Roman" w:cs="Times New Roman"/>
                <w:color w:val="000000"/>
                <w:sz w:val="20"/>
                <w:szCs w:val="20"/>
                <w:lang w:eastAsia="lv-LV"/>
              </w:rPr>
              <w:t>30,4</w:t>
            </w:r>
          </w:p>
        </w:tc>
      </w:tr>
      <w:tr w:rsidR="007936DC" w:rsidRPr="00132B68" w:rsidTr="00826F5E">
        <w:trPr>
          <w:trHeight w:val="57"/>
          <w:jc w:val="center"/>
        </w:trPr>
        <w:tc>
          <w:tcPr>
            <w:tcW w:w="1023" w:type="dxa"/>
            <w:tcBorders>
              <w:top w:val="nil"/>
              <w:left w:val="single" w:sz="4" w:space="0" w:color="auto"/>
              <w:bottom w:val="single" w:sz="4" w:space="0" w:color="auto"/>
              <w:right w:val="single" w:sz="4" w:space="0" w:color="auto"/>
            </w:tcBorders>
            <w:vAlign w:val="center"/>
          </w:tcPr>
          <w:p w:rsidR="007936DC" w:rsidRPr="00826F5E" w:rsidRDefault="007936DC" w:rsidP="007936DC">
            <w:pPr>
              <w:jc w:val="center"/>
              <w:rPr>
                <w:rFonts w:eastAsia="Times New Roman" w:cs="Times New Roman"/>
                <w:color w:val="000000"/>
                <w:sz w:val="20"/>
                <w:szCs w:val="20"/>
                <w:lang w:eastAsia="lv-LV"/>
              </w:rPr>
            </w:pPr>
            <w:r w:rsidRPr="00826F5E">
              <w:rPr>
                <w:rFonts w:eastAsia="Times New Roman" w:cs="Times New Roman"/>
                <w:color w:val="000000"/>
                <w:sz w:val="20"/>
                <w:szCs w:val="20"/>
                <w:lang w:eastAsia="lv-LV"/>
              </w:rPr>
              <w:t>7.</w:t>
            </w:r>
          </w:p>
        </w:tc>
        <w:tc>
          <w:tcPr>
            <w:tcW w:w="6855" w:type="dxa"/>
            <w:tcBorders>
              <w:top w:val="nil"/>
              <w:left w:val="single" w:sz="4" w:space="0" w:color="auto"/>
              <w:bottom w:val="single" w:sz="4" w:space="0" w:color="auto"/>
              <w:right w:val="single" w:sz="4" w:space="0" w:color="auto"/>
            </w:tcBorders>
            <w:shd w:val="clear" w:color="auto" w:fill="auto"/>
            <w:vAlign w:val="bottom"/>
          </w:tcPr>
          <w:p w:rsidR="007936DC" w:rsidRPr="00826F5E" w:rsidRDefault="00926F7F" w:rsidP="007936DC">
            <w:pPr>
              <w:jc w:val="both"/>
              <w:rPr>
                <w:rFonts w:eastAsia="Times New Roman" w:cs="Times New Roman"/>
                <w:color w:val="000000"/>
                <w:sz w:val="20"/>
                <w:szCs w:val="20"/>
                <w:lang w:eastAsia="lv-LV"/>
              </w:rPr>
            </w:pPr>
            <w:r w:rsidRPr="00826F5E">
              <w:rPr>
                <w:rFonts w:eastAsia="Times New Roman" w:cs="Times New Roman"/>
                <w:color w:val="000000"/>
                <w:sz w:val="20"/>
                <w:szCs w:val="20"/>
                <w:lang w:eastAsia="lv-LV"/>
              </w:rPr>
              <w:t>Valsts policija</w:t>
            </w:r>
          </w:p>
        </w:tc>
        <w:tc>
          <w:tcPr>
            <w:tcW w:w="1478" w:type="dxa"/>
            <w:tcBorders>
              <w:top w:val="nil"/>
              <w:left w:val="single" w:sz="4" w:space="0" w:color="auto"/>
              <w:bottom w:val="single" w:sz="4" w:space="0" w:color="auto"/>
              <w:right w:val="single" w:sz="4" w:space="0" w:color="auto"/>
            </w:tcBorders>
            <w:shd w:val="clear" w:color="auto" w:fill="auto"/>
            <w:vAlign w:val="center"/>
          </w:tcPr>
          <w:p w:rsidR="007936DC" w:rsidRPr="00826F5E" w:rsidRDefault="00926F7F" w:rsidP="007936DC">
            <w:pPr>
              <w:jc w:val="right"/>
              <w:rPr>
                <w:rFonts w:eastAsia="Times New Roman" w:cs="Times New Roman"/>
                <w:color w:val="000000"/>
                <w:sz w:val="20"/>
                <w:szCs w:val="20"/>
                <w:lang w:eastAsia="lv-LV"/>
              </w:rPr>
            </w:pPr>
            <w:r w:rsidRPr="00826F5E">
              <w:rPr>
                <w:rFonts w:eastAsia="Times New Roman" w:cs="Times New Roman"/>
                <w:color w:val="000000"/>
                <w:sz w:val="20"/>
                <w:szCs w:val="20"/>
                <w:lang w:eastAsia="lv-LV"/>
              </w:rPr>
              <w:t>26,2</w:t>
            </w:r>
          </w:p>
        </w:tc>
      </w:tr>
      <w:tr w:rsidR="007936DC" w:rsidRPr="00132B68" w:rsidTr="00826F5E">
        <w:trPr>
          <w:trHeight w:val="57"/>
          <w:jc w:val="center"/>
        </w:trPr>
        <w:tc>
          <w:tcPr>
            <w:tcW w:w="1023" w:type="dxa"/>
            <w:tcBorders>
              <w:top w:val="nil"/>
              <w:left w:val="single" w:sz="4" w:space="0" w:color="auto"/>
              <w:bottom w:val="single" w:sz="4" w:space="0" w:color="auto"/>
              <w:right w:val="single" w:sz="4" w:space="0" w:color="auto"/>
            </w:tcBorders>
            <w:vAlign w:val="center"/>
          </w:tcPr>
          <w:p w:rsidR="007936DC" w:rsidRPr="00826F5E" w:rsidRDefault="007936DC" w:rsidP="007936DC">
            <w:pPr>
              <w:jc w:val="center"/>
              <w:rPr>
                <w:rFonts w:eastAsia="Times New Roman" w:cs="Times New Roman"/>
                <w:color w:val="000000"/>
                <w:sz w:val="20"/>
                <w:szCs w:val="20"/>
                <w:lang w:eastAsia="lv-LV"/>
              </w:rPr>
            </w:pPr>
            <w:r w:rsidRPr="00826F5E">
              <w:rPr>
                <w:rFonts w:eastAsia="Times New Roman" w:cs="Times New Roman"/>
                <w:color w:val="000000"/>
                <w:sz w:val="20"/>
                <w:szCs w:val="20"/>
                <w:lang w:eastAsia="lv-LV"/>
              </w:rPr>
              <w:t>8.</w:t>
            </w:r>
          </w:p>
        </w:tc>
        <w:tc>
          <w:tcPr>
            <w:tcW w:w="6855" w:type="dxa"/>
            <w:tcBorders>
              <w:top w:val="nil"/>
              <w:left w:val="single" w:sz="4" w:space="0" w:color="auto"/>
              <w:bottom w:val="single" w:sz="4" w:space="0" w:color="auto"/>
              <w:right w:val="single" w:sz="4" w:space="0" w:color="auto"/>
            </w:tcBorders>
            <w:shd w:val="clear" w:color="auto" w:fill="auto"/>
            <w:vAlign w:val="bottom"/>
          </w:tcPr>
          <w:p w:rsidR="007936DC" w:rsidRPr="00826F5E" w:rsidRDefault="00926F7F" w:rsidP="007936DC">
            <w:pPr>
              <w:jc w:val="both"/>
              <w:rPr>
                <w:rFonts w:eastAsia="Times New Roman" w:cs="Times New Roman"/>
                <w:sz w:val="20"/>
                <w:szCs w:val="20"/>
                <w:lang w:eastAsia="lv-LV"/>
              </w:rPr>
            </w:pPr>
            <w:r w:rsidRPr="00826F5E">
              <w:rPr>
                <w:rFonts w:eastAsia="Times New Roman" w:cs="Times New Roman"/>
                <w:sz w:val="20"/>
                <w:szCs w:val="20"/>
                <w:lang w:eastAsia="lv-LV"/>
              </w:rPr>
              <w:t>Izdevumi Eiropas Lauksaimniecības garantiju fonda (ELGF) projektu un pasākumu īstenošanai (2014–2020)</w:t>
            </w:r>
          </w:p>
        </w:tc>
        <w:tc>
          <w:tcPr>
            <w:tcW w:w="1478" w:type="dxa"/>
            <w:tcBorders>
              <w:top w:val="nil"/>
              <w:left w:val="single" w:sz="4" w:space="0" w:color="auto"/>
              <w:bottom w:val="single" w:sz="4" w:space="0" w:color="auto"/>
              <w:right w:val="single" w:sz="4" w:space="0" w:color="auto"/>
            </w:tcBorders>
            <w:shd w:val="clear" w:color="auto" w:fill="auto"/>
            <w:vAlign w:val="center"/>
          </w:tcPr>
          <w:p w:rsidR="007936DC" w:rsidRPr="00826F5E" w:rsidRDefault="00926F7F" w:rsidP="007936DC">
            <w:pPr>
              <w:jc w:val="right"/>
              <w:rPr>
                <w:rFonts w:eastAsia="Times New Roman" w:cs="Times New Roman"/>
                <w:sz w:val="20"/>
                <w:szCs w:val="20"/>
                <w:lang w:eastAsia="lv-LV"/>
              </w:rPr>
            </w:pPr>
            <w:r w:rsidRPr="00826F5E">
              <w:rPr>
                <w:rFonts w:eastAsia="Times New Roman" w:cs="Times New Roman"/>
                <w:sz w:val="20"/>
                <w:szCs w:val="20"/>
                <w:lang w:eastAsia="lv-LV"/>
              </w:rPr>
              <w:t>26,2</w:t>
            </w:r>
          </w:p>
        </w:tc>
      </w:tr>
      <w:tr w:rsidR="007936DC" w:rsidRPr="00132B68" w:rsidTr="00826F5E">
        <w:trPr>
          <w:trHeight w:val="57"/>
          <w:jc w:val="center"/>
        </w:trPr>
        <w:tc>
          <w:tcPr>
            <w:tcW w:w="1023" w:type="dxa"/>
            <w:tcBorders>
              <w:top w:val="nil"/>
              <w:left w:val="single" w:sz="4" w:space="0" w:color="auto"/>
              <w:bottom w:val="single" w:sz="4" w:space="0" w:color="auto"/>
              <w:right w:val="single" w:sz="4" w:space="0" w:color="auto"/>
            </w:tcBorders>
            <w:vAlign w:val="center"/>
          </w:tcPr>
          <w:p w:rsidR="007936DC" w:rsidRPr="00826F5E" w:rsidRDefault="007936DC" w:rsidP="007936DC">
            <w:pPr>
              <w:jc w:val="center"/>
              <w:rPr>
                <w:rFonts w:eastAsia="Times New Roman" w:cs="Times New Roman"/>
                <w:color w:val="000000"/>
                <w:sz w:val="20"/>
                <w:szCs w:val="20"/>
                <w:lang w:eastAsia="lv-LV"/>
              </w:rPr>
            </w:pPr>
            <w:r w:rsidRPr="00826F5E">
              <w:rPr>
                <w:rFonts w:eastAsia="Times New Roman" w:cs="Times New Roman"/>
                <w:color w:val="000000"/>
                <w:sz w:val="20"/>
                <w:szCs w:val="20"/>
                <w:lang w:eastAsia="lv-LV"/>
              </w:rPr>
              <w:t>9.</w:t>
            </w:r>
          </w:p>
        </w:tc>
        <w:tc>
          <w:tcPr>
            <w:tcW w:w="6855" w:type="dxa"/>
            <w:tcBorders>
              <w:top w:val="nil"/>
              <w:left w:val="single" w:sz="4" w:space="0" w:color="auto"/>
              <w:bottom w:val="single" w:sz="4" w:space="0" w:color="auto"/>
              <w:right w:val="single" w:sz="4" w:space="0" w:color="auto"/>
            </w:tcBorders>
            <w:shd w:val="clear" w:color="auto" w:fill="auto"/>
            <w:vAlign w:val="bottom"/>
          </w:tcPr>
          <w:p w:rsidR="007936DC" w:rsidRPr="00826F5E" w:rsidRDefault="00926F7F" w:rsidP="007936DC">
            <w:pPr>
              <w:jc w:val="both"/>
              <w:rPr>
                <w:rFonts w:eastAsia="Times New Roman" w:cs="Times New Roman"/>
                <w:color w:val="000000"/>
                <w:sz w:val="20"/>
                <w:szCs w:val="20"/>
                <w:lang w:eastAsia="lv-LV"/>
              </w:rPr>
            </w:pPr>
            <w:r w:rsidRPr="00826F5E">
              <w:rPr>
                <w:rFonts w:eastAsia="Times New Roman" w:cs="Times New Roman"/>
                <w:color w:val="000000"/>
                <w:sz w:val="20"/>
                <w:szCs w:val="20"/>
                <w:lang w:eastAsia="lv-LV"/>
              </w:rPr>
              <w:t>Valsts ieņēmumu un muitas politikas nodrošināšana</w:t>
            </w:r>
          </w:p>
        </w:tc>
        <w:tc>
          <w:tcPr>
            <w:tcW w:w="1478" w:type="dxa"/>
            <w:tcBorders>
              <w:top w:val="nil"/>
              <w:left w:val="single" w:sz="4" w:space="0" w:color="auto"/>
              <w:bottom w:val="single" w:sz="4" w:space="0" w:color="auto"/>
              <w:right w:val="single" w:sz="4" w:space="0" w:color="auto"/>
            </w:tcBorders>
            <w:shd w:val="clear" w:color="auto" w:fill="auto"/>
            <w:vAlign w:val="center"/>
          </w:tcPr>
          <w:p w:rsidR="007936DC" w:rsidRPr="00826F5E" w:rsidRDefault="00926F7F" w:rsidP="007936DC">
            <w:pPr>
              <w:jc w:val="right"/>
              <w:rPr>
                <w:rFonts w:eastAsia="Times New Roman" w:cs="Times New Roman"/>
                <w:color w:val="000000"/>
                <w:sz w:val="20"/>
                <w:szCs w:val="20"/>
                <w:lang w:eastAsia="lv-LV"/>
              </w:rPr>
            </w:pPr>
            <w:r w:rsidRPr="00826F5E">
              <w:rPr>
                <w:rFonts w:eastAsia="Times New Roman" w:cs="Times New Roman"/>
                <w:color w:val="000000"/>
                <w:sz w:val="20"/>
                <w:szCs w:val="20"/>
                <w:lang w:eastAsia="lv-LV"/>
              </w:rPr>
              <w:t>25,5</w:t>
            </w:r>
          </w:p>
        </w:tc>
      </w:tr>
      <w:tr w:rsidR="00BF61B1" w:rsidRPr="00132B68" w:rsidTr="00826F5E">
        <w:trPr>
          <w:trHeight w:val="57"/>
          <w:jc w:val="center"/>
        </w:trPr>
        <w:tc>
          <w:tcPr>
            <w:tcW w:w="1023" w:type="dxa"/>
            <w:tcBorders>
              <w:top w:val="single" w:sz="4" w:space="0" w:color="auto"/>
              <w:left w:val="single" w:sz="4" w:space="0" w:color="auto"/>
              <w:bottom w:val="single" w:sz="4" w:space="0" w:color="auto"/>
              <w:right w:val="single" w:sz="4" w:space="0" w:color="auto"/>
            </w:tcBorders>
            <w:vAlign w:val="center"/>
          </w:tcPr>
          <w:p w:rsidR="007936DC" w:rsidRPr="00826F5E" w:rsidRDefault="007936DC" w:rsidP="007936DC">
            <w:pPr>
              <w:jc w:val="center"/>
              <w:rPr>
                <w:rFonts w:eastAsia="Times New Roman" w:cs="Times New Roman"/>
                <w:color w:val="000000"/>
                <w:sz w:val="20"/>
                <w:szCs w:val="20"/>
                <w:lang w:eastAsia="lv-LV"/>
              </w:rPr>
            </w:pPr>
            <w:r w:rsidRPr="00826F5E">
              <w:rPr>
                <w:rFonts w:eastAsia="Times New Roman" w:cs="Times New Roman"/>
                <w:color w:val="000000"/>
                <w:sz w:val="20"/>
                <w:szCs w:val="20"/>
                <w:lang w:eastAsia="lv-LV"/>
              </w:rPr>
              <w:t>10.</w:t>
            </w:r>
          </w:p>
        </w:tc>
        <w:tc>
          <w:tcPr>
            <w:tcW w:w="6855" w:type="dxa"/>
            <w:tcBorders>
              <w:top w:val="single" w:sz="4" w:space="0" w:color="auto"/>
              <w:left w:val="single" w:sz="4" w:space="0" w:color="auto"/>
              <w:bottom w:val="single" w:sz="4" w:space="0" w:color="auto"/>
              <w:right w:val="single" w:sz="4" w:space="0" w:color="auto"/>
            </w:tcBorders>
            <w:shd w:val="clear" w:color="auto" w:fill="auto"/>
            <w:vAlign w:val="center"/>
          </w:tcPr>
          <w:p w:rsidR="007936DC" w:rsidRPr="00826F5E" w:rsidRDefault="00926F7F" w:rsidP="007936DC">
            <w:pPr>
              <w:rPr>
                <w:rFonts w:eastAsia="Times New Roman" w:cs="Times New Roman"/>
                <w:color w:val="000000"/>
                <w:sz w:val="20"/>
                <w:szCs w:val="20"/>
                <w:lang w:eastAsia="lv-LV"/>
              </w:rPr>
            </w:pPr>
            <w:r w:rsidRPr="00826F5E">
              <w:rPr>
                <w:rFonts w:eastAsia="Times New Roman" w:cs="Times New Roman"/>
                <w:color w:val="000000"/>
                <w:sz w:val="20"/>
                <w:szCs w:val="20"/>
                <w:lang w:eastAsia="lv-LV"/>
              </w:rPr>
              <w:t>Mērķdotācijas pašvaldību autoceļiem (ielām)</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7936DC" w:rsidRPr="00826F5E" w:rsidRDefault="00926F7F" w:rsidP="007936DC">
            <w:pPr>
              <w:jc w:val="right"/>
              <w:rPr>
                <w:rFonts w:eastAsia="Times New Roman" w:cs="Times New Roman"/>
                <w:color w:val="000000"/>
                <w:sz w:val="20"/>
                <w:szCs w:val="20"/>
                <w:lang w:eastAsia="lv-LV"/>
              </w:rPr>
            </w:pPr>
            <w:r w:rsidRPr="00826F5E">
              <w:rPr>
                <w:rFonts w:eastAsia="Times New Roman" w:cs="Times New Roman"/>
                <w:color w:val="000000"/>
                <w:sz w:val="20"/>
                <w:szCs w:val="20"/>
                <w:lang w:eastAsia="lv-LV"/>
              </w:rPr>
              <w:t>22,6</w:t>
            </w:r>
          </w:p>
        </w:tc>
      </w:tr>
      <w:tr w:rsidR="00926F7F" w:rsidRPr="00132B68" w:rsidTr="00826F5E">
        <w:trPr>
          <w:trHeight w:val="57"/>
          <w:jc w:val="center"/>
        </w:trPr>
        <w:tc>
          <w:tcPr>
            <w:tcW w:w="1023" w:type="dxa"/>
            <w:tcBorders>
              <w:top w:val="single" w:sz="4" w:space="0" w:color="auto"/>
              <w:left w:val="single" w:sz="4" w:space="0" w:color="auto"/>
              <w:bottom w:val="single" w:sz="4" w:space="0" w:color="auto"/>
              <w:right w:val="single" w:sz="4" w:space="0" w:color="auto"/>
            </w:tcBorders>
            <w:vAlign w:val="center"/>
          </w:tcPr>
          <w:p w:rsidR="00926F7F" w:rsidRPr="00434A2A" w:rsidRDefault="00926F7F" w:rsidP="007936DC">
            <w:pPr>
              <w:jc w:val="center"/>
              <w:rPr>
                <w:rFonts w:eastAsia="Times New Roman" w:cs="Times New Roman"/>
                <w:color w:val="000000"/>
                <w:sz w:val="22"/>
                <w:lang w:eastAsia="lv-LV"/>
              </w:rPr>
            </w:pPr>
          </w:p>
        </w:tc>
        <w:tc>
          <w:tcPr>
            <w:tcW w:w="6855" w:type="dxa"/>
            <w:tcBorders>
              <w:top w:val="single" w:sz="4" w:space="0" w:color="auto"/>
              <w:left w:val="single" w:sz="4" w:space="0" w:color="auto"/>
              <w:bottom w:val="single" w:sz="4" w:space="0" w:color="auto"/>
              <w:right w:val="single" w:sz="4" w:space="0" w:color="auto"/>
            </w:tcBorders>
            <w:shd w:val="clear" w:color="auto" w:fill="auto"/>
            <w:vAlign w:val="center"/>
          </w:tcPr>
          <w:p w:rsidR="00926F7F" w:rsidRPr="00926F7F" w:rsidRDefault="00926F7F" w:rsidP="00926F7F">
            <w:pPr>
              <w:jc w:val="right"/>
              <w:rPr>
                <w:rFonts w:eastAsia="Times New Roman" w:cs="Times New Roman"/>
                <w:color w:val="000000"/>
                <w:sz w:val="22"/>
                <w:lang w:eastAsia="lv-LV"/>
              </w:rPr>
            </w:pPr>
            <w:r>
              <w:rPr>
                <w:rFonts w:eastAsia="Times New Roman" w:cs="Times New Roman"/>
                <w:b/>
                <w:color w:val="000000"/>
                <w:sz w:val="22"/>
                <w:lang w:eastAsia="lv-LV"/>
              </w:rPr>
              <w:t>Kopā:</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926F7F" w:rsidRPr="00926F7F" w:rsidRDefault="00D35A28" w:rsidP="007936DC">
            <w:pPr>
              <w:jc w:val="right"/>
              <w:rPr>
                <w:rFonts w:eastAsia="Times New Roman" w:cs="Times New Roman"/>
                <w:b/>
                <w:color w:val="000000"/>
                <w:sz w:val="22"/>
                <w:lang w:eastAsia="lv-LV"/>
              </w:rPr>
            </w:pPr>
            <w:r w:rsidRPr="00D35A28">
              <w:rPr>
                <w:rFonts w:eastAsia="Times New Roman" w:cs="Times New Roman"/>
                <w:b/>
                <w:sz w:val="22"/>
                <w:lang w:eastAsia="lv-LV"/>
              </w:rPr>
              <w:t>455</w:t>
            </w:r>
            <w:r w:rsidR="00926F7F" w:rsidRPr="00D35A28">
              <w:rPr>
                <w:rFonts w:eastAsia="Times New Roman" w:cs="Times New Roman"/>
                <w:b/>
                <w:sz w:val="22"/>
                <w:lang w:eastAsia="lv-LV"/>
              </w:rPr>
              <w:t>,0</w:t>
            </w:r>
          </w:p>
        </w:tc>
      </w:tr>
    </w:tbl>
    <w:p w:rsidR="0085431E" w:rsidRPr="006742EE" w:rsidRDefault="0085431E" w:rsidP="00FB4B60">
      <w:pPr>
        <w:pStyle w:val="Heading2"/>
        <w:numPr>
          <w:ilvl w:val="1"/>
          <w:numId w:val="3"/>
        </w:numPr>
        <w:spacing w:before="240"/>
        <w:jc w:val="both"/>
        <w:rPr>
          <w:rFonts w:ascii="Times New Roman" w:hAnsi="Times New Roman" w:cs="Times New Roman"/>
          <w:b/>
          <w:color w:val="auto"/>
          <w:sz w:val="24"/>
          <w:szCs w:val="24"/>
        </w:rPr>
      </w:pPr>
      <w:bookmarkStart w:id="3" w:name="_Toc443558713"/>
      <w:r w:rsidRPr="006742EE">
        <w:rPr>
          <w:rFonts w:ascii="Times New Roman" w:hAnsi="Times New Roman" w:cs="Times New Roman"/>
          <w:b/>
          <w:color w:val="auto"/>
          <w:sz w:val="24"/>
          <w:szCs w:val="24"/>
        </w:rPr>
        <w:t>Budžeta attīstības daļas attiecināšana uz attīstības plānošanas dokumenta mērķiem</w:t>
      </w:r>
      <w:bookmarkEnd w:id="3"/>
    </w:p>
    <w:p w:rsidR="008E4443" w:rsidRDefault="008E4443" w:rsidP="0064732D">
      <w:pPr>
        <w:jc w:val="both"/>
        <w:rPr>
          <w:b/>
          <w:szCs w:val="24"/>
        </w:rPr>
      </w:pPr>
    </w:p>
    <w:p w:rsidR="0064732D" w:rsidRPr="00E462B4" w:rsidRDefault="00C057B7" w:rsidP="00FB4B60">
      <w:pPr>
        <w:pStyle w:val="Heading3"/>
        <w:numPr>
          <w:ilvl w:val="2"/>
          <w:numId w:val="3"/>
        </w:numPr>
        <w:rPr>
          <w:rFonts w:ascii="Times New Roman" w:hAnsi="Times New Roman" w:cs="Times New Roman"/>
          <w:b/>
          <w:color w:val="auto"/>
        </w:rPr>
      </w:pPr>
      <w:bookmarkStart w:id="4" w:name="_Toc443558714"/>
      <w:r w:rsidRPr="00E462B4">
        <w:rPr>
          <w:rFonts w:ascii="Times New Roman" w:hAnsi="Times New Roman" w:cs="Times New Roman"/>
          <w:b/>
          <w:color w:val="auto"/>
        </w:rPr>
        <w:t>NAP</w:t>
      </w:r>
      <w:r w:rsidR="0064732D" w:rsidRPr="00E462B4">
        <w:rPr>
          <w:rFonts w:ascii="Times New Roman" w:hAnsi="Times New Roman" w:cs="Times New Roman"/>
          <w:b/>
          <w:color w:val="auto"/>
        </w:rPr>
        <w:t xml:space="preserve"> 2014.</w:t>
      </w:r>
      <w:r w:rsidR="00FF3DA4" w:rsidRPr="00E462B4">
        <w:rPr>
          <w:rFonts w:ascii="Times New Roman" w:hAnsi="Times New Roman" w:cs="Times New Roman"/>
          <w:b/>
          <w:i/>
          <w:color w:val="auto"/>
        </w:rPr>
        <w:t>–</w:t>
      </w:r>
      <w:r w:rsidR="0064732D" w:rsidRPr="00E462B4">
        <w:rPr>
          <w:rFonts w:ascii="Times New Roman" w:hAnsi="Times New Roman" w:cs="Times New Roman"/>
          <w:b/>
          <w:color w:val="auto"/>
        </w:rPr>
        <w:t>2020.gadam</w:t>
      </w:r>
      <w:bookmarkEnd w:id="4"/>
    </w:p>
    <w:p w:rsidR="0064732D" w:rsidRPr="007D58FA" w:rsidRDefault="0064732D" w:rsidP="0064732D">
      <w:pPr>
        <w:pStyle w:val="NoSpacing"/>
        <w:jc w:val="both"/>
        <w:rPr>
          <w:rFonts w:ascii="Times New Roman" w:hAnsi="Times New Roman" w:cs="Times New Roman"/>
          <w:u w:val="single"/>
        </w:rPr>
      </w:pPr>
    </w:p>
    <w:p w:rsidR="00F25469" w:rsidRPr="0064732D" w:rsidRDefault="00F25469" w:rsidP="00F25469">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NAP</w:t>
      </w:r>
      <w:r w:rsidRPr="0064732D">
        <w:rPr>
          <w:rFonts w:ascii="Times New Roman" w:hAnsi="Times New Roman" w:cs="Times New Roman"/>
          <w:sz w:val="24"/>
          <w:szCs w:val="24"/>
        </w:rPr>
        <w:t xml:space="preserve"> ir ietvars tādu vidējā termiņa politikas mērķu sasaistei ar budžetu, lai septiņu gadu garumā, ārējās vides mainīgajos apstākļos, tiek pieņemti optimālie lēmumi virzībā uz politikas rezultātu sasniegšanu. Rezultatīvie rādītāji ir plānošanas sistēmas elements, kas </w:t>
      </w:r>
      <w:r>
        <w:rPr>
          <w:rFonts w:ascii="Times New Roman" w:hAnsi="Times New Roman" w:cs="Times New Roman"/>
          <w:sz w:val="24"/>
          <w:szCs w:val="24"/>
        </w:rPr>
        <w:t>visskaidrāk nosaka šo sasaisti.</w:t>
      </w:r>
    </w:p>
    <w:p w:rsidR="00F25469" w:rsidRPr="0064732D" w:rsidRDefault="00F25469" w:rsidP="00F25469">
      <w:pPr>
        <w:pStyle w:val="NoSpacing"/>
        <w:ind w:firstLine="709"/>
        <w:jc w:val="both"/>
        <w:rPr>
          <w:rFonts w:ascii="Times New Roman" w:hAnsi="Times New Roman" w:cs="Times New Roman"/>
          <w:sz w:val="24"/>
          <w:szCs w:val="24"/>
        </w:rPr>
      </w:pPr>
      <w:r w:rsidRPr="0064732D">
        <w:rPr>
          <w:rFonts w:ascii="Times New Roman" w:hAnsi="Times New Roman" w:cs="Times New Roman"/>
          <w:sz w:val="24"/>
          <w:szCs w:val="24"/>
        </w:rPr>
        <w:t xml:space="preserve">NAP sasaiste ar budžetu un citiem attīstības plānošanas dokumentiem balstās uz šādiem principiem. </w:t>
      </w:r>
    </w:p>
    <w:p w:rsidR="00F25469" w:rsidRDefault="00F25469" w:rsidP="00FB4B60">
      <w:pPr>
        <w:pStyle w:val="NoSpacing"/>
        <w:numPr>
          <w:ilvl w:val="0"/>
          <w:numId w:val="18"/>
        </w:numPr>
        <w:jc w:val="both"/>
        <w:rPr>
          <w:rFonts w:ascii="Times New Roman" w:hAnsi="Times New Roman" w:cs="Times New Roman"/>
          <w:sz w:val="24"/>
          <w:szCs w:val="24"/>
        </w:rPr>
      </w:pPr>
      <w:r w:rsidRPr="0064732D">
        <w:rPr>
          <w:rFonts w:ascii="Times New Roman" w:hAnsi="Times New Roman" w:cs="Times New Roman"/>
          <w:i/>
          <w:sz w:val="24"/>
          <w:szCs w:val="24"/>
        </w:rPr>
        <w:t>Subsidiaritāte mērķu īstenošanā</w:t>
      </w:r>
      <w:r w:rsidRPr="0064732D">
        <w:rPr>
          <w:rFonts w:ascii="Times New Roman" w:hAnsi="Times New Roman" w:cs="Times New Roman"/>
          <w:sz w:val="24"/>
          <w:szCs w:val="24"/>
        </w:rPr>
        <w:t xml:space="preserve"> – politikas mērķus, rezultātus un to rādītājus nosaka centralizēti hierarhiski augstākajā vidējā termiņa plānošanas dokumentā, bet rīcību to sasniegšanai iniciē atbildīgās institūcijas, iesniedzot valdībā politikas plānošanas dokumentus un finansējuma pieprasījumus </w:t>
      </w:r>
      <w:r>
        <w:rPr>
          <w:rFonts w:ascii="Times New Roman" w:hAnsi="Times New Roman" w:cs="Times New Roman"/>
          <w:sz w:val="24"/>
          <w:szCs w:val="24"/>
        </w:rPr>
        <w:t>JPI procesā.</w:t>
      </w:r>
    </w:p>
    <w:p w:rsidR="00F25469" w:rsidRDefault="00F25469" w:rsidP="00FB4B60">
      <w:pPr>
        <w:pStyle w:val="NoSpacing"/>
        <w:numPr>
          <w:ilvl w:val="0"/>
          <w:numId w:val="18"/>
        </w:numPr>
        <w:jc w:val="both"/>
        <w:rPr>
          <w:rFonts w:ascii="Times New Roman" w:hAnsi="Times New Roman" w:cs="Times New Roman"/>
          <w:sz w:val="24"/>
          <w:szCs w:val="24"/>
        </w:rPr>
      </w:pPr>
      <w:r w:rsidRPr="00156C9F">
        <w:rPr>
          <w:rFonts w:ascii="Times New Roman" w:hAnsi="Times New Roman" w:cs="Times New Roman"/>
          <w:i/>
          <w:sz w:val="24"/>
          <w:szCs w:val="24"/>
        </w:rPr>
        <w:t xml:space="preserve">Fiskālās telpas nozīme – </w:t>
      </w:r>
      <w:r w:rsidRPr="00156C9F">
        <w:rPr>
          <w:rFonts w:ascii="Times New Roman" w:hAnsi="Times New Roman" w:cs="Times New Roman"/>
          <w:sz w:val="24"/>
          <w:szCs w:val="24"/>
        </w:rPr>
        <w:t>nosakot NAP indikatīvi pieejamo līdzekļu apmēru, var panākt izšķiršanos par labākiem piedāvājumiem mērķu sasniegšanai.</w:t>
      </w:r>
    </w:p>
    <w:p w:rsidR="00F25469" w:rsidRPr="00156C9F" w:rsidRDefault="00F25469" w:rsidP="00FB4B60">
      <w:pPr>
        <w:pStyle w:val="NoSpacing"/>
        <w:numPr>
          <w:ilvl w:val="0"/>
          <w:numId w:val="18"/>
        </w:numPr>
        <w:jc w:val="both"/>
        <w:rPr>
          <w:rFonts w:ascii="Times New Roman" w:hAnsi="Times New Roman" w:cs="Times New Roman"/>
          <w:sz w:val="24"/>
          <w:szCs w:val="24"/>
        </w:rPr>
      </w:pPr>
      <w:r w:rsidRPr="00156C9F">
        <w:rPr>
          <w:rFonts w:ascii="Times New Roman" w:hAnsi="Times New Roman" w:cs="Times New Roman"/>
          <w:i/>
          <w:sz w:val="24"/>
          <w:szCs w:val="24"/>
        </w:rPr>
        <w:t xml:space="preserve">Loģiskā sasaiste – </w:t>
      </w:r>
      <w:r w:rsidRPr="00156C9F">
        <w:rPr>
          <w:rFonts w:ascii="Times New Roman" w:hAnsi="Times New Roman" w:cs="Times New Roman"/>
          <w:sz w:val="24"/>
          <w:szCs w:val="24"/>
        </w:rPr>
        <w:t xml:space="preserve">strauji mainīgā vidē nav iespējams vidējā termiņā noteikt precīzas darbības politikas mērķu sasniegšanai, tādēļ izveidota sasaiste starp NAP un politikas plānošanas dokumentu dažāda līmeņa rādītājiem, uzdevumiem/pasākumiem un finansējumu, kuras rezultātā var veikt korekcijas </w:t>
      </w:r>
      <w:r w:rsidRPr="00156C9F">
        <w:rPr>
          <w:rFonts w:ascii="Times New Roman" w:hAnsi="Times New Roman" w:cs="Times New Roman"/>
          <w:i/>
          <w:sz w:val="24"/>
          <w:szCs w:val="24"/>
        </w:rPr>
        <w:t>no apakšas</w:t>
      </w:r>
      <w:r w:rsidRPr="00156C9F">
        <w:rPr>
          <w:rFonts w:ascii="Times New Roman" w:hAnsi="Times New Roman" w:cs="Times New Roman"/>
          <w:sz w:val="24"/>
          <w:szCs w:val="24"/>
        </w:rPr>
        <w:t>, lai uzlabotu virzību uz NAP mērķu sasniegšanu. Ievērojot šo sasaisti,  budžeta procesā var nodrošināt mērķtiecīgus un sabalansētus lēmumus.</w:t>
      </w:r>
      <w:r w:rsidRPr="00156C9F">
        <w:rPr>
          <w:rFonts w:ascii="Times New Roman" w:hAnsi="Times New Roman" w:cs="Times New Roman"/>
        </w:rPr>
        <w:t xml:space="preserve">  </w:t>
      </w:r>
    </w:p>
    <w:p w:rsidR="00F25469" w:rsidRDefault="00F25469" w:rsidP="00F25469">
      <w:pPr>
        <w:ind w:firstLine="709"/>
        <w:jc w:val="both"/>
        <w:rPr>
          <w:rFonts w:cs="Times New Roman"/>
        </w:rPr>
      </w:pPr>
      <w:r w:rsidRPr="00755FDA">
        <w:rPr>
          <w:rFonts w:cs="Times New Roman"/>
        </w:rPr>
        <w:t xml:space="preserve">NAP nav sniegta detalizēti izvērsta informācija par tā īstenošanas finansējumu, bet ir  noteikts </w:t>
      </w:r>
      <w:r>
        <w:rPr>
          <w:rFonts w:cs="Times New Roman"/>
        </w:rPr>
        <w:t>12</w:t>
      </w:r>
      <w:r w:rsidRPr="00755FDA">
        <w:rPr>
          <w:rFonts w:cs="Times New Roman"/>
        </w:rPr>
        <w:t xml:space="preserve"> rīcības virzienu īstenošanai indikatīvi pieejamais</w:t>
      </w:r>
      <w:r>
        <w:rPr>
          <w:rFonts w:cs="Times New Roman"/>
        </w:rPr>
        <w:t xml:space="preserve"> ES fondu</w:t>
      </w:r>
      <w:r w:rsidRPr="00755FDA">
        <w:rPr>
          <w:rFonts w:cs="Times New Roman"/>
        </w:rPr>
        <w:t xml:space="preserve"> kopējais finansējuma apjoms</w:t>
      </w:r>
      <w:r>
        <w:rPr>
          <w:rFonts w:cs="Times New Roman"/>
        </w:rPr>
        <w:t xml:space="preserve"> un nepieciešamais valsts budžeta finansējums.</w:t>
      </w:r>
      <w:r w:rsidRPr="00755FDA">
        <w:rPr>
          <w:rFonts w:cs="Times New Roman"/>
        </w:rPr>
        <w:t xml:space="preserve"> (skat. piemēru </w:t>
      </w:r>
      <w:r w:rsidR="003E7ED2">
        <w:rPr>
          <w:rFonts w:cs="Times New Roman"/>
        </w:rPr>
        <w:t>6</w:t>
      </w:r>
      <w:r w:rsidRPr="00755FDA">
        <w:rPr>
          <w:rFonts w:cs="Times New Roman"/>
        </w:rPr>
        <w:t>.attēlā).</w:t>
      </w:r>
    </w:p>
    <w:p w:rsidR="00C704A8" w:rsidRPr="00826F5E" w:rsidRDefault="00C704A8" w:rsidP="0082538E">
      <w:pPr>
        <w:jc w:val="both"/>
        <w:rPr>
          <w:rFonts w:cs="Times New Roman"/>
          <w:sz w:val="20"/>
          <w:szCs w:val="24"/>
        </w:rPr>
      </w:pPr>
    </w:p>
    <w:tbl>
      <w:tblPr>
        <w:tblStyle w:val="TableGrid"/>
        <w:tblW w:w="7650" w:type="dxa"/>
        <w:jc w:val="center"/>
        <w:tblLook w:val="04A0" w:firstRow="1" w:lastRow="0" w:firstColumn="1" w:lastColumn="0" w:noHBand="0" w:noVBand="1"/>
      </w:tblPr>
      <w:tblGrid>
        <w:gridCol w:w="572"/>
        <w:gridCol w:w="3710"/>
        <w:gridCol w:w="2092"/>
        <w:gridCol w:w="1276"/>
      </w:tblGrid>
      <w:tr w:rsidR="009D07E2" w:rsidTr="00807B5E">
        <w:trPr>
          <w:trHeight w:val="268"/>
          <w:jc w:val="center"/>
        </w:trPr>
        <w:tc>
          <w:tcPr>
            <w:tcW w:w="572" w:type="dxa"/>
          </w:tcPr>
          <w:p w:rsidR="009D07E2" w:rsidRPr="009B7BA7" w:rsidRDefault="009D07E2" w:rsidP="00FD5961">
            <w:pPr>
              <w:jc w:val="center"/>
              <w:rPr>
                <w:rFonts w:cs="Times New Roman"/>
                <w:sz w:val="20"/>
                <w:szCs w:val="20"/>
              </w:rPr>
            </w:pPr>
            <w:r w:rsidRPr="009B7BA7">
              <w:rPr>
                <w:rFonts w:cs="Times New Roman"/>
                <w:color w:val="1F4E79" w:themeColor="accent1" w:themeShade="80"/>
                <w:sz w:val="20"/>
                <w:szCs w:val="20"/>
              </w:rPr>
              <w:t>11.</w:t>
            </w:r>
          </w:p>
        </w:tc>
        <w:tc>
          <w:tcPr>
            <w:tcW w:w="3710" w:type="dxa"/>
          </w:tcPr>
          <w:p w:rsidR="009D07E2" w:rsidRPr="009B7BA7" w:rsidRDefault="00EA6768" w:rsidP="0064732D">
            <w:pPr>
              <w:jc w:val="both"/>
              <w:rPr>
                <w:rFonts w:cs="Times New Roman"/>
                <w:sz w:val="20"/>
                <w:szCs w:val="20"/>
              </w:rPr>
            </w:pPr>
            <w:r w:rsidRPr="009B7BA7">
              <w:rPr>
                <w:rFonts w:cs="Times New Roman"/>
                <w:sz w:val="20"/>
                <w:szCs w:val="20"/>
              </w:rPr>
              <w:t>[134] Atbalsts radošo industriju dizaina pasākumiem, kas nodrošina jaunu eksporta produktu izstrādi un ieviešanu ražošanā</w:t>
            </w:r>
          </w:p>
          <w:p w:rsidR="00EA6768" w:rsidRPr="00826F5E" w:rsidRDefault="00EA6768" w:rsidP="0064732D">
            <w:pPr>
              <w:jc w:val="both"/>
              <w:rPr>
                <w:rFonts w:cs="Times New Roman"/>
                <w:sz w:val="4"/>
                <w:szCs w:val="20"/>
              </w:rPr>
            </w:pPr>
          </w:p>
          <w:p w:rsidR="00EA6768" w:rsidRPr="009B7BA7" w:rsidRDefault="00EA6768" w:rsidP="0064732D">
            <w:pPr>
              <w:jc w:val="both"/>
              <w:rPr>
                <w:rFonts w:cs="Times New Roman"/>
                <w:sz w:val="20"/>
                <w:szCs w:val="20"/>
              </w:rPr>
            </w:pPr>
            <w:r w:rsidRPr="009B7BA7">
              <w:rPr>
                <w:rFonts w:cs="Times New Roman"/>
                <w:sz w:val="20"/>
                <w:szCs w:val="20"/>
              </w:rPr>
              <w:t>[Aptveramā teritorija: Visa Latvija]</w:t>
            </w:r>
          </w:p>
        </w:tc>
        <w:tc>
          <w:tcPr>
            <w:tcW w:w="2092" w:type="dxa"/>
            <w:vAlign w:val="center"/>
          </w:tcPr>
          <w:p w:rsidR="009D07E2" w:rsidRPr="009B7BA7" w:rsidRDefault="00EA6768" w:rsidP="00EA6768">
            <w:pPr>
              <w:rPr>
                <w:rFonts w:cs="Times New Roman"/>
                <w:sz w:val="20"/>
                <w:szCs w:val="20"/>
              </w:rPr>
            </w:pPr>
            <w:r w:rsidRPr="009B7BA7">
              <w:rPr>
                <w:rFonts w:cs="Times New Roman"/>
                <w:sz w:val="20"/>
                <w:szCs w:val="20"/>
              </w:rPr>
              <w:t>KM (EM)</w:t>
            </w:r>
          </w:p>
        </w:tc>
        <w:tc>
          <w:tcPr>
            <w:tcW w:w="1276" w:type="dxa"/>
          </w:tcPr>
          <w:p w:rsidR="009D07E2" w:rsidRPr="009B7BA7" w:rsidRDefault="005D6C68" w:rsidP="00EA6768">
            <w:pPr>
              <w:rPr>
                <w:rFonts w:cs="Times New Roman"/>
                <w:sz w:val="20"/>
                <w:szCs w:val="20"/>
              </w:rPr>
            </w:pPr>
            <w:r>
              <w:rPr>
                <w:rFonts w:cs="Times New Roman"/>
                <w:sz w:val="20"/>
                <w:szCs w:val="20"/>
              </w:rPr>
              <w:t>F</w:t>
            </w:r>
            <w:r w:rsidR="00EA6768" w:rsidRPr="009B7BA7">
              <w:rPr>
                <w:rFonts w:cs="Times New Roman"/>
                <w:sz w:val="20"/>
                <w:szCs w:val="20"/>
              </w:rPr>
              <w:t>inansējums</w:t>
            </w:r>
          </w:p>
        </w:tc>
      </w:tr>
      <w:tr w:rsidR="00EA6768" w:rsidTr="00807B5E">
        <w:trPr>
          <w:trHeight w:val="87"/>
          <w:jc w:val="center"/>
        </w:trPr>
        <w:tc>
          <w:tcPr>
            <w:tcW w:w="6374" w:type="dxa"/>
            <w:gridSpan w:val="3"/>
          </w:tcPr>
          <w:p w:rsidR="00EA6768" w:rsidRPr="009B7BA7" w:rsidRDefault="00EA6768" w:rsidP="00EA6768">
            <w:pPr>
              <w:jc w:val="right"/>
              <w:rPr>
                <w:rFonts w:cs="Times New Roman"/>
                <w:color w:val="1F4E79" w:themeColor="accent1" w:themeShade="80"/>
                <w:sz w:val="20"/>
                <w:szCs w:val="20"/>
              </w:rPr>
            </w:pPr>
            <w:r w:rsidRPr="009B7BA7">
              <w:rPr>
                <w:rFonts w:cs="Times New Roman"/>
                <w:color w:val="1F4E79" w:themeColor="accent1" w:themeShade="80"/>
                <w:sz w:val="20"/>
                <w:szCs w:val="20"/>
              </w:rPr>
              <w:t xml:space="preserve">Rīcības virziena īstenošanai indikatīvi pieejamais </w:t>
            </w:r>
          </w:p>
          <w:p w:rsidR="00EA6768" w:rsidRPr="009B7BA7" w:rsidRDefault="00EA6768" w:rsidP="00F25469">
            <w:pPr>
              <w:jc w:val="right"/>
              <w:rPr>
                <w:rFonts w:cs="Times New Roman"/>
                <w:sz w:val="20"/>
                <w:szCs w:val="20"/>
              </w:rPr>
            </w:pPr>
            <w:r w:rsidRPr="009B7BA7">
              <w:rPr>
                <w:rFonts w:cs="Times New Roman"/>
                <w:color w:val="1F4E79" w:themeColor="accent1" w:themeShade="80"/>
                <w:sz w:val="20"/>
                <w:szCs w:val="20"/>
              </w:rPr>
              <w:t xml:space="preserve">kopējais finansējuma apjoms miljonos </w:t>
            </w:r>
            <w:r w:rsidR="00F25469">
              <w:rPr>
                <w:rFonts w:cs="Times New Roman"/>
                <w:color w:val="1F4E79" w:themeColor="accent1" w:themeShade="80"/>
                <w:sz w:val="20"/>
                <w:szCs w:val="20"/>
              </w:rPr>
              <w:t>EUR</w:t>
            </w:r>
            <w:r w:rsidRPr="009B7BA7">
              <w:rPr>
                <w:rFonts w:cs="Times New Roman"/>
                <w:color w:val="1F4E79" w:themeColor="accent1" w:themeShade="80"/>
                <w:sz w:val="20"/>
                <w:szCs w:val="20"/>
              </w:rPr>
              <w:t>:</w:t>
            </w:r>
          </w:p>
        </w:tc>
        <w:tc>
          <w:tcPr>
            <w:tcW w:w="1276" w:type="dxa"/>
            <w:vAlign w:val="center"/>
          </w:tcPr>
          <w:p w:rsidR="00EA6768" w:rsidRPr="009B7BA7" w:rsidRDefault="00F25469" w:rsidP="00EA6768">
            <w:pPr>
              <w:jc w:val="center"/>
              <w:rPr>
                <w:rFonts w:cs="Times New Roman"/>
                <w:sz w:val="20"/>
                <w:szCs w:val="20"/>
              </w:rPr>
            </w:pPr>
            <w:r>
              <w:rPr>
                <w:rFonts w:cs="Times New Roman"/>
                <w:color w:val="1F4E79" w:themeColor="accent1" w:themeShade="80"/>
                <w:sz w:val="20"/>
                <w:szCs w:val="20"/>
              </w:rPr>
              <w:t>1 090,9</w:t>
            </w:r>
          </w:p>
        </w:tc>
      </w:tr>
    </w:tbl>
    <w:p w:rsidR="00C704A8" w:rsidRPr="00826F5E" w:rsidRDefault="00C704A8" w:rsidP="00807B5E">
      <w:pPr>
        <w:jc w:val="both"/>
        <w:rPr>
          <w:rFonts w:cs="Times New Roman"/>
          <w:sz w:val="12"/>
          <w:szCs w:val="16"/>
        </w:rPr>
      </w:pPr>
    </w:p>
    <w:p w:rsidR="0064732D" w:rsidRPr="00826F5E" w:rsidRDefault="00807B5E" w:rsidP="00826F5E">
      <w:pPr>
        <w:jc w:val="center"/>
        <w:rPr>
          <w:rFonts w:cs="Times New Roman"/>
          <w:b/>
          <w:noProof/>
          <w:sz w:val="22"/>
          <w:lang w:eastAsia="lv-LV"/>
        </w:rPr>
      </w:pPr>
      <w:r>
        <w:rPr>
          <w:rFonts w:cs="Times New Roman"/>
          <w:i/>
          <w:noProof/>
          <w:sz w:val="22"/>
          <w:lang w:eastAsia="lv-LV"/>
        </w:rPr>
        <w:t>6</w:t>
      </w:r>
      <w:r w:rsidR="0064732D" w:rsidRPr="0064732D">
        <w:rPr>
          <w:rFonts w:cs="Times New Roman"/>
          <w:i/>
          <w:noProof/>
          <w:sz w:val="22"/>
          <w:lang w:eastAsia="lv-LV"/>
        </w:rPr>
        <w:t>.att.</w:t>
      </w:r>
      <w:r w:rsidR="0064732D" w:rsidRPr="0064732D">
        <w:rPr>
          <w:rFonts w:cs="Times New Roman"/>
          <w:b/>
          <w:noProof/>
          <w:sz w:val="22"/>
          <w:lang w:eastAsia="lv-LV"/>
        </w:rPr>
        <w:t xml:space="preserve"> </w:t>
      </w:r>
      <w:r w:rsidR="00A16103">
        <w:rPr>
          <w:rFonts w:cs="Times New Roman"/>
          <w:b/>
          <w:noProof/>
          <w:sz w:val="22"/>
          <w:lang w:eastAsia="lv-LV"/>
        </w:rPr>
        <w:t>Rīcības virziena “</w:t>
      </w:r>
      <w:r w:rsidR="00A16103" w:rsidRPr="0064732D">
        <w:rPr>
          <w:rFonts w:cs="Times New Roman"/>
          <w:b/>
          <w:noProof/>
          <w:sz w:val="22"/>
          <w:lang w:eastAsia="lv-LV"/>
        </w:rPr>
        <w:t>Augstražīga un eksportspējīga ražošana un starptauti</w:t>
      </w:r>
      <w:r w:rsidR="00A16103">
        <w:rPr>
          <w:rFonts w:cs="Times New Roman"/>
          <w:b/>
          <w:noProof/>
          <w:sz w:val="22"/>
          <w:lang w:eastAsia="lv-LV"/>
        </w:rPr>
        <w:t>ski konkurētspējīgi pakalpojumi”</w:t>
      </w:r>
      <w:r w:rsidR="00A16103" w:rsidRPr="0064732D">
        <w:rPr>
          <w:rFonts w:cs="Times New Roman"/>
          <w:b/>
          <w:sz w:val="22"/>
        </w:rPr>
        <w:t xml:space="preserve"> </w:t>
      </w:r>
      <w:r w:rsidR="00A16103" w:rsidRPr="0064732D">
        <w:rPr>
          <w:rFonts w:cs="Times New Roman"/>
          <w:b/>
          <w:noProof/>
          <w:sz w:val="22"/>
          <w:lang w:eastAsia="lv-LV"/>
        </w:rPr>
        <w:t>indikatīvi pieejamais finansējum</w:t>
      </w:r>
      <w:r w:rsidR="00A16103">
        <w:rPr>
          <w:rFonts w:cs="Times New Roman"/>
          <w:b/>
          <w:noProof/>
          <w:sz w:val="22"/>
          <w:lang w:eastAsia="lv-LV"/>
        </w:rPr>
        <w:t xml:space="preserve">s, milj. </w:t>
      </w:r>
      <w:r w:rsidR="00826F5E" w:rsidRPr="00826F5E">
        <w:rPr>
          <w:rFonts w:cs="Times New Roman"/>
          <w:b/>
          <w:i/>
          <w:noProof/>
          <w:sz w:val="22"/>
          <w:lang w:eastAsia="lv-LV"/>
        </w:rPr>
        <w:t>euro</w:t>
      </w:r>
      <w:r w:rsidR="00826F5E">
        <w:rPr>
          <w:rFonts w:cs="Times New Roman"/>
          <w:b/>
          <w:noProof/>
          <w:sz w:val="22"/>
          <w:lang w:eastAsia="lv-LV"/>
        </w:rPr>
        <w:t xml:space="preserve"> </w:t>
      </w:r>
      <w:r w:rsidR="00826F5E" w:rsidRPr="00826F5E">
        <w:rPr>
          <w:rFonts w:cs="Times New Roman"/>
          <w:i/>
          <w:noProof/>
          <w:sz w:val="22"/>
          <w:lang w:eastAsia="lv-LV"/>
        </w:rPr>
        <w:t>(</w:t>
      </w:r>
      <w:r w:rsidR="0064732D" w:rsidRPr="00826F5E">
        <w:rPr>
          <w:rFonts w:cs="Times New Roman"/>
          <w:i/>
          <w:sz w:val="22"/>
        </w:rPr>
        <w:t>Avots: NAP2020</w:t>
      </w:r>
      <w:r w:rsidR="00826F5E" w:rsidRPr="00826F5E">
        <w:rPr>
          <w:rFonts w:cs="Times New Roman"/>
          <w:i/>
          <w:sz w:val="22"/>
        </w:rPr>
        <w:t>)</w:t>
      </w:r>
    </w:p>
    <w:p w:rsidR="0064732D" w:rsidRPr="00156C9F" w:rsidRDefault="0064732D" w:rsidP="0064732D">
      <w:pPr>
        <w:ind w:firstLine="709"/>
        <w:jc w:val="both"/>
        <w:rPr>
          <w:rFonts w:cs="Times New Roman"/>
          <w:sz w:val="16"/>
          <w:szCs w:val="16"/>
        </w:rPr>
      </w:pPr>
    </w:p>
    <w:p w:rsidR="0064732D" w:rsidRDefault="0064732D" w:rsidP="0064732D">
      <w:pPr>
        <w:ind w:firstLine="709"/>
        <w:jc w:val="both"/>
      </w:pPr>
      <w:r>
        <w:lastRenderedPageBreak/>
        <w:t>Šīs summas ir izvērstas “NAP2020 indikatīvā finanšu pamatojuma dokumentā” pa finanšu avo</w:t>
      </w:r>
      <w:r w:rsidR="00260FCF">
        <w:t>tiem tām darbībām, kuras NAP</w:t>
      </w:r>
      <w:r>
        <w:t xml:space="preserve"> plānošanas procesā indikatīvi atzītas par efektīvākajām, ņemot vērā </w:t>
      </w:r>
      <w:r w:rsidR="00156C9F">
        <w:t>FM</w:t>
      </w:r>
      <w:r>
        <w:t xml:space="preserve"> nosprausto fiskālo telpu septiņu gadu periodam. NAP izstrādes procesā svarīgi bija diskutēt par labākajiem risinājumiem, lai samazinātu piedāvājuma apjomu. </w:t>
      </w:r>
    </w:p>
    <w:p w:rsidR="00156C9F" w:rsidRDefault="00156C9F" w:rsidP="00156C9F">
      <w:pPr>
        <w:ind w:firstLine="709"/>
        <w:jc w:val="both"/>
      </w:pPr>
      <w:r>
        <w:t xml:space="preserve">Pēc NAP apstiprināšanas Saeimā 2012.gadā, ministru prezidents Valdis Dombrovskis 2013.gadā uzdeva atbildīgajām institūcijām izmantot NAP indikatīvā finanšu pamatojuma dokumentu NAP, sniedzot </w:t>
      </w:r>
      <w:r w:rsidR="00242668">
        <w:t>JPI</w:t>
      </w:r>
      <w:r>
        <w:t xml:space="preserve"> valsts budžetam,  kā arī  turpmākai sasaistei </w:t>
      </w:r>
      <w:r w:rsidRPr="005D6C68">
        <w:t xml:space="preserve">ar </w:t>
      </w:r>
      <w:r w:rsidR="00242668" w:rsidRPr="005D6C68">
        <w:t>ES</w:t>
      </w:r>
      <w:r w:rsidRPr="005D6C68">
        <w:t xml:space="preserve"> un citu ārvalstu finanšu palīdzības finansējumu.</w:t>
      </w:r>
    </w:p>
    <w:p w:rsidR="00156C9F" w:rsidRDefault="00156C9F" w:rsidP="009037D7">
      <w:pPr>
        <w:ind w:firstLine="709"/>
        <w:jc w:val="both"/>
        <w:rPr>
          <w:rFonts w:cs="Times New Roman"/>
          <w:b/>
        </w:rPr>
      </w:pPr>
      <w:r w:rsidRPr="001B1876">
        <w:rPr>
          <w:rFonts w:cs="Times New Roman"/>
        </w:rPr>
        <w:t xml:space="preserve">Fiskālās telpas noteikšana ļauj lēmumu pieņēmējiem </w:t>
      </w:r>
      <w:r w:rsidRPr="00260FCF">
        <w:rPr>
          <w:rFonts w:cs="Times New Roman"/>
          <w:i/>
        </w:rPr>
        <w:t>izšķirties</w:t>
      </w:r>
      <w:r w:rsidRPr="001B1876">
        <w:rPr>
          <w:rFonts w:cs="Times New Roman"/>
        </w:rPr>
        <w:t xml:space="preserve"> par indikatīvi nozīmīgākajām darbībām rezultātu sasniegšanai</w:t>
      </w:r>
      <w:r>
        <w:rPr>
          <w:rFonts w:cs="Times New Roman"/>
        </w:rPr>
        <w:t xml:space="preserve">, </w:t>
      </w:r>
      <w:r w:rsidRPr="00980A38">
        <w:rPr>
          <w:rFonts w:cs="Times New Roman"/>
        </w:rPr>
        <w:t xml:space="preserve">pieņemot politikas plānošanas dokumentus un pieprasīt papildus finansējumu </w:t>
      </w:r>
      <w:r>
        <w:rPr>
          <w:rFonts w:cs="Times New Roman"/>
        </w:rPr>
        <w:t>JPI</w:t>
      </w:r>
      <w:r w:rsidRPr="00980A38">
        <w:rPr>
          <w:rFonts w:cs="Times New Roman"/>
        </w:rPr>
        <w:t xml:space="preserve"> procesā</w:t>
      </w:r>
      <w:r w:rsidR="009037D7">
        <w:rPr>
          <w:rFonts w:cs="Times New Roman"/>
          <w:b/>
        </w:rPr>
        <w:t xml:space="preserve">. </w:t>
      </w:r>
    </w:p>
    <w:p w:rsidR="00F66B26" w:rsidRPr="00A03A77" w:rsidRDefault="00F66B26" w:rsidP="00313F67">
      <w:pPr>
        <w:rPr>
          <w:rFonts w:cs="Times New Roman"/>
          <w:b/>
          <w:szCs w:val="24"/>
        </w:rPr>
      </w:pPr>
    </w:p>
    <w:p w:rsidR="0064732D" w:rsidRPr="00E462B4" w:rsidRDefault="0064732D" w:rsidP="00FB4B60">
      <w:pPr>
        <w:pStyle w:val="Heading3"/>
        <w:numPr>
          <w:ilvl w:val="2"/>
          <w:numId w:val="3"/>
        </w:numPr>
        <w:rPr>
          <w:rFonts w:ascii="Times New Roman" w:hAnsi="Times New Roman" w:cs="Times New Roman"/>
          <w:b/>
        </w:rPr>
      </w:pPr>
      <w:bookmarkStart w:id="5" w:name="_Toc443558715"/>
      <w:r w:rsidRPr="00E462B4">
        <w:rPr>
          <w:rFonts w:ascii="Times New Roman" w:hAnsi="Times New Roman" w:cs="Times New Roman"/>
          <w:b/>
          <w:color w:val="auto"/>
        </w:rPr>
        <w:t>Politikas plānošanas dokumenti</w:t>
      </w:r>
      <w:bookmarkEnd w:id="5"/>
    </w:p>
    <w:p w:rsidR="0064732D" w:rsidRPr="0064732D" w:rsidRDefault="0064732D" w:rsidP="0064732D">
      <w:pPr>
        <w:ind w:left="360"/>
        <w:jc w:val="both"/>
        <w:rPr>
          <w:rFonts w:cs="Times New Roman"/>
          <w:b/>
        </w:rPr>
      </w:pPr>
    </w:p>
    <w:p w:rsidR="00F8615F" w:rsidRPr="00F8615F" w:rsidRDefault="00F8615F" w:rsidP="00F8615F">
      <w:pPr>
        <w:ind w:firstLine="709"/>
        <w:jc w:val="both"/>
      </w:pPr>
      <w:r w:rsidRPr="00F8615F">
        <w:t>Attīstības plānošanas principus, mērķus un to sasniegšanai nepieciešamās rīcības izstrādi nolūkā īstenot politiski noteiktas prioritātes un nodrošināt sabiedrības un teritorijas attīstību regulē Attīstības plānošanas sistēmas likums.</w:t>
      </w:r>
    </w:p>
    <w:p w:rsidR="00F521B7" w:rsidRDefault="00F8615F" w:rsidP="00F521B7">
      <w:pPr>
        <w:ind w:firstLine="709"/>
        <w:jc w:val="both"/>
      </w:pPr>
      <w:r w:rsidRPr="00F8615F">
        <w:t>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w:t>
      </w:r>
      <w:r w:rsidR="00F521B7">
        <w:t xml:space="preserve"> </w:t>
      </w:r>
    </w:p>
    <w:p w:rsidR="00F8615F" w:rsidRPr="009037D7" w:rsidRDefault="00F8615F" w:rsidP="00F521B7">
      <w:pPr>
        <w:ind w:firstLine="709"/>
        <w:jc w:val="both"/>
      </w:pPr>
      <w:r w:rsidRPr="00F8615F">
        <w:rPr>
          <w:rFonts w:cs="Times New Roman"/>
          <w:szCs w:val="24"/>
        </w:rPr>
        <w:t xml:space="preserve">Plānošanas dokumenti, kas pieņemti Saeimā, ir saistoši visām institūcijām atbilstoši to kompetencei, savukārt plānošanas dokumenti, kas apstiprināti </w:t>
      </w:r>
      <w:r w:rsidR="001E6E39">
        <w:rPr>
          <w:rFonts w:cs="Times New Roman"/>
          <w:szCs w:val="24"/>
        </w:rPr>
        <w:t>MK</w:t>
      </w:r>
      <w:r w:rsidRPr="00F8615F">
        <w:rPr>
          <w:rFonts w:cs="Times New Roman"/>
          <w:szCs w:val="24"/>
        </w:rPr>
        <w:t>, ir saistoši visām tiešās pārvaldes iestādēm</w:t>
      </w:r>
      <w:r w:rsidRPr="00F8615F">
        <w:rPr>
          <w:rStyle w:val="FootnoteReference"/>
          <w:rFonts w:cs="Times New Roman"/>
          <w:szCs w:val="24"/>
        </w:rPr>
        <w:footnoteReference w:id="1"/>
      </w:r>
      <w:r w:rsidRPr="00F8615F">
        <w:rPr>
          <w:rFonts w:cs="Times New Roman"/>
          <w:szCs w:val="24"/>
        </w:rPr>
        <w:t>.</w:t>
      </w:r>
    </w:p>
    <w:p w:rsidR="0064732D" w:rsidRDefault="0064732D" w:rsidP="0064732D">
      <w:pPr>
        <w:ind w:firstLine="709"/>
        <w:jc w:val="both"/>
        <w:rPr>
          <w:rFonts w:cs="Times New Roman"/>
        </w:rPr>
      </w:pPr>
      <w:r w:rsidRPr="00F97C26">
        <w:rPr>
          <w:rFonts w:cs="Times New Roman"/>
        </w:rPr>
        <w:t>Īstenojot Attīstības plānošanas sistēmas u</w:t>
      </w:r>
      <w:r w:rsidR="00156C9F">
        <w:rPr>
          <w:rFonts w:cs="Times New Roman"/>
        </w:rPr>
        <w:t>zlabošanas pasākumu plānu 2014.–</w:t>
      </w:r>
      <w:r w:rsidRPr="00F97C26">
        <w:rPr>
          <w:rFonts w:cs="Times New Roman"/>
        </w:rPr>
        <w:t xml:space="preserve">2016.gadam, tika pieņemti </w:t>
      </w:r>
      <w:r w:rsidR="00156C9F">
        <w:rPr>
          <w:rFonts w:cs="Times New Roman"/>
        </w:rPr>
        <w:t>MK</w:t>
      </w:r>
      <w:r w:rsidRPr="00F97C26">
        <w:rPr>
          <w:rFonts w:cs="Times New Roman"/>
        </w:rPr>
        <w:t xml:space="preserve"> </w:t>
      </w:r>
      <w:r w:rsidR="00ED15F3">
        <w:rPr>
          <w:rFonts w:cs="Times New Roman"/>
        </w:rPr>
        <w:t>noteikumi Nr.737</w:t>
      </w:r>
      <w:r w:rsidRPr="00F97C26">
        <w:rPr>
          <w:rFonts w:cs="Times New Roman"/>
        </w:rPr>
        <w:t xml:space="preserve">, kas cita starpā ietver arī </w:t>
      </w:r>
      <w:r w:rsidRPr="00260FCF">
        <w:rPr>
          <w:rFonts w:cs="Times New Roman"/>
          <w:i/>
        </w:rPr>
        <w:t>jaunas prasības budžeta atspoguļošanai politikas plānošanas dokumentos</w:t>
      </w:r>
      <w:r>
        <w:rPr>
          <w:rFonts w:cs="Times New Roman"/>
        </w:rPr>
        <w:t xml:space="preserve">, lai nodrošinātu kvalitatīvu </w:t>
      </w:r>
      <w:r w:rsidRPr="00F97C26">
        <w:rPr>
          <w:rFonts w:cs="Times New Roman"/>
        </w:rPr>
        <w:t xml:space="preserve">attīstības plānošanas sasaisti ar budžeta plānošanu.  </w:t>
      </w:r>
    </w:p>
    <w:p w:rsidR="0064732D" w:rsidRDefault="0064732D" w:rsidP="0064732D">
      <w:pPr>
        <w:ind w:firstLine="709"/>
        <w:jc w:val="both"/>
        <w:rPr>
          <w:rFonts w:cs="Times New Roman"/>
        </w:rPr>
      </w:pPr>
      <w:r w:rsidRPr="00F97C26">
        <w:rPr>
          <w:rFonts w:cs="Times New Roman"/>
        </w:rPr>
        <w:t xml:space="preserve">Katram politikas plānošanas dokumenta veidam (pamatnostādnes, plāns, konceptuāls ziņojums) ir noteikts tāds ietekmes uz budžetu atspoguļošanas veids, kas ļauj uzskatāmi apzināt un </w:t>
      </w:r>
      <w:r>
        <w:rPr>
          <w:rFonts w:cs="Times New Roman"/>
        </w:rPr>
        <w:t xml:space="preserve">uzdevumu/pasākumu līmenī </w:t>
      </w:r>
      <w:r w:rsidRPr="00F97C26">
        <w:rPr>
          <w:rFonts w:cs="Times New Roman"/>
        </w:rPr>
        <w:t>raksturot gan attiecīgās institūcijas rīcībā esošo (pieejamo) finansējumu u</w:t>
      </w:r>
      <w:r>
        <w:rPr>
          <w:rFonts w:cs="Times New Roman"/>
        </w:rPr>
        <w:t>n tā avotus, gan papildu</w:t>
      </w:r>
      <w:r w:rsidRPr="00F97C26">
        <w:rPr>
          <w:rFonts w:cs="Times New Roman"/>
        </w:rPr>
        <w:t xml:space="preserve"> nepieciešamo finansējumu, kuru turpmākajo</w:t>
      </w:r>
      <w:r>
        <w:rPr>
          <w:rFonts w:cs="Times New Roman"/>
        </w:rPr>
        <w:t xml:space="preserve">s gados ir plānots pieprasīt </w:t>
      </w:r>
      <w:r w:rsidR="00156C9F">
        <w:rPr>
          <w:rFonts w:cs="Times New Roman"/>
        </w:rPr>
        <w:t>JPI</w:t>
      </w:r>
      <w:r w:rsidRPr="00F97C26">
        <w:rPr>
          <w:rFonts w:cs="Times New Roman"/>
        </w:rPr>
        <w:t xml:space="preserve"> procesā</w:t>
      </w:r>
      <w:r>
        <w:rPr>
          <w:rFonts w:cs="Times New Roman"/>
        </w:rPr>
        <w:t xml:space="preserve"> </w:t>
      </w:r>
      <w:r w:rsidRPr="004769AE">
        <w:rPr>
          <w:rFonts w:cs="Times New Roman"/>
        </w:rPr>
        <w:t xml:space="preserve">(skat. </w:t>
      </w:r>
      <w:r w:rsidR="00032F6F">
        <w:rPr>
          <w:rFonts w:cs="Times New Roman"/>
        </w:rPr>
        <w:t>7</w:t>
      </w:r>
      <w:r>
        <w:rPr>
          <w:rFonts w:cs="Times New Roman"/>
        </w:rPr>
        <w:t>.attēlu</w:t>
      </w:r>
      <w:r w:rsidRPr="004769AE">
        <w:rPr>
          <w:rFonts w:cs="Times New Roman"/>
        </w:rPr>
        <w:t>).</w:t>
      </w:r>
      <w:r w:rsidRPr="00F97C26">
        <w:rPr>
          <w:rFonts w:cs="Times New Roman"/>
        </w:rPr>
        <w:t xml:space="preserve"> </w:t>
      </w:r>
    </w:p>
    <w:p w:rsidR="00F0786F" w:rsidRPr="00ED15F3" w:rsidRDefault="00F0786F" w:rsidP="00F0786F">
      <w:pPr>
        <w:ind w:firstLine="720"/>
        <w:jc w:val="both"/>
        <w:rPr>
          <w:szCs w:val="24"/>
        </w:rPr>
      </w:pPr>
      <w:r w:rsidRPr="00ED15F3">
        <w:rPr>
          <w:szCs w:val="24"/>
        </w:rPr>
        <w:t xml:space="preserve">Turklāt, attiecībā uz papildu nepieciešamo finansējumu plānam un konceptuālam ziņojumam ministrija pievieno detalizētus aprēķinus atbilstoši </w:t>
      </w:r>
      <w:r>
        <w:rPr>
          <w:szCs w:val="24"/>
        </w:rPr>
        <w:t>MK 2009.gada 15.</w:t>
      </w:r>
      <w:r w:rsidRPr="00ED15F3">
        <w:rPr>
          <w:szCs w:val="24"/>
        </w:rPr>
        <w:t xml:space="preserve">decembra instrukcijas Nr.19 “Tiesību akta sākotnējās ietekmes izvērtēšanas kārtība” IV sadaļā noteiktajam, kas ļauj šo informāciju izmantot arī pieprasot papildus līdzekļus </w:t>
      </w:r>
      <w:r>
        <w:rPr>
          <w:szCs w:val="24"/>
        </w:rPr>
        <w:t>JPI</w:t>
      </w:r>
      <w:r w:rsidRPr="00ED15F3">
        <w:rPr>
          <w:szCs w:val="24"/>
        </w:rPr>
        <w:t xml:space="preserve"> procesā.</w:t>
      </w:r>
    </w:p>
    <w:p w:rsidR="00F0786F" w:rsidRPr="00ED15F3" w:rsidRDefault="00F0786F" w:rsidP="00F0786F">
      <w:pPr>
        <w:ind w:firstLine="720"/>
        <w:jc w:val="both"/>
        <w:rPr>
          <w:szCs w:val="24"/>
        </w:rPr>
      </w:pPr>
      <w:r w:rsidRPr="00ED15F3">
        <w:rPr>
          <w:szCs w:val="24"/>
        </w:rPr>
        <w:t xml:space="preserve">Jaunās prasības ļauj uzskatāmā veidā apzināt un detalizēti raksturot politikas plānošanas dokumenta īstenošanai pieejamo un nepieciešamo finansējumu. Līdz ar to </w:t>
      </w:r>
      <w:r>
        <w:rPr>
          <w:szCs w:val="24"/>
        </w:rPr>
        <w:t>MK</w:t>
      </w:r>
      <w:r w:rsidRPr="00ED15F3">
        <w:rPr>
          <w:szCs w:val="24"/>
        </w:rPr>
        <w:t>, lemjot par attiecīgā politikas plānošanas dokumenta apstiprināšanu, ir nepieciešamā informācija par dažādu resoru budžeta bāzēs pieejamo finansējumu attiecīgo politikas mērķu un rezultātu sasniegšanai, kā arī papildu nepieciešamajiem līdzekļiem turpmākajos gados.</w:t>
      </w:r>
    </w:p>
    <w:p w:rsidR="00AB0A9F" w:rsidRPr="00DB0A53" w:rsidRDefault="00AB0A9F" w:rsidP="00AB0A9F">
      <w:pPr>
        <w:jc w:val="both"/>
        <w:rPr>
          <w:rFonts w:cs="Times New Roman"/>
          <w:sz w:val="16"/>
          <w:szCs w:val="16"/>
        </w:rPr>
      </w:pPr>
    </w:p>
    <w:p w:rsidR="00156C9F" w:rsidRDefault="001230D4" w:rsidP="001230D4">
      <w:pPr>
        <w:jc w:val="center"/>
        <w:rPr>
          <w:sz w:val="16"/>
          <w:szCs w:val="16"/>
        </w:rPr>
      </w:pPr>
      <w:r w:rsidRPr="00F97C26">
        <w:rPr>
          <w:rFonts w:cs="Times New Roman"/>
          <w:noProof/>
          <w:lang w:eastAsia="lv-LV"/>
        </w:rPr>
        <w:lastRenderedPageBreak/>
        <w:drawing>
          <wp:inline distT="0" distB="0" distL="0" distR="0" wp14:anchorId="077625B2" wp14:editId="5A90DCFA">
            <wp:extent cx="5908040" cy="231891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43790" cy="2372200"/>
                    </a:xfrm>
                    <a:prstGeom prst="rect">
                      <a:avLst/>
                    </a:prstGeom>
                  </pic:spPr>
                </pic:pic>
              </a:graphicData>
            </a:graphic>
          </wp:inline>
        </w:drawing>
      </w:r>
    </w:p>
    <w:p w:rsidR="001230D4" w:rsidRPr="00DB0A53" w:rsidRDefault="001230D4" w:rsidP="00156C9F">
      <w:pPr>
        <w:rPr>
          <w:sz w:val="16"/>
          <w:szCs w:val="16"/>
        </w:rPr>
      </w:pPr>
    </w:p>
    <w:p w:rsidR="00260FCF" w:rsidRDefault="00032F6F" w:rsidP="00156C9F">
      <w:pPr>
        <w:jc w:val="center"/>
        <w:rPr>
          <w:b/>
          <w:sz w:val="16"/>
          <w:szCs w:val="16"/>
        </w:rPr>
      </w:pPr>
      <w:r>
        <w:rPr>
          <w:i/>
          <w:sz w:val="22"/>
        </w:rPr>
        <w:t>7</w:t>
      </w:r>
      <w:r w:rsidR="00ED15F3" w:rsidRPr="00ED15F3">
        <w:rPr>
          <w:i/>
          <w:sz w:val="22"/>
        </w:rPr>
        <w:t>.att.</w:t>
      </w:r>
      <w:r w:rsidR="00ED15F3">
        <w:rPr>
          <w:sz w:val="22"/>
        </w:rPr>
        <w:t xml:space="preserve"> </w:t>
      </w:r>
      <w:r w:rsidR="00ED15F3" w:rsidRPr="00ED15F3">
        <w:rPr>
          <w:b/>
          <w:sz w:val="22"/>
        </w:rPr>
        <w:t>Kopsavilkums par plānā iekļauto uzdevumu īstenošanai nepieciešamo valsts un pašvaldību budžeta finansējumu</w:t>
      </w:r>
    </w:p>
    <w:p w:rsidR="009037D7" w:rsidRPr="00DB0A53" w:rsidRDefault="009037D7" w:rsidP="00156C9F">
      <w:pPr>
        <w:jc w:val="center"/>
        <w:rPr>
          <w:b/>
          <w:sz w:val="16"/>
          <w:szCs w:val="16"/>
        </w:rPr>
      </w:pPr>
    </w:p>
    <w:p w:rsidR="0064732D" w:rsidRDefault="00E013BC" w:rsidP="00ED15F3">
      <w:pPr>
        <w:ind w:firstLine="709"/>
        <w:jc w:val="both"/>
        <w:rPr>
          <w:szCs w:val="24"/>
        </w:rPr>
      </w:pPr>
      <w:r>
        <w:rPr>
          <w:szCs w:val="24"/>
        </w:rPr>
        <w:t>J</w:t>
      </w:r>
      <w:r w:rsidR="00ED15F3" w:rsidRPr="00ED15F3">
        <w:rPr>
          <w:szCs w:val="24"/>
        </w:rPr>
        <w:t>āņem vērā, ka lielākā daļa polit</w:t>
      </w:r>
      <w:r w:rsidR="00D06283">
        <w:rPr>
          <w:szCs w:val="24"/>
        </w:rPr>
        <w:t>ikas plānošanas dokumentu 2014.</w:t>
      </w:r>
      <w:r w:rsidR="00ED15F3">
        <w:rPr>
          <w:szCs w:val="24"/>
        </w:rPr>
        <w:t>–</w:t>
      </w:r>
      <w:r w:rsidR="00ED15F3" w:rsidRPr="00ED15F3">
        <w:rPr>
          <w:szCs w:val="24"/>
        </w:rPr>
        <w:t>2020.gada periodam ir pieņemti vēl pirms jauno noteikumu spēkā stāšanās, līdz ar to veiktos uzlabojumus attīstības plānošanas un budžeta sasaistē var attiecināt tikai uz politikas plānošanas dokumentiem, kuri ir izstrādāti, sākot no 2015.gada.</w:t>
      </w:r>
    </w:p>
    <w:p w:rsidR="00A21C4B" w:rsidRPr="00A21C4B" w:rsidRDefault="00A21C4B" w:rsidP="007E3119">
      <w:pPr>
        <w:jc w:val="both"/>
        <w:rPr>
          <w:rFonts w:cs="Times New Roman"/>
        </w:rPr>
      </w:pPr>
    </w:p>
    <w:p w:rsidR="00781AF2" w:rsidRPr="00E462B4" w:rsidRDefault="00781AF2" w:rsidP="00FB4B60">
      <w:pPr>
        <w:pStyle w:val="Heading3"/>
        <w:numPr>
          <w:ilvl w:val="2"/>
          <w:numId w:val="3"/>
        </w:numPr>
        <w:rPr>
          <w:rFonts w:ascii="Times New Roman" w:hAnsi="Times New Roman" w:cs="Times New Roman"/>
          <w:b/>
          <w:color w:val="auto"/>
        </w:rPr>
      </w:pPr>
      <w:bookmarkStart w:id="6" w:name="_Toc443558716"/>
      <w:r w:rsidRPr="00E462B4">
        <w:rPr>
          <w:rFonts w:ascii="Times New Roman" w:hAnsi="Times New Roman" w:cs="Times New Roman"/>
          <w:b/>
          <w:color w:val="auto"/>
        </w:rPr>
        <w:t>NAP īstenošanas uzraudzība – finansējuma piešķiršana un rezultātu sasniegšana</w:t>
      </w:r>
      <w:bookmarkEnd w:id="6"/>
    </w:p>
    <w:p w:rsidR="00A21C4B" w:rsidRPr="00A21C4B" w:rsidRDefault="00A21C4B" w:rsidP="00A21C4B">
      <w:pPr>
        <w:pStyle w:val="ListParagraph"/>
        <w:ind w:left="1080"/>
        <w:jc w:val="both"/>
        <w:rPr>
          <w:rFonts w:cs="Times New Roman"/>
          <w:b/>
        </w:rPr>
      </w:pPr>
      <w:r w:rsidRPr="00A21C4B">
        <w:rPr>
          <w:rFonts w:cs="Times New Roman"/>
          <w:b/>
        </w:rPr>
        <w:t xml:space="preserve">  </w:t>
      </w:r>
    </w:p>
    <w:p w:rsidR="002C3168" w:rsidRDefault="002C3168" w:rsidP="002C3168">
      <w:pPr>
        <w:ind w:firstLine="709"/>
        <w:jc w:val="both"/>
        <w:rPr>
          <w:rFonts w:cs="Times New Roman"/>
        </w:rPr>
      </w:pPr>
      <w:r w:rsidRPr="0052262F">
        <w:rPr>
          <w:rFonts w:cs="Times New Roman"/>
        </w:rPr>
        <w:t xml:space="preserve">PKC uzrauga NAP īstenošanu un veic analīzi par NAP mērķu sasniegšanas pakāpi. Analīze ir vērsta uz </w:t>
      </w:r>
      <w:r>
        <w:rPr>
          <w:rFonts w:cs="Times New Roman"/>
        </w:rPr>
        <w:t xml:space="preserve">NAP īstenošanas </w:t>
      </w:r>
      <w:r w:rsidRPr="0052262F">
        <w:rPr>
          <w:rFonts w:cs="Times New Roman"/>
        </w:rPr>
        <w:t>risku apzināšanu un mazināšanu.</w:t>
      </w:r>
    </w:p>
    <w:p w:rsidR="002C3168" w:rsidRDefault="002C3168" w:rsidP="002C3168">
      <w:pPr>
        <w:ind w:firstLine="709"/>
        <w:jc w:val="both"/>
        <w:rPr>
          <w:rFonts w:cs="Times New Roman"/>
        </w:rPr>
      </w:pPr>
      <w:r w:rsidRPr="00AC47CC">
        <w:rPr>
          <w:rFonts w:cs="Times New Roman"/>
        </w:rPr>
        <w:t>Katru gadu tiek apkopota informācija par iepriekšējā gadā pieņemtajiem vidēja termiņa budžeta lēmumiem un to sasaisti ar NAP uzdevumiem.</w:t>
      </w:r>
    </w:p>
    <w:p w:rsidR="002C3168" w:rsidRDefault="002C3168" w:rsidP="002C3168">
      <w:pPr>
        <w:ind w:firstLine="709"/>
        <w:jc w:val="both"/>
        <w:rPr>
          <w:rFonts w:cs="Times New Roman"/>
        </w:rPr>
      </w:pPr>
      <w:r w:rsidRPr="00552098">
        <w:rPr>
          <w:rFonts w:cs="Times New Roman"/>
        </w:rPr>
        <w:t xml:space="preserve">Pēc budžeta paskaidrojumu saņemšanas no atbildīgajām iestādēm katru gadu janvārī </w:t>
      </w:r>
      <w:r>
        <w:rPr>
          <w:rFonts w:cs="Times New Roman"/>
        </w:rPr>
        <w:t>FM</w:t>
      </w:r>
      <w:r w:rsidRPr="00552098">
        <w:rPr>
          <w:rFonts w:cs="Times New Roman"/>
        </w:rPr>
        <w:t xml:space="preserve"> sniedz PKC informāciju par </w:t>
      </w:r>
      <w:r>
        <w:rPr>
          <w:rFonts w:cs="Times New Roman"/>
        </w:rPr>
        <w:t>JPI</w:t>
      </w:r>
      <w:r w:rsidRPr="00552098">
        <w:rPr>
          <w:rFonts w:cs="Times New Roman"/>
        </w:rPr>
        <w:t xml:space="preserve"> n, n+1 un n+2 gadiem. PKC </w:t>
      </w:r>
      <w:r w:rsidRPr="005304DF">
        <w:rPr>
          <w:rFonts w:cs="Times New Roman"/>
        </w:rPr>
        <w:t>saskaņo ar</w:t>
      </w:r>
      <w:r>
        <w:rPr>
          <w:rFonts w:cs="Times New Roman"/>
        </w:rPr>
        <w:t xml:space="preserve"> FM</w:t>
      </w:r>
      <w:r w:rsidRPr="00552098">
        <w:rPr>
          <w:rFonts w:cs="Times New Roman"/>
        </w:rPr>
        <w:t xml:space="preserve"> attiecināmību pret NAP uzdevumiem (jo ministrijas iesniedz </w:t>
      </w:r>
      <w:r w:rsidRPr="005304DF">
        <w:rPr>
          <w:rFonts w:cs="Times New Roman"/>
        </w:rPr>
        <w:t>informāciju par NAP</w:t>
      </w:r>
      <w:r>
        <w:rPr>
          <w:rFonts w:cs="Times New Roman"/>
        </w:rPr>
        <w:t xml:space="preserve"> rādītājiem</w:t>
      </w:r>
      <w:r w:rsidRPr="005304DF">
        <w:rPr>
          <w:rFonts w:cs="Times New Roman"/>
        </w:rPr>
        <w:t>, bet ne par uzdevumiem</w:t>
      </w:r>
      <w:r w:rsidRPr="00552098">
        <w:rPr>
          <w:rFonts w:cs="Times New Roman"/>
        </w:rPr>
        <w:t xml:space="preserve">). Tiek attiecinātas ne tikai </w:t>
      </w:r>
      <w:r>
        <w:rPr>
          <w:rFonts w:cs="Times New Roman"/>
        </w:rPr>
        <w:t>MK</w:t>
      </w:r>
      <w:r w:rsidRPr="00552098">
        <w:rPr>
          <w:rFonts w:cs="Times New Roman"/>
        </w:rPr>
        <w:t xml:space="preserve"> pieņemtās </w:t>
      </w:r>
      <w:r>
        <w:rPr>
          <w:rFonts w:cs="Times New Roman"/>
        </w:rPr>
        <w:t>JPI</w:t>
      </w:r>
      <w:r w:rsidRPr="00552098">
        <w:rPr>
          <w:rFonts w:cs="Times New Roman"/>
        </w:rPr>
        <w:t xml:space="preserve">, bet Saeimā </w:t>
      </w:r>
      <w:r>
        <w:rPr>
          <w:rFonts w:cs="Times New Roman"/>
        </w:rPr>
        <w:t>pieņemtie lēmumi</w:t>
      </w:r>
      <w:r w:rsidRPr="00552098">
        <w:rPr>
          <w:rFonts w:cs="Times New Roman"/>
        </w:rPr>
        <w:t>, ja tie ir vērsti uz N</w:t>
      </w:r>
      <w:r>
        <w:rPr>
          <w:rFonts w:cs="Times New Roman"/>
        </w:rPr>
        <w:t xml:space="preserve">AP rezultātu sasniegšanu. </w:t>
      </w:r>
      <w:r w:rsidRPr="005304DF">
        <w:rPr>
          <w:rFonts w:cs="Times New Roman"/>
        </w:rPr>
        <w:t xml:space="preserve">Papildus, </w:t>
      </w:r>
      <w:r>
        <w:rPr>
          <w:rFonts w:cs="Times New Roman"/>
        </w:rPr>
        <w:t>FM</w:t>
      </w:r>
      <w:r w:rsidRPr="005304DF">
        <w:rPr>
          <w:rFonts w:cs="Times New Roman"/>
        </w:rPr>
        <w:t xml:space="preserve"> nodrošina informāciju par nodokļu un minimālās mēneša darba algas izmaiņu ietekmi uz valsts budžeta ieņēmumiem.</w:t>
      </w:r>
    </w:p>
    <w:p w:rsidR="002C3168" w:rsidRPr="00A753F3" w:rsidRDefault="002C3168" w:rsidP="002C3168">
      <w:pPr>
        <w:ind w:firstLine="709"/>
        <w:jc w:val="both"/>
        <w:rPr>
          <w:rFonts w:cs="Times New Roman"/>
        </w:rPr>
      </w:pPr>
      <w:r w:rsidRPr="00A753F3">
        <w:rPr>
          <w:rFonts w:cs="Times New Roman"/>
        </w:rPr>
        <w:t xml:space="preserve">Attiecībā uz budžetu, PKC eksperti analizē piešķirto finansējumu NAP uzdevumu līmenī, lai izdarītu secinājumus par to, cik līdzsvarots bijis reālais budžeta piešķīrums, kāds ir ieguldījumu apmērs, kā arī, vai </w:t>
      </w:r>
      <w:r>
        <w:rPr>
          <w:rFonts w:cs="Times New Roman"/>
        </w:rPr>
        <w:t xml:space="preserve">pieņemtie </w:t>
      </w:r>
      <w:r w:rsidRPr="00A753F3">
        <w:rPr>
          <w:rFonts w:cs="Times New Roman"/>
        </w:rPr>
        <w:t xml:space="preserve">lēmumi gadu gaitā ir vērsti uz NAP mērķu un rezultātu sasniegšanu, īpaši gadījumos, kad konstatēts vājš vai nepietiekams sniegums. </w:t>
      </w:r>
    </w:p>
    <w:p w:rsidR="002C3168" w:rsidRDefault="002C3168" w:rsidP="002C3168">
      <w:pPr>
        <w:ind w:firstLine="709"/>
        <w:jc w:val="both"/>
        <w:rPr>
          <w:rFonts w:cs="Times New Roman"/>
        </w:rPr>
      </w:pPr>
      <w:r>
        <w:rPr>
          <w:rFonts w:cs="Times New Roman"/>
        </w:rPr>
        <w:t>2013.</w:t>
      </w:r>
      <w:r w:rsidRPr="00AC097F">
        <w:rPr>
          <w:rFonts w:cs="Times New Roman"/>
        </w:rPr>
        <w:t xml:space="preserve">gadā PKC izmantoja veikto analīzi, lai vērstu atbildīgo institūciju uzmanību uz NAP </w:t>
      </w:r>
      <w:r w:rsidRPr="003F2CA5">
        <w:rPr>
          <w:rFonts w:cs="Times New Roman"/>
        </w:rPr>
        <w:t>indikatīvajām</w:t>
      </w:r>
      <w:r w:rsidRPr="00AC097F">
        <w:rPr>
          <w:rFonts w:cs="Times New Roman"/>
        </w:rPr>
        <w:t xml:space="preserve"> darbībām, kuras nav īstenotas. Tā, piemēram, Labklājības ministrija tika aicināta </w:t>
      </w:r>
      <w:r>
        <w:rPr>
          <w:rFonts w:cs="Times New Roman"/>
        </w:rPr>
        <w:t>ie</w:t>
      </w:r>
      <w:r w:rsidRPr="00AC097F">
        <w:rPr>
          <w:rFonts w:cs="Times New Roman"/>
        </w:rPr>
        <w:t xml:space="preserve">sniegt </w:t>
      </w:r>
      <w:r>
        <w:rPr>
          <w:rFonts w:cs="Times New Roman"/>
        </w:rPr>
        <w:t>MK</w:t>
      </w:r>
      <w:r w:rsidRPr="00AC097F">
        <w:rPr>
          <w:rFonts w:cs="Times New Roman"/>
        </w:rPr>
        <w:t xml:space="preserve"> JPI </w:t>
      </w:r>
      <w:r>
        <w:rPr>
          <w:rFonts w:cs="Times New Roman"/>
        </w:rPr>
        <w:t xml:space="preserve">finansējuma pieprasījumu </w:t>
      </w:r>
      <w:r w:rsidRPr="00AC097F">
        <w:rPr>
          <w:rFonts w:cs="Times New Roman"/>
        </w:rPr>
        <w:t xml:space="preserve">attiecībā uz vardarbības risku mazināšanu, ko Labklājības ministrija arī </w:t>
      </w:r>
      <w:r>
        <w:rPr>
          <w:rFonts w:cs="Times New Roman"/>
        </w:rPr>
        <w:t>ņēma vērā 2014.gada JPI procesā.</w:t>
      </w:r>
    </w:p>
    <w:p w:rsidR="002C3168" w:rsidRPr="008B50E7" w:rsidRDefault="002C3168" w:rsidP="002C3168">
      <w:pPr>
        <w:ind w:firstLine="709"/>
        <w:jc w:val="both"/>
        <w:rPr>
          <w:rFonts w:cs="Times New Roman"/>
        </w:rPr>
      </w:pPr>
      <w:r w:rsidRPr="008B50E7">
        <w:rPr>
          <w:rFonts w:cs="Times New Roman"/>
        </w:rPr>
        <w:t xml:space="preserve">Diskusijas par NAP rezultātiem un to sasaisti ar </w:t>
      </w:r>
      <w:r>
        <w:rPr>
          <w:rFonts w:cs="Times New Roman"/>
        </w:rPr>
        <w:t>budžetu notiek vairākos forumos, tajā skaitā:</w:t>
      </w:r>
    </w:p>
    <w:p w:rsidR="002C3168" w:rsidRPr="00DB0A53" w:rsidRDefault="002C3168" w:rsidP="00FB4B60">
      <w:pPr>
        <w:pStyle w:val="ListParagraph"/>
        <w:numPr>
          <w:ilvl w:val="0"/>
          <w:numId w:val="25"/>
        </w:numPr>
        <w:ind w:left="426" w:hanging="426"/>
        <w:jc w:val="both"/>
        <w:rPr>
          <w:rFonts w:cs="Times New Roman"/>
        </w:rPr>
      </w:pPr>
      <w:r w:rsidRPr="00DB0A53">
        <w:rPr>
          <w:rFonts w:cs="Times New Roman"/>
          <w:i/>
          <w:u w:val="single"/>
        </w:rPr>
        <w:t>Saeimas debates par NAP</w:t>
      </w:r>
      <w:r w:rsidRPr="00DB0A53">
        <w:rPr>
          <w:rFonts w:cs="Times New Roman"/>
          <w:u w:val="single"/>
        </w:rPr>
        <w:t>.</w:t>
      </w:r>
      <w:r w:rsidRPr="00DB0A53">
        <w:rPr>
          <w:rFonts w:cs="Times New Roman"/>
        </w:rPr>
        <w:t xml:space="preserve"> Ministru prezidents reizi 2 gados iesniedz izskatīšanai Saeimā vienotu ziņojumu par NAP, Latvijas ilgtspējīgas attīstības stratēģijas īstenošanu un valdības paveikto. Tas ļauj izvērtēt attīstības plānošanas dokumentu īstenošanas gaitu gan mērķu, gan uzdevumu līmenī, kā arī kalpo par pamatu iespējamiem grozījumiem tajos, ja pārskata periodā notikušo pārmaiņu valstī un ārējā vidē un esošās situācijas izvērtējuma rezultātā ir pamatoti argumenti šādu grozījumu veikšanai. </w:t>
      </w:r>
    </w:p>
    <w:p w:rsidR="00DB0A53" w:rsidRDefault="002C3168" w:rsidP="00FB4B60">
      <w:pPr>
        <w:pStyle w:val="ListParagraph"/>
        <w:numPr>
          <w:ilvl w:val="0"/>
          <w:numId w:val="8"/>
        </w:numPr>
        <w:ind w:left="426" w:hanging="426"/>
        <w:jc w:val="both"/>
        <w:rPr>
          <w:rFonts w:cs="Times New Roman"/>
        </w:rPr>
      </w:pPr>
      <w:r w:rsidRPr="00A21C4B">
        <w:rPr>
          <w:rFonts w:cs="Times New Roman"/>
          <w:i/>
          <w:u w:val="single"/>
        </w:rPr>
        <w:t>Nacionālā attīstības padome</w:t>
      </w:r>
      <w:r w:rsidRPr="005B2ADF">
        <w:rPr>
          <w:rFonts w:cs="Times New Roman"/>
          <w:u w:val="single"/>
        </w:rPr>
        <w:t>.</w:t>
      </w:r>
      <w:r w:rsidRPr="005B2ADF">
        <w:rPr>
          <w:rFonts w:cs="Times New Roman"/>
        </w:rPr>
        <w:t xml:space="preserve">  Tā ir Ministru prezidenta izveidota koleģiāla koordinējoša institūcija, kas </w:t>
      </w:r>
      <w:r w:rsidRPr="005B2ADF">
        <w:rPr>
          <w:rFonts w:cs="Times New Roman"/>
          <w:shd w:val="clear" w:color="auto" w:fill="FFFFFF"/>
        </w:rPr>
        <w:t>nodrošina valsts ilgtermiņa attīstības plānošanu un novērtēšanu,</w:t>
      </w:r>
      <w:r w:rsidRPr="005B2ADF">
        <w:rPr>
          <w:rFonts w:cs="Times New Roman"/>
        </w:rPr>
        <w:t xml:space="preserve"> veicina </w:t>
      </w:r>
      <w:r w:rsidRPr="005B2ADF">
        <w:rPr>
          <w:rFonts w:cs="Times New Roman"/>
        </w:rPr>
        <w:lastRenderedPageBreak/>
        <w:t>attīstības plānošanas sasaisti ar finanšu plānošanu, sniedzot ieteikumus par prioritārajiem virzieniem valsts budžeta attīstības daļas vidēja termiņa plānošanā. Padomes sastāvā ir nozaru ministri, darba devēji, darba ņēmēji, zinātnes, pašvaldību, valsts prezidenta un Saeimas Ilgtspējīgas attīstības komisijas pārstāvji. 2015.gadā Nacionālā attīstības padome tikās četras reizes.</w:t>
      </w:r>
    </w:p>
    <w:p w:rsidR="002C3168" w:rsidRPr="00DB0A53" w:rsidRDefault="002C3168" w:rsidP="00FB4B60">
      <w:pPr>
        <w:pStyle w:val="ListParagraph"/>
        <w:numPr>
          <w:ilvl w:val="0"/>
          <w:numId w:val="8"/>
        </w:numPr>
        <w:ind w:left="426" w:hanging="426"/>
        <w:jc w:val="both"/>
        <w:rPr>
          <w:rFonts w:cs="Times New Roman"/>
        </w:rPr>
      </w:pPr>
      <w:r w:rsidRPr="00DB0A53">
        <w:rPr>
          <w:rFonts w:cs="Times New Roman"/>
          <w:i/>
          <w:u w:val="single"/>
        </w:rPr>
        <w:t>Saeimas komisijas un konferences.</w:t>
      </w:r>
      <w:r w:rsidRPr="00DB0A53">
        <w:rPr>
          <w:rFonts w:cs="Times New Roman"/>
        </w:rPr>
        <w:t xml:space="preserve"> Piemēram, 2015.gada janvārī Saeima rīkoja konferenci par demogrāfiju, skatot PKC veikto NAP rezultatīvo rādītāju analīzi un pasūtīto pētījumu “Tautas ataudzi ietekmējošo faktoru izpēti”. </w:t>
      </w:r>
    </w:p>
    <w:p w:rsidR="0064732D" w:rsidRPr="00A21C4B" w:rsidRDefault="00A21C4B" w:rsidP="002C3168">
      <w:pPr>
        <w:pStyle w:val="ListParagraph"/>
        <w:jc w:val="both"/>
        <w:rPr>
          <w:rFonts w:cs="Times New Roman"/>
        </w:rPr>
      </w:pPr>
      <w:r w:rsidRPr="001E4AB4">
        <w:rPr>
          <w:rFonts w:cs="Times New Roman"/>
        </w:rPr>
        <w:t xml:space="preserve"> </w:t>
      </w:r>
    </w:p>
    <w:p w:rsidR="00434133" w:rsidRDefault="00434133" w:rsidP="00FB4B60">
      <w:pPr>
        <w:pStyle w:val="Heading2"/>
        <w:numPr>
          <w:ilvl w:val="1"/>
          <w:numId w:val="3"/>
        </w:numPr>
        <w:rPr>
          <w:rFonts w:ascii="Times New Roman" w:hAnsi="Times New Roman" w:cs="Times New Roman"/>
          <w:b/>
          <w:color w:val="auto"/>
          <w:sz w:val="24"/>
          <w:szCs w:val="24"/>
        </w:rPr>
      </w:pPr>
      <w:bookmarkStart w:id="7" w:name="_Toc443558717"/>
      <w:r w:rsidRPr="006742EE">
        <w:rPr>
          <w:rFonts w:ascii="Times New Roman" w:hAnsi="Times New Roman" w:cs="Times New Roman"/>
          <w:b/>
          <w:color w:val="auto"/>
          <w:sz w:val="24"/>
          <w:szCs w:val="24"/>
        </w:rPr>
        <w:t>Budžeta dokumentācijā ietvertie mērķi un rezultāti</w:t>
      </w:r>
      <w:bookmarkEnd w:id="7"/>
    </w:p>
    <w:p w:rsidR="00903D65" w:rsidRDefault="00903D65" w:rsidP="00903D65"/>
    <w:p w:rsidR="00434133" w:rsidRDefault="00903D65" w:rsidP="00903D65">
      <w:pPr>
        <w:ind w:firstLine="709"/>
        <w:jc w:val="both"/>
        <w:rPr>
          <w:sz w:val="16"/>
          <w:szCs w:val="16"/>
        </w:rPr>
      </w:pPr>
      <w:r w:rsidRPr="00903D65">
        <w:t>Definējot budžeta programmām gan mērķus, gan šo mērķu sasniegšanas pakāpi raksturojošos rezultatīvos rādītājus ir jāievēro rezultatīvo rādītāju sistēmas p</w:t>
      </w:r>
      <w:r>
        <w:t xml:space="preserve">amatprincipi – skatīt </w:t>
      </w:r>
      <w:r w:rsidR="00032F6F">
        <w:t>8</w:t>
      </w:r>
      <w:r>
        <w:t>.attēlu.</w:t>
      </w:r>
    </w:p>
    <w:p w:rsidR="00DB0A53" w:rsidRPr="00DB0A53" w:rsidRDefault="00DB0A53" w:rsidP="00903D65">
      <w:pPr>
        <w:ind w:firstLine="709"/>
        <w:jc w:val="both"/>
        <w:rPr>
          <w:sz w:val="16"/>
          <w:szCs w:val="16"/>
        </w:rPr>
      </w:pPr>
    </w:p>
    <w:p w:rsidR="00DA3085" w:rsidRDefault="007427DB" w:rsidP="0070309D">
      <w:pPr>
        <w:jc w:val="center"/>
      </w:pPr>
      <w:r>
        <w:rPr>
          <w:noProof/>
          <w:lang w:eastAsia="lv-LV"/>
        </w:rPr>
        <w:drawing>
          <wp:inline distT="0" distB="0" distL="0" distR="0" wp14:anchorId="027A4F52" wp14:editId="2941B0DE">
            <wp:extent cx="5917565" cy="3599079"/>
            <wp:effectExtent l="0" t="0" r="698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_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93132" cy="3645039"/>
                    </a:xfrm>
                    <a:prstGeom prst="rect">
                      <a:avLst/>
                    </a:prstGeom>
                  </pic:spPr>
                </pic:pic>
              </a:graphicData>
            </a:graphic>
          </wp:inline>
        </w:drawing>
      </w:r>
    </w:p>
    <w:p w:rsidR="00DB0A53" w:rsidRDefault="00032F6F" w:rsidP="00DB0A53">
      <w:pPr>
        <w:jc w:val="center"/>
        <w:rPr>
          <w:b/>
          <w:sz w:val="22"/>
        </w:rPr>
      </w:pPr>
      <w:r>
        <w:rPr>
          <w:sz w:val="22"/>
        </w:rPr>
        <w:t>8</w:t>
      </w:r>
      <w:r w:rsidR="00DA3085">
        <w:rPr>
          <w:sz w:val="22"/>
        </w:rPr>
        <w:t>.</w:t>
      </w:r>
      <w:r w:rsidR="00DA3085" w:rsidRPr="00DA3085">
        <w:rPr>
          <w:i/>
          <w:sz w:val="22"/>
        </w:rPr>
        <w:t>att.</w:t>
      </w:r>
      <w:r w:rsidR="00DA3085">
        <w:rPr>
          <w:sz w:val="22"/>
        </w:rPr>
        <w:t xml:space="preserve"> </w:t>
      </w:r>
      <w:r w:rsidR="00903D65">
        <w:rPr>
          <w:b/>
          <w:sz w:val="22"/>
        </w:rPr>
        <w:t>R</w:t>
      </w:r>
      <w:r w:rsidR="00903D65" w:rsidRPr="00DA3085">
        <w:rPr>
          <w:b/>
          <w:sz w:val="22"/>
        </w:rPr>
        <w:t xml:space="preserve">ezultātu un rezultatīvo rādītāju </w:t>
      </w:r>
      <w:r w:rsidR="00903D65">
        <w:rPr>
          <w:b/>
          <w:sz w:val="22"/>
        </w:rPr>
        <w:t>uzbūves koncepts</w:t>
      </w:r>
      <w:r w:rsidR="00903D65">
        <w:rPr>
          <w:rStyle w:val="FootnoteReference"/>
          <w:b/>
          <w:sz w:val="22"/>
        </w:rPr>
        <w:footnoteReference w:id="2"/>
      </w:r>
    </w:p>
    <w:p w:rsidR="00583240" w:rsidRDefault="00583240" w:rsidP="00DB0A53">
      <w:pPr>
        <w:jc w:val="center"/>
        <w:rPr>
          <w:b/>
          <w:sz w:val="22"/>
        </w:rPr>
      </w:pPr>
    </w:p>
    <w:p w:rsidR="00E236AD" w:rsidRPr="00903D65" w:rsidRDefault="00903D65" w:rsidP="00903D65">
      <w:pPr>
        <w:ind w:firstLine="709"/>
        <w:jc w:val="both"/>
      </w:pPr>
      <w:r w:rsidRPr="00903D65">
        <w:t>Valsts budžeta finansētajām aktivitātēm ir jābūt vērstām uz darbības rezultātu sasniegšanu, savukārt, sasniedzot iecerētos darbības rezultātus, tiek ietekmēts politikas rezultāts. Ietekmējot politikas rezultātu vēlamajā virzienā, tiek noteiktā laika periodā sasniegti nospraustie mērķi. Šī savstarpējā mijiedarbība ir neatņemama sistēmas sastāvdaļa. Lai analizētu un pieņemtu racionāli izsvērtus lēmumus par publisko finanšu vadību, primāri ir nepieciešams definēt kvalitatīvu</w:t>
      </w:r>
      <w:r w:rsidR="00E976CB">
        <w:t>s</w:t>
      </w:r>
      <w:r w:rsidRPr="00903D65">
        <w:t xml:space="preserve"> mērķus un tiem atbilstošus rezultatīvu rādītājus (gan politikas līmenī, gan darbības līmenī). Tikai ar pilnvērtīgi definētiem mērķiem un atbilstošiem rezultatīvajiem rādītājiem ir iespējama ieguldītā finansējuma produktivitātes un efektivitātes mērīšana. Darbības rezultāti ir tilts starp augsta un zema līmeņa rezultātiem.</w:t>
      </w:r>
    </w:p>
    <w:p w:rsidR="00903D65" w:rsidRDefault="00903D65" w:rsidP="00903D65">
      <w:pPr>
        <w:ind w:firstLine="709"/>
        <w:jc w:val="both"/>
      </w:pPr>
      <w:r>
        <w:t>Mērķis tiek definēts par pamatu ņemot politikas rezultātus un darbības rezultātus, pārformulējot tos</w:t>
      </w:r>
      <w:r w:rsidRPr="00853C65">
        <w:t xml:space="preserve"> par </w:t>
      </w:r>
      <w:r>
        <w:t>pozitīviem</w:t>
      </w:r>
      <w:r w:rsidRPr="00853C65">
        <w:t xml:space="preserve"> </w:t>
      </w:r>
      <w:r>
        <w:t>paziņojumiem</w:t>
      </w:r>
      <w:r w:rsidRPr="00853C65">
        <w:t xml:space="preserve">, </w:t>
      </w:r>
      <w:r>
        <w:t xml:space="preserve">kuros noteikta esošā situācija, </w:t>
      </w:r>
      <w:r w:rsidRPr="00853C65">
        <w:t>identificēt</w:t>
      </w:r>
      <w:r>
        <w:t>s</w:t>
      </w:r>
      <w:r w:rsidRPr="00853C65">
        <w:t xml:space="preserve"> </w:t>
      </w:r>
      <w:r>
        <w:t>virziens un sasniedzamais rezultāts, p</w:t>
      </w:r>
      <w:r w:rsidRPr="00853C65">
        <w:t>iemēram,</w:t>
      </w:r>
    </w:p>
    <w:p w:rsidR="00903D65" w:rsidRDefault="00903D65" w:rsidP="00FB4B60">
      <w:pPr>
        <w:pStyle w:val="ListParagraph"/>
        <w:numPr>
          <w:ilvl w:val="0"/>
          <w:numId w:val="23"/>
        </w:numPr>
        <w:jc w:val="both"/>
      </w:pPr>
      <w:r>
        <w:lastRenderedPageBreak/>
        <w:t>laika periodā no 2008.gada līdz 2010.gadam palielināt pieejamību uztura atbalsta programmai nabadzīgajiem iedzīvotājiem no 35% uz 40%</w:t>
      </w:r>
      <w:r w:rsidRPr="00853C65">
        <w:t>.</w:t>
      </w:r>
    </w:p>
    <w:p w:rsidR="00903D65" w:rsidRDefault="00903D65" w:rsidP="00A37B90">
      <w:pPr>
        <w:ind w:firstLine="709"/>
        <w:jc w:val="both"/>
      </w:pPr>
      <w:r>
        <w:t>K</w:t>
      </w:r>
      <w:r w:rsidRPr="001B7199">
        <w:t xml:space="preserve">atrs mērķis </w:t>
      </w:r>
      <w:r>
        <w:t xml:space="preserve">ir </w:t>
      </w:r>
      <w:r w:rsidRPr="001B7199">
        <w:t>jāp</w:t>
      </w:r>
      <w:r>
        <w:t xml:space="preserve">apildina ar sniegumu indikatoru – </w:t>
      </w:r>
      <w:r w:rsidRPr="001B7199">
        <w:t>kvantitatīv</w:t>
      </w:r>
      <w:r>
        <w:t>u</w:t>
      </w:r>
      <w:r w:rsidRPr="001B7199">
        <w:t xml:space="preserve"> vai kvalitatīv</w:t>
      </w:r>
      <w:r>
        <w:t>u,</w:t>
      </w:r>
      <w:r w:rsidRPr="001B7199">
        <w:t xml:space="preserve"> kas </w:t>
      </w:r>
      <w:r>
        <w:t>ļautu</w:t>
      </w:r>
      <w:r w:rsidRPr="001B7199">
        <w:t xml:space="preserve"> novērtēt virzību uz noteikt</w:t>
      </w:r>
      <w:r>
        <w:t>o</w:t>
      </w:r>
      <w:r w:rsidRPr="001B7199">
        <w:t xml:space="preserve"> mērķi</w:t>
      </w:r>
      <w:r>
        <w:t>.</w:t>
      </w:r>
      <w:r w:rsidRPr="001B7199">
        <w:t xml:space="preserve"> Darbības rādītāji</w:t>
      </w:r>
      <w:r>
        <w:t>em</w:t>
      </w:r>
      <w:r w:rsidRPr="001B7199">
        <w:t xml:space="preserve"> </w:t>
      </w:r>
      <w:r>
        <w:t>jāatspoguļo</w:t>
      </w:r>
      <w:r w:rsidRPr="001B7199">
        <w:t xml:space="preserve"> izmaiņas</w:t>
      </w:r>
      <w:r>
        <w:t>.</w:t>
      </w:r>
      <w:r w:rsidRPr="001B7199">
        <w:t xml:space="preserve"> </w:t>
      </w:r>
    </w:p>
    <w:p w:rsidR="00903D65" w:rsidRPr="00435B42" w:rsidRDefault="00903D65" w:rsidP="00903D65">
      <w:pPr>
        <w:ind w:firstLine="709"/>
        <w:jc w:val="both"/>
      </w:pPr>
      <w:r>
        <w:t>Ievērojot starptautiski pieņemtās atziņas, s</w:t>
      </w:r>
      <w:r w:rsidRPr="006742EE">
        <w:t xml:space="preserve">askaņā ar MK instrukcijas Nr.16 9.punktu vienai valsts budžeta programmai (apakšprogrammai) </w:t>
      </w:r>
      <w:r w:rsidRPr="00435B42">
        <w:rPr>
          <w:i/>
        </w:rPr>
        <w:t>definē tikai vienu mērķi</w:t>
      </w:r>
      <w:r w:rsidRPr="00435B42">
        <w:t>. Vienlaikus atbilstoši 10.punktam valsts budžeta programmas (apakšprogrammas) mērķim ir jāatbilst šādiem kritērijiem:</w:t>
      </w:r>
    </w:p>
    <w:p w:rsidR="00903D65" w:rsidRPr="00435B42" w:rsidRDefault="00903D65" w:rsidP="00FB4B60">
      <w:pPr>
        <w:pStyle w:val="ListParagraph"/>
        <w:numPr>
          <w:ilvl w:val="0"/>
          <w:numId w:val="1"/>
        </w:numPr>
        <w:jc w:val="both"/>
      </w:pPr>
      <w:r w:rsidRPr="00435B42">
        <w:t>orientēts uz konkrētu, mērāmu un sasniedzamu rezultātu;</w:t>
      </w:r>
    </w:p>
    <w:p w:rsidR="00903D65" w:rsidRPr="00435B42" w:rsidRDefault="00903D65" w:rsidP="00FB4B60">
      <w:pPr>
        <w:pStyle w:val="ListParagraph"/>
        <w:numPr>
          <w:ilvl w:val="0"/>
          <w:numId w:val="1"/>
        </w:numPr>
        <w:jc w:val="both"/>
      </w:pPr>
      <w:r w:rsidRPr="00435B42">
        <w:t>saskaņots ar politikas mērķi;</w:t>
      </w:r>
    </w:p>
    <w:p w:rsidR="00903D65" w:rsidRPr="00491F7A" w:rsidRDefault="00903D65" w:rsidP="00FB4B60">
      <w:pPr>
        <w:pStyle w:val="ListParagraph"/>
        <w:numPr>
          <w:ilvl w:val="0"/>
          <w:numId w:val="1"/>
        </w:numPr>
        <w:jc w:val="both"/>
      </w:pPr>
      <w:r w:rsidRPr="00435B42">
        <w:t>sasniedzams noteiktā laika periodā.</w:t>
      </w:r>
    </w:p>
    <w:p w:rsidR="00903D65" w:rsidRDefault="00903D65" w:rsidP="00903D65">
      <w:pPr>
        <w:ind w:firstLine="709"/>
        <w:jc w:val="both"/>
        <w:rPr>
          <w:szCs w:val="24"/>
        </w:rPr>
      </w:pPr>
      <w:r w:rsidRPr="00CB1885">
        <w:rPr>
          <w:szCs w:val="24"/>
        </w:rPr>
        <w:t xml:space="preserve">Atbilstoši </w:t>
      </w:r>
      <w:r>
        <w:rPr>
          <w:szCs w:val="24"/>
        </w:rPr>
        <w:t>MK</w:t>
      </w:r>
      <w:r w:rsidRPr="00CB1885">
        <w:rPr>
          <w:szCs w:val="24"/>
        </w:rPr>
        <w:t xml:space="preserve"> noteikumu Nr.523 45.punktā noteikt</w:t>
      </w:r>
      <w:r>
        <w:rPr>
          <w:szCs w:val="24"/>
        </w:rPr>
        <w:t>ajam,</w:t>
      </w:r>
      <w:r w:rsidRPr="00CB1885">
        <w:rPr>
          <w:szCs w:val="24"/>
        </w:rPr>
        <w:t xml:space="preserve"> </w:t>
      </w:r>
      <w:r>
        <w:rPr>
          <w:szCs w:val="24"/>
        </w:rPr>
        <w:t>FM</w:t>
      </w:r>
      <w:r w:rsidRPr="00CB1885">
        <w:rPr>
          <w:szCs w:val="24"/>
        </w:rPr>
        <w:t xml:space="preserve"> sadarbībā ar pārējām ministrijām </w:t>
      </w:r>
      <w:r>
        <w:rPr>
          <w:szCs w:val="24"/>
        </w:rPr>
        <w:t>2</w:t>
      </w:r>
      <w:r w:rsidRPr="00CB1885">
        <w:rPr>
          <w:szCs w:val="24"/>
        </w:rPr>
        <w:t xml:space="preserve"> mēnešu laikā pēc likuma “Par valsts budžetu 2016.gadam” izsludināšanas nodrošin</w:t>
      </w:r>
      <w:r>
        <w:rPr>
          <w:szCs w:val="24"/>
        </w:rPr>
        <w:t>a</w:t>
      </w:r>
      <w:r w:rsidRPr="00CB1885">
        <w:rPr>
          <w:szCs w:val="24"/>
        </w:rPr>
        <w:t xml:space="preserve"> detalizētu valsts budžeta likuma paskaidrojumu sagatavošanu un publicēšanu </w:t>
      </w:r>
      <w:r>
        <w:rPr>
          <w:szCs w:val="24"/>
        </w:rPr>
        <w:t>FM</w:t>
      </w:r>
      <w:r w:rsidRPr="00CB1885">
        <w:rPr>
          <w:szCs w:val="24"/>
        </w:rPr>
        <w:t xml:space="preserve"> tīmekļa vietnē.</w:t>
      </w:r>
      <w:r>
        <w:rPr>
          <w:szCs w:val="24"/>
        </w:rPr>
        <w:t xml:space="preserve"> </w:t>
      </w:r>
    </w:p>
    <w:p w:rsidR="00903D65" w:rsidRPr="00EE2F3B" w:rsidRDefault="00903D65" w:rsidP="00903D65">
      <w:pPr>
        <w:ind w:firstLine="709"/>
        <w:jc w:val="both"/>
      </w:pPr>
      <w:r>
        <w:rPr>
          <w:szCs w:val="24"/>
        </w:rPr>
        <w:t>FM</w:t>
      </w:r>
      <w:r w:rsidRPr="006742EE">
        <w:rPr>
          <w:szCs w:val="24"/>
        </w:rPr>
        <w:t xml:space="preserve">, analizējot ministriju </w:t>
      </w:r>
      <w:r>
        <w:rPr>
          <w:szCs w:val="24"/>
        </w:rPr>
        <w:t>2015.gadā</w:t>
      </w:r>
      <w:r w:rsidRPr="006742EE">
        <w:rPr>
          <w:szCs w:val="24"/>
        </w:rPr>
        <w:t xml:space="preserve"> iesniegtos valsts budžeta likuma paskaidrojumus</w:t>
      </w:r>
      <w:r w:rsidR="00A37B90">
        <w:rPr>
          <w:rStyle w:val="FootnoteReference"/>
          <w:szCs w:val="24"/>
        </w:rPr>
        <w:footnoteReference w:id="3"/>
      </w:r>
      <w:r w:rsidRPr="006742EE">
        <w:rPr>
          <w:szCs w:val="24"/>
        </w:rPr>
        <w:t>, atsevišķos gadījumos ir konstatējusi programmu (apakšprogrammu) mērķu, darbības rezultātu un rezultatīvo rādītāju definēšanas neatbilstību normatīvajos aktos noteiktajām prasībām</w:t>
      </w:r>
      <w:r>
        <w:rPr>
          <w:szCs w:val="24"/>
        </w:rPr>
        <w:t>, kas apgrūtina rezultatīvo rādītāju sistēmas priekšrocību izmantošanu budžeta izstrādes procesā</w:t>
      </w:r>
    </w:p>
    <w:p w:rsidR="00903D65" w:rsidRDefault="00903D65" w:rsidP="00903D65">
      <w:pPr>
        <w:jc w:val="both"/>
      </w:pPr>
      <w:r>
        <w:tab/>
        <w:t>Analizējot ministriju budžeta programmu (apakšprogrammu) mērķus, FM ņēma vērā MK instrukcijas Nr.19 10.punktā noteiktos kritērijus un izmantoja šādus vērtējumus</w:t>
      </w:r>
      <w:r w:rsidR="00A37B90">
        <w:rPr>
          <w:rStyle w:val="FootnoteReference"/>
        </w:rPr>
        <w:footnoteReference w:id="4"/>
      </w:r>
      <w:r>
        <w:t>:</w:t>
      </w:r>
    </w:p>
    <w:p w:rsidR="00903D65" w:rsidRDefault="00903D65" w:rsidP="00903D65">
      <w:pPr>
        <w:ind w:firstLine="720"/>
        <w:jc w:val="both"/>
      </w:pPr>
      <w:r w:rsidRPr="00A86E93">
        <w:rPr>
          <w:b/>
        </w:rPr>
        <w:t>A</w:t>
      </w:r>
      <w:r>
        <w:rPr>
          <w:b/>
        </w:rPr>
        <w:t xml:space="preserve"> </w:t>
      </w:r>
      <w:r w:rsidRPr="00A86E93">
        <w:t>–</w:t>
      </w:r>
      <w:r>
        <w:rPr>
          <w:b/>
        </w:rPr>
        <w:t xml:space="preserve"> </w:t>
      </w:r>
      <w:r>
        <w:t>mērķis formulēts atbilstoši noteiktajiem kritērijiem;</w:t>
      </w:r>
    </w:p>
    <w:p w:rsidR="00903D65" w:rsidRPr="002601B9" w:rsidRDefault="00903D65" w:rsidP="00903D65">
      <w:pPr>
        <w:ind w:firstLine="720"/>
        <w:jc w:val="both"/>
      </w:pPr>
      <w:r w:rsidRPr="00FF08AF">
        <w:rPr>
          <w:b/>
        </w:rPr>
        <w:t>B</w:t>
      </w:r>
      <w:r>
        <w:t xml:space="preserve"> – mērķa formulējums neatbilst vienam vai vairākiem kritērijiem.</w:t>
      </w:r>
    </w:p>
    <w:p w:rsidR="00B334F8" w:rsidRDefault="00903D65" w:rsidP="00B334F8">
      <w:pPr>
        <w:ind w:firstLine="709"/>
        <w:jc w:val="both"/>
        <w:rPr>
          <w:szCs w:val="24"/>
        </w:rPr>
      </w:pPr>
      <w:r>
        <w:rPr>
          <w:szCs w:val="24"/>
        </w:rPr>
        <w:t>Indikatīvais vērtējums parādīja, ka no ministriju (t.sk., arī neatkarīgo institūciju) 299 budžeta programmām definētajiem mērķiem, 40% gadījumu mērķis formulēts atbilstoši normatīvo aktu prasībām, bet 60% gadījumu mērķu formulējumi</w:t>
      </w:r>
      <w:r w:rsidRPr="00145D52">
        <w:rPr>
          <w:szCs w:val="24"/>
        </w:rPr>
        <w:t xml:space="preserve"> </w:t>
      </w:r>
      <w:r>
        <w:rPr>
          <w:szCs w:val="24"/>
        </w:rPr>
        <w:t xml:space="preserve">neatbilst noteiktajiem kritērijiem. Budžeta programmas ar korekti definētiem mērķiem veido finansējumu 1 927 milj. </w:t>
      </w:r>
      <w:r w:rsidRPr="00695E10">
        <w:rPr>
          <w:i/>
          <w:szCs w:val="24"/>
        </w:rPr>
        <w:t>euro</w:t>
      </w:r>
      <w:r>
        <w:rPr>
          <w:szCs w:val="24"/>
        </w:rPr>
        <w:t xml:space="preserve"> apmērā, taču programmas ar neatbilstoši definētiem mērķiem  veido izdevumus 2 352 milj. </w:t>
      </w:r>
      <w:r w:rsidRPr="00695E10">
        <w:rPr>
          <w:i/>
          <w:szCs w:val="24"/>
        </w:rPr>
        <w:t>euro</w:t>
      </w:r>
      <w:r>
        <w:rPr>
          <w:szCs w:val="24"/>
        </w:rPr>
        <w:t xml:space="preserve"> apmērā.</w:t>
      </w:r>
    </w:p>
    <w:p w:rsidR="00903D65" w:rsidRDefault="00903D65" w:rsidP="00B334F8">
      <w:pPr>
        <w:ind w:firstLine="709"/>
        <w:jc w:val="both"/>
        <w:rPr>
          <w:szCs w:val="24"/>
        </w:rPr>
      </w:pPr>
      <w:r>
        <w:rPr>
          <w:szCs w:val="24"/>
        </w:rPr>
        <w:t>Analizējot ministriju budžeta programmu mērķus kopsakarīgi jāanalizē arī budžeta programmai definētie rezultāti un rezultatīvie rādītāji (skatīt iepriekš minēto par sistēmas darbības pamatprincipiem).</w:t>
      </w:r>
    </w:p>
    <w:p w:rsidR="008E2279" w:rsidRDefault="00E855F0" w:rsidP="008E2279">
      <w:pPr>
        <w:ind w:firstLine="709"/>
        <w:jc w:val="both"/>
        <w:rPr>
          <w:szCs w:val="24"/>
        </w:rPr>
      </w:pPr>
      <w:r>
        <w:rPr>
          <w:szCs w:val="24"/>
        </w:rPr>
        <w:t>Normatīvajos aktos noteikt</w:t>
      </w:r>
      <w:r w:rsidR="00922B52">
        <w:rPr>
          <w:szCs w:val="24"/>
        </w:rPr>
        <w:t>ajās</w:t>
      </w:r>
      <w:r>
        <w:rPr>
          <w:szCs w:val="24"/>
        </w:rPr>
        <w:t xml:space="preserve"> prasībās budžeta pieprasījumu izstrādei, valsts budžeta izpildes analīzei, kā arī JPI pieteikumu izstrādei t.sk., noteiktas prasības rezultātu un rezultatīvo rādītāju definēšanai, kā arī paredzēti nosacījumi </w:t>
      </w:r>
      <w:r w:rsidRPr="006742EE">
        <w:rPr>
          <w:szCs w:val="24"/>
        </w:rPr>
        <w:t>attiecībā uz darbības rezultātiem un to rādītājiem.</w:t>
      </w:r>
      <w:r w:rsidR="008E2279">
        <w:rPr>
          <w:szCs w:val="24"/>
        </w:rPr>
        <w:t xml:space="preserve"> Tā, piemēram, </w:t>
      </w:r>
      <w:r w:rsidR="008E2279" w:rsidRPr="006742EE">
        <w:rPr>
          <w:szCs w:val="24"/>
        </w:rPr>
        <w:t xml:space="preserve">MK noteikumi Nr.523 nosaka, ka budžets sastāv no programmām un apakšprogrammām un katrai programmai (apakšprogrammai) ir noteikti </w:t>
      </w:r>
      <w:r w:rsidR="008E2279" w:rsidRPr="008E2279">
        <w:rPr>
          <w:i/>
          <w:szCs w:val="24"/>
        </w:rPr>
        <w:t>sasniedzamie rezultāti, kurus pēc iespējas veido, pamatojoties uz attīstības plānošanas dokumentos noteiktiem rezultātiem un rezultatīviem rādītājiem</w:t>
      </w:r>
      <w:r w:rsidR="008E2279" w:rsidRPr="006742EE">
        <w:rPr>
          <w:szCs w:val="24"/>
        </w:rPr>
        <w:t>, tādējādi nodrošinot to sasaisti ar politikas plānošanas dokumentos noteiktajiem mērķiem, sasniedzamajiem rezultātiem un rezultatīvajiem rādītājiem.</w:t>
      </w:r>
    </w:p>
    <w:p w:rsidR="00903D65" w:rsidRPr="005E6A69" w:rsidRDefault="00903D65" w:rsidP="00922B52">
      <w:pPr>
        <w:ind w:firstLine="709"/>
        <w:jc w:val="both"/>
        <w:rPr>
          <w:szCs w:val="24"/>
        </w:rPr>
      </w:pPr>
      <w:r w:rsidRPr="005E6A69">
        <w:rPr>
          <w:szCs w:val="24"/>
        </w:rPr>
        <w:t>Rezultāti un rezultatīvie rādītāji ir politikas plānošanas sistēmas sastāvdaļa, kas sniedz informāciju par mērķu sasniegšanas pakāpi. Rezultāts un tā rezultatīvais rādītājs atspoguļo labumu, ko valsts un sabiedrība iegūst, izlietojot ieguldījumu</w:t>
      </w:r>
      <w:r>
        <w:rPr>
          <w:szCs w:val="24"/>
        </w:rPr>
        <w:t>, piemēram, finansējumu</w:t>
      </w:r>
      <w:r w:rsidRPr="005E6A69">
        <w:rPr>
          <w:szCs w:val="24"/>
        </w:rPr>
        <w:t>. Rezultātus un rezultatīvos rādītājus izmanto, lai novērtētu sabiedrībai būtisku mērķu sasniegšanu pārskata periodā un budžeta līdzekļu izlietošanas pamatojumu un efektivitāti.</w:t>
      </w:r>
    </w:p>
    <w:p w:rsidR="00903D65" w:rsidRPr="00E40FB2" w:rsidRDefault="00903D65" w:rsidP="00903D65">
      <w:pPr>
        <w:ind w:firstLine="709"/>
        <w:jc w:val="both"/>
        <w:rPr>
          <w:szCs w:val="24"/>
        </w:rPr>
      </w:pPr>
      <w:r>
        <w:rPr>
          <w:szCs w:val="24"/>
        </w:rPr>
        <w:t>P</w:t>
      </w:r>
      <w:r w:rsidRPr="002406B3">
        <w:rPr>
          <w:szCs w:val="24"/>
        </w:rPr>
        <w:t>rogrammu darbības rezultātu un</w:t>
      </w:r>
      <w:r>
        <w:rPr>
          <w:szCs w:val="24"/>
        </w:rPr>
        <w:t xml:space="preserve"> rezultatīvo rādītāju definēšana notiek</w:t>
      </w:r>
      <w:r w:rsidRPr="002406B3">
        <w:rPr>
          <w:szCs w:val="24"/>
        </w:rPr>
        <w:t xml:space="preserve"> pamatojoties uz MK instrukcijas </w:t>
      </w:r>
      <w:r>
        <w:rPr>
          <w:szCs w:val="24"/>
        </w:rPr>
        <w:t xml:space="preserve">Nr.16 </w:t>
      </w:r>
      <w:r w:rsidRPr="002406B3">
        <w:rPr>
          <w:szCs w:val="24"/>
        </w:rPr>
        <w:t xml:space="preserve">36.punktu, darbības rezultātu plānošanas nolūks ir mērķtiecīguma un efektivitātes atspoguļošana. Vienlaikus darbības rezultāts atspoguļo saikni starp veiktajiem </w:t>
      </w:r>
      <w:r w:rsidRPr="002406B3">
        <w:rPr>
          <w:szCs w:val="24"/>
        </w:rPr>
        <w:lastRenderedPageBreak/>
        <w:t xml:space="preserve">(finanšu) ieguldījumiem un politikas rezultātu sasniegšanas pakāpi. Tāpat MK instrukcijas </w:t>
      </w:r>
      <w:r>
        <w:rPr>
          <w:szCs w:val="24"/>
        </w:rPr>
        <w:t xml:space="preserve">Nr.16 </w:t>
      </w:r>
      <w:r w:rsidRPr="002406B3">
        <w:rPr>
          <w:szCs w:val="24"/>
        </w:rPr>
        <w:t>37.punkts nosaka, ka darbības rezultātam jāatbilst vairākām pazīmēm, tajā skaitā tam ir jābūt noderīgam, saprotamam un revidējamam.</w:t>
      </w:r>
    </w:p>
    <w:p w:rsidR="00D43965" w:rsidRPr="008E2279" w:rsidRDefault="00895693" w:rsidP="00432527">
      <w:pPr>
        <w:jc w:val="both"/>
        <w:rPr>
          <w:i/>
          <w:szCs w:val="24"/>
        </w:rPr>
      </w:pPr>
      <w:r>
        <w:rPr>
          <w:i/>
          <w:szCs w:val="24"/>
        </w:rPr>
        <w:t>Piemērs</w:t>
      </w:r>
      <w:r w:rsidR="0070309D">
        <w:rPr>
          <w:i/>
          <w:szCs w:val="24"/>
        </w:rPr>
        <w:t>:</w:t>
      </w:r>
    </w:p>
    <w:p w:rsidR="00432527" w:rsidRPr="0070309D" w:rsidRDefault="00432527" w:rsidP="00432527">
      <w:pPr>
        <w:jc w:val="both"/>
        <w:rPr>
          <w:b/>
          <w:szCs w:val="24"/>
        </w:rPr>
      </w:pPr>
      <w:r w:rsidRPr="0070309D">
        <w:rPr>
          <w:b/>
          <w:szCs w:val="24"/>
        </w:rPr>
        <w:t>Iekšlietu ministrija</w:t>
      </w:r>
    </w:p>
    <w:p w:rsidR="00432527" w:rsidRPr="0070309D" w:rsidRDefault="00432527" w:rsidP="00432527">
      <w:pPr>
        <w:jc w:val="both"/>
        <w:rPr>
          <w:szCs w:val="24"/>
          <w:u w:val="single"/>
        </w:rPr>
      </w:pPr>
      <w:r w:rsidRPr="007E6C57">
        <w:rPr>
          <w:szCs w:val="24"/>
        </w:rPr>
        <w:t>06.01.00 “Valsts policija”</w:t>
      </w:r>
      <w:r w:rsidR="0031615E" w:rsidRPr="0031615E">
        <w:rPr>
          <w:rStyle w:val="FootnoteReference"/>
          <w:szCs w:val="24"/>
        </w:rPr>
        <w:t xml:space="preserve"> </w:t>
      </w:r>
      <w:r w:rsidR="0031615E" w:rsidRPr="005F5E9F">
        <w:rPr>
          <w:rStyle w:val="FootnoteReference"/>
          <w:szCs w:val="24"/>
        </w:rPr>
        <w:footnoteReference w:id="5"/>
      </w:r>
    </w:p>
    <w:p w:rsidR="00432527" w:rsidRPr="00573409" w:rsidRDefault="00432527" w:rsidP="00432527">
      <w:pPr>
        <w:jc w:val="both"/>
        <w:rPr>
          <w:i/>
          <w:szCs w:val="24"/>
        </w:rPr>
      </w:pPr>
      <w:r w:rsidRPr="00573409">
        <w:rPr>
          <w:i/>
          <w:szCs w:val="24"/>
        </w:rPr>
        <w:t>Programmas mērķis:</w:t>
      </w:r>
    </w:p>
    <w:p w:rsidR="00432527" w:rsidRDefault="00432527" w:rsidP="00FB4B60">
      <w:pPr>
        <w:pStyle w:val="ListParagraph"/>
        <w:numPr>
          <w:ilvl w:val="0"/>
          <w:numId w:val="19"/>
        </w:numPr>
        <w:jc w:val="both"/>
        <w:rPr>
          <w:szCs w:val="24"/>
        </w:rPr>
      </w:pPr>
      <w:r w:rsidRPr="00432527">
        <w:rPr>
          <w:szCs w:val="24"/>
        </w:rPr>
        <w:t>aizsargāt personu dzīvību, veselību, tiesības un brīvības, īpašumu, sabiedrības un valsts intereses no noziedzīgiem un citiem prettiesiskiem apdraudējumiem;</w:t>
      </w:r>
    </w:p>
    <w:p w:rsidR="00432527" w:rsidRDefault="00432527" w:rsidP="00FB4B60">
      <w:pPr>
        <w:pStyle w:val="ListParagraph"/>
        <w:numPr>
          <w:ilvl w:val="0"/>
          <w:numId w:val="19"/>
        </w:numPr>
        <w:jc w:val="both"/>
        <w:rPr>
          <w:szCs w:val="24"/>
        </w:rPr>
      </w:pPr>
      <w:r w:rsidRPr="00432527">
        <w:rPr>
          <w:szCs w:val="24"/>
        </w:rPr>
        <w:t>novērst un atklāt noziedzīgus nodarījumus un citus likumpārkāpumus;</w:t>
      </w:r>
    </w:p>
    <w:p w:rsidR="000D1821" w:rsidRDefault="00432527" w:rsidP="00FB4B60">
      <w:pPr>
        <w:pStyle w:val="ListParagraph"/>
        <w:numPr>
          <w:ilvl w:val="0"/>
          <w:numId w:val="19"/>
        </w:numPr>
        <w:jc w:val="both"/>
        <w:rPr>
          <w:szCs w:val="24"/>
        </w:rPr>
      </w:pPr>
      <w:r w:rsidRPr="00432527">
        <w:rPr>
          <w:szCs w:val="24"/>
        </w:rPr>
        <w:t>meklēt personas, kas izdarījušas noziedzīgus nodarījumus vai ir bezvēsts pazudušas;</w:t>
      </w:r>
    </w:p>
    <w:p w:rsidR="00895693" w:rsidRPr="000D1821" w:rsidRDefault="00432527" w:rsidP="00FB4B60">
      <w:pPr>
        <w:pStyle w:val="ListParagraph"/>
        <w:numPr>
          <w:ilvl w:val="0"/>
          <w:numId w:val="19"/>
        </w:numPr>
        <w:jc w:val="both"/>
        <w:rPr>
          <w:szCs w:val="24"/>
        </w:rPr>
      </w:pPr>
      <w:r w:rsidRPr="000D1821">
        <w:rPr>
          <w:szCs w:val="24"/>
        </w:rPr>
        <w:t>veikt ekspertīzes un izpētes, pielietojot kriminālistiskos līdzekļus un metodes lietisko pierādījumu izpētē un krimināllietās.</w:t>
      </w:r>
    </w:p>
    <w:p w:rsidR="00536A42" w:rsidRDefault="00536A42" w:rsidP="00536A42">
      <w:pPr>
        <w:ind w:firstLine="720"/>
        <w:jc w:val="both"/>
        <w:rPr>
          <w:szCs w:val="24"/>
        </w:rPr>
      </w:pPr>
      <w:r>
        <w:rPr>
          <w:szCs w:val="24"/>
        </w:rPr>
        <w:t>Šai budžeta programmai viena mērķa vietā ir formulēti četri mērķi, līdz ar to praksē nefunkcionē vai nu normatīvajos aktos paredzētie nosacījumi, vai arī budžeta programmu struktūra nav piemērota viena vienīga mērķa formulēšanai. Vienlaikus šajā gadījumā:</w:t>
      </w:r>
    </w:p>
    <w:p w:rsidR="00536A42" w:rsidRDefault="00536A42" w:rsidP="00FB4B60">
      <w:pPr>
        <w:pStyle w:val="ListParagraph"/>
        <w:numPr>
          <w:ilvl w:val="0"/>
          <w:numId w:val="24"/>
        </w:numPr>
        <w:jc w:val="both"/>
        <w:rPr>
          <w:szCs w:val="24"/>
        </w:rPr>
      </w:pPr>
      <w:r w:rsidRPr="00641FF6">
        <w:rPr>
          <w:szCs w:val="24"/>
        </w:rPr>
        <w:t xml:space="preserve">iztrūkst vēlamais virziens (samazināt, palielināt u.tml.), </w:t>
      </w:r>
      <w:r>
        <w:rPr>
          <w:szCs w:val="24"/>
        </w:rPr>
        <w:t>uz ko</w:t>
      </w:r>
      <w:r w:rsidRPr="00641FF6">
        <w:rPr>
          <w:szCs w:val="24"/>
        </w:rPr>
        <w:t xml:space="preserve"> ir vērstas iestādes veiktās darbības;</w:t>
      </w:r>
    </w:p>
    <w:p w:rsidR="00536A42" w:rsidRPr="00641FF6" w:rsidRDefault="00536A42" w:rsidP="00FB4B60">
      <w:pPr>
        <w:pStyle w:val="ListParagraph"/>
        <w:numPr>
          <w:ilvl w:val="0"/>
          <w:numId w:val="24"/>
        </w:numPr>
        <w:jc w:val="both"/>
        <w:rPr>
          <w:szCs w:val="24"/>
        </w:rPr>
      </w:pPr>
      <w:r>
        <w:rPr>
          <w:szCs w:val="24"/>
        </w:rPr>
        <w:t>iztrūkst konkrēts mērāms sasniedzamais rezultāts (noziedzības līmenis, atklāto noziegumu īpatsvars, pazudušu personu atrašanas laiks u.tml.);</w:t>
      </w:r>
    </w:p>
    <w:p w:rsidR="00B334F8" w:rsidRPr="00536A42" w:rsidRDefault="00536A42" w:rsidP="00FB4B60">
      <w:pPr>
        <w:pStyle w:val="ListParagraph"/>
        <w:numPr>
          <w:ilvl w:val="0"/>
          <w:numId w:val="24"/>
        </w:numPr>
        <w:jc w:val="both"/>
        <w:rPr>
          <w:szCs w:val="24"/>
        </w:rPr>
      </w:pPr>
      <w:r>
        <w:rPr>
          <w:szCs w:val="24"/>
        </w:rPr>
        <w:t>nav definēts laika periods vēlamā stāvokļa sasniegšanai (piemēram, vidējā termiņā).</w:t>
      </w:r>
    </w:p>
    <w:p w:rsidR="00B334F8" w:rsidRPr="008E2279" w:rsidRDefault="00B334F8" w:rsidP="00E40FB2">
      <w:pPr>
        <w:jc w:val="both"/>
        <w:rPr>
          <w:sz w:val="16"/>
          <w:szCs w:val="16"/>
        </w:rPr>
      </w:pPr>
    </w:p>
    <w:p w:rsidR="00E40FB2" w:rsidRDefault="00E40FB2" w:rsidP="00E40FB2">
      <w:pPr>
        <w:jc w:val="both"/>
        <w:rPr>
          <w:szCs w:val="24"/>
        </w:rPr>
      </w:pPr>
      <w:r>
        <w:rPr>
          <w:szCs w:val="24"/>
        </w:rPr>
        <w:t>Apakšprogrammai 06.01.00 “</w:t>
      </w:r>
      <w:r w:rsidRPr="007E6C57">
        <w:rPr>
          <w:szCs w:val="24"/>
        </w:rPr>
        <w:t>Valsts policija</w:t>
      </w:r>
      <w:r>
        <w:rPr>
          <w:szCs w:val="24"/>
        </w:rPr>
        <w:t>” d</w:t>
      </w:r>
      <w:r w:rsidRPr="006C3914">
        <w:rPr>
          <w:szCs w:val="24"/>
        </w:rPr>
        <w:t>arbības rezultāti un to rezultatīvie rādītāji no 2011. līdz 2017.gadam</w:t>
      </w:r>
      <w:r>
        <w:rPr>
          <w:szCs w:val="24"/>
        </w:rPr>
        <w:t>.</w:t>
      </w:r>
      <w:r w:rsidR="005F5E9F">
        <w:rPr>
          <w:rStyle w:val="FootnoteReference"/>
          <w:szCs w:val="24"/>
        </w:rPr>
        <w:footnoteReference w:id="6"/>
      </w:r>
    </w:p>
    <w:p w:rsidR="00E40FB2" w:rsidRPr="008E2279" w:rsidRDefault="00E40FB2" w:rsidP="00E40FB2">
      <w:pPr>
        <w:jc w:val="both"/>
        <w:rPr>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64"/>
        <w:gridCol w:w="964"/>
        <w:gridCol w:w="964"/>
        <w:gridCol w:w="964"/>
        <w:gridCol w:w="964"/>
        <w:gridCol w:w="993"/>
        <w:gridCol w:w="1133"/>
      </w:tblGrid>
      <w:tr w:rsidR="00E40FB2" w:rsidRPr="009C2499" w:rsidTr="00730674">
        <w:trPr>
          <w:tblHeader/>
          <w:jc w:val="center"/>
        </w:trPr>
        <w:tc>
          <w:tcPr>
            <w:tcW w:w="2405" w:type="dxa"/>
          </w:tcPr>
          <w:p w:rsidR="00E40FB2" w:rsidRPr="009C2499" w:rsidRDefault="00E40FB2" w:rsidP="00E40FB2">
            <w:pPr>
              <w:jc w:val="center"/>
              <w:rPr>
                <w:sz w:val="18"/>
                <w:szCs w:val="18"/>
              </w:rPr>
            </w:pPr>
          </w:p>
        </w:tc>
        <w:tc>
          <w:tcPr>
            <w:tcW w:w="964" w:type="dxa"/>
          </w:tcPr>
          <w:p w:rsidR="00E40FB2" w:rsidRPr="009C2499" w:rsidRDefault="00E40FB2" w:rsidP="00E40FB2">
            <w:pPr>
              <w:jc w:val="center"/>
              <w:rPr>
                <w:sz w:val="18"/>
                <w:szCs w:val="18"/>
                <w:lang w:eastAsia="lv-LV"/>
              </w:rPr>
            </w:pPr>
            <w:r w:rsidRPr="009C2499">
              <w:rPr>
                <w:sz w:val="18"/>
                <w:szCs w:val="18"/>
                <w:lang w:eastAsia="lv-LV"/>
              </w:rPr>
              <w:t>2011.gads (izpilde)</w:t>
            </w:r>
          </w:p>
        </w:tc>
        <w:tc>
          <w:tcPr>
            <w:tcW w:w="964" w:type="dxa"/>
          </w:tcPr>
          <w:p w:rsidR="00E40FB2" w:rsidRPr="009C2499" w:rsidRDefault="00E40FB2" w:rsidP="00E40FB2">
            <w:pPr>
              <w:jc w:val="center"/>
              <w:rPr>
                <w:sz w:val="18"/>
                <w:szCs w:val="18"/>
                <w:lang w:eastAsia="lv-LV"/>
              </w:rPr>
            </w:pPr>
            <w:r w:rsidRPr="009C2499">
              <w:rPr>
                <w:sz w:val="18"/>
                <w:szCs w:val="18"/>
                <w:lang w:eastAsia="lv-LV"/>
              </w:rPr>
              <w:t>2012.gads (izpilde)</w:t>
            </w:r>
          </w:p>
        </w:tc>
        <w:tc>
          <w:tcPr>
            <w:tcW w:w="964" w:type="dxa"/>
          </w:tcPr>
          <w:p w:rsidR="00E40FB2" w:rsidRPr="009C2499" w:rsidRDefault="00E40FB2" w:rsidP="00E40FB2">
            <w:pPr>
              <w:jc w:val="center"/>
              <w:rPr>
                <w:sz w:val="18"/>
                <w:szCs w:val="18"/>
                <w:lang w:eastAsia="lv-LV"/>
              </w:rPr>
            </w:pPr>
            <w:r w:rsidRPr="009C2499">
              <w:rPr>
                <w:sz w:val="18"/>
                <w:szCs w:val="18"/>
                <w:lang w:eastAsia="lv-LV"/>
              </w:rPr>
              <w:t>2013.gads (izpilde)</w:t>
            </w:r>
          </w:p>
        </w:tc>
        <w:tc>
          <w:tcPr>
            <w:tcW w:w="964" w:type="dxa"/>
            <w:vAlign w:val="center"/>
          </w:tcPr>
          <w:p w:rsidR="00E40FB2" w:rsidRPr="009C2499" w:rsidRDefault="00E40FB2" w:rsidP="00E40FB2">
            <w:pPr>
              <w:jc w:val="center"/>
              <w:rPr>
                <w:sz w:val="18"/>
                <w:szCs w:val="18"/>
                <w:lang w:eastAsia="lv-LV"/>
              </w:rPr>
            </w:pPr>
            <w:r w:rsidRPr="009C2499">
              <w:rPr>
                <w:sz w:val="18"/>
                <w:szCs w:val="18"/>
                <w:lang w:eastAsia="lv-LV"/>
              </w:rPr>
              <w:t>2014.gada plāns</w:t>
            </w:r>
          </w:p>
        </w:tc>
        <w:tc>
          <w:tcPr>
            <w:tcW w:w="964" w:type="dxa"/>
            <w:shd w:val="clear" w:color="auto" w:fill="auto"/>
          </w:tcPr>
          <w:p w:rsidR="00E40FB2" w:rsidRPr="009C2499" w:rsidRDefault="00E40FB2" w:rsidP="00E40FB2">
            <w:pPr>
              <w:jc w:val="center"/>
              <w:rPr>
                <w:sz w:val="18"/>
                <w:szCs w:val="18"/>
                <w:lang w:eastAsia="lv-LV"/>
              </w:rPr>
            </w:pPr>
            <w:r w:rsidRPr="009C2499">
              <w:rPr>
                <w:sz w:val="18"/>
                <w:szCs w:val="18"/>
                <w:lang w:eastAsia="lv-LV"/>
              </w:rPr>
              <w:t>2015.gada plāns</w:t>
            </w:r>
          </w:p>
        </w:tc>
        <w:tc>
          <w:tcPr>
            <w:tcW w:w="993" w:type="dxa"/>
          </w:tcPr>
          <w:p w:rsidR="00E40FB2" w:rsidRPr="009C2499" w:rsidRDefault="00E40FB2" w:rsidP="00E40FB2">
            <w:pPr>
              <w:jc w:val="center"/>
              <w:rPr>
                <w:sz w:val="18"/>
                <w:szCs w:val="18"/>
                <w:lang w:eastAsia="lv-LV"/>
              </w:rPr>
            </w:pPr>
            <w:r w:rsidRPr="009C2499">
              <w:rPr>
                <w:sz w:val="18"/>
                <w:szCs w:val="18"/>
                <w:lang w:eastAsia="lv-LV"/>
              </w:rPr>
              <w:t>2016.gada tendence</w:t>
            </w:r>
          </w:p>
        </w:tc>
        <w:tc>
          <w:tcPr>
            <w:tcW w:w="1133" w:type="dxa"/>
          </w:tcPr>
          <w:p w:rsidR="00E40FB2" w:rsidRPr="009C2499" w:rsidRDefault="00E40FB2" w:rsidP="00E40FB2">
            <w:pPr>
              <w:jc w:val="center"/>
              <w:rPr>
                <w:sz w:val="18"/>
                <w:szCs w:val="18"/>
                <w:lang w:eastAsia="lv-LV"/>
              </w:rPr>
            </w:pPr>
            <w:r w:rsidRPr="009C2499">
              <w:rPr>
                <w:sz w:val="18"/>
                <w:szCs w:val="18"/>
                <w:lang w:eastAsia="lv-LV"/>
              </w:rPr>
              <w:t>2017.gada tendence</w:t>
            </w:r>
          </w:p>
        </w:tc>
      </w:tr>
      <w:tr w:rsidR="00E40FB2" w:rsidRPr="009C2499" w:rsidTr="00730674">
        <w:trPr>
          <w:jc w:val="center"/>
        </w:trPr>
        <w:tc>
          <w:tcPr>
            <w:tcW w:w="9351" w:type="dxa"/>
            <w:gridSpan w:val="8"/>
          </w:tcPr>
          <w:p w:rsidR="00E40FB2" w:rsidRPr="009C2499" w:rsidRDefault="00E40FB2" w:rsidP="00E40FB2">
            <w:pPr>
              <w:spacing w:before="60" w:after="60"/>
              <w:jc w:val="center"/>
              <w:rPr>
                <w:sz w:val="18"/>
                <w:szCs w:val="18"/>
              </w:rPr>
            </w:pPr>
            <w:r w:rsidRPr="009C2499">
              <w:rPr>
                <w:sz w:val="18"/>
                <w:szCs w:val="18"/>
              </w:rPr>
              <w:t>Nodrošināta sabiedriskā kārtība</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t>Īslaicīgās aizturēšanas vietās ievietoto personu skaits</w:t>
            </w:r>
          </w:p>
        </w:tc>
        <w:tc>
          <w:tcPr>
            <w:tcW w:w="964" w:type="dxa"/>
          </w:tcPr>
          <w:p w:rsidR="00E40FB2" w:rsidRPr="009C2499" w:rsidRDefault="00E40FB2" w:rsidP="00E40FB2">
            <w:pPr>
              <w:jc w:val="right"/>
              <w:rPr>
                <w:sz w:val="18"/>
                <w:szCs w:val="18"/>
              </w:rPr>
            </w:pPr>
            <w:r w:rsidRPr="009C2499">
              <w:rPr>
                <w:sz w:val="18"/>
                <w:szCs w:val="18"/>
              </w:rPr>
              <w:t>21 247</w:t>
            </w:r>
          </w:p>
        </w:tc>
        <w:tc>
          <w:tcPr>
            <w:tcW w:w="964" w:type="dxa"/>
          </w:tcPr>
          <w:p w:rsidR="00E40FB2" w:rsidRPr="009C2499" w:rsidRDefault="00E40FB2" w:rsidP="00E40FB2">
            <w:pPr>
              <w:jc w:val="right"/>
              <w:rPr>
                <w:sz w:val="18"/>
                <w:szCs w:val="18"/>
              </w:rPr>
            </w:pPr>
            <w:r w:rsidRPr="009C2499">
              <w:rPr>
                <w:sz w:val="18"/>
                <w:szCs w:val="18"/>
              </w:rPr>
              <w:t>18 354</w:t>
            </w:r>
          </w:p>
        </w:tc>
        <w:tc>
          <w:tcPr>
            <w:tcW w:w="964" w:type="dxa"/>
          </w:tcPr>
          <w:p w:rsidR="00E40FB2" w:rsidRPr="009C2499" w:rsidRDefault="00E40FB2" w:rsidP="00E40FB2">
            <w:pPr>
              <w:jc w:val="right"/>
              <w:rPr>
                <w:sz w:val="18"/>
                <w:szCs w:val="18"/>
              </w:rPr>
            </w:pPr>
            <w:r w:rsidRPr="009C2499">
              <w:rPr>
                <w:sz w:val="18"/>
                <w:szCs w:val="18"/>
              </w:rPr>
              <w:t>16 781</w:t>
            </w:r>
          </w:p>
        </w:tc>
        <w:tc>
          <w:tcPr>
            <w:tcW w:w="964" w:type="dxa"/>
          </w:tcPr>
          <w:p w:rsidR="00E40FB2" w:rsidRPr="009C2499" w:rsidRDefault="00E40FB2" w:rsidP="00E40FB2">
            <w:pPr>
              <w:jc w:val="right"/>
              <w:rPr>
                <w:sz w:val="18"/>
                <w:szCs w:val="18"/>
              </w:rPr>
            </w:pPr>
            <w:r w:rsidRPr="009C2499">
              <w:rPr>
                <w:sz w:val="18"/>
                <w:szCs w:val="18"/>
              </w:rPr>
              <w:t>16 750</w:t>
            </w:r>
          </w:p>
        </w:tc>
        <w:tc>
          <w:tcPr>
            <w:tcW w:w="964" w:type="dxa"/>
          </w:tcPr>
          <w:p w:rsidR="00E40FB2" w:rsidRPr="009C2499" w:rsidRDefault="00E40FB2" w:rsidP="00E40FB2">
            <w:pPr>
              <w:jc w:val="right"/>
              <w:rPr>
                <w:sz w:val="18"/>
                <w:szCs w:val="18"/>
              </w:rPr>
            </w:pPr>
            <w:r w:rsidRPr="009C2499">
              <w:rPr>
                <w:sz w:val="18"/>
                <w:szCs w:val="18"/>
              </w:rPr>
              <w:t>16 500</w:t>
            </w:r>
          </w:p>
        </w:tc>
        <w:tc>
          <w:tcPr>
            <w:tcW w:w="993" w:type="dxa"/>
          </w:tcPr>
          <w:p w:rsidR="00E40FB2" w:rsidRPr="009C2499" w:rsidRDefault="00E40FB2" w:rsidP="00E40FB2">
            <w:pPr>
              <w:jc w:val="right"/>
              <w:rPr>
                <w:sz w:val="18"/>
                <w:szCs w:val="18"/>
              </w:rPr>
            </w:pPr>
            <w:r w:rsidRPr="009C2499">
              <w:rPr>
                <w:sz w:val="18"/>
                <w:szCs w:val="18"/>
              </w:rPr>
              <w:t>samazinās</w:t>
            </w:r>
          </w:p>
        </w:tc>
        <w:tc>
          <w:tcPr>
            <w:tcW w:w="1133" w:type="dxa"/>
          </w:tcPr>
          <w:p w:rsidR="00E40FB2" w:rsidRPr="009C2499" w:rsidRDefault="00E40FB2" w:rsidP="00E40FB2">
            <w:pPr>
              <w:jc w:val="right"/>
              <w:rPr>
                <w:sz w:val="18"/>
                <w:szCs w:val="18"/>
              </w:rPr>
            </w:pPr>
            <w:r w:rsidRPr="009C2499">
              <w:rPr>
                <w:sz w:val="18"/>
                <w:szCs w:val="18"/>
              </w:rPr>
              <w:t>samazinās</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t>Aizturētas personas par administratīvo pārkāpumu izdarīšanu (skaits)</w:t>
            </w:r>
          </w:p>
        </w:tc>
        <w:tc>
          <w:tcPr>
            <w:tcW w:w="964" w:type="dxa"/>
          </w:tcPr>
          <w:p w:rsidR="00E40FB2" w:rsidRPr="009C2499" w:rsidRDefault="00E40FB2" w:rsidP="00E40FB2">
            <w:pPr>
              <w:jc w:val="center"/>
              <w:rPr>
                <w:sz w:val="18"/>
                <w:szCs w:val="18"/>
              </w:rPr>
            </w:pPr>
            <w:r w:rsidRPr="009C2499">
              <w:rPr>
                <w:i/>
                <w:sz w:val="18"/>
                <w:szCs w:val="18"/>
              </w:rPr>
              <w:t>×</w:t>
            </w:r>
          </w:p>
        </w:tc>
        <w:tc>
          <w:tcPr>
            <w:tcW w:w="964" w:type="dxa"/>
          </w:tcPr>
          <w:p w:rsidR="00E40FB2" w:rsidRPr="009C2499" w:rsidRDefault="00E40FB2" w:rsidP="00E40FB2">
            <w:pPr>
              <w:jc w:val="center"/>
              <w:rPr>
                <w:sz w:val="18"/>
                <w:szCs w:val="18"/>
              </w:rPr>
            </w:pPr>
            <w:r w:rsidRPr="009C2499">
              <w:rPr>
                <w:sz w:val="18"/>
                <w:szCs w:val="18"/>
              </w:rPr>
              <w:t>×</w:t>
            </w:r>
          </w:p>
        </w:tc>
        <w:tc>
          <w:tcPr>
            <w:tcW w:w="964" w:type="dxa"/>
          </w:tcPr>
          <w:p w:rsidR="00E40FB2" w:rsidRPr="009C2499" w:rsidRDefault="00E40FB2" w:rsidP="00E40FB2">
            <w:pPr>
              <w:jc w:val="center"/>
              <w:rPr>
                <w:sz w:val="18"/>
                <w:szCs w:val="18"/>
              </w:rPr>
            </w:pPr>
            <w:r w:rsidRPr="009C2499">
              <w:rPr>
                <w:i/>
                <w:sz w:val="18"/>
                <w:szCs w:val="18"/>
              </w:rPr>
              <w:t>×</w:t>
            </w:r>
          </w:p>
        </w:tc>
        <w:tc>
          <w:tcPr>
            <w:tcW w:w="964" w:type="dxa"/>
          </w:tcPr>
          <w:p w:rsidR="00E40FB2" w:rsidRPr="009C2499" w:rsidRDefault="00E40FB2" w:rsidP="00E40FB2">
            <w:pPr>
              <w:jc w:val="center"/>
              <w:rPr>
                <w:sz w:val="18"/>
                <w:szCs w:val="18"/>
              </w:rPr>
            </w:pPr>
            <w:r w:rsidRPr="009C2499">
              <w:rPr>
                <w:sz w:val="18"/>
                <w:szCs w:val="18"/>
              </w:rPr>
              <w:t>×</w:t>
            </w:r>
          </w:p>
        </w:tc>
        <w:tc>
          <w:tcPr>
            <w:tcW w:w="964" w:type="dxa"/>
          </w:tcPr>
          <w:p w:rsidR="00E40FB2" w:rsidRPr="009C2499" w:rsidRDefault="00E40FB2" w:rsidP="00E40FB2">
            <w:pPr>
              <w:jc w:val="right"/>
              <w:rPr>
                <w:sz w:val="18"/>
                <w:szCs w:val="18"/>
              </w:rPr>
            </w:pPr>
            <w:r w:rsidRPr="009C2499">
              <w:rPr>
                <w:sz w:val="18"/>
                <w:szCs w:val="18"/>
              </w:rPr>
              <w:t>23 500</w:t>
            </w:r>
          </w:p>
        </w:tc>
        <w:tc>
          <w:tcPr>
            <w:tcW w:w="993" w:type="dxa"/>
          </w:tcPr>
          <w:p w:rsidR="00E40FB2" w:rsidRPr="009C2499" w:rsidRDefault="00E40FB2" w:rsidP="00E40FB2">
            <w:pPr>
              <w:jc w:val="right"/>
              <w:rPr>
                <w:sz w:val="18"/>
                <w:szCs w:val="18"/>
              </w:rPr>
            </w:pPr>
            <w:r w:rsidRPr="009C2499">
              <w:rPr>
                <w:sz w:val="18"/>
                <w:szCs w:val="18"/>
              </w:rPr>
              <w:t>palielinās</w:t>
            </w:r>
          </w:p>
        </w:tc>
        <w:tc>
          <w:tcPr>
            <w:tcW w:w="1133" w:type="dxa"/>
          </w:tcPr>
          <w:p w:rsidR="00E40FB2" w:rsidRPr="009C2499" w:rsidRDefault="00E40FB2" w:rsidP="00E40FB2">
            <w:pPr>
              <w:jc w:val="right"/>
              <w:rPr>
                <w:sz w:val="18"/>
                <w:szCs w:val="18"/>
              </w:rPr>
            </w:pPr>
            <w:r w:rsidRPr="009C2499">
              <w:rPr>
                <w:sz w:val="18"/>
                <w:szCs w:val="18"/>
              </w:rPr>
              <w:t>palielinās</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t>Nepilngadīgo izdarīto likumpārkāpumu skaits (noziedzīgu nodarījumu un administratīvo pārkāpumu skaits)</w:t>
            </w:r>
          </w:p>
        </w:tc>
        <w:tc>
          <w:tcPr>
            <w:tcW w:w="964" w:type="dxa"/>
          </w:tcPr>
          <w:p w:rsidR="00E40FB2" w:rsidRPr="009C2499" w:rsidRDefault="00E40FB2" w:rsidP="00E40FB2">
            <w:pPr>
              <w:jc w:val="center"/>
              <w:rPr>
                <w:sz w:val="18"/>
                <w:szCs w:val="18"/>
              </w:rPr>
            </w:pPr>
            <w:r w:rsidRPr="009C2499">
              <w:rPr>
                <w:i/>
                <w:sz w:val="18"/>
                <w:szCs w:val="18"/>
              </w:rPr>
              <w:t>×</w:t>
            </w:r>
          </w:p>
        </w:tc>
        <w:tc>
          <w:tcPr>
            <w:tcW w:w="964" w:type="dxa"/>
          </w:tcPr>
          <w:p w:rsidR="00E40FB2" w:rsidRPr="009C2499" w:rsidRDefault="00E40FB2" w:rsidP="00E40FB2">
            <w:pPr>
              <w:jc w:val="center"/>
              <w:rPr>
                <w:sz w:val="18"/>
                <w:szCs w:val="18"/>
              </w:rPr>
            </w:pPr>
            <w:r w:rsidRPr="009C2499">
              <w:rPr>
                <w:sz w:val="18"/>
                <w:szCs w:val="18"/>
              </w:rPr>
              <w:t>×</w:t>
            </w:r>
          </w:p>
        </w:tc>
        <w:tc>
          <w:tcPr>
            <w:tcW w:w="964" w:type="dxa"/>
          </w:tcPr>
          <w:p w:rsidR="00E40FB2" w:rsidRPr="009C2499" w:rsidRDefault="00E40FB2" w:rsidP="00E40FB2">
            <w:pPr>
              <w:jc w:val="center"/>
              <w:rPr>
                <w:sz w:val="18"/>
                <w:szCs w:val="18"/>
              </w:rPr>
            </w:pPr>
            <w:r w:rsidRPr="009C2499">
              <w:rPr>
                <w:i/>
                <w:sz w:val="18"/>
                <w:szCs w:val="18"/>
              </w:rPr>
              <w:t>×</w:t>
            </w:r>
          </w:p>
        </w:tc>
        <w:tc>
          <w:tcPr>
            <w:tcW w:w="964" w:type="dxa"/>
          </w:tcPr>
          <w:p w:rsidR="00E40FB2" w:rsidRPr="009C2499" w:rsidRDefault="00E40FB2" w:rsidP="00E40FB2">
            <w:pPr>
              <w:ind w:left="-108" w:firstLine="108"/>
              <w:jc w:val="center"/>
              <w:rPr>
                <w:sz w:val="18"/>
                <w:szCs w:val="18"/>
              </w:rPr>
            </w:pPr>
            <w:r w:rsidRPr="009C2499">
              <w:rPr>
                <w:sz w:val="18"/>
                <w:szCs w:val="18"/>
              </w:rPr>
              <w:t>×</w:t>
            </w:r>
          </w:p>
        </w:tc>
        <w:tc>
          <w:tcPr>
            <w:tcW w:w="964" w:type="dxa"/>
          </w:tcPr>
          <w:p w:rsidR="00E40FB2" w:rsidRPr="009C2499" w:rsidRDefault="00E40FB2" w:rsidP="00E40FB2">
            <w:pPr>
              <w:jc w:val="right"/>
              <w:rPr>
                <w:sz w:val="18"/>
                <w:szCs w:val="18"/>
              </w:rPr>
            </w:pPr>
            <w:r w:rsidRPr="009C2499">
              <w:rPr>
                <w:sz w:val="18"/>
                <w:szCs w:val="18"/>
              </w:rPr>
              <w:t>7500</w:t>
            </w:r>
          </w:p>
        </w:tc>
        <w:tc>
          <w:tcPr>
            <w:tcW w:w="993" w:type="dxa"/>
          </w:tcPr>
          <w:p w:rsidR="00E40FB2" w:rsidRPr="009C2499" w:rsidRDefault="00E40FB2" w:rsidP="00E40FB2">
            <w:pPr>
              <w:jc w:val="right"/>
              <w:rPr>
                <w:sz w:val="18"/>
                <w:szCs w:val="18"/>
              </w:rPr>
            </w:pPr>
            <w:r w:rsidRPr="009C2499">
              <w:rPr>
                <w:sz w:val="18"/>
                <w:szCs w:val="18"/>
              </w:rPr>
              <w:t>samazinās</w:t>
            </w:r>
          </w:p>
        </w:tc>
        <w:tc>
          <w:tcPr>
            <w:tcW w:w="1133" w:type="dxa"/>
          </w:tcPr>
          <w:p w:rsidR="00E40FB2" w:rsidRPr="009C2499" w:rsidRDefault="00E40FB2" w:rsidP="00E40FB2">
            <w:pPr>
              <w:jc w:val="right"/>
              <w:rPr>
                <w:sz w:val="18"/>
                <w:szCs w:val="18"/>
              </w:rPr>
            </w:pPr>
            <w:r w:rsidRPr="009C2499">
              <w:rPr>
                <w:sz w:val="18"/>
                <w:szCs w:val="18"/>
              </w:rPr>
              <w:t>samazinās</w:t>
            </w:r>
          </w:p>
        </w:tc>
      </w:tr>
      <w:tr w:rsidR="00E40FB2" w:rsidRPr="009C2499" w:rsidTr="00730674">
        <w:trPr>
          <w:jc w:val="center"/>
        </w:trPr>
        <w:tc>
          <w:tcPr>
            <w:tcW w:w="9351" w:type="dxa"/>
            <w:gridSpan w:val="8"/>
          </w:tcPr>
          <w:p w:rsidR="00E40FB2" w:rsidRPr="009C2499" w:rsidRDefault="00E40FB2" w:rsidP="00E40FB2">
            <w:pPr>
              <w:spacing w:before="60" w:after="60"/>
              <w:jc w:val="center"/>
              <w:rPr>
                <w:sz w:val="18"/>
                <w:szCs w:val="18"/>
              </w:rPr>
            </w:pPr>
            <w:r w:rsidRPr="009C2499">
              <w:rPr>
                <w:sz w:val="18"/>
                <w:szCs w:val="18"/>
              </w:rPr>
              <w:t>Veikta autopārvadājumu kontrole</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t>Visā Latvijas teritorijā veikta kravas un pasažieru autopārvadājumu kontrole (skaits)</w:t>
            </w:r>
          </w:p>
        </w:tc>
        <w:tc>
          <w:tcPr>
            <w:tcW w:w="964" w:type="dxa"/>
          </w:tcPr>
          <w:p w:rsidR="00E40FB2" w:rsidRPr="009C2499" w:rsidRDefault="00E40FB2" w:rsidP="00E40FB2">
            <w:pPr>
              <w:jc w:val="center"/>
              <w:rPr>
                <w:sz w:val="18"/>
                <w:szCs w:val="18"/>
              </w:rPr>
            </w:pPr>
            <w:r w:rsidRPr="009C2499">
              <w:rPr>
                <w:i/>
                <w:sz w:val="18"/>
                <w:szCs w:val="18"/>
              </w:rPr>
              <w:t>×</w:t>
            </w:r>
          </w:p>
        </w:tc>
        <w:tc>
          <w:tcPr>
            <w:tcW w:w="964" w:type="dxa"/>
          </w:tcPr>
          <w:p w:rsidR="00E40FB2" w:rsidRPr="009C2499" w:rsidRDefault="00E40FB2" w:rsidP="00E40FB2">
            <w:pPr>
              <w:jc w:val="center"/>
              <w:rPr>
                <w:sz w:val="18"/>
                <w:szCs w:val="18"/>
              </w:rPr>
            </w:pPr>
            <w:r w:rsidRPr="009C2499">
              <w:rPr>
                <w:sz w:val="18"/>
                <w:szCs w:val="18"/>
              </w:rPr>
              <w:t>×</w:t>
            </w:r>
          </w:p>
        </w:tc>
        <w:tc>
          <w:tcPr>
            <w:tcW w:w="964" w:type="dxa"/>
          </w:tcPr>
          <w:p w:rsidR="00E40FB2" w:rsidRPr="009C2499" w:rsidRDefault="00E40FB2" w:rsidP="00E40FB2">
            <w:pPr>
              <w:jc w:val="center"/>
              <w:rPr>
                <w:sz w:val="18"/>
                <w:szCs w:val="18"/>
              </w:rPr>
            </w:pPr>
            <w:r w:rsidRPr="009C2499">
              <w:rPr>
                <w:i/>
                <w:sz w:val="18"/>
                <w:szCs w:val="18"/>
              </w:rPr>
              <w:t>×</w:t>
            </w:r>
          </w:p>
        </w:tc>
        <w:tc>
          <w:tcPr>
            <w:tcW w:w="964" w:type="dxa"/>
          </w:tcPr>
          <w:p w:rsidR="00E40FB2" w:rsidRPr="009C2499" w:rsidRDefault="00E40FB2" w:rsidP="00E40FB2">
            <w:pPr>
              <w:jc w:val="center"/>
              <w:rPr>
                <w:sz w:val="18"/>
                <w:szCs w:val="18"/>
              </w:rPr>
            </w:pPr>
            <w:r w:rsidRPr="009C2499">
              <w:rPr>
                <w:sz w:val="18"/>
                <w:szCs w:val="18"/>
              </w:rPr>
              <w:t>×</w:t>
            </w:r>
          </w:p>
        </w:tc>
        <w:tc>
          <w:tcPr>
            <w:tcW w:w="964" w:type="dxa"/>
          </w:tcPr>
          <w:p w:rsidR="00E40FB2" w:rsidRPr="009C2499" w:rsidRDefault="00E40FB2" w:rsidP="00E40FB2">
            <w:pPr>
              <w:jc w:val="right"/>
              <w:rPr>
                <w:sz w:val="18"/>
                <w:szCs w:val="18"/>
              </w:rPr>
            </w:pPr>
            <w:r w:rsidRPr="009C2499">
              <w:rPr>
                <w:sz w:val="18"/>
                <w:szCs w:val="18"/>
              </w:rPr>
              <w:t>6550</w:t>
            </w:r>
          </w:p>
        </w:tc>
        <w:tc>
          <w:tcPr>
            <w:tcW w:w="993" w:type="dxa"/>
          </w:tcPr>
          <w:p w:rsidR="00E40FB2" w:rsidRPr="009C2499" w:rsidRDefault="00E40FB2" w:rsidP="00E40FB2">
            <w:pPr>
              <w:jc w:val="right"/>
              <w:rPr>
                <w:sz w:val="18"/>
                <w:szCs w:val="18"/>
              </w:rPr>
            </w:pPr>
            <w:r w:rsidRPr="009C2499">
              <w:rPr>
                <w:sz w:val="18"/>
                <w:szCs w:val="18"/>
              </w:rPr>
              <w:t>palielinās</w:t>
            </w:r>
          </w:p>
        </w:tc>
        <w:tc>
          <w:tcPr>
            <w:tcW w:w="1133" w:type="dxa"/>
          </w:tcPr>
          <w:p w:rsidR="00E40FB2" w:rsidRPr="009C2499" w:rsidRDefault="00E40FB2" w:rsidP="00E40FB2">
            <w:pPr>
              <w:jc w:val="right"/>
              <w:rPr>
                <w:sz w:val="18"/>
                <w:szCs w:val="18"/>
              </w:rPr>
            </w:pPr>
            <w:r w:rsidRPr="009C2499">
              <w:rPr>
                <w:sz w:val="18"/>
                <w:szCs w:val="18"/>
              </w:rPr>
              <w:t>palielinās</w:t>
            </w:r>
          </w:p>
        </w:tc>
      </w:tr>
      <w:tr w:rsidR="00E40FB2" w:rsidRPr="009C2499" w:rsidTr="00730674">
        <w:trPr>
          <w:jc w:val="center"/>
        </w:trPr>
        <w:tc>
          <w:tcPr>
            <w:tcW w:w="9351" w:type="dxa"/>
            <w:gridSpan w:val="8"/>
          </w:tcPr>
          <w:p w:rsidR="00E40FB2" w:rsidRPr="009C2499" w:rsidRDefault="00E40FB2" w:rsidP="00E40FB2">
            <w:pPr>
              <w:spacing w:before="60" w:after="60"/>
              <w:jc w:val="center"/>
              <w:rPr>
                <w:sz w:val="18"/>
                <w:szCs w:val="18"/>
              </w:rPr>
            </w:pPr>
            <w:r w:rsidRPr="009C2499">
              <w:rPr>
                <w:sz w:val="18"/>
                <w:szCs w:val="18"/>
              </w:rPr>
              <w:t>Veiktie pasākumi noziedzīgu nodarījumu atklāšanai</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t>Uzsākto kriminālprocesu skaits</w:t>
            </w:r>
          </w:p>
        </w:tc>
        <w:tc>
          <w:tcPr>
            <w:tcW w:w="964" w:type="dxa"/>
          </w:tcPr>
          <w:p w:rsidR="00E40FB2" w:rsidRPr="009C2499" w:rsidRDefault="00E40FB2" w:rsidP="00E40FB2">
            <w:pPr>
              <w:jc w:val="right"/>
              <w:rPr>
                <w:sz w:val="18"/>
                <w:szCs w:val="18"/>
              </w:rPr>
            </w:pPr>
            <w:r w:rsidRPr="009C2499">
              <w:rPr>
                <w:sz w:val="18"/>
                <w:szCs w:val="18"/>
              </w:rPr>
              <w:t>49 528</w:t>
            </w:r>
          </w:p>
        </w:tc>
        <w:tc>
          <w:tcPr>
            <w:tcW w:w="964" w:type="dxa"/>
          </w:tcPr>
          <w:p w:rsidR="00E40FB2" w:rsidRPr="009C2499" w:rsidRDefault="00E40FB2" w:rsidP="00E40FB2">
            <w:pPr>
              <w:jc w:val="right"/>
              <w:rPr>
                <w:sz w:val="18"/>
                <w:szCs w:val="18"/>
              </w:rPr>
            </w:pPr>
            <w:r w:rsidRPr="009C2499">
              <w:rPr>
                <w:sz w:val="18"/>
                <w:szCs w:val="18"/>
              </w:rPr>
              <w:t>45 018</w:t>
            </w:r>
          </w:p>
        </w:tc>
        <w:tc>
          <w:tcPr>
            <w:tcW w:w="964" w:type="dxa"/>
          </w:tcPr>
          <w:p w:rsidR="00E40FB2" w:rsidRPr="009C2499" w:rsidRDefault="00E40FB2" w:rsidP="00E40FB2">
            <w:pPr>
              <w:jc w:val="right"/>
              <w:rPr>
                <w:sz w:val="18"/>
                <w:szCs w:val="18"/>
              </w:rPr>
            </w:pPr>
            <w:r w:rsidRPr="009C2499">
              <w:rPr>
                <w:sz w:val="18"/>
                <w:szCs w:val="18"/>
              </w:rPr>
              <w:t>45 096</w:t>
            </w:r>
          </w:p>
        </w:tc>
        <w:tc>
          <w:tcPr>
            <w:tcW w:w="964" w:type="dxa"/>
          </w:tcPr>
          <w:p w:rsidR="00E40FB2" w:rsidRPr="009C2499" w:rsidRDefault="00E40FB2" w:rsidP="00E40FB2">
            <w:pPr>
              <w:jc w:val="right"/>
              <w:rPr>
                <w:sz w:val="18"/>
                <w:szCs w:val="18"/>
              </w:rPr>
            </w:pPr>
            <w:r w:rsidRPr="009C2499">
              <w:rPr>
                <w:sz w:val="18"/>
                <w:szCs w:val="18"/>
              </w:rPr>
              <w:t>45 018</w:t>
            </w:r>
          </w:p>
        </w:tc>
        <w:tc>
          <w:tcPr>
            <w:tcW w:w="964" w:type="dxa"/>
          </w:tcPr>
          <w:p w:rsidR="00E40FB2" w:rsidRPr="009C2499" w:rsidRDefault="00E40FB2" w:rsidP="00E40FB2">
            <w:pPr>
              <w:jc w:val="right"/>
              <w:rPr>
                <w:sz w:val="18"/>
                <w:szCs w:val="18"/>
              </w:rPr>
            </w:pPr>
            <w:r w:rsidRPr="009C2499">
              <w:rPr>
                <w:sz w:val="18"/>
                <w:szCs w:val="18"/>
              </w:rPr>
              <w:t>45 018</w:t>
            </w:r>
          </w:p>
        </w:tc>
        <w:tc>
          <w:tcPr>
            <w:tcW w:w="993" w:type="dxa"/>
          </w:tcPr>
          <w:p w:rsidR="00E40FB2" w:rsidRPr="009C2499" w:rsidRDefault="00E40FB2" w:rsidP="00E40FB2">
            <w:pPr>
              <w:jc w:val="center"/>
              <w:rPr>
                <w:sz w:val="18"/>
                <w:szCs w:val="18"/>
              </w:rPr>
            </w:pPr>
            <w:r w:rsidRPr="009C2499">
              <w:rPr>
                <w:sz w:val="18"/>
                <w:szCs w:val="18"/>
              </w:rPr>
              <w:t>saglabājas esošajā līmenī</w:t>
            </w:r>
          </w:p>
        </w:tc>
        <w:tc>
          <w:tcPr>
            <w:tcW w:w="1133" w:type="dxa"/>
          </w:tcPr>
          <w:p w:rsidR="00E40FB2" w:rsidRPr="009C2499" w:rsidRDefault="00E40FB2" w:rsidP="00E40FB2">
            <w:pPr>
              <w:jc w:val="center"/>
              <w:rPr>
                <w:sz w:val="18"/>
                <w:szCs w:val="18"/>
              </w:rPr>
            </w:pPr>
            <w:r w:rsidRPr="009C2499">
              <w:rPr>
                <w:sz w:val="18"/>
                <w:szCs w:val="18"/>
              </w:rPr>
              <w:t>saglabājas esošajā līmenī</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t>Preventīvo pasākumu skaits nelegālā alkohola aprites un ar akcīzes nodokli apliekamu preču tirdzniecības, glabāšanas un realizācijas noteikumu ievērošanā</w:t>
            </w:r>
          </w:p>
        </w:tc>
        <w:tc>
          <w:tcPr>
            <w:tcW w:w="964" w:type="dxa"/>
          </w:tcPr>
          <w:p w:rsidR="00E40FB2" w:rsidRPr="009C2499" w:rsidRDefault="00E40FB2" w:rsidP="00E40FB2">
            <w:pPr>
              <w:jc w:val="center"/>
              <w:rPr>
                <w:i/>
                <w:sz w:val="18"/>
                <w:szCs w:val="18"/>
              </w:rPr>
            </w:pPr>
            <w:r w:rsidRPr="009C2499">
              <w:rPr>
                <w:i/>
                <w:sz w:val="18"/>
                <w:szCs w:val="18"/>
              </w:rPr>
              <w:t>×</w:t>
            </w:r>
          </w:p>
        </w:tc>
        <w:tc>
          <w:tcPr>
            <w:tcW w:w="964" w:type="dxa"/>
          </w:tcPr>
          <w:p w:rsidR="00E40FB2" w:rsidRPr="009C2499" w:rsidRDefault="00E40FB2" w:rsidP="00E40FB2">
            <w:pPr>
              <w:jc w:val="center"/>
              <w:rPr>
                <w:sz w:val="18"/>
                <w:szCs w:val="18"/>
              </w:rPr>
            </w:pPr>
            <w:r w:rsidRPr="009C2499">
              <w:rPr>
                <w:sz w:val="18"/>
                <w:szCs w:val="18"/>
              </w:rPr>
              <w:t>×</w:t>
            </w:r>
          </w:p>
        </w:tc>
        <w:tc>
          <w:tcPr>
            <w:tcW w:w="964" w:type="dxa"/>
          </w:tcPr>
          <w:p w:rsidR="00E40FB2" w:rsidRPr="009C2499" w:rsidRDefault="00E40FB2" w:rsidP="00E40FB2">
            <w:pPr>
              <w:jc w:val="center"/>
              <w:rPr>
                <w:sz w:val="18"/>
                <w:szCs w:val="18"/>
              </w:rPr>
            </w:pPr>
            <w:r w:rsidRPr="009C2499">
              <w:rPr>
                <w:i/>
                <w:sz w:val="18"/>
                <w:szCs w:val="18"/>
              </w:rPr>
              <w:t>×</w:t>
            </w:r>
          </w:p>
        </w:tc>
        <w:tc>
          <w:tcPr>
            <w:tcW w:w="964" w:type="dxa"/>
          </w:tcPr>
          <w:p w:rsidR="00E40FB2" w:rsidRPr="009C2499" w:rsidRDefault="00E40FB2" w:rsidP="00E40FB2">
            <w:pPr>
              <w:jc w:val="center"/>
              <w:rPr>
                <w:sz w:val="18"/>
                <w:szCs w:val="18"/>
              </w:rPr>
            </w:pPr>
            <w:r w:rsidRPr="009C2499">
              <w:rPr>
                <w:sz w:val="18"/>
                <w:szCs w:val="18"/>
              </w:rPr>
              <w:t>×</w:t>
            </w:r>
          </w:p>
        </w:tc>
        <w:tc>
          <w:tcPr>
            <w:tcW w:w="964" w:type="dxa"/>
          </w:tcPr>
          <w:p w:rsidR="00E40FB2" w:rsidRPr="009C2499" w:rsidRDefault="00E40FB2" w:rsidP="00E40FB2">
            <w:pPr>
              <w:jc w:val="right"/>
              <w:rPr>
                <w:sz w:val="18"/>
                <w:szCs w:val="18"/>
              </w:rPr>
            </w:pPr>
            <w:r w:rsidRPr="009C2499">
              <w:rPr>
                <w:sz w:val="18"/>
                <w:szCs w:val="18"/>
              </w:rPr>
              <w:t>3800</w:t>
            </w:r>
          </w:p>
        </w:tc>
        <w:tc>
          <w:tcPr>
            <w:tcW w:w="993" w:type="dxa"/>
          </w:tcPr>
          <w:p w:rsidR="00E40FB2" w:rsidRPr="009C2499" w:rsidRDefault="00E40FB2" w:rsidP="00E40FB2">
            <w:pPr>
              <w:jc w:val="center"/>
              <w:rPr>
                <w:sz w:val="18"/>
                <w:szCs w:val="18"/>
              </w:rPr>
            </w:pPr>
            <w:r w:rsidRPr="009C2499">
              <w:rPr>
                <w:sz w:val="18"/>
                <w:szCs w:val="18"/>
              </w:rPr>
              <w:t>saglabājas esošajā līmenī</w:t>
            </w:r>
          </w:p>
        </w:tc>
        <w:tc>
          <w:tcPr>
            <w:tcW w:w="1133" w:type="dxa"/>
          </w:tcPr>
          <w:p w:rsidR="00E40FB2" w:rsidRPr="009C2499" w:rsidRDefault="00E40FB2" w:rsidP="00E40FB2">
            <w:pPr>
              <w:jc w:val="center"/>
              <w:rPr>
                <w:sz w:val="18"/>
                <w:szCs w:val="18"/>
              </w:rPr>
            </w:pPr>
            <w:r w:rsidRPr="009C2499">
              <w:rPr>
                <w:sz w:val="18"/>
                <w:szCs w:val="18"/>
              </w:rPr>
              <w:t>saglabājas esošajā līmenī</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lastRenderedPageBreak/>
              <w:t>Vidējais faktiskās atklāšanas procents</w:t>
            </w:r>
          </w:p>
        </w:tc>
        <w:tc>
          <w:tcPr>
            <w:tcW w:w="964" w:type="dxa"/>
          </w:tcPr>
          <w:p w:rsidR="00E40FB2" w:rsidRPr="009C2499" w:rsidRDefault="00E40FB2" w:rsidP="00E40FB2">
            <w:pPr>
              <w:jc w:val="right"/>
              <w:rPr>
                <w:sz w:val="18"/>
                <w:szCs w:val="18"/>
              </w:rPr>
            </w:pPr>
            <w:r w:rsidRPr="009C2499">
              <w:rPr>
                <w:sz w:val="18"/>
                <w:szCs w:val="18"/>
              </w:rPr>
              <w:t>24,9</w:t>
            </w:r>
          </w:p>
        </w:tc>
        <w:tc>
          <w:tcPr>
            <w:tcW w:w="964" w:type="dxa"/>
          </w:tcPr>
          <w:p w:rsidR="00E40FB2" w:rsidRPr="009C2499" w:rsidRDefault="00E40FB2" w:rsidP="00E40FB2">
            <w:pPr>
              <w:jc w:val="right"/>
              <w:rPr>
                <w:sz w:val="18"/>
                <w:szCs w:val="18"/>
              </w:rPr>
            </w:pPr>
            <w:r w:rsidRPr="009C2499">
              <w:rPr>
                <w:sz w:val="18"/>
                <w:szCs w:val="18"/>
              </w:rPr>
              <w:t>28,0</w:t>
            </w:r>
          </w:p>
        </w:tc>
        <w:tc>
          <w:tcPr>
            <w:tcW w:w="964" w:type="dxa"/>
          </w:tcPr>
          <w:p w:rsidR="00E40FB2" w:rsidRPr="009C2499" w:rsidRDefault="00E40FB2" w:rsidP="00E40FB2">
            <w:pPr>
              <w:jc w:val="right"/>
              <w:rPr>
                <w:sz w:val="18"/>
                <w:szCs w:val="18"/>
              </w:rPr>
            </w:pPr>
            <w:r w:rsidRPr="009C2499">
              <w:rPr>
                <w:sz w:val="18"/>
                <w:szCs w:val="18"/>
              </w:rPr>
              <w:t>25,9</w:t>
            </w:r>
          </w:p>
        </w:tc>
        <w:tc>
          <w:tcPr>
            <w:tcW w:w="964" w:type="dxa"/>
          </w:tcPr>
          <w:p w:rsidR="00E40FB2" w:rsidRPr="009C2499" w:rsidRDefault="00E40FB2" w:rsidP="00E40FB2">
            <w:pPr>
              <w:jc w:val="right"/>
              <w:rPr>
                <w:sz w:val="18"/>
                <w:szCs w:val="18"/>
              </w:rPr>
            </w:pPr>
            <w:r w:rsidRPr="009C2499">
              <w:rPr>
                <w:sz w:val="18"/>
                <w:szCs w:val="18"/>
              </w:rPr>
              <w:t>28,5</w:t>
            </w:r>
          </w:p>
        </w:tc>
        <w:tc>
          <w:tcPr>
            <w:tcW w:w="964" w:type="dxa"/>
          </w:tcPr>
          <w:p w:rsidR="00E40FB2" w:rsidRPr="009C2499" w:rsidRDefault="00E40FB2" w:rsidP="00E40FB2">
            <w:pPr>
              <w:jc w:val="right"/>
              <w:rPr>
                <w:sz w:val="18"/>
                <w:szCs w:val="18"/>
              </w:rPr>
            </w:pPr>
            <w:r w:rsidRPr="009C2499">
              <w:rPr>
                <w:sz w:val="18"/>
                <w:szCs w:val="18"/>
              </w:rPr>
              <w:t>29,0</w:t>
            </w:r>
          </w:p>
        </w:tc>
        <w:tc>
          <w:tcPr>
            <w:tcW w:w="993" w:type="dxa"/>
          </w:tcPr>
          <w:p w:rsidR="00E40FB2" w:rsidRPr="009C2499" w:rsidRDefault="00E40FB2" w:rsidP="00E40FB2">
            <w:pPr>
              <w:jc w:val="right"/>
              <w:rPr>
                <w:sz w:val="18"/>
                <w:szCs w:val="18"/>
              </w:rPr>
            </w:pPr>
            <w:r w:rsidRPr="009C2499">
              <w:rPr>
                <w:sz w:val="18"/>
                <w:szCs w:val="18"/>
              </w:rPr>
              <w:t>palielinās</w:t>
            </w:r>
          </w:p>
        </w:tc>
        <w:tc>
          <w:tcPr>
            <w:tcW w:w="1133" w:type="dxa"/>
          </w:tcPr>
          <w:p w:rsidR="00E40FB2" w:rsidRPr="009C2499" w:rsidRDefault="00E40FB2" w:rsidP="00E40FB2">
            <w:pPr>
              <w:jc w:val="right"/>
              <w:rPr>
                <w:sz w:val="18"/>
                <w:szCs w:val="18"/>
              </w:rPr>
            </w:pPr>
            <w:r w:rsidRPr="009C2499">
              <w:rPr>
                <w:sz w:val="18"/>
                <w:szCs w:val="18"/>
              </w:rPr>
              <w:t>palielinās</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t>Veikto ekspertīžu skaits</w:t>
            </w:r>
          </w:p>
        </w:tc>
        <w:tc>
          <w:tcPr>
            <w:tcW w:w="964" w:type="dxa"/>
          </w:tcPr>
          <w:p w:rsidR="00E40FB2" w:rsidRPr="009C2499" w:rsidRDefault="00E40FB2" w:rsidP="00E40FB2">
            <w:pPr>
              <w:jc w:val="right"/>
              <w:rPr>
                <w:sz w:val="18"/>
                <w:szCs w:val="18"/>
              </w:rPr>
            </w:pPr>
            <w:r w:rsidRPr="009C2499">
              <w:rPr>
                <w:sz w:val="18"/>
                <w:szCs w:val="18"/>
              </w:rPr>
              <w:t>18 237</w:t>
            </w:r>
          </w:p>
        </w:tc>
        <w:tc>
          <w:tcPr>
            <w:tcW w:w="964" w:type="dxa"/>
          </w:tcPr>
          <w:p w:rsidR="00E40FB2" w:rsidRPr="009C2499" w:rsidRDefault="00E40FB2" w:rsidP="00E40FB2">
            <w:pPr>
              <w:jc w:val="right"/>
              <w:rPr>
                <w:sz w:val="18"/>
                <w:szCs w:val="18"/>
              </w:rPr>
            </w:pPr>
            <w:r w:rsidRPr="009C2499">
              <w:rPr>
                <w:sz w:val="18"/>
                <w:szCs w:val="18"/>
              </w:rPr>
              <w:t>19 250</w:t>
            </w:r>
          </w:p>
        </w:tc>
        <w:tc>
          <w:tcPr>
            <w:tcW w:w="964" w:type="dxa"/>
          </w:tcPr>
          <w:p w:rsidR="00E40FB2" w:rsidRPr="009C2499" w:rsidRDefault="00E40FB2" w:rsidP="00E40FB2">
            <w:pPr>
              <w:jc w:val="right"/>
              <w:rPr>
                <w:sz w:val="18"/>
                <w:szCs w:val="18"/>
              </w:rPr>
            </w:pPr>
            <w:r w:rsidRPr="009C2499">
              <w:rPr>
                <w:sz w:val="18"/>
                <w:szCs w:val="18"/>
              </w:rPr>
              <w:t>17 843</w:t>
            </w:r>
          </w:p>
        </w:tc>
        <w:tc>
          <w:tcPr>
            <w:tcW w:w="964" w:type="dxa"/>
          </w:tcPr>
          <w:p w:rsidR="00E40FB2" w:rsidRPr="009C2499" w:rsidRDefault="00E40FB2" w:rsidP="00E40FB2">
            <w:pPr>
              <w:jc w:val="right"/>
              <w:rPr>
                <w:sz w:val="18"/>
                <w:szCs w:val="18"/>
              </w:rPr>
            </w:pPr>
            <w:r w:rsidRPr="009C2499">
              <w:rPr>
                <w:sz w:val="18"/>
                <w:szCs w:val="18"/>
              </w:rPr>
              <w:t>19 400</w:t>
            </w:r>
          </w:p>
        </w:tc>
        <w:tc>
          <w:tcPr>
            <w:tcW w:w="964" w:type="dxa"/>
          </w:tcPr>
          <w:p w:rsidR="00E40FB2" w:rsidRPr="009C2499" w:rsidRDefault="00E40FB2" w:rsidP="00E40FB2">
            <w:pPr>
              <w:jc w:val="right"/>
              <w:rPr>
                <w:sz w:val="18"/>
                <w:szCs w:val="18"/>
              </w:rPr>
            </w:pPr>
            <w:r w:rsidRPr="009C2499">
              <w:rPr>
                <w:sz w:val="18"/>
                <w:szCs w:val="18"/>
              </w:rPr>
              <w:t>19 500</w:t>
            </w:r>
          </w:p>
        </w:tc>
        <w:tc>
          <w:tcPr>
            <w:tcW w:w="993" w:type="dxa"/>
          </w:tcPr>
          <w:p w:rsidR="00E40FB2" w:rsidRPr="009C2499" w:rsidRDefault="00E40FB2" w:rsidP="00E40FB2">
            <w:pPr>
              <w:jc w:val="right"/>
              <w:rPr>
                <w:sz w:val="18"/>
                <w:szCs w:val="18"/>
              </w:rPr>
            </w:pPr>
            <w:r w:rsidRPr="009C2499">
              <w:rPr>
                <w:sz w:val="18"/>
                <w:szCs w:val="18"/>
              </w:rPr>
              <w:t>palielinās</w:t>
            </w:r>
          </w:p>
        </w:tc>
        <w:tc>
          <w:tcPr>
            <w:tcW w:w="1133" w:type="dxa"/>
          </w:tcPr>
          <w:p w:rsidR="00E40FB2" w:rsidRPr="009C2499" w:rsidRDefault="00E40FB2" w:rsidP="00E40FB2">
            <w:pPr>
              <w:jc w:val="right"/>
              <w:rPr>
                <w:sz w:val="18"/>
                <w:szCs w:val="18"/>
              </w:rPr>
            </w:pPr>
            <w:r w:rsidRPr="009C2499">
              <w:rPr>
                <w:sz w:val="18"/>
                <w:szCs w:val="18"/>
              </w:rPr>
              <w:t>palielinās</w:t>
            </w:r>
          </w:p>
        </w:tc>
      </w:tr>
      <w:tr w:rsidR="00E40FB2" w:rsidRPr="009C2499" w:rsidTr="00730674">
        <w:trPr>
          <w:jc w:val="center"/>
        </w:trPr>
        <w:tc>
          <w:tcPr>
            <w:tcW w:w="9351" w:type="dxa"/>
            <w:gridSpan w:val="8"/>
          </w:tcPr>
          <w:p w:rsidR="00E40FB2" w:rsidRPr="009C2499" w:rsidRDefault="00E40FB2" w:rsidP="00E40FB2">
            <w:pPr>
              <w:spacing w:before="60" w:after="60"/>
              <w:jc w:val="center"/>
              <w:rPr>
                <w:sz w:val="18"/>
                <w:szCs w:val="18"/>
              </w:rPr>
            </w:pPr>
            <w:r w:rsidRPr="009C2499">
              <w:rPr>
                <w:sz w:val="18"/>
                <w:szCs w:val="18"/>
              </w:rPr>
              <w:t>Izglītoti un apmācīti speciālisti Valsts policijas darbības jomā</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t>Speciālistu skaits, kuri ieguvuši 1.līmeņa profesionālo augstāko izglītību programmā “Policijas darbs”</w:t>
            </w:r>
          </w:p>
        </w:tc>
        <w:tc>
          <w:tcPr>
            <w:tcW w:w="964" w:type="dxa"/>
          </w:tcPr>
          <w:p w:rsidR="00E40FB2" w:rsidRPr="009C2499" w:rsidRDefault="00E40FB2" w:rsidP="00E40FB2">
            <w:pPr>
              <w:jc w:val="right"/>
              <w:rPr>
                <w:sz w:val="18"/>
                <w:szCs w:val="18"/>
              </w:rPr>
            </w:pPr>
            <w:r w:rsidRPr="009C2499">
              <w:rPr>
                <w:sz w:val="18"/>
                <w:szCs w:val="18"/>
              </w:rPr>
              <w:t>78</w:t>
            </w:r>
          </w:p>
        </w:tc>
        <w:tc>
          <w:tcPr>
            <w:tcW w:w="964" w:type="dxa"/>
          </w:tcPr>
          <w:p w:rsidR="00E40FB2" w:rsidRPr="009C2499" w:rsidRDefault="00E40FB2" w:rsidP="00E40FB2">
            <w:pPr>
              <w:jc w:val="right"/>
              <w:rPr>
                <w:sz w:val="18"/>
                <w:szCs w:val="18"/>
              </w:rPr>
            </w:pPr>
            <w:r w:rsidRPr="009C2499">
              <w:rPr>
                <w:sz w:val="18"/>
                <w:szCs w:val="18"/>
              </w:rPr>
              <w:t>47</w:t>
            </w:r>
          </w:p>
        </w:tc>
        <w:tc>
          <w:tcPr>
            <w:tcW w:w="964" w:type="dxa"/>
          </w:tcPr>
          <w:p w:rsidR="00E40FB2" w:rsidRPr="009C2499" w:rsidRDefault="00E40FB2" w:rsidP="00E40FB2">
            <w:pPr>
              <w:jc w:val="right"/>
              <w:rPr>
                <w:sz w:val="18"/>
                <w:szCs w:val="18"/>
              </w:rPr>
            </w:pPr>
            <w:r w:rsidRPr="009C2499">
              <w:rPr>
                <w:sz w:val="18"/>
                <w:szCs w:val="18"/>
              </w:rPr>
              <w:t>71</w:t>
            </w:r>
          </w:p>
        </w:tc>
        <w:tc>
          <w:tcPr>
            <w:tcW w:w="964" w:type="dxa"/>
          </w:tcPr>
          <w:p w:rsidR="00E40FB2" w:rsidRPr="009C2499" w:rsidRDefault="00E40FB2" w:rsidP="00E40FB2">
            <w:pPr>
              <w:jc w:val="right"/>
              <w:rPr>
                <w:sz w:val="18"/>
                <w:szCs w:val="18"/>
              </w:rPr>
            </w:pPr>
            <w:r w:rsidRPr="009C2499">
              <w:rPr>
                <w:sz w:val="18"/>
                <w:szCs w:val="18"/>
              </w:rPr>
              <w:t>106</w:t>
            </w:r>
          </w:p>
        </w:tc>
        <w:tc>
          <w:tcPr>
            <w:tcW w:w="964" w:type="dxa"/>
          </w:tcPr>
          <w:p w:rsidR="00E40FB2" w:rsidRPr="009C2499" w:rsidRDefault="00E40FB2" w:rsidP="00E40FB2">
            <w:pPr>
              <w:jc w:val="right"/>
              <w:rPr>
                <w:sz w:val="18"/>
                <w:szCs w:val="18"/>
              </w:rPr>
            </w:pPr>
            <w:r w:rsidRPr="009C2499">
              <w:rPr>
                <w:sz w:val="18"/>
                <w:szCs w:val="18"/>
              </w:rPr>
              <w:t>115</w:t>
            </w:r>
          </w:p>
        </w:tc>
        <w:tc>
          <w:tcPr>
            <w:tcW w:w="993" w:type="dxa"/>
          </w:tcPr>
          <w:p w:rsidR="00E40FB2" w:rsidRPr="009C2499" w:rsidRDefault="00E40FB2" w:rsidP="00E40FB2">
            <w:pPr>
              <w:jc w:val="right"/>
              <w:rPr>
                <w:sz w:val="18"/>
                <w:szCs w:val="18"/>
              </w:rPr>
            </w:pPr>
            <w:r w:rsidRPr="009C2499">
              <w:rPr>
                <w:sz w:val="18"/>
                <w:szCs w:val="18"/>
              </w:rPr>
              <w:t>palielinās</w:t>
            </w:r>
          </w:p>
        </w:tc>
        <w:tc>
          <w:tcPr>
            <w:tcW w:w="1133" w:type="dxa"/>
          </w:tcPr>
          <w:p w:rsidR="00E40FB2" w:rsidRPr="009C2499" w:rsidRDefault="00E40FB2" w:rsidP="00E40FB2">
            <w:pPr>
              <w:jc w:val="right"/>
              <w:rPr>
                <w:sz w:val="18"/>
                <w:szCs w:val="18"/>
              </w:rPr>
            </w:pPr>
            <w:r w:rsidRPr="009C2499">
              <w:rPr>
                <w:sz w:val="18"/>
                <w:szCs w:val="18"/>
              </w:rPr>
              <w:t>palielinās</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t>Speciālistu skaits, kuri apguvuši arodizglītības programmu “Policijas darbs”</w:t>
            </w:r>
          </w:p>
        </w:tc>
        <w:tc>
          <w:tcPr>
            <w:tcW w:w="964" w:type="dxa"/>
          </w:tcPr>
          <w:p w:rsidR="00E40FB2" w:rsidRPr="009C2499" w:rsidRDefault="00E40FB2" w:rsidP="00E40FB2">
            <w:pPr>
              <w:jc w:val="right"/>
              <w:rPr>
                <w:sz w:val="18"/>
                <w:szCs w:val="18"/>
              </w:rPr>
            </w:pPr>
            <w:r w:rsidRPr="009C2499">
              <w:rPr>
                <w:sz w:val="18"/>
                <w:szCs w:val="18"/>
              </w:rPr>
              <w:t>58</w:t>
            </w:r>
          </w:p>
        </w:tc>
        <w:tc>
          <w:tcPr>
            <w:tcW w:w="964" w:type="dxa"/>
          </w:tcPr>
          <w:p w:rsidR="00E40FB2" w:rsidRPr="009C2499" w:rsidRDefault="00E40FB2" w:rsidP="00E40FB2">
            <w:pPr>
              <w:jc w:val="right"/>
              <w:rPr>
                <w:sz w:val="18"/>
                <w:szCs w:val="18"/>
              </w:rPr>
            </w:pPr>
            <w:r w:rsidRPr="009C2499">
              <w:rPr>
                <w:sz w:val="18"/>
                <w:szCs w:val="18"/>
              </w:rPr>
              <w:t>184</w:t>
            </w:r>
          </w:p>
        </w:tc>
        <w:tc>
          <w:tcPr>
            <w:tcW w:w="964" w:type="dxa"/>
          </w:tcPr>
          <w:p w:rsidR="00E40FB2" w:rsidRPr="009C2499" w:rsidRDefault="00E40FB2" w:rsidP="00E40FB2">
            <w:pPr>
              <w:jc w:val="right"/>
              <w:rPr>
                <w:sz w:val="18"/>
                <w:szCs w:val="18"/>
              </w:rPr>
            </w:pPr>
            <w:r w:rsidRPr="009C2499">
              <w:rPr>
                <w:sz w:val="18"/>
                <w:szCs w:val="18"/>
              </w:rPr>
              <w:t>159</w:t>
            </w:r>
          </w:p>
        </w:tc>
        <w:tc>
          <w:tcPr>
            <w:tcW w:w="964" w:type="dxa"/>
          </w:tcPr>
          <w:p w:rsidR="00E40FB2" w:rsidRPr="009C2499" w:rsidRDefault="00E40FB2" w:rsidP="00E40FB2">
            <w:pPr>
              <w:jc w:val="right"/>
              <w:rPr>
                <w:sz w:val="18"/>
                <w:szCs w:val="18"/>
              </w:rPr>
            </w:pPr>
            <w:r w:rsidRPr="009C2499">
              <w:rPr>
                <w:sz w:val="18"/>
                <w:szCs w:val="18"/>
              </w:rPr>
              <w:t>220</w:t>
            </w:r>
          </w:p>
        </w:tc>
        <w:tc>
          <w:tcPr>
            <w:tcW w:w="964" w:type="dxa"/>
          </w:tcPr>
          <w:p w:rsidR="00E40FB2" w:rsidRPr="009C2499" w:rsidRDefault="00E40FB2" w:rsidP="00E40FB2">
            <w:pPr>
              <w:jc w:val="right"/>
              <w:rPr>
                <w:sz w:val="18"/>
                <w:szCs w:val="18"/>
              </w:rPr>
            </w:pPr>
            <w:r w:rsidRPr="009C2499">
              <w:rPr>
                <w:sz w:val="18"/>
                <w:szCs w:val="18"/>
              </w:rPr>
              <w:t>165</w:t>
            </w:r>
          </w:p>
        </w:tc>
        <w:tc>
          <w:tcPr>
            <w:tcW w:w="993" w:type="dxa"/>
          </w:tcPr>
          <w:p w:rsidR="00E40FB2" w:rsidRPr="009C2499" w:rsidRDefault="00E40FB2" w:rsidP="00E40FB2">
            <w:pPr>
              <w:jc w:val="right"/>
              <w:rPr>
                <w:sz w:val="18"/>
                <w:szCs w:val="18"/>
              </w:rPr>
            </w:pPr>
            <w:r w:rsidRPr="009C2499">
              <w:rPr>
                <w:sz w:val="18"/>
                <w:szCs w:val="18"/>
              </w:rPr>
              <w:t>palielinās</w:t>
            </w:r>
          </w:p>
        </w:tc>
        <w:tc>
          <w:tcPr>
            <w:tcW w:w="1133" w:type="dxa"/>
          </w:tcPr>
          <w:p w:rsidR="00E40FB2" w:rsidRPr="009C2499" w:rsidRDefault="00E40FB2" w:rsidP="00E40FB2">
            <w:pPr>
              <w:jc w:val="right"/>
              <w:rPr>
                <w:sz w:val="18"/>
                <w:szCs w:val="18"/>
              </w:rPr>
            </w:pPr>
            <w:r w:rsidRPr="009C2499">
              <w:rPr>
                <w:sz w:val="18"/>
                <w:szCs w:val="18"/>
              </w:rPr>
              <w:t>palielinās</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t>Speciālistu skaits, kuri apguvuši profesionālās pilnveides izglītības programmu “Policijas darba pamati”</w:t>
            </w:r>
          </w:p>
        </w:tc>
        <w:tc>
          <w:tcPr>
            <w:tcW w:w="964" w:type="dxa"/>
          </w:tcPr>
          <w:p w:rsidR="00E40FB2" w:rsidRPr="009C2499" w:rsidRDefault="00E40FB2" w:rsidP="00E40FB2">
            <w:pPr>
              <w:jc w:val="right"/>
              <w:rPr>
                <w:sz w:val="18"/>
                <w:szCs w:val="18"/>
              </w:rPr>
            </w:pPr>
            <w:r w:rsidRPr="009C2499">
              <w:rPr>
                <w:sz w:val="18"/>
                <w:szCs w:val="18"/>
              </w:rPr>
              <w:t>97</w:t>
            </w:r>
          </w:p>
        </w:tc>
        <w:tc>
          <w:tcPr>
            <w:tcW w:w="964" w:type="dxa"/>
          </w:tcPr>
          <w:p w:rsidR="00E40FB2" w:rsidRPr="009C2499" w:rsidRDefault="00E40FB2" w:rsidP="00E40FB2">
            <w:pPr>
              <w:jc w:val="right"/>
              <w:rPr>
                <w:sz w:val="18"/>
                <w:szCs w:val="18"/>
              </w:rPr>
            </w:pPr>
            <w:r w:rsidRPr="009C2499">
              <w:rPr>
                <w:sz w:val="18"/>
                <w:szCs w:val="18"/>
              </w:rPr>
              <w:t>66</w:t>
            </w:r>
          </w:p>
        </w:tc>
        <w:tc>
          <w:tcPr>
            <w:tcW w:w="964" w:type="dxa"/>
          </w:tcPr>
          <w:p w:rsidR="00E40FB2" w:rsidRPr="009C2499" w:rsidRDefault="00E40FB2" w:rsidP="00E40FB2">
            <w:pPr>
              <w:jc w:val="right"/>
              <w:rPr>
                <w:sz w:val="18"/>
                <w:szCs w:val="18"/>
              </w:rPr>
            </w:pPr>
            <w:r w:rsidRPr="009C2499">
              <w:rPr>
                <w:sz w:val="18"/>
                <w:szCs w:val="18"/>
              </w:rPr>
              <w:t>89</w:t>
            </w:r>
          </w:p>
        </w:tc>
        <w:tc>
          <w:tcPr>
            <w:tcW w:w="964" w:type="dxa"/>
          </w:tcPr>
          <w:p w:rsidR="00E40FB2" w:rsidRPr="009C2499" w:rsidRDefault="00E40FB2" w:rsidP="00E40FB2">
            <w:pPr>
              <w:jc w:val="right"/>
              <w:rPr>
                <w:sz w:val="18"/>
                <w:szCs w:val="18"/>
              </w:rPr>
            </w:pPr>
            <w:r w:rsidRPr="009C2499">
              <w:rPr>
                <w:sz w:val="18"/>
                <w:szCs w:val="18"/>
              </w:rPr>
              <w:t>80</w:t>
            </w:r>
          </w:p>
        </w:tc>
        <w:tc>
          <w:tcPr>
            <w:tcW w:w="964" w:type="dxa"/>
          </w:tcPr>
          <w:p w:rsidR="00E40FB2" w:rsidRPr="009C2499" w:rsidRDefault="00E40FB2" w:rsidP="00E40FB2">
            <w:pPr>
              <w:jc w:val="right"/>
              <w:rPr>
                <w:sz w:val="18"/>
                <w:szCs w:val="18"/>
              </w:rPr>
            </w:pPr>
            <w:r w:rsidRPr="009C2499">
              <w:rPr>
                <w:sz w:val="18"/>
                <w:szCs w:val="18"/>
              </w:rPr>
              <w:t>100</w:t>
            </w:r>
          </w:p>
        </w:tc>
        <w:tc>
          <w:tcPr>
            <w:tcW w:w="993" w:type="dxa"/>
          </w:tcPr>
          <w:p w:rsidR="00E40FB2" w:rsidRPr="009C2499" w:rsidRDefault="00E40FB2" w:rsidP="00E40FB2">
            <w:pPr>
              <w:jc w:val="center"/>
              <w:rPr>
                <w:sz w:val="18"/>
                <w:szCs w:val="18"/>
              </w:rPr>
            </w:pPr>
            <w:r w:rsidRPr="009C2499">
              <w:rPr>
                <w:sz w:val="18"/>
                <w:szCs w:val="18"/>
              </w:rPr>
              <w:t>saglabājas esošajā līmenī</w:t>
            </w:r>
          </w:p>
        </w:tc>
        <w:tc>
          <w:tcPr>
            <w:tcW w:w="1133" w:type="dxa"/>
          </w:tcPr>
          <w:p w:rsidR="00E40FB2" w:rsidRPr="009C2499" w:rsidRDefault="00E40FB2" w:rsidP="00E40FB2">
            <w:pPr>
              <w:jc w:val="center"/>
              <w:rPr>
                <w:sz w:val="18"/>
                <w:szCs w:val="18"/>
              </w:rPr>
            </w:pPr>
            <w:r w:rsidRPr="009C2499">
              <w:rPr>
                <w:sz w:val="18"/>
                <w:szCs w:val="18"/>
              </w:rPr>
              <w:t>saglabājas esošajā līmenī</w:t>
            </w:r>
          </w:p>
        </w:tc>
      </w:tr>
      <w:tr w:rsidR="00E40FB2" w:rsidRPr="009C2499" w:rsidTr="00730674">
        <w:trPr>
          <w:jc w:val="center"/>
        </w:trPr>
        <w:tc>
          <w:tcPr>
            <w:tcW w:w="2405" w:type="dxa"/>
          </w:tcPr>
          <w:p w:rsidR="00E40FB2" w:rsidRPr="009C2499" w:rsidRDefault="00E40FB2" w:rsidP="00E40FB2">
            <w:pPr>
              <w:rPr>
                <w:sz w:val="18"/>
                <w:szCs w:val="18"/>
              </w:rPr>
            </w:pPr>
            <w:r w:rsidRPr="009C2499">
              <w:rPr>
                <w:sz w:val="18"/>
                <w:szCs w:val="18"/>
              </w:rPr>
              <w:t>Speciālistu skaits, kuri apguvuši profesionālas pilnveides izglītības programmas</w:t>
            </w:r>
          </w:p>
        </w:tc>
        <w:tc>
          <w:tcPr>
            <w:tcW w:w="964" w:type="dxa"/>
          </w:tcPr>
          <w:p w:rsidR="00E40FB2" w:rsidRPr="009C2499" w:rsidRDefault="00E40FB2" w:rsidP="00E40FB2">
            <w:pPr>
              <w:jc w:val="right"/>
              <w:rPr>
                <w:sz w:val="18"/>
                <w:szCs w:val="18"/>
              </w:rPr>
            </w:pPr>
            <w:r w:rsidRPr="009C2499">
              <w:rPr>
                <w:sz w:val="18"/>
                <w:szCs w:val="18"/>
              </w:rPr>
              <w:t>6403</w:t>
            </w:r>
          </w:p>
        </w:tc>
        <w:tc>
          <w:tcPr>
            <w:tcW w:w="964" w:type="dxa"/>
          </w:tcPr>
          <w:p w:rsidR="00E40FB2" w:rsidRPr="009C2499" w:rsidRDefault="00E40FB2" w:rsidP="00E40FB2">
            <w:pPr>
              <w:jc w:val="right"/>
              <w:rPr>
                <w:sz w:val="18"/>
                <w:szCs w:val="18"/>
              </w:rPr>
            </w:pPr>
            <w:r w:rsidRPr="009C2499">
              <w:rPr>
                <w:sz w:val="18"/>
                <w:szCs w:val="18"/>
              </w:rPr>
              <w:t>4890</w:t>
            </w:r>
          </w:p>
        </w:tc>
        <w:tc>
          <w:tcPr>
            <w:tcW w:w="964" w:type="dxa"/>
          </w:tcPr>
          <w:p w:rsidR="00E40FB2" w:rsidRPr="009C2499" w:rsidRDefault="00E40FB2" w:rsidP="00E40FB2">
            <w:pPr>
              <w:jc w:val="right"/>
              <w:rPr>
                <w:sz w:val="18"/>
                <w:szCs w:val="18"/>
              </w:rPr>
            </w:pPr>
            <w:r w:rsidRPr="009C2499">
              <w:rPr>
                <w:sz w:val="18"/>
                <w:szCs w:val="18"/>
              </w:rPr>
              <w:t>3448</w:t>
            </w:r>
          </w:p>
        </w:tc>
        <w:tc>
          <w:tcPr>
            <w:tcW w:w="964" w:type="dxa"/>
          </w:tcPr>
          <w:p w:rsidR="00E40FB2" w:rsidRPr="009C2499" w:rsidRDefault="00E40FB2" w:rsidP="00E40FB2">
            <w:pPr>
              <w:jc w:val="right"/>
              <w:rPr>
                <w:sz w:val="18"/>
                <w:szCs w:val="18"/>
              </w:rPr>
            </w:pPr>
            <w:r w:rsidRPr="009C2499">
              <w:rPr>
                <w:sz w:val="18"/>
                <w:szCs w:val="18"/>
              </w:rPr>
              <w:t>4500</w:t>
            </w:r>
          </w:p>
        </w:tc>
        <w:tc>
          <w:tcPr>
            <w:tcW w:w="964" w:type="dxa"/>
          </w:tcPr>
          <w:p w:rsidR="00E40FB2" w:rsidRPr="009C2499" w:rsidRDefault="00E40FB2" w:rsidP="00E40FB2">
            <w:pPr>
              <w:jc w:val="right"/>
              <w:rPr>
                <w:sz w:val="18"/>
                <w:szCs w:val="18"/>
              </w:rPr>
            </w:pPr>
            <w:r w:rsidRPr="009C2499">
              <w:rPr>
                <w:sz w:val="18"/>
                <w:szCs w:val="18"/>
              </w:rPr>
              <w:t>4139</w:t>
            </w:r>
          </w:p>
        </w:tc>
        <w:tc>
          <w:tcPr>
            <w:tcW w:w="993" w:type="dxa"/>
          </w:tcPr>
          <w:p w:rsidR="00E40FB2" w:rsidRPr="009C2499" w:rsidRDefault="00E40FB2" w:rsidP="00E40FB2">
            <w:pPr>
              <w:jc w:val="right"/>
              <w:rPr>
                <w:sz w:val="18"/>
                <w:szCs w:val="18"/>
              </w:rPr>
            </w:pPr>
            <w:r w:rsidRPr="009C2499">
              <w:rPr>
                <w:sz w:val="18"/>
                <w:szCs w:val="18"/>
              </w:rPr>
              <w:t>samazinās</w:t>
            </w:r>
          </w:p>
        </w:tc>
        <w:tc>
          <w:tcPr>
            <w:tcW w:w="1133" w:type="dxa"/>
          </w:tcPr>
          <w:p w:rsidR="00E40FB2" w:rsidRPr="009C2499" w:rsidRDefault="00E40FB2" w:rsidP="00E40FB2">
            <w:pPr>
              <w:jc w:val="right"/>
              <w:rPr>
                <w:sz w:val="18"/>
                <w:szCs w:val="18"/>
              </w:rPr>
            </w:pPr>
            <w:r w:rsidRPr="009C2499">
              <w:rPr>
                <w:sz w:val="18"/>
                <w:szCs w:val="18"/>
              </w:rPr>
              <w:t>samazinās</w:t>
            </w:r>
          </w:p>
        </w:tc>
      </w:tr>
    </w:tbl>
    <w:p w:rsidR="0031615E" w:rsidRPr="00F175E2" w:rsidRDefault="00DD3346" w:rsidP="00F175E2">
      <w:pPr>
        <w:spacing w:before="120"/>
        <w:ind w:firstLine="709"/>
        <w:jc w:val="both"/>
        <w:rPr>
          <w:szCs w:val="24"/>
        </w:rPr>
      </w:pPr>
      <w:r>
        <w:rPr>
          <w:noProof/>
          <w:szCs w:val="24"/>
          <w:lang w:eastAsia="lv-LV"/>
        </w:rPr>
        <mc:AlternateContent>
          <mc:Choice Requires="wps">
            <w:drawing>
              <wp:anchor distT="0" distB="0" distL="114300" distR="114300" simplePos="0" relativeHeight="251709440" behindDoc="0" locked="0" layoutInCell="1" allowOverlap="1" wp14:anchorId="582AF157" wp14:editId="02798C66">
                <wp:simplePos x="0" y="0"/>
                <wp:positionH relativeFrom="column">
                  <wp:posOffset>887095</wp:posOffset>
                </wp:positionH>
                <wp:positionV relativeFrom="paragraph">
                  <wp:posOffset>681761</wp:posOffset>
                </wp:positionV>
                <wp:extent cx="270663" cy="0"/>
                <wp:effectExtent l="0" t="76200" r="15240" b="95250"/>
                <wp:wrapNone/>
                <wp:docPr id="5" name="Straight Arrow Connector 5"/>
                <wp:cNvGraphicFramePr/>
                <a:graphic xmlns:a="http://schemas.openxmlformats.org/drawingml/2006/main">
                  <a:graphicData uri="http://schemas.microsoft.com/office/word/2010/wordprocessingShape">
                    <wps:wsp>
                      <wps:cNvCnPr/>
                      <wps:spPr>
                        <a:xfrm>
                          <a:off x="0" y="0"/>
                          <a:ext cx="2706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DB8860" id="_x0000_t32" coordsize="21600,21600" o:spt="32" o:oned="t" path="m,l21600,21600e" filled="f">
                <v:path arrowok="t" fillok="f" o:connecttype="none"/>
                <o:lock v:ext="edit" shapetype="t"/>
              </v:shapetype>
              <v:shape id="Straight Arrow Connector 5" o:spid="_x0000_s1026" type="#_x0000_t32" style="position:absolute;margin-left:69.85pt;margin-top:53.7pt;width:21.3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zl0QEAAPMDAAAOAAAAZHJzL2Uyb0RvYy54bWysU9uO0zAQfUfiHyy/06RFW1DUdIW6wAuC&#10;ioUP8Dp2YuGbxkOT/j1jp82uuEgI8TKJ7Tkz5xyPd7eTs+ykIJngW75e1ZwpL0NnfN/yr1/evXjN&#10;WULhO2GDVy0/q8Rv98+f7cbYqE0Ygu0UMCriUzPGlg+IsamqJAflRFqFqDwd6gBOIC2hrzoQI1V3&#10;ttrU9bYaA3QRglQp0e7dfMj3pb7WSuInrZNCZltO3LBEKPEhx2q/E00PIg5GXmiIf2DhhPHUdCl1&#10;J1Cw72B+KeWMhJCCxpUMrgpaG6mKBlKzrn9Scz+IqIoWMifFxab0/8rKj6cjMNO1/IYzLxxd0T2C&#10;MP2A7A1AGNkheE82BmA32a0xpoZAB3+EyyrFI2TpkwaXvySKTcXh8+KwmpBJ2ty8qrfbl5zJ61H1&#10;iIuQ8L0KjuWflqcLjaX/uhgsTh8SUmcCXgG5qfU5ojD2re8YniMJQTDC91Zl2pSeU6pMfyZc/vBs&#10;1Qz/rDTZQBTnNmUA1cECOwkane7beqlCmRmijbULqC7c/gi65GaYKkP5t8Alu3QMHhegMz7A77ri&#10;dKWq5/yr6llrlv0QunO5vmIHTVbx5/IK8ug+XRf441vd/wAAAP//AwBQSwMEFAAGAAgAAAAhAKWH&#10;xHPdAAAACwEAAA8AAABkcnMvZG93bnJldi54bWxMj0FLw0AQhe+C/2EZwZvd2IpJYzZFRI9FbIp4&#10;3GYn2WB2NmQ3bfz3TkGot3kzjzffKzaz68URx9B5UnC/SEAg1d501CrYV293GYgQNRnde0IFPxhg&#10;U15fFTo3/kQfeNzFVnAIhVwrsDEOuZShtuh0WPgBiW+NH52OLMdWmlGfONz1cpkkj9LpjviD1QO+&#10;WKy/d5NT0FTtvv56zeTUN+9p9WnXdlttlbq9mZ+fQESc48UMZ3xGh5KZDn4iE0TPerVO2cpDkj6A&#10;ODuy5QrE4W8jy0L+71D+AgAA//8DAFBLAQItABQABgAIAAAAIQC2gziS/gAAAOEBAAATAAAAAAAA&#10;AAAAAAAAAAAAAABbQ29udGVudF9UeXBlc10ueG1sUEsBAi0AFAAGAAgAAAAhADj9If/WAAAAlAEA&#10;AAsAAAAAAAAAAAAAAAAALwEAAF9yZWxzLy5yZWxzUEsBAi0AFAAGAAgAAAAhAK4BrOXRAQAA8wMA&#10;AA4AAAAAAAAAAAAAAAAALgIAAGRycy9lMm9Eb2MueG1sUEsBAi0AFAAGAAgAAAAhAKWHxHPdAAAA&#10;CwEAAA8AAAAAAAAAAAAAAAAAKwQAAGRycy9kb3ducmV2LnhtbFBLBQYAAAAABAAEAPMAAAA1BQAA&#10;AAA=&#10;" strokecolor="black [3200]" strokeweight=".5pt">
                <v:stroke endarrow="block" joinstyle="miter"/>
              </v:shape>
            </w:pict>
          </mc:Fallback>
        </mc:AlternateContent>
      </w:r>
      <w:r w:rsidR="00536A42">
        <w:rPr>
          <w:szCs w:val="24"/>
        </w:rPr>
        <w:t xml:space="preserve">Piemērā minētās Iekšlietu ministrijas budžeta </w:t>
      </w:r>
      <w:r w:rsidR="00536A42" w:rsidRPr="00B251F4">
        <w:rPr>
          <w:szCs w:val="24"/>
        </w:rPr>
        <w:t xml:space="preserve">apakšprogrammai </w:t>
      </w:r>
      <w:r w:rsidR="00536A42" w:rsidRPr="00E50F5D">
        <w:rPr>
          <w:szCs w:val="24"/>
        </w:rPr>
        <w:t>06.01.00 “Valsts policija”</w:t>
      </w:r>
      <w:r w:rsidR="00536A42">
        <w:rPr>
          <w:szCs w:val="24"/>
        </w:rPr>
        <w:t xml:space="preserve"> </w:t>
      </w:r>
      <w:r w:rsidR="00536A42" w:rsidRPr="00B251F4">
        <w:rPr>
          <w:szCs w:val="24"/>
        </w:rPr>
        <w:t>definēt</w:t>
      </w:r>
      <w:r w:rsidR="00536A42">
        <w:rPr>
          <w:szCs w:val="24"/>
        </w:rPr>
        <w:t>ie</w:t>
      </w:r>
      <w:r w:rsidR="00536A42" w:rsidRPr="00B251F4">
        <w:rPr>
          <w:szCs w:val="24"/>
        </w:rPr>
        <w:t xml:space="preserve"> darbības rezultāti un rezultatīv</w:t>
      </w:r>
      <w:r w:rsidR="00536A42">
        <w:rPr>
          <w:szCs w:val="24"/>
        </w:rPr>
        <w:t>ie</w:t>
      </w:r>
      <w:r w:rsidR="00536A42" w:rsidRPr="00B251F4">
        <w:rPr>
          <w:szCs w:val="24"/>
        </w:rPr>
        <w:t xml:space="preserve"> rādītāji </w:t>
      </w:r>
      <w:r w:rsidR="00536A42">
        <w:rPr>
          <w:szCs w:val="24"/>
        </w:rPr>
        <w:t>nesniedz informāciju par programmai noteiktā mērķa sasniegšanas pakāpi, t.i., definētie rezultatīvie rādītāji neidentificē virzienu un sasniedzamo rezultātu</w:t>
      </w:r>
      <w:r w:rsidR="00E50F5D">
        <w:rPr>
          <w:szCs w:val="24"/>
        </w:rPr>
        <w:t xml:space="preserve"> (no</w:t>
      </w:r>
      <w:r>
        <w:rPr>
          <w:szCs w:val="24"/>
        </w:rPr>
        <w:t xml:space="preserve">         </w:t>
      </w:r>
      <w:r w:rsidR="00E50F5D">
        <w:rPr>
          <w:szCs w:val="24"/>
        </w:rPr>
        <w:t xml:space="preserve"> </w:t>
      </w:r>
      <w:r>
        <w:rPr>
          <w:szCs w:val="24"/>
        </w:rPr>
        <w:t xml:space="preserve">  uz</w:t>
      </w:r>
      <w:r w:rsidR="00E50F5D">
        <w:rPr>
          <w:szCs w:val="24"/>
        </w:rPr>
        <w:t>).</w:t>
      </w:r>
    </w:p>
    <w:p w:rsidR="0031615E" w:rsidRDefault="0031615E" w:rsidP="0031615E">
      <w:pPr>
        <w:jc w:val="both"/>
        <w:rPr>
          <w:b/>
          <w:szCs w:val="24"/>
        </w:rPr>
      </w:pPr>
      <w:r>
        <w:rPr>
          <w:b/>
          <w:szCs w:val="24"/>
        </w:rPr>
        <w:t>Izglītības un zinātnes ministrija</w:t>
      </w:r>
    </w:p>
    <w:p w:rsidR="0031615E" w:rsidRDefault="0031615E" w:rsidP="0031615E">
      <w:pPr>
        <w:jc w:val="both"/>
        <w:rPr>
          <w:szCs w:val="24"/>
          <w:u w:val="single"/>
        </w:rPr>
      </w:pPr>
      <w:r>
        <w:rPr>
          <w:szCs w:val="24"/>
        </w:rPr>
        <w:t>03.01.00 “Augstskolas”</w:t>
      </w:r>
      <w:r>
        <w:rPr>
          <w:rStyle w:val="FootnoteReference"/>
          <w:szCs w:val="24"/>
        </w:rPr>
        <w:footnoteReference w:id="7"/>
      </w:r>
    </w:p>
    <w:p w:rsidR="0031615E" w:rsidRDefault="0031615E" w:rsidP="0031615E">
      <w:pPr>
        <w:jc w:val="both"/>
        <w:rPr>
          <w:i/>
          <w:szCs w:val="24"/>
        </w:rPr>
      </w:pPr>
      <w:r>
        <w:rPr>
          <w:i/>
          <w:szCs w:val="24"/>
        </w:rPr>
        <w:t>Apakšprogrammas mērķis:</w:t>
      </w:r>
    </w:p>
    <w:p w:rsidR="00E3749B" w:rsidRDefault="0031615E" w:rsidP="00FB4B60">
      <w:pPr>
        <w:pStyle w:val="ListParagraph"/>
        <w:numPr>
          <w:ilvl w:val="0"/>
          <w:numId w:val="20"/>
        </w:numPr>
        <w:jc w:val="both"/>
        <w:rPr>
          <w:szCs w:val="24"/>
        </w:rPr>
      </w:pPr>
      <w:r w:rsidRPr="00E3749B">
        <w:rPr>
          <w:szCs w:val="24"/>
        </w:rPr>
        <w:t>nodrošināt augstākās izglītības studiju programmu kvalitāti, konkurētspēju un attīstību kopējā Eiropas augstākās izglītības telpā;</w:t>
      </w:r>
    </w:p>
    <w:p w:rsidR="005F5E9F" w:rsidRPr="00E3749B" w:rsidRDefault="0031615E" w:rsidP="00FB4B60">
      <w:pPr>
        <w:pStyle w:val="ListParagraph"/>
        <w:numPr>
          <w:ilvl w:val="0"/>
          <w:numId w:val="20"/>
        </w:numPr>
        <w:jc w:val="both"/>
        <w:rPr>
          <w:szCs w:val="24"/>
        </w:rPr>
      </w:pPr>
      <w:r w:rsidRPr="00E3749B">
        <w:rPr>
          <w:szCs w:val="24"/>
        </w:rPr>
        <w:t>veicināt augsti kvalificētu speciālistu pieaugumu valstī.</w:t>
      </w:r>
    </w:p>
    <w:p w:rsidR="00C76908" w:rsidRPr="00176E54" w:rsidRDefault="00C76908" w:rsidP="005F5E9F">
      <w:pPr>
        <w:jc w:val="both"/>
        <w:rPr>
          <w:sz w:val="16"/>
          <w:szCs w:val="16"/>
        </w:rPr>
      </w:pPr>
    </w:p>
    <w:p w:rsidR="00A912A3" w:rsidRDefault="00A912A3" w:rsidP="00A912A3">
      <w:pPr>
        <w:jc w:val="both"/>
        <w:rPr>
          <w:szCs w:val="24"/>
        </w:rPr>
      </w:pPr>
      <w:r>
        <w:rPr>
          <w:szCs w:val="24"/>
        </w:rPr>
        <w:t>Apakšprogrammai 03.01.00 “Augstskolas” d</w:t>
      </w:r>
      <w:r w:rsidRPr="006C3914">
        <w:rPr>
          <w:szCs w:val="24"/>
        </w:rPr>
        <w:t>arbības rezultāti un to rezultatīvie rādītāji no 2011. līdz 2017.gadam</w:t>
      </w:r>
      <w:r>
        <w:rPr>
          <w:szCs w:val="24"/>
        </w:rPr>
        <w:t>.</w:t>
      </w:r>
      <w:r w:rsidR="00AC265A">
        <w:rPr>
          <w:rStyle w:val="FootnoteReference"/>
          <w:szCs w:val="24"/>
        </w:rPr>
        <w:footnoteReference w:id="8"/>
      </w:r>
    </w:p>
    <w:p w:rsidR="00A912A3" w:rsidRPr="00176E54" w:rsidRDefault="00A912A3" w:rsidP="00A912A3">
      <w:pPr>
        <w:jc w:val="both"/>
        <w:rPr>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1006"/>
        <w:gridCol w:w="1009"/>
        <w:gridCol w:w="1013"/>
        <w:gridCol w:w="1149"/>
        <w:gridCol w:w="1007"/>
        <w:gridCol w:w="1007"/>
        <w:gridCol w:w="1005"/>
      </w:tblGrid>
      <w:tr w:rsidR="0002382F" w:rsidRPr="00A159DE" w:rsidTr="00B94F1F">
        <w:trPr>
          <w:tblHeader/>
          <w:jc w:val="center"/>
        </w:trPr>
        <w:tc>
          <w:tcPr>
            <w:tcW w:w="1149" w:type="pct"/>
          </w:tcPr>
          <w:p w:rsidR="0002382F" w:rsidRPr="00A159DE" w:rsidRDefault="0002382F" w:rsidP="00B94F1F">
            <w:pPr>
              <w:jc w:val="center"/>
              <w:rPr>
                <w:sz w:val="18"/>
                <w:szCs w:val="18"/>
              </w:rPr>
            </w:pPr>
          </w:p>
        </w:tc>
        <w:tc>
          <w:tcPr>
            <w:tcW w:w="538" w:type="pct"/>
          </w:tcPr>
          <w:p w:rsidR="0002382F" w:rsidRPr="00A159DE" w:rsidRDefault="0002382F" w:rsidP="00B94F1F">
            <w:pPr>
              <w:jc w:val="center"/>
              <w:rPr>
                <w:sz w:val="18"/>
                <w:szCs w:val="18"/>
                <w:lang w:eastAsia="lv-LV"/>
              </w:rPr>
            </w:pPr>
            <w:r w:rsidRPr="00A159DE">
              <w:rPr>
                <w:sz w:val="18"/>
                <w:szCs w:val="18"/>
                <w:lang w:eastAsia="lv-LV"/>
              </w:rPr>
              <w:t>2011.gads (izpilde)</w:t>
            </w:r>
          </w:p>
        </w:tc>
        <w:tc>
          <w:tcPr>
            <w:tcW w:w="540" w:type="pct"/>
          </w:tcPr>
          <w:p w:rsidR="0002382F" w:rsidRPr="00A159DE" w:rsidRDefault="0002382F" w:rsidP="00B94F1F">
            <w:pPr>
              <w:jc w:val="center"/>
              <w:rPr>
                <w:sz w:val="18"/>
                <w:szCs w:val="18"/>
                <w:lang w:eastAsia="lv-LV"/>
              </w:rPr>
            </w:pPr>
            <w:r w:rsidRPr="00A159DE">
              <w:rPr>
                <w:sz w:val="18"/>
                <w:szCs w:val="18"/>
                <w:lang w:eastAsia="lv-LV"/>
              </w:rPr>
              <w:t>2012.gads (izpilde)</w:t>
            </w:r>
          </w:p>
        </w:tc>
        <w:tc>
          <w:tcPr>
            <w:tcW w:w="542" w:type="pct"/>
          </w:tcPr>
          <w:p w:rsidR="0002382F" w:rsidRPr="00A159DE" w:rsidRDefault="0002382F" w:rsidP="00B94F1F">
            <w:pPr>
              <w:jc w:val="center"/>
              <w:rPr>
                <w:sz w:val="18"/>
                <w:szCs w:val="18"/>
                <w:lang w:eastAsia="lv-LV"/>
              </w:rPr>
            </w:pPr>
            <w:r w:rsidRPr="00A159DE">
              <w:rPr>
                <w:sz w:val="18"/>
                <w:szCs w:val="18"/>
                <w:lang w:eastAsia="lv-LV"/>
              </w:rPr>
              <w:t>2013.gads (izpilde)</w:t>
            </w:r>
          </w:p>
        </w:tc>
        <w:tc>
          <w:tcPr>
            <w:tcW w:w="615" w:type="pct"/>
            <w:vAlign w:val="center"/>
          </w:tcPr>
          <w:p w:rsidR="0002382F" w:rsidRPr="00A159DE" w:rsidRDefault="0002382F" w:rsidP="00B94F1F">
            <w:pPr>
              <w:jc w:val="center"/>
              <w:rPr>
                <w:sz w:val="18"/>
                <w:szCs w:val="18"/>
                <w:lang w:eastAsia="lv-LV"/>
              </w:rPr>
            </w:pPr>
            <w:r w:rsidRPr="00A159DE">
              <w:rPr>
                <w:sz w:val="18"/>
                <w:szCs w:val="18"/>
                <w:lang w:eastAsia="lv-LV"/>
              </w:rPr>
              <w:t>2014.gada plāns</w:t>
            </w:r>
          </w:p>
        </w:tc>
        <w:tc>
          <w:tcPr>
            <w:tcW w:w="539" w:type="pct"/>
          </w:tcPr>
          <w:p w:rsidR="0002382F" w:rsidRPr="00A159DE" w:rsidRDefault="0002382F" w:rsidP="00B94F1F">
            <w:pPr>
              <w:jc w:val="center"/>
              <w:rPr>
                <w:sz w:val="18"/>
                <w:szCs w:val="18"/>
                <w:lang w:eastAsia="lv-LV"/>
              </w:rPr>
            </w:pPr>
            <w:r w:rsidRPr="00A159DE">
              <w:rPr>
                <w:sz w:val="18"/>
                <w:szCs w:val="18"/>
                <w:lang w:eastAsia="lv-LV"/>
              </w:rPr>
              <w:t>2015.gada plāns</w:t>
            </w:r>
          </w:p>
        </w:tc>
        <w:tc>
          <w:tcPr>
            <w:tcW w:w="539" w:type="pct"/>
          </w:tcPr>
          <w:p w:rsidR="0002382F" w:rsidRPr="00A159DE" w:rsidRDefault="0002382F" w:rsidP="00B94F1F">
            <w:pPr>
              <w:jc w:val="center"/>
              <w:rPr>
                <w:sz w:val="18"/>
                <w:szCs w:val="18"/>
                <w:lang w:eastAsia="lv-LV"/>
              </w:rPr>
            </w:pPr>
            <w:r w:rsidRPr="00A159DE">
              <w:rPr>
                <w:sz w:val="18"/>
                <w:szCs w:val="18"/>
                <w:lang w:eastAsia="lv-LV"/>
              </w:rPr>
              <w:t>2016.gada tendence</w:t>
            </w:r>
          </w:p>
        </w:tc>
        <w:tc>
          <w:tcPr>
            <w:tcW w:w="538" w:type="pct"/>
          </w:tcPr>
          <w:p w:rsidR="0002382F" w:rsidRPr="00A159DE" w:rsidRDefault="0002382F" w:rsidP="00B94F1F">
            <w:pPr>
              <w:jc w:val="center"/>
              <w:rPr>
                <w:sz w:val="18"/>
                <w:szCs w:val="18"/>
                <w:lang w:eastAsia="lv-LV"/>
              </w:rPr>
            </w:pPr>
            <w:r w:rsidRPr="00A159DE">
              <w:rPr>
                <w:sz w:val="18"/>
                <w:szCs w:val="18"/>
                <w:lang w:eastAsia="lv-LV"/>
              </w:rPr>
              <w:t>2017.gada tendence</w:t>
            </w:r>
          </w:p>
        </w:tc>
      </w:tr>
      <w:tr w:rsidR="0002382F" w:rsidRPr="00A159DE" w:rsidTr="00B94F1F">
        <w:trPr>
          <w:jc w:val="center"/>
        </w:trPr>
        <w:tc>
          <w:tcPr>
            <w:tcW w:w="5000" w:type="pct"/>
            <w:gridSpan w:val="8"/>
          </w:tcPr>
          <w:p w:rsidR="0002382F" w:rsidRPr="00A159DE" w:rsidRDefault="0002382F" w:rsidP="00B94F1F">
            <w:pPr>
              <w:spacing w:before="60" w:after="60"/>
              <w:jc w:val="center"/>
              <w:rPr>
                <w:sz w:val="18"/>
                <w:szCs w:val="18"/>
              </w:rPr>
            </w:pPr>
            <w:r w:rsidRPr="00A159DE">
              <w:rPr>
                <w:sz w:val="18"/>
                <w:szCs w:val="18"/>
                <w:lang w:eastAsia="lv-LV"/>
              </w:rPr>
              <w:t>Pirmā darbības rezultāta nosaukums</w:t>
            </w:r>
          </w:p>
        </w:tc>
      </w:tr>
      <w:tr w:rsidR="0002382F" w:rsidRPr="00A159DE" w:rsidTr="00B94F1F">
        <w:trPr>
          <w:jc w:val="center"/>
        </w:trPr>
        <w:tc>
          <w:tcPr>
            <w:tcW w:w="1149" w:type="pct"/>
          </w:tcPr>
          <w:p w:rsidR="0002382F" w:rsidRPr="00A159DE" w:rsidRDefault="0002382F" w:rsidP="00B94F1F">
            <w:pPr>
              <w:rPr>
                <w:sz w:val="18"/>
                <w:szCs w:val="18"/>
              </w:rPr>
            </w:pPr>
            <w:r w:rsidRPr="00A159DE">
              <w:rPr>
                <w:sz w:val="18"/>
                <w:szCs w:val="18"/>
              </w:rPr>
              <w:t>No valsts budžeta finansēto vietu skaits</w:t>
            </w:r>
          </w:p>
        </w:tc>
        <w:tc>
          <w:tcPr>
            <w:tcW w:w="538" w:type="pct"/>
          </w:tcPr>
          <w:p w:rsidR="0002382F" w:rsidRPr="00A159DE" w:rsidRDefault="0002382F" w:rsidP="00B94F1F">
            <w:pPr>
              <w:jc w:val="right"/>
              <w:rPr>
                <w:sz w:val="18"/>
                <w:szCs w:val="18"/>
              </w:rPr>
            </w:pPr>
            <w:r w:rsidRPr="00A159DE">
              <w:rPr>
                <w:sz w:val="18"/>
                <w:szCs w:val="18"/>
              </w:rPr>
              <w:t>20 085</w:t>
            </w:r>
          </w:p>
        </w:tc>
        <w:tc>
          <w:tcPr>
            <w:tcW w:w="540" w:type="pct"/>
          </w:tcPr>
          <w:p w:rsidR="0002382F" w:rsidRPr="00A159DE" w:rsidRDefault="0002382F" w:rsidP="00B94F1F">
            <w:pPr>
              <w:jc w:val="right"/>
              <w:rPr>
                <w:sz w:val="18"/>
                <w:szCs w:val="18"/>
              </w:rPr>
            </w:pPr>
            <w:r w:rsidRPr="00A159DE">
              <w:rPr>
                <w:sz w:val="18"/>
                <w:szCs w:val="18"/>
              </w:rPr>
              <w:t>19 708</w:t>
            </w:r>
          </w:p>
        </w:tc>
        <w:tc>
          <w:tcPr>
            <w:tcW w:w="542" w:type="pct"/>
          </w:tcPr>
          <w:p w:rsidR="0002382F" w:rsidRPr="00A159DE" w:rsidRDefault="0002382F" w:rsidP="00B94F1F">
            <w:pPr>
              <w:jc w:val="right"/>
              <w:rPr>
                <w:sz w:val="18"/>
                <w:szCs w:val="18"/>
              </w:rPr>
            </w:pPr>
            <w:r w:rsidRPr="00A159DE">
              <w:rPr>
                <w:sz w:val="18"/>
                <w:szCs w:val="18"/>
              </w:rPr>
              <w:t>19 872</w:t>
            </w:r>
          </w:p>
        </w:tc>
        <w:tc>
          <w:tcPr>
            <w:tcW w:w="615" w:type="pct"/>
          </w:tcPr>
          <w:p w:rsidR="0002382F" w:rsidRPr="00A159DE" w:rsidRDefault="0002382F" w:rsidP="00B94F1F">
            <w:pPr>
              <w:jc w:val="right"/>
              <w:rPr>
                <w:sz w:val="18"/>
                <w:szCs w:val="18"/>
              </w:rPr>
            </w:pPr>
            <w:r w:rsidRPr="00A159DE">
              <w:rPr>
                <w:sz w:val="18"/>
                <w:szCs w:val="18"/>
              </w:rPr>
              <w:t>19 012</w:t>
            </w:r>
          </w:p>
        </w:tc>
        <w:tc>
          <w:tcPr>
            <w:tcW w:w="539" w:type="pct"/>
          </w:tcPr>
          <w:p w:rsidR="0002382F" w:rsidRPr="00A159DE" w:rsidRDefault="0002382F" w:rsidP="00B94F1F">
            <w:pPr>
              <w:jc w:val="right"/>
              <w:rPr>
                <w:sz w:val="18"/>
                <w:szCs w:val="18"/>
              </w:rPr>
            </w:pPr>
            <w:r w:rsidRPr="00A159DE">
              <w:rPr>
                <w:sz w:val="18"/>
                <w:szCs w:val="18"/>
              </w:rPr>
              <w:t>18 896</w:t>
            </w:r>
          </w:p>
        </w:tc>
        <w:tc>
          <w:tcPr>
            <w:tcW w:w="539" w:type="pct"/>
          </w:tcPr>
          <w:p w:rsidR="0002382F" w:rsidRPr="00A159DE" w:rsidRDefault="0002382F" w:rsidP="00B94F1F">
            <w:pPr>
              <w:jc w:val="center"/>
              <w:rPr>
                <w:sz w:val="18"/>
                <w:szCs w:val="18"/>
              </w:rPr>
            </w:pPr>
            <w:r w:rsidRPr="00A159DE">
              <w:rPr>
                <w:sz w:val="18"/>
                <w:szCs w:val="18"/>
              </w:rPr>
              <w:t>saglabājas esošajā līmenī</w:t>
            </w:r>
          </w:p>
        </w:tc>
        <w:tc>
          <w:tcPr>
            <w:tcW w:w="538" w:type="pct"/>
          </w:tcPr>
          <w:p w:rsidR="0002382F" w:rsidRPr="00A159DE" w:rsidRDefault="0002382F" w:rsidP="00B94F1F">
            <w:pPr>
              <w:ind w:left="-108"/>
              <w:jc w:val="center"/>
              <w:rPr>
                <w:sz w:val="18"/>
                <w:szCs w:val="18"/>
              </w:rPr>
            </w:pPr>
            <w:r w:rsidRPr="00A159DE">
              <w:rPr>
                <w:sz w:val="18"/>
                <w:szCs w:val="18"/>
              </w:rPr>
              <w:t>saglabājas esošajā līmenī</w:t>
            </w:r>
          </w:p>
        </w:tc>
      </w:tr>
      <w:tr w:rsidR="0002382F" w:rsidRPr="00A159DE" w:rsidTr="00B94F1F">
        <w:trPr>
          <w:jc w:val="center"/>
        </w:trPr>
        <w:tc>
          <w:tcPr>
            <w:tcW w:w="5000" w:type="pct"/>
            <w:gridSpan w:val="8"/>
          </w:tcPr>
          <w:p w:rsidR="0002382F" w:rsidRPr="00A159DE" w:rsidRDefault="0002382F" w:rsidP="00B94F1F">
            <w:pPr>
              <w:spacing w:before="60" w:after="60"/>
              <w:jc w:val="center"/>
              <w:rPr>
                <w:sz w:val="18"/>
                <w:szCs w:val="18"/>
              </w:rPr>
            </w:pPr>
            <w:r w:rsidRPr="00A159DE">
              <w:rPr>
                <w:sz w:val="18"/>
                <w:szCs w:val="18"/>
                <w:lang w:eastAsia="lv-LV"/>
              </w:rPr>
              <w:t>Otrā darbības rezultāta nosaukums</w:t>
            </w:r>
          </w:p>
        </w:tc>
      </w:tr>
      <w:tr w:rsidR="0002382F" w:rsidRPr="00A159DE" w:rsidTr="00B94F1F">
        <w:trPr>
          <w:jc w:val="center"/>
        </w:trPr>
        <w:tc>
          <w:tcPr>
            <w:tcW w:w="1149" w:type="pct"/>
          </w:tcPr>
          <w:p w:rsidR="0002382F" w:rsidRPr="00A159DE" w:rsidRDefault="0002382F" w:rsidP="00B94F1F">
            <w:pPr>
              <w:rPr>
                <w:sz w:val="18"/>
                <w:szCs w:val="18"/>
              </w:rPr>
            </w:pPr>
            <w:r w:rsidRPr="00A159DE">
              <w:rPr>
                <w:sz w:val="18"/>
                <w:szCs w:val="18"/>
              </w:rPr>
              <w:t>Sagatavoto speciālistu skaits</w:t>
            </w:r>
          </w:p>
        </w:tc>
        <w:tc>
          <w:tcPr>
            <w:tcW w:w="538" w:type="pct"/>
          </w:tcPr>
          <w:p w:rsidR="0002382F" w:rsidRPr="00A159DE" w:rsidRDefault="0002382F" w:rsidP="00B94F1F">
            <w:pPr>
              <w:jc w:val="right"/>
              <w:rPr>
                <w:sz w:val="18"/>
                <w:szCs w:val="18"/>
              </w:rPr>
            </w:pPr>
            <w:r w:rsidRPr="00A159DE">
              <w:rPr>
                <w:sz w:val="18"/>
                <w:szCs w:val="18"/>
              </w:rPr>
              <w:t>5 611</w:t>
            </w:r>
          </w:p>
        </w:tc>
        <w:tc>
          <w:tcPr>
            <w:tcW w:w="540" w:type="pct"/>
          </w:tcPr>
          <w:p w:rsidR="0002382F" w:rsidRPr="00A159DE" w:rsidRDefault="0002382F" w:rsidP="00B94F1F">
            <w:pPr>
              <w:jc w:val="right"/>
              <w:rPr>
                <w:sz w:val="18"/>
                <w:szCs w:val="18"/>
              </w:rPr>
            </w:pPr>
            <w:r w:rsidRPr="00A159DE">
              <w:rPr>
                <w:sz w:val="18"/>
                <w:szCs w:val="18"/>
              </w:rPr>
              <w:t>5 723</w:t>
            </w:r>
          </w:p>
        </w:tc>
        <w:tc>
          <w:tcPr>
            <w:tcW w:w="542" w:type="pct"/>
          </w:tcPr>
          <w:p w:rsidR="0002382F" w:rsidRPr="00A159DE" w:rsidRDefault="0002382F" w:rsidP="00B94F1F">
            <w:pPr>
              <w:jc w:val="right"/>
              <w:rPr>
                <w:sz w:val="18"/>
                <w:szCs w:val="18"/>
              </w:rPr>
            </w:pPr>
            <w:r w:rsidRPr="00A159DE">
              <w:rPr>
                <w:sz w:val="18"/>
                <w:szCs w:val="18"/>
              </w:rPr>
              <w:t>5 633</w:t>
            </w:r>
          </w:p>
        </w:tc>
        <w:tc>
          <w:tcPr>
            <w:tcW w:w="615" w:type="pct"/>
          </w:tcPr>
          <w:p w:rsidR="0002382F" w:rsidRPr="00A159DE" w:rsidRDefault="0002382F" w:rsidP="00B94F1F">
            <w:pPr>
              <w:jc w:val="right"/>
              <w:rPr>
                <w:sz w:val="18"/>
                <w:szCs w:val="18"/>
              </w:rPr>
            </w:pPr>
            <w:r w:rsidRPr="00A159DE">
              <w:rPr>
                <w:sz w:val="18"/>
                <w:szCs w:val="18"/>
              </w:rPr>
              <w:t>4 983</w:t>
            </w:r>
          </w:p>
        </w:tc>
        <w:tc>
          <w:tcPr>
            <w:tcW w:w="539" w:type="pct"/>
          </w:tcPr>
          <w:p w:rsidR="0002382F" w:rsidRPr="00A159DE" w:rsidRDefault="0002382F" w:rsidP="00B94F1F">
            <w:pPr>
              <w:jc w:val="right"/>
              <w:rPr>
                <w:sz w:val="18"/>
                <w:szCs w:val="18"/>
              </w:rPr>
            </w:pPr>
            <w:r w:rsidRPr="00A159DE">
              <w:rPr>
                <w:sz w:val="18"/>
                <w:szCs w:val="18"/>
              </w:rPr>
              <w:t>5 065</w:t>
            </w:r>
          </w:p>
        </w:tc>
        <w:tc>
          <w:tcPr>
            <w:tcW w:w="539" w:type="pct"/>
          </w:tcPr>
          <w:p w:rsidR="0002382F" w:rsidRPr="00A159DE" w:rsidRDefault="0002382F" w:rsidP="00B94F1F">
            <w:pPr>
              <w:jc w:val="center"/>
              <w:rPr>
                <w:sz w:val="18"/>
                <w:szCs w:val="18"/>
              </w:rPr>
            </w:pPr>
            <w:r w:rsidRPr="00A159DE">
              <w:rPr>
                <w:sz w:val="18"/>
                <w:szCs w:val="18"/>
              </w:rPr>
              <w:t>saglabājas esošajā līmenī</w:t>
            </w:r>
          </w:p>
        </w:tc>
        <w:tc>
          <w:tcPr>
            <w:tcW w:w="538" w:type="pct"/>
          </w:tcPr>
          <w:p w:rsidR="0002382F" w:rsidRPr="00A159DE" w:rsidRDefault="0002382F" w:rsidP="00B94F1F">
            <w:pPr>
              <w:jc w:val="center"/>
              <w:rPr>
                <w:sz w:val="18"/>
                <w:szCs w:val="18"/>
              </w:rPr>
            </w:pPr>
            <w:r w:rsidRPr="00A159DE">
              <w:rPr>
                <w:sz w:val="18"/>
                <w:szCs w:val="18"/>
              </w:rPr>
              <w:t>saglabājas esošajā līmenī</w:t>
            </w:r>
          </w:p>
        </w:tc>
      </w:tr>
    </w:tbl>
    <w:p w:rsidR="00A912A3" w:rsidRPr="00F175E2" w:rsidRDefault="00A912A3" w:rsidP="00A912A3">
      <w:pPr>
        <w:jc w:val="both"/>
        <w:rPr>
          <w:sz w:val="16"/>
          <w:szCs w:val="16"/>
        </w:rPr>
      </w:pPr>
    </w:p>
    <w:p w:rsidR="00A413B4" w:rsidRPr="00F175E2" w:rsidRDefault="00A413B4" w:rsidP="00F175E2">
      <w:pPr>
        <w:ind w:firstLine="709"/>
        <w:jc w:val="both"/>
        <w:rPr>
          <w:szCs w:val="24"/>
        </w:rPr>
      </w:pPr>
      <w:r>
        <w:rPr>
          <w:szCs w:val="24"/>
        </w:rPr>
        <w:t xml:space="preserve">Analizējot piemērā minēto Izglītības un zinātnes ministrijas apakšprogrammu 03.01.00 “Augstskolas” var secināt, ka apakšprogrammai definētie rezultatīvie rādītāji neparāda mērķa sasniegšanas tendences, t.i., viens no apakšprogrammas mērķiem ir veicināt augsti kvalificētu speciālistu pieaugumu valstī, savukārt rezultatīvais rādītājs – sagatavoto speciālistu skaits parāda, ka salīdzinot 2015.gadu ar 2011.gadu sagatavoto speciālistu skaits ir samazinājies par 9,7%. Lai gan apakšprogrammā tiek identificēts virziens – veicināt speciālistu pieaugumu, rezultatīvai rādītājs parāda pretēju tendenci. Lai varētu noteikt definētā mērķa sasniegšanas pakāpi, būtu </w:t>
      </w:r>
      <w:r>
        <w:rPr>
          <w:szCs w:val="24"/>
        </w:rPr>
        <w:lastRenderedPageBreak/>
        <w:t>nepieciešami tādi rezultāti, kas raksturotu augstākās izglītības studiju programmu kvalitāti, konkurētspēju u.tml. Tāpat rādītājam būtu jādefinē, kas Latvijā ir uzskatāmi par augsti kvalificētiem speciālistiem un kāds ir nepieciešamais to pieaugum</w:t>
      </w:r>
      <w:r w:rsidR="00F175E2">
        <w:rPr>
          <w:szCs w:val="24"/>
        </w:rPr>
        <w:t>a temps noteiktā laika periodā.</w:t>
      </w:r>
    </w:p>
    <w:p w:rsidR="00A413B4" w:rsidRDefault="00A413B4" w:rsidP="00A413B4">
      <w:pPr>
        <w:jc w:val="both"/>
        <w:rPr>
          <w:b/>
          <w:szCs w:val="24"/>
        </w:rPr>
      </w:pPr>
      <w:r>
        <w:rPr>
          <w:b/>
          <w:szCs w:val="24"/>
        </w:rPr>
        <w:t>Veselības ministrija</w:t>
      </w:r>
    </w:p>
    <w:p w:rsidR="00A413B4" w:rsidRDefault="00A413B4" w:rsidP="00A413B4">
      <w:pPr>
        <w:jc w:val="both"/>
        <w:rPr>
          <w:szCs w:val="24"/>
          <w:u w:val="single"/>
        </w:rPr>
      </w:pPr>
      <w:r>
        <w:rPr>
          <w:szCs w:val="24"/>
        </w:rPr>
        <w:t>33.01.00 “Ārstniecība”</w:t>
      </w:r>
      <w:r>
        <w:rPr>
          <w:rStyle w:val="FootnoteReference"/>
          <w:szCs w:val="24"/>
        </w:rPr>
        <w:footnoteReference w:id="9"/>
      </w:r>
    </w:p>
    <w:p w:rsidR="00A413B4" w:rsidRDefault="00A413B4" w:rsidP="00A413B4">
      <w:pPr>
        <w:jc w:val="both"/>
        <w:rPr>
          <w:i/>
          <w:szCs w:val="24"/>
        </w:rPr>
      </w:pPr>
      <w:r>
        <w:rPr>
          <w:i/>
          <w:szCs w:val="24"/>
        </w:rPr>
        <w:t>Apakšprogrammas mērķis:</w:t>
      </w:r>
    </w:p>
    <w:p w:rsidR="00C76908" w:rsidRDefault="00A413B4" w:rsidP="004266C1">
      <w:pPr>
        <w:ind w:firstLine="709"/>
        <w:jc w:val="both"/>
        <w:rPr>
          <w:szCs w:val="24"/>
        </w:rPr>
      </w:pPr>
      <w:r>
        <w:rPr>
          <w:szCs w:val="24"/>
        </w:rPr>
        <w:t>N</w:t>
      </w:r>
      <w:r w:rsidRPr="009876D1">
        <w:rPr>
          <w:szCs w:val="24"/>
        </w:rPr>
        <w:t>odrošināt un veikt samaksu ārstniecības iestādēm par sniegtajiem ambulatorās un stacionārās veselības aprūpes pakalpojumiem atb</w:t>
      </w:r>
      <w:r>
        <w:rPr>
          <w:szCs w:val="24"/>
        </w:rPr>
        <w:t>ilstoši Ministru kabineta 2006.</w:t>
      </w:r>
      <w:r w:rsidRPr="009876D1">
        <w:rPr>
          <w:szCs w:val="24"/>
        </w:rPr>
        <w:t xml:space="preserve">gada </w:t>
      </w:r>
      <w:r w:rsidR="00611975">
        <w:rPr>
          <w:szCs w:val="24"/>
        </w:rPr>
        <w:t>19.decembra noteikumos Nr.1046 “</w:t>
      </w:r>
      <w:r w:rsidRPr="009876D1">
        <w:rPr>
          <w:szCs w:val="24"/>
        </w:rPr>
        <w:t>Veselības aprūpes organizēšanas un finansēšanas kārtība”</w:t>
      </w:r>
      <w:r>
        <w:rPr>
          <w:szCs w:val="24"/>
        </w:rPr>
        <w:t xml:space="preserve"> </w:t>
      </w:r>
      <w:r w:rsidRPr="009876D1">
        <w:rPr>
          <w:szCs w:val="24"/>
        </w:rPr>
        <w:t>noteiktajiem tarifiem un apmaksas nosacījumiem un veikt norēķinus ar ES un Eiropas Ekonomiskas zonas dalībvalstīm par Latvijas iedzīvotajiem sniegtajiem veselības aprūpes pakalpojumiem.</w:t>
      </w:r>
    </w:p>
    <w:p w:rsidR="00E9703D" w:rsidRDefault="00E9703D" w:rsidP="00E9703D">
      <w:pPr>
        <w:ind w:firstLine="709"/>
        <w:jc w:val="both"/>
        <w:rPr>
          <w:szCs w:val="24"/>
        </w:rPr>
      </w:pPr>
      <w:r>
        <w:rPr>
          <w:szCs w:val="24"/>
        </w:rPr>
        <w:t>Analizējot piemērā minētās Veselības ministrijas apakšprogrammas 33.01.00 “Ārstniecība” mērķi var secināt, ka apakšprogrammas mērķis nav orientēts uz konkrētu, mērāmu un sasniedzamu rezultātu, kā arī nav noteikts laika periods, kurā mērķis sasniedzams, t.i., izvirzītais mērķis neatbilst MK instrukcijā Nr.16 izvirzītajiem kritērijiem. Pēc būtības ārstniecībai paredzētā finansējuma mērķis ir veikt maksājumus, taču tas nav vērsts uz nozarē pastāvošo problēmu risināšanu.</w:t>
      </w:r>
    </w:p>
    <w:p w:rsidR="00E9703D" w:rsidRDefault="00E9703D" w:rsidP="00E9703D">
      <w:pPr>
        <w:ind w:firstLine="709"/>
        <w:jc w:val="both"/>
        <w:rPr>
          <w:sz w:val="16"/>
          <w:szCs w:val="16"/>
        </w:rPr>
      </w:pPr>
      <w:r>
        <w:rPr>
          <w:szCs w:val="24"/>
        </w:rPr>
        <w:t>Kā labas prakses piemērs minama Austrālijas Veselības un labklājības institūta sagatavotajā ziņojumā “Rezultatīvie rādītāji veselības un vecuma aprūpes sistēmā”</w:t>
      </w:r>
      <w:r>
        <w:rPr>
          <w:rStyle w:val="FootnoteReference"/>
          <w:i/>
          <w:szCs w:val="24"/>
        </w:rPr>
        <w:footnoteReference w:id="10"/>
      </w:r>
      <w:r>
        <w:rPr>
          <w:szCs w:val="24"/>
        </w:rPr>
        <w:t xml:space="preserve"> sniegtā</w:t>
      </w:r>
      <w:r w:rsidRPr="00CA4A3B">
        <w:rPr>
          <w:szCs w:val="24"/>
        </w:rPr>
        <w:t xml:space="preserve"> informāciju par katru no </w:t>
      </w:r>
      <w:r>
        <w:rPr>
          <w:szCs w:val="24"/>
        </w:rPr>
        <w:t xml:space="preserve">darbības rādītājiem </w:t>
      </w:r>
      <w:r w:rsidRPr="00CA4A3B">
        <w:rPr>
          <w:szCs w:val="24"/>
        </w:rPr>
        <w:t>vese</w:t>
      </w:r>
      <w:r>
        <w:rPr>
          <w:szCs w:val="24"/>
        </w:rPr>
        <w:t>lības un veciem aprūpes sistēmā</w:t>
      </w:r>
      <w:r w:rsidR="00DF377D">
        <w:rPr>
          <w:szCs w:val="24"/>
        </w:rPr>
        <w:t xml:space="preserve"> (skat. 6</w:t>
      </w:r>
      <w:r>
        <w:rPr>
          <w:szCs w:val="24"/>
        </w:rPr>
        <w:t>.</w:t>
      </w:r>
      <w:r w:rsidR="00DF377D">
        <w:rPr>
          <w:szCs w:val="24"/>
        </w:rPr>
        <w:t>tabulu).</w:t>
      </w:r>
    </w:p>
    <w:p w:rsidR="00DF377D" w:rsidRPr="00DF377D" w:rsidRDefault="00DF377D" w:rsidP="00E9703D">
      <w:pPr>
        <w:ind w:firstLine="709"/>
        <w:jc w:val="both"/>
        <w:rPr>
          <w:sz w:val="16"/>
          <w:szCs w:val="16"/>
        </w:rPr>
      </w:pPr>
    </w:p>
    <w:p w:rsidR="00055CAD" w:rsidRPr="00055CAD" w:rsidRDefault="00055CAD" w:rsidP="00055CAD">
      <w:pPr>
        <w:jc w:val="right"/>
        <w:rPr>
          <w:sz w:val="16"/>
          <w:szCs w:val="16"/>
        </w:rPr>
      </w:pPr>
      <w:r>
        <w:rPr>
          <w:szCs w:val="24"/>
        </w:rPr>
        <w:t>6.tabula</w:t>
      </w:r>
    </w:p>
    <w:p w:rsidR="00F9612C" w:rsidRDefault="00F9612C" w:rsidP="00055CAD">
      <w:pPr>
        <w:jc w:val="center"/>
        <w:rPr>
          <w:b/>
          <w:sz w:val="16"/>
          <w:szCs w:val="16"/>
        </w:rPr>
      </w:pPr>
      <w:r w:rsidRPr="00055CAD">
        <w:rPr>
          <w:b/>
          <w:szCs w:val="24"/>
        </w:rPr>
        <w:t>Darbības rādītāji veselības un vecuma sistēmā</w:t>
      </w:r>
      <w:r w:rsidR="00A21851">
        <w:rPr>
          <w:rStyle w:val="FootnoteReference"/>
          <w:b/>
          <w:szCs w:val="24"/>
        </w:rPr>
        <w:footnoteReference w:id="11"/>
      </w:r>
    </w:p>
    <w:p w:rsidR="00055CAD" w:rsidRPr="00055CAD" w:rsidRDefault="00055CAD" w:rsidP="00055CAD">
      <w:pPr>
        <w:jc w:val="center"/>
        <w:rPr>
          <w:i/>
          <w:sz w:val="16"/>
          <w:szCs w:val="16"/>
        </w:rPr>
      </w:pPr>
    </w:p>
    <w:tbl>
      <w:tblPr>
        <w:tblStyle w:val="TableGrid"/>
        <w:tblW w:w="9351" w:type="dxa"/>
        <w:tblLook w:val="04A0" w:firstRow="1" w:lastRow="0" w:firstColumn="1" w:lastColumn="0" w:noHBand="0" w:noVBand="1"/>
      </w:tblPr>
      <w:tblGrid>
        <w:gridCol w:w="2405"/>
        <w:gridCol w:w="6946"/>
      </w:tblGrid>
      <w:tr w:rsidR="00055CAD" w:rsidTr="00F175E2">
        <w:tc>
          <w:tcPr>
            <w:tcW w:w="9351" w:type="dxa"/>
            <w:gridSpan w:val="2"/>
            <w:shd w:val="clear" w:color="auto" w:fill="F2F2F2" w:themeFill="background1" w:themeFillShade="F2"/>
          </w:tcPr>
          <w:p w:rsidR="00055CAD" w:rsidRPr="00055CAD" w:rsidRDefault="00055CAD" w:rsidP="00055CAD">
            <w:pPr>
              <w:tabs>
                <w:tab w:val="left" w:pos="2765"/>
              </w:tabs>
              <w:jc w:val="center"/>
              <w:rPr>
                <w:sz w:val="22"/>
              </w:rPr>
            </w:pPr>
            <w:r w:rsidRPr="00055CAD">
              <w:rPr>
                <w:b/>
                <w:noProof/>
                <w:sz w:val="22"/>
                <w:lang w:eastAsia="lv-LV"/>
              </w:rPr>
              <mc:AlternateContent>
                <mc:Choice Requires="wps">
                  <w:drawing>
                    <wp:anchor distT="0" distB="0" distL="114300" distR="114300" simplePos="0" relativeHeight="251794432" behindDoc="0" locked="0" layoutInCell="1" allowOverlap="1" wp14:anchorId="1480ADA4" wp14:editId="27922CA5">
                      <wp:simplePos x="0" y="0"/>
                      <wp:positionH relativeFrom="column">
                        <wp:posOffset>2006193</wp:posOffset>
                      </wp:positionH>
                      <wp:positionV relativeFrom="paragraph">
                        <wp:posOffset>84455</wp:posOffset>
                      </wp:positionV>
                      <wp:extent cx="460858" cy="0"/>
                      <wp:effectExtent l="0" t="76200" r="15875" b="95250"/>
                      <wp:wrapNone/>
                      <wp:docPr id="8" name="Straight Arrow Connector 8"/>
                      <wp:cNvGraphicFramePr/>
                      <a:graphic xmlns:a="http://schemas.openxmlformats.org/drawingml/2006/main">
                        <a:graphicData uri="http://schemas.microsoft.com/office/word/2010/wordprocessingShape">
                          <wps:wsp>
                            <wps:cNvCnPr/>
                            <wps:spPr>
                              <a:xfrm>
                                <a:off x="0" y="0"/>
                                <a:ext cx="4608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1FDC3A" id="Straight Arrow Connector 8" o:spid="_x0000_s1026" type="#_x0000_t32" style="position:absolute;margin-left:157.95pt;margin-top:6.65pt;width:36.3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ma0AEAAPMDAAAOAAAAZHJzL2Uyb0RvYy54bWysU9uO0zAQfUfiHyy/06QrWFVR0xXqAi8I&#10;KhY+wOuMEwvfNDZN8veMnTaLuEgI8TKJ7Tkz5xyP93eTNewMGLV3Ld9uas7ASd9p17f8y+e3L3ac&#10;xSRcJ4x30PIZIr87PH+2H0MDN37wpgNkVMTFZgwtH1IKTVVFOYAVceMDODpUHq1ItMS+6lCMVN2a&#10;6qaub6vRYxfQS4iRdu+XQ34o9ZUCmT4qFSEx03LilkrEEh9zrA570fQowqDlhYb4BxZWaEdN11L3&#10;Ign2DfUvpayW6KNXaSO9rbxSWkLRQGq29U9qHgYRoGghc2JYbYr/r6z8cD4h013L6aKcsHRFDwmF&#10;7ofEXiP6kR29c2SjR7bLbo0hNgQ6uhNeVjGcMEufFNr8JVFsKg7Pq8MwJSZp8+VtvXtFneT1qHrC&#10;BYzpHXjL8k/L44XG2n9bDBbn9zFRZwJeAbmpcTkmoc0b17E0BxKSUAvXG8i0KT2nVJn+Qrj8pdnA&#10;Av8EimwgikubMoBwNMjOgkan+7pdq1BmhihtzAqqC7c/gi65GQZlKP8WuGaXjt6lFWi18/i7rmm6&#10;UlVL/lX1ojXLfvTdXK6v2EGTVfy5vII8uj+uC/zprR6+AwAA//8DAFBLAwQUAAYACAAAACEA40pO&#10;iN0AAAAJAQAADwAAAGRycy9kb3ducmV2LnhtbEyPwU7DMAyG70i8Q2Qkbiwd1aDrmk4IwXFCrBPi&#10;mDVuU61xqibdyttjxAGO9v/p9+diO7tenHEMnScFy0UCAqn2pqNWwaF6vctAhKjJ6N4TKvjCANvy&#10;+qrQufEXesfzPraCSyjkWoGNccilDLVFp8PCD0icNX50OvI4ttKM+sLlrpf3SfIgne6IL1g94LPF&#10;+rSfnIKmag/150smp755e6w+7Nruqp1Stzfz0wZExDn+wfCjz+pQstPRT2SC6BWky9WaUQ7SFAQD&#10;aZatQBx/F7Is5P8Pym8AAAD//wMAUEsBAi0AFAAGAAgAAAAhALaDOJL+AAAA4QEAABMAAAAAAAAA&#10;AAAAAAAAAAAAAFtDb250ZW50X1R5cGVzXS54bWxQSwECLQAUAAYACAAAACEAOP0h/9YAAACUAQAA&#10;CwAAAAAAAAAAAAAAAAAvAQAAX3JlbHMvLnJlbHNQSwECLQAUAAYACAAAACEAsq3ZmtABAADzAwAA&#10;DgAAAAAAAAAAAAAAAAAuAgAAZHJzL2Uyb0RvYy54bWxQSwECLQAUAAYACAAAACEA40pOiN0AAAAJ&#10;AQAADwAAAAAAAAAAAAAAAAAqBAAAZHJzL2Rvd25yZXYueG1sUEsFBgAAAAAEAAQA8wAAADQFAAAA&#10;AA==&#10;" strokecolor="black [3200]" strokeweight=".5pt">
                      <v:stroke endarrow="block" joinstyle="miter"/>
                    </v:shape>
                  </w:pict>
                </mc:Fallback>
              </mc:AlternateContent>
            </w:r>
            <w:r w:rsidRPr="00055CAD">
              <w:rPr>
                <w:b/>
                <w:sz w:val="22"/>
              </w:rPr>
              <w:t>Rezultāts</w:t>
            </w:r>
            <w:r w:rsidRPr="00055CAD">
              <w:rPr>
                <w:sz w:val="22"/>
              </w:rPr>
              <w:t xml:space="preserve">                  </w:t>
            </w:r>
            <w:r w:rsidRPr="00055CAD">
              <w:rPr>
                <w:b/>
                <w:sz w:val="22"/>
              </w:rPr>
              <w:t>Labāka veselība</w:t>
            </w:r>
            <w:r w:rsidRPr="00055CAD">
              <w:rPr>
                <w:sz w:val="22"/>
              </w:rPr>
              <w:t xml:space="preserve"> (</w:t>
            </w:r>
            <w:r w:rsidRPr="00055CAD">
              <w:rPr>
                <w:i/>
                <w:sz w:val="22"/>
              </w:rPr>
              <w:t>Better health</w:t>
            </w:r>
            <w:r w:rsidRPr="00055CAD">
              <w:rPr>
                <w:sz w:val="22"/>
              </w:rPr>
              <w:t>)</w:t>
            </w:r>
          </w:p>
        </w:tc>
      </w:tr>
      <w:tr w:rsidR="00055CAD" w:rsidTr="00F175E2">
        <w:tc>
          <w:tcPr>
            <w:tcW w:w="2405" w:type="dxa"/>
            <w:vAlign w:val="center"/>
          </w:tcPr>
          <w:p w:rsidR="00055CAD" w:rsidRPr="00055CAD" w:rsidRDefault="00055CAD" w:rsidP="00055CAD">
            <w:pPr>
              <w:tabs>
                <w:tab w:val="left" w:pos="2765"/>
              </w:tabs>
              <w:rPr>
                <w:b/>
                <w:sz w:val="22"/>
              </w:rPr>
            </w:pPr>
            <w:r w:rsidRPr="00055CAD">
              <w:rPr>
                <w:sz w:val="22"/>
              </w:rPr>
              <w:t>Rezultatīvais rādītājs (1)</w:t>
            </w:r>
          </w:p>
        </w:tc>
        <w:tc>
          <w:tcPr>
            <w:tcW w:w="6946" w:type="dxa"/>
          </w:tcPr>
          <w:p w:rsidR="00055CAD" w:rsidRPr="00055CAD" w:rsidRDefault="00055CAD" w:rsidP="00F9612C">
            <w:pPr>
              <w:tabs>
                <w:tab w:val="left" w:pos="2765"/>
              </w:tabs>
              <w:jc w:val="both"/>
              <w:rPr>
                <w:sz w:val="22"/>
              </w:rPr>
            </w:pPr>
            <w:r w:rsidRPr="00055CAD">
              <w:rPr>
                <w:sz w:val="22"/>
              </w:rPr>
              <w:t xml:space="preserve">Mūža ilgums pēc dzimšanas </w:t>
            </w:r>
            <w:r w:rsidRPr="00055CAD">
              <w:rPr>
                <w:i/>
                <w:sz w:val="22"/>
              </w:rPr>
              <w:t>(Life expectancy at birth)</w:t>
            </w:r>
          </w:p>
        </w:tc>
      </w:tr>
      <w:tr w:rsidR="00055CAD" w:rsidTr="00F175E2">
        <w:tc>
          <w:tcPr>
            <w:tcW w:w="2405" w:type="dxa"/>
            <w:vAlign w:val="center"/>
          </w:tcPr>
          <w:p w:rsidR="00055CAD" w:rsidRPr="00055CAD" w:rsidRDefault="00055CAD" w:rsidP="00055CAD">
            <w:pPr>
              <w:tabs>
                <w:tab w:val="left" w:pos="2765"/>
              </w:tabs>
              <w:rPr>
                <w:b/>
                <w:sz w:val="22"/>
              </w:rPr>
            </w:pPr>
            <w:r w:rsidRPr="00055CAD">
              <w:rPr>
                <w:sz w:val="22"/>
              </w:rPr>
              <w:t>Rezultatīvais rādītājs (2)</w:t>
            </w:r>
          </w:p>
        </w:tc>
        <w:tc>
          <w:tcPr>
            <w:tcW w:w="6946" w:type="dxa"/>
          </w:tcPr>
          <w:p w:rsidR="00055CAD" w:rsidRPr="00055CAD" w:rsidRDefault="00055CAD" w:rsidP="00F9612C">
            <w:pPr>
              <w:tabs>
                <w:tab w:val="left" w:pos="2765"/>
              </w:tabs>
              <w:jc w:val="both"/>
              <w:rPr>
                <w:b/>
                <w:sz w:val="22"/>
              </w:rPr>
            </w:pPr>
            <w:r w:rsidRPr="00055CAD">
              <w:rPr>
                <w:sz w:val="22"/>
              </w:rPr>
              <w:t>Zīdaiņu un mazu bērnu mirstība (</w:t>
            </w:r>
            <w:r w:rsidRPr="00055CAD">
              <w:rPr>
                <w:i/>
                <w:sz w:val="22"/>
              </w:rPr>
              <w:t>Infalt and young child mortality</w:t>
            </w:r>
            <w:r w:rsidRPr="00055CAD">
              <w:rPr>
                <w:sz w:val="22"/>
              </w:rPr>
              <w:t>)</w:t>
            </w:r>
          </w:p>
        </w:tc>
      </w:tr>
      <w:tr w:rsidR="00055CAD" w:rsidTr="00F175E2">
        <w:tc>
          <w:tcPr>
            <w:tcW w:w="2405" w:type="dxa"/>
            <w:vAlign w:val="center"/>
          </w:tcPr>
          <w:p w:rsidR="00055CAD" w:rsidRPr="00055CAD" w:rsidRDefault="00055CAD" w:rsidP="00055CAD">
            <w:pPr>
              <w:tabs>
                <w:tab w:val="left" w:pos="2765"/>
              </w:tabs>
              <w:rPr>
                <w:b/>
                <w:sz w:val="22"/>
              </w:rPr>
            </w:pPr>
            <w:r w:rsidRPr="00055CAD">
              <w:rPr>
                <w:sz w:val="22"/>
              </w:rPr>
              <w:t>Rezultatīvais rādītājs (3)</w:t>
            </w:r>
          </w:p>
        </w:tc>
        <w:tc>
          <w:tcPr>
            <w:tcW w:w="6946" w:type="dxa"/>
          </w:tcPr>
          <w:p w:rsidR="00055CAD" w:rsidRPr="00055CAD" w:rsidRDefault="00055CAD" w:rsidP="00055CAD">
            <w:pPr>
              <w:tabs>
                <w:tab w:val="left" w:pos="3260"/>
              </w:tabs>
              <w:jc w:val="both"/>
              <w:rPr>
                <w:noProof/>
                <w:sz w:val="22"/>
                <w:lang w:eastAsia="lv-LV"/>
              </w:rPr>
            </w:pPr>
            <w:r w:rsidRPr="00055CAD">
              <w:rPr>
                <w:noProof/>
                <w:sz w:val="22"/>
                <w:lang w:eastAsia="lv-LV"/>
              </w:rPr>
              <w:t>Slimību un traumu izplatības savlaicīga novēršana (</w:t>
            </w:r>
            <w:r w:rsidRPr="00055CAD">
              <w:rPr>
                <w:i/>
                <w:noProof/>
                <w:sz w:val="22"/>
                <w:lang w:eastAsia="lv-LV"/>
              </w:rPr>
              <w:t>Incidence and prevalence of important preventable diseases and injury</w:t>
            </w:r>
            <w:r w:rsidRPr="00055CAD">
              <w:rPr>
                <w:noProof/>
                <w:sz w:val="22"/>
                <w:lang w:eastAsia="lv-LV"/>
              </w:rPr>
              <w:t>)</w:t>
            </w:r>
          </w:p>
        </w:tc>
      </w:tr>
      <w:tr w:rsidR="00055CAD" w:rsidTr="00F175E2">
        <w:tc>
          <w:tcPr>
            <w:tcW w:w="2405" w:type="dxa"/>
            <w:vAlign w:val="center"/>
          </w:tcPr>
          <w:p w:rsidR="00055CAD" w:rsidRPr="00055CAD" w:rsidRDefault="00055CAD" w:rsidP="00055CAD">
            <w:pPr>
              <w:tabs>
                <w:tab w:val="left" w:pos="2765"/>
              </w:tabs>
              <w:rPr>
                <w:b/>
                <w:sz w:val="22"/>
              </w:rPr>
            </w:pPr>
            <w:r w:rsidRPr="00055CAD">
              <w:rPr>
                <w:noProof/>
                <w:sz w:val="22"/>
                <w:lang w:eastAsia="lv-LV"/>
              </w:rPr>
              <w:t>Rezultatīvais rādītājs (4)</w:t>
            </w:r>
          </w:p>
        </w:tc>
        <w:tc>
          <w:tcPr>
            <w:tcW w:w="6946" w:type="dxa"/>
          </w:tcPr>
          <w:p w:rsidR="00055CAD" w:rsidRPr="00055CAD" w:rsidRDefault="00055CAD" w:rsidP="00F9612C">
            <w:pPr>
              <w:tabs>
                <w:tab w:val="left" w:pos="2765"/>
              </w:tabs>
              <w:jc w:val="both"/>
              <w:rPr>
                <w:b/>
                <w:sz w:val="22"/>
              </w:rPr>
            </w:pPr>
            <w:r w:rsidRPr="00055CAD">
              <w:rPr>
                <w:noProof/>
                <w:sz w:val="22"/>
                <w:lang w:eastAsia="lv-LV"/>
              </w:rPr>
              <w:t>Potenciāli novēršami nāves gadījumi (</w:t>
            </w:r>
            <w:r w:rsidRPr="00055CAD">
              <w:rPr>
                <w:i/>
                <w:noProof/>
                <w:sz w:val="22"/>
                <w:lang w:eastAsia="lv-LV"/>
              </w:rPr>
              <w:t>Potentially avoidable deaths</w:t>
            </w:r>
            <w:r w:rsidRPr="00055CAD">
              <w:rPr>
                <w:noProof/>
                <w:sz w:val="22"/>
                <w:lang w:eastAsia="lv-LV"/>
              </w:rPr>
              <w:t>)</w:t>
            </w:r>
          </w:p>
        </w:tc>
      </w:tr>
      <w:tr w:rsidR="00055CAD" w:rsidTr="00F175E2">
        <w:tc>
          <w:tcPr>
            <w:tcW w:w="9351" w:type="dxa"/>
            <w:gridSpan w:val="2"/>
            <w:shd w:val="clear" w:color="auto" w:fill="F2F2F2" w:themeFill="background1" w:themeFillShade="F2"/>
          </w:tcPr>
          <w:p w:rsidR="00055CAD" w:rsidRPr="00055CAD" w:rsidRDefault="00055CAD" w:rsidP="00055CAD">
            <w:pPr>
              <w:tabs>
                <w:tab w:val="left" w:pos="3260"/>
              </w:tabs>
              <w:ind w:left="2977" w:hanging="2977"/>
              <w:jc w:val="center"/>
              <w:rPr>
                <w:noProof/>
                <w:sz w:val="22"/>
                <w:lang w:eastAsia="lv-LV"/>
              </w:rPr>
            </w:pPr>
            <w:r w:rsidRPr="00055CAD">
              <w:rPr>
                <w:b/>
                <w:noProof/>
                <w:sz w:val="22"/>
                <w:lang w:eastAsia="lv-LV"/>
              </w:rPr>
              <mc:AlternateContent>
                <mc:Choice Requires="wps">
                  <w:drawing>
                    <wp:anchor distT="0" distB="0" distL="114300" distR="114300" simplePos="0" relativeHeight="251796480" behindDoc="0" locked="0" layoutInCell="1" allowOverlap="1" wp14:anchorId="2DC77508" wp14:editId="57E18B7F">
                      <wp:simplePos x="0" y="0"/>
                      <wp:positionH relativeFrom="column">
                        <wp:posOffset>1469999</wp:posOffset>
                      </wp:positionH>
                      <wp:positionV relativeFrom="paragraph">
                        <wp:posOffset>97155</wp:posOffset>
                      </wp:positionV>
                      <wp:extent cx="460858" cy="0"/>
                      <wp:effectExtent l="0" t="76200" r="15875" b="95250"/>
                      <wp:wrapNone/>
                      <wp:docPr id="9" name="Straight Arrow Connector 9"/>
                      <wp:cNvGraphicFramePr/>
                      <a:graphic xmlns:a="http://schemas.openxmlformats.org/drawingml/2006/main">
                        <a:graphicData uri="http://schemas.microsoft.com/office/word/2010/wordprocessingShape">
                          <wps:wsp>
                            <wps:cNvCnPr/>
                            <wps:spPr>
                              <a:xfrm>
                                <a:off x="0" y="0"/>
                                <a:ext cx="4608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0EDF0" id="Straight Arrow Connector 9" o:spid="_x0000_s1026" type="#_x0000_t32" style="position:absolute;margin-left:115.75pt;margin-top:7.65pt;width:36.3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V30gEAAPMDAAAOAAAAZHJzL2Uyb0RvYy54bWysU9uO0zAQfUfiHyy/06QrWO1GTVeoC7wg&#10;qFj4AK9jJxa2xxqbJvl7xk6bRVwkhHiZxPacmXOOx7u7yVl2UhgN+JZvNzVnykvojO9b/uXz2xc3&#10;nMUkfCcseNXyWUV+t3/+bDeGRl3BALZTyKiIj80YWj6kFJqqinJQTsQNBOXpUAM6kWiJfdWhGKm6&#10;s9VVXV9XI2AXEKSKkXbvl0O+L/W1VjJ91DqqxGzLiVsqEUt8zLHa70TTowiDkWca4h9YOGE8NV1L&#10;3Ysk2Dc0v5RyRiJE0GkjwVWgtZGqaCA12/onNQ+DCKpoIXNiWG2K/6+s/HA6IjNdy28588LRFT0k&#10;FKYfEnuNCCM7gPdkIyC7zW6NITYEOvgjnlcxHDFLnzS6/CVRbCoOz6vDakpM0ubL6/rmFY2EvBxV&#10;T7iAMb1T4Fj+aXk801j7b4vB4vQ+JupMwAsgN7U+xySMfeM7luZAQhIa4XurMm1KzylVpr8QLn9p&#10;tmqBf1KabCCKS5sygOpgkZ0EjU73dbtWocwM0cbaFVQXbn8EnXMzTJWh/Fvgml06gk8r0BkP+Luu&#10;abpQ1Uv+RfWiNct+hG4u11fsoMkq/pxfQR7dH9cF/vRW998BAAD//wMAUEsDBBQABgAIAAAAIQDk&#10;qPsr3QAAAAkBAAAPAAAAZHJzL2Rvd25yZXYueG1sTI/BTsMwDIbvSLxDZCRuLO3KYJSmE0JwnNDW&#10;CXHMGrepaJyqSbfy9hhxgKP9f/r9udjMrhcnHEPnSUG6SEAg1d501Co4VK83axAhajK694QKvjDA&#10;pry8KHRu/Jl2eNrHVnAJhVwrsDEOuZShtuh0WPgBibPGj05HHsdWmlGfudz1cpkkd9LpjviC1QM+&#10;W6w/95NT0FTtof54Wcupb97uq3f7YLfVVqnrq/npEUTEOf7B8KPP6lCy09FPZILoFSyzdMUoB6sM&#10;BANZcpuCOP4uZFnI/x+U3wAAAP//AwBQSwECLQAUAAYACAAAACEAtoM4kv4AAADhAQAAEwAAAAAA&#10;AAAAAAAAAAAAAAAAW0NvbnRlbnRfVHlwZXNdLnhtbFBLAQItABQABgAIAAAAIQA4/SH/1gAAAJQB&#10;AAALAAAAAAAAAAAAAAAAAC8BAABfcmVscy8ucmVsc1BLAQItABQABgAIAAAAIQDyfJV30gEAAPMD&#10;AAAOAAAAAAAAAAAAAAAAAC4CAABkcnMvZTJvRG9jLnhtbFBLAQItABQABgAIAAAAIQDkqPsr3QAA&#10;AAkBAAAPAAAAAAAAAAAAAAAAACwEAABkcnMvZG93bnJldi54bWxQSwUGAAAAAAQABADzAAAANgUA&#10;AAAA&#10;" strokecolor="black [3200]" strokeweight=".5pt">
                      <v:stroke endarrow="block" joinstyle="miter"/>
                    </v:shape>
                  </w:pict>
                </mc:Fallback>
              </mc:AlternateContent>
            </w:r>
            <w:r w:rsidRPr="00055CAD">
              <w:rPr>
                <w:b/>
                <w:noProof/>
                <w:sz w:val="22"/>
                <w:lang w:eastAsia="lv-LV"/>
              </w:rPr>
              <w:t xml:space="preserve">Rezultāts                 Koncentrēšanās uz profilaksi </w:t>
            </w:r>
            <w:r w:rsidRPr="00055CAD">
              <w:rPr>
                <w:noProof/>
                <w:sz w:val="22"/>
                <w:lang w:eastAsia="lv-LV"/>
              </w:rPr>
              <w:t>(</w:t>
            </w:r>
            <w:r w:rsidRPr="00055CAD">
              <w:rPr>
                <w:i/>
                <w:noProof/>
                <w:sz w:val="22"/>
                <w:lang w:eastAsia="lv-LV"/>
              </w:rPr>
              <w:t>Focus on prevention</w:t>
            </w:r>
            <w:r w:rsidRPr="00055CAD">
              <w:rPr>
                <w:noProof/>
                <w:sz w:val="22"/>
                <w:lang w:eastAsia="lv-LV"/>
              </w:rPr>
              <w:t>)</w:t>
            </w:r>
          </w:p>
        </w:tc>
      </w:tr>
      <w:tr w:rsidR="00055CAD" w:rsidTr="00F175E2">
        <w:tc>
          <w:tcPr>
            <w:tcW w:w="2405" w:type="dxa"/>
            <w:vAlign w:val="center"/>
          </w:tcPr>
          <w:p w:rsidR="00055CAD" w:rsidRPr="00055CAD" w:rsidRDefault="00055CAD" w:rsidP="00055CAD">
            <w:pPr>
              <w:tabs>
                <w:tab w:val="left" w:pos="2765"/>
              </w:tabs>
              <w:jc w:val="both"/>
              <w:rPr>
                <w:b/>
                <w:sz w:val="22"/>
              </w:rPr>
            </w:pPr>
            <w:r w:rsidRPr="00055CAD">
              <w:rPr>
                <w:sz w:val="22"/>
              </w:rPr>
              <w:t>Rezultatīvais rādītājs (1)</w:t>
            </w:r>
          </w:p>
        </w:tc>
        <w:tc>
          <w:tcPr>
            <w:tcW w:w="6946" w:type="dxa"/>
          </w:tcPr>
          <w:p w:rsidR="00055CAD" w:rsidRPr="00055CAD" w:rsidRDefault="00055CAD" w:rsidP="00055CAD">
            <w:pPr>
              <w:tabs>
                <w:tab w:val="left" w:pos="2765"/>
              </w:tabs>
              <w:jc w:val="both"/>
              <w:rPr>
                <w:sz w:val="22"/>
              </w:rPr>
            </w:pPr>
            <w:r w:rsidRPr="00055CAD">
              <w:rPr>
                <w:sz w:val="22"/>
              </w:rPr>
              <w:t>Personu ar lieko svaru un aptaukošanos īpatsvars (</w:t>
            </w:r>
            <w:r w:rsidRPr="00055CAD">
              <w:rPr>
                <w:i/>
                <w:sz w:val="22"/>
              </w:rPr>
              <w:t>Proportion of persons overweight and obese</w:t>
            </w:r>
            <w:r w:rsidRPr="00055CAD">
              <w:rPr>
                <w:sz w:val="22"/>
              </w:rPr>
              <w:t>)</w:t>
            </w:r>
          </w:p>
        </w:tc>
      </w:tr>
      <w:tr w:rsidR="00055CAD" w:rsidTr="00F175E2">
        <w:tc>
          <w:tcPr>
            <w:tcW w:w="2405" w:type="dxa"/>
            <w:vAlign w:val="center"/>
          </w:tcPr>
          <w:p w:rsidR="00055CAD" w:rsidRPr="00055CAD" w:rsidRDefault="00055CAD" w:rsidP="00055CAD">
            <w:pPr>
              <w:tabs>
                <w:tab w:val="left" w:pos="2765"/>
              </w:tabs>
              <w:jc w:val="both"/>
              <w:rPr>
                <w:b/>
                <w:sz w:val="22"/>
              </w:rPr>
            </w:pPr>
            <w:r w:rsidRPr="00055CAD">
              <w:rPr>
                <w:sz w:val="22"/>
              </w:rPr>
              <w:t>Rezultatīvais rādītājs (2)</w:t>
            </w:r>
          </w:p>
        </w:tc>
        <w:tc>
          <w:tcPr>
            <w:tcW w:w="6946" w:type="dxa"/>
          </w:tcPr>
          <w:p w:rsidR="00055CAD" w:rsidRPr="00055CAD" w:rsidRDefault="00055CAD" w:rsidP="00055CAD">
            <w:pPr>
              <w:tabs>
                <w:tab w:val="left" w:pos="2765"/>
              </w:tabs>
              <w:jc w:val="both"/>
              <w:rPr>
                <w:b/>
                <w:sz w:val="22"/>
              </w:rPr>
            </w:pPr>
            <w:r w:rsidRPr="00055CAD">
              <w:rPr>
                <w:sz w:val="22"/>
              </w:rPr>
              <w:t>Regulāro smēķētāju īpatsvars (</w:t>
            </w:r>
            <w:r w:rsidRPr="00055CAD">
              <w:rPr>
                <w:i/>
                <w:sz w:val="22"/>
              </w:rPr>
              <w:t>Proportion of persons who are daily smokers</w:t>
            </w:r>
            <w:r w:rsidRPr="00055CAD">
              <w:rPr>
                <w:sz w:val="22"/>
              </w:rPr>
              <w:t>)</w:t>
            </w:r>
          </w:p>
        </w:tc>
      </w:tr>
      <w:tr w:rsidR="00055CAD" w:rsidTr="00F175E2">
        <w:tc>
          <w:tcPr>
            <w:tcW w:w="2405" w:type="dxa"/>
            <w:vAlign w:val="center"/>
          </w:tcPr>
          <w:p w:rsidR="00055CAD" w:rsidRPr="00055CAD" w:rsidRDefault="00055CAD" w:rsidP="00055CAD">
            <w:pPr>
              <w:tabs>
                <w:tab w:val="left" w:pos="2765"/>
              </w:tabs>
              <w:jc w:val="both"/>
              <w:rPr>
                <w:b/>
                <w:sz w:val="22"/>
              </w:rPr>
            </w:pPr>
            <w:r w:rsidRPr="00055CAD">
              <w:rPr>
                <w:sz w:val="22"/>
              </w:rPr>
              <w:t>Rezultatīvais rādītājs (3)</w:t>
            </w:r>
          </w:p>
        </w:tc>
        <w:tc>
          <w:tcPr>
            <w:tcW w:w="6946" w:type="dxa"/>
          </w:tcPr>
          <w:p w:rsidR="00055CAD" w:rsidRPr="00055CAD" w:rsidRDefault="00055CAD" w:rsidP="00055CAD">
            <w:pPr>
              <w:tabs>
                <w:tab w:val="left" w:pos="3260"/>
              </w:tabs>
              <w:jc w:val="both"/>
              <w:rPr>
                <w:noProof/>
                <w:sz w:val="22"/>
                <w:lang w:eastAsia="lv-LV"/>
              </w:rPr>
            </w:pPr>
            <w:r w:rsidRPr="00055CAD">
              <w:rPr>
                <w:noProof/>
                <w:sz w:val="22"/>
                <w:lang w:eastAsia="lv-LV"/>
              </w:rPr>
              <w:t>Pieaugušo ar augstu asinspiedienu īpatsvars (</w:t>
            </w:r>
            <w:r w:rsidRPr="00055CAD">
              <w:rPr>
                <w:i/>
                <w:noProof/>
                <w:sz w:val="22"/>
                <w:lang w:eastAsia="lv-LV"/>
              </w:rPr>
              <w:t>Proportion of adults with high blood pressure</w:t>
            </w:r>
            <w:r w:rsidRPr="00055CAD">
              <w:rPr>
                <w:noProof/>
                <w:sz w:val="22"/>
                <w:lang w:eastAsia="lv-LV"/>
              </w:rPr>
              <w:t>)</w:t>
            </w:r>
          </w:p>
        </w:tc>
      </w:tr>
      <w:tr w:rsidR="00055CAD" w:rsidTr="00F175E2">
        <w:tc>
          <w:tcPr>
            <w:tcW w:w="2405" w:type="dxa"/>
            <w:vAlign w:val="center"/>
          </w:tcPr>
          <w:p w:rsidR="00055CAD" w:rsidRPr="00055CAD" w:rsidRDefault="00055CAD" w:rsidP="00055CAD">
            <w:pPr>
              <w:tabs>
                <w:tab w:val="left" w:pos="2765"/>
              </w:tabs>
              <w:jc w:val="both"/>
              <w:rPr>
                <w:b/>
                <w:sz w:val="22"/>
              </w:rPr>
            </w:pPr>
            <w:r w:rsidRPr="00055CAD">
              <w:rPr>
                <w:noProof/>
                <w:sz w:val="22"/>
                <w:lang w:eastAsia="lv-LV"/>
              </w:rPr>
              <w:t>Rezultatīvais rādītājs (4)</w:t>
            </w:r>
          </w:p>
        </w:tc>
        <w:tc>
          <w:tcPr>
            <w:tcW w:w="6946" w:type="dxa"/>
          </w:tcPr>
          <w:p w:rsidR="00055CAD" w:rsidRPr="00055CAD" w:rsidRDefault="00055CAD" w:rsidP="00055CAD">
            <w:pPr>
              <w:tabs>
                <w:tab w:val="left" w:pos="3260"/>
              </w:tabs>
              <w:jc w:val="both"/>
              <w:rPr>
                <w:noProof/>
                <w:sz w:val="22"/>
                <w:lang w:eastAsia="lv-LV"/>
              </w:rPr>
            </w:pPr>
            <w:r w:rsidRPr="00055CAD">
              <w:rPr>
                <w:noProof/>
                <w:sz w:val="22"/>
                <w:lang w:eastAsia="lv-LV"/>
              </w:rPr>
              <w:t>Ilgstošo alkohola lietotāju īpatsvars (</w:t>
            </w:r>
            <w:r w:rsidRPr="00055CAD">
              <w:rPr>
                <w:i/>
                <w:noProof/>
                <w:sz w:val="22"/>
                <w:lang w:eastAsia="lv-LV"/>
              </w:rPr>
              <w:t>Proportion of persons at risk of long-term harm from alcohol</w:t>
            </w:r>
            <w:r w:rsidRPr="00055CAD">
              <w:rPr>
                <w:noProof/>
                <w:sz w:val="22"/>
                <w:lang w:eastAsia="lv-LV"/>
              </w:rPr>
              <w:t>)</w:t>
            </w:r>
          </w:p>
        </w:tc>
      </w:tr>
      <w:tr w:rsidR="00055CAD" w:rsidTr="00F175E2">
        <w:tc>
          <w:tcPr>
            <w:tcW w:w="2405" w:type="dxa"/>
            <w:vAlign w:val="center"/>
          </w:tcPr>
          <w:p w:rsidR="00055CAD" w:rsidRPr="00055CAD" w:rsidRDefault="00055CAD" w:rsidP="00055CAD">
            <w:pPr>
              <w:tabs>
                <w:tab w:val="left" w:pos="2765"/>
              </w:tabs>
              <w:jc w:val="both"/>
              <w:rPr>
                <w:b/>
                <w:sz w:val="22"/>
              </w:rPr>
            </w:pPr>
            <w:r>
              <w:rPr>
                <w:sz w:val="22"/>
              </w:rPr>
              <w:t>Rezultatīvais rādītājs (5</w:t>
            </w:r>
            <w:r w:rsidRPr="00055CAD">
              <w:rPr>
                <w:sz w:val="22"/>
              </w:rPr>
              <w:t>)</w:t>
            </w:r>
          </w:p>
        </w:tc>
        <w:tc>
          <w:tcPr>
            <w:tcW w:w="6946" w:type="dxa"/>
          </w:tcPr>
          <w:p w:rsidR="00055CAD" w:rsidRPr="00055CAD" w:rsidRDefault="00055CAD" w:rsidP="00055CAD">
            <w:pPr>
              <w:tabs>
                <w:tab w:val="left" w:pos="3260"/>
              </w:tabs>
              <w:ind w:left="34" w:hanging="34"/>
              <w:jc w:val="both"/>
              <w:rPr>
                <w:noProof/>
                <w:sz w:val="22"/>
                <w:lang w:eastAsia="lv-LV"/>
              </w:rPr>
            </w:pPr>
            <w:r w:rsidRPr="00055CAD">
              <w:rPr>
                <w:noProof/>
                <w:sz w:val="22"/>
                <w:lang w:eastAsia="lv-LV"/>
              </w:rPr>
              <w:t>Bērnu īpatsvars, kuriem veiktas visas attīstības veselības pārbaudes (</w:t>
            </w:r>
            <w:r w:rsidRPr="00055CAD">
              <w:rPr>
                <w:i/>
                <w:noProof/>
                <w:sz w:val="22"/>
                <w:lang w:eastAsia="lv-LV"/>
              </w:rPr>
              <w:t>Proportion of children with all developmental health checks</w:t>
            </w:r>
            <w:r w:rsidRPr="00055CAD">
              <w:rPr>
                <w:noProof/>
                <w:sz w:val="22"/>
                <w:lang w:eastAsia="lv-LV"/>
              </w:rPr>
              <w:t>)</w:t>
            </w:r>
          </w:p>
        </w:tc>
      </w:tr>
      <w:tr w:rsidR="00055CAD" w:rsidTr="00F175E2">
        <w:tc>
          <w:tcPr>
            <w:tcW w:w="2405" w:type="dxa"/>
            <w:vAlign w:val="center"/>
          </w:tcPr>
          <w:p w:rsidR="00055CAD" w:rsidRPr="00055CAD" w:rsidRDefault="00055CAD" w:rsidP="00055CAD">
            <w:pPr>
              <w:tabs>
                <w:tab w:val="left" w:pos="2765"/>
              </w:tabs>
              <w:jc w:val="both"/>
              <w:rPr>
                <w:b/>
                <w:sz w:val="22"/>
              </w:rPr>
            </w:pPr>
            <w:r>
              <w:rPr>
                <w:noProof/>
                <w:sz w:val="22"/>
                <w:lang w:eastAsia="lv-LV"/>
              </w:rPr>
              <w:t>Rezultatīvais rādītājs (6</w:t>
            </w:r>
            <w:r w:rsidRPr="00055CAD">
              <w:rPr>
                <w:noProof/>
                <w:sz w:val="22"/>
                <w:lang w:eastAsia="lv-LV"/>
              </w:rPr>
              <w:t>)</w:t>
            </w:r>
          </w:p>
        </w:tc>
        <w:tc>
          <w:tcPr>
            <w:tcW w:w="6946" w:type="dxa"/>
          </w:tcPr>
          <w:p w:rsidR="00055CAD" w:rsidRPr="00055CAD" w:rsidRDefault="00055CAD" w:rsidP="00055CAD">
            <w:pPr>
              <w:tabs>
                <w:tab w:val="left" w:pos="2765"/>
              </w:tabs>
              <w:jc w:val="both"/>
              <w:rPr>
                <w:b/>
                <w:sz w:val="22"/>
              </w:rPr>
            </w:pPr>
            <w:r w:rsidRPr="00055CAD">
              <w:rPr>
                <w:noProof/>
                <w:sz w:val="22"/>
                <w:lang w:eastAsia="lv-LV"/>
              </w:rPr>
              <w:t>Vēža skrīninga līmenis valsts programmās (</w:t>
            </w:r>
            <w:r w:rsidRPr="00055CAD">
              <w:rPr>
                <w:i/>
                <w:noProof/>
                <w:sz w:val="22"/>
                <w:lang w:eastAsia="lv-LV"/>
              </w:rPr>
              <w:t>Cancer screening rates for national programs</w:t>
            </w:r>
            <w:r w:rsidRPr="00055CAD">
              <w:rPr>
                <w:noProof/>
                <w:sz w:val="22"/>
                <w:lang w:eastAsia="lv-LV"/>
              </w:rPr>
              <w:t>)</w:t>
            </w:r>
          </w:p>
        </w:tc>
      </w:tr>
      <w:tr w:rsidR="00A21851" w:rsidTr="00F175E2">
        <w:tc>
          <w:tcPr>
            <w:tcW w:w="9351" w:type="dxa"/>
            <w:gridSpan w:val="2"/>
            <w:shd w:val="clear" w:color="auto" w:fill="F2F2F2" w:themeFill="background1" w:themeFillShade="F2"/>
          </w:tcPr>
          <w:p w:rsidR="00A21851" w:rsidRPr="00A21851" w:rsidRDefault="00A21851" w:rsidP="00A21851">
            <w:pPr>
              <w:tabs>
                <w:tab w:val="left" w:pos="3260"/>
              </w:tabs>
              <w:ind w:left="2977" w:hanging="2977"/>
              <w:jc w:val="center"/>
              <w:rPr>
                <w:noProof/>
                <w:sz w:val="22"/>
                <w:lang w:eastAsia="lv-LV"/>
              </w:rPr>
            </w:pPr>
            <w:r w:rsidRPr="00A21851">
              <w:rPr>
                <w:b/>
                <w:noProof/>
                <w:sz w:val="22"/>
                <w:lang w:eastAsia="lv-LV"/>
              </w:rPr>
              <mc:AlternateContent>
                <mc:Choice Requires="wps">
                  <w:drawing>
                    <wp:anchor distT="0" distB="0" distL="114300" distR="114300" simplePos="0" relativeHeight="251798528" behindDoc="0" locked="0" layoutInCell="1" allowOverlap="1" wp14:anchorId="02B16DF1" wp14:editId="6BD3721E">
                      <wp:simplePos x="0" y="0"/>
                      <wp:positionH relativeFrom="column">
                        <wp:posOffset>2369769</wp:posOffset>
                      </wp:positionH>
                      <wp:positionV relativeFrom="paragraph">
                        <wp:posOffset>82550</wp:posOffset>
                      </wp:positionV>
                      <wp:extent cx="460858" cy="0"/>
                      <wp:effectExtent l="0" t="76200" r="15875" b="95250"/>
                      <wp:wrapNone/>
                      <wp:docPr id="10" name="Straight Arrow Connector 10"/>
                      <wp:cNvGraphicFramePr/>
                      <a:graphic xmlns:a="http://schemas.openxmlformats.org/drawingml/2006/main">
                        <a:graphicData uri="http://schemas.microsoft.com/office/word/2010/wordprocessingShape">
                          <wps:wsp>
                            <wps:cNvCnPr/>
                            <wps:spPr>
                              <a:xfrm>
                                <a:off x="0" y="0"/>
                                <a:ext cx="4608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131FE6" id="Straight Arrow Connector 10" o:spid="_x0000_s1026" type="#_x0000_t32" style="position:absolute;margin-left:186.6pt;margin-top:6.5pt;width:36.3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1+0gEAAPUDAAAOAAAAZHJzL2Uyb0RvYy54bWysU9tu1DAQfUfiHyy/s8lWUFWrzVZoC7wg&#10;WFH4ANexEwvfNB42yd8zdrIp4iKhqi+T2J4zc87xeH87OsvOCpIJvuHbTc2Z8jK0xncN//b1/asb&#10;zhIK3wobvGr4pBK/Pbx8sR/iTl2FPthWAaMiPu2G2PAeMe6qKsleOZE2ISpPhzqAE0hL6KoWxEDV&#10;na2u6vq6GgK0EYJUKdHu3XzID6W+1kriZ62TQmYbTtywRCjxIcfqsBe7DkTsjVxoiCewcMJ4arqW&#10;uhMo2A8wf5RyRkJIQeNGBlcFrY1URQOp2da/qbnvRVRFC5mT4mpTer6y8tP5BMy0dHdkjxeO7uge&#10;QZiuR/YWIAzsGLwnHwMwSiG/hph2BDv6EyyrFE+QxY8aXP6SLDYWj6fVYzUik7T5+rq+eUNDIS9H&#10;1SMuQsIPKjiWfxqeFh4rgW2xWJw/JqTOBLwAclPrc0Rh7DvfMpwiKUEwwndWZdqUnlOqTH8mXP5w&#10;smqGf1GajCCKc5sygupogZ0FDU/7fbtWocwM0cbaFVQXbv8ELbkZpspY/i9wzS4dg8cV6IwP8Leu&#10;OF6o6jn/onrWmmU/hHYq11fsoNkq/izvIA/vr+sCf3yth58AAAD//wMAUEsDBBQABgAIAAAAIQAG&#10;0fCU3QAAAAkBAAAPAAAAZHJzL2Rvd25yZXYueG1sTI/BTsMwEETvSPyDtUjcqENTaJvGqRCCY4Xa&#10;VIijG2/iiHgdxU4b/p5FHOC4M0+zM/l2cp044xBaTwruZwkIpMqblhoFx/L1bgUiRE1Gd55QwRcG&#10;2BbXV7nOjL/QHs+H2AgOoZBpBTbGPpMyVBadDjPfI7FX+8HpyOfQSDPoC4e7Ts6T5FE63RJ/sLrH&#10;Z4vV52F0CuqyOVYfLys5dvXbsny3a7srd0rd3kxPGxARp/gHw099rg4Fdzr5kUwQnYJ0mc4ZZSPl&#10;TQwsFg+85fQryCKX/xcU3wAAAP//AwBQSwECLQAUAAYACAAAACEAtoM4kv4AAADhAQAAEwAAAAAA&#10;AAAAAAAAAAAAAAAAW0NvbnRlbnRfVHlwZXNdLnhtbFBLAQItABQABgAIAAAAIQA4/SH/1gAAAJQB&#10;AAALAAAAAAAAAAAAAAAAAC8BAABfcmVscy8ucmVsc1BLAQItABQABgAIAAAAIQBzgt1+0gEAAPUD&#10;AAAOAAAAAAAAAAAAAAAAAC4CAABkcnMvZTJvRG9jLnhtbFBLAQItABQABgAIAAAAIQAG0fCU3QAA&#10;AAkBAAAPAAAAAAAAAAAAAAAAACwEAABkcnMvZG93bnJldi54bWxQSwUGAAAAAAQABADzAAAANgUA&#10;AAAA&#10;" strokecolor="black [3200]" strokeweight=".5pt">
                      <v:stroke endarrow="block" joinstyle="miter"/>
                    </v:shape>
                  </w:pict>
                </mc:Fallback>
              </mc:AlternateContent>
            </w:r>
            <w:r w:rsidRPr="00A21851">
              <w:rPr>
                <w:b/>
                <w:noProof/>
                <w:sz w:val="22"/>
                <w:lang w:eastAsia="lv-LV"/>
              </w:rPr>
              <w:t xml:space="preserve">Rezultāts                  Pieejamība </w:t>
            </w:r>
            <w:r w:rsidRPr="00A21851">
              <w:rPr>
                <w:noProof/>
                <w:sz w:val="22"/>
                <w:lang w:eastAsia="lv-LV"/>
              </w:rPr>
              <w:t>(</w:t>
            </w:r>
            <w:r w:rsidRPr="00A21851">
              <w:rPr>
                <w:i/>
                <w:noProof/>
                <w:sz w:val="22"/>
                <w:lang w:eastAsia="lv-LV"/>
              </w:rPr>
              <w:t>Access</w:t>
            </w:r>
            <w:r w:rsidRPr="00A21851">
              <w:rPr>
                <w:noProof/>
                <w:sz w:val="22"/>
                <w:lang w:eastAsia="lv-LV"/>
              </w:rPr>
              <w:t>)</w:t>
            </w:r>
          </w:p>
        </w:tc>
      </w:tr>
      <w:tr w:rsidR="00A21851" w:rsidTr="00F175E2">
        <w:tc>
          <w:tcPr>
            <w:tcW w:w="2405" w:type="dxa"/>
            <w:vAlign w:val="center"/>
          </w:tcPr>
          <w:p w:rsidR="00A21851" w:rsidRPr="00055CAD" w:rsidRDefault="00A21851" w:rsidP="00A21851">
            <w:pPr>
              <w:tabs>
                <w:tab w:val="left" w:pos="2765"/>
              </w:tabs>
              <w:jc w:val="both"/>
              <w:rPr>
                <w:b/>
                <w:sz w:val="22"/>
              </w:rPr>
            </w:pPr>
            <w:r w:rsidRPr="00055CAD">
              <w:rPr>
                <w:sz w:val="22"/>
              </w:rPr>
              <w:t>Rezultatīvais rādītājs (1)</w:t>
            </w:r>
          </w:p>
        </w:tc>
        <w:tc>
          <w:tcPr>
            <w:tcW w:w="6946" w:type="dxa"/>
          </w:tcPr>
          <w:p w:rsidR="00A21851" w:rsidRPr="00A21851" w:rsidRDefault="00A21851" w:rsidP="00A21851">
            <w:pPr>
              <w:tabs>
                <w:tab w:val="left" w:pos="2765"/>
              </w:tabs>
              <w:ind w:left="2977" w:hanging="2977"/>
              <w:jc w:val="both"/>
              <w:rPr>
                <w:szCs w:val="24"/>
              </w:rPr>
            </w:pPr>
            <w:r>
              <w:rPr>
                <w:szCs w:val="24"/>
              </w:rPr>
              <w:t>Speciālistu pieejamība (</w:t>
            </w:r>
            <w:r w:rsidRPr="00D5091C">
              <w:rPr>
                <w:i/>
                <w:szCs w:val="24"/>
              </w:rPr>
              <w:t>Access to specialists</w:t>
            </w:r>
            <w:r>
              <w:rPr>
                <w:szCs w:val="24"/>
              </w:rPr>
              <w:t>)</w:t>
            </w:r>
          </w:p>
        </w:tc>
      </w:tr>
      <w:tr w:rsidR="00A21851" w:rsidTr="00F175E2">
        <w:tc>
          <w:tcPr>
            <w:tcW w:w="2405" w:type="dxa"/>
            <w:vAlign w:val="center"/>
          </w:tcPr>
          <w:p w:rsidR="00A21851" w:rsidRPr="00055CAD" w:rsidRDefault="00A21851" w:rsidP="00A21851">
            <w:pPr>
              <w:tabs>
                <w:tab w:val="left" w:pos="2765"/>
              </w:tabs>
              <w:jc w:val="both"/>
              <w:rPr>
                <w:b/>
                <w:sz w:val="22"/>
              </w:rPr>
            </w:pPr>
            <w:r w:rsidRPr="00055CAD">
              <w:rPr>
                <w:sz w:val="22"/>
              </w:rPr>
              <w:t>Rezultatīvais rādītājs (2)</w:t>
            </w:r>
          </w:p>
        </w:tc>
        <w:tc>
          <w:tcPr>
            <w:tcW w:w="6946" w:type="dxa"/>
          </w:tcPr>
          <w:p w:rsidR="00A21851" w:rsidRPr="00055CAD" w:rsidRDefault="00A21851" w:rsidP="00A21851">
            <w:pPr>
              <w:tabs>
                <w:tab w:val="left" w:pos="2765"/>
              </w:tabs>
              <w:jc w:val="both"/>
              <w:rPr>
                <w:b/>
                <w:sz w:val="22"/>
              </w:rPr>
            </w:pPr>
            <w:r>
              <w:rPr>
                <w:szCs w:val="24"/>
              </w:rPr>
              <w:t>Recepšu medikamentu pieejamība (</w:t>
            </w:r>
            <w:r w:rsidRPr="00D5091C">
              <w:rPr>
                <w:i/>
                <w:szCs w:val="24"/>
              </w:rPr>
              <w:t>Access to prescription drugs</w:t>
            </w:r>
            <w:r>
              <w:rPr>
                <w:szCs w:val="24"/>
              </w:rPr>
              <w:t>)</w:t>
            </w:r>
          </w:p>
        </w:tc>
      </w:tr>
      <w:tr w:rsidR="00A21851" w:rsidTr="00F175E2">
        <w:tc>
          <w:tcPr>
            <w:tcW w:w="2405" w:type="dxa"/>
            <w:vAlign w:val="center"/>
          </w:tcPr>
          <w:p w:rsidR="00A21851" w:rsidRPr="00055CAD" w:rsidRDefault="00A21851" w:rsidP="00A21851">
            <w:pPr>
              <w:tabs>
                <w:tab w:val="left" w:pos="2765"/>
              </w:tabs>
              <w:jc w:val="both"/>
              <w:rPr>
                <w:b/>
                <w:sz w:val="22"/>
              </w:rPr>
            </w:pPr>
            <w:r w:rsidRPr="00055CAD">
              <w:rPr>
                <w:sz w:val="22"/>
              </w:rPr>
              <w:t>Rezultatīvais rādītājs (3)</w:t>
            </w:r>
          </w:p>
        </w:tc>
        <w:tc>
          <w:tcPr>
            <w:tcW w:w="6946" w:type="dxa"/>
          </w:tcPr>
          <w:p w:rsidR="00A21851" w:rsidRPr="00A21851" w:rsidRDefault="00A21851" w:rsidP="00A21851">
            <w:pPr>
              <w:tabs>
                <w:tab w:val="left" w:pos="3119"/>
                <w:tab w:val="left" w:pos="3260"/>
              </w:tabs>
              <w:jc w:val="both"/>
              <w:rPr>
                <w:szCs w:val="24"/>
              </w:rPr>
            </w:pPr>
            <w:r>
              <w:rPr>
                <w:noProof/>
                <w:szCs w:val="24"/>
                <w:lang w:eastAsia="lv-LV"/>
              </w:rPr>
              <w:t>Gaidīšanas laiks izvēlētajam veselības aprūpes pakalpojumam (</w:t>
            </w:r>
            <w:r w:rsidRPr="00DC095A">
              <w:rPr>
                <w:i/>
                <w:noProof/>
                <w:szCs w:val="24"/>
                <w:lang w:eastAsia="lv-LV"/>
              </w:rPr>
              <w:t>Waiting times for selected health services</w:t>
            </w:r>
            <w:r>
              <w:rPr>
                <w:noProof/>
                <w:szCs w:val="24"/>
                <w:lang w:eastAsia="lv-LV"/>
              </w:rPr>
              <w:t>)</w:t>
            </w:r>
          </w:p>
        </w:tc>
      </w:tr>
      <w:tr w:rsidR="00A21851" w:rsidTr="00F175E2">
        <w:tc>
          <w:tcPr>
            <w:tcW w:w="9351" w:type="dxa"/>
            <w:gridSpan w:val="2"/>
            <w:shd w:val="clear" w:color="auto" w:fill="F2F2F2" w:themeFill="background1" w:themeFillShade="F2"/>
            <w:vAlign w:val="center"/>
          </w:tcPr>
          <w:p w:rsidR="00A21851" w:rsidRPr="00A21851" w:rsidRDefault="00A21851" w:rsidP="00A21851">
            <w:pPr>
              <w:tabs>
                <w:tab w:val="left" w:pos="3260"/>
              </w:tabs>
              <w:ind w:left="2977" w:hanging="2977"/>
              <w:jc w:val="center"/>
              <w:rPr>
                <w:noProof/>
                <w:sz w:val="22"/>
                <w:lang w:eastAsia="lv-LV"/>
              </w:rPr>
            </w:pPr>
            <w:r w:rsidRPr="00A21851">
              <w:rPr>
                <w:b/>
                <w:noProof/>
                <w:sz w:val="22"/>
                <w:lang w:eastAsia="lv-LV"/>
              </w:rPr>
              <mc:AlternateContent>
                <mc:Choice Requires="wps">
                  <w:drawing>
                    <wp:anchor distT="0" distB="0" distL="114300" distR="114300" simplePos="0" relativeHeight="251800576" behindDoc="0" locked="0" layoutInCell="1" allowOverlap="1" wp14:anchorId="27630D6E" wp14:editId="1E0701C4">
                      <wp:simplePos x="0" y="0"/>
                      <wp:positionH relativeFrom="column">
                        <wp:posOffset>1277620</wp:posOffset>
                      </wp:positionH>
                      <wp:positionV relativeFrom="paragraph">
                        <wp:posOffset>80010</wp:posOffset>
                      </wp:positionV>
                      <wp:extent cx="460375" cy="0"/>
                      <wp:effectExtent l="0" t="76200" r="15875" b="95250"/>
                      <wp:wrapNone/>
                      <wp:docPr id="11" name="Straight Arrow Connector 11"/>
                      <wp:cNvGraphicFramePr/>
                      <a:graphic xmlns:a="http://schemas.openxmlformats.org/drawingml/2006/main">
                        <a:graphicData uri="http://schemas.microsoft.com/office/word/2010/wordprocessingShape">
                          <wps:wsp>
                            <wps:cNvCnPr/>
                            <wps:spPr>
                              <a:xfrm>
                                <a:off x="0" y="0"/>
                                <a:ext cx="460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70A41D" id="Straight Arrow Connector 11" o:spid="_x0000_s1026" type="#_x0000_t32" style="position:absolute;margin-left:100.6pt;margin-top:6.3pt;width:36.2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vE0wEAAPUDAAAOAAAAZHJzL2Uyb0RvYy54bWysU9uO0zAQfUfiHyy/06QLLChqukJd4AVB&#10;tQsf4HXGiYVvGpum+XvGTppFXCSEeJnE9pyZc47Hu5uzNewEGLV3Ld9uas7ASd9p17f8y+d3z15z&#10;FpNwnTDeQcsniPxm//TJbgwNXPnBmw6QUREXmzG0fEgpNFUV5QBWxI0P4OhQebQi0RL7qkMxUnVr&#10;qqu6vq5Gj11ALyFG2r2dD/m+1FcKZPqkVITETMuJWyoRS3zIsdrvRNOjCIOWCw3xDyys0I6arqVu&#10;RRLsG+pfSlkt0Uev0kZ6W3mltISigdRs65/U3A8iQNFC5sSw2hT/X1n58XREpju6uy1nTli6o/uE&#10;QvdDYm8Q/cgO3jny0SOjFPJrDLEh2MEdcVnFcMQs/qzQ5i/JYufi8bR6DOfEJG2+uK6fv3rJmbwc&#10;VY+4gDG9B29Z/ml5XHisBLbFYnH6EBN1JuAFkJsal2MS2rx1HUtTICUJtXC9gUyb0nNKlenPhMtf&#10;mgzM8DtQZARRnNuUEYSDQXYSNDzd1yK+VKHMDFHamBVUF25/BC25GQZlLP8WuGaXjt6lFWi18/i7&#10;rul8oarm/IvqWWuW/eC7qVxfsYNmq/izvIM8vD+uC/zxte6/AwAA//8DAFBLAwQUAAYACAAAACEA&#10;qifzTd0AAAAJAQAADwAAAGRycy9kb3ducmV2LnhtbEyPTUvDQBCG74L/YRnBm910habGbIqIHkux&#10;KeJxm51kg/sRsps2/vuOeLDHmffhnWfKzewsO+EY++AlLBcZMPRN0L3vJBzq94c1sJiU18oGjxJ+&#10;MMKmur0pVaHD2X/gaZ86RiU+FkqCSWkoOI+NQafiIgzoKWvD6FSicey4HtWZyp3lIstW3Kne0wWj&#10;Bnw12HzvJyehrbtD8/W25pNtd3n9aZ7Mtt5KeX83vzwDSzinfxh+9UkdKnI6hsnryKwEkS0FoRSI&#10;FTACRP6YAzv+LXhV8usPqgsAAAD//wMAUEsBAi0AFAAGAAgAAAAhALaDOJL+AAAA4QEAABMAAAAA&#10;AAAAAAAAAAAAAAAAAFtDb250ZW50X1R5cGVzXS54bWxQSwECLQAUAAYACAAAACEAOP0h/9YAAACU&#10;AQAACwAAAAAAAAAAAAAAAAAvAQAAX3JlbHMvLnJlbHNQSwECLQAUAAYACAAAACEAqBa7xNMBAAD1&#10;AwAADgAAAAAAAAAAAAAAAAAuAgAAZHJzL2Uyb0RvYy54bWxQSwECLQAUAAYACAAAACEAqifzTd0A&#10;AAAJAQAADwAAAAAAAAAAAAAAAAAtBAAAZHJzL2Rvd25yZXYueG1sUEsFBgAAAAAEAAQA8wAAADcF&#10;AAAAAA==&#10;" strokecolor="black [3200]" strokeweight=".5pt">
                      <v:stroke endarrow="block" joinstyle="miter"/>
                    </v:shape>
                  </w:pict>
                </mc:Fallback>
              </mc:AlternateContent>
            </w:r>
            <w:r w:rsidRPr="00A21851">
              <w:rPr>
                <w:b/>
                <w:noProof/>
                <w:sz w:val="22"/>
                <w:lang w:eastAsia="lv-LV"/>
              </w:rPr>
              <w:t xml:space="preserve">Rezultāts                  Augstas kvalitātes – Atbilstošs </w:t>
            </w:r>
            <w:r w:rsidRPr="00A21851">
              <w:rPr>
                <w:noProof/>
                <w:sz w:val="22"/>
                <w:lang w:eastAsia="lv-LV"/>
              </w:rPr>
              <w:t>(</w:t>
            </w:r>
            <w:r w:rsidRPr="00A21851">
              <w:rPr>
                <w:i/>
                <w:noProof/>
                <w:sz w:val="22"/>
                <w:lang w:eastAsia="lv-LV"/>
              </w:rPr>
              <w:t>High quality – Appropriate</w:t>
            </w:r>
            <w:r w:rsidRPr="00A21851">
              <w:rPr>
                <w:noProof/>
                <w:sz w:val="22"/>
                <w:lang w:eastAsia="lv-LV"/>
              </w:rPr>
              <w:t>)</w:t>
            </w:r>
          </w:p>
        </w:tc>
      </w:tr>
      <w:tr w:rsidR="00A21851" w:rsidTr="00F175E2">
        <w:tc>
          <w:tcPr>
            <w:tcW w:w="2405" w:type="dxa"/>
            <w:vAlign w:val="center"/>
          </w:tcPr>
          <w:p w:rsidR="00A21851" w:rsidRPr="00A21851" w:rsidRDefault="00A21851" w:rsidP="00A21851">
            <w:pPr>
              <w:tabs>
                <w:tab w:val="left" w:pos="2765"/>
              </w:tabs>
              <w:jc w:val="both"/>
              <w:rPr>
                <w:b/>
                <w:sz w:val="22"/>
              </w:rPr>
            </w:pPr>
            <w:r w:rsidRPr="00A21851">
              <w:rPr>
                <w:sz w:val="22"/>
              </w:rPr>
              <w:lastRenderedPageBreak/>
              <w:t>Rezultatīvais rādītājs (1)</w:t>
            </w:r>
          </w:p>
        </w:tc>
        <w:tc>
          <w:tcPr>
            <w:tcW w:w="6946" w:type="dxa"/>
          </w:tcPr>
          <w:p w:rsidR="00A21851" w:rsidRPr="00A21851" w:rsidRDefault="00A21851" w:rsidP="00A21851">
            <w:pPr>
              <w:tabs>
                <w:tab w:val="left" w:pos="2765"/>
              </w:tabs>
              <w:ind w:left="2977" w:hanging="2977"/>
              <w:jc w:val="both"/>
              <w:rPr>
                <w:sz w:val="22"/>
              </w:rPr>
            </w:pPr>
            <w:r w:rsidRPr="00A21851">
              <w:rPr>
                <w:sz w:val="22"/>
              </w:rPr>
              <w:t>Izdzīvojušie pēc saslimšanas ar vēzi (</w:t>
            </w:r>
            <w:r w:rsidRPr="00A21851">
              <w:rPr>
                <w:i/>
                <w:sz w:val="22"/>
              </w:rPr>
              <w:t>Cancer survival</w:t>
            </w:r>
            <w:r w:rsidRPr="00A21851">
              <w:rPr>
                <w:sz w:val="22"/>
              </w:rPr>
              <w:t>)</w:t>
            </w:r>
          </w:p>
        </w:tc>
      </w:tr>
      <w:tr w:rsidR="00A21851" w:rsidTr="00F175E2">
        <w:tc>
          <w:tcPr>
            <w:tcW w:w="2405" w:type="dxa"/>
            <w:vAlign w:val="center"/>
          </w:tcPr>
          <w:p w:rsidR="00A21851" w:rsidRPr="00A21851" w:rsidRDefault="00A21851" w:rsidP="00A21851">
            <w:pPr>
              <w:tabs>
                <w:tab w:val="left" w:pos="2765"/>
              </w:tabs>
              <w:jc w:val="both"/>
              <w:rPr>
                <w:b/>
                <w:sz w:val="22"/>
              </w:rPr>
            </w:pPr>
            <w:r w:rsidRPr="00A21851">
              <w:rPr>
                <w:sz w:val="22"/>
              </w:rPr>
              <w:t>Rezultatīvais rādītājs (2)</w:t>
            </w:r>
          </w:p>
        </w:tc>
        <w:tc>
          <w:tcPr>
            <w:tcW w:w="6946" w:type="dxa"/>
          </w:tcPr>
          <w:p w:rsidR="00A21851" w:rsidRPr="00A21851" w:rsidRDefault="00A21851" w:rsidP="00A21851">
            <w:pPr>
              <w:tabs>
                <w:tab w:val="left" w:pos="2765"/>
              </w:tabs>
              <w:jc w:val="both"/>
              <w:rPr>
                <w:b/>
                <w:sz w:val="22"/>
              </w:rPr>
            </w:pPr>
            <w:r w:rsidRPr="00A21851">
              <w:rPr>
                <w:sz w:val="22"/>
              </w:rPr>
              <w:t>Mirstība slimnīcās pēc atsevišķām procedūrām (</w:t>
            </w:r>
            <w:r w:rsidRPr="00A21851">
              <w:rPr>
                <w:i/>
                <w:sz w:val="22"/>
              </w:rPr>
              <w:t>In-hospital mortality for selected procedures</w:t>
            </w:r>
            <w:r w:rsidRPr="00A21851">
              <w:rPr>
                <w:sz w:val="22"/>
              </w:rPr>
              <w:t>)</w:t>
            </w:r>
          </w:p>
        </w:tc>
      </w:tr>
      <w:tr w:rsidR="00A21851" w:rsidTr="00F175E2">
        <w:tc>
          <w:tcPr>
            <w:tcW w:w="2405" w:type="dxa"/>
            <w:vAlign w:val="center"/>
          </w:tcPr>
          <w:p w:rsidR="00A21851" w:rsidRPr="00A21851" w:rsidRDefault="00A21851" w:rsidP="00A21851">
            <w:pPr>
              <w:tabs>
                <w:tab w:val="left" w:pos="2765"/>
              </w:tabs>
              <w:jc w:val="both"/>
              <w:rPr>
                <w:b/>
                <w:sz w:val="22"/>
              </w:rPr>
            </w:pPr>
            <w:r w:rsidRPr="00A21851">
              <w:rPr>
                <w:sz w:val="22"/>
              </w:rPr>
              <w:t>Rezultatīvais rādītājs (3)</w:t>
            </w:r>
          </w:p>
        </w:tc>
        <w:tc>
          <w:tcPr>
            <w:tcW w:w="6946" w:type="dxa"/>
          </w:tcPr>
          <w:p w:rsidR="00A21851" w:rsidRPr="00A21851" w:rsidRDefault="00A21851" w:rsidP="00A21851">
            <w:pPr>
              <w:tabs>
                <w:tab w:val="left" w:pos="3260"/>
              </w:tabs>
              <w:jc w:val="both"/>
              <w:rPr>
                <w:noProof/>
                <w:sz w:val="22"/>
                <w:lang w:eastAsia="lv-LV"/>
              </w:rPr>
            </w:pPr>
            <w:r w:rsidRPr="00A21851">
              <w:rPr>
                <w:noProof/>
                <w:sz w:val="22"/>
                <w:lang w:eastAsia="lv-LV"/>
              </w:rPr>
              <w:t>Neplānota atpakaļuzņemšana slimnīcās (</w:t>
            </w:r>
            <w:r w:rsidRPr="00A21851">
              <w:rPr>
                <w:i/>
                <w:noProof/>
                <w:sz w:val="22"/>
                <w:lang w:eastAsia="lv-LV"/>
              </w:rPr>
              <w:t>Unplanned hospital readmissions</w:t>
            </w:r>
            <w:r w:rsidRPr="00A21851">
              <w:rPr>
                <w:noProof/>
                <w:sz w:val="22"/>
                <w:lang w:eastAsia="lv-LV"/>
              </w:rPr>
              <w:t>)</w:t>
            </w:r>
          </w:p>
        </w:tc>
      </w:tr>
      <w:tr w:rsidR="00A21851" w:rsidTr="00F175E2">
        <w:tc>
          <w:tcPr>
            <w:tcW w:w="9351" w:type="dxa"/>
            <w:gridSpan w:val="2"/>
            <w:shd w:val="clear" w:color="auto" w:fill="F2F2F2" w:themeFill="background1" w:themeFillShade="F2"/>
            <w:vAlign w:val="center"/>
          </w:tcPr>
          <w:p w:rsidR="00A21851" w:rsidRPr="00A21851" w:rsidRDefault="00A21851" w:rsidP="00F175E2">
            <w:pPr>
              <w:tabs>
                <w:tab w:val="left" w:pos="2765"/>
              </w:tabs>
              <w:jc w:val="center"/>
              <w:rPr>
                <w:b/>
                <w:sz w:val="22"/>
              </w:rPr>
            </w:pPr>
            <w:r w:rsidRPr="00A21851">
              <w:rPr>
                <w:b/>
                <w:noProof/>
                <w:sz w:val="22"/>
                <w:lang w:eastAsia="lv-LV"/>
              </w:rPr>
              <mc:AlternateContent>
                <mc:Choice Requires="wps">
                  <w:drawing>
                    <wp:anchor distT="0" distB="0" distL="114300" distR="114300" simplePos="0" relativeHeight="251802624" behindDoc="0" locked="0" layoutInCell="1" allowOverlap="1" wp14:anchorId="0DDB76A7" wp14:editId="37638BDB">
                      <wp:simplePos x="0" y="0"/>
                      <wp:positionH relativeFrom="column">
                        <wp:posOffset>819785</wp:posOffset>
                      </wp:positionH>
                      <wp:positionV relativeFrom="paragraph">
                        <wp:posOffset>90805</wp:posOffset>
                      </wp:positionV>
                      <wp:extent cx="460375" cy="0"/>
                      <wp:effectExtent l="0" t="76200" r="15875" b="95250"/>
                      <wp:wrapNone/>
                      <wp:docPr id="12" name="Straight Arrow Connector 12"/>
                      <wp:cNvGraphicFramePr/>
                      <a:graphic xmlns:a="http://schemas.openxmlformats.org/drawingml/2006/main">
                        <a:graphicData uri="http://schemas.microsoft.com/office/word/2010/wordprocessingShape">
                          <wps:wsp>
                            <wps:cNvCnPr/>
                            <wps:spPr>
                              <a:xfrm>
                                <a:off x="0" y="0"/>
                                <a:ext cx="460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97FF5" id="Straight Arrow Connector 12" o:spid="_x0000_s1026" type="#_x0000_t32" style="position:absolute;margin-left:64.55pt;margin-top:7.15pt;width:36.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ck0wEAAPUDAAAOAAAAZHJzL2Uyb0RvYy54bWysU9uO0zAQfUfiHyy/06QFFhQ1XaEu8IKg&#10;2mU/wOvYiYVvGg9N+/eMnTSLgJUQ4mUS23Nmzjkeb69PzrKjgmSCb/l6VXOmvAyd8X3L779+ePGW&#10;s4TCd8IGr1p+Volf754/246xUZswBNspYFTEp2aMLR8QY1NVSQ7KibQKUXk61AGcQFpCX3UgRqru&#10;bLWp66tqDNBFCFKlRLs30yHflfpaK4lftE4KmW05ccMSocSHHKvdVjQ9iDgYOdMQ/8DCCeOp6VLq&#10;RqBg38H8VsoZCSEFjSsZXBW0NlIVDaRmXf+i5m4QURUtZE6Ki03p/5WVn48HYKaju9tw5oWjO7pD&#10;EKYfkL0DCCPbB+/JxwCMUsivMaaGYHt/gHmV4gGy+JMGl78ki52Kx+fFY3VCJmnz1VX98s1rzuTl&#10;qHrERUj4UQXH8k/L08xjIbAuFovjp4TUmYAXQG5qfY4ojH3vO4bnSEoQjPC9VZk2peeUKtOfCJc/&#10;PFs1wW+VJiOI4tSmjKDaW2BHQcPTfVsvVSgzQ7SxdgHVhduToDk3w1QZy78FLtmlY/C4AJ3xAf7U&#10;FU8XqnrKv6ietGbZD6E7l+srdtBsFX/md5CH9+d1gT++1t0PAAAA//8DAFBLAwQUAAYACAAAACEA&#10;SR6/V90AAAAJAQAADwAAAGRycy9kb3ducmV2LnhtbEyPQU/DMAyF70j8h8hI3FjagsbWNZ0QguOE&#10;WCfEMWvcplrjVE26lX+PEQe4+dlPz98rtrPrxRnH0HlSkC4SEEi1Nx21Cg7V690KRIiajO49oYIv&#10;DLAtr68KnRt/oXc872MrOIRCrhXYGIdcylBbdDos/IDEt8aPTkeWYyvNqC8c7nqZJclSOt0Rf7B6&#10;wGeL9Wk/OQVN1R7qz5eVnPrm7bH6sGu7q3ZK3d7MTxsQEef4Z4YffEaHkpmOfiITRM86W6ds5eHh&#10;HgQbsiRdgjj+LmRZyP8Nym8AAAD//wMAUEsBAi0AFAAGAAgAAAAhALaDOJL+AAAA4QEAABMAAAAA&#10;AAAAAAAAAAAAAAAAAFtDb250ZW50X1R5cGVzXS54bWxQSwECLQAUAAYACAAAACEAOP0h/9YAAACU&#10;AQAACwAAAAAAAAAAAAAAAAAvAQAAX3JlbHMvLnJlbHNQSwECLQAUAAYACAAAACEA34AnJNMBAAD1&#10;AwAADgAAAAAAAAAAAAAAAAAuAgAAZHJzL2Uyb0RvYy54bWxQSwECLQAUAAYACAAAACEASR6/V90A&#10;AAAJAQAADwAAAAAAAAAAAAAAAAAtBAAAZHJzL2Rvd25yZXYueG1sUEsFBgAAAAAEAAQA8wAAADcF&#10;AAAAAA==&#10;" strokecolor="black [3200]" strokeweight=".5pt">
                      <v:stroke endarrow="block" joinstyle="miter"/>
                    </v:shape>
                  </w:pict>
                </mc:Fallback>
              </mc:AlternateContent>
            </w:r>
            <w:r w:rsidRPr="00A21851">
              <w:rPr>
                <w:b/>
                <w:noProof/>
                <w:sz w:val="22"/>
                <w:lang w:eastAsia="lv-LV"/>
              </w:rPr>
              <w:t xml:space="preserve">Rezultāts                  Integrācija un aprūpes nepārtrauktība </w:t>
            </w:r>
            <w:r w:rsidRPr="00A21851">
              <w:rPr>
                <w:i/>
                <w:noProof/>
                <w:sz w:val="22"/>
                <w:lang w:eastAsia="lv-LV"/>
              </w:rPr>
              <w:t>(Integration and continuity of care</w:t>
            </w:r>
            <w:r w:rsidRPr="00A21851">
              <w:rPr>
                <w:noProof/>
                <w:sz w:val="22"/>
                <w:lang w:eastAsia="lv-LV"/>
              </w:rPr>
              <w:t>)</w:t>
            </w:r>
          </w:p>
        </w:tc>
      </w:tr>
      <w:tr w:rsidR="00A21851" w:rsidTr="00F175E2">
        <w:tc>
          <w:tcPr>
            <w:tcW w:w="2405" w:type="dxa"/>
            <w:vAlign w:val="center"/>
          </w:tcPr>
          <w:p w:rsidR="00A21851" w:rsidRPr="00055CAD" w:rsidRDefault="00A21851" w:rsidP="00A21851">
            <w:pPr>
              <w:tabs>
                <w:tab w:val="left" w:pos="2765"/>
              </w:tabs>
              <w:jc w:val="both"/>
              <w:rPr>
                <w:b/>
                <w:sz w:val="22"/>
              </w:rPr>
            </w:pPr>
            <w:r w:rsidRPr="00A21851">
              <w:rPr>
                <w:sz w:val="22"/>
              </w:rPr>
              <w:t>Rezultatīvais rādītājs (1)</w:t>
            </w:r>
          </w:p>
        </w:tc>
        <w:tc>
          <w:tcPr>
            <w:tcW w:w="6946" w:type="dxa"/>
          </w:tcPr>
          <w:p w:rsidR="00A21851" w:rsidRPr="00A21851" w:rsidRDefault="00A21851" w:rsidP="00A21851">
            <w:pPr>
              <w:tabs>
                <w:tab w:val="left" w:pos="2765"/>
              </w:tabs>
              <w:jc w:val="both"/>
              <w:rPr>
                <w:b/>
                <w:sz w:val="22"/>
              </w:rPr>
            </w:pPr>
            <w:r w:rsidRPr="00A21851">
              <w:rPr>
                <w:sz w:val="22"/>
              </w:rPr>
              <w:t>Elektroniski nosūtīto pieteikumu skaits (</w:t>
            </w:r>
            <w:r w:rsidRPr="00A21851">
              <w:rPr>
                <w:i/>
                <w:sz w:val="22"/>
              </w:rPr>
              <w:t>Discharge summaries transmitted electronically</w:t>
            </w:r>
            <w:r w:rsidRPr="00A21851">
              <w:rPr>
                <w:sz w:val="22"/>
              </w:rPr>
              <w:t>)</w:t>
            </w:r>
          </w:p>
        </w:tc>
      </w:tr>
      <w:tr w:rsidR="00A21851" w:rsidTr="00F175E2">
        <w:tc>
          <w:tcPr>
            <w:tcW w:w="9351" w:type="dxa"/>
            <w:gridSpan w:val="2"/>
            <w:shd w:val="clear" w:color="auto" w:fill="F2F2F2" w:themeFill="background1" w:themeFillShade="F2"/>
            <w:vAlign w:val="center"/>
          </w:tcPr>
          <w:p w:rsidR="00A21851" w:rsidRPr="00A21851" w:rsidRDefault="00A21851" w:rsidP="00A21851">
            <w:pPr>
              <w:tabs>
                <w:tab w:val="left" w:pos="3260"/>
              </w:tabs>
              <w:ind w:left="2977" w:hanging="2977"/>
              <w:jc w:val="center"/>
              <w:rPr>
                <w:noProof/>
                <w:sz w:val="22"/>
                <w:lang w:eastAsia="lv-LV"/>
              </w:rPr>
            </w:pPr>
            <w:r w:rsidRPr="00A21851">
              <w:rPr>
                <w:b/>
                <w:noProof/>
                <w:sz w:val="22"/>
                <w:lang w:eastAsia="lv-LV"/>
              </w:rPr>
              <mc:AlternateContent>
                <mc:Choice Requires="wps">
                  <w:drawing>
                    <wp:anchor distT="0" distB="0" distL="114300" distR="114300" simplePos="0" relativeHeight="251804672" behindDoc="0" locked="0" layoutInCell="1" allowOverlap="1" wp14:anchorId="00F92A54" wp14:editId="71D97CDA">
                      <wp:simplePos x="0" y="0"/>
                      <wp:positionH relativeFrom="column">
                        <wp:posOffset>1758315</wp:posOffset>
                      </wp:positionH>
                      <wp:positionV relativeFrom="paragraph">
                        <wp:posOffset>62230</wp:posOffset>
                      </wp:positionV>
                      <wp:extent cx="460375" cy="0"/>
                      <wp:effectExtent l="0" t="76200" r="15875" b="95250"/>
                      <wp:wrapNone/>
                      <wp:docPr id="13" name="Straight Arrow Connector 13"/>
                      <wp:cNvGraphicFramePr/>
                      <a:graphic xmlns:a="http://schemas.openxmlformats.org/drawingml/2006/main">
                        <a:graphicData uri="http://schemas.microsoft.com/office/word/2010/wordprocessingShape">
                          <wps:wsp>
                            <wps:cNvCnPr/>
                            <wps:spPr>
                              <a:xfrm>
                                <a:off x="0" y="0"/>
                                <a:ext cx="460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AE7401" id="Straight Arrow Connector 13" o:spid="_x0000_s1026" type="#_x0000_t32" style="position:absolute;margin-left:138.45pt;margin-top:4.9pt;width:36.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zN0gEAAPUDAAAOAAAAZHJzL2Uyb0RvYy54bWysU9uO0zAQfUfiHyy/06S7sKCo6Qp1gRcE&#10;FQsf4HXsxMI3jYem+XvGTppFXCSEeJnE9pyZc47Hu9uzs+ykIJngW77d1JwpL0NnfN/yL5/fPnvF&#10;WULhO2GDVy2fVOK3+6dPdmNs1FUYgu0UMCriUzPGlg+IsamqJAflRNqEqDwd6gBOIC2hrzoQI1V3&#10;trqq65tqDNBFCFKlRLt38yHfl/paK4kftU4KmW05ccMSocSHHKv9TjQ9iDgYudAQ/8DCCeOp6Vrq&#10;TqBg38D8UsoZCSEFjRsZXBW0NlIVDaRmW/+k5n4QURUtZE6Kq03p/5WVH05HYKaju7vmzAtHd3SP&#10;IEw/IHsNEEZ2CN6TjwEYpZBfY0wNwQ7+CMsqxSNk8WcNLn9JFjsXj6fVY3VGJmnz+U19/fIFZ/Jy&#10;VD3iIiR8p4Jj+aflaeGxEtgWi8XpfULqTMALIDe1PkcUxr7xHcMpkhIEI3xvVaZN6TmlyvRnwuUP&#10;J6tm+CelyQiiOLcpI6gOFthJ0PB0X7drFcrMEG2sXUF14fZH0JKbYaqM5d8C1+zSMXhcgc74AL/r&#10;iucLVT3nX1TPWrPsh9BN5fqKHTRbxZ/lHeTh/XFd4I+vdf8dAAD//wMAUEsDBBQABgAIAAAAIQBO&#10;/6Xw3AAAAAcBAAAPAAAAZHJzL2Rvd25yZXYueG1sTI/BTsMwEETvSPyDtUjcqNNStU2IUyEExwrR&#10;VIijG2/iqPE6ip02/D0Ll3IczWjmTb6dXCfOOITWk4L5LAGBVHnTUqPgUL49bECEqMnozhMq+MYA&#10;2+L2JteZ8Rf6wPM+NoJLKGRagY2xz6QMlUWnw8z3SOzVfnA6shwaaQZ94XLXyUWSrKTTLfGC1T2+&#10;WKxO+9EpqMvmUH29buTY1e/r8tOmdlfulLq/m56fQESc4jUMv/iMDgUzHf1IJohOwWK9SjmqIOUH&#10;7D8u0yWI45+WRS7/8xc/AAAA//8DAFBLAQItABQABgAIAAAAIQC2gziS/gAAAOEBAAATAAAAAAAA&#10;AAAAAAAAAAAAAABbQ29udGVudF9UeXBlc10ueG1sUEsBAi0AFAAGAAgAAAAhADj9If/WAAAAlAEA&#10;AAsAAAAAAAAAAAAAAAAALwEAAF9yZWxzLy5yZWxzUEsBAi0AFAAGAAgAAAAhAM3wfM3SAQAA9QMA&#10;AA4AAAAAAAAAAAAAAAAALgIAAGRycy9lMm9Eb2MueG1sUEsBAi0AFAAGAAgAAAAhAE7/pfDcAAAA&#10;BwEAAA8AAAAAAAAAAAAAAAAALAQAAGRycy9kb3ducmV2LnhtbFBLBQYAAAAABAAEAPMAAAA1BQAA&#10;AAA=&#10;" strokecolor="black [3200]" strokeweight=".5pt">
                      <v:stroke endarrow="block" joinstyle="miter"/>
                    </v:shape>
                  </w:pict>
                </mc:Fallback>
              </mc:AlternateContent>
            </w:r>
            <w:r w:rsidRPr="00A21851">
              <w:rPr>
                <w:b/>
                <w:noProof/>
                <w:sz w:val="22"/>
                <w:lang w:eastAsia="lv-LV"/>
              </w:rPr>
              <w:t xml:space="preserve">Rezultāts                 Orientācija uz pacientu </w:t>
            </w:r>
            <w:r w:rsidRPr="00A21851">
              <w:rPr>
                <w:noProof/>
                <w:sz w:val="22"/>
                <w:lang w:eastAsia="lv-LV"/>
              </w:rPr>
              <w:t>(</w:t>
            </w:r>
            <w:r w:rsidRPr="00A21851">
              <w:rPr>
                <w:i/>
                <w:noProof/>
                <w:sz w:val="22"/>
                <w:lang w:eastAsia="lv-LV"/>
              </w:rPr>
              <w:t>Patient-centred</w:t>
            </w:r>
            <w:r w:rsidRPr="00A21851">
              <w:rPr>
                <w:noProof/>
                <w:sz w:val="22"/>
                <w:lang w:eastAsia="lv-LV"/>
              </w:rPr>
              <w:t>)</w:t>
            </w:r>
          </w:p>
        </w:tc>
      </w:tr>
      <w:tr w:rsidR="00A21851" w:rsidTr="00F175E2">
        <w:tc>
          <w:tcPr>
            <w:tcW w:w="2405" w:type="dxa"/>
            <w:vAlign w:val="center"/>
          </w:tcPr>
          <w:p w:rsidR="00A21851" w:rsidRPr="00A21851" w:rsidRDefault="00A21851" w:rsidP="00A21851">
            <w:pPr>
              <w:tabs>
                <w:tab w:val="left" w:pos="2765"/>
              </w:tabs>
              <w:jc w:val="both"/>
              <w:rPr>
                <w:b/>
                <w:sz w:val="22"/>
              </w:rPr>
            </w:pPr>
            <w:r w:rsidRPr="00A21851">
              <w:rPr>
                <w:sz w:val="22"/>
              </w:rPr>
              <w:t>Rezultatīvais rādītājs (1)</w:t>
            </w:r>
          </w:p>
        </w:tc>
        <w:tc>
          <w:tcPr>
            <w:tcW w:w="6946" w:type="dxa"/>
          </w:tcPr>
          <w:p w:rsidR="00A21851" w:rsidRPr="00A21851" w:rsidRDefault="00A21851" w:rsidP="00A21851">
            <w:pPr>
              <w:tabs>
                <w:tab w:val="left" w:pos="2765"/>
              </w:tabs>
              <w:jc w:val="both"/>
              <w:rPr>
                <w:b/>
                <w:sz w:val="22"/>
              </w:rPr>
            </w:pPr>
            <w:r w:rsidRPr="00A21851">
              <w:rPr>
                <w:sz w:val="22"/>
              </w:rPr>
              <w:t>Pacientu pieredze (</w:t>
            </w:r>
            <w:r w:rsidRPr="00A21851">
              <w:rPr>
                <w:i/>
                <w:sz w:val="22"/>
              </w:rPr>
              <w:t>Patient experience</w:t>
            </w:r>
            <w:r w:rsidRPr="00A21851">
              <w:rPr>
                <w:sz w:val="22"/>
              </w:rPr>
              <w:t>)</w:t>
            </w:r>
          </w:p>
        </w:tc>
      </w:tr>
    </w:tbl>
    <w:p w:rsidR="0056327D" w:rsidRPr="002B7E99" w:rsidRDefault="0056327D" w:rsidP="00A21851">
      <w:pPr>
        <w:tabs>
          <w:tab w:val="left" w:pos="3260"/>
        </w:tabs>
        <w:jc w:val="both"/>
        <w:rPr>
          <w:noProof/>
          <w:szCs w:val="24"/>
          <w:lang w:eastAsia="lv-LV"/>
        </w:rPr>
      </w:pPr>
    </w:p>
    <w:p w:rsidR="00583240" w:rsidRPr="00553C04" w:rsidRDefault="00583240" w:rsidP="00583240">
      <w:pPr>
        <w:tabs>
          <w:tab w:val="left" w:pos="3260"/>
        </w:tabs>
        <w:ind w:firstLine="709"/>
        <w:jc w:val="both"/>
        <w:rPr>
          <w:szCs w:val="24"/>
        </w:rPr>
      </w:pPr>
      <w:r w:rsidRPr="00BA3BD2">
        <w:rPr>
          <w:szCs w:val="24"/>
        </w:rPr>
        <w:t xml:space="preserve">Austrālijas Veselības un labklājības institūta sagatavotajā </w:t>
      </w:r>
      <w:r>
        <w:rPr>
          <w:szCs w:val="24"/>
        </w:rPr>
        <w:t xml:space="preserve">ziņojumā minētie rezultāti un to rezultatīvie rādītāji </w:t>
      </w:r>
      <w:r w:rsidRPr="0052554D">
        <w:rPr>
          <w:szCs w:val="24"/>
        </w:rPr>
        <w:t xml:space="preserve">atspoguļo labumu, ko valsts un sabiedrība iegūst, izlietojot ieguldījumu. </w:t>
      </w:r>
      <w:r>
        <w:rPr>
          <w:szCs w:val="24"/>
        </w:rPr>
        <w:t>Minētos r</w:t>
      </w:r>
      <w:r w:rsidRPr="0052554D">
        <w:rPr>
          <w:szCs w:val="24"/>
        </w:rPr>
        <w:t xml:space="preserve">ezultātus un rezultatīvos rādītājus </w:t>
      </w:r>
      <w:r>
        <w:rPr>
          <w:szCs w:val="24"/>
        </w:rPr>
        <w:t xml:space="preserve">var </w:t>
      </w:r>
      <w:r w:rsidRPr="0052554D">
        <w:rPr>
          <w:szCs w:val="24"/>
        </w:rPr>
        <w:t>izmanto</w:t>
      </w:r>
      <w:r>
        <w:rPr>
          <w:szCs w:val="24"/>
        </w:rPr>
        <w:t>t</w:t>
      </w:r>
      <w:r w:rsidRPr="0052554D">
        <w:rPr>
          <w:szCs w:val="24"/>
        </w:rPr>
        <w:t xml:space="preserve">, lai novērtētu sabiedrībai būtisku mērķu sasniegšanu pārskata periodā un budžeta līdzekļu izlietošanas </w:t>
      </w:r>
      <w:r>
        <w:rPr>
          <w:szCs w:val="24"/>
        </w:rPr>
        <w:t>produktivitāti</w:t>
      </w:r>
      <w:r w:rsidRPr="0052554D">
        <w:rPr>
          <w:szCs w:val="24"/>
        </w:rPr>
        <w:t xml:space="preserve"> un efektivitāti.</w:t>
      </w:r>
    </w:p>
    <w:p w:rsidR="00583240" w:rsidRDefault="00583240" w:rsidP="00583240">
      <w:pPr>
        <w:tabs>
          <w:tab w:val="left" w:pos="1889"/>
        </w:tabs>
        <w:ind w:firstLine="709"/>
        <w:jc w:val="both"/>
        <w:rPr>
          <w:szCs w:val="24"/>
        </w:rPr>
      </w:pPr>
      <w:r w:rsidRPr="00EB774F">
        <w:rPr>
          <w:szCs w:val="24"/>
        </w:rPr>
        <w:t xml:space="preserve">Lai gan pašreizējais tiesiskais regulējums pamatā </w:t>
      </w:r>
      <w:r>
        <w:rPr>
          <w:szCs w:val="24"/>
        </w:rPr>
        <w:t xml:space="preserve">atspoguļo, kādiem vajadzētu būt </w:t>
      </w:r>
      <w:r w:rsidRPr="00EB774F">
        <w:rPr>
          <w:szCs w:val="24"/>
        </w:rPr>
        <w:t>rezultatīvajiem rādītājiem un to nozīme vidēja termiņa budžet</w:t>
      </w:r>
      <w:r>
        <w:rPr>
          <w:szCs w:val="24"/>
        </w:rPr>
        <w:t xml:space="preserve">a procesā ir neapšaubāma, tomēr </w:t>
      </w:r>
      <w:r w:rsidRPr="00EB774F">
        <w:rPr>
          <w:szCs w:val="24"/>
        </w:rPr>
        <w:t>rezultatīvo rādītāju sistēmas ieviešanā ir iezīmējušās vairākas problēmas:</w:t>
      </w:r>
    </w:p>
    <w:p w:rsidR="00583240" w:rsidRDefault="00583240" w:rsidP="00FB4B60">
      <w:pPr>
        <w:pStyle w:val="ListParagraph"/>
        <w:numPr>
          <w:ilvl w:val="0"/>
          <w:numId w:val="7"/>
        </w:numPr>
        <w:tabs>
          <w:tab w:val="left" w:pos="1889"/>
        </w:tabs>
        <w:ind w:left="284" w:hanging="284"/>
        <w:jc w:val="both"/>
        <w:rPr>
          <w:szCs w:val="24"/>
        </w:rPr>
      </w:pPr>
      <w:r>
        <w:rPr>
          <w:szCs w:val="24"/>
        </w:rPr>
        <w:t>kvalitatīvi</w:t>
      </w:r>
      <w:r w:rsidRPr="00EB774F">
        <w:rPr>
          <w:szCs w:val="24"/>
        </w:rPr>
        <w:t xml:space="preserve"> definētu budžeta programmu mērķu trūkums ir radījis situāciju, k</w:t>
      </w:r>
      <w:r>
        <w:rPr>
          <w:szCs w:val="24"/>
        </w:rPr>
        <w:t>urā</w:t>
      </w:r>
      <w:r w:rsidRPr="00EB774F">
        <w:rPr>
          <w:szCs w:val="24"/>
        </w:rPr>
        <w:t xml:space="preserve"> rezultatīvo rādītāju sistēma pamatā ir veidojusies kā ieguldījumu rādītāju sistēma, jo daudzos gadījumos ieguldījumi ir bijuši vienīgie iespējamie skaidri definējamie lielumi;</w:t>
      </w:r>
    </w:p>
    <w:p w:rsidR="00583240" w:rsidRDefault="00583240" w:rsidP="00FB4B60">
      <w:pPr>
        <w:pStyle w:val="ListParagraph"/>
        <w:numPr>
          <w:ilvl w:val="0"/>
          <w:numId w:val="7"/>
        </w:numPr>
        <w:tabs>
          <w:tab w:val="left" w:pos="1889"/>
        </w:tabs>
        <w:ind w:left="284" w:hanging="284"/>
        <w:jc w:val="both"/>
        <w:rPr>
          <w:szCs w:val="24"/>
        </w:rPr>
      </w:pPr>
      <w:r w:rsidRPr="00EB774F">
        <w:rPr>
          <w:szCs w:val="24"/>
        </w:rPr>
        <w:t>pastāv ne</w:t>
      </w:r>
      <w:r>
        <w:rPr>
          <w:szCs w:val="24"/>
        </w:rPr>
        <w:t>sa</w:t>
      </w:r>
      <w:r w:rsidRPr="00EB774F">
        <w:rPr>
          <w:szCs w:val="24"/>
        </w:rPr>
        <w:t xml:space="preserve">mērība </w:t>
      </w:r>
      <w:r>
        <w:rPr>
          <w:szCs w:val="24"/>
        </w:rPr>
        <w:t>–</w:t>
      </w:r>
      <w:r w:rsidRPr="00EB774F">
        <w:rPr>
          <w:szCs w:val="24"/>
        </w:rPr>
        <w:t xml:space="preserve"> ir </w:t>
      </w:r>
      <w:r>
        <w:rPr>
          <w:szCs w:val="24"/>
        </w:rPr>
        <w:t>finansējuma</w:t>
      </w:r>
      <w:r w:rsidRPr="00EB774F">
        <w:rPr>
          <w:szCs w:val="24"/>
        </w:rPr>
        <w:t xml:space="preserve"> apjoma ziņā lielas programmas, kurām nav </w:t>
      </w:r>
      <w:r>
        <w:rPr>
          <w:szCs w:val="24"/>
        </w:rPr>
        <w:t xml:space="preserve">pilnvērtīgu </w:t>
      </w:r>
      <w:r w:rsidRPr="00EB774F">
        <w:rPr>
          <w:szCs w:val="24"/>
        </w:rPr>
        <w:t>rādītāju</w:t>
      </w:r>
      <w:r>
        <w:rPr>
          <w:szCs w:val="24"/>
        </w:rPr>
        <w:t>, bet</w:t>
      </w:r>
      <w:r w:rsidRPr="00EB774F">
        <w:rPr>
          <w:szCs w:val="24"/>
        </w:rPr>
        <w:t xml:space="preserve"> nelielām programmām ir pārāk detalizēti rādītāji;</w:t>
      </w:r>
    </w:p>
    <w:p w:rsidR="00583240" w:rsidRDefault="00583240" w:rsidP="00FB4B60">
      <w:pPr>
        <w:pStyle w:val="ListParagraph"/>
        <w:numPr>
          <w:ilvl w:val="0"/>
          <w:numId w:val="7"/>
        </w:numPr>
        <w:tabs>
          <w:tab w:val="left" w:pos="1889"/>
        </w:tabs>
        <w:ind w:left="284" w:hanging="284"/>
        <w:jc w:val="both"/>
        <w:rPr>
          <w:szCs w:val="24"/>
        </w:rPr>
      </w:pPr>
      <w:r>
        <w:rPr>
          <w:szCs w:val="24"/>
        </w:rPr>
        <w:t xml:space="preserve">dēļ zemās rezultatīvo rādītāju un mērķu kvalitātes </w:t>
      </w:r>
      <w:r w:rsidRPr="00EB774F">
        <w:rPr>
          <w:szCs w:val="24"/>
        </w:rPr>
        <w:t>trūkst ieinteresētības un zināšanu par rezultatīvo rādītāju pielietojumu budžeta veidošanas procesā;</w:t>
      </w:r>
    </w:p>
    <w:p w:rsidR="00583240" w:rsidRPr="0023333D" w:rsidRDefault="00583240" w:rsidP="00FB4B60">
      <w:pPr>
        <w:pStyle w:val="ListParagraph"/>
        <w:numPr>
          <w:ilvl w:val="0"/>
          <w:numId w:val="7"/>
        </w:numPr>
        <w:tabs>
          <w:tab w:val="left" w:pos="1889"/>
        </w:tabs>
        <w:ind w:left="284" w:hanging="284"/>
        <w:jc w:val="both"/>
        <w:rPr>
          <w:szCs w:val="24"/>
        </w:rPr>
      </w:pPr>
      <w:r w:rsidRPr="00EB774F">
        <w:rPr>
          <w:szCs w:val="24"/>
        </w:rPr>
        <w:t>uzkrātā informācija netiek analizēta pēc būtības, netiek lietota kā pamats priekšlikumu par izdevumu optimizēšanu izstrādāšanā un arī resursu nodrošināšanas analīzē valdības noteikto budžeta mērķu un prioritāšu īstenošanai</w:t>
      </w:r>
      <w:r>
        <w:rPr>
          <w:szCs w:val="24"/>
        </w:rPr>
        <w:t>;</w:t>
      </w:r>
    </w:p>
    <w:p w:rsidR="00583240" w:rsidRPr="00BA3BD2" w:rsidRDefault="00583240" w:rsidP="00FB4B60">
      <w:pPr>
        <w:pStyle w:val="ListParagraph"/>
        <w:numPr>
          <w:ilvl w:val="0"/>
          <w:numId w:val="7"/>
        </w:numPr>
        <w:tabs>
          <w:tab w:val="left" w:pos="1889"/>
        </w:tabs>
        <w:ind w:left="284" w:hanging="284"/>
        <w:jc w:val="both"/>
        <w:rPr>
          <w:szCs w:val="24"/>
        </w:rPr>
      </w:pPr>
      <w:r w:rsidRPr="00BA3BD2">
        <w:rPr>
          <w:szCs w:val="24"/>
        </w:rPr>
        <w:t>kopumā vērtējot budžeta dokumentācijā iekļautos rezultātus un rezultatīvos rādītājus</w:t>
      </w:r>
      <w:r>
        <w:rPr>
          <w:szCs w:val="24"/>
        </w:rPr>
        <w:t>,</w:t>
      </w:r>
      <w:r w:rsidRPr="00BA3BD2">
        <w:rPr>
          <w:szCs w:val="24"/>
        </w:rPr>
        <w:t xml:space="preserve"> ir secināms, ka lielākajā daļā gadījumu neizpildās MK noteikumos Nr.523 paredzētais, ka tie </w:t>
      </w:r>
      <w:r w:rsidRPr="001D4AEF">
        <w:rPr>
          <w:szCs w:val="24"/>
        </w:rPr>
        <w:t xml:space="preserve">pēc iespējas būtu veidojami, pamatojoties uz attīstības </w:t>
      </w:r>
      <w:r w:rsidRPr="00945572">
        <w:rPr>
          <w:szCs w:val="24"/>
        </w:rPr>
        <w:t>plānošanas dokumentos noteiktiem rezultātiem un rezultatīviem rādītājiem</w:t>
      </w:r>
      <w:r>
        <w:rPr>
          <w:szCs w:val="24"/>
        </w:rPr>
        <w:t xml:space="preserve">, tātad pārsvarā </w:t>
      </w:r>
      <w:r w:rsidR="000B6DE5">
        <w:rPr>
          <w:szCs w:val="24"/>
        </w:rPr>
        <w:t xml:space="preserve">gadījumu </w:t>
      </w:r>
      <w:r>
        <w:rPr>
          <w:szCs w:val="24"/>
        </w:rPr>
        <w:t>to sasaiste ar attīstības plānošanas dokumentiem tiešā veidā netiek nodrošināta.</w:t>
      </w:r>
    </w:p>
    <w:p w:rsidR="007161B8" w:rsidRDefault="007161B8" w:rsidP="007161B8">
      <w:pPr>
        <w:tabs>
          <w:tab w:val="left" w:pos="1889"/>
        </w:tabs>
        <w:ind w:firstLine="709"/>
        <w:jc w:val="both"/>
        <w:rPr>
          <w:szCs w:val="24"/>
        </w:rPr>
      </w:pPr>
      <w:r w:rsidRPr="00D7735F">
        <w:rPr>
          <w:szCs w:val="24"/>
        </w:rPr>
        <w:t>Valsts budžeta līdzekļi primāri ir novirzāmi mērķtiecīgai nacionālo prioritāšu finansēšanai, ministrijām meklējot iespējami rezultatīvākos (efektīvākos) un ekonomiskākos savu nozaru politikas īstenošanas veidus. Valsts budžeta finansēto programmu (t.sk. funkciju un pasākumu) neskaidra vai tikai formāla atbilstība nozaru prioritārajiem mērķiem un galvenajiem izaicinājumiem, var liecināt par nepieciešamību uzsākt budžeta izdevumu pārskatīšanu. Budžeta izdevumiem ir jābūt identificējamiem ar attīstības plānošanas dokumentos un valdības rīcības plānā iecerētajiem politikas rezultātiem un to indikatoriem. Lai iespējami saimnieciski rīkotos ar nodokļu maksātāju nodrošināto publisko finansējumu, valdība var atteikties no tādiem izdevumiem, kas ir zaudējuši savu aktualitāti vai nedod gaidīto rezultātu, atbalstot priekšlikumus finansējuma novirzīšanai no zemākās prioritātes programmām uz nepietiekami finansētām augstākās prioritātes programmām.</w:t>
      </w:r>
    </w:p>
    <w:p w:rsidR="00F175E2" w:rsidRDefault="007161B8" w:rsidP="005172C9">
      <w:pPr>
        <w:tabs>
          <w:tab w:val="left" w:pos="1889"/>
        </w:tabs>
        <w:ind w:firstLine="709"/>
        <w:jc w:val="both"/>
        <w:rPr>
          <w:szCs w:val="24"/>
        </w:rPr>
      </w:pPr>
      <w:r w:rsidRPr="00D7735F">
        <w:rPr>
          <w:szCs w:val="24"/>
        </w:rPr>
        <w:t>Lai uzlabotu valsts budžeta likuma paskaidrojumu pielietojamību un nodrošinātu iespējami plašākai sabiedrībai, tajā skaitā likumdevējam, pašas būtiskākās informācijas pieejamību, FM</w:t>
      </w:r>
      <w:r w:rsidR="00BA36A0">
        <w:rPr>
          <w:szCs w:val="24"/>
        </w:rPr>
        <w:t xml:space="preserve"> 2015.gada decembrī</w:t>
      </w:r>
      <w:r w:rsidRPr="00D7735F">
        <w:rPr>
          <w:szCs w:val="24"/>
        </w:rPr>
        <w:t xml:space="preserve"> ir nosūtījusi ministrijām vēstuli</w:t>
      </w:r>
      <w:r>
        <w:rPr>
          <w:szCs w:val="24"/>
        </w:rPr>
        <w:t>,</w:t>
      </w:r>
      <w:r w:rsidRPr="00D7735F">
        <w:rPr>
          <w:szCs w:val="24"/>
        </w:rPr>
        <w:t xml:space="preserve"> norādot, ka sagatavojot likuma “Par valsts budžetu 2016.gadam” paskaidrojumus ministrijām ir jādefinē programmas (apakšprogrammas) mērķi, darbības rezultātus un rezultatīvos rādītājus, ievērojot normatīvajos aktos noteiktās prasības.</w:t>
      </w:r>
    </w:p>
    <w:p w:rsidR="004C714B" w:rsidRPr="00D7735F" w:rsidRDefault="004C714B" w:rsidP="005172C9">
      <w:pPr>
        <w:tabs>
          <w:tab w:val="left" w:pos="1889"/>
        </w:tabs>
        <w:ind w:firstLine="709"/>
        <w:jc w:val="both"/>
        <w:rPr>
          <w:szCs w:val="24"/>
        </w:rPr>
      </w:pPr>
    </w:p>
    <w:p w:rsidR="00A6665E" w:rsidRDefault="00A6665E" w:rsidP="00FB4B60">
      <w:pPr>
        <w:pStyle w:val="Heading1"/>
        <w:numPr>
          <w:ilvl w:val="0"/>
          <w:numId w:val="3"/>
        </w:numPr>
        <w:rPr>
          <w:rFonts w:ascii="Times New Roman" w:hAnsi="Times New Roman" w:cs="Times New Roman"/>
          <w:b/>
          <w:color w:val="auto"/>
          <w:sz w:val="24"/>
          <w:szCs w:val="24"/>
        </w:rPr>
      </w:pPr>
      <w:bookmarkStart w:id="8" w:name="_Toc443558718"/>
      <w:r w:rsidRPr="006742EE">
        <w:rPr>
          <w:rFonts w:ascii="Times New Roman" w:hAnsi="Times New Roman" w:cs="Times New Roman"/>
          <w:b/>
          <w:color w:val="auto"/>
          <w:sz w:val="24"/>
          <w:szCs w:val="24"/>
        </w:rPr>
        <w:lastRenderedPageBreak/>
        <w:t>Turpmākie darbības virzieni</w:t>
      </w:r>
      <w:bookmarkEnd w:id="8"/>
    </w:p>
    <w:p w:rsidR="000C20A4" w:rsidRDefault="000C20A4" w:rsidP="000C20A4"/>
    <w:p w:rsidR="000C20A4" w:rsidRDefault="000C20A4" w:rsidP="00FB4B60">
      <w:pPr>
        <w:pStyle w:val="Heading2"/>
        <w:numPr>
          <w:ilvl w:val="1"/>
          <w:numId w:val="3"/>
        </w:numPr>
        <w:jc w:val="both"/>
        <w:rPr>
          <w:rFonts w:ascii="Times New Roman" w:hAnsi="Times New Roman" w:cs="Times New Roman"/>
          <w:b/>
          <w:color w:val="auto"/>
          <w:sz w:val="24"/>
          <w:szCs w:val="24"/>
        </w:rPr>
      </w:pPr>
      <w:bookmarkStart w:id="9" w:name="_Toc443558719"/>
      <w:r>
        <w:rPr>
          <w:rFonts w:ascii="Times New Roman" w:hAnsi="Times New Roman" w:cs="Times New Roman"/>
          <w:b/>
          <w:color w:val="auto"/>
          <w:sz w:val="24"/>
          <w:szCs w:val="24"/>
        </w:rPr>
        <w:t>Starptautiskās prakses adaptācijas iespējas izdevumu efektivitātes jomā</w:t>
      </w:r>
      <w:bookmarkEnd w:id="9"/>
    </w:p>
    <w:p w:rsidR="000C20A4" w:rsidRPr="00997AD6" w:rsidRDefault="000C20A4" w:rsidP="000C20A4">
      <w:pPr>
        <w:rPr>
          <w:sz w:val="16"/>
          <w:szCs w:val="16"/>
        </w:rPr>
      </w:pPr>
    </w:p>
    <w:p w:rsidR="000C20A4" w:rsidRDefault="00B61F65" w:rsidP="000C20A4">
      <w:pPr>
        <w:ind w:firstLine="709"/>
        <w:jc w:val="both"/>
      </w:pPr>
      <w:r>
        <w:t>Ir i</w:t>
      </w:r>
      <w:r w:rsidR="000C20A4">
        <w:t>dentificējami šādi ierobežojumi starptautiskās prakses pielietošanai rezultativitātes mērīšanai Latvijā:</w:t>
      </w:r>
    </w:p>
    <w:p w:rsidR="000C20A4" w:rsidRDefault="000C20A4" w:rsidP="00FB4B60">
      <w:pPr>
        <w:pStyle w:val="ListParagraph"/>
        <w:numPr>
          <w:ilvl w:val="0"/>
          <w:numId w:val="16"/>
        </w:numPr>
        <w:jc w:val="both"/>
      </w:pPr>
      <w:r>
        <w:t>Starptautiskās salīdzināmās prakses trūkums politikas un darbības rezultātu sasaistei;</w:t>
      </w:r>
    </w:p>
    <w:p w:rsidR="000C20A4" w:rsidRDefault="000C20A4" w:rsidP="00FB4B60">
      <w:pPr>
        <w:pStyle w:val="ListParagraph"/>
        <w:numPr>
          <w:ilvl w:val="0"/>
          <w:numId w:val="16"/>
        </w:numPr>
        <w:jc w:val="both"/>
      </w:pPr>
      <w:r>
        <w:t>Starptautiskās salīdzināmās prakses trūkums konkrētu rezultātu rādītāju līmenī;</w:t>
      </w:r>
    </w:p>
    <w:p w:rsidR="000C20A4" w:rsidRDefault="000C20A4" w:rsidP="00FB4B60">
      <w:pPr>
        <w:pStyle w:val="ListParagraph"/>
        <w:numPr>
          <w:ilvl w:val="0"/>
          <w:numId w:val="16"/>
        </w:numPr>
        <w:jc w:val="both"/>
      </w:pPr>
      <w:r>
        <w:t xml:space="preserve">Dažādās metodoloģijas dažādās valstīs rezultativitātes noteikšanai, kas cita starpā ir saistīts arī ar dažādajām statistikas apkopošanas sistēmām (ārpus </w:t>
      </w:r>
      <w:r w:rsidRPr="002029DA">
        <w:rPr>
          <w:i/>
        </w:rPr>
        <w:t>Eurostat</w:t>
      </w:r>
      <w:r>
        <w:t xml:space="preserve"> prasībām);</w:t>
      </w:r>
    </w:p>
    <w:p w:rsidR="000C20A4" w:rsidRDefault="000C20A4" w:rsidP="00FB4B60">
      <w:pPr>
        <w:pStyle w:val="ListParagraph"/>
        <w:numPr>
          <w:ilvl w:val="0"/>
          <w:numId w:val="16"/>
        </w:numPr>
        <w:jc w:val="both"/>
      </w:pPr>
      <w:r>
        <w:t xml:space="preserve">Ļoti lielais potenciāli izmantojamo un ne vienmēr salīdzināmo rādītāju skaits un tvērums dažādu pakalpojumu sniedzēju darbā. </w:t>
      </w:r>
    </w:p>
    <w:p w:rsidR="000C20A4" w:rsidRDefault="000C20A4" w:rsidP="000C20A4">
      <w:pPr>
        <w:jc w:val="both"/>
      </w:pPr>
      <w:r>
        <w:t>Neraugoties uz iepriekš minēto, ir iespējams strādāt esošās vides apstākļos ar šādu pieeju:</w:t>
      </w:r>
    </w:p>
    <w:p w:rsidR="000C20A4" w:rsidRDefault="000C20A4" w:rsidP="00FB4B60">
      <w:pPr>
        <w:pStyle w:val="ListParagraph"/>
        <w:numPr>
          <w:ilvl w:val="0"/>
          <w:numId w:val="17"/>
        </w:numPr>
        <w:jc w:val="both"/>
      </w:pPr>
      <w:r>
        <w:t xml:space="preserve">Uzsākt publiskās pārvaldes administrācijas un pakalpojumu sniedzēju auditu budžeta izdevumu pārskatīšanas kontekstā, izmantojot tos pētījumus un atziņas, kas šobrīd ir pieejami. Lai arī šāda pieeja nebūs zinātniski pamatota, tā pēc </w:t>
      </w:r>
      <w:r w:rsidRPr="002029DA">
        <w:rPr>
          <w:i/>
        </w:rPr>
        <w:t>learning by doing</w:t>
      </w:r>
      <w:r>
        <w:t xml:space="preserve"> principa radīs empīrisko bāzi rezultativitātes analizēšanā budžeta izdevumu kontekstā – gan metodoloģiski, gan faktiski.</w:t>
      </w:r>
    </w:p>
    <w:p w:rsidR="000C20A4" w:rsidRDefault="000C20A4" w:rsidP="00FB4B60">
      <w:pPr>
        <w:pStyle w:val="ListParagraph"/>
        <w:numPr>
          <w:ilvl w:val="0"/>
          <w:numId w:val="17"/>
        </w:numPr>
        <w:jc w:val="both"/>
      </w:pPr>
      <w:r>
        <w:t xml:space="preserve">Paralēli iepriekš minētajam procesam ir nepieciešams </w:t>
      </w:r>
      <w:r w:rsidRPr="001D4E53">
        <w:t>koncentrēties uz starptautiskās prakses izmantošanu un adaptāciju Latvijas situācijai</w:t>
      </w:r>
      <w:r>
        <w:t xml:space="preserve">, ņemot vērā, ka nav vienas labākās starptautiskās prakses. Šīs metodoloģijas izstrādei pirmajā punktā minētās rīcības kalpos kā nenovērtējams ieguldījums metodoloģijas kvalitātes celšanā. </w:t>
      </w:r>
    </w:p>
    <w:p w:rsidR="000C20A4" w:rsidRPr="00F75D45" w:rsidRDefault="000C20A4" w:rsidP="000C20A4">
      <w:pPr>
        <w:ind w:firstLine="709"/>
        <w:jc w:val="both"/>
        <w:rPr>
          <w:rFonts w:cs="Times New Roman"/>
          <w:szCs w:val="24"/>
        </w:rPr>
      </w:pPr>
      <w:r w:rsidRPr="00421995">
        <w:rPr>
          <w:rFonts w:cs="Times New Roman"/>
          <w:szCs w:val="24"/>
        </w:rPr>
        <w:t>Pamatojoties uz ekonomisko literatūru, funkcijas, kuras visvairāk ietekmē ilgtermiņa izaugsmi ir izglītība, veselība (investīcijas cilvēkkapitālā), izpēte un attīstība (inovācijas) un infrastruktūra.</w:t>
      </w:r>
      <w:r>
        <w:rPr>
          <w:rStyle w:val="FootnoteReference"/>
          <w:rFonts w:cs="Times New Roman"/>
          <w:szCs w:val="24"/>
        </w:rPr>
        <w:footnoteReference w:id="12"/>
      </w:r>
    </w:p>
    <w:p w:rsidR="000C20A4" w:rsidRDefault="000C20A4" w:rsidP="000C20A4">
      <w:pPr>
        <w:jc w:val="both"/>
      </w:pPr>
      <w:r>
        <w:rPr>
          <w:noProof/>
          <w:lang w:eastAsia="lv-LV"/>
        </w:rPr>
        <mc:AlternateContent>
          <mc:Choice Requires="wpg">
            <w:drawing>
              <wp:anchor distT="0" distB="0" distL="114300" distR="114300" simplePos="0" relativeHeight="251806720" behindDoc="0" locked="0" layoutInCell="1" allowOverlap="1" wp14:anchorId="1D3C5B26" wp14:editId="2F81709C">
                <wp:simplePos x="0" y="0"/>
                <wp:positionH relativeFrom="column">
                  <wp:posOffset>1136371</wp:posOffset>
                </wp:positionH>
                <wp:positionV relativeFrom="paragraph">
                  <wp:posOffset>41427</wp:posOffset>
                </wp:positionV>
                <wp:extent cx="3679545" cy="2596896"/>
                <wp:effectExtent l="0" t="0" r="73660" b="13335"/>
                <wp:wrapNone/>
                <wp:docPr id="28" name="Group 28"/>
                <wp:cNvGraphicFramePr/>
                <a:graphic xmlns:a="http://schemas.openxmlformats.org/drawingml/2006/main">
                  <a:graphicData uri="http://schemas.microsoft.com/office/word/2010/wordprocessingGroup">
                    <wpg:wgp>
                      <wpg:cNvGrpSpPr/>
                      <wpg:grpSpPr>
                        <a:xfrm>
                          <a:off x="0" y="0"/>
                          <a:ext cx="3679545" cy="2596896"/>
                          <a:chOff x="65571" y="-14419"/>
                          <a:chExt cx="3706964" cy="2439351"/>
                        </a:xfrm>
                      </wpg:grpSpPr>
                      <wpg:grpSp>
                        <wpg:cNvPr id="25" name="Group 25"/>
                        <wpg:cNvGrpSpPr/>
                        <wpg:grpSpPr>
                          <a:xfrm>
                            <a:off x="65571" y="-14419"/>
                            <a:ext cx="3706964" cy="2439351"/>
                            <a:chOff x="65571" y="-14419"/>
                            <a:chExt cx="3706964" cy="2439351"/>
                          </a:xfrm>
                        </wpg:grpSpPr>
                        <wpg:grpSp>
                          <wpg:cNvPr id="21" name="Group 21"/>
                          <wpg:cNvGrpSpPr/>
                          <wpg:grpSpPr>
                            <a:xfrm>
                              <a:off x="65571" y="-14419"/>
                              <a:ext cx="3706964" cy="2439351"/>
                              <a:chOff x="65571" y="-142911"/>
                              <a:chExt cx="3706971" cy="2439884"/>
                            </a:xfrm>
                          </wpg:grpSpPr>
                          <wpg:grpSp>
                            <wpg:cNvPr id="15" name="Group 15"/>
                            <wpg:cNvGrpSpPr/>
                            <wpg:grpSpPr>
                              <a:xfrm>
                                <a:off x="65571" y="-10028"/>
                                <a:ext cx="3706971" cy="2307001"/>
                                <a:chOff x="291465" y="-12065"/>
                                <a:chExt cx="3769360" cy="2775585"/>
                              </a:xfrm>
                            </wpg:grpSpPr>
                            <wpg:grpSp>
                              <wpg:cNvPr id="16" name="Group 8"/>
                              <wpg:cNvGrpSpPr>
                                <a:grpSpLocks/>
                              </wpg:cNvGrpSpPr>
                              <wpg:grpSpPr bwMode="auto">
                                <a:xfrm>
                                  <a:off x="291465" y="-12065"/>
                                  <a:ext cx="3769360" cy="2775585"/>
                                  <a:chOff x="3142" y="2677"/>
                                  <a:chExt cx="5936" cy="4371"/>
                                </a:xfrm>
                              </wpg:grpSpPr>
                              <wps:wsp>
                                <wps:cNvPr id="17" name="Text Box 9"/>
                                <wps:cNvSpPr txBox="1">
                                  <a:spLocks noChangeArrowheads="1"/>
                                </wps:cNvSpPr>
                                <wps:spPr bwMode="auto">
                                  <a:xfrm>
                                    <a:off x="5789" y="6479"/>
                                    <a:ext cx="325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3" w:rsidRDefault="00084DF3" w:rsidP="000C20A4">
                                      <w:pPr>
                                        <w:jc w:val="right"/>
                                        <w:rPr>
                                          <w:b/>
                                          <w:sz w:val="20"/>
                                          <w:szCs w:val="20"/>
                                        </w:rPr>
                                      </w:pPr>
                                      <w:r w:rsidRPr="009E0A64">
                                        <w:rPr>
                                          <w:b/>
                                          <w:i/>
                                          <w:sz w:val="20"/>
                                          <w:szCs w:val="20"/>
                                        </w:rPr>
                                        <w:t>euro</w:t>
                                      </w:r>
                                      <w:r w:rsidRPr="009E0A64">
                                        <w:rPr>
                                          <w:b/>
                                          <w:sz w:val="20"/>
                                          <w:szCs w:val="20"/>
                                        </w:rPr>
                                        <w:t xml:space="preserve"> </w:t>
                                      </w:r>
                                    </w:p>
                                    <w:p w:rsidR="00084DF3" w:rsidRPr="00E154C7" w:rsidRDefault="00084DF3" w:rsidP="000C20A4">
                                      <w:pPr>
                                        <w:jc w:val="right"/>
                                        <w:rPr>
                                          <w:sz w:val="18"/>
                                          <w:szCs w:val="18"/>
                                        </w:rPr>
                                      </w:pPr>
                                      <w:r w:rsidRPr="00E154C7">
                                        <w:rPr>
                                          <w:sz w:val="18"/>
                                          <w:szCs w:val="18"/>
                                        </w:rPr>
                                        <w:t>(vai cita veida ieguldījumi)</w:t>
                                      </w:r>
                                    </w:p>
                                  </w:txbxContent>
                                </wps:txbx>
                                <wps:bodyPr rot="0" vert="horz" wrap="square" lIns="0" tIns="0" rIns="0" bIns="0" anchor="t" anchorCtr="0" upright="1">
                                  <a:noAutofit/>
                                </wps:bodyPr>
                              </wps:wsp>
                              <wpg:grpSp>
                                <wpg:cNvPr id="18" name="Group 10"/>
                                <wpg:cNvGrpSpPr>
                                  <a:grpSpLocks/>
                                </wpg:cNvGrpSpPr>
                                <wpg:grpSpPr bwMode="auto">
                                  <a:xfrm>
                                    <a:off x="3142" y="2677"/>
                                    <a:ext cx="5936" cy="3895"/>
                                    <a:chOff x="3142" y="2677"/>
                                    <a:chExt cx="5936" cy="3895"/>
                                  </a:xfrm>
                                </wpg:grpSpPr>
                                <wpg:grpSp>
                                  <wpg:cNvPr id="19" name="Group 11"/>
                                  <wpg:cNvGrpSpPr>
                                    <a:grpSpLocks/>
                                  </wpg:cNvGrpSpPr>
                                  <wpg:grpSpPr bwMode="auto">
                                    <a:xfrm>
                                      <a:off x="3525" y="2696"/>
                                      <a:ext cx="5553" cy="3698"/>
                                      <a:chOff x="3501" y="2394"/>
                                      <a:chExt cx="5565" cy="3251"/>
                                    </a:xfrm>
                                  </wpg:grpSpPr>
                                  <wps:wsp>
                                    <wps:cNvPr id="20" name="AutoShape 12"/>
                                    <wps:cNvCnPr>
                                      <a:cxnSpLocks noChangeShapeType="1"/>
                                    </wps:cNvCnPr>
                                    <wps:spPr bwMode="auto">
                                      <a:xfrm>
                                        <a:off x="3513" y="5645"/>
                                        <a:ext cx="55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8" name="AutoShape 13"/>
                                    <wps:cNvCnPr>
                                      <a:cxnSpLocks noChangeShapeType="1"/>
                                    </wps:cNvCnPr>
                                    <wps:spPr bwMode="auto">
                                      <a:xfrm flipH="1" flipV="1">
                                        <a:off x="3501" y="2394"/>
                                        <a:ext cx="12" cy="3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49" name="Text Box 14"/>
                                  <wps:cNvSpPr txBox="1">
                                    <a:spLocks noChangeArrowheads="1"/>
                                  </wps:cNvSpPr>
                                  <wps:spPr bwMode="auto">
                                    <a:xfrm>
                                      <a:off x="3142" y="2677"/>
                                      <a:ext cx="287" cy="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3" w:rsidRPr="009E0A64" w:rsidRDefault="00084DF3" w:rsidP="000C20A4">
                                        <w:pPr>
                                          <w:jc w:val="right"/>
                                          <w:rPr>
                                            <w:b/>
                                            <w:sz w:val="20"/>
                                            <w:szCs w:val="20"/>
                                          </w:rPr>
                                        </w:pPr>
                                        <w:r>
                                          <w:rPr>
                                            <w:b/>
                                            <w:sz w:val="20"/>
                                            <w:szCs w:val="20"/>
                                          </w:rPr>
                                          <w:t>Rezultatīvais rādītājs</w:t>
                                        </w:r>
                                      </w:p>
                                    </w:txbxContent>
                                  </wps:txbx>
                                  <wps:bodyPr rot="0" vert="vert270" wrap="square" lIns="0" tIns="0" rIns="0" bIns="0" anchor="t" anchorCtr="0" upright="1">
                                    <a:noAutofit/>
                                  </wps:bodyPr>
                                </wps:wsp>
                              </wpg:grpSp>
                            </wpg:grpSp>
                            <wps:wsp>
                              <wps:cNvPr id="2051" name="Text Box 2051"/>
                              <wps:cNvSpPr txBox="1"/>
                              <wps:spPr>
                                <a:xfrm>
                                  <a:off x="2156346" y="1180531"/>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LT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2" name="Text Box 2052"/>
                              <wps:cNvSpPr txBox="1"/>
                              <wps:spPr>
                                <a:xfrm>
                                  <a:off x="1671632" y="962173"/>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sidRPr="009E0A64">
                                      <w:rPr>
                                        <w:b/>
                                        <w:sz w:val="16"/>
                                        <w:szCs w:val="16"/>
                                      </w:rPr>
                                      <w:t>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3" name="Text Box 2053"/>
                              <wps:cNvSpPr txBox="1"/>
                              <wps:spPr>
                                <a:xfrm>
                                  <a:off x="2479697" y="1169159"/>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sidRPr="009E0A64">
                                      <w:rPr>
                                        <w:b/>
                                        <w:sz w:val="16"/>
                                        <w:szCs w:val="16"/>
                                      </w:rPr>
                                      <w:t>L</w:t>
                                    </w:r>
                                    <w:r>
                                      <w:rPr>
                                        <w:b/>
                                        <w:sz w:val="16"/>
                                        <w:szCs w:val="16"/>
                                      </w:rPr>
                                      <w: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4" name="Text Box 2054"/>
                              <wps:cNvSpPr txBox="1"/>
                              <wps:spPr>
                                <a:xfrm>
                                  <a:off x="1446662" y="1658203"/>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sidRPr="009E0A64">
                                      <w:rPr>
                                        <w:b/>
                                        <w:sz w:val="16"/>
                                        <w:szCs w:val="16"/>
                                      </w:rPr>
                                      <w:t>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5" name="Text Box 2055"/>
                              <wps:cNvSpPr txBox="1"/>
                              <wps:spPr>
                                <a:xfrm>
                                  <a:off x="2705765" y="866458"/>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sidRPr="009E0A64">
                                      <w:rPr>
                                        <w:b/>
                                        <w:sz w:val="16"/>
                                        <w:szCs w:val="16"/>
                                      </w:rPr>
                                      <w: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6" name="Text Box 2056"/>
                              <wps:cNvSpPr txBox="1"/>
                              <wps:spPr>
                                <a:xfrm>
                                  <a:off x="1614411" y="290679"/>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sidRPr="009E0A64">
                                      <w:rPr>
                                        <w:b/>
                                        <w:sz w:val="16"/>
                                        <w:szCs w:val="16"/>
                                      </w:rPr>
                                      <w:t>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7" name="Text Box 2057"/>
                              <wps:cNvSpPr txBox="1"/>
                              <wps:spPr>
                                <a:xfrm>
                                  <a:off x="2607485" y="471547"/>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sidRPr="009E0A64">
                                      <w:rPr>
                                        <w:b/>
                                        <w:sz w:val="16"/>
                                        <w:szCs w:val="16"/>
                                      </w:rPr>
                                      <w:t>FI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8" name="Text Box 2058"/>
                              <wps:cNvSpPr txBox="1"/>
                              <wps:spPr>
                                <a:xfrm>
                                  <a:off x="1819178" y="752426"/>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sidRPr="009E0A64">
                                      <w:rPr>
                                        <w:b/>
                                        <w:sz w:val="16"/>
                                        <w:szCs w:val="16"/>
                                      </w:rPr>
                                      <w:t>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9" name="Text Box 2059"/>
                              <wps:cNvSpPr txBox="1"/>
                              <wps:spPr>
                                <a:xfrm>
                                  <a:off x="2876358" y="1887843"/>
                                  <a:ext cx="293739" cy="256414"/>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sidRPr="009E0A64">
                                      <w:rPr>
                                        <w:b/>
                                        <w:sz w:val="16"/>
                                        <w:szCs w:val="16"/>
                                      </w:rPr>
                                      <w:t>R</w:t>
                                    </w:r>
                                    <w:r>
                                      <w:rPr>
                                        <w:b/>
                                        <w:sz w:val="16"/>
                                        <w:szCs w:val="16"/>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0" name="Text Box 2060"/>
                              <wps:cNvSpPr txBox="1"/>
                              <wps:spPr>
                                <a:xfrm>
                                  <a:off x="1214647" y="818801"/>
                                  <a:ext cx="252484" cy="225172"/>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sidRPr="009E0A64">
                                      <w:rPr>
                                        <w:b/>
                                        <w:sz w:val="16"/>
                                        <w:szCs w:val="16"/>
                                      </w:rPr>
                                      <w:t>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1" name="Text Box 2061"/>
                              <wps:cNvSpPr txBox="1"/>
                              <wps:spPr>
                                <a:xfrm>
                                  <a:off x="1201003" y="1235122"/>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sidRPr="009E0A64">
                                      <w:rPr>
                                        <w:b/>
                                        <w:sz w:val="16"/>
                                        <w:szCs w:val="16"/>
                                      </w:rPr>
                                      <w: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 name="Group 3"/>
                            <wpg:cNvGrpSpPr/>
                            <wpg:grpSpPr>
                              <a:xfrm>
                                <a:off x="321546" y="-142911"/>
                                <a:ext cx="1687925" cy="2080551"/>
                                <a:chOff x="-909377" y="-278564"/>
                                <a:chExt cx="1687925" cy="2080551"/>
                              </a:xfrm>
                            </wpg:grpSpPr>
                            <wps:wsp>
                              <wps:cNvPr id="14" name="AutoShape 3"/>
                              <wps:cNvCnPr>
                                <a:cxnSpLocks noChangeShapeType="1"/>
                              </wps:cNvCnPr>
                              <wps:spPr bwMode="auto">
                                <a:xfrm>
                                  <a:off x="-628762" y="1593944"/>
                                  <a:ext cx="1210828" cy="14425"/>
                                </a:xfrm>
                                <a:prstGeom prst="straightConnector1">
                                  <a:avLst/>
                                </a:prstGeom>
                                <a:noFill/>
                                <a:ln w="25400">
                                  <a:solidFill>
                                    <a:srgbClr val="C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2050" name="Text Box 6"/>
                              <wps:cNvSpPr txBox="1">
                                <a:spLocks noChangeArrowheads="1"/>
                              </wps:cNvSpPr>
                              <wps:spPr bwMode="auto">
                                <a:xfrm>
                                  <a:off x="-584788" y="1646854"/>
                                  <a:ext cx="1363336" cy="155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3" w:rsidRPr="00A16077" w:rsidRDefault="00084DF3" w:rsidP="000C20A4">
                                    <w:pPr>
                                      <w:rPr>
                                        <w:b/>
                                        <w:i/>
                                        <w:color w:val="C00000"/>
                                        <w:sz w:val="20"/>
                                        <w:szCs w:val="20"/>
                                      </w:rPr>
                                    </w:pPr>
                                    <w:r w:rsidRPr="00A16077">
                                      <w:rPr>
                                        <w:b/>
                                        <w:i/>
                                        <w:color w:val="C00000"/>
                                        <w:sz w:val="20"/>
                                        <w:szCs w:val="20"/>
                                      </w:rPr>
                                      <w:t>Ekonomijas dimensija</w:t>
                                    </w:r>
                                  </w:p>
                                </w:txbxContent>
                              </wps:txbx>
                              <wps:bodyPr rot="0" vert="horz" wrap="square" lIns="0" tIns="0" rIns="0" bIns="0" anchor="t" anchorCtr="0" upright="1">
                                <a:noAutofit/>
                              </wps:bodyPr>
                            </wps:wsp>
                            <wps:wsp>
                              <wps:cNvPr id="2112" name="AutoShape 4"/>
                              <wps:cNvCnPr>
                                <a:cxnSpLocks noChangeShapeType="1"/>
                              </wps:cNvCnPr>
                              <wps:spPr bwMode="auto">
                                <a:xfrm flipH="1">
                                  <a:off x="-708408" y="339658"/>
                                  <a:ext cx="5028" cy="1198794"/>
                                </a:xfrm>
                                <a:prstGeom prst="straightConnector1">
                                  <a:avLst/>
                                </a:prstGeom>
                                <a:noFill/>
                                <a:ln w="25400">
                                  <a:solidFill>
                                    <a:srgbClr val="C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2113" name="Text Box 5"/>
                              <wps:cNvSpPr txBox="1">
                                <a:spLocks noChangeArrowheads="1"/>
                              </wps:cNvSpPr>
                              <wps:spPr bwMode="auto">
                                <a:xfrm>
                                  <a:off x="-909377" y="-278564"/>
                                  <a:ext cx="155751" cy="18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3" w:rsidRPr="00A16077" w:rsidRDefault="00084DF3" w:rsidP="000C20A4">
                                    <w:pPr>
                                      <w:rPr>
                                        <w:b/>
                                        <w:i/>
                                        <w:color w:val="C00000"/>
                                        <w:sz w:val="20"/>
                                        <w:szCs w:val="20"/>
                                      </w:rPr>
                                    </w:pPr>
                                    <w:r w:rsidRPr="00A16077">
                                      <w:rPr>
                                        <w:b/>
                                        <w:i/>
                                        <w:color w:val="C00000"/>
                                        <w:sz w:val="20"/>
                                        <w:szCs w:val="20"/>
                                      </w:rPr>
                                      <w:t>Efektivitātes dimensija</w:t>
                                    </w:r>
                                  </w:p>
                                </w:txbxContent>
                              </wps:txbx>
                              <wps:bodyPr rot="0" vert="vert270" wrap="square" lIns="0" tIns="0" rIns="0" bIns="0" anchor="t" anchorCtr="0" upright="1">
                                <a:noAutofit/>
                              </wps:bodyPr>
                            </wps:wsp>
                          </wpg:grpSp>
                        </wpg:grpSp>
                        <wps:wsp>
                          <wps:cNvPr id="22" name="AutoShape 3"/>
                          <wps:cNvCnPr>
                            <a:cxnSpLocks noChangeShapeType="1"/>
                          </wps:cNvCnPr>
                          <wps:spPr bwMode="auto">
                            <a:xfrm rot="2700000" flipV="1">
                              <a:off x="1474596" y="786283"/>
                              <a:ext cx="855345" cy="45085"/>
                            </a:xfrm>
                            <a:prstGeom prst="straightConnector1">
                              <a:avLst/>
                            </a:prstGeom>
                            <a:noFill/>
                            <a:ln w="25400">
                              <a:solidFill>
                                <a:srgbClr val="C00000"/>
                              </a:solidFill>
                              <a:prstDash val="sysDot"/>
                              <a:round/>
                              <a:headEnd type="triangle" w="med" len="med"/>
                              <a:tailEnd type="none" w="med" len="med"/>
                            </a:ln>
                            <a:extLst>
                              <a:ext uri="{909E8E84-426E-40DD-AFC4-6F175D3DCCD1}">
                                <a14:hiddenFill xmlns:a14="http://schemas.microsoft.com/office/drawing/2010/main">
                                  <a:noFill/>
                                </a14:hiddenFill>
                              </a:ext>
                            </a:extLst>
                          </wps:spPr>
                          <wps:bodyPr/>
                        </wps:wsp>
                        <wps:wsp>
                          <wps:cNvPr id="23" name="Text Box 6"/>
                          <wps:cNvSpPr txBox="1">
                            <a:spLocks noChangeArrowheads="1"/>
                          </wps:cNvSpPr>
                          <wps:spPr bwMode="auto">
                            <a:xfrm rot="2536326">
                              <a:off x="1512277" y="813917"/>
                              <a:ext cx="1364400" cy="21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3" w:rsidRPr="00A16077" w:rsidRDefault="00084DF3" w:rsidP="000C20A4">
                                <w:pPr>
                                  <w:rPr>
                                    <w:b/>
                                    <w:i/>
                                    <w:color w:val="C00000"/>
                                    <w:sz w:val="20"/>
                                    <w:szCs w:val="20"/>
                                  </w:rPr>
                                </w:pPr>
                                <w:r w:rsidRPr="00A16077">
                                  <w:rPr>
                                    <w:b/>
                                    <w:i/>
                                    <w:color w:val="C00000"/>
                                    <w:sz w:val="20"/>
                                    <w:szCs w:val="20"/>
                                  </w:rPr>
                                  <w:t>Ideālais vektors</w:t>
                                </w:r>
                              </w:p>
                            </w:txbxContent>
                          </wps:txbx>
                          <wps:bodyPr rot="0" vert="horz" wrap="square" lIns="0" tIns="0" rIns="0" bIns="0" anchor="t" anchorCtr="0">
                            <a:noAutofit/>
                          </wps:bodyPr>
                        </wps:wsp>
                      </wpg:grpSp>
                      <wps:wsp>
                        <wps:cNvPr id="26" name="AutoShape 3"/>
                        <wps:cNvCnPr>
                          <a:cxnSpLocks noChangeShapeType="1"/>
                        </wps:cNvCnPr>
                        <wps:spPr bwMode="auto">
                          <a:xfrm rot="2700000" flipV="1">
                            <a:off x="2371411" y="1562519"/>
                            <a:ext cx="855345" cy="44450"/>
                          </a:xfrm>
                          <a:prstGeom prst="straightConnector1">
                            <a:avLst/>
                          </a:prstGeom>
                          <a:noFill/>
                          <a:ln w="25400">
                            <a:solidFill>
                              <a:srgbClr val="C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wps:wsp>
                        <wps:cNvPr id="27" name="Text Box 6"/>
                        <wps:cNvSpPr txBox="1">
                          <a:spLocks noChangeArrowheads="1"/>
                        </wps:cNvSpPr>
                        <wps:spPr bwMode="auto">
                          <a:xfrm rot="2536326">
                            <a:off x="2331218" y="1537398"/>
                            <a:ext cx="1363980" cy="162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3" w:rsidRPr="00A16077" w:rsidRDefault="00084DF3" w:rsidP="000C20A4">
                              <w:pPr>
                                <w:rPr>
                                  <w:b/>
                                  <w:i/>
                                  <w:color w:val="C00000"/>
                                  <w:sz w:val="20"/>
                                  <w:szCs w:val="20"/>
                                </w:rPr>
                              </w:pPr>
                              <w:r w:rsidRPr="00A16077">
                                <w:rPr>
                                  <w:b/>
                                  <w:i/>
                                  <w:color w:val="C00000"/>
                                  <w:sz w:val="20"/>
                                  <w:szCs w:val="20"/>
                                </w:rPr>
                                <w:t>Nevēlamais vektors</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3C5B26" id="Group 28" o:spid="_x0000_s1026" style="position:absolute;left:0;text-align:left;margin-left:89.5pt;margin-top:3.25pt;width:289.75pt;height:204.5pt;z-index:251806720;mso-width-relative:margin;mso-height-relative:margin" coordorigin="655,-144" coordsize="37069,2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DF6woAAEVjAAAOAAAAZHJzL2Uyb0RvYy54bWzsXdty47gRfU9V/oHFd40J8K4azZbHl0mq&#10;nN2p7CT7TFOUxRqKVEh6ZCeVf89pAIRISoot29Laa/rBpihegEbj9OlGN/zxp7tFZvxIyiot8onJ&#10;PlimkeRxMU3zm4n5j2+Xo8A0qjrKp1FW5MnEvE8q86dPf/7Tx9VynPBiXmTTpDTwkLwar5YTc17X&#10;y/HJSRXPk0VUfSiWSY4vZ0W5iGp8LG9OpmW0wtMX2Qm3LO9kVZTTZVnESVXh7Ln80vwknj+bJXH9&#10;y2xWJbWRTUy0rRa/S/H7mn6ffPoYjW/KaDlPY9WM6AmtWERpjpfqR51HdWTclunGoxZpXBZVMas/&#10;xMXipJjN0jgRfUBvmNXrzZeyuF2KvtyMVzdLLSaItienJz82/vnH19JIpxOTY6TyaIExEq818BnC&#10;WS1vxrjmS7n8dfm1VCdu5Cfq792sXNBf9MS4E2K912JN7mojxknb80PXcU0jxnfcDb0g9KTg4zlG&#10;h+7zXNdnpoHvR8xxWNh8fdE8wre80HPUIxw7tF1G15w0LTihhup26Q+6A00n0YpOJ116yp6d3N5Y&#10;3dsdTY3Gx+8tRNrprZDZ79pbHjLRCJJGZ3Bp+IV+YHCDwHnK4LLe4OLz8wbXsuQkiMadwdVNtS3f&#10;snR3lCqjh46Hlghd5hYO0Yhud73Q9gBGoru+77qBuGZfXWZed3S3zFeJSJi6V0X8vaL50h18qfpq&#10;2hjXq78VU8z/6LYuBJj1JveOnq1ls71fLcW3mcOFZLjn+325uJCKFIpjQ8TU2l2zG7aiWsNh9Tw4&#10;/HUeLROBshVBnUIK5jfS/UYd/FzcGQKVVktxFaGhUd/hNKyeEFYlhWzkxdk8ym+S07IsVvMkmqJ5&#10;sjetW0nw1biihzwkddcPQiEzz/EVLmqJc1dJzPXEV1pg0XhZVvWXpFgYdDAxS1hC0czox1VVS9k2&#10;l5CW5MVlmmVCU7O8cwLPlGfwVtxK39H7hXH7T2iFF8FF4Iwc7l2MHOv8fHR6eeaMvEvmu+f2+dnZ&#10;OfsvvZc543k6nSY5vaYxtMx53Mgpky9NpDa1VZGlU3ocNakqb67PstL4EcHQX4ofpUGty066zRAK&#10;hr70usS4Y33m4ejSC/yRc+m4o9C3gpHFws+hZzmhc37Z7dJVmifP75Kxmpihy12pTDv7Zomfzb5F&#10;40Vag0pl6WJiBvqiaEwqeJFPxdDWUZrJ45YoqPlrUWC4m4EGWEgdldpa313f4Sl08rqY3kN1ywKa&#10;BSAD/8PBvCj/bRorcKmJWf3rNioT08j+mkP9iXg1B2VzcN0cRHmMWydmbRry8KyWBO12WaY3czxZ&#10;TrC8OAUwzVKhvetWCFATgNBCM3nYms09csME8+uDIdG3lwLLLVBH04b40Bro7CDU5kGZjy33rS3l&#10;5p16xj+SAIFadSiBtMYHFQTpNFlDDgYnMV8LwnVtifi2Fwrz1bYVLkyruM8OBR1o21DXJRNLBtTm&#10;DzDBI9gKDgWXPIs0VNgTg3HqK6kptPAs/1oSysR3ubLF2kyIq7/dL2F3O1ZC3tLMwAetBPgwRAl5&#10;uB6Ytpjsm1IWSq81ZsNGVHUZ0YQ7K/Ic5qIo5bx7jMV4NnjB01EYtQWvjFrIpy5TGNYMsAKoXCRT&#10;wEsCp5OO0OFXa6e0aW1hrjRbEmsb7BXGtYe5Emipd6QJID1SpQ7OfrjlaMRs6bR9eJ02Zlm6/AtN&#10;BnH0zwb9lYNpb6JCo+eYcdsRYVD04xCyF1b0tUU7ntJr66hJPxO2R+H48Vj/FhrQ6DkP4JoI06fY&#10;w25EH1g/nIOdsNtxZAbWr9y7ngUi1i/ig4Kd0DzYSv7JBeA+eNDvyv/bkNE+VsZTB1APEjHgFpio&#10;4oEaPsTJNRHsAog6T2EAYof9cAtzPduBgw9Wx1hgubYYgnUwinMHnqnEAhYyREgVD2oe1Dj4KgaQ&#10;ZDCtFYU6ovEOUtdyluFTUxA+0V51VkuCii/a3mmWEx3zYJg3PVdqgL7/Oovi76qFrSeseZsI16vo&#10;BI2YlIs4qu8z+KgUifh7MoM6wotSr+u2MYrjJNftFFfTbTNECfa5UV1PtyaiVfvcrO8Qby7yWt+8&#10;SPOilFLqNnv6vRHtTF6vCF8l+00i0PNQ+xW9eVgt48sU8r6KqvprVGIVA6pB0/IX/JplBQapUEem&#10;Qb76tvN0/dM9+fx2cVYg/oJpgNaIQ7ShrLPmcFYWi9+wYHNKb8FXO11/LPjEyempuAgLJcuovoLn&#10;FDdkkPTq291vUblUql3DOP4sPa9t6i2vpfF4VBDhKC6jC7oqncY2WOjRhde4D1gwz2eeLYOroceZ&#10;L6j6gBXvGyu0vzZgxdvGCsR2NrFCj+6eWMGxkOCFcCIEsfBC5vbWFQZisUF+3gGx0I7uABZvGyyQ&#10;JrEJFnp09wQLpGN4nieJBfPcgFsDsxi8EFOsMZBfMoDF2wYLLKNtgoUe3T3BAhEg11fJL4GHlSi1&#10;qKdDl0PEoh9VeQfEQqz6Dljx9iMWOuGsHbHQo7snVjCPMj3VEn9oIUeUYoNDxOJ9RyxEVuCAFW8f&#10;KzbTJ7EUokd3T6zgnuU7yJKliIXjM9dRyaMDr3jPKyEq4XnwQd76SohONWrzCj26e2IFC7AW6uOR&#10;wArf5UhMHnjFsGoqyOXAK94+r9jM0AKv0KO7J1YglQqJCxIrWBD4gdMPboa2b+OVolQHqbUyG2x3&#10;wtWQYvHY3IzXnGLRVAcMzOKNMwuqstuIbuLk0xKyGEdlH1wPYhYB4KIp/dNeCNgGKhclWKAswRfJ&#10;HANY/LHzsZoKmgEs3jpYbMve9HTa657UglE9P9ZKRZIFR3kOF2gwxDffd3xzXRY2LJweZuG0m/et&#10;NoXo14PqfCq514XKpNprqwubIw4ps7OxZ8V6X4OGDTCUD4dU+ih8Bwv527JQsVXiOEL5tI1CeMKI&#10;EfcDOBgyVrGu+Nz1FM0q1t2lJHLycA9eHAYnSLGqdWlYOxft8NWOI488N5WUgqLY0FGC08LnzApo&#10;RxMSPtaZMA7gfFpoL10Rxl3H2pL+3ilKP9M12WhGK/9dtuU8quayeL26r86LWurBRlXkoyoho7Gq&#10;837U1WjN66zvf+FysqNMDcQiNl2O3SuktN55qH0jRm7g+IGKbXiOF7j9OWJ7tt1sucGATraYxLsn&#10;yVBNNlSTaWwRcKp39dhnDwkQQGCyNhg9HvS8CpSdBSVP2UviCKaUM6paliGKtTEVE5XwCj7HgYzp&#10;usyaMEgVV4+wz4ljSciw7RDZntIMNVbVpf2QpEllIdiNaOduvHjmfgKDUdXTi7YLeP4OM7L+iZ7V&#10;nbx0RpAjjHPz91VtRsBob4teHG93iuJBjeouxt5MEdhRn8pABe8MOPZReIB5DkZ1MKovZlS14dhq&#10;VMm0vvca7S3WVjORA1pbsVMWZE8/2zc2YY7vYGtMmbYQwL8VzVqHCwPsldTsoem4Vm/LwPfl0ObY&#10;SnbYBOjgcR6+aXWP6MrK3eW4Cy8VKTwtlsoolq6iZgGzkezTZanM9hwKx8jAG+3r8cC+V4MJHkzw&#10;i5lgzUu3muCX3iNRUnryHP/vvojrIPGRQsSYsRte7euwsxx7yzZlB9hgBcv0vbqDjqF1YGr/UJHj&#10;3aZTz4Ahanz03fY2k+Vfg6Hlto2UFxVBdikRrhcPgqXFOWVpGeaSJ5q9OyI0WNrB0mqc6Qah9o8g&#10;6yny6iwt/leDiKOp/ytB/wyi/RnH7f9+8el/AAAA//8DAFBLAwQUAAYACAAAACEAEXieC+AAAAAJ&#10;AQAADwAAAGRycy9kb3ducmV2LnhtbEyPwU7DMBBE70j8g7VI3KgTwG0JcaqqAk4VEi0S4ubG2yRq&#10;vI5iN0n/nuUEtx3NaPZNvppcKwbsQ+NJQzpLQCCV3jZUafjcv94tQYRoyJrWE2q4YIBVcX2Vm8z6&#10;kT5w2MVKcAmFzGioY+wyKUNZozNh5jsk9o6+dyay7CtpezNyuWvlfZLMpTMN8YfadLipsTztzk7D&#10;22jG9UP6MmxPx83le6/ev7Ypan17M62fQUSc4l8YfvEZHQpmOvgz2SBa1osn3hI1zBUI9hdqycdB&#10;w2OqFMgil/8XFD8AAAD//wMAUEsBAi0AFAAGAAgAAAAhALaDOJL+AAAA4QEAABMAAAAAAAAAAAAA&#10;AAAAAAAAAFtDb250ZW50X1R5cGVzXS54bWxQSwECLQAUAAYACAAAACEAOP0h/9YAAACUAQAACwAA&#10;AAAAAAAAAAAAAAAvAQAAX3JlbHMvLnJlbHNQSwECLQAUAAYACAAAACEACljAxesKAABFYwAADgAA&#10;AAAAAAAAAAAAAAAuAgAAZHJzL2Uyb0RvYy54bWxQSwECLQAUAAYACAAAACEAEXieC+AAAAAJAQAA&#10;DwAAAAAAAAAAAAAAAABFDQAAZHJzL2Rvd25yZXYueG1sUEsFBgAAAAAEAAQA8wAAAFIOAAAAAA==&#10;">
                <v:group id="Group 25" o:spid="_x0000_s1027" style="position:absolute;left:655;top:-144;width:37070;height:24393" coordorigin="655,-144" coordsize="37069,24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1" o:spid="_x0000_s1028" style="position:absolute;left:655;top:-144;width:37070;height:24393" coordorigin="655,-1429" coordsize="37069,2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5" o:spid="_x0000_s1029" style="position:absolute;left:655;top:-100;width:37070;height:23069" coordorigin="2914,-120" coordsize="37693,27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8" o:spid="_x0000_s1030" style="position:absolute;left:2914;top:-120;width:37694;height:27755" coordorigin="3142,2677" coordsize="5936,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Text Box 9" o:spid="_x0000_s1031" type="#_x0000_t202" style="position:absolute;left:5789;top:6479;width:3256;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84DF3" w:rsidRDefault="00084DF3" w:rsidP="000C20A4">
                                <w:pPr>
                                  <w:jc w:val="right"/>
                                  <w:rPr>
                                    <w:b/>
                                    <w:sz w:val="20"/>
                                    <w:szCs w:val="20"/>
                                  </w:rPr>
                                </w:pPr>
                                <w:r w:rsidRPr="009E0A64">
                                  <w:rPr>
                                    <w:b/>
                                    <w:i/>
                                    <w:sz w:val="20"/>
                                    <w:szCs w:val="20"/>
                                  </w:rPr>
                                  <w:t>euro</w:t>
                                </w:r>
                                <w:r w:rsidRPr="009E0A64">
                                  <w:rPr>
                                    <w:b/>
                                    <w:sz w:val="20"/>
                                    <w:szCs w:val="20"/>
                                  </w:rPr>
                                  <w:t xml:space="preserve"> </w:t>
                                </w:r>
                              </w:p>
                              <w:p w:rsidR="00084DF3" w:rsidRPr="00E154C7" w:rsidRDefault="00084DF3" w:rsidP="000C20A4">
                                <w:pPr>
                                  <w:jc w:val="right"/>
                                  <w:rPr>
                                    <w:sz w:val="18"/>
                                    <w:szCs w:val="18"/>
                                  </w:rPr>
                                </w:pPr>
                                <w:r w:rsidRPr="00E154C7">
                                  <w:rPr>
                                    <w:sz w:val="18"/>
                                    <w:szCs w:val="18"/>
                                  </w:rPr>
                                  <w:t>(vai cita veida ieguldījumi)</w:t>
                                </w:r>
                              </w:p>
                            </w:txbxContent>
                          </v:textbox>
                        </v:shape>
                        <v:group id="Group 10" o:spid="_x0000_s1032" style="position:absolute;left:3142;top:2677;width:5936;height:3895" coordorigin="3142,2677" coordsize="5936,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1" o:spid="_x0000_s1033" style="position:absolute;left:3525;top:2696;width:5553;height:3698" coordorigin="3501,2394" coordsize="5565,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2" coordsize="21600,21600" o:spt="32" o:oned="t" path="m,l21600,21600e" filled="f">
                              <v:path arrowok="t" fillok="f" o:connecttype="none"/>
                              <o:lock v:ext="edit" shapetype="t"/>
                            </v:shapetype>
                            <v:shape id="AutoShape 12" o:spid="_x0000_s1034" type="#_x0000_t32" style="position:absolute;left:3513;top:5645;width:55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3" o:spid="_x0000_s1035" type="#_x0000_t32" style="position:absolute;left:3501;top:2394;width:12;height:32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NdsEAAADdAAAADwAAAGRycy9kb3ducmV2LnhtbERPS2vCQBC+C/6HZQRvujEEqamriKVQ&#10;ihcfB49DdroJZmdDdqrx33cPQo8f33u9HXyr7tTHJrCBxTwDRVwF27AzcDl/zt5ARUG22AYmA0+K&#10;sN2MR2ssbXjwke4ncSqFcCzRQC3SlVrHqiaPcR464sT9hN6jJNg7bXt8pHDf6jzLltpjw6mhxo72&#10;NVW30683cL34wyovPrwr3FmOQt9NXiyNmU6G3TsooUH+xS/3lzWQZ0Wam96kJ6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9k12wQAAAN0AAAAPAAAAAAAAAAAAAAAA&#10;AKECAABkcnMvZG93bnJldi54bWxQSwUGAAAAAAQABAD5AAAAjwMAAAAA&#10;">
                              <v:stroke endarrow="block"/>
                            </v:shape>
                          </v:group>
                          <v:shape id="Text Box 14" o:spid="_x0000_s1036" type="#_x0000_t202" style="position:absolute;left:3142;top:2677;width:287;height:3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oFsMA&#10;AADdAAAADwAAAGRycy9kb3ducmV2LnhtbESP0YrCMBRE3xf8h3AF39ZU3S1ajSIFcZ+EVT/g0lyb&#10;YnNTm2jr328WBB+HmTnDrDa9rcWDWl85VjAZJyCIC6crLhWcT7vPOQgfkDXWjknBkzxs1oOPFWba&#10;dfxLj2MoRYSwz1CBCaHJpPSFIYt+7Bri6F1cazFE2ZZSt9hFuK3lNElSabHiuGCwodxQcT3erYLD&#10;U5puZr/PRZ6nh3R22+F1Xys1GvbbJYhAfXiHX+0frWCafC3g/01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qoFsMAAADdAAAADwAAAAAAAAAAAAAAAACYAgAAZHJzL2Rv&#10;d25yZXYueG1sUEsFBgAAAAAEAAQA9QAAAIgDAAAAAA==&#10;" filled="f" stroked="f">
                            <v:textbox style="layout-flow:vertical;mso-layout-flow-alt:bottom-to-top" inset="0,0,0,0">
                              <w:txbxContent>
                                <w:p w:rsidR="00084DF3" w:rsidRPr="009E0A64" w:rsidRDefault="00084DF3" w:rsidP="000C20A4">
                                  <w:pPr>
                                    <w:jc w:val="right"/>
                                    <w:rPr>
                                      <w:b/>
                                      <w:sz w:val="20"/>
                                      <w:szCs w:val="20"/>
                                    </w:rPr>
                                  </w:pPr>
                                  <w:r>
                                    <w:rPr>
                                      <w:b/>
                                      <w:sz w:val="20"/>
                                      <w:szCs w:val="20"/>
                                    </w:rPr>
                                    <w:t>Rezultatīvais rādītājs</w:t>
                                  </w:r>
                                </w:p>
                              </w:txbxContent>
                            </v:textbox>
                          </v:shape>
                        </v:group>
                      </v:group>
                      <v:oval id="Text Box 2051" o:spid="_x0000_s1037" style="position:absolute;left:21563;top:11805;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lrsQA&#10;AADdAAAADwAAAGRycy9kb3ducmV2LnhtbESPzWrDMBCE74W+g9hCb7GcQH5wo4RSKAR6clrwdbHW&#10;lmtr5UpKYr99VQj0OMzMN8z+ONlBXMmHzrGCZZaDIK6d7rhV8PX5vtiBCBFZ4+CYFMwU4Hh4fNhj&#10;od2NS7qeYysShEOBCkyMYyFlqA1ZDJkbiZPXOG8xJulbqT3eEtwOcpXnG2mx47RgcKQ3Q3V/vlgF&#10;P/O6asxHb31PwX6X29BSVSv1/DS9voCINMX/8L190gpW+XoJf2/SE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epa7EAAAA3QAAAA8AAAAAAAAAAAAAAAAAmAIAAGRycy9k&#10;b3ducmV2LnhtbFBLBQYAAAAABAAEAPUAAACJAwAAAAA=&#10;" fillcolor="white [3201]" strokeweight=".5pt">
                        <v:textbox inset="0,0,0,0">
                          <w:txbxContent>
                            <w:p w:rsidR="00084DF3" w:rsidRPr="009E0A64" w:rsidRDefault="00084DF3" w:rsidP="000C20A4">
                              <w:pPr>
                                <w:jc w:val="center"/>
                                <w:rPr>
                                  <w:b/>
                                  <w:sz w:val="16"/>
                                  <w:szCs w:val="16"/>
                                </w:rPr>
                              </w:pPr>
                              <w:r>
                                <w:rPr>
                                  <w:b/>
                                  <w:sz w:val="16"/>
                                  <w:szCs w:val="16"/>
                                </w:rPr>
                                <w:t>LT</w:t>
                              </w:r>
                            </w:p>
                          </w:txbxContent>
                        </v:textbox>
                      </v:oval>
                      <v:oval id="Text Box 2052" o:spid="_x0000_s1038" style="position:absolute;left:16716;top:9621;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72cQA&#10;AADdAAAADwAAAGRycy9kb3ducmV2LnhtbESPwWrDMBBE74X8g9hAbo0cQ9riRgmlUCjkZLeQ62Jt&#10;LNfWypFU2/n7KFDocZiZN8zuMNtejORD61jBZp2BIK6dbrlR8P318fgCIkRkjb1jUnClAIf94mGH&#10;hXYTlzRWsREJwqFABSbGoZAy1IYshrUbiJN3dt5iTNI3UnucEtz2Ms+yJ2mx5bRgcKB3Q3VX/VoF&#10;l+v2dDbHzvqOgv0pn0NDp1qp1XJ+ewURaY7/4b/2p1aQZ9sc7m/SE5D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MO9nEAAAA3QAAAA8AAAAAAAAAAAAAAAAAmAIAAGRycy9k&#10;b3ducmV2LnhtbFBLBQYAAAAABAAEAPUAAACJAwAAAAA=&#10;" fillcolor="white [3201]" strokeweight=".5pt">
                        <v:textbox inset="0,0,0,0">
                          <w:txbxContent>
                            <w:p w:rsidR="00084DF3" w:rsidRPr="009E0A64" w:rsidRDefault="00084DF3" w:rsidP="000C20A4">
                              <w:pPr>
                                <w:jc w:val="center"/>
                                <w:rPr>
                                  <w:b/>
                                  <w:sz w:val="16"/>
                                  <w:szCs w:val="16"/>
                                </w:rPr>
                              </w:pPr>
                              <w:r w:rsidRPr="009E0A64">
                                <w:rPr>
                                  <w:b/>
                                  <w:sz w:val="16"/>
                                  <w:szCs w:val="16"/>
                                </w:rPr>
                                <w:t>EE</w:t>
                              </w:r>
                            </w:p>
                          </w:txbxContent>
                        </v:textbox>
                      </v:oval>
                      <v:oval id="Text Box 2053" o:spid="_x0000_s1039" style="position:absolute;left:24796;top:11691;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eQsQA&#10;AADdAAAADwAAAGRycy9kb3ducmV2LnhtbESPwWrDMBBE74X8g9hCb43cBLfFjRJKIRDoyWkg18Xa&#10;WK6tlSMpsf33VSGQ4zAzb5jVZrSduJIPjWMFL/MMBHHldMO1gsPP9vkdRIjIGjvHpGCiAJv17GGF&#10;hXYDl3Tdx1okCIcCFZgY+0LKUBmyGOauJ07eyXmLMUlfS+1xSHDbyUWWvUqLDacFgz19Gara/cUq&#10;OE/58WS+W+tbCva3fAs1HSulnh7Hzw8QkcZ4D9/aO61gkeVL+H+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AnkLEAAAA3QAAAA8AAAAAAAAAAAAAAAAAmAIAAGRycy9k&#10;b3ducmV2LnhtbFBLBQYAAAAABAAEAPUAAACJAwAAAAA=&#10;" fillcolor="white [3201]" strokeweight=".5pt">
                        <v:textbox inset="0,0,0,0">
                          <w:txbxContent>
                            <w:p w:rsidR="00084DF3" w:rsidRPr="009E0A64" w:rsidRDefault="00084DF3" w:rsidP="000C20A4">
                              <w:pPr>
                                <w:jc w:val="center"/>
                                <w:rPr>
                                  <w:b/>
                                  <w:sz w:val="16"/>
                                  <w:szCs w:val="16"/>
                                </w:rPr>
                              </w:pPr>
                              <w:r w:rsidRPr="009E0A64">
                                <w:rPr>
                                  <w:b/>
                                  <w:sz w:val="16"/>
                                  <w:szCs w:val="16"/>
                                </w:rPr>
                                <w:t>L</w:t>
                              </w:r>
                              <w:r>
                                <w:rPr>
                                  <w:b/>
                                  <w:sz w:val="16"/>
                                  <w:szCs w:val="16"/>
                                </w:rPr>
                                <w:t>V</w:t>
                              </w:r>
                            </w:p>
                          </w:txbxContent>
                        </v:textbox>
                      </v:oval>
                      <v:oval id="Text Box 2054" o:spid="_x0000_s1040" style="position:absolute;left:14466;top:16582;width:2250;height: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GNsQA&#10;AADdAAAADwAAAGRycy9kb3ducmV2LnhtbESPwWrDMBBE74X8g9hCb43cELfFjRJKIRDoyWkg18Xa&#10;WK6tlSMpsf33VSGQ4zAzb5jVZrSduJIPjWMFL/MMBHHldMO1gsPP9vkdRIjIGjvHpGCiAJv17GGF&#10;hXYDl3Tdx1okCIcCFZgY+0LKUBmyGOauJ07eyXmLMUlfS+1xSHDbyUWWvUqLDacFgz19Gara/cUq&#10;OE/58WS+W+tbCva3fAs1HSulnh7Hzw8QkcZ4D9/aO61gkeVL+H+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pBjbEAAAA3QAAAA8AAAAAAAAAAAAAAAAAmAIAAGRycy9k&#10;b3ducmV2LnhtbFBLBQYAAAAABAAEAPUAAACJAwAAAAA=&#10;" fillcolor="white [3201]" strokeweight=".5pt">
                        <v:textbox inset="0,0,0,0">
                          <w:txbxContent>
                            <w:p w:rsidR="00084DF3" w:rsidRPr="009E0A64" w:rsidRDefault="00084DF3" w:rsidP="000C20A4">
                              <w:pPr>
                                <w:jc w:val="center"/>
                                <w:rPr>
                                  <w:b/>
                                  <w:sz w:val="16"/>
                                  <w:szCs w:val="16"/>
                                </w:rPr>
                              </w:pPr>
                              <w:r w:rsidRPr="009E0A64">
                                <w:rPr>
                                  <w:b/>
                                  <w:sz w:val="16"/>
                                  <w:szCs w:val="16"/>
                                </w:rPr>
                                <w:t>FR</w:t>
                              </w:r>
                            </w:p>
                          </w:txbxContent>
                        </v:textbox>
                      </v:oval>
                      <v:oval id="Text Box 2055" o:spid="_x0000_s1041" style="position:absolute;left:27057;top:8664;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jrcIA&#10;AADdAAAADwAAAGRycy9kb3ducmV2LnhtbESPT4vCMBTE7wt+h/AEb2uq0F2pRhFBEDz5B7w+mmdT&#10;27zUJGr99puFhT0OM/MbZrHqbSue5EPtWMFknIEgLp2uuVJwPm0/ZyBCRNbYOiYFbwqwWg4+Flho&#10;9+IDPY+xEgnCoUAFJsaukDKUhiyGseuIk3d13mJM0ldSe3wluG3lNMu+pMWa04LBjjaGyub4sAru&#10;7/xyNfvG+oaCvR2+Q0WXUqnRsF/PQUTq43/4r73TCqZZnsPvm/Q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aOtwgAAAN0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sidRPr="009E0A64">
                                <w:rPr>
                                  <w:b/>
                                  <w:sz w:val="16"/>
                                  <w:szCs w:val="16"/>
                                </w:rPr>
                                <w:t>DE</w:t>
                              </w:r>
                            </w:p>
                          </w:txbxContent>
                        </v:textbox>
                      </v:oval>
                      <v:oval id="Text Box 2056" o:spid="_x0000_s1042" style="position:absolute;left:16144;top:2906;width:2249;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92sMA&#10;AADdAAAADwAAAGRycy9kb3ducmV2LnhtbESPW4vCMBSE3wX/QziCb5oqeKFrFFkQFvbJC/T10Byb&#10;bpuTbhK1/nuzsODjMDPfMJtdb1txJx9qxwpm0wwEcel0zZWCy/kwWYMIEVlj65gUPCnAbjscbDDX&#10;7sFHup9iJRKEQ44KTIxdLmUoDVkMU9cRJ+/qvMWYpK+k9vhIcNvKeZYtpcWa04LBjj4Nlc3pZhX8&#10;PhfF1Xw31jcU7M9xFSoqSqXGo37/ASJSH9/h//aXVjDPFkv4e5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c92sMAAADdAAAADwAAAAAAAAAAAAAAAACYAgAAZHJzL2Rv&#10;d25yZXYueG1sUEsFBgAAAAAEAAQA9QAAAIgDAAAAAA==&#10;" fillcolor="white [3201]" strokeweight=".5pt">
                        <v:textbox inset="0,0,0,0">
                          <w:txbxContent>
                            <w:p w:rsidR="00084DF3" w:rsidRPr="009E0A64" w:rsidRDefault="00084DF3" w:rsidP="000C20A4">
                              <w:pPr>
                                <w:jc w:val="center"/>
                                <w:rPr>
                                  <w:b/>
                                  <w:sz w:val="16"/>
                                  <w:szCs w:val="16"/>
                                </w:rPr>
                              </w:pPr>
                              <w:r w:rsidRPr="009E0A64">
                                <w:rPr>
                                  <w:b/>
                                  <w:sz w:val="16"/>
                                  <w:szCs w:val="16"/>
                                </w:rPr>
                                <w:t>NL</w:t>
                              </w:r>
                            </w:p>
                          </w:txbxContent>
                        </v:textbox>
                      </v:oval>
                      <v:oval id="Text Box 2057" o:spid="_x0000_s1043" style="position:absolute;left:26074;top:4715;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YQcQA&#10;AADdAAAADwAAAGRycy9kb3ducmV2LnhtbESPwWrDMBBE74H+g9hCbrHcgJvgRgmlUCj0lLTg62Kt&#10;LdfWypXU2Pn7qBDIcZiZN8zuMNtBnMmHzrGCpywHQVw73XGr4PvrfbUFESKyxsExKbhQgMP+YbHD&#10;UruJj3Q+xVYkCIcSFZgYx1LKUBuyGDI3Eievcd5iTNK3UnucEtwOcp3nz9Jix2nB4Ehvhur+9GcV&#10;/F6KqjGfvfU9Bftz3ISWqlqp5eP8+gIi0hzv4Vv7QytY58UG/t+kJ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7mEHEAAAA3QAAAA8AAAAAAAAAAAAAAAAAmAIAAGRycy9k&#10;b3ducmV2LnhtbFBLBQYAAAAABAAEAPUAAACJAwAAAAA=&#10;" fillcolor="white [3201]" strokeweight=".5pt">
                        <v:textbox inset="0,0,0,0">
                          <w:txbxContent>
                            <w:p w:rsidR="00084DF3" w:rsidRPr="009E0A64" w:rsidRDefault="00084DF3" w:rsidP="000C20A4">
                              <w:pPr>
                                <w:jc w:val="center"/>
                                <w:rPr>
                                  <w:b/>
                                  <w:sz w:val="16"/>
                                  <w:szCs w:val="16"/>
                                </w:rPr>
                              </w:pPr>
                              <w:r w:rsidRPr="009E0A64">
                                <w:rPr>
                                  <w:b/>
                                  <w:sz w:val="16"/>
                                  <w:szCs w:val="16"/>
                                </w:rPr>
                                <w:t>FI</w:t>
                              </w:r>
                            </w:p>
                          </w:txbxContent>
                        </v:textbox>
                      </v:oval>
                      <v:oval id="Text Box 2058" o:spid="_x0000_s1044" style="position:absolute;left:18191;top:7524;width:2250;height: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MM8AA&#10;AADdAAAADwAAAGRycy9kb3ducmV2LnhtbERPy4rCMBTdC/MP4Q7MTlMFH3RMiwjCwKx8gNtLc206&#10;bW5qErX+/WQhuDyc97ocbCfu5EPjWMF0koEgrpxuuFZwOu7GKxAhImvsHJOCJwUoi4/RGnPtHryn&#10;+yHWIoVwyFGBibHPpQyVIYth4nrixF2ctxgT9LXUHh8p3HZylmULabHh1GCwp62hqj3crILrc36+&#10;mN/W+paC/dsvQ03nSqmvz2HzDSLSEN/il/tHK5hl8zQ3vUlP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QMM8AAAADdAAAADwAAAAAAAAAAAAAAAACYAgAAZHJzL2Rvd25y&#10;ZXYueG1sUEsFBgAAAAAEAAQA9QAAAIUDAAAAAA==&#10;" fillcolor="white [3201]" strokeweight=".5pt">
                        <v:textbox inset="0,0,0,0">
                          <w:txbxContent>
                            <w:p w:rsidR="00084DF3" w:rsidRPr="009E0A64" w:rsidRDefault="00084DF3" w:rsidP="000C20A4">
                              <w:pPr>
                                <w:jc w:val="center"/>
                                <w:rPr>
                                  <w:b/>
                                  <w:sz w:val="16"/>
                                  <w:szCs w:val="16"/>
                                </w:rPr>
                              </w:pPr>
                              <w:r w:rsidRPr="009E0A64">
                                <w:rPr>
                                  <w:b/>
                                  <w:sz w:val="16"/>
                                  <w:szCs w:val="16"/>
                                </w:rPr>
                                <w:t>PL</w:t>
                              </w:r>
                            </w:p>
                          </w:txbxContent>
                        </v:textbox>
                      </v:oval>
                      <v:oval id="Text Box 2059" o:spid="_x0000_s1045" style="position:absolute;left:28763;top:18878;width:2937;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pqMMA&#10;AADdAAAADwAAAGRycy9kb3ducmV2LnhtbESPT4vCMBTE78J+h/CEvWmqoO5Wo4ggLHjyD3h9NM+m&#10;tnnpJlHrtzfCwh6HmfkNs1h1thF38qFyrGA0zEAQF05XXCo4HbeDLxAhImtsHJOCJwVYLT96C8y1&#10;e/Ce7odYigThkKMCE2ObSxkKQxbD0LXEybs4bzEm6UupPT4S3DZynGVTabHitGCwpY2hoj7crILf&#10;5+R8Mbva+pqCve5noaRzodRnv1vPQUTq4n/4r/2jFYyzyTe836Qn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ipqMMAAADdAAAADwAAAAAAAAAAAAAAAACYAgAAZHJzL2Rv&#10;d25yZXYueG1sUEsFBgAAAAAEAAQA9QAAAIgDAAAAAA==&#10;" fillcolor="white [3201]" strokeweight=".5pt">
                        <v:textbox inset="0,0,0,0">
                          <w:txbxContent>
                            <w:p w:rsidR="00084DF3" w:rsidRPr="009E0A64" w:rsidRDefault="00084DF3" w:rsidP="000C20A4">
                              <w:pPr>
                                <w:jc w:val="center"/>
                                <w:rPr>
                                  <w:b/>
                                  <w:sz w:val="16"/>
                                  <w:szCs w:val="16"/>
                                </w:rPr>
                              </w:pPr>
                              <w:r w:rsidRPr="009E0A64">
                                <w:rPr>
                                  <w:b/>
                                  <w:sz w:val="16"/>
                                  <w:szCs w:val="16"/>
                                </w:rPr>
                                <w:t>R</w:t>
                              </w:r>
                              <w:r>
                                <w:rPr>
                                  <w:b/>
                                  <w:sz w:val="16"/>
                                  <w:szCs w:val="16"/>
                                </w:rPr>
                                <w:t>O</w:t>
                              </w:r>
                            </w:p>
                          </w:txbxContent>
                        </v:textbox>
                      </v:oval>
                      <v:oval id="Text Box 2060" o:spid="_x0000_s1046" style="position:absolute;left:12146;top:8188;width:2525;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KiMAA&#10;AADdAAAADwAAAGRycy9kb3ducmV2LnhtbERPy4rCMBTdC/MP4Q64G1MFHemYFhGEgVn5ALeX5tp0&#10;2tzUJGr9e7MQXB7Oe1UOthM38qFxrGA6yUAQV043XCs4HrZfSxAhImvsHJOCBwUoi4/RCnPt7ryj&#10;2z7WIoVwyFGBibHPpQyVIYth4nrixJ2dtxgT9LXUHu8p3HZylmULabHh1GCwp42hqt1frYLLY346&#10;m7/W+paC/d99h5pOlVLjz2H9AyLSEN/il/tXK5hli7Q/vUlP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7KiMAAAADdAAAADwAAAAAAAAAAAAAAAACYAgAAZHJzL2Rvd25y&#10;ZXYueG1sUEsFBgAAAAAEAAQA9QAAAIUDAAAAAA==&#10;" fillcolor="white [3201]" strokeweight=".5pt">
                        <v:textbox inset="0,0,0,0">
                          <w:txbxContent>
                            <w:p w:rsidR="00084DF3" w:rsidRPr="009E0A64" w:rsidRDefault="00084DF3" w:rsidP="000C20A4">
                              <w:pPr>
                                <w:jc w:val="center"/>
                                <w:rPr>
                                  <w:b/>
                                  <w:sz w:val="16"/>
                                  <w:szCs w:val="16"/>
                                </w:rPr>
                              </w:pPr>
                              <w:r w:rsidRPr="009E0A64">
                                <w:rPr>
                                  <w:b/>
                                  <w:sz w:val="16"/>
                                  <w:szCs w:val="16"/>
                                </w:rPr>
                                <w:t>UK</w:t>
                              </w:r>
                            </w:p>
                          </w:txbxContent>
                        </v:textbox>
                      </v:oval>
                      <v:oval id="Text Box 2061" o:spid="_x0000_s1047" style="position:absolute;left:12010;top:12351;width:2249;height: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vE8MA&#10;AADdAAAADwAAAGRycy9kb3ducmV2LnhtbESPT4vCMBTE74LfITxhb5oqrErXKCIIC3vyD/T6aJ5N&#10;t81LTbJav/1GEDwOM/MbZrXpbStu5EPtWMF0koEgLp2uuVJwPu3HSxAhImtsHZOCBwXYrIeDFeba&#10;3flAt2OsRIJwyFGBibHLpQylIYth4jri5F2ctxiT9JXUHu8Jbls5y7K5tFhzWjDY0c5Q2Rz/rILr&#10;47O4mJ/G+oaC/T0sQkVFqdTHqN9+gYjUx3f41f7WCmbZfArPN+k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JvE8MAAADdAAAADwAAAAAAAAAAAAAAAACYAgAAZHJzL2Rv&#10;d25yZXYueG1sUEsFBgAAAAAEAAQA9QAAAIgDAAAAAA==&#10;" fillcolor="white [3201]" strokeweight=".5pt">
                        <v:textbox inset="0,0,0,0">
                          <w:txbxContent>
                            <w:p w:rsidR="00084DF3" w:rsidRPr="009E0A64" w:rsidRDefault="00084DF3" w:rsidP="000C20A4">
                              <w:pPr>
                                <w:jc w:val="center"/>
                                <w:rPr>
                                  <w:b/>
                                  <w:sz w:val="16"/>
                                  <w:szCs w:val="16"/>
                                </w:rPr>
                              </w:pPr>
                              <w:r w:rsidRPr="009E0A64">
                                <w:rPr>
                                  <w:b/>
                                  <w:sz w:val="16"/>
                                  <w:szCs w:val="16"/>
                                </w:rPr>
                                <w:t>IE</w:t>
                              </w:r>
                            </w:p>
                          </w:txbxContent>
                        </v:textbox>
                      </v:oval>
                    </v:group>
                    <v:group id="Group 3" o:spid="_x0000_s1048" style="position:absolute;left:3215;top:-1429;width:16879;height:20805" coordorigin="-9093,-2785" coordsize="16879,20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3" o:spid="_x0000_s1049" type="#_x0000_t32" style="position:absolute;left:-6287;top:15939;width:12107;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i8e8IAAADbAAAADwAAAGRycy9kb3ducmV2LnhtbERPS2vCQBC+C/0PyxS86aYPpKTZSBG0&#10;ngKNFjwO2WkS3J0N2a2J+fVuoeBtPr7nZOvRGnGh3reOFTwtExDEldMt1wqOh+3iDYQPyBqNY1Jw&#10;JQ/r/GGWYardwF90KUMtYgj7FBU0IXSplL5qyKJfuo44cj+utxgi7GupexxiuDXyOUlW0mLLsaHB&#10;jjYNVefy1yqo6s+iMKbdnXfT5nv7QqfpeDgpNX8cP95BBBrDXfzv3us4/xX+fokHy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i8e8IAAADbAAAADwAAAAAAAAAAAAAA&#10;AAChAgAAZHJzL2Rvd25yZXYueG1sUEsFBgAAAAAEAAQA+QAAAJADAAAAAA==&#10;" strokecolor="#c00000" strokeweight="2pt">
                        <v:stroke dashstyle="1 1" startarrow="block" endarrow="block"/>
                      </v:shape>
                      <v:shape id="Text Box 6" o:spid="_x0000_s1050" type="#_x0000_t202" style="position:absolute;left:-5847;top:16468;width:13632;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ztMIA&#10;AADdAAAADwAAAGRycy9kb3ducmV2LnhtbERPz2vCMBS+C/sfwht400RB0WoUkQ0Gg2Gthx3fmmcb&#10;bF5qk2n33y8HwePH93u97V0jbtQF61nDZKxAEJfeWK40nIr30QJEiMgGG8+k4Y8CbDcvgzVmxt85&#10;p9sxViKFcMhQQx1jm0kZypochrFviRN39p3DmGBXSdPhPYW7Rk6VmkuHllNDjS3tayovx1+nYffN&#10;+Zu9fv0c8nNui2Kp+HN+0Xr42u9WICL18Sl+uD+Mhqmapf3pTX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TO0wgAAAN0AAAAPAAAAAAAAAAAAAAAAAJgCAABkcnMvZG93&#10;bnJldi54bWxQSwUGAAAAAAQABAD1AAAAhwMAAAAA&#10;" filled="f" stroked="f">
                        <v:textbox inset="0,0,0,0">
                          <w:txbxContent>
                            <w:p w:rsidR="00084DF3" w:rsidRPr="00A16077" w:rsidRDefault="00084DF3" w:rsidP="000C20A4">
                              <w:pPr>
                                <w:rPr>
                                  <w:b/>
                                  <w:i/>
                                  <w:color w:val="C00000"/>
                                  <w:sz w:val="20"/>
                                  <w:szCs w:val="20"/>
                                </w:rPr>
                              </w:pPr>
                              <w:r w:rsidRPr="00A16077">
                                <w:rPr>
                                  <w:b/>
                                  <w:i/>
                                  <w:color w:val="C00000"/>
                                  <w:sz w:val="20"/>
                                  <w:szCs w:val="20"/>
                                </w:rPr>
                                <w:t>Ekonomijas dimensija</w:t>
                              </w:r>
                            </w:p>
                          </w:txbxContent>
                        </v:textbox>
                      </v:shape>
                      <v:shape id="AutoShape 4" o:spid="_x0000_s1051" type="#_x0000_t32" style="position:absolute;left:-7084;top:3396;width:51;height:119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M8MYAAADdAAAADwAAAGRycy9kb3ducmV2LnhtbESPUWvCMBSF3wf7D+EKvs00ZbhRjaKO&#10;4hiMMSc+X5prWmxuSpPV7t+bwWCPh3POdzjL9ehaMVAfGs8a1CwDQVx507DVcPwqH55BhIhssPVM&#10;Gn4owHp1f7fEwvgrf9JwiFYkCIcCNdQxdoWUoarJYZj5jjh5Z987jEn2VpoerwnuWpln2Vw6bDgt&#10;1NjRrqbqcvh2GspTeNq/v71k5fBx2Vr7qHbbSmk9nYybBYhIY/wP/7VfjYZcqRx+36Qn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RDPDGAAAA3QAAAA8AAAAAAAAA&#10;AAAAAAAAoQIAAGRycy9kb3ducmV2LnhtbFBLBQYAAAAABAAEAPkAAACUAwAAAAA=&#10;" strokecolor="#c00000" strokeweight="2pt">
                        <v:stroke dashstyle="1 1" startarrow="block" endarrow="block"/>
                      </v:shape>
                      <v:shape id="Text Box 5" o:spid="_x0000_s1052" type="#_x0000_t202" style="position:absolute;left:-9093;top:-2785;width:1557;height:18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fMMA&#10;AADdAAAADwAAAGRycy9kb3ducmV2LnhtbESP3YrCMBSE7wXfIZwF7zStxbJ0jbIUZPdK8OcBDs3Z&#10;pticdJto69sbQfBymJlvmPV2tK24Ue8bxwrSRQKCuHK64VrB+bSbf4LwAVlj65gU3MnDdjOdrLHQ&#10;buAD3Y6hFhHCvkAFJoSukNJXhiz6heuIo/fneoshyr6Wuschwm0rl0mSS4sNxwWDHZWGqsvxahXs&#10;79IMmV2dq7LM93n2v8PLT6vU7GP8/gIRaAzv8Kv9qxUs0zSD55v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C/fMMAAADdAAAADwAAAAAAAAAAAAAAAACYAgAAZHJzL2Rv&#10;d25yZXYueG1sUEsFBgAAAAAEAAQA9QAAAIgDAAAAAA==&#10;" filled="f" stroked="f">
                        <v:textbox style="layout-flow:vertical;mso-layout-flow-alt:bottom-to-top" inset="0,0,0,0">
                          <w:txbxContent>
                            <w:p w:rsidR="00084DF3" w:rsidRPr="00A16077" w:rsidRDefault="00084DF3" w:rsidP="000C20A4">
                              <w:pPr>
                                <w:rPr>
                                  <w:b/>
                                  <w:i/>
                                  <w:color w:val="C00000"/>
                                  <w:sz w:val="20"/>
                                  <w:szCs w:val="20"/>
                                </w:rPr>
                              </w:pPr>
                              <w:r w:rsidRPr="00A16077">
                                <w:rPr>
                                  <w:b/>
                                  <w:i/>
                                  <w:color w:val="C00000"/>
                                  <w:sz w:val="20"/>
                                  <w:szCs w:val="20"/>
                                </w:rPr>
                                <w:t>Efektivitātes dimensija</w:t>
                              </w:r>
                            </w:p>
                          </w:txbxContent>
                        </v:textbox>
                      </v:shape>
                    </v:group>
                  </v:group>
                  <v:shape id="AutoShape 3" o:spid="_x0000_s1053" type="#_x0000_t32" style="position:absolute;left:14745;top:7862;width:8554;height:451;rotation:-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j1NsMAAADbAAAADwAAAGRycy9kb3ducmV2LnhtbESPQWsCMRSE7wX/Q3iCt5q4QimrUUTY&#10;0ptoLfT43Dw3q5uXdRPd7b9vCoUeh5n5hlmuB9eIB3Wh9qxhNlUgiEtvaq40HD+K51cQISIbbDyT&#10;hm8KsF6NnpaYG9/znh6HWIkE4ZCjBhtjm0sZSksOw9S3xMk7+85hTLKrpOmwT3DXyEypF+mw5rRg&#10;saWtpfJ6uDsNXyd1d7fe7+aDLC71Z6Fmb/ao9WQ8bBYgIg3xP/zXfjcasgx+v6Qf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o9TbDAAAA2wAAAA8AAAAAAAAAAAAA&#10;AAAAoQIAAGRycy9kb3ducmV2LnhtbFBLBQYAAAAABAAEAPkAAACRAwAAAAA=&#10;" strokecolor="#c00000" strokeweight="2pt">
                    <v:stroke dashstyle="1 1" startarrow="block"/>
                  </v:shape>
                  <v:shape id="Text Box 6" o:spid="_x0000_s1054" type="#_x0000_t202" style="position:absolute;left:15122;top:8139;width:13644;height:2124;rotation:27703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dz8YA&#10;AADbAAAADwAAAGRycy9kb3ducmV2LnhtbESPQWvCQBSE70L/w/IKXkQ3piAlukoRinootlbR4yP7&#10;TNJm34bsmkR/vSsUehxm5htmtuhMKRqqXWFZwXgUgSBOrS44U7D/fh++gnAeWWNpmRRcycFi/tSb&#10;YaJty1/U7HwmAoRdggpy76tESpfmZNCNbEUcvLOtDfog60zqGtsAN6WMo2giDRYcFnKsaJlT+ru7&#10;GAUfh9vq57gZDNrYL132ed3K06FRqv/cvU1BeOr8f/ivvdYK4hd4fA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2dz8YAAADbAAAADwAAAAAAAAAAAAAAAACYAgAAZHJz&#10;L2Rvd25yZXYueG1sUEsFBgAAAAAEAAQA9QAAAIsDAAAAAA==&#10;" filled="f" stroked="f">
                    <v:textbox inset="0,0,0,0">
                      <w:txbxContent>
                        <w:p w:rsidR="00084DF3" w:rsidRPr="00A16077" w:rsidRDefault="00084DF3" w:rsidP="000C20A4">
                          <w:pPr>
                            <w:rPr>
                              <w:b/>
                              <w:i/>
                              <w:color w:val="C00000"/>
                              <w:sz w:val="20"/>
                              <w:szCs w:val="20"/>
                            </w:rPr>
                          </w:pPr>
                          <w:r w:rsidRPr="00A16077">
                            <w:rPr>
                              <w:b/>
                              <w:i/>
                              <w:color w:val="C00000"/>
                              <w:sz w:val="20"/>
                              <w:szCs w:val="20"/>
                            </w:rPr>
                            <w:t>Ideālais vektors</w:t>
                          </w:r>
                        </w:p>
                      </w:txbxContent>
                    </v:textbox>
                  </v:shape>
                </v:group>
                <v:shape id="AutoShape 3" o:spid="_x0000_s1055" type="#_x0000_t32" style="position:absolute;left:23714;top:15625;width:8553;height:444;rotation:-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acEAAADbAAAADwAAAGRycy9kb3ducmV2LnhtbESPQavCMBCE74L/IazgTVN7EKlGKYLg&#10;4V3s04O3pVnTYrMpTax9/nojPPA4zM43O5vdYBvRU+drxwoW8wQEcel0zUbB+fcwW4HwAVlj45gU&#10;/JGH3XY82mCm3ZNP1BfBiAhhn6GCKoQ2k9KXFVn0c9cSR+/mOoshys5I3eEzwm0j0yRZSos1x4YK&#10;W9pXVN6Lh41vpOZi8Kd44Sq/3nNT92143ZSaToZ8DSLQEL7H/+mjVpAu4bMlAkB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DCJpwQAAANsAAAAPAAAAAAAAAAAAAAAA&#10;AKECAABkcnMvZG93bnJldi54bWxQSwUGAAAAAAQABAD5AAAAjwMAAAAA&#10;" strokecolor="#c00000" strokeweight="2pt">
                  <v:stroke dashstyle="1 1" endarrow="block"/>
                </v:shape>
                <v:shape id="Text Box 6" o:spid="_x0000_s1056" type="#_x0000_t202" style="position:absolute;left:23312;top:15373;width:13639;height:1626;rotation:27703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bzMYA&#10;AADbAAAADwAAAGRycy9kb3ducmV2LnhtbESPQWvCQBSE70L/w/IKXkQ35lBLdJUiFPVQbK2ix0f2&#10;maTNvg3ZNYn+elco9DjMzDfMbNGZUjRUu8KygvEoAkGcWl1wpmD//T58BeE8ssbSMim4koPF/Kk3&#10;w0Tblr+o2flMBAi7BBXk3leJlC7NyaAb2Yo4eGdbG/RB1pnUNbYBbkoZR9GLNFhwWMixomVO6e/u&#10;YhR8HG6rn+NmMGhjv3TZ53UrT4dGqf5z9zYF4anz/+G/9loriCfw+B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abzMYAAADbAAAADwAAAAAAAAAAAAAAAACYAgAAZHJz&#10;L2Rvd25yZXYueG1sUEsFBgAAAAAEAAQA9QAAAIsDAAAAAA==&#10;" filled="f" stroked="f">
                  <v:textbox inset="0,0,0,0">
                    <w:txbxContent>
                      <w:p w:rsidR="00084DF3" w:rsidRPr="00A16077" w:rsidRDefault="00084DF3" w:rsidP="000C20A4">
                        <w:pPr>
                          <w:rPr>
                            <w:b/>
                            <w:i/>
                            <w:color w:val="C00000"/>
                            <w:sz w:val="20"/>
                            <w:szCs w:val="20"/>
                          </w:rPr>
                        </w:pPr>
                        <w:r w:rsidRPr="00A16077">
                          <w:rPr>
                            <w:b/>
                            <w:i/>
                            <w:color w:val="C00000"/>
                            <w:sz w:val="20"/>
                            <w:szCs w:val="20"/>
                          </w:rPr>
                          <w:t>Nevēlamais vektors</w:t>
                        </w:r>
                      </w:p>
                    </w:txbxContent>
                  </v:textbox>
                </v:shape>
              </v:group>
            </w:pict>
          </mc:Fallback>
        </mc:AlternateContent>
      </w:r>
    </w:p>
    <w:p w:rsidR="000C20A4" w:rsidRPr="002802B5" w:rsidRDefault="000C20A4" w:rsidP="000C20A4"/>
    <w:p w:rsidR="000C20A4" w:rsidRPr="002802B5" w:rsidRDefault="000C20A4" w:rsidP="000C20A4"/>
    <w:p w:rsidR="000C20A4" w:rsidRPr="002802B5" w:rsidRDefault="000C20A4" w:rsidP="000C20A4"/>
    <w:p w:rsidR="000C20A4" w:rsidRPr="002802B5" w:rsidRDefault="000C20A4" w:rsidP="000C20A4"/>
    <w:p w:rsidR="000C20A4" w:rsidRPr="002802B5" w:rsidRDefault="000C20A4" w:rsidP="000C20A4"/>
    <w:p w:rsidR="000C20A4" w:rsidRPr="002802B5" w:rsidRDefault="000C20A4" w:rsidP="000C20A4"/>
    <w:p w:rsidR="000C20A4" w:rsidRPr="002802B5" w:rsidRDefault="000C20A4" w:rsidP="000C20A4"/>
    <w:p w:rsidR="000C20A4" w:rsidRPr="002802B5" w:rsidRDefault="000C20A4" w:rsidP="000C20A4"/>
    <w:p w:rsidR="000C20A4" w:rsidRPr="002802B5" w:rsidRDefault="000C20A4" w:rsidP="000C20A4"/>
    <w:p w:rsidR="000C20A4" w:rsidRPr="002802B5" w:rsidRDefault="000C20A4" w:rsidP="000C20A4"/>
    <w:p w:rsidR="000C20A4" w:rsidRPr="002802B5" w:rsidRDefault="000C20A4" w:rsidP="000C20A4"/>
    <w:p w:rsidR="000C20A4" w:rsidRDefault="000C20A4" w:rsidP="000C20A4"/>
    <w:p w:rsidR="000C20A4" w:rsidRDefault="000C20A4" w:rsidP="000C20A4">
      <w:pPr>
        <w:rPr>
          <w:i/>
          <w:sz w:val="16"/>
          <w:szCs w:val="16"/>
        </w:rPr>
      </w:pPr>
    </w:p>
    <w:p w:rsidR="000C20A4" w:rsidRPr="002677D7" w:rsidRDefault="000C20A4" w:rsidP="000C20A4">
      <w:pPr>
        <w:rPr>
          <w:i/>
          <w:sz w:val="16"/>
          <w:szCs w:val="16"/>
        </w:rPr>
      </w:pPr>
    </w:p>
    <w:p w:rsidR="000C20A4" w:rsidRDefault="000C20A4" w:rsidP="000C20A4">
      <w:pPr>
        <w:jc w:val="center"/>
        <w:rPr>
          <w:i/>
          <w:sz w:val="16"/>
          <w:szCs w:val="16"/>
        </w:rPr>
      </w:pPr>
    </w:p>
    <w:p w:rsidR="00661E39" w:rsidRPr="00661E39" w:rsidRDefault="00661E39" w:rsidP="000C20A4">
      <w:pPr>
        <w:jc w:val="center"/>
        <w:rPr>
          <w:i/>
          <w:szCs w:val="24"/>
        </w:rPr>
      </w:pPr>
    </w:p>
    <w:p w:rsidR="000C20A4" w:rsidRPr="00E51230" w:rsidRDefault="000C20A4" w:rsidP="000C20A4">
      <w:pPr>
        <w:jc w:val="center"/>
        <w:rPr>
          <w:b/>
          <w:sz w:val="22"/>
        </w:rPr>
      </w:pPr>
      <w:r>
        <w:rPr>
          <w:i/>
          <w:sz w:val="22"/>
        </w:rPr>
        <w:t>9</w:t>
      </w:r>
      <w:r w:rsidRPr="00E51230">
        <w:rPr>
          <w:i/>
          <w:sz w:val="22"/>
        </w:rPr>
        <w:t xml:space="preserve">.att. </w:t>
      </w:r>
      <w:r w:rsidRPr="00E51230">
        <w:rPr>
          <w:b/>
          <w:sz w:val="22"/>
        </w:rPr>
        <w:t>Publisko izdevumu un sasniegto rezultātu savstarpējās mijiedarbības analīze no starptautiskā aspekta</w:t>
      </w:r>
    </w:p>
    <w:p w:rsidR="000C20A4" w:rsidRPr="00661E39" w:rsidRDefault="000C20A4" w:rsidP="000C20A4">
      <w:pPr>
        <w:jc w:val="both"/>
        <w:rPr>
          <w:szCs w:val="24"/>
        </w:rPr>
      </w:pPr>
    </w:p>
    <w:p w:rsidR="000C20A4" w:rsidRPr="00B61F65" w:rsidRDefault="000C20A4" w:rsidP="00B61F65">
      <w:pPr>
        <w:ind w:firstLine="709"/>
        <w:jc w:val="both"/>
        <w:rPr>
          <w:szCs w:val="24"/>
        </w:rPr>
      </w:pPr>
      <w:r>
        <w:t>9.attēlā parādīta p</w:t>
      </w:r>
      <w:r w:rsidRPr="002802B5">
        <w:t>ublisko izdevumu un sasniegto rezultātu savstarpējās mijiedarbības analīze no starptautiskā aspekta, izmantojot starptautiski atzītus finanšu uzskaites standartus un nozaru rezultatīvos rādītājus</w:t>
      </w:r>
      <w:r>
        <w:t xml:space="preserve">. </w:t>
      </w:r>
      <w:r w:rsidRPr="00ED2971">
        <w:rPr>
          <w:szCs w:val="24"/>
        </w:rPr>
        <w:t xml:space="preserve">Balstoties uz dimensijām plaknē, kurā uz vienas ass tiek atspoguļots sasniegtais </w:t>
      </w:r>
      <w:r>
        <w:rPr>
          <w:szCs w:val="24"/>
        </w:rPr>
        <w:t>rezultatīvais rādītājs</w:t>
      </w:r>
      <w:r w:rsidRPr="00ED2971">
        <w:rPr>
          <w:szCs w:val="24"/>
        </w:rPr>
        <w:t xml:space="preserve"> un uz otras ass tiek atzīmēti kopējie izdevumi, dalībvalstīm tiek noteikta to izdevumu kopējā efektivitāte. Pamatojoties uz to dalībvalstis ir iespējams sakārtot </w:t>
      </w:r>
      <w:r w:rsidRPr="00ED2971">
        <w:rPr>
          <w:szCs w:val="24"/>
        </w:rPr>
        <w:lastRenderedPageBreak/>
        <w:t>četr</w:t>
      </w:r>
      <w:r>
        <w:rPr>
          <w:szCs w:val="24"/>
        </w:rPr>
        <w:t>ās</w:t>
      </w:r>
      <w:r w:rsidRPr="00ED2971">
        <w:rPr>
          <w:szCs w:val="24"/>
        </w:rPr>
        <w:t xml:space="preserve"> </w:t>
      </w:r>
      <w:r>
        <w:rPr>
          <w:szCs w:val="24"/>
        </w:rPr>
        <w:t>grupās</w:t>
      </w:r>
      <w:r w:rsidRPr="00ED2971">
        <w:rPr>
          <w:szCs w:val="24"/>
        </w:rPr>
        <w:t>, k</w:t>
      </w:r>
      <w:r>
        <w:rPr>
          <w:szCs w:val="24"/>
        </w:rPr>
        <w:t>as</w:t>
      </w:r>
      <w:r w:rsidRPr="00ED2971">
        <w:rPr>
          <w:szCs w:val="24"/>
        </w:rPr>
        <w:t xml:space="preserve"> atspoguļo dalībvalstis ar augstu rezultātu un augstu efektivitāti, ar augstu rezultātu un zemu efektivitāti, ar zemu rezultātu un </w:t>
      </w:r>
      <w:r>
        <w:rPr>
          <w:szCs w:val="24"/>
        </w:rPr>
        <w:t>augstu</w:t>
      </w:r>
      <w:r w:rsidRPr="00ED2971">
        <w:rPr>
          <w:szCs w:val="24"/>
        </w:rPr>
        <w:t xml:space="preserve"> efektivitāti un zemu rezultātu un zemu efektivitāti. Tās dalībvalstis, kuras atradīsies tuvāk efektivitātes robežai (robežu veido valstis, kuras ar mazāku ieguldījumu sasniedz labāku rezultātu) būs relatīvi efektīvas, kamēr citas valstis, kuras atrodas tālāk no efektivitātes robežas būs neefektīvas. Izmantojot uz ieguldījumu orientētu efektivitātes mērījumu indikatorus, dalībvalstis ar lielāko ieguldījumu sliecās būt par neefektīvām tiktāl, kamēr tās nesasniedz augstus rezultātus. Šāda situācija liek domāt, ka dalībvalstīm ir lielāka tiešā kontrole pret to tēriņiem nevis iespēja i</w:t>
      </w:r>
      <w:r>
        <w:rPr>
          <w:szCs w:val="24"/>
        </w:rPr>
        <w:t>etekmēt rezultātu.</w:t>
      </w:r>
    </w:p>
    <w:p w:rsidR="00661E39" w:rsidRDefault="00661E39" w:rsidP="000C20A4">
      <w:pPr>
        <w:ind w:firstLine="709"/>
        <w:jc w:val="both"/>
      </w:pPr>
      <w:r>
        <w:rPr>
          <w:noProof/>
          <w:lang w:eastAsia="lv-LV"/>
        </w:rPr>
        <mc:AlternateContent>
          <mc:Choice Requires="wpg">
            <w:drawing>
              <wp:anchor distT="0" distB="0" distL="114300" distR="114300" simplePos="0" relativeHeight="251807744" behindDoc="0" locked="0" layoutInCell="1" allowOverlap="1" wp14:anchorId="0EFD5519" wp14:editId="27B6567B">
                <wp:simplePos x="0" y="0"/>
                <wp:positionH relativeFrom="column">
                  <wp:posOffset>1033958</wp:posOffset>
                </wp:positionH>
                <wp:positionV relativeFrom="paragraph">
                  <wp:posOffset>138049</wp:posOffset>
                </wp:positionV>
                <wp:extent cx="3658870" cy="2486965"/>
                <wp:effectExtent l="0" t="38100" r="93980" b="8890"/>
                <wp:wrapNone/>
                <wp:docPr id="31" name="Group 31"/>
                <wp:cNvGraphicFramePr/>
                <a:graphic xmlns:a="http://schemas.openxmlformats.org/drawingml/2006/main">
                  <a:graphicData uri="http://schemas.microsoft.com/office/word/2010/wordprocessingGroup">
                    <wpg:wgp>
                      <wpg:cNvGrpSpPr/>
                      <wpg:grpSpPr>
                        <a:xfrm>
                          <a:off x="0" y="0"/>
                          <a:ext cx="3658870" cy="2486965"/>
                          <a:chOff x="0" y="0"/>
                          <a:chExt cx="3745558" cy="2238451"/>
                        </a:xfrm>
                      </wpg:grpSpPr>
                      <wpg:grpSp>
                        <wpg:cNvPr id="2062" name="Group 2062"/>
                        <wpg:cNvGrpSpPr/>
                        <wpg:grpSpPr>
                          <a:xfrm>
                            <a:off x="0" y="0"/>
                            <a:ext cx="3745558" cy="2238451"/>
                            <a:chOff x="86360" y="0"/>
                            <a:chExt cx="3749675" cy="2763520"/>
                          </a:xfrm>
                        </wpg:grpSpPr>
                        <wps:wsp>
                          <wps:cNvPr id="2063" name="Text Box 2063"/>
                          <wps:cNvSpPr txBox="1"/>
                          <wps:spPr>
                            <a:xfrm>
                              <a:off x="2302178" y="982647"/>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’11</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4" name="Text Box 2064"/>
                          <wps:cNvSpPr txBox="1"/>
                          <wps:spPr>
                            <a:xfrm>
                              <a:off x="2570749" y="1117920"/>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’12</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5" name="Text Box 2065"/>
                          <wps:cNvSpPr txBox="1"/>
                          <wps:spPr>
                            <a:xfrm>
                              <a:off x="2960063" y="1117937"/>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’14</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6" name="Text Box 2066"/>
                          <wps:cNvSpPr txBox="1"/>
                          <wps:spPr>
                            <a:xfrm>
                              <a:off x="3162634" y="948594"/>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’15</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7" name="Text Box 2067"/>
                          <wps:cNvSpPr txBox="1"/>
                          <wps:spPr>
                            <a:xfrm>
                              <a:off x="2786583" y="1219149"/>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’13</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068" name="Group 2068"/>
                          <wpg:cNvGrpSpPr/>
                          <wpg:grpSpPr>
                            <a:xfrm>
                              <a:off x="86360" y="0"/>
                              <a:ext cx="3749675" cy="2763520"/>
                              <a:chOff x="86360" y="0"/>
                              <a:chExt cx="3749675" cy="2763520"/>
                            </a:xfrm>
                          </wpg:grpSpPr>
                          <wpg:grpSp>
                            <wpg:cNvPr id="2069" name="Group 2069"/>
                            <wpg:cNvGrpSpPr/>
                            <wpg:grpSpPr>
                              <a:xfrm>
                                <a:off x="86360" y="0"/>
                                <a:ext cx="3749675" cy="2763520"/>
                                <a:chOff x="311150" y="0"/>
                                <a:chExt cx="3749675" cy="2763520"/>
                              </a:xfrm>
                            </wpg:grpSpPr>
                            <wpg:grpSp>
                              <wpg:cNvPr id="2070" name="Group 8"/>
                              <wpg:cNvGrpSpPr>
                                <a:grpSpLocks/>
                              </wpg:cNvGrpSpPr>
                              <wpg:grpSpPr bwMode="auto">
                                <a:xfrm>
                                  <a:off x="311150" y="0"/>
                                  <a:ext cx="3749675" cy="2763520"/>
                                  <a:chOff x="3173" y="2696"/>
                                  <a:chExt cx="5905" cy="4352"/>
                                </a:xfrm>
                              </wpg:grpSpPr>
                              <wps:wsp>
                                <wps:cNvPr id="2071" name="Text Box 9"/>
                                <wps:cNvSpPr txBox="1">
                                  <a:spLocks noChangeArrowheads="1"/>
                                </wps:cNvSpPr>
                                <wps:spPr bwMode="auto">
                                  <a:xfrm>
                                    <a:off x="5789" y="6457"/>
                                    <a:ext cx="3256"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3" w:rsidRDefault="00084DF3" w:rsidP="000C20A4">
                                      <w:pPr>
                                        <w:jc w:val="right"/>
                                        <w:rPr>
                                          <w:b/>
                                          <w:sz w:val="20"/>
                                          <w:szCs w:val="20"/>
                                        </w:rPr>
                                      </w:pPr>
                                      <w:r w:rsidRPr="009E0A64">
                                        <w:rPr>
                                          <w:b/>
                                          <w:i/>
                                          <w:sz w:val="20"/>
                                          <w:szCs w:val="20"/>
                                        </w:rPr>
                                        <w:t>euro</w:t>
                                      </w:r>
                                      <w:r w:rsidRPr="009E0A64">
                                        <w:rPr>
                                          <w:b/>
                                          <w:sz w:val="20"/>
                                          <w:szCs w:val="20"/>
                                        </w:rPr>
                                        <w:t xml:space="preserve"> </w:t>
                                      </w:r>
                                    </w:p>
                                    <w:p w:rsidR="00084DF3" w:rsidRPr="00E154C7" w:rsidRDefault="00084DF3" w:rsidP="000C20A4">
                                      <w:pPr>
                                        <w:jc w:val="right"/>
                                        <w:rPr>
                                          <w:sz w:val="18"/>
                                          <w:szCs w:val="18"/>
                                        </w:rPr>
                                      </w:pPr>
                                      <w:r w:rsidRPr="00E154C7">
                                        <w:rPr>
                                          <w:sz w:val="18"/>
                                          <w:szCs w:val="18"/>
                                        </w:rPr>
                                        <w:t>(vai cita veida ieguldījumi)</w:t>
                                      </w:r>
                                    </w:p>
                                  </w:txbxContent>
                                </wps:txbx>
                                <wps:bodyPr rot="0" vert="horz" wrap="square" lIns="0" tIns="0" rIns="0" bIns="0" anchor="t" anchorCtr="0" upright="1">
                                  <a:noAutofit/>
                                </wps:bodyPr>
                              </wps:wsp>
                              <wpg:grpSp>
                                <wpg:cNvPr id="2072" name="Group 10"/>
                                <wpg:cNvGrpSpPr>
                                  <a:grpSpLocks/>
                                </wpg:cNvGrpSpPr>
                                <wpg:grpSpPr bwMode="auto">
                                  <a:xfrm>
                                    <a:off x="3173" y="2696"/>
                                    <a:ext cx="5905" cy="3698"/>
                                    <a:chOff x="3173" y="2696"/>
                                    <a:chExt cx="5905" cy="3698"/>
                                  </a:xfrm>
                                </wpg:grpSpPr>
                                <wpg:grpSp>
                                  <wpg:cNvPr id="2073" name="Group 11"/>
                                  <wpg:cNvGrpSpPr>
                                    <a:grpSpLocks/>
                                  </wpg:cNvGrpSpPr>
                                  <wpg:grpSpPr bwMode="auto">
                                    <a:xfrm>
                                      <a:off x="3525" y="2696"/>
                                      <a:ext cx="5553" cy="3698"/>
                                      <a:chOff x="3501" y="2394"/>
                                      <a:chExt cx="5565" cy="3251"/>
                                    </a:xfrm>
                                  </wpg:grpSpPr>
                                  <wps:wsp>
                                    <wps:cNvPr id="2074" name="AutoShape 12"/>
                                    <wps:cNvCnPr>
                                      <a:cxnSpLocks noChangeShapeType="1"/>
                                    </wps:cNvCnPr>
                                    <wps:spPr bwMode="auto">
                                      <a:xfrm>
                                        <a:off x="3513" y="5645"/>
                                        <a:ext cx="55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5" name="AutoShape 13"/>
                                    <wps:cNvCnPr>
                                      <a:cxnSpLocks noChangeShapeType="1"/>
                                    </wps:cNvCnPr>
                                    <wps:spPr bwMode="auto">
                                      <a:xfrm flipH="1" flipV="1">
                                        <a:off x="3501" y="2394"/>
                                        <a:ext cx="12" cy="3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76" name="Text Box 14"/>
                                  <wps:cNvSpPr txBox="1">
                                    <a:spLocks noChangeArrowheads="1"/>
                                  </wps:cNvSpPr>
                                  <wps:spPr bwMode="auto">
                                    <a:xfrm>
                                      <a:off x="3173" y="2706"/>
                                      <a:ext cx="451" cy="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3" w:rsidRPr="009E0A64" w:rsidRDefault="00084DF3" w:rsidP="000C20A4">
                                        <w:pPr>
                                          <w:jc w:val="right"/>
                                          <w:rPr>
                                            <w:b/>
                                            <w:sz w:val="20"/>
                                            <w:szCs w:val="20"/>
                                          </w:rPr>
                                        </w:pPr>
                                        <w:r>
                                          <w:rPr>
                                            <w:b/>
                                            <w:sz w:val="20"/>
                                            <w:szCs w:val="20"/>
                                          </w:rPr>
                                          <w:t>Rezultatīvais rādītājs</w:t>
                                        </w:r>
                                      </w:p>
                                    </w:txbxContent>
                                  </wps:txbx>
                                  <wps:bodyPr rot="0" vert="vert270" wrap="square" lIns="0" tIns="0" rIns="0" bIns="0" anchor="t" anchorCtr="0" upright="1">
                                    <a:noAutofit/>
                                  </wps:bodyPr>
                                </wps:wsp>
                              </wpg:grpSp>
                            </wpg:grpSp>
                            <wps:wsp>
                              <wps:cNvPr id="2077" name="Text Box 2077"/>
                              <wps:cNvSpPr txBox="1"/>
                              <wps:spPr>
                                <a:xfrm>
                                  <a:off x="1972310" y="1371600"/>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’04</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8" name="Text Box 2078"/>
                              <wps:cNvSpPr txBox="1"/>
                              <wps:spPr>
                                <a:xfrm>
                                  <a:off x="1741123" y="1467134"/>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’03</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9" name="Text Box 2079"/>
                              <wps:cNvSpPr txBox="1"/>
                              <wps:spPr>
                                <a:xfrm>
                                  <a:off x="2132696" y="1215891"/>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’06</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 name="Text Box 206"/>
                              <wps:cNvSpPr txBox="1"/>
                              <wps:spPr>
                                <a:xfrm>
                                  <a:off x="1446662" y="1658203"/>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8" name="Text Box 208"/>
                              <wps:cNvSpPr txBox="1"/>
                              <wps:spPr>
                                <a:xfrm>
                                  <a:off x="2045017" y="1564099"/>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9" name="Text Box 209"/>
                              <wps:cNvSpPr txBox="1"/>
                              <wps:spPr>
                                <a:xfrm>
                                  <a:off x="2197280" y="1433015"/>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’07</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0" name="Text Box 210"/>
                              <wps:cNvSpPr txBox="1"/>
                              <wps:spPr>
                                <a:xfrm>
                                  <a:off x="2353176" y="1024817"/>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’10</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1" name="Text Box 211"/>
                              <wps:cNvSpPr txBox="1"/>
                              <wps:spPr>
                                <a:xfrm>
                                  <a:off x="2434270" y="1269240"/>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’09</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2" name="Text Box 212"/>
                              <wps:cNvSpPr txBox="1"/>
                              <wps:spPr>
                                <a:xfrm>
                                  <a:off x="2310954" y="1562667"/>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’08</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3" name="Text Box 213"/>
                              <wps:cNvSpPr txBox="1"/>
                              <wps:spPr>
                                <a:xfrm>
                                  <a:off x="1505016" y="1467132"/>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’01</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 name="Text Box 214"/>
                              <wps:cNvSpPr txBox="1"/>
                              <wps:spPr>
                                <a:xfrm>
                                  <a:off x="1709588" y="1607348"/>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’02</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15" name="Group 215"/>
                            <wpg:cNvGrpSpPr/>
                            <wpg:grpSpPr>
                              <a:xfrm>
                                <a:off x="2326747" y="6351"/>
                                <a:ext cx="1509147" cy="440580"/>
                                <a:chOff x="-196" y="-41417"/>
                                <a:chExt cx="1509147" cy="440580"/>
                              </a:xfrm>
                            </wpg:grpSpPr>
                            <wps:wsp>
                              <wps:cNvPr id="216" name="Text Box 216"/>
                              <wps:cNvSpPr txBox="1"/>
                              <wps:spPr>
                                <a:xfrm>
                                  <a:off x="88710" y="81886"/>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Pr="009E0A64" w:rsidRDefault="00084DF3" w:rsidP="000C20A4">
                                    <w:pPr>
                                      <w:jc w:val="center"/>
                                      <w:rPr>
                                        <w:b/>
                                        <w:sz w:val="16"/>
                                        <w:szCs w:val="16"/>
                                      </w:rPr>
                                    </w:pPr>
                                    <w:r>
                                      <w:rPr>
                                        <w:b/>
                                        <w:sz w:val="16"/>
                                        <w:szCs w:val="16"/>
                                      </w:rPr>
                                      <w:t>’xx</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7" name="Text Box 217"/>
                              <wps:cNvSpPr txBox="1"/>
                              <wps:spPr>
                                <a:xfrm>
                                  <a:off x="-196" y="-41417"/>
                                  <a:ext cx="1509147" cy="4405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DF3" w:rsidRDefault="00084DF3" w:rsidP="000C20A4">
                                    <w:pPr>
                                      <w:ind w:firstLine="720"/>
                                      <w:rPr>
                                        <w:b/>
                                        <w:sz w:val="16"/>
                                        <w:szCs w:val="16"/>
                                      </w:rPr>
                                    </w:pPr>
                                  </w:p>
                                  <w:p w:rsidR="00084DF3" w:rsidRPr="009E0A64" w:rsidRDefault="00084DF3" w:rsidP="000C20A4">
                                    <w:pPr>
                                      <w:rPr>
                                        <w:b/>
                                        <w:sz w:val="16"/>
                                        <w:szCs w:val="16"/>
                                      </w:rPr>
                                    </w:pPr>
                                    <w:r>
                                      <w:rPr>
                                        <w:b/>
                                        <w:sz w:val="16"/>
                                        <w:szCs w:val="16"/>
                                      </w:rPr>
                                      <w:t xml:space="preserve">               Attiecīgais gads Latvijā</w:t>
                                    </w:r>
                                  </w:p>
                                  <w:p w:rsidR="00084DF3" w:rsidRPr="009E0A64" w:rsidRDefault="00084DF3" w:rsidP="000C20A4">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s:wsp>
                        <wps:cNvPr id="30" name="Curved Connector 30"/>
                        <wps:cNvCnPr/>
                        <wps:spPr>
                          <a:xfrm flipV="1">
                            <a:off x="909376" y="778747"/>
                            <a:ext cx="2556796" cy="658167"/>
                          </a:xfrm>
                          <a:prstGeom prst="curvedConnector3">
                            <a:avLst>
                              <a:gd name="adj1" fmla="val 39792"/>
                            </a:avLst>
                          </a:prstGeom>
                          <a:ln>
                            <a:solidFill>
                              <a:srgbClr val="C0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FD5519" id="Group 31" o:spid="_x0000_s1057" style="position:absolute;left:0;text-align:left;margin-left:81.4pt;margin-top:10.85pt;width:288.1pt;height:195.8pt;z-index:251807744;mso-width-relative:margin;mso-height-relative:margin" coordsize="37455,2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8PVQoAANdlAAAOAAAAZHJzL2Uyb0RvYy54bWzsXVlz28gRfk9V/gMK77RwHyzTWzJlOalS&#10;dl1rJ/sMgaCIGAQQABKppPLf9+u5CF6xqIMVLkcPFAgMgDl6vu7+umf4/qflvDAesqbNq3Jk2u8s&#10;08jKtJrk5d3I/Pu360FkGm2XlJOkqMpsZD5mrfnThz//6f2iHmZONauKSdYYeEjZDhf1yJx1XT28&#10;uGjTWTZP2ndVnZW4OK2aedLha3N3MWmSBZ4+Ly4cywouFlUzqZsqzdoWZ6/4RfMDe/50mqXdL9Np&#10;m3VGMTJRt459Nuzzlj4vPrxPhndNUs/yVFQjeUYt5kle4qXqUVdJlxj3Tb71qHmeNlVbTbt3aTW/&#10;qKbTPM1YG9Aa29pozeemuq9ZW+6Gi7tadRO6dqOfnv3Y9OeHL42RT0ama5tGmcwxRuy1Br6jcxb1&#10;3RBlPjf11/pLI07c8W/U3uW0mdN/tMRYsm59VN2aLTsjxUk38KMoRO+nuOZ4URAHPu/4dIbR2bov&#10;nX2Sd4ae7/sQIXan40aez2p1IV98QfVT1VFfVL1F2xwrcNZbx868Vvv21DIZqvZFgRugA1Z9s9bG&#10;OAh90cYwcH2HieXeNmKitCtZaF8mC19nSZ0xEWtpnFf95cr++kbD+LFaGugyl4sEK0ryYHRLXMG8&#10;l+dbnNwhFo5rOXaIcUQHxJETeCEffykhjuPFUkDs2LaCmK6rHkiGddN2n7NqbtDByMyKIq9bqncy&#10;TB5u2o6XlqXodFsV+eQ6Lwr2heAkGxeN8ZAACIpOStFaqaI0FiMTA2CxB69do0er+2+LJP0uatgr&#10;hfoWJb0uY8AjqrWo2yHvFnbUPRYZlSnKX7MpJh6bNDvqmKRpVqp6stJUaooWHXKjKL+q1SE383bg&#10;DvbmquzUzfO8rBreS+tdO/kuu3bKy2MYe+2mw255u2SIYzMpoFO31eQR0tRUHJ/bOr3O0eE3Sdt9&#10;SRoAMuYOlEz3Cz6mRYVRqsSRacyq5t+7zlN5zA1cNY0FAH5ktv+6T5rMNIq/lpg1pA3kQSMPbuVB&#10;eT8fVxAVgCJqww5xQ9MV8nDaVPPfoHsu6S24lJQp3jUyO3k47riage5Ks8tLVgiYXyfdTfm1TunR&#10;1K0kWN+WvyVNLWS7w6T4uZLzcku+eVm6s6wu77tqmjPhX/Wi6HBgBKHgccDC2wUWngQF4MpBYOGH&#10;VujFDCxs2w5jjoeYVkIraLQAvK1Pu3NAi0jKk0aL00YL2Drc0OybFswiJLw6FC3iAG4ArBWYFgwt&#10;XG1baNvCtJkFudKK2rYgu/kUbYtgF1oEUhcciBauHTiBC3OFHBEv8mNmpGjT4rwdEW5garA4fUck&#10;3AUWys08ECycMAJzJUwLB7wEnBIQDRotzhwtFNulHZG3ckQEqbuDxwWJ2GepQUoKv/AgnnqLj5Xc&#10;ggvmYRcb+0Zc7v52gv/YaKewaI/WThfuFKjQ1yGt9zaUaN9+Q3eMJkEu4/hvqvR7S1TvelSCS4mI&#10;Ahi3i79VE0QxEpBjjGHbCFFsN+uAsXftkOsDB0EMrgxWTL4fW4LG90Di01XFYG/GKY5Cy4UqoqMc&#10;beUVbalC6uS2Zj1slNV4lpR32WXTVItZlkxAl3Jat+egc3aRmO0fdrkfRpzOCzx/wzt3HR8GPoV3&#10;/Fgyx3LAJJ0viNEGwTw2oHsY/7Iiup8paE7DqxMrYn7ZgZWXKpzF5/4TW/Gn6FPkDTwn+DTwrKur&#10;weX12BsE13boX7lX4/GV/V96r+0NZ/lkkpX0GhkrtL2nxV9E1JJH+VS0sBc8QO83d7cqxHDN/oQM&#10;9YpdrFeDiRjkd6NJtuNZH514cB1E4cC79vwBwivRwLLjj6BLvNi7ul5v0k1eZi9vEoVPYt/x2Sj1&#10;Kr3RNov9bbctGc7zDtHgIp+PzEgVSoYkgp/KCRvaLskLftzrCqr+qisw3OgSNtA89sCCUiS6KvTg&#10;sOm5w+J/WdRgbxDgvm7yuxk8cE76P4m63w+ZG7FMm8ULNzHxdTFzC/YkaK5Azw1iBt49VflEuJR3&#10;7oXL/V2hwpQ8aG0L26yvJGluvKL6IPkmnbjSAKorfB/VISyTDep3hW8Bjuk+V5IOPc3hIyLO73R+&#10;EOE+juZQAR0KMbFYlGGrKQPdMS55nDddIpa1rjRY6W+PNVTwms7gt9CUe5LOcH2ba1ofSoNr2u1+&#10;Xg+Ub4WJ265JaNqNq7KE8qgaPvueoj9eDGVI3RCItQO9jI71T9fkULNFhgDlyJxnE4QmM2TR0BE3&#10;HkQ4+f9Ma/X06ppOfAoCc5eJWkeScMwgJaVYcEOzJ9P9hIY3kmljilyFv9BkYEf/kDpAZMwg22AT&#10;F6ScY8btxgQt6Mcxz15Z0FdOwNEi8+E2e27vj8uTpnwrH2BlCoSW8JyknFNSFxN0J4Ru5cinfYCR&#10;qX2At/UBFPhv8HjcB6BPh9iJw5OHXtEN6GNG/1hoT5USCg/9JSmhMt2IHgvzTqUBhrsIdZzEJBVF&#10;D8nssePQceGtkBlsu6GNyP26ZaczewDAZ5fZ4yiNtDERdR7gaeUBUoYvN7EV4ehYOPlMtAg923a4&#10;E2h7QWgjbo8n6fDbmYffVKaYRou3Cr8dh2RSIa4+WuyPUAgUIfaIUEB6CMKPdmyXMXLMtnBsP+Lh&#10;BI0WZ44WKlNMo8VJo8U2kYHQ/3MtC88LAloRRn4IUnwci7mCGivOHCuUX6ux4qSxYpcb8lwvxLE8&#10;MPSgQQgrEIuyYp0EqNcXmI6SJ40VJ40Vu5yQ5/sgIDgjwW96rmvZG5FrzW+eJb+p5EljxSljBUUu&#10;NulNmXt1+LpF10dIFF4N2RUWdsXgq+G1D3LePogrcvn0nginvScCEhG3sUIkJx6OFZ7rsVA0YQVY&#10;TmT36kiI3j9F7tCkseLEsULlc68CIWvZtofkWFCCRezzFc7gK5wg2FhxoX2Qc/RBXJW9rX2Qk/ZB&#10;1IKHHlaoRLatVV3/O2aK5X3gNoUPwjIsmJRoH+TMfRAlTxorThor1CqeHlaoXLtDsSKEWRHxLRyR&#10;uBm6nljsJbO4tV1xlnaFkieNFW+DFetZ3/tWQiLSIPgGvhASGVA8OaK/EpJZA+IJu5OokEMVYnNW&#10;IiWxDyrjK1bWAMwF7IGCq7TE0fMsH6EOlpCptrkd2FgVTzcPPNuThOZqmeOeB+xd9nmMNDQyf7ZI&#10;3ecmlmCbY5HeHtlRtLHMRQPkWQKkTlf9Q2xySykgWzihEoYONKZ24qQ0pH6EklurPw/aGENvcb22&#10;sfYbb3HtKk2izaO3N4/6plL/+CiL5RC5EwAxvm8esomhdh0wVkE94AQtM99By+xcHI69aVwRIw7D&#10;iCwzZm9JpHB8PwjJ4iKDDHmsNud6lT21hRQpq5mqmLvaTodtkjERDUgm/6TV6vMCO69jw3zDjbEJ&#10;N70aT2abJ7AjuT0P3co3Kti/5ctYreTEI9aK0VOuknbGd+ZvH1v6wpsptnrZ3CyB14PeiDH+0d76&#10;fMeHP8aaum7JN9TArwDs21ufowz1kJB5dsR+PYSNmfilE/p5kv53VmqYyd9j+fA7AAAA//8DAFBL&#10;AwQUAAYACAAAACEAz+8wWuAAAAAKAQAADwAAAGRycy9kb3ducmV2LnhtbEyPQUvDQBSE74L/YXmC&#10;N7vZRNsasymlqKci2ArF2zZ5TUKzb0N2m6T/3udJj8MMM99kq8m2YsDeN440qFkEAqlwZUOVhq/9&#10;28MShA+GStM6Qg1X9LDKb28yk5ZupE8cdqESXEI+NRrqELpUSl/UaI2fuQ6JvZPrrQks+0qWvRm5&#10;3LYyjqK5tKYhXqhNh5sai/PuYjW8j2ZcJ+p12J5Pm+v3/unjsFWo9f3dtH4BEXAKf2H4xWd0yJnp&#10;6C5UetGynseMHjTEagGCA4vkmc8dNTyqJAGZZ/L/hfwHAAD//wMAUEsBAi0AFAAGAAgAAAAhALaD&#10;OJL+AAAA4QEAABMAAAAAAAAAAAAAAAAAAAAAAFtDb250ZW50X1R5cGVzXS54bWxQSwECLQAUAAYA&#10;CAAAACEAOP0h/9YAAACUAQAACwAAAAAAAAAAAAAAAAAvAQAAX3JlbHMvLnJlbHNQSwECLQAUAAYA&#10;CAAAACEAY+xfD1UKAADXZQAADgAAAAAAAAAAAAAAAAAuAgAAZHJzL2Uyb0RvYy54bWxQSwECLQAU&#10;AAYACAAAACEAz+8wWuAAAAAKAQAADwAAAAAAAAAAAAAAAACvDAAAZHJzL2Rvd25yZXYueG1sUEsF&#10;BgAAAAAEAAQA8wAAALwNAAAAAA==&#10;">
                <v:group id="Group 2062" o:spid="_x0000_s1058" style="position:absolute;width:37455;height:22384" coordorigin="863" coordsize="37496,27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HKPsUAAADdAAAADwAAAGRycy9kb3ducmV2LnhtbESPQYvCMBSE7wv+h/AE&#10;b2vayopUo4ioeJCFVUG8PZpnW2xeShPb+u/NwsIeh5n5hlmselOJlhpXWlYQjyMQxJnVJecKLufd&#10;5wyE88gaK8uk4EUOVsvBxwJTbTv+ofbkcxEg7FJUUHhfp1K6rCCDbmxr4uDdbWPQB9nkUjfYBbip&#10;ZBJFU2mw5LBQYE2bgrLH6WkU7Dvs1pN42x4f983rdv76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xyj7FAAAA3QAA&#10;AA8AAAAAAAAAAAAAAAAAqgIAAGRycy9kb3ducmV2LnhtbFBLBQYAAAAABAAEAPoAAACcAwAAAAA=&#10;">
                  <v:oval id="Text Box 2063" o:spid="_x0000_s1059" style="position:absolute;left:23021;top:9826;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xU/8IA&#10;AADdAAAADwAAAGRycy9kb3ducmV2LnhtbESPQYvCMBSE78L+h/AEb5rqortUo4ggLHjSFbw+mmdT&#10;27x0k6j13xtB2OMwM98wi1VnG3EjHyrHCsajDARx4XTFpYLj73b4DSJEZI2NY1LwoACr5Udvgbl2&#10;d97T7RBLkSAcclRgYmxzKUNhyGIYuZY4eWfnLcYkfSm1x3uC20ZOsmwmLVacFgy2tDFU1IerVfD3&#10;mJ7OZldbX1Owl/1XKOlUKDXod+s5iEhd/A+/2z9awSSbfcLrTX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FT/wgAAAN0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Pr>
                              <w:b/>
                              <w:sz w:val="16"/>
                              <w:szCs w:val="16"/>
                            </w:rPr>
                            <w:t>’11</w:t>
                          </w:r>
                        </w:p>
                        <w:p w:rsidR="00084DF3" w:rsidRPr="009E0A64" w:rsidRDefault="00084DF3" w:rsidP="000C20A4">
                          <w:pPr>
                            <w:jc w:val="center"/>
                            <w:rPr>
                              <w:b/>
                              <w:sz w:val="16"/>
                              <w:szCs w:val="16"/>
                            </w:rPr>
                          </w:pPr>
                        </w:p>
                      </w:txbxContent>
                    </v:textbox>
                  </v:oval>
                  <v:oval id="Text Box 2064" o:spid="_x0000_s1060" style="position:absolute;left:25707;top:11179;width:2250;height: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Mi8IA&#10;AADdAAAADwAAAGRycy9kb3ducmV2LnhtbESPQYvCMBSE78L+h/AEb5oqq7tUo4ggLHjSFbw+mmdT&#10;27x0k6j13xtB2OMwM98wi1VnG3EjHyrHCsajDARx4XTFpYLj73b4DSJEZI2NY1LwoACr5Udvgbl2&#10;d97T7RBLkSAcclRgYmxzKUNhyGIYuZY4eWfnLcYkfSm1x3uC20ZOsmwmLVacFgy2tDFU1IerVfD3&#10;mJ7OZldbX1Owl/1XKOlUKDXod+s5iEhd/A+/2z9awSSbfcLrTX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cyLwgAAAN0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Pr>
                              <w:b/>
                              <w:sz w:val="16"/>
                              <w:szCs w:val="16"/>
                            </w:rPr>
                            <w:t>’12</w:t>
                          </w:r>
                        </w:p>
                        <w:p w:rsidR="00084DF3" w:rsidRPr="009E0A64" w:rsidRDefault="00084DF3" w:rsidP="000C20A4">
                          <w:pPr>
                            <w:jc w:val="center"/>
                            <w:rPr>
                              <w:b/>
                              <w:sz w:val="16"/>
                              <w:szCs w:val="16"/>
                            </w:rPr>
                          </w:pPr>
                        </w:p>
                      </w:txbxContent>
                    </v:textbox>
                  </v:oval>
                  <v:oval id="Text Box 2065" o:spid="_x0000_s1061" style="position:absolute;left:29600;top:11179;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pEMMA&#10;AADdAAAADwAAAGRycy9kb3ducmV2LnhtbESPW4vCMBSE3wX/QziCb5oqeKFrFFkQFvbJC/T10Byb&#10;bpuTbhK1/nuzsODjMDPfMJtdb1txJx9qxwpm0wwEcel0zZWCy/kwWYMIEVlj65gUPCnAbjscbDDX&#10;7sFHup9iJRKEQ44KTIxdLmUoDVkMU9cRJ+/qvMWYpK+k9vhIcNvKeZYtpcWa04LBjj4Nlc3pZhX8&#10;PhfF1Xw31jcU7M9xFSoqSqXGo37/ASJSH9/h//aXVjDPlgv4e5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lpEMMAAADdAAAADwAAAAAAAAAAAAAAAACYAgAAZHJzL2Rv&#10;d25yZXYueG1sUEsFBgAAAAAEAAQA9QAAAIgDAAAAAA==&#10;" fillcolor="white [3201]" strokeweight=".5pt">
                    <v:textbox inset="0,0,0,0">
                      <w:txbxContent>
                        <w:p w:rsidR="00084DF3" w:rsidRPr="009E0A64" w:rsidRDefault="00084DF3" w:rsidP="000C20A4">
                          <w:pPr>
                            <w:jc w:val="center"/>
                            <w:rPr>
                              <w:b/>
                              <w:sz w:val="16"/>
                              <w:szCs w:val="16"/>
                            </w:rPr>
                          </w:pPr>
                          <w:r>
                            <w:rPr>
                              <w:b/>
                              <w:sz w:val="16"/>
                              <w:szCs w:val="16"/>
                            </w:rPr>
                            <w:t>’14</w:t>
                          </w:r>
                        </w:p>
                        <w:p w:rsidR="00084DF3" w:rsidRPr="009E0A64" w:rsidRDefault="00084DF3" w:rsidP="000C20A4">
                          <w:pPr>
                            <w:jc w:val="center"/>
                            <w:rPr>
                              <w:b/>
                              <w:sz w:val="16"/>
                              <w:szCs w:val="16"/>
                            </w:rPr>
                          </w:pPr>
                        </w:p>
                      </w:txbxContent>
                    </v:textbox>
                  </v:oval>
                  <v:oval id="Text Box 2066" o:spid="_x0000_s1062" style="position:absolute;left:31626;top:9485;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3Z8IA&#10;AADdAAAADwAAAGRycy9kb3ducmV2LnhtbESPQYvCMBSE78L+h/AEb5oqWJeuURZBEDzpLnh9NM+m&#10;2+alm0St/94IgsdhZr5hluvetuJKPtSOFUwnGQji0umaKwW/P9vxJ4gQkTW2jknBnQKsVx+DJRba&#10;3fhA12OsRIJwKFCBibErpAylIYth4jri5J2dtxiT9JXUHm8Jbls5y7JcWqw5LRjsaGOobI4Xq+D/&#10;Pj+dzb6xvqFg/w6LUNGpVGo07L+/QETq4zv8au+0glmW5/B8k5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dnwgAAAN0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Pr>
                              <w:b/>
                              <w:sz w:val="16"/>
                              <w:szCs w:val="16"/>
                            </w:rPr>
                            <w:t>’15</w:t>
                          </w:r>
                        </w:p>
                        <w:p w:rsidR="00084DF3" w:rsidRPr="009E0A64" w:rsidRDefault="00084DF3" w:rsidP="000C20A4">
                          <w:pPr>
                            <w:jc w:val="center"/>
                            <w:rPr>
                              <w:b/>
                              <w:sz w:val="16"/>
                              <w:szCs w:val="16"/>
                            </w:rPr>
                          </w:pPr>
                        </w:p>
                      </w:txbxContent>
                    </v:textbox>
                  </v:oval>
                  <v:oval id="Text Box 2067" o:spid="_x0000_s1063" style="position:absolute;left:27865;top:12191;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S/MQA&#10;AADdAAAADwAAAGRycy9kb3ducmV2LnhtbESPzWrDMBCE74G+g9hCbrHcQH5wo4RSKBR6clrwdbHW&#10;lmtr5Upq7Lx9VQjkOMzMN8zhNNtBXMiHzrGCpywHQVw73XGr4OvzbbUHESKyxsExKbhSgNPxYXHA&#10;QruJS7qcYysShEOBCkyMYyFlqA1ZDJkbiZPXOG8xJulbqT1OCW4Huc7zrbTYcVowONKrobo//1oF&#10;P9dN1ZiP3vqegv0ud6GlqlZq+Ti/PIOINMd7+NZ+1wrW+XYH/2/SE5D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XUvzEAAAA3QAAAA8AAAAAAAAAAAAAAAAAmAIAAGRycy9k&#10;b3ducmV2LnhtbFBLBQYAAAAABAAEAPUAAACJAwAAAAA=&#10;" fillcolor="white [3201]" strokeweight=".5pt">
                    <v:textbox inset="0,0,0,0">
                      <w:txbxContent>
                        <w:p w:rsidR="00084DF3" w:rsidRPr="009E0A64" w:rsidRDefault="00084DF3" w:rsidP="000C20A4">
                          <w:pPr>
                            <w:jc w:val="center"/>
                            <w:rPr>
                              <w:b/>
                              <w:sz w:val="16"/>
                              <w:szCs w:val="16"/>
                            </w:rPr>
                          </w:pPr>
                          <w:r>
                            <w:rPr>
                              <w:b/>
                              <w:sz w:val="16"/>
                              <w:szCs w:val="16"/>
                            </w:rPr>
                            <w:t>’13</w:t>
                          </w:r>
                        </w:p>
                        <w:p w:rsidR="00084DF3" w:rsidRPr="009E0A64" w:rsidRDefault="00084DF3" w:rsidP="000C20A4">
                          <w:pPr>
                            <w:jc w:val="center"/>
                            <w:rPr>
                              <w:b/>
                              <w:sz w:val="16"/>
                              <w:szCs w:val="16"/>
                            </w:rPr>
                          </w:pPr>
                        </w:p>
                      </w:txbxContent>
                    </v:textbox>
                  </v:oval>
                  <v:group id="Group 2068" o:spid="_x0000_s1064" style="position:absolute;left:863;width:37497;height:27635" coordorigin="863" coordsize="37496,27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n91MMAAADdAAAADwAAAGRycy9kb3ducmV2LnhtbERPy4rCMBTdC/MP4Qqz&#10;07QOilRTERmHWYjgA4bZXZrbBzY3pYlt/XuzEFweznu9GUwtOmpdZVlBPI1AEGdWV1wouF72kyUI&#10;55E11pZJwYMcbNKP0RoTbXs+UXf2hQgh7BJUUHrfJFK6rCSDbmob4sDltjXoA2wLqVvsQ7ip5SyK&#10;FtJgxaGhxIZ2JWW3890o+Omx337F393hlu8e/5f58e8Qk1Kf42G7AuFp8G/xy/2rFcyiR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Wf3UwwAAAN0AAAAP&#10;AAAAAAAAAAAAAAAAAKoCAABkcnMvZG93bnJldi54bWxQSwUGAAAAAAQABAD6AAAAmgMAAAAA&#10;">
                    <v:group id="Group 2069" o:spid="_x0000_s1065" style="position:absolute;left:863;width:37497;height:27635" coordorigin="3111" coordsize="37496,27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VYT8cAAADdAAAADwAAAGRycy9kb3ducmV2LnhtbESPQWvCQBSE7wX/w/KE&#10;3ppNLA01ZhURKx5CoSqU3h7ZZxLMvg3ZbRL/fbdQ6HGYmW+YfDOZVgzUu8aygiSKQRCXVjdcKbic&#10;355eQTiPrLG1TAru5GCznj3kmGk78gcNJ1+JAGGXoYLa+y6T0pU1GXSR7YiDd7W9QR9kX0nd4xjg&#10;ppWLOE6lwYbDQo0d7Woqb6dvo+Aw4rh9TvZDcbvu7l/nl/fPIiGlHufTdgXC0+T/w3/to1awiN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hVYT8cAAADd&#10;AAAADwAAAAAAAAAAAAAAAACqAgAAZHJzL2Rvd25yZXYueG1sUEsFBgAAAAAEAAQA+gAAAJ4DAAAA&#10;AA==&#10;">
                      <v:group id="Group 8" o:spid="_x0000_s1066" style="position:absolute;left:3111;width:37497;height:27635" coordorigin="3173,2696" coordsize="5905,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ZnD8QAAADdAAAADwAAAGRycy9kb3ducmV2LnhtbERPy2rCQBTdF/yH4Qrd&#10;1UlS2kp0FAlWXIRCVRB3l8w1CWbuhMw0j7/vLApdHs57vR1NI3rqXG1ZQbyIQBAXVtdcKricP1+W&#10;IJxH1thYJgUTOdhuZk9rTLUd+Jv6ky9FCGGXooLK+zaV0hUVGXQL2xIH7m47gz7ArpS6wyGEm0Ym&#10;UfQuDdYcGipsKauoeJx+jILDgMPuNd73+eOeTbfz29c1j0mp5/m4W4HwNPp/8Z/7qBUk0Uf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ZnD8QAAADdAAAA&#10;DwAAAAAAAAAAAAAAAACqAgAAZHJzL2Rvd25yZXYueG1sUEsFBgAAAAAEAAQA+gAAAJsDAAAAAA==&#10;">
                        <v:shape id="Text Box 9" o:spid="_x0000_s1067" type="#_x0000_t202" style="position:absolute;left:5789;top:6457;width:3256;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KT8YA&#10;AADdAAAADwAAAGRycy9kb3ducmV2LnhtbESPQWsCMRSE74X+h/AK3mqiB9tujSKiIAjSdT14fN08&#10;d4Obl3UTdf33TaHQ4zAz3zDTee8acaMuWM8aRkMFgrj0xnKl4VCsX99BhIhssPFMGh4UYD57fppi&#10;Zvydc7rtYyUShEOGGuoY20zKUNbkMAx9S5y8k+8cxiS7SpoO7wnuGjlWaiIdWk4LNba0rKk8769O&#10;w+LI+cpedt9f+Sm3RfGheDs5az146RefICL18T/8194YDWP1NoLfN+kJ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jKT8YAAADdAAAADwAAAAAAAAAAAAAAAACYAgAAZHJz&#10;L2Rvd25yZXYueG1sUEsFBgAAAAAEAAQA9QAAAIsDAAAAAA==&#10;" filled="f" stroked="f">
                          <v:textbox inset="0,0,0,0">
                            <w:txbxContent>
                              <w:p w:rsidR="00084DF3" w:rsidRDefault="00084DF3" w:rsidP="000C20A4">
                                <w:pPr>
                                  <w:jc w:val="right"/>
                                  <w:rPr>
                                    <w:b/>
                                    <w:sz w:val="20"/>
                                    <w:szCs w:val="20"/>
                                  </w:rPr>
                                </w:pPr>
                                <w:r w:rsidRPr="009E0A64">
                                  <w:rPr>
                                    <w:b/>
                                    <w:i/>
                                    <w:sz w:val="20"/>
                                    <w:szCs w:val="20"/>
                                  </w:rPr>
                                  <w:t>euro</w:t>
                                </w:r>
                                <w:r w:rsidRPr="009E0A64">
                                  <w:rPr>
                                    <w:b/>
                                    <w:sz w:val="20"/>
                                    <w:szCs w:val="20"/>
                                  </w:rPr>
                                  <w:t xml:space="preserve"> </w:t>
                                </w:r>
                              </w:p>
                              <w:p w:rsidR="00084DF3" w:rsidRPr="00E154C7" w:rsidRDefault="00084DF3" w:rsidP="000C20A4">
                                <w:pPr>
                                  <w:jc w:val="right"/>
                                  <w:rPr>
                                    <w:sz w:val="18"/>
                                    <w:szCs w:val="18"/>
                                  </w:rPr>
                                </w:pPr>
                                <w:r w:rsidRPr="00E154C7">
                                  <w:rPr>
                                    <w:sz w:val="18"/>
                                    <w:szCs w:val="18"/>
                                  </w:rPr>
                                  <w:t>(vai cita veida ieguldījumi)</w:t>
                                </w:r>
                              </w:p>
                            </w:txbxContent>
                          </v:textbox>
                        </v:shape>
                        <v:group id="Group 10" o:spid="_x0000_s1068" style="position:absolute;left:3173;top:2696;width:5905;height:3698" coordorigin="3173,2696" coordsize="5905,3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hc48YAAADdAAAADwAAAGRycy9kb3ducmV2LnhtbESPT2vCQBTE7wW/w/IE&#10;b3WTSKtEVxFR6UEK/gHx9sg+k2D2bciuSfz23UKhx2FmfsMsVr2pREuNKy0riMcRCOLM6pJzBZfz&#10;7n0GwnlkjZVlUvAiB6vl4G2BqbYdH6k9+VwECLsUFRTe16mULivIoBvbmjh4d9sY9EE2udQNdgFu&#10;KplE0ac0WHJYKLCmTUHZ4/Q0CvYddutJvG0Pj/vmdTt/fF8PMSk1GvbrOQhPvf8P/7W/tIIkmi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FzjxgAAAN0A&#10;AAAPAAAAAAAAAAAAAAAAAKoCAABkcnMvZG93bnJldi54bWxQSwUGAAAAAAQABAD6AAAAnQMAAAAA&#10;">
                          <v:group id="Group 11" o:spid="_x0000_s1069" style="position:absolute;left:3525;top:2696;width:5553;height:3698" coordorigin="3501,2394" coordsize="5565,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T5eMUAAADdAAAADwAAAGRycy9kb3ducmV2LnhtbESPQYvCMBSE78L+h/AE&#10;b5pWWV2qUURW2YMsqAvi7dE822LzUprY1n9vhAWPw8x8wyxWnSlFQ7UrLCuIRxEI4tTqgjMFf6ft&#10;8AuE88gaS8uk4EEOVsuP3gITbVs+UHP0mQgQdgkqyL2vEildmpNBN7IVcfCutjbog6wzqWtsA9yU&#10;chxFU2mw4LCQY0WbnNLb8W4U7Fps15P4u9nfrpvH5fT5e97HpNSg363nIDx1/h3+b/9oBeNoNo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4k+XjFAAAA3QAA&#10;AA8AAAAAAAAAAAAAAAAAqgIAAGRycy9kb3ducmV2LnhtbFBLBQYAAAAABAAEAPoAAACcAwAAAAA=&#10;">
                            <v:shape id="AutoShape 12" o:spid="_x0000_s1070" type="#_x0000_t32" style="position:absolute;left:3513;top:5645;width:55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Z+zsYAAADdAAAADwAAAGRycy9kb3ducmV2LnhtbESPQWsCMRSE7wX/Q3iCt5pVitXVKFJo&#10;EaWHqix6e2yeu4ublyWJuvrrTaHQ4zAz3zCzRWtqcSXnK8sKBv0EBHFudcWFgv3u83UMwgdkjbVl&#10;UnAnD4t552WGqbY3/qHrNhQiQtinqKAMoUml9HlJBn3fNsTRO1lnMETpCqkd3iLc1HKYJCNpsOK4&#10;UGJDHyXl5+3FKDhsJpfsnn3TOhtM1kd0xj92X0r1uu1yCiJQG/7Df+2VVjBM3t/g9018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Gfs7GAAAA3QAAAA8AAAAAAAAA&#10;AAAAAAAAoQIAAGRycy9kb3ducmV2LnhtbFBLBQYAAAAABAAEAPkAAACUAwAAAAA=&#10;">
                              <v:stroke endarrow="block"/>
                            </v:shape>
                            <v:shape id="AutoShape 13" o:spid="_x0000_s1071" type="#_x0000_t32" style="position:absolute;left:3501;top:2394;width:12;height:32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oVcUAAADdAAAADwAAAGRycy9kb3ducmV2LnhtbESPT2vCQBTE74V+h+UJvdWNIWqNrlJa&#10;CkV68c+hx0f2uQlm34bsq6bfvisIPQ4z8xtmtRl8qy7Uxyawgck4A0VcBduwM3A8fDy/gIqCbLEN&#10;TAZ+KcJm/fiwwtKGK+/oshenEoRjiQZqka7UOlY1eYzj0BEn7xR6j5Jk77Tt8ZrgvtV5ls20x4bT&#10;Qo0dvdVUnfc/3sD30X8t8uLdu8IdZCe0bfJiZszTaHhdghIa5D98b39aA3k2n8LtTXoCe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soVcUAAADdAAAADwAAAAAAAAAA&#10;AAAAAAChAgAAZHJzL2Rvd25yZXYueG1sUEsFBgAAAAAEAAQA+QAAAJMDAAAAAA==&#10;">
                              <v:stroke endarrow="block"/>
                            </v:shape>
                          </v:group>
                          <v:shape id="Text Box 14" o:spid="_x0000_s1072" type="#_x0000_t202" style="position:absolute;left:3173;top:2706;width:451;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22cMA&#10;AADdAAAADwAAAGRycy9kb3ducmV2LnhtbESP0YrCMBRE34X9h3AX9k1TFatUoywF0SdhtR9waa5N&#10;sbnpNtHWv98Iwj4OM3OG2ewG24gHdb52rGA6SUAQl07XXCkoLvvxCoQPyBobx6TgSR5224/RBjPt&#10;ev6hxzlUIkLYZ6jAhNBmUvrSkEU/cS1x9K6usxii7CqpO+wj3DZyliSptFhzXDDYUm6ovJ3vVsHp&#10;KU0/t4uizPP0lM5/93g7NEp9fQ7faxCBhvAffrePWsEsWabweh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n22cMAAADdAAAADwAAAAAAAAAAAAAAAACYAgAAZHJzL2Rv&#10;d25yZXYueG1sUEsFBgAAAAAEAAQA9QAAAIgDAAAAAA==&#10;" filled="f" stroked="f">
                            <v:textbox style="layout-flow:vertical;mso-layout-flow-alt:bottom-to-top" inset="0,0,0,0">
                              <w:txbxContent>
                                <w:p w:rsidR="00084DF3" w:rsidRPr="009E0A64" w:rsidRDefault="00084DF3" w:rsidP="000C20A4">
                                  <w:pPr>
                                    <w:jc w:val="right"/>
                                    <w:rPr>
                                      <w:b/>
                                      <w:sz w:val="20"/>
                                      <w:szCs w:val="20"/>
                                    </w:rPr>
                                  </w:pPr>
                                  <w:r>
                                    <w:rPr>
                                      <w:b/>
                                      <w:sz w:val="20"/>
                                      <w:szCs w:val="20"/>
                                    </w:rPr>
                                    <w:t>Rezultatīvais rādītājs</w:t>
                                  </w:r>
                                </w:p>
                              </w:txbxContent>
                            </v:textbox>
                          </v:shape>
                        </v:group>
                      </v:group>
                      <v:oval id="Text Box 2077" o:spid="_x0000_s1073" style="position:absolute;left:19723;top:13716;width:2249;height: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EIcIA&#10;AADdAAAADwAAAGRycy9kb3ducmV2LnhtbESPT4vCMBTE7wt+h/CEva2pgtulaxQRBMGTf8Dro3k2&#10;tc1LTaLWb79ZEDwOM/MbZrbobSvu5EPtWMF4lIEgLp2uuVJwPKy/fkCEiKyxdUwKnhRgMR98zLDQ&#10;7sE7uu9jJRKEQ4EKTIxdIWUoDVkMI9cRJ+/svMWYpK+k9vhIcNvKSZZ9S4s1pwWDHa0Mlc3+ZhVc&#10;n9PT2Wwb6xsK9rLLQ0WnUqnPYb/8BRGpj+/wq73RCiZZnsP/m/Q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sQhwgAAAN0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Pr>
                                  <w:b/>
                                  <w:sz w:val="16"/>
                                  <w:szCs w:val="16"/>
                                </w:rPr>
                                <w:t>’04</w:t>
                              </w:r>
                            </w:p>
                            <w:p w:rsidR="00084DF3" w:rsidRPr="009E0A64" w:rsidRDefault="00084DF3" w:rsidP="000C20A4">
                              <w:pPr>
                                <w:jc w:val="center"/>
                                <w:rPr>
                                  <w:b/>
                                  <w:sz w:val="16"/>
                                  <w:szCs w:val="16"/>
                                </w:rPr>
                              </w:pPr>
                            </w:p>
                          </w:txbxContent>
                        </v:textbox>
                      </v:oval>
                      <v:oval id="Text Box 2078" o:spid="_x0000_s1074" style="position:absolute;left:17411;top:14671;width:2249;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QU8AA&#10;AADdAAAADwAAAGRycy9kb3ducmV2LnhtbERPy4rCMBTdC/MP4Q6401TBBx3TIoIwMCudAbeX5tp0&#10;2tzUJGr9e7MQXB7Oe1MOthM38qFxrGA2zUAQV043XCv4+91P1iBCRNbYOSYFDwpQFh+jDeba3flA&#10;t2OsRQrhkKMCE2OfSxkqQxbD1PXEiTs7bzEm6GupPd5TuO3kPMuW0mLDqcFgTztDVXu8WgWXx+J0&#10;Nj+t9S0F+39YhZpOlVLjz2H7BSLSEN/il/tbK5hnqzQ3vUlP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FQU8AAAADdAAAADwAAAAAAAAAAAAAAAACYAgAAZHJzL2Rvd25y&#10;ZXYueG1sUEsFBgAAAAAEAAQA9QAAAIUDAAAAAA==&#10;" fillcolor="white [3201]" strokeweight=".5pt">
                        <v:textbox inset="0,0,0,0">
                          <w:txbxContent>
                            <w:p w:rsidR="00084DF3" w:rsidRPr="009E0A64" w:rsidRDefault="00084DF3" w:rsidP="000C20A4">
                              <w:pPr>
                                <w:jc w:val="center"/>
                                <w:rPr>
                                  <w:b/>
                                  <w:sz w:val="16"/>
                                  <w:szCs w:val="16"/>
                                </w:rPr>
                              </w:pPr>
                              <w:r>
                                <w:rPr>
                                  <w:b/>
                                  <w:sz w:val="16"/>
                                  <w:szCs w:val="16"/>
                                </w:rPr>
                                <w:t>’03</w:t>
                              </w:r>
                            </w:p>
                            <w:p w:rsidR="00084DF3" w:rsidRPr="009E0A64" w:rsidRDefault="00084DF3" w:rsidP="000C20A4">
                              <w:pPr>
                                <w:jc w:val="center"/>
                                <w:rPr>
                                  <w:b/>
                                  <w:sz w:val="16"/>
                                  <w:szCs w:val="16"/>
                                </w:rPr>
                              </w:pPr>
                            </w:p>
                          </w:txbxContent>
                        </v:textbox>
                      </v:oval>
                      <v:oval id="Text Box 2079" o:spid="_x0000_s1075" style="position:absolute;left:21326;top:12158;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1yMIA&#10;AADdAAAADwAAAGRycy9kb3ducmV2LnhtbESPQYvCMBSE78L+h/AEb5oqrO5Wo4ggLHjSFbw+mmdT&#10;27x0k6j13xtB2OMwM98wi1VnG3EjHyrHCsajDARx4XTFpYLj73b4BSJEZI2NY1LwoACr5Udvgbl2&#10;d97T7RBLkSAcclRgYmxzKUNhyGIYuZY4eWfnLcYkfSm1x3uC20ZOsmwqLVacFgy2tDFU1IerVfD3&#10;+Dydza62vqZgL/tZKOlUKDXod+s5iEhd/A+/2z9awSSbfcPrTX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3fXIwgAAAN0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Pr>
                                  <w:b/>
                                  <w:sz w:val="16"/>
                                  <w:szCs w:val="16"/>
                                </w:rPr>
                                <w:t>’06</w:t>
                              </w:r>
                            </w:p>
                            <w:p w:rsidR="00084DF3" w:rsidRPr="009E0A64" w:rsidRDefault="00084DF3" w:rsidP="000C20A4">
                              <w:pPr>
                                <w:jc w:val="center"/>
                                <w:rPr>
                                  <w:b/>
                                  <w:sz w:val="16"/>
                                  <w:szCs w:val="16"/>
                                </w:rPr>
                              </w:pPr>
                            </w:p>
                          </w:txbxContent>
                        </v:textbox>
                      </v:oval>
                      <v:oval id="Text Box 206" o:spid="_x0000_s1076" style="position:absolute;left:14466;top:16582;width:2250;height: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I8cIA&#10;AADcAAAADwAAAGRycy9kb3ducmV2LnhtbESPT4vCMBTE78J+h/AW9qbpCqtSjSKCIOzJP9Dro3k2&#10;tc1LN4lav/1GEDwOM/MbZrHqbStu5EPtWMH3KANBXDpdc6XgdNwOZyBCRNbYOiYFDwqwWn4MFphr&#10;d+c93Q6xEgnCIUcFJsYulzKUhiyGkeuIk3d23mJM0ldSe7wnuG3lOMsm0mLNacFgRxtDZXO4WgV/&#10;j5/ibH4b6xsK9rKfhoqKUqmvz349BxGpj+/wq73TCsbZBJ5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AjxwgAAANw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Pr>
                                  <w:b/>
                                  <w:sz w:val="16"/>
                                  <w:szCs w:val="16"/>
                                </w:rPr>
                                <w:t>’00</w:t>
                              </w:r>
                            </w:p>
                          </w:txbxContent>
                        </v:textbox>
                      </v:oval>
                      <v:oval id="Text Box 208" o:spid="_x0000_s1077" style="position:absolute;left:20450;top:15640;width:2249;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5GL4A&#10;AADcAAAADwAAAGRycy9kb3ducmV2LnhtbERPy4rCMBTdD/gP4QruNFVQh45RRBAEVz7A7aW5NrXN&#10;TU2i1r83C2GWh/NerDrbiCf5UDlWMB5lIIgLpysuFZxP2+EviBCRNTaOScGbAqyWvZ8F5tq9+EDP&#10;YyxFCuGQowITY5tLGQpDFsPItcSJuzpvMSboS6k9vlK4beQky2bSYsWpwWBLG0NFfXxYBff39HI1&#10;+9r6moK9HeahpEuh1KDfrf9AROriv/jr3mkFkyytTWfS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rORi+AAAA3AAAAA8AAAAAAAAAAAAAAAAAmAIAAGRycy9kb3ducmV2&#10;LnhtbFBLBQYAAAAABAAEAPUAAACDAwAAAAA=&#10;" fillcolor="white [3201]" strokeweight=".5pt">
                        <v:textbox inset="0,0,0,0">
                          <w:txbxContent>
                            <w:p w:rsidR="00084DF3" w:rsidRPr="009E0A64" w:rsidRDefault="00084DF3" w:rsidP="000C20A4">
                              <w:pPr>
                                <w:jc w:val="center"/>
                                <w:rPr>
                                  <w:b/>
                                  <w:sz w:val="16"/>
                                  <w:szCs w:val="16"/>
                                </w:rPr>
                              </w:pPr>
                              <w:r>
                                <w:rPr>
                                  <w:b/>
                                  <w:sz w:val="16"/>
                                  <w:szCs w:val="16"/>
                                </w:rPr>
                                <w:t>’05</w:t>
                              </w:r>
                            </w:p>
                          </w:txbxContent>
                        </v:textbox>
                      </v:oval>
                      <v:oval id="Text Box 209" o:spid="_x0000_s1078" style="position:absolute;left:21972;top:14330;width:2250;height: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g8MA&#10;AADcAAAADwAAAGRycy9kb3ducmV2LnhtbESPS2vDMBCE74X8B7GB3ho5hj7iRAmhUCjklLSQ62Jt&#10;LMfWypFUP/59VCj0OMzMN8xmN9pW9ORD7VjBcpGBIC6drrlS8P318fQGIkRkja1jUjBRgN129rDB&#10;QruBj9SfYiUShEOBCkyMXSFlKA1ZDAvXESfv4rzFmKSvpPY4JLhtZZ5lL9JizWnBYEfvhsrm9GMV&#10;3Kbn88UcGusbCvZ6fA0VnUulHufjfg0i0hj/w3/tT60gz1bweyYd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g8MAAADcAAAADwAAAAAAAAAAAAAAAACYAgAAZHJzL2Rv&#10;d25yZXYueG1sUEsFBgAAAAAEAAQA9QAAAIgDAAAAAA==&#10;" fillcolor="white [3201]" strokeweight=".5pt">
                        <v:textbox inset="0,0,0,0">
                          <w:txbxContent>
                            <w:p w:rsidR="00084DF3" w:rsidRPr="009E0A64" w:rsidRDefault="00084DF3" w:rsidP="000C20A4">
                              <w:pPr>
                                <w:jc w:val="center"/>
                                <w:rPr>
                                  <w:b/>
                                  <w:sz w:val="16"/>
                                  <w:szCs w:val="16"/>
                                </w:rPr>
                              </w:pPr>
                              <w:r>
                                <w:rPr>
                                  <w:b/>
                                  <w:sz w:val="16"/>
                                  <w:szCs w:val="16"/>
                                </w:rPr>
                                <w:t>’07</w:t>
                              </w:r>
                            </w:p>
                            <w:p w:rsidR="00084DF3" w:rsidRPr="009E0A64" w:rsidRDefault="00084DF3" w:rsidP="000C20A4">
                              <w:pPr>
                                <w:jc w:val="center"/>
                                <w:rPr>
                                  <w:b/>
                                  <w:sz w:val="16"/>
                                  <w:szCs w:val="16"/>
                                </w:rPr>
                              </w:pPr>
                            </w:p>
                          </w:txbxContent>
                        </v:textbox>
                      </v:oval>
                      <v:oval id="Text Box 210" o:spid="_x0000_s1079" style="position:absolute;left:23531;top:10248;width:2250;height: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jw78A&#10;AADcAAAADwAAAGRycy9kb3ducmV2LnhtbERPTYvCMBC9C/sfwgjeNFVYla5pEUEQ9qS74HVoxqbb&#10;ZtJNotZ/bw6Cx8f73pSD7cSNfGgcK5jPMhDEldMN1wp+f/bTNYgQkTV2jknBgwKUxcdog7l2dz7S&#10;7RRrkUI45KjAxNjnUobKkMUwcz1x4i7OW4wJ+lpqj/cUbju5yLKltNhwajDY085Q1Z6uVsH/4/N8&#10;Md+t9S0F+3dchZrOlVKT8bD9AhFpiG/xy33QChbzND+dSUdAF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xKPDvwAAANwAAAAPAAAAAAAAAAAAAAAAAJgCAABkcnMvZG93bnJl&#10;di54bWxQSwUGAAAAAAQABAD1AAAAhAMAAAAA&#10;" fillcolor="white [3201]" strokeweight=".5pt">
                        <v:textbox inset="0,0,0,0">
                          <w:txbxContent>
                            <w:p w:rsidR="00084DF3" w:rsidRPr="009E0A64" w:rsidRDefault="00084DF3" w:rsidP="000C20A4">
                              <w:pPr>
                                <w:jc w:val="center"/>
                                <w:rPr>
                                  <w:b/>
                                  <w:sz w:val="16"/>
                                  <w:szCs w:val="16"/>
                                </w:rPr>
                              </w:pPr>
                              <w:r>
                                <w:rPr>
                                  <w:b/>
                                  <w:sz w:val="16"/>
                                  <w:szCs w:val="16"/>
                                </w:rPr>
                                <w:t>’10</w:t>
                              </w:r>
                            </w:p>
                            <w:p w:rsidR="00084DF3" w:rsidRPr="009E0A64" w:rsidRDefault="00084DF3" w:rsidP="000C20A4">
                              <w:pPr>
                                <w:jc w:val="center"/>
                                <w:rPr>
                                  <w:b/>
                                  <w:sz w:val="16"/>
                                  <w:szCs w:val="16"/>
                                </w:rPr>
                              </w:pPr>
                            </w:p>
                          </w:txbxContent>
                        </v:textbox>
                      </v:oval>
                      <v:oval id="Text Box 211" o:spid="_x0000_s1080" style="position:absolute;left:24342;top:12692;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GWMIA&#10;AADcAAAADwAAAGRycy9kb3ducmV2LnhtbESPS2vDMBCE74X8B7GB3hrZhj5wo4QSKARyygNyXayN&#10;5dpaOZLqx7+vCoUeh5n5hllvJ9uJgXxoHCvIVxkI4srphmsFl/Pn0xuIEJE1do5JwUwBtpvFwxpL&#10;7UY+0nCKtUgQDiUqMDH2pZShMmQxrFxPnLyb8xZjkr6W2uOY4LaTRZa9SIsNpwWDPe0MVe3p2yq4&#10;z8/Xmzm01rcU7NfxNdR0rZR6XE4f7yAiTfE//NfeawVFnsP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AZYwgAAANw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Pr>
                                  <w:b/>
                                  <w:sz w:val="16"/>
                                  <w:szCs w:val="16"/>
                                </w:rPr>
                                <w:t>’09</w:t>
                              </w:r>
                            </w:p>
                            <w:p w:rsidR="00084DF3" w:rsidRPr="009E0A64" w:rsidRDefault="00084DF3" w:rsidP="000C20A4">
                              <w:pPr>
                                <w:jc w:val="center"/>
                                <w:rPr>
                                  <w:b/>
                                  <w:sz w:val="16"/>
                                  <w:szCs w:val="16"/>
                                </w:rPr>
                              </w:pPr>
                            </w:p>
                          </w:txbxContent>
                        </v:textbox>
                      </v:oval>
                      <v:oval id="Text Box 212" o:spid="_x0000_s1081" style="position:absolute;left:23109;top:15626;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YL8IA&#10;AADcAAAADwAAAGRycy9kb3ducmV2LnhtbESPT4vCMBTE78J+h/AWvGlqwT9Uo8iCsLAn3QWvj+bZ&#10;1DYv3SRq/fZGEDwOM/MbZrXpbSuu5EPtWMFknIEgLp2uuVLw97sbLUCEiKyxdUwK7hRgs/4YrLDQ&#10;7sZ7uh5iJRKEQ4EKTIxdIWUoDVkMY9cRJ+/kvMWYpK+k9nhLcNvKPMtm0mLNacFgR1+GyuZwsQr+&#10;79Pjyfw01jcU7Hk/DxUdS6WGn/12CSJSH9/hV/tbK8gnOTzP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pgvwgAAANw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Pr>
                                  <w:b/>
                                  <w:sz w:val="16"/>
                                  <w:szCs w:val="16"/>
                                </w:rPr>
                                <w:t>’08</w:t>
                              </w:r>
                            </w:p>
                            <w:p w:rsidR="00084DF3" w:rsidRPr="009E0A64" w:rsidRDefault="00084DF3" w:rsidP="000C20A4">
                              <w:pPr>
                                <w:jc w:val="center"/>
                                <w:rPr>
                                  <w:b/>
                                  <w:sz w:val="16"/>
                                  <w:szCs w:val="16"/>
                                </w:rPr>
                              </w:pPr>
                            </w:p>
                          </w:txbxContent>
                        </v:textbox>
                      </v:oval>
                      <v:oval id="Text Box 213" o:spid="_x0000_s1082" style="position:absolute;left:15050;top:14671;width:2249;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9tMIA&#10;AADcAAAADwAAAGRycy9kb3ducmV2LnhtbESPT4vCMBTE74LfITzBm6Yquks1yiIsLOzJP+D10Tyb&#10;2ualm0St334jCB6HmfkNs9p0thE38qFyrGAyzkAQF05XXCo4Hr5HnyBCRNbYOCYFDwqwWfd7K8y1&#10;u/OObvtYigThkKMCE2ObSxkKQxbD2LXEyTs7bzEm6UupPd4T3DZymmULabHitGCwpa2hot5frYK/&#10;x/x0Nr+19TUFe9l9hJJOhVLDQfe1BBGpi+/wq/2jFUwnM3ie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j20wgAAANw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Pr>
                                  <w:b/>
                                  <w:sz w:val="16"/>
                                  <w:szCs w:val="16"/>
                                </w:rPr>
                                <w:t>’01</w:t>
                              </w:r>
                            </w:p>
                            <w:p w:rsidR="00084DF3" w:rsidRPr="009E0A64" w:rsidRDefault="00084DF3" w:rsidP="000C20A4">
                              <w:pPr>
                                <w:jc w:val="center"/>
                                <w:rPr>
                                  <w:b/>
                                  <w:sz w:val="16"/>
                                  <w:szCs w:val="16"/>
                                </w:rPr>
                              </w:pPr>
                            </w:p>
                          </w:txbxContent>
                        </v:textbox>
                      </v:oval>
                      <v:oval id="Text Box 214" o:spid="_x0000_s1083" style="position:absolute;left:17095;top:16073;width:225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wMIA&#10;AADcAAAADwAAAGRycy9kb3ducmV2LnhtbESPT4vCMBTE74LfITzBm6aKuks1yiIsLOzJP+D10Tyb&#10;2ualm0St334jCB6HmfkNs9p0thE38qFyrGAyzkAQF05XXCo4Hr5HnyBCRNbYOCYFDwqwWfd7K8y1&#10;u/OObvtYigThkKMCE2ObSxkKQxbD2LXEyTs7bzEm6UupPd4T3DZymmULabHitGCwpa2hot5frYK/&#10;x/x0Nr+19TUFe9l9hJJOhVLDQfe1BBGpi+/wq/2jFUwnM3ie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6XAwgAAANw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Pr>
                                  <w:b/>
                                  <w:sz w:val="16"/>
                                  <w:szCs w:val="16"/>
                                </w:rPr>
                                <w:t>’02</w:t>
                              </w:r>
                            </w:p>
                            <w:p w:rsidR="00084DF3" w:rsidRPr="009E0A64" w:rsidRDefault="00084DF3" w:rsidP="000C20A4">
                              <w:pPr>
                                <w:jc w:val="center"/>
                                <w:rPr>
                                  <w:b/>
                                  <w:sz w:val="16"/>
                                  <w:szCs w:val="16"/>
                                </w:rPr>
                              </w:pPr>
                            </w:p>
                          </w:txbxContent>
                        </v:textbox>
                      </v:oval>
                    </v:group>
                    <v:group id="Group 215" o:spid="_x0000_s1084" style="position:absolute;left:23267;top:63;width:15091;height:4406" coordorigin="-1,-414" coordsize="1509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oval id="Text Box 216" o:spid="_x0000_s1085" style="position:absolute;left:887;top:818;width:2249;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eLMIA&#10;AADcAAAADwAAAGRycy9kb3ducmV2LnhtbESPT4vCMBTE74LfITxhb5oqrErXKCIIC3vyD/T6aJ5N&#10;t81LTbJav/1GEDwOM/MbZrXpbStu5EPtWMF0koEgLp2uuVJwPu3HSxAhImtsHZOCBwXYrIeDFeba&#10;3flAt2OsRIJwyFGBibHLpQylIYth4jri5F2ctxiT9JXUHu8Jbls5y7K5tFhzWjDY0c5Q2Rz/rILr&#10;47O4mJ/G+oaC/T0sQkVFqdTHqN9+gYjUx3f41f7WCmbTOT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Z4swgAAANwAAAAPAAAAAAAAAAAAAAAAAJgCAABkcnMvZG93&#10;bnJldi54bWxQSwUGAAAAAAQABAD1AAAAhwMAAAAA&#10;" fillcolor="white [3201]" strokeweight=".5pt">
                        <v:textbox inset="0,0,0,0">
                          <w:txbxContent>
                            <w:p w:rsidR="00084DF3" w:rsidRPr="009E0A64" w:rsidRDefault="00084DF3" w:rsidP="000C20A4">
                              <w:pPr>
                                <w:jc w:val="center"/>
                                <w:rPr>
                                  <w:b/>
                                  <w:sz w:val="16"/>
                                  <w:szCs w:val="16"/>
                                </w:rPr>
                              </w:pPr>
                              <w:r>
                                <w:rPr>
                                  <w:b/>
                                  <w:sz w:val="16"/>
                                  <w:szCs w:val="16"/>
                                </w:rPr>
                                <w:t>’xx</w:t>
                              </w:r>
                            </w:p>
                            <w:p w:rsidR="00084DF3" w:rsidRPr="009E0A64" w:rsidRDefault="00084DF3" w:rsidP="000C20A4">
                              <w:pPr>
                                <w:jc w:val="center"/>
                                <w:rPr>
                                  <w:b/>
                                  <w:sz w:val="16"/>
                                  <w:szCs w:val="16"/>
                                </w:rPr>
                              </w:pPr>
                            </w:p>
                          </w:txbxContent>
                        </v:textbox>
                      </v:oval>
                      <v:shape id="Text Box 217" o:spid="_x0000_s1086" type="#_x0000_t202" style="position:absolute;left:-1;top:-414;width:15090;height:4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bhMcA&#10;AADcAAAADwAAAGRycy9kb3ducmV2LnhtbESPQWvCQBSE7wX/w/KE3uomVqxENxKLVg9etCp4e82+&#10;JqHZt2l2q/Hfd4VCj8PMfMPM5p2pxYVaV1lWEA8iEMS51RUXCg7vq6cJCOeRNdaWScGNHMzT3sMM&#10;E22vvKPL3hciQNglqKD0vkmkdHlJBt3ANsTB+7StQR9kW0jd4jXATS2HUTSWBisOCyU29FpS/rX/&#10;MQp2H4tVds6Pb+vv0TIbj5bdafu8UOqx32VTEJ46/x/+a2+0gmH8Avc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5G4THAAAA3AAAAA8AAAAAAAAAAAAAAAAAmAIAAGRy&#10;cy9kb3ducmV2LnhtbFBLBQYAAAAABAAEAPUAAACMAwAAAAA=&#10;" filled="f" strokeweight=".5pt">
                        <v:textbox inset="0,0,0,0">
                          <w:txbxContent>
                            <w:p w:rsidR="00084DF3" w:rsidRDefault="00084DF3" w:rsidP="000C20A4">
                              <w:pPr>
                                <w:ind w:firstLine="720"/>
                                <w:rPr>
                                  <w:b/>
                                  <w:sz w:val="16"/>
                                  <w:szCs w:val="16"/>
                                </w:rPr>
                              </w:pPr>
                            </w:p>
                            <w:p w:rsidR="00084DF3" w:rsidRPr="009E0A64" w:rsidRDefault="00084DF3" w:rsidP="000C20A4">
                              <w:pPr>
                                <w:rPr>
                                  <w:b/>
                                  <w:sz w:val="16"/>
                                  <w:szCs w:val="16"/>
                                </w:rPr>
                              </w:pPr>
                              <w:r>
                                <w:rPr>
                                  <w:b/>
                                  <w:sz w:val="16"/>
                                  <w:szCs w:val="16"/>
                                </w:rPr>
                                <w:t xml:space="preserve">               Attiecīgais gads Latvijā</w:t>
                              </w:r>
                            </w:p>
                            <w:p w:rsidR="00084DF3" w:rsidRPr="009E0A64" w:rsidRDefault="00084DF3" w:rsidP="000C20A4">
                              <w:pPr>
                                <w:jc w:val="center"/>
                                <w:rPr>
                                  <w:b/>
                                  <w:sz w:val="16"/>
                                  <w:szCs w:val="16"/>
                                </w:rPr>
                              </w:pPr>
                            </w:p>
                          </w:txbxContent>
                        </v:textbox>
                      </v:shape>
                    </v:group>
                  </v:group>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0" o:spid="_x0000_s1087" type="#_x0000_t38" style="position:absolute;left:9093;top:7787;width:25568;height:6582;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y7bMIAAADbAAAADwAAAGRycy9kb3ducmV2LnhtbERPz2vCMBS+C/sfwhvsIpraiUhnWnQg&#10;bOy0qgdvj+bZlDUvJclq998vh8GOH9/vXTXZXozkQ+dYwWqZgSBunO64VXA+HRdbECEia+wdk4If&#10;ClCVD7MdFtrd+ZPGOrYihXAoUIGJcSikDI0hi2HpBuLE3Zy3GBP0rdQe7ync9jLPso202HFqMDjQ&#10;q6Hmq/62Cj7m69Vh48fc+D7v3m/rS321R6WeHqf9C4hIU/wX/7nftILntD59ST9Al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y7bMIAAADbAAAADwAAAAAAAAAAAAAA&#10;AAChAgAAZHJzL2Rvd25yZXYueG1sUEsFBgAAAAAEAAQA+QAAAJADAAAAAA==&#10;" adj="8595" strokecolor="#c00000" strokeweight=".5pt">
                  <v:stroke dashstyle="3 1" endarrow="block" joinstyle="miter"/>
                </v:shape>
              </v:group>
            </w:pict>
          </mc:Fallback>
        </mc:AlternateContent>
      </w:r>
    </w:p>
    <w:p w:rsidR="000C20A4" w:rsidRDefault="000C20A4" w:rsidP="000C20A4">
      <w:pPr>
        <w:ind w:firstLine="709"/>
        <w:jc w:val="both"/>
      </w:pPr>
    </w:p>
    <w:p w:rsidR="000C20A4" w:rsidRDefault="000C20A4" w:rsidP="000C20A4">
      <w:pPr>
        <w:jc w:val="both"/>
        <w:rPr>
          <w:noProof/>
          <w:lang w:eastAsia="en-GB"/>
        </w:rPr>
      </w:pPr>
    </w:p>
    <w:p w:rsidR="000C20A4" w:rsidRDefault="000C20A4" w:rsidP="000C20A4">
      <w:pPr>
        <w:jc w:val="both"/>
        <w:rPr>
          <w:noProof/>
          <w:lang w:eastAsia="en-GB"/>
        </w:rPr>
      </w:pPr>
    </w:p>
    <w:p w:rsidR="000C20A4" w:rsidRDefault="000C20A4" w:rsidP="000C20A4">
      <w:pPr>
        <w:jc w:val="both"/>
        <w:rPr>
          <w:noProof/>
          <w:lang w:eastAsia="en-GB"/>
        </w:rPr>
      </w:pPr>
    </w:p>
    <w:p w:rsidR="000C20A4" w:rsidRPr="0091682D" w:rsidRDefault="000C20A4" w:rsidP="000C20A4">
      <w:pPr>
        <w:jc w:val="both"/>
        <w:rPr>
          <w:noProof/>
          <w:lang w:eastAsia="en-GB"/>
        </w:rPr>
      </w:pPr>
    </w:p>
    <w:p w:rsidR="000C20A4" w:rsidRPr="0091682D" w:rsidRDefault="000C20A4" w:rsidP="000C20A4">
      <w:pPr>
        <w:jc w:val="both"/>
        <w:rPr>
          <w:noProof/>
          <w:lang w:eastAsia="en-GB"/>
        </w:rPr>
      </w:pPr>
    </w:p>
    <w:p w:rsidR="000C20A4" w:rsidRPr="0091682D" w:rsidRDefault="000C20A4" w:rsidP="000C20A4">
      <w:pPr>
        <w:jc w:val="both"/>
        <w:rPr>
          <w:noProof/>
          <w:lang w:eastAsia="en-GB"/>
        </w:rPr>
      </w:pPr>
    </w:p>
    <w:p w:rsidR="000C20A4" w:rsidRPr="0091682D" w:rsidRDefault="000C20A4" w:rsidP="000C20A4">
      <w:pPr>
        <w:jc w:val="center"/>
        <w:rPr>
          <w:noProof/>
          <w:lang w:eastAsia="en-GB"/>
        </w:rPr>
      </w:pPr>
    </w:p>
    <w:p w:rsidR="000C20A4" w:rsidRPr="0091682D" w:rsidRDefault="000C20A4" w:rsidP="000C20A4">
      <w:pPr>
        <w:jc w:val="both"/>
        <w:rPr>
          <w:noProof/>
          <w:lang w:eastAsia="en-GB"/>
        </w:rPr>
      </w:pPr>
    </w:p>
    <w:p w:rsidR="000C20A4" w:rsidRPr="0091682D" w:rsidRDefault="000C20A4" w:rsidP="000C20A4">
      <w:pPr>
        <w:jc w:val="both"/>
        <w:rPr>
          <w:noProof/>
          <w:lang w:eastAsia="en-GB"/>
        </w:rPr>
      </w:pPr>
    </w:p>
    <w:p w:rsidR="000C20A4" w:rsidRPr="0091682D" w:rsidRDefault="000C20A4" w:rsidP="000C20A4">
      <w:pPr>
        <w:jc w:val="both"/>
        <w:rPr>
          <w:noProof/>
          <w:lang w:eastAsia="en-GB"/>
        </w:rPr>
      </w:pPr>
    </w:p>
    <w:p w:rsidR="000C20A4" w:rsidRPr="00A34D4B" w:rsidRDefault="000C20A4" w:rsidP="000C20A4">
      <w:pPr>
        <w:rPr>
          <w:i/>
          <w:sz w:val="16"/>
          <w:szCs w:val="16"/>
        </w:rPr>
      </w:pPr>
    </w:p>
    <w:p w:rsidR="000C20A4" w:rsidRDefault="000C20A4" w:rsidP="000C20A4">
      <w:pPr>
        <w:rPr>
          <w:i/>
          <w:sz w:val="22"/>
        </w:rPr>
      </w:pPr>
    </w:p>
    <w:p w:rsidR="000C20A4" w:rsidRDefault="000C20A4" w:rsidP="000C20A4">
      <w:pPr>
        <w:jc w:val="center"/>
        <w:rPr>
          <w:i/>
          <w:sz w:val="22"/>
        </w:rPr>
      </w:pPr>
    </w:p>
    <w:p w:rsidR="000C20A4" w:rsidRDefault="000C20A4" w:rsidP="000C20A4">
      <w:pPr>
        <w:jc w:val="center"/>
        <w:rPr>
          <w:i/>
          <w:sz w:val="22"/>
        </w:rPr>
      </w:pPr>
    </w:p>
    <w:p w:rsidR="00661E39" w:rsidRDefault="00661E39" w:rsidP="000C20A4">
      <w:pPr>
        <w:jc w:val="center"/>
        <w:rPr>
          <w:i/>
          <w:sz w:val="22"/>
        </w:rPr>
      </w:pPr>
    </w:p>
    <w:p w:rsidR="000C20A4" w:rsidRDefault="000C20A4" w:rsidP="000C20A4">
      <w:pPr>
        <w:jc w:val="center"/>
        <w:rPr>
          <w:b/>
          <w:sz w:val="22"/>
        </w:rPr>
      </w:pPr>
      <w:r w:rsidRPr="00E51230">
        <w:rPr>
          <w:i/>
          <w:sz w:val="22"/>
        </w:rPr>
        <w:t>1</w:t>
      </w:r>
      <w:r>
        <w:rPr>
          <w:i/>
          <w:sz w:val="22"/>
        </w:rPr>
        <w:t>0</w:t>
      </w:r>
      <w:r w:rsidRPr="00E51230">
        <w:rPr>
          <w:i/>
          <w:sz w:val="22"/>
        </w:rPr>
        <w:t xml:space="preserve">.att. </w:t>
      </w:r>
      <w:r w:rsidRPr="00E51230">
        <w:rPr>
          <w:b/>
          <w:sz w:val="22"/>
        </w:rPr>
        <w:t>Publisko izdevumu un sasniegto rezultātu savstarpējās mijiedarbības analī</w:t>
      </w:r>
      <w:r>
        <w:rPr>
          <w:b/>
          <w:sz w:val="22"/>
        </w:rPr>
        <w:t>ze, izvērtējot izmaiņas dinamikā</w:t>
      </w:r>
    </w:p>
    <w:p w:rsidR="00661E39" w:rsidRDefault="00661E39" w:rsidP="000C20A4">
      <w:pPr>
        <w:jc w:val="center"/>
        <w:rPr>
          <w:b/>
          <w:sz w:val="22"/>
        </w:rPr>
      </w:pPr>
    </w:p>
    <w:p w:rsidR="000C20A4" w:rsidRPr="00997AD6" w:rsidRDefault="000C20A4" w:rsidP="000C20A4">
      <w:pPr>
        <w:ind w:firstLine="709"/>
        <w:jc w:val="both"/>
      </w:pPr>
      <w:r>
        <w:t>10.attēlā atainota p</w:t>
      </w:r>
      <w:r w:rsidRPr="00591BA0">
        <w:t>ublisko izdevumu un sasniegto rezultātu savstarpējās mijiedarbības analīze, izvērtējot izmaiņas din</w:t>
      </w:r>
      <w:r>
        <w:t xml:space="preserve">amikā un pielietojot nacionāli </w:t>
      </w:r>
      <w:r w:rsidRPr="00591BA0">
        <w:t>vai starptautiski atzītus nozaru rezultatīvos rādītājus</w:t>
      </w:r>
      <w:r>
        <w:t>.</w:t>
      </w:r>
    </w:p>
    <w:p w:rsidR="000C20A4" w:rsidRPr="008052E5" w:rsidRDefault="000C20A4" w:rsidP="000C20A4">
      <w:pPr>
        <w:ind w:firstLine="709"/>
        <w:jc w:val="both"/>
        <w:rPr>
          <w:rFonts w:cs="Times New Roman"/>
          <w:szCs w:val="24"/>
        </w:rPr>
      </w:pPr>
      <w:r w:rsidRPr="00ED2971">
        <w:rPr>
          <w:szCs w:val="24"/>
        </w:rPr>
        <w:t xml:space="preserve">Balstoties uz dimensijām plaknē, kurā uz vienas ass tiek atspoguļots sasniegtais </w:t>
      </w:r>
      <w:r>
        <w:rPr>
          <w:szCs w:val="24"/>
        </w:rPr>
        <w:t>rezultatīvais rādītājs</w:t>
      </w:r>
      <w:r w:rsidRPr="00ED2971">
        <w:rPr>
          <w:szCs w:val="24"/>
        </w:rPr>
        <w:t xml:space="preserve"> un uz otras ass tiek atzīmēti kopējie izdevumi</w:t>
      </w:r>
      <w:r>
        <w:rPr>
          <w:szCs w:val="24"/>
        </w:rPr>
        <w:t xml:space="preserve"> vai cita veida ieguldījumi</w:t>
      </w:r>
      <w:r w:rsidRPr="00ED2971">
        <w:rPr>
          <w:szCs w:val="24"/>
        </w:rPr>
        <w:t>, izdevumu kopējā efektivitāte</w:t>
      </w:r>
      <w:r>
        <w:rPr>
          <w:szCs w:val="24"/>
        </w:rPr>
        <w:t xml:space="preserve"> tiek noteikta konkrētajam gadam, t.i., ir gadi ar augstu rezultātu un augstiem izdevumiem</w:t>
      </w:r>
      <w:r w:rsidRPr="00ED2971">
        <w:rPr>
          <w:szCs w:val="24"/>
        </w:rPr>
        <w:t>, ar augstu rezultātu un zem</w:t>
      </w:r>
      <w:r>
        <w:rPr>
          <w:szCs w:val="24"/>
        </w:rPr>
        <w:t>iem</w:t>
      </w:r>
      <w:r w:rsidRPr="00ED2971">
        <w:rPr>
          <w:szCs w:val="24"/>
        </w:rPr>
        <w:t xml:space="preserve"> </w:t>
      </w:r>
      <w:r>
        <w:rPr>
          <w:szCs w:val="24"/>
        </w:rPr>
        <w:t>ieguldījumiem</w:t>
      </w:r>
      <w:r w:rsidRPr="00ED2971">
        <w:rPr>
          <w:szCs w:val="24"/>
        </w:rPr>
        <w:t xml:space="preserve">, ar zemu rezultātu un </w:t>
      </w:r>
      <w:r>
        <w:rPr>
          <w:szCs w:val="24"/>
        </w:rPr>
        <w:t>augstiem ieguldījumiem</w:t>
      </w:r>
      <w:r w:rsidRPr="00ED2971">
        <w:rPr>
          <w:szCs w:val="24"/>
        </w:rPr>
        <w:t xml:space="preserve"> un zemu rezultātu un zem</w:t>
      </w:r>
      <w:r>
        <w:rPr>
          <w:szCs w:val="24"/>
        </w:rPr>
        <w:t>iem</w:t>
      </w:r>
      <w:r w:rsidRPr="00ED2971">
        <w:rPr>
          <w:szCs w:val="24"/>
        </w:rPr>
        <w:t xml:space="preserve"> </w:t>
      </w:r>
      <w:r>
        <w:rPr>
          <w:szCs w:val="24"/>
        </w:rPr>
        <w:t>ieguldījumiem</w:t>
      </w:r>
      <w:r w:rsidRPr="00ED2971">
        <w:rPr>
          <w:szCs w:val="24"/>
        </w:rPr>
        <w:t>. T</w:t>
      </w:r>
      <w:r>
        <w:rPr>
          <w:szCs w:val="24"/>
        </w:rPr>
        <w:t>ie</w:t>
      </w:r>
      <w:r w:rsidRPr="00ED2971">
        <w:rPr>
          <w:szCs w:val="24"/>
        </w:rPr>
        <w:t xml:space="preserve"> </w:t>
      </w:r>
      <w:r>
        <w:rPr>
          <w:szCs w:val="24"/>
        </w:rPr>
        <w:t>gadi</w:t>
      </w:r>
      <w:r w:rsidRPr="00ED2971">
        <w:rPr>
          <w:szCs w:val="24"/>
        </w:rPr>
        <w:t>, kur</w:t>
      </w:r>
      <w:r>
        <w:rPr>
          <w:szCs w:val="24"/>
        </w:rPr>
        <w:t>i</w:t>
      </w:r>
      <w:r w:rsidRPr="00ED2971">
        <w:rPr>
          <w:szCs w:val="24"/>
        </w:rPr>
        <w:t xml:space="preserve"> atradīsies tuvāk efektivitātes robežai (robežu veido </w:t>
      </w:r>
      <w:r>
        <w:rPr>
          <w:szCs w:val="24"/>
        </w:rPr>
        <w:t>gadi</w:t>
      </w:r>
      <w:r w:rsidRPr="00ED2971">
        <w:rPr>
          <w:szCs w:val="24"/>
        </w:rPr>
        <w:t>, kur</w:t>
      </w:r>
      <w:r>
        <w:rPr>
          <w:szCs w:val="24"/>
        </w:rPr>
        <w:t>os</w:t>
      </w:r>
      <w:r w:rsidRPr="00ED2971">
        <w:rPr>
          <w:szCs w:val="24"/>
        </w:rPr>
        <w:t xml:space="preserve"> ar mazāku ieguldījumu sasniedz labāku rezultātu) būs relatīvi efektīv</w:t>
      </w:r>
      <w:r>
        <w:rPr>
          <w:szCs w:val="24"/>
        </w:rPr>
        <w:t>āki</w:t>
      </w:r>
      <w:r w:rsidRPr="00ED2971">
        <w:rPr>
          <w:szCs w:val="24"/>
        </w:rPr>
        <w:t>, kamēr cit</w:t>
      </w:r>
      <w:r>
        <w:rPr>
          <w:szCs w:val="24"/>
        </w:rPr>
        <w:t>i</w:t>
      </w:r>
      <w:r w:rsidRPr="00ED2971">
        <w:rPr>
          <w:szCs w:val="24"/>
        </w:rPr>
        <w:t xml:space="preserve"> </w:t>
      </w:r>
      <w:r>
        <w:rPr>
          <w:szCs w:val="24"/>
        </w:rPr>
        <w:t>gadi</w:t>
      </w:r>
      <w:r w:rsidRPr="00ED2971">
        <w:rPr>
          <w:szCs w:val="24"/>
        </w:rPr>
        <w:t>, kur</w:t>
      </w:r>
      <w:r>
        <w:rPr>
          <w:szCs w:val="24"/>
        </w:rPr>
        <w:t>i</w:t>
      </w:r>
      <w:r w:rsidRPr="00ED2971">
        <w:rPr>
          <w:szCs w:val="24"/>
        </w:rPr>
        <w:t xml:space="preserve"> atrodas tālāk no efektivitātes robežas būs neefektīv</w:t>
      </w:r>
      <w:r>
        <w:rPr>
          <w:szCs w:val="24"/>
        </w:rPr>
        <w:t>āki</w:t>
      </w:r>
      <w:r w:rsidRPr="00ED2971">
        <w:rPr>
          <w:szCs w:val="24"/>
        </w:rPr>
        <w:t>.</w:t>
      </w:r>
    </w:p>
    <w:p w:rsidR="000C20A4" w:rsidRPr="002D42A8" w:rsidRDefault="000C20A4" w:rsidP="000C20A4">
      <w:pPr>
        <w:ind w:firstLine="709"/>
        <w:jc w:val="both"/>
        <w:rPr>
          <w:szCs w:val="24"/>
        </w:rPr>
      </w:pPr>
      <w:r w:rsidRPr="00626338">
        <w:rPr>
          <w:szCs w:val="24"/>
        </w:rPr>
        <w:t xml:space="preserve">Eiropas </w:t>
      </w:r>
      <w:r>
        <w:rPr>
          <w:szCs w:val="24"/>
        </w:rPr>
        <w:t xml:space="preserve">Komisijas publicētajā dokumentā </w:t>
      </w:r>
      <w:r w:rsidRPr="00626338">
        <w:rPr>
          <w:i/>
          <w:szCs w:val="24"/>
        </w:rPr>
        <w:t>“Quality of public expenditure”</w:t>
      </w:r>
      <w:r>
        <w:rPr>
          <w:szCs w:val="24"/>
        </w:rPr>
        <w:t xml:space="preserve"> tiek izcelti trūkumi dažādās dalībvalstu izdevumu jomās, kas var būt par pamatu diskusiju uzsākšanai un padziļinātai nozaru analīzei. Vienlaikus, pamatojoties uz minētajā dokumentā veikto analīzi, vajadzētu atturēties no stingriem secinājumiem, tiem nevajadzētu kļūt par autoritāru argumentu vērtējot kopējo valstu efektivitāti un sasniegto rezultātu.</w:t>
      </w:r>
    </w:p>
    <w:p w:rsidR="000C20A4" w:rsidRDefault="000C20A4" w:rsidP="000C20A4">
      <w:pPr>
        <w:ind w:firstLine="709"/>
        <w:jc w:val="both"/>
        <w:rPr>
          <w:szCs w:val="24"/>
        </w:rPr>
      </w:pPr>
      <w:r w:rsidRPr="00ED2971">
        <w:rPr>
          <w:i/>
          <w:szCs w:val="24"/>
        </w:rPr>
        <w:t>Izglītība:</w:t>
      </w:r>
      <w:r>
        <w:rPr>
          <w:i/>
          <w:szCs w:val="24"/>
        </w:rPr>
        <w:t xml:space="preserve"> </w:t>
      </w:r>
      <w:r w:rsidRPr="00ED2971">
        <w:rPr>
          <w:i/>
          <w:szCs w:val="24"/>
        </w:rPr>
        <w:t xml:space="preserve"> </w:t>
      </w:r>
    </w:p>
    <w:p w:rsidR="000C20A4" w:rsidRDefault="000C20A4" w:rsidP="000C20A4">
      <w:pPr>
        <w:ind w:firstLine="709"/>
        <w:jc w:val="both"/>
        <w:rPr>
          <w:szCs w:val="24"/>
        </w:rPr>
      </w:pPr>
      <w:r w:rsidRPr="00ED2971">
        <w:rPr>
          <w:szCs w:val="24"/>
        </w:rPr>
        <w:t>Izglītības efektivitāte konkrētajā gadījumā tika mērīta par bāzi ņemot desmit gadu vidējos publiskā un privātā sektora izdevumus</w:t>
      </w:r>
      <w:r>
        <w:rPr>
          <w:szCs w:val="24"/>
        </w:rPr>
        <w:t xml:space="preserve"> un</w:t>
      </w:r>
      <w:r w:rsidRPr="00ED2971">
        <w:rPr>
          <w:szCs w:val="24"/>
        </w:rPr>
        <w:t xml:space="preserve"> attiecinot tos pret IKP. Mērījumos tiek izmantoti četri rezultātu indikatori, tajā skaitā PISA (</w:t>
      </w:r>
      <w:r w:rsidRPr="00ED2971">
        <w:rPr>
          <w:i/>
          <w:szCs w:val="24"/>
        </w:rPr>
        <w:t>Programme for International Student Assessment</w:t>
      </w:r>
      <w:r w:rsidRPr="00ED2971">
        <w:rPr>
          <w:szCs w:val="24"/>
        </w:rPr>
        <w:t>) vērtības, jaunieši ar augstāko izglītību, izglītības sistēmas kvalitāte un skolu pametušo skaits. Pamatojoties uz šiem indikatoriem dalībvalstis tiek sakārtotas atbilstoši to darbības rezultātam un ieguldījumam, lai šo rezultātu sasniegtu.</w:t>
      </w:r>
      <w:r>
        <w:rPr>
          <w:szCs w:val="24"/>
        </w:rPr>
        <w:t xml:space="preserve"> </w:t>
      </w:r>
    </w:p>
    <w:p w:rsidR="000C20A4" w:rsidRDefault="000C20A4" w:rsidP="000C20A4">
      <w:pPr>
        <w:ind w:firstLine="709"/>
        <w:jc w:val="both"/>
        <w:rPr>
          <w:rFonts w:cs="Times New Roman"/>
          <w:szCs w:val="24"/>
        </w:rPr>
      </w:pPr>
      <w:r>
        <w:rPr>
          <w:rFonts w:cs="Times New Roman"/>
          <w:szCs w:val="24"/>
        </w:rPr>
        <w:t>Latvija starp dalībvalstīm pēc iepriekš minētajiem indikatoriem tiek ierindota:</w:t>
      </w:r>
    </w:p>
    <w:p w:rsidR="000C20A4" w:rsidRPr="002012E2" w:rsidRDefault="000C20A4" w:rsidP="00FB4B60">
      <w:pPr>
        <w:pStyle w:val="ListParagraph"/>
        <w:numPr>
          <w:ilvl w:val="0"/>
          <w:numId w:val="21"/>
        </w:numPr>
        <w:jc w:val="both"/>
        <w:rPr>
          <w:szCs w:val="24"/>
        </w:rPr>
      </w:pPr>
      <w:r w:rsidRPr="002012E2">
        <w:rPr>
          <w:rFonts w:cs="Times New Roman"/>
          <w:szCs w:val="24"/>
        </w:rPr>
        <w:t xml:space="preserve">PISA vērtībām - augsts rezultāts/zema efektivitāte; </w:t>
      </w:r>
    </w:p>
    <w:p w:rsidR="000C20A4" w:rsidRPr="002012E2" w:rsidRDefault="000C20A4" w:rsidP="00FB4B60">
      <w:pPr>
        <w:pStyle w:val="ListParagraph"/>
        <w:numPr>
          <w:ilvl w:val="0"/>
          <w:numId w:val="21"/>
        </w:numPr>
        <w:jc w:val="both"/>
        <w:rPr>
          <w:szCs w:val="24"/>
        </w:rPr>
      </w:pPr>
      <w:r>
        <w:rPr>
          <w:rFonts w:cs="Times New Roman"/>
          <w:szCs w:val="24"/>
        </w:rPr>
        <w:lastRenderedPageBreak/>
        <w:t>J</w:t>
      </w:r>
      <w:r w:rsidRPr="002012E2">
        <w:rPr>
          <w:rFonts w:cs="Times New Roman"/>
          <w:szCs w:val="24"/>
        </w:rPr>
        <w:t xml:space="preserve">aunieši ar augstāko izglītību </w:t>
      </w:r>
      <w:r>
        <w:rPr>
          <w:rFonts w:cs="Times New Roman"/>
          <w:szCs w:val="24"/>
        </w:rPr>
        <w:t>–</w:t>
      </w:r>
      <w:r w:rsidRPr="002012E2">
        <w:rPr>
          <w:rFonts w:cs="Times New Roman"/>
          <w:szCs w:val="24"/>
        </w:rPr>
        <w:t xml:space="preserve"> augsts rezultāts/zema efektivitāte; </w:t>
      </w:r>
    </w:p>
    <w:p w:rsidR="000C20A4" w:rsidRPr="002012E2" w:rsidRDefault="000C20A4" w:rsidP="00FB4B60">
      <w:pPr>
        <w:pStyle w:val="ListParagraph"/>
        <w:numPr>
          <w:ilvl w:val="0"/>
          <w:numId w:val="21"/>
        </w:numPr>
        <w:jc w:val="both"/>
        <w:rPr>
          <w:szCs w:val="24"/>
        </w:rPr>
      </w:pPr>
      <w:r>
        <w:rPr>
          <w:rFonts w:cs="Times New Roman"/>
          <w:szCs w:val="24"/>
        </w:rPr>
        <w:t>I</w:t>
      </w:r>
      <w:r w:rsidRPr="002012E2">
        <w:rPr>
          <w:rFonts w:cs="Times New Roman"/>
          <w:szCs w:val="24"/>
        </w:rPr>
        <w:t xml:space="preserve">zglītības sistēmas kvalitāte – zems rezultāts/zema efektivitāte; </w:t>
      </w:r>
    </w:p>
    <w:p w:rsidR="000C20A4" w:rsidRPr="002D42A8" w:rsidRDefault="000C20A4" w:rsidP="00FB4B60">
      <w:pPr>
        <w:pStyle w:val="ListParagraph"/>
        <w:numPr>
          <w:ilvl w:val="0"/>
          <w:numId w:val="21"/>
        </w:numPr>
        <w:jc w:val="both"/>
        <w:rPr>
          <w:szCs w:val="24"/>
        </w:rPr>
      </w:pPr>
      <w:r>
        <w:rPr>
          <w:rFonts w:cs="Times New Roman"/>
          <w:szCs w:val="24"/>
        </w:rPr>
        <w:t>S</w:t>
      </w:r>
      <w:r w:rsidRPr="002012E2">
        <w:rPr>
          <w:rFonts w:cs="Times New Roman"/>
          <w:szCs w:val="24"/>
        </w:rPr>
        <w:t xml:space="preserve">kolu pametušo skaits </w:t>
      </w:r>
      <w:r>
        <w:rPr>
          <w:rFonts w:cs="Times New Roman"/>
          <w:szCs w:val="24"/>
        </w:rPr>
        <w:t>–</w:t>
      </w:r>
      <w:r w:rsidRPr="002012E2">
        <w:rPr>
          <w:rFonts w:cs="Times New Roman"/>
          <w:szCs w:val="24"/>
        </w:rPr>
        <w:t xml:space="preserve"> augsts rezultāts/zema efektivitāte.</w:t>
      </w:r>
      <w:r w:rsidRPr="008670D0">
        <w:rPr>
          <w:rStyle w:val="FootnoteReference"/>
          <w:szCs w:val="24"/>
        </w:rPr>
        <w:t xml:space="preserve"> </w:t>
      </w:r>
      <w:r>
        <w:rPr>
          <w:rStyle w:val="FootnoteReference"/>
          <w:szCs w:val="24"/>
        </w:rPr>
        <w:footnoteReference w:id="13"/>
      </w:r>
    </w:p>
    <w:p w:rsidR="000C20A4" w:rsidRDefault="000C20A4" w:rsidP="000C20A4">
      <w:pPr>
        <w:ind w:firstLine="709"/>
        <w:jc w:val="both"/>
        <w:rPr>
          <w:szCs w:val="24"/>
        </w:rPr>
      </w:pPr>
      <w:r>
        <w:rPr>
          <w:i/>
          <w:szCs w:val="24"/>
        </w:rPr>
        <w:t>Veselība:</w:t>
      </w:r>
      <w:r w:rsidRPr="00ED2971">
        <w:rPr>
          <w:i/>
          <w:szCs w:val="24"/>
        </w:rPr>
        <w:t xml:space="preserve"> </w:t>
      </w:r>
    </w:p>
    <w:p w:rsidR="000C20A4" w:rsidRDefault="000C20A4" w:rsidP="000C20A4">
      <w:pPr>
        <w:ind w:firstLine="709"/>
        <w:jc w:val="both"/>
        <w:rPr>
          <w:szCs w:val="24"/>
        </w:rPr>
      </w:pPr>
      <w:r w:rsidRPr="008670D0">
        <w:rPr>
          <w:szCs w:val="24"/>
        </w:rPr>
        <w:t>Veselības sistēmas efektivitāte tika mērīta par bāzi ņemot desmit gadu vidējos izdevumus uz vienu iedzīvotāju. Efektivitātes noteikšanai tiek izmantoti četri rezultātu indikatori, tajā skaitā mirstības līmenis no slimībām, kuras ir preventīvi ārstējamas, zīdaiņu mirstības līmenis, dzīves ilguma pēc dzimstības un dzīves ilguma pēc 65 gadiem.</w:t>
      </w:r>
    </w:p>
    <w:p w:rsidR="000C20A4" w:rsidRPr="00A34D4B" w:rsidRDefault="000C20A4" w:rsidP="000C20A4">
      <w:pPr>
        <w:ind w:firstLine="709"/>
        <w:jc w:val="both"/>
        <w:rPr>
          <w:szCs w:val="24"/>
        </w:rPr>
      </w:pPr>
      <w:r w:rsidRPr="008670D0">
        <w:rPr>
          <w:szCs w:val="24"/>
        </w:rPr>
        <w:t>Apskatot indikatoru mirstības līmeni no slimībām, kuras ir preventīvi ārstējamas, ir redzama tieša sakarība starp to cik daudz valstis tērē konkrētai funkcijai un konkrētās valsts rezultātiem. Tendence ir, jo vairāk konkrētai funkcijai tiek tērēts, jo labāks ir rezultāts. Latvija ņemot vērā visus minētos indikatorus atrodas starp valstīm ar zemu rezultātu/augstu efektivitāti (rezultāts un izdevumi ir zemi).</w:t>
      </w:r>
      <w:r>
        <w:rPr>
          <w:rStyle w:val="FootnoteReference"/>
          <w:szCs w:val="24"/>
        </w:rPr>
        <w:footnoteReference w:id="14"/>
      </w:r>
      <w:r w:rsidRPr="008670D0">
        <w:rPr>
          <w:szCs w:val="24"/>
        </w:rPr>
        <w:t xml:space="preserve"> </w:t>
      </w:r>
    </w:p>
    <w:p w:rsidR="000C20A4" w:rsidRPr="004360D2" w:rsidRDefault="000C20A4" w:rsidP="000C20A4">
      <w:pPr>
        <w:ind w:firstLine="709"/>
        <w:jc w:val="both"/>
        <w:rPr>
          <w:i/>
          <w:szCs w:val="24"/>
        </w:rPr>
      </w:pPr>
      <w:r w:rsidRPr="004360D2">
        <w:rPr>
          <w:i/>
          <w:szCs w:val="24"/>
        </w:rPr>
        <w:t>Vispārējie valdības dienesti:</w:t>
      </w:r>
    </w:p>
    <w:p w:rsidR="000C20A4" w:rsidRDefault="000C20A4" w:rsidP="000C20A4">
      <w:pPr>
        <w:ind w:firstLine="709"/>
        <w:jc w:val="both"/>
        <w:rPr>
          <w:szCs w:val="24"/>
        </w:rPr>
      </w:pPr>
      <w:r w:rsidRPr="004360D2">
        <w:rPr>
          <w:szCs w:val="24"/>
        </w:rPr>
        <w:t>Šī sektora efektivitāte tika mērīta par pamatu ņemot vidējos desmit gadu izdevumus</w:t>
      </w:r>
      <w:r>
        <w:rPr>
          <w:szCs w:val="24"/>
        </w:rPr>
        <w:t xml:space="preserve"> un</w:t>
      </w:r>
      <w:r w:rsidRPr="004360D2">
        <w:rPr>
          <w:szCs w:val="24"/>
        </w:rPr>
        <w:t xml:space="preserve"> attiecinot tos pret IKP. Par rezultatīviem indikatoriem ti</w:t>
      </w:r>
      <w:r>
        <w:rPr>
          <w:szCs w:val="24"/>
        </w:rPr>
        <w:t>ka</w:t>
      </w:r>
      <w:r w:rsidRPr="004360D2">
        <w:rPr>
          <w:szCs w:val="24"/>
        </w:rPr>
        <w:t xml:space="preserve"> izvēlēti: valdības efektivitāte, korupcijas apkarošanas indekss un e-pārvaldes indekss. </w:t>
      </w:r>
    </w:p>
    <w:p w:rsidR="000C20A4" w:rsidRPr="00A34D4B" w:rsidRDefault="000C20A4" w:rsidP="000C20A4">
      <w:pPr>
        <w:ind w:firstLine="709"/>
        <w:jc w:val="both"/>
        <w:rPr>
          <w:szCs w:val="24"/>
        </w:rPr>
      </w:pPr>
      <w:r w:rsidRPr="004360D2">
        <w:rPr>
          <w:szCs w:val="24"/>
        </w:rPr>
        <w:t>Latvija ir ierindojama starp dalībvalstīm ar zemu rezultātu/augstu efektivitāti (rezultāts un izdevumi ir zemi).</w:t>
      </w:r>
      <w:r>
        <w:rPr>
          <w:rStyle w:val="FootnoteReference"/>
          <w:szCs w:val="24"/>
        </w:rPr>
        <w:footnoteReference w:id="15"/>
      </w:r>
    </w:p>
    <w:p w:rsidR="000C20A4" w:rsidRDefault="000C20A4" w:rsidP="000C20A4">
      <w:pPr>
        <w:ind w:firstLine="709"/>
        <w:jc w:val="both"/>
        <w:rPr>
          <w:i/>
          <w:szCs w:val="24"/>
        </w:rPr>
      </w:pPr>
      <w:r>
        <w:rPr>
          <w:i/>
          <w:szCs w:val="24"/>
        </w:rPr>
        <w:t>Sabiedriskā kārtība un drošība:</w:t>
      </w:r>
    </w:p>
    <w:p w:rsidR="000C20A4" w:rsidRPr="00CF429A" w:rsidRDefault="000C20A4" w:rsidP="000C20A4">
      <w:pPr>
        <w:ind w:firstLine="709"/>
        <w:jc w:val="both"/>
        <w:rPr>
          <w:i/>
          <w:szCs w:val="24"/>
        </w:rPr>
      </w:pPr>
      <w:r>
        <w:rPr>
          <w:rFonts w:cs="Times New Roman"/>
          <w:szCs w:val="24"/>
        </w:rPr>
        <w:t>Sektora efektivitāte tika mērīta par pamatu ņemot vidējos izdevumus no 2006.–2013.gadam attiecinot tos pret IKP un kā rezultātu indikatori tika izvēlēti: noziegumu skaits, autokatastrofās cietušo un nomirušo skaits un policijas darbības uzticamība.</w:t>
      </w:r>
    </w:p>
    <w:p w:rsidR="000C20A4" w:rsidRDefault="000C20A4" w:rsidP="000C20A4">
      <w:pPr>
        <w:ind w:firstLine="709"/>
        <w:jc w:val="both"/>
        <w:rPr>
          <w:rFonts w:cs="Times New Roman"/>
          <w:szCs w:val="24"/>
        </w:rPr>
      </w:pPr>
      <w:r>
        <w:rPr>
          <w:rFonts w:cs="Times New Roman"/>
          <w:szCs w:val="24"/>
        </w:rPr>
        <w:t>Latvija šajos mērījumos atrodas augsta rezultāta/zemas efektivitātes zonā (sasniegts labs rezultāts ar zemiem izdevumiem), tomēr zema rezultāta/augstu izdevumu robeža atrodas ļoti tuvu.</w:t>
      </w:r>
      <w:r>
        <w:rPr>
          <w:rStyle w:val="FootnoteReference"/>
          <w:rFonts w:cs="Times New Roman"/>
          <w:szCs w:val="24"/>
        </w:rPr>
        <w:footnoteReference w:id="16"/>
      </w:r>
    </w:p>
    <w:p w:rsidR="00A6665E" w:rsidRPr="00661E39" w:rsidRDefault="00A6665E" w:rsidP="00A6665E">
      <w:pPr>
        <w:pStyle w:val="ListParagraph"/>
        <w:jc w:val="both"/>
        <w:rPr>
          <w:b/>
          <w:szCs w:val="24"/>
        </w:rPr>
      </w:pPr>
    </w:p>
    <w:p w:rsidR="00A6665E" w:rsidRPr="006742EE" w:rsidRDefault="00A6665E" w:rsidP="00FB4B60">
      <w:pPr>
        <w:pStyle w:val="Heading2"/>
        <w:numPr>
          <w:ilvl w:val="1"/>
          <w:numId w:val="3"/>
        </w:numPr>
        <w:rPr>
          <w:rFonts w:ascii="Times New Roman" w:hAnsi="Times New Roman" w:cs="Times New Roman"/>
          <w:b/>
          <w:color w:val="auto"/>
          <w:sz w:val="24"/>
          <w:szCs w:val="24"/>
        </w:rPr>
      </w:pPr>
      <w:bookmarkStart w:id="10" w:name="_Toc443558720"/>
      <w:r w:rsidRPr="006742EE">
        <w:rPr>
          <w:rFonts w:ascii="Times New Roman" w:hAnsi="Times New Roman" w:cs="Times New Roman"/>
          <w:b/>
          <w:color w:val="auto"/>
          <w:sz w:val="24"/>
          <w:szCs w:val="24"/>
        </w:rPr>
        <w:t xml:space="preserve">Budžeta bāzes daļas </w:t>
      </w:r>
      <w:r w:rsidR="002E3446" w:rsidRPr="006742EE">
        <w:rPr>
          <w:rFonts w:ascii="Times New Roman" w:hAnsi="Times New Roman" w:cs="Times New Roman"/>
          <w:b/>
          <w:color w:val="auto"/>
          <w:sz w:val="24"/>
          <w:szCs w:val="24"/>
        </w:rPr>
        <w:t>izdevumu sasaiste ar politikas mērķiem un to rezultātiem</w:t>
      </w:r>
      <w:bookmarkEnd w:id="10"/>
    </w:p>
    <w:p w:rsidR="002E3446" w:rsidRPr="00661E39" w:rsidRDefault="002E3446" w:rsidP="002E3446">
      <w:pPr>
        <w:ind w:left="360"/>
        <w:jc w:val="both"/>
        <w:rPr>
          <w:b/>
          <w:szCs w:val="24"/>
        </w:rPr>
      </w:pPr>
    </w:p>
    <w:p w:rsidR="008D0E62" w:rsidRDefault="00C77623" w:rsidP="008D0E62">
      <w:pPr>
        <w:ind w:firstLine="709"/>
        <w:jc w:val="both"/>
        <w:rPr>
          <w:rFonts w:cs="Times New Roman"/>
          <w:bCs/>
        </w:rPr>
      </w:pPr>
      <w:r w:rsidRPr="002E3A2F">
        <w:rPr>
          <w:rFonts w:cs="Times New Roman"/>
        </w:rPr>
        <w:t>Valsts budžeta bāzes izdevumi veido absolūti lielāko valsts budžeta izdevumu daļu, to sagatavošana</w:t>
      </w:r>
      <w:r w:rsidR="000B6DE5">
        <w:rPr>
          <w:rFonts w:cs="Times New Roman"/>
        </w:rPr>
        <w:t xml:space="preserve"> </w:t>
      </w:r>
      <w:r w:rsidRPr="002E3A2F">
        <w:rPr>
          <w:rFonts w:cs="Times New Roman"/>
        </w:rPr>
        <w:t xml:space="preserve">un apstiprināšana norit saskaņā ar </w:t>
      </w:r>
      <w:r w:rsidR="000B6DE5">
        <w:rPr>
          <w:rFonts w:cs="Times New Roman"/>
        </w:rPr>
        <w:t>šo</w:t>
      </w:r>
      <w:r w:rsidRPr="002E3A2F">
        <w:rPr>
          <w:rFonts w:cs="Times New Roman"/>
        </w:rPr>
        <w:t xml:space="preserve"> proces</w:t>
      </w:r>
      <w:r w:rsidR="000B6DE5">
        <w:rPr>
          <w:rFonts w:cs="Times New Roman"/>
        </w:rPr>
        <w:t>u</w:t>
      </w:r>
      <w:r w:rsidRPr="002E3A2F">
        <w:rPr>
          <w:rFonts w:cs="Times New Roman"/>
        </w:rPr>
        <w:t xml:space="preserve"> regulējošiem normatīvajiem aktiem. Tomēr, lai pilnvērtīgi novērtētu bāzes izdevumu efektivitāti, nepieciešama detalizētāka analīze par to, uz kādu mērķu sasniegšanu ir vērsti budžeta bāzes daļas izdevumi un kādu pievienoto vērtību attiecīgie izdevumi sniedz minēto mērķu sasniegšanā</w:t>
      </w:r>
      <w:r w:rsidR="008D0E62" w:rsidRPr="00F97C26">
        <w:rPr>
          <w:rFonts w:cs="Times New Roman"/>
          <w:bCs/>
        </w:rPr>
        <w:t>.</w:t>
      </w:r>
    </w:p>
    <w:p w:rsidR="008D0E62" w:rsidRDefault="008D0E62" w:rsidP="008D0E62">
      <w:pPr>
        <w:ind w:firstLine="709"/>
        <w:jc w:val="both"/>
        <w:rPr>
          <w:rFonts w:cs="Times New Roman"/>
          <w:bCs/>
        </w:rPr>
      </w:pPr>
      <w:r w:rsidRPr="00F97C26">
        <w:rPr>
          <w:rFonts w:cs="Times New Roman"/>
          <w:bCs/>
        </w:rPr>
        <w:t>Atbilstoši politikas plānošanas sistēmas pamatprincipiem, politikas mērķis ir vēlamais stāvoklis, kuru plānots sasniegt ar noteiktu rīcību. Savukārt, politikas rezultātu un rezultatīvo rādītāju sistēma nodrošina iespēju izmērīt mērķu sasniegšanas pakāpi un, ja nepieciešams, koriģēt rīcību, palielinot vai samazinot ieguldījumus.</w:t>
      </w:r>
    </w:p>
    <w:p w:rsidR="008D0E62" w:rsidRPr="00F97C26" w:rsidRDefault="008D0E62" w:rsidP="008D0E62">
      <w:pPr>
        <w:ind w:firstLine="709"/>
        <w:jc w:val="both"/>
        <w:rPr>
          <w:rFonts w:cs="Times New Roman"/>
          <w:bCs/>
        </w:rPr>
      </w:pPr>
      <w:r w:rsidRPr="00F97C26">
        <w:rPr>
          <w:rFonts w:cs="Times New Roman"/>
          <w:bCs/>
        </w:rPr>
        <w:t>Līdz ar to, lai sasniegtu lielāku budžeta izdevumu efektivitāti fundamentāli svarīgi ir izmantot budžeta bāzes daļas izdevumu sasaisti ar politikas mērķiem un to rezultātiem kā instrumentu, kas palīdzētu rast atbildes uz jautājumiem:</w:t>
      </w:r>
    </w:p>
    <w:p w:rsidR="008D0E62" w:rsidRPr="00F97C26" w:rsidRDefault="008D0E62" w:rsidP="00FB4B60">
      <w:pPr>
        <w:pStyle w:val="ListParagraph"/>
        <w:numPr>
          <w:ilvl w:val="0"/>
          <w:numId w:val="10"/>
        </w:numPr>
        <w:spacing w:after="200" w:line="276" w:lineRule="auto"/>
        <w:jc w:val="both"/>
        <w:rPr>
          <w:rFonts w:cs="Times New Roman"/>
          <w:bCs/>
        </w:rPr>
      </w:pPr>
      <w:r w:rsidRPr="00F97C26">
        <w:rPr>
          <w:rFonts w:cs="Times New Roman"/>
          <w:bCs/>
          <w:i/>
        </w:rPr>
        <w:t>ko</w:t>
      </w:r>
      <w:r w:rsidRPr="00F97C26">
        <w:rPr>
          <w:rFonts w:cs="Times New Roman"/>
          <w:bCs/>
        </w:rPr>
        <w:t xml:space="preserve"> mēs sasniedzam ar veiktajiem izdevumiem;</w:t>
      </w:r>
    </w:p>
    <w:p w:rsidR="008D0E62" w:rsidRDefault="008D0E62" w:rsidP="00FB4B60">
      <w:pPr>
        <w:pStyle w:val="ListParagraph"/>
        <w:numPr>
          <w:ilvl w:val="0"/>
          <w:numId w:val="10"/>
        </w:numPr>
        <w:spacing w:line="276" w:lineRule="auto"/>
        <w:jc w:val="both"/>
        <w:rPr>
          <w:rFonts w:cs="Times New Roman"/>
          <w:bCs/>
        </w:rPr>
      </w:pPr>
      <w:r w:rsidRPr="0050026A">
        <w:rPr>
          <w:rFonts w:cs="Times New Roman"/>
          <w:bCs/>
          <w:i/>
        </w:rPr>
        <w:t>vai</w:t>
      </w:r>
      <w:r w:rsidRPr="00F97C26">
        <w:rPr>
          <w:rFonts w:cs="Times New Roman"/>
          <w:bCs/>
        </w:rPr>
        <w:t xml:space="preserve"> pastāv alternatīvi risinājumi.</w:t>
      </w:r>
    </w:p>
    <w:p w:rsidR="00B61F65" w:rsidRDefault="008D0E62" w:rsidP="00661E39">
      <w:pPr>
        <w:spacing w:line="276" w:lineRule="auto"/>
        <w:ind w:firstLine="709"/>
        <w:jc w:val="both"/>
        <w:rPr>
          <w:rFonts w:cs="Times New Roman"/>
          <w:bCs/>
        </w:rPr>
      </w:pPr>
      <w:r w:rsidRPr="00C31A20">
        <w:rPr>
          <w:rFonts w:cs="Times New Roman"/>
          <w:bCs/>
        </w:rPr>
        <w:t>Minētais kopsakarā ar budžeta attīstības daļu, sniegtu pilnvērtīgu sapratni par kopējām iz</w:t>
      </w:r>
      <w:r>
        <w:rPr>
          <w:rFonts w:cs="Times New Roman"/>
          <w:bCs/>
        </w:rPr>
        <w:t>maksām, kas tiek veiktas NAP</w:t>
      </w:r>
      <w:r w:rsidRPr="00C31A20">
        <w:rPr>
          <w:rFonts w:cs="Times New Roman"/>
          <w:bCs/>
        </w:rPr>
        <w:t xml:space="preserve">, nozaru politiku plānošanas dokumentu un citu valsts pārvaldes </w:t>
      </w:r>
      <w:r>
        <w:rPr>
          <w:rFonts w:cs="Times New Roman"/>
          <w:bCs/>
        </w:rPr>
        <w:lastRenderedPageBreak/>
        <w:t>funkciju</w:t>
      </w:r>
      <w:r w:rsidRPr="00C31A20">
        <w:rPr>
          <w:rFonts w:cs="Times New Roman"/>
          <w:bCs/>
        </w:rPr>
        <w:t xml:space="preserve"> izpildei, tādējādi radot nepieciešamos priekšnosacījumus budžeta izdevumu efektivitātes vērtēšanai.</w:t>
      </w:r>
    </w:p>
    <w:p w:rsidR="00661E39" w:rsidRPr="00661E39" w:rsidRDefault="00661E39" w:rsidP="00661E39">
      <w:pPr>
        <w:spacing w:line="276" w:lineRule="auto"/>
        <w:ind w:firstLine="709"/>
        <w:jc w:val="both"/>
        <w:rPr>
          <w:rFonts w:cs="Times New Roman"/>
          <w:bCs/>
          <w:sz w:val="18"/>
          <w:szCs w:val="18"/>
        </w:rPr>
      </w:pPr>
    </w:p>
    <w:p w:rsidR="00C31A20" w:rsidRPr="0068516C" w:rsidRDefault="00C31A20" w:rsidP="00FB4B60">
      <w:pPr>
        <w:pStyle w:val="Heading3"/>
        <w:numPr>
          <w:ilvl w:val="2"/>
          <w:numId w:val="3"/>
        </w:numPr>
        <w:jc w:val="both"/>
        <w:rPr>
          <w:rFonts w:ascii="Times New Roman" w:hAnsi="Times New Roman" w:cs="Times New Roman"/>
          <w:b/>
          <w:color w:val="auto"/>
        </w:rPr>
      </w:pPr>
      <w:bookmarkStart w:id="11" w:name="_Toc443558721"/>
      <w:r w:rsidRPr="0068516C">
        <w:rPr>
          <w:rFonts w:ascii="Times New Roman" w:hAnsi="Times New Roman" w:cs="Times New Roman"/>
          <w:b/>
          <w:color w:val="auto"/>
        </w:rPr>
        <w:t>Budžeta bāzes izdevumu detalizācijas pakāpe, kurā būtu nodrošināma sasaiste ar politikas mērķiem un rezultātiem</w:t>
      </w:r>
      <w:bookmarkEnd w:id="11"/>
    </w:p>
    <w:p w:rsidR="00493F88" w:rsidRPr="00661E39" w:rsidRDefault="00493F88" w:rsidP="00493F88">
      <w:pPr>
        <w:pStyle w:val="ListParagraph"/>
        <w:ind w:left="1080"/>
        <w:jc w:val="both"/>
        <w:rPr>
          <w:rFonts w:cs="Times New Roman"/>
          <w:b/>
          <w:szCs w:val="24"/>
        </w:rPr>
      </w:pPr>
    </w:p>
    <w:p w:rsidR="00D73C55" w:rsidRPr="00F97C26" w:rsidRDefault="00D73C55" w:rsidP="00D73C55">
      <w:pPr>
        <w:ind w:firstLine="709"/>
        <w:jc w:val="both"/>
        <w:rPr>
          <w:rFonts w:cs="Times New Roman"/>
        </w:rPr>
      </w:pPr>
      <w:r w:rsidRPr="00F97C26">
        <w:rPr>
          <w:rFonts w:cs="Times New Roman"/>
        </w:rPr>
        <w:t>Lai gan ar budžeta bāzes izdevumu sasaisti ar politikas mērķiem un to rezultātiem biežāk saprot nepieciešamību nodrošināt sasaisti budžeta programmu un apakšprogrammu līmenī, tomēr ir secināms, ka budžeta programmu un apak</w:t>
      </w:r>
      <w:r>
        <w:rPr>
          <w:rFonts w:cs="Times New Roman"/>
        </w:rPr>
        <w:t>šprogrammu līmeņu saturs resoru griezumā ir visnotaļ atš</w:t>
      </w:r>
      <w:r w:rsidRPr="00F97C26">
        <w:rPr>
          <w:rFonts w:cs="Times New Roman"/>
        </w:rPr>
        <w:t>ķirīgs un ne vienmēr ir pietiekoši detalizēts, lai ļautu efektīvi sasniegt tādus procesa potenciālos rezultātus kā:</w:t>
      </w:r>
    </w:p>
    <w:p w:rsidR="00D73C55" w:rsidRPr="00F97C26" w:rsidRDefault="00D73C55" w:rsidP="00FB4B60">
      <w:pPr>
        <w:numPr>
          <w:ilvl w:val="0"/>
          <w:numId w:val="9"/>
        </w:numPr>
        <w:ind w:left="714" w:hanging="357"/>
        <w:contextualSpacing/>
        <w:jc w:val="both"/>
        <w:rPr>
          <w:rFonts w:cs="Times New Roman"/>
        </w:rPr>
      </w:pPr>
      <w:r w:rsidRPr="00F97C26">
        <w:rPr>
          <w:rFonts w:cs="Times New Roman"/>
        </w:rPr>
        <w:t xml:space="preserve">gadījumu apzināšana, kad budžeta bāzes izdevumi nav piesaistīti politikas mērķiem un rezultātiem; </w:t>
      </w:r>
    </w:p>
    <w:p w:rsidR="00D73C55" w:rsidRPr="00F97C26" w:rsidRDefault="00BA36A0" w:rsidP="00FB4B60">
      <w:pPr>
        <w:numPr>
          <w:ilvl w:val="0"/>
          <w:numId w:val="9"/>
        </w:numPr>
        <w:ind w:left="714" w:hanging="357"/>
        <w:contextualSpacing/>
        <w:jc w:val="both"/>
        <w:rPr>
          <w:rFonts w:cs="Times New Roman"/>
        </w:rPr>
      </w:pPr>
      <w:r>
        <w:rPr>
          <w:rFonts w:cs="Times New Roman"/>
        </w:rPr>
        <w:t>izpratni</w:t>
      </w:r>
      <w:r w:rsidR="00D73C55" w:rsidRPr="00F97C26">
        <w:rPr>
          <w:rFonts w:cs="Times New Roman"/>
        </w:rPr>
        <w:t xml:space="preserve"> par gadījumiem, kad valsts budžeta līdzekļu izlietojums nav skaidri saistāms ar ieguvumiem nozaru politiku mērķu sasniegšanā; </w:t>
      </w:r>
    </w:p>
    <w:p w:rsidR="00D73C55" w:rsidRPr="00F97C26" w:rsidRDefault="00D73C55" w:rsidP="00FB4B60">
      <w:pPr>
        <w:numPr>
          <w:ilvl w:val="0"/>
          <w:numId w:val="9"/>
        </w:numPr>
        <w:ind w:left="714" w:hanging="357"/>
        <w:contextualSpacing/>
        <w:jc w:val="both"/>
        <w:rPr>
          <w:rFonts w:cs="Times New Roman"/>
        </w:rPr>
      </w:pPr>
      <w:r w:rsidRPr="00F97C26">
        <w:rPr>
          <w:rFonts w:cs="Times New Roman"/>
        </w:rPr>
        <w:t>gadījumu apzināšana, kad valsts budžeta līdzekļu izlietojuma rezultātā sasniegtie ieguvumi ir neatbilstoši zemi</w:t>
      </w:r>
      <w:r w:rsidRPr="00F97C26">
        <w:rPr>
          <w:rFonts w:cs="Times New Roman"/>
          <w:b/>
        </w:rPr>
        <w:t>,</w:t>
      </w:r>
      <w:r w:rsidRPr="00F97C26">
        <w:rPr>
          <w:rFonts w:cs="Times New Roman"/>
        </w:rPr>
        <w:t xml:space="preserve"> salīdzinot tos ar ieguldītajiem līdzekļiem vai ieguldījumiem alternatīvo</w:t>
      </w:r>
      <w:r>
        <w:rPr>
          <w:rFonts w:cs="Times New Roman"/>
        </w:rPr>
        <w:t>s instrumentos, kas ir vērsti uz</w:t>
      </w:r>
      <w:r w:rsidRPr="00F97C26">
        <w:rPr>
          <w:rFonts w:cs="Times New Roman"/>
        </w:rPr>
        <w:t xml:space="preserve"> to pašu mērķu/rezultātu sasniegšanu;</w:t>
      </w:r>
    </w:p>
    <w:p w:rsidR="00D73C55" w:rsidRPr="00F97C26" w:rsidRDefault="00D73C55" w:rsidP="00FB4B60">
      <w:pPr>
        <w:numPr>
          <w:ilvl w:val="0"/>
          <w:numId w:val="9"/>
        </w:numPr>
        <w:ind w:left="714" w:hanging="357"/>
        <w:contextualSpacing/>
        <w:jc w:val="both"/>
        <w:rPr>
          <w:rFonts w:cs="Times New Roman"/>
        </w:rPr>
      </w:pPr>
      <w:r w:rsidRPr="00F97C26">
        <w:rPr>
          <w:rFonts w:cs="Times New Roman"/>
        </w:rPr>
        <w:t>valsts budžeta līdzekļu izmantošanas neatbilstība noteiktiem publiskās pārvaldes uzdevumiem vai publisko pakalpojumu sniegšanai;</w:t>
      </w:r>
    </w:p>
    <w:p w:rsidR="00D73C55" w:rsidRPr="009F79F8" w:rsidRDefault="00D73C55" w:rsidP="00FB4B60">
      <w:pPr>
        <w:numPr>
          <w:ilvl w:val="0"/>
          <w:numId w:val="9"/>
        </w:numPr>
        <w:ind w:left="714" w:hanging="357"/>
        <w:contextualSpacing/>
        <w:jc w:val="both"/>
        <w:rPr>
          <w:rFonts w:cs="Times New Roman"/>
        </w:rPr>
      </w:pPr>
      <w:r w:rsidRPr="004217DF">
        <w:rPr>
          <w:rFonts w:cs="Times New Roman"/>
        </w:rPr>
        <w:t>tālākās rīcības izstrāde risku mazināšanai un budžeta bāzes izdevumu liet</w:t>
      </w:r>
      <w:r>
        <w:rPr>
          <w:rFonts w:cs="Times New Roman"/>
        </w:rPr>
        <w:t>derības (produktivitātes, efekti</w:t>
      </w:r>
      <w:r w:rsidRPr="004217DF">
        <w:rPr>
          <w:rFonts w:cs="Times New Roman"/>
        </w:rPr>
        <w:t>vitātes un ekonomiskuma) veicināšanai</w:t>
      </w:r>
      <w:r>
        <w:rPr>
          <w:rFonts w:cs="Times New Roman"/>
        </w:rPr>
        <w:t>.</w:t>
      </w:r>
    </w:p>
    <w:p w:rsidR="00D73C55" w:rsidRDefault="00D73C55" w:rsidP="00D73C55">
      <w:pPr>
        <w:ind w:firstLine="709"/>
        <w:jc w:val="both"/>
        <w:rPr>
          <w:rFonts w:cs="Times New Roman"/>
        </w:rPr>
      </w:pPr>
      <w:r w:rsidRPr="00F97C26">
        <w:rPr>
          <w:rFonts w:cs="Times New Roman"/>
        </w:rPr>
        <w:t>Līdz ar to, lai budžeta bāzes daļas izdevumu</w:t>
      </w:r>
      <w:r>
        <w:rPr>
          <w:rFonts w:cs="Times New Roman"/>
        </w:rPr>
        <w:t>s</w:t>
      </w:r>
      <w:r w:rsidRPr="00F97C26">
        <w:rPr>
          <w:rFonts w:cs="Times New Roman"/>
        </w:rPr>
        <w:t xml:space="preserve"> sasaist</w:t>
      </w:r>
      <w:r>
        <w:rPr>
          <w:rFonts w:cs="Times New Roman"/>
        </w:rPr>
        <w:t>ītu</w:t>
      </w:r>
      <w:r w:rsidRPr="00F97C26">
        <w:rPr>
          <w:rFonts w:cs="Times New Roman"/>
        </w:rPr>
        <w:t xml:space="preserve"> ar politikas mērķiem un to rezultātiem</w:t>
      </w:r>
      <w:r>
        <w:rPr>
          <w:rFonts w:cs="Times New Roman"/>
        </w:rPr>
        <w:t>,</w:t>
      </w:r>
      <w:r w:rsidRPr="00F97C26">
        <w:rPr>
          <w:rFonts w:cs="Times New Roman"/>
        </w:rPr>
        <w:t xml:space="preserve"> ir </w:t>
      </w:r>
      <w:r>
        <w:rPr>
          <w:rFonts w:cs="Times New Roman"/>
        </w:rPr>
        <w:t>jāizvērtē iespēja</w:t>
      </w:r>
      <w:r w:rsidRPr="00F97C26">
        <w:rPr>
          <w:rFonts w:cs="Times New Roman"/>
        </w:rPr>
        <w:t xml:space="preserve"> sasaisti veikt </w:t>
      </w:r>
      <w:r w:rsidRPr="00493F88">
        <w:rPr>
          <w:rFonts w:cs="Times New Roman"/>
          <w:i/>
        </w:rPr>
        <w:t>zemākās funkcionāli neatkarīgās izmaksu vienības</w:t>
      </w:r>
      <w:r w:rsidRPr="00F97C26">
        <w:rPr>
          <w:rFonts w:cs="Times New Roman"/>
        </w:rPr>
        <w:t xml:space="preserve"> līmenī, kas raksturo valsts sniegto pakalpojumu un kurai var noteikt sasniedzamo mērķi un rezultātu.</w:t>
      </w:r>
    </w:p>
    <w:p w:rsidR="00D73C55" w:rsidRDefault="00D73C55" w:rsidP="00D73C55">
      <w:pPr>
        <w:ind w:firstLine="709"/>
        <w:jc w:val="both"/>
        <w:rPr>
          <w:rFonts w:cs="Times New Roman"/>
        </w:rPr>
      </w:pPr>
      <w:r w:rsidRPr="00F97C26">
        <w:rPr>
          <w:rFonts w:cs="Times New Roman"/>
        </w:rPr>
        <w:t xml:space="preserve">Lai </w:t>
      </w:r>
      <w:r>
        <w:rPr>
          <w:rFonts w:cs="Times New Roman"/>
        </w:rPr>
        <w:t xml:space="preserve">labāk raksturotu </w:t>
      </w:r>
      <w:r w:rsidRPr="00F97C26">
        <w:rPr>
          <w:rFonts w:cs="Times New Roman"/>
        </w:rPr>
        <w:t xml:space="preserve">zemākās funkcionāli neatkarīgās izmaksu vienības </w:t>
      </w:r>
      <w:r>
        <w:rPr>
          <w:rFonts w:cs="Times New Roman"/>
        </w:rPr>
        <w:t>jēgu, izmantosim pāris piemērus</w:t>
      </w:r>
      <w:r w:rsidRPr="00F97C26">
        <w:rPr>
          <w:rFonts w:cs="Times New Roman"/>
        </w:rPr>
        <w:t xml:space="preserve"> no esošajiem budžeta paskaidrojumiem.</w:t>
      </w:r>
    </w:p>
    <w:p w:rsidR="00D73C55" w:rsidRPr="00493F88" w:rsidRDefault="00D73C55" w:rsidP="00D73C55">
      <w:pPr>
        <w:ind w:firstLine="709"/>
        <w:jc w:val="both"/>
        <w:rPr>
          <w:rFonts w:cs="Times New Roman"/>
        </w:rPr>
      </w:pPr>
      <w:r w:rsidRPr="00F97C26">
        <w:rPr>
          <w:rFonts w:cs="Times New Roman"/>
        </w:rPr>
        <w:t xml:space="preserve">Labklājības ministrijai ir budžeta programma 20.00.00 </w:t>
      </w:r>
      <w:r>
        <w:rPr>
          <w:rFonts w:cs="Times New Roman"/>
        </w:rPr>
        <w:t>“</w:t>
      </w:r>
      <w:r w:rsidRPr="00F97C26">
        <w:rPr>
          <w:rFonts w:cs="Times New Roman"/>
        </w:rPr>
        <w:t>Valsts sociālie pabalsti un izdienas pensijas</w:t>
      </w:r>
      <w:r>
        <w:rPr>
          <w:rFonts w:cs="Times New Roman"/>
        </w:rPr>
        <w:t>”</w:t>
      </w:r>
      <w:r w:rsidRPr="00F97C26">
        <w:rPr>
          <w:rFonts w:cs="Times New Roman"/>
        </w:rPr>
        <w:t xml:space="preserve"> ar budžeta apakšprogrammu 20.01.00 </w:t>
      </w:r>
      <w:r>
        <w:rPr>
          <w:rFonts w:cs="Times New Roman"/>
        </w:rPr>
        <w:t>“</w:t>
      </w:r>
      <w:r w:rsidRPr="00F97C26">
        <w:rPr>
          <w:rFonts w:cs="Times New Roman"/>
        </w:rPr>
        <w:t>Valsts sociālie pabalsti</w:t>
      </w:r>
      <w:r>
        <w:rPr>
          <w:rFonts w:cs="Times New Roman"/>
        </w:rPr>
        <w:t>”</w:t>
      </w:r>
      <w:r w:rsidRPr="00F97C26">
        <w:rPr>
          <w:rFonts w:cs="Times New Roman"/>
        </w:rPr>
        <w:t>. Ja sasaiste ar politikas mērķiem un to rezultātiem minētajā piemērā notiktu apakšprogrammas līmenī, netiktu sasniegts vēlamais rezultāts, jo konkrētajā apakšprogrammā ir vairāki pabalsti, no kuriem katrs potenciāli var atšķirīgā apmērā sasniegt atšķirīgus politikas mērķus. Piemēram, minētā apakšp</w:t>
      </w:r>
      <w:r w:rsidR="005172C9">
        <w:rPr>
          <w:rFonts w:cs="Times New Roman"/>
        </w:rPr>
        <w:t>r</w:t>
      </w:r>
      <w:r w:rsidRPr="00F97C26">
        <w:rPr>
          <w:rFonts w:cs="Times New Roman"/>
        </w:rPr>
        <w:t xml:space="preserve">ogramma ietver sevī ģimenes valsts pabalstu un valsts sociālā nodrošinājuma pabalstu, kas, pirmšķietami, ir </w:t>
      </w:r>
      <w:r>
        <w:rPr>
          <w:rFonts w:cs="Times New Roman"/>
        </w:rPr>
        <w:t>2</w:t>
      </w:r>
      <w:r w:rsidRPr="00F97C26">
        <w:rPr>
          <w:rFonts w:cs="Times New Roman"/>
        </w:rPr>
        <w:t xml:space="preserve"> instrumenti ar fundamentāli atšķirīgiem mērķiem, izmaksām un ietekmēm uz mērķiem, kuru sasniegšanai tie ir ieviesti, un konkrētajā piemērā būtu uzskatāmi par nosacīti zemākajām funkcionāli neatkarīgajām izmaksu vienībām, kur katram no minētajiem pabalstiem būtu jādefinē:</w:t>
      </w:r>
    </w:p>
    <w:p w:rsidR="00D73C55" w:rsidRPr="00E57B3B" w:rsidRDefault="00D73C55" w:rsidP="00FB4B60">
      <w:pPr>
        <w:pStyle w:val="ListParagraph"/>
        <w:numPr>
          <w:ilvl w:val="0"/>
          <w:numId w:val="14"/>
        </w:numPr>
        <w:spacing w:after="200" w:line="276" w:lineRule="auto"/>
        <w:jc w:val="both"/>
        <w:rPr>
          <w:rFonts w:cs="Times New Roman"/>
        </w:rPr>
      </w:pPr>
      <w:r w:rsidRPr="00E57B3B">
        <w:rPr>
          <w:rFonts w:cs="Times New Roman"/>
        </w:rPr>
        <w:t>fiskālā ietekme jeb izdevumu apmērs;</w:t>
      </w:r>
    </w:p>
    <w:p w:rsidR="00D73C55" w:rsidRPr="00E57B3B" w:rsidRDefault="00D73C55" w:rsidP="00FB4B60">
      <w:pPr>
        <w:pStyle w:val="ListParagraph"/>
        <w:numPr>
          <w:ilvl w:val="0"/>
          <w:numId w:val="14"/>
        </w:numPr>
        <w:spacing w:after="200" w:line="276" w:lineRule="auto"/>
        <w:jc w:val="both"/>
        <w:rPr>
          <w:rFonts w:cs="Times New Roman"/>
        </w:rPr>
      </w:pPr>
      <w:r>
        <w:rPr>
          <w:rFonts w:cs="Times New Roman"/>
        </w:rPr>
        <w:t>darbības rezultāti;</w:t>
      </w:r>
    </w:p>
    <w:p w:rsidR="00D73C55" w:rsidRPr="00E57B3B" w:rsidRDefault="00D73C55" w:rsidP="00FB4B60">
      <w:pPr>
        <w:pStyle w:val="ListParagraph"/>
        <w:numPr>
          <w:ilvl w:val="0"/>
          <w:numId w:val="14"/>
        </w:numPr>
        <w:spacing w:line="276" w:lineRule="auto"/>
        <w:ind w:left="1071" w:hanging="357"/>
        <w:jc w:val="both"/>
        <w:rPr>
          <w:rFonts w:cs="Times New Roman"/>
        </w:rPr>
      </w:pPr>
      <w:r w:rsidRPr="00E57B3B">
        <w:rPr>
          <w:rFonts w:cs="Times New Roman"/>
        </w:rPr>
        <w:t>politikas dokumenti, to mērķi un rezultāti, kuriem ir pakārtoti minētie izdevumi.</w:t>
      </w:r>
    </w:p>
    <w:p w:rsidR="00D73C55" w:rsidRDefault="00D73C55" w:rsidP="00D73C55">
      <w:pPr>
        <w:ind w:firstLine="717"/>
        <w:jc w:val="both"/>
        <w:rPr>
          <w:rFonts w:cs="Times New Roman"/>
        </w:rPr>
      </w:pPr>
      <w:r>
        <w:rPr>
          <w:rFonts w:cs="Times New Roman"/>
        </w:rPr>
        <w:t>V</w:t>
      </w:r>
      <w:r w:rsidRPr="00F97C26">
        <w:rPr>
          <w:rFonts w:cs="Times New Roman"/>
        </w:rPr>
        <w:t xml:space="preserve">ienlaikus </w:t>
      </w:r>
      <w:r>
        <w:rPr>
          <w:rFonts w:cs="Times New Roman"/>
        </w:rPr>
        <w:t>ir jānodrošina minēto līmeņu savstarpējā loģiskā sasaiste</w:t>
      </w:r>
      <w:r w:rsidRPr="00F97C26">
        <w:rPr>
          <w:rFonts w:cs="Times New Roman"/>
        </w:rPr>
        <w:t>.</w:t>
      </w:r>
      <w:r>
        <w:rPr>
          <w:rFonts w:cs="Times New Roman"/>
        </w:rPr>
        <w:t xml:space="preserve"> Tomēr</w:t>
      </w:r>
      <w:r w:rsidRPr="00F97C26">
        <w:rPr>
          <w:rFonts w:cs="Times New Roman"/>
        </w:rPr>
        <w:t xml:space="preserve"> citos gadījumos zemākā funkcionāli neatkarīgā izmaksu vienība var būt arī budžeta programmu vai apakšprogrammu līmenis, piemēram, Ekonomikas ministrijas budžeta programma 20.00.00 </w:t>
      </w:r>
      <w:r>
        <w:rPr>
          <w:rFonts w:cs="Times New Roman"/>
        </w:rPr>
        <w:t>“</w:t>
      </w:r>
      <w:r w:rsidRPr="00F97C26">
        <w:rPr>
          <w:rFonts w:cs="Times New Roman"/>
        </w:rPr>
        <w:t>Būvniecība</w:t>
      </w:r>
      <w:r>
        <w:rPr>
          <w:rFonts w:cs="Times New Roman"/>
        </w:rPr>
        <w:t>”</w:t>
      </w:r>
      <w:r w:rsidRPr="00F97C26">
        <w:rPr>
          <w:rFonts w:cs="Times New Roman"/>
        </w:rPr>
        <w:t>, kur Būvniecības valsts kontroles birojs veic kompleksu, savstarpējo papildinošu pasākumu kopumu likumīgas, drošas un kvalitatīvas būvniecības un būvju ekspluatācijas nodrošināšanai.</w:t>
      </w:r>
    </w:p>
    <w:p w:rsidR="00661E39" w:rsidRDefault="00D73C55" w:rsidP="005172C9">
      <w:pPr>
        <w:ind w:firstLine="717"/>
        <w:jc w:val="both"/>
        <w:rPr>
          <w:rFonts w:cs="Times New Roman"/>
        </w:rPr>
      </w:pPr>
      <w:r w:rsidRPr="00F97C26">
        <w:rPr>
          <w:rFonts w:cs="Times New Roman"/>
        </w:rPr>
        <w:t xml:space="preserve">Jāņem vērā, ka attiecībā uz valsts pārvaldes sniegtajiem pakalpojumiem un to sasaisti ar politikas mērķiem un rezultātiem, piemēram, </w:t>
      </w:r>
      <w:r>
        <w:rPr>
          <w:rFonts w:cs="Times New Roman"/>
        </w:rPr>
        <w:t>ministriju centrālajiem aparātiem ir</w:t>
      </w:r>
      <w:r w:rsidRPr="00F97C26">
        <w:rPr>
          <w:rFonts w:cs="Times New Roman"/>
        </w:rPr>
        <w:t xml:space="preserve"> jābūt vienotai pieejai, jo šajā gadījumā tieša attiecināmība nav iespējama.</w:t>
      </w:r>
    </w:p>
    <w:p w:rsidR="004C714B" w:rsidRDefault="004C714B" w:rsidP="005172C9">
      <w:pPr>
        <w:ind w:firstLine="717"/>
        <w:jc w:val="both"/>
        <w:rPr>
          <w:rFonts w:cs="Times New Roman"/>
        </w:rPr>
      </w:pPr>
    </w:p>
    <w:p w:rsidR="004C714B" w:rsidRDefault="004C714B" w:rsidP="005172C9">
      <w:pPr>
        <w:ind w:firstLine="717"/>
        <w:jc w:val="both"/>
        <w:rPr>
          <w:rFonts w:cs="Times New Roman"/>
        </w:rPr>
      </w:pPr>
    </w:p>
    <w:p w:rsidR="00C31A20" w:rsidRDefault="00CE2D25" w:rsidP="00C31A20">
      <w:pPr>
        <w:jc w:val="right"/>
        <w:rPr>
          <w:rFonts w:cs="Times New Roman"/>
        </w:rPr>
      </w:pPr>
      <w:r>
        <w:rPr>
          <w:rFonts w:cs="Times New Roman"/>
        </w:rPr>
        <w:lastRenderedPageBreak/>
        <w:t>7</w:t>
      </w:r>
      <w:r w:rsidR="00493F88">
        <w:rPr>
          <w:rFonts w:cs="Times New Roman"/>
        </w:rPr>
        <w:t>.tabula</w:t>
      </w:r>
    </w:p>
    <w:p w:rsidR="00493F88" w:rsidRPr="0067188F" w:rsidRDefault="00493F88" w:rsidP="00493F88">
      <w:pPr>
        <w:jc w:val="center"/>
        <w:rPr>
          <w:rFonts w:cs="Times New Roman"/>
          <w:sz w:val="16"/>
          <w:szCs w:val="16"/>
        </w:rPr>
      </w:pPr>
    </w:p>
    <w:tbl>
      <w:tblPr>
        <w:tblStyle w:val="TableGrid"/>
        <w:tblW w:w="9196" w:type="dxa"/>
        <w:jc w:val="center"/>
        <w:tblLook w:val="04A0" w:firstRow="1" w:lastRow="0" w:firstColumn="1" w:lastColumn="0" w:noHBand="0" w:noVBand="1"/>
      </w:tblPr>
      <w:tblGrid>
        <w:gridCol w:w="4384"/>
        <w:gridCol w:w="4812"/>
      </w:tblGrid>
      <w:tr w:rsidR="00C31A20" w:rsidRPr="00F97C26" w:rsidTr="00C91DE3">
        <w:trPr>
          <w:trHeight w:val="230"/>
          <w:jc w:val="center"/>
        </w:trPr>
        <w:tc>
          <w:tcPr>
            <w:tcW w:w="4384" w:type="dxa"/>
          </w:tcPr>
          <w:p w:rsidR="00C31A20" w:rsidRPr="0067188F" w:rsidRDefault="00C31A20" w:rsidP="00BF47CC">
            <w:pPr>
              <w:jc w:val="center"/>
              <w:rPr>
                <w:rFonts w:cs="Times New Roman"/>
                <w:b/>
                <w:sz w:val="22"/>
              </w:rPr>
            </w:pPr>
            <w:r w:rsidRPr="0067188F">
              <w:rPr>
                <w:rFonts w:cs="Times New Roman"/>
                <w:b/>
                <w:sz w:val="22"/>
              </w:rPr>
              <w:t>Pieejas stiprās puses</w:t>
            </w:r>
          </w:p>
        </w:tc>
        <w:tc>
          <w:tcPr>
            <w:tcW w:w="4812" w:type="dxa"/>
          </w:tcPr>
          <w:p w:rsidR="00C31A20" w:rsidRPr="0067188F" w:rsidRDefault="00C31A20" w:rsidP="00BF47CC">
            <w:pPr>
              <w:jc w:val="center"/>
              <w:rPr>
                <w:rFonts w:cs="Times New Roman"/>
                <w:b/>
                <w:sz w:val="22"/>
              </w:rPr>
            </w:pPr>
            <w:r w:rsidRPr="0067188F">
              <w:rPr>
                <w:rFonts w:cs="Times New Roman"/>
                <w:b/>
                <w:sz w:val="22"/>
              </w:rPr>
              <w:t>Pieejas vājās puses</w:t>
            </w:r>
          </w:p>
        </w:tc>
      </w:tr>
      <w:tr w:rsidR="00C31A20" w:rsidRPr="00F97C26" w:rsidTr="00C91DE3">
        <w:trPr>
          <w:trHeight w:val="2340"/>
          <w:jc w:val="center"/>
        </w:trPr>
        <w:tc>
          <w:tcPr>
            <w:tcW w:w="4384" w:type="dxa"/>
          </w:tcPr>
          <w:p w:rsidR="00C31A20" w:rsidRPr="0067188F" w:rsidRDefault="00C31A20" w:rsidP="00FB4B60">
            <w:pPr>
              <w:pStyle w:val="ListParagraph"/>
              <w:numPr>
                <w:ilvl w:val="0"/>
                <w:numId w:val="11"/>
              </w:numPr>
              <w:ind w:left="284" w:hanging="284"/>
              <w:jc w:val="both"/>
              <w:rPr>
                <w:rFonts w:cs="Times New Roman"/>
                <w:sz w:val="22"/>
              </w:rPr>
            </w:pPr>
            <w:r w:rsidRPr="0067188F">
              <w:rPr>
                <w:rFonts w:cs="Times New Roman"/>
                <w:sz w:val="22"/>
              </w:rPr>
              <w:t>Informācija par izdevumiem nepieciešamajā detalizācijas pakāpē jau ir pieejama resoru iekšienē;</w:t>
            </w:r>
          </w:p>
          <w:p w:rsidR="00C31A20" w:rsidRPr="0067188F" w:rsidRDefault="00C31A20" w:rsidP="00FB4B60">
            <w:pPr>
              <w:pStyle w:val="ListParagraph"/>
              <w:numPr>
                <w:ilvl w:val="0"/>
                <w:numId w:val="11"/>
              </w:numPr>
              <w:ind w:left="284" w:hanging="284"/>
              <w:jc w:val="both"/>
              <w:rPr>
                <w:rFonts w:cs="Times New Roman"/>
                <w:sz w:val="22"/>
              </w:rPr>
            </w:pPr>
            <w:r w:rsidRPr="0067188F">
              <w:rPr>
                <w:rFonts w:cs="Times New Roman"/>
                <w:sz w:val="22"/>
              </w:rPr>
              <w:t>Nodrošina optimālu informācijas detalizācijas pakāpi, lai sasniegtu lielāko pievienoto vērtību no izdevumu, mērķu un rezultātu sasaistes;</w:t>
            </w:r>
          </w:p>
          <w:p w:rsidR="00C31A20" w:rsidRPr="0067188F" w:rsidRDefault="00C31A20" w:rsidP="00FB4B60">
            <w:pPr>
              <w:pStyle w:val="ListParagraph"/>
              <w:numPr>
                <w:ilvl w:val="0"/>
                <w:numId w:val="11"/>
              </w:numPr>
              <w:ind w:left="284" w:hanging="284"/>
              <w:jc w:val="both"/>
              <w:rPr>
                <w:rFonts w:cs="Times New Roman"/>
                <w:sz w:val="22"/>
              </w:rPr>
            </w:pPr>
            <w:r w:rsidRPr="0067188F">
              <w:rPr>
                <w:rFonts w:cs="Times New Roman"/>
                <w:sz w:val="22"/>
              </w:rPr>
              <w:t>Nodrošinās informācijas iegūšanu arī par izdevumu pozīcijām, kuras nav vē</w:t>
            </w:r>
            <w:r w:rsidR="00493F88" w:rsidRPr="0067188F">
              <w:rPr>
                <w:rFonts w:cs="Times New Roman"/>
                <w:sz w:val="22"/>
              </w:rPr>
              <w:t>r</w:t>
            </w:r>
            <w:r w:rsidRPr="0067188F">
              <w:rPr>
                <w:rFonts w:cs="Times New Roman"/>
                <w:sz w:val="22"/>
              </w:rPr>
              <w:t>stas ne uz viena politikas mērķa sasniegšanu</w:t>
            </w:r>
            <w:r w:rsidR="00496494" w:rsidRPr="0067188F">
              <w:rPr>
                <w:rFonts w:cs="Times New Roman"/>
                <w:sz w:val="22"/>
              </w:rPr>
              <w:t>.</w:t>
            </w:r>
          </w:p>
        </w:tc>
        <w:tc>
          <w:tcPr>
            <w:tcW w:w="4812" w:type="dxa"/>
          </w:tcPr>
          <w:p w:rsidR="00C31A20" w:rsidRPr="0067188F" w:rsidRDefault="00C31A20" w:rsidP="00FB4B60">
            <w:pPr>
              <w:pStyle w:val="ListParagraph"/>
              <w:numPr>
                <w:ilvl w:val="0"/>
                <w:numId w:val="11"/>
              </w:numPr>
              <w:ind w:left="275" w:hanging="275"/>
              <w:jc w:val="both"/>
              <w:rPr>
                <w:rFonts w:cs="Times New Roman"/>
                <w:sz w:val="22"/>
              </w:rPr>
            </w:pPr>
            <w:r w:rsidRPr="0067188F">
              <w:rPr>
                <w:rFonts w:cs="Times New Roman"/>
                <w:sz w:val="22"/>
              </w:rPr>
              <w:t>Nav iespējams realizēt vienotu pieeju visiem resoriem;</w:t>
            </w:r>
          </w:p>
          <w:p w:rsidR="00C31A20" w:rsidRPr="0067188F" w:rsidRDefault="00C31A20" w:rsidP="00FB4B60">
            <w:pPr>
              <w:pStyle w:val="ListParagraph"/>
              <w:numPr>
                <w:ilvl w:val="0"/>
                <w:numId w:val="11"/>
              </w:numPr>
              <w:ind w:left="275" w:hanging="275"/>
              <w:jc w:val="both"/>
              <w:rPr>
                <w:rFonts w:cs="Times New Roman"/>
                <w:sz w:val="22"/>
              </w:rPr>
            </w:pPr>
            <w:r w:rsidRPr="0067188F">
              <w:rPr>
                <w:rFonts w:cs="Times New Roman"/>
                <w:sz w:val="22"/>
              </w:rPr>
              <w:t>Diskusijas par detalizācijas pakāpēm var būt laikietilpīgas;</w:t>
            </w:r>
          </w:p>
          <w:p w:rsidR="00C31A20" w:rsidRPr="0067188F" w:rsidRDefault="00C31A20" w:rsidP="00FB4B60">
            <w:pPr>
              <w:pStyle w:val="ListParagraph"/>
              <w:numPr>
                <w:ilvl w:val="0"/>
                <w:numId w:val="11"/>
              </w:numPr>
              <w:ind w:left="275" w:hanging="275"/>
              <w:jc w:val="both"/>
              <w:rPr>
                <w:rFonts w:cs="Times New Roman"/>
                <w:sz w:val="22"/>
              </w:rPr>
            </w:pPr>
            <w:r w:rsidRPr="0067188F">
              <w:rPr>
                <w:rFonts w:cs="Times New Roman"/>
                <w:sz w:val="22"/>
              </w:rPr>
              <w:t xml:space="preserve">Atšķirīga programmu un </w:t>
            </w:r>
            <w:r w:rsidR="000B461F">
              <w:rPr>
                <w:rFonts w:cs="Times New Roman"/>
                <w:sz w:val="22"/>
              </w:rPr>
              <w:t>apakšprogrammu saturiskā uzbūve</w:t>
            </w:r>
            <w:r w:rsidR="0068516C" w:rsidRPr="0067188F">
              <w:rPr>
                <w:rFonts w:cs="Times New Roman"/>
                <w:sz w:val="22"/>
              </w:rPr>
              <w:t>.</w:t>
            </w:r>
          </w:p>
        </w:tc>
      </w:tr>
    </w:tbl>
    <w:p w:rsidR="00C31A20" w:rsidRPr="00F175E2" w:rsidRDefault="00C31A20" w:rsidP="005172C9">
      <w:pPr>
        <w:rPr>
          <w:rFonts w:cs="Times New Roman"/>
          <w:sz w:val="16"/>
          <w:szCs w:val="16"/>
          <w:u w:val="single"/>
        </w:rPr>
      </w:pPr>
    </w:p>
    <w:p w:rsidR="00C31A20" w:rsidRPr="009034BC" w:rsidRDefault="00C31A20" w:rsidP="007407CC">
      <w:pPr>
        <w:pStyle w:val="Heading3"/>
        <w:numPr>
          <w:ilvl w:val="2"/>
          <w:numId w:val="3"/>
        </w:numPr>
        <w:spacing w:before="240"/>
        <w:jc w:val="both"/>
        <w:rPr>
          <w:rFonts w:ascii="Times New Roman" w:hAnsi="Times New Roman" w:cs="Times New Roman"/>
          <w:b/>
          <w:color w:val="auto"/>
        </w:rPr>
      </w:pPr>
      <w:bookmarkStart w:id="12" w:name="_Toc443558722"/>
      <w:r w:rsidRPr="009034BC">
        <w:rPr>
          <w:rFonts w:ascii="Times New Roman" w:hAnsi="Times New Roman" w:cs="Times New Roman"/>
          <w:b/>
          <w:color w:val="auto"/>
        </w:rPr>
        <w:t>Iespējamie risinājumi (alternatīvas) budžeta bāzes izdevumu sasaistei ar politikas mērķiem un to rezultātiem</w:t>
      </w:r>
      <w:bookmarkEnd w:id="12"/>
    </w:p>
    <w:p w:rsidR="00493F88" w:rsidRPr="00661E39" w:rsidRDefault="00493F88" w:rsidP="00493F88">
      <w:pPr>
        <w:pStyle w:val="ListParagraph"/>
        <w:ind w:left="1497"/>
        <w:jc w:val="both"/>
        <w:rPr>
          <w:rFonts w:cs="Times New Roman"/>
          <w:b/>
          <w:szCs w:val="24"/>
        </w:rPr>
      </w:pPr>
    </w:p>
    <w:p w:rsidR="00C31A20" w:rsidRDefault="00C31A20" w:rsidP="00493F88">
      <w:pPr>
        <w:ind w:firstLine="717"/>
        <w:jc w:val="both"/>
        <w:rPr>
          <w:rFonts w:cs="Times New Roman"/>
        </w:rPr>
      </w:pPr>
      <w:r w:rsidRPr="00F97C26">
        <w:rPr>
          <w:rFonts w:cs="Times New Roman"/>
        </w:rPr>
        <w:t xml:space="preserve">Apzinoties optimālo risinājumu izmaksu pozīcijām, kuras nepieciešams sasaistīt ar politikas mērķiem un to rezultātiem, ir nepieciešams </w:t>
      </w:r>
      <w:r w:rsidR="00ED457E">
        <w:rPr>
          <w:rFonts w:cs="Times New Roman"/>
        </w:rPr>
        <w:t>izveidot</w:t>
      </w:r>
      <w:r w:rsidRPr="00F97C26">
        <w:rPr>
          <w:rFonts w:cs="Times New Roman"/>
        </w:rPr>
        <w:t xml:space="preserve"> platformu, lai minēto sasaisti īstenotu praksē.</w:t>
      </w:r>
    </w:p>
    <w:p w:rsidR="00023544" w:rsidRPr="00661E39" w:rsidRDefault="00023544" w:rsidP="00493F88">
      <w:pPr>
        <w:ind w:firstLine="717"/>
        <w:jc w:val="both"/>
        <w:rPr>
          <w:rFonts w:cs="Times New Roman"/>
          <w:szCs w:val="24"/>
        </w:rPr>
      </w:pPr>
    </w:p>
    <w:p w:rsidR="00C31A20" w:rsidRPr="00673E7B" w:rsidRDefault="00C31A20" w:rsidP="007407CC">
      <w:pPr>
        <w:pStyle w:val="Heading4"/>
        <w:numPr>
          <w:ilvl w:val="3"/>
          <w:numId w:val="3"/>
        </w:numPr>
        <w:ind w:left="1134" w:hanging="774"/>
        <w:rPr>
          <w:rFonts w:ascii="Times New Roman" w:hAnsi="Times New Roman" w:cs="Times New Roman"/>
          <w:b/>
          <w:i w:val="0"/>
          <w:color w:val="auto"/>
        </w:rPr>
      </w:pPr>
      <w:r w:rsidRPr="00673E7B">
        <w:rPr>
          <w:rFonts w:ascii="Times New Roman" w:hAnsi="Times New Roman" w:cs="Times New Roman"/>
          <w:b/>
          <w:i w:val="0"/>
          <w:color w:val="auto"/>
        </w:rPr>
        <w:t>Budžeta paskaidrojumu loma sasaistes nodrošināšanā</w:t>
      </w:r>
    </w:p>
    <w:p w:rsidR="00493F88" w:rsidRPr="00F175E2" w:rsidRDefault="00493F88" w:rsidP="00023544">
      <w:pPr>
        <w:jc w:val="both"/>
        <w:rPr>
          <w:rFonts w:cs="Times New Roman"/>
          <w:b/>
          <w:sz w:val="16"/>
          <w:szCs w:val="16"/>
        </w:rPr>
      </w:pPr>
    </w:p>
    <w:p w:rsidR="00ED457E" w:rsidRPr="00ED457E" w:rsidRDefault="00ED457E" w:rsidP="00ED457E">
      <w:pPr>
        <w:ind w:firstLine="709"/>
        <w:jc w:val="both"/>
        <w:rPr>
          <w:rFonts w:cs="Times New Roman"/>
        </w:rPr>
      </w:pPr>
      <w:r w:rsidRPr="00ED457E">
        <w:rPr>
          <w:rFonts w:cs="Times New Roman"/>
        </w:rPr>
        <w:t>Viens no iespējamiem risinājumiem budžeta bāzes izdevumu sasaistes ar politikas mērķiem un to rezultātiem uzskatāmai atspoguļošanai ir ministriju budžeta paskaidrojumi. Lai demonstrētu sasaisti, izmantojot ministriju budžeta paskaidrojumus, papildus pašreiz tajos sniedzamajai informācijai, paskaidrojumi būtu jāizvērš ar sekojošu informāciju:</w:t>
      </w:r>
    </w:p>
    <w:p w:rsidR="00C31A20" w:rsidRPr="00F97C26" w:rsidRDefault="00C31A20" w:rsidP="00FB4B60">
      <w:pPr>
        <w:pStyle w:val="ListParagraph"/>
        <w:numPr>
          <w:ilvl w:val="0"/>
          <w:numId w:val="12"/>
        </w:numPr>
        <w:jc w:val="both"/>
        <w:rPr>
          <w:rFonts w:cs="Times New Roman"/>
        </w:rPr>
      </w:pPr>
      <w:r w:rsidRPr="00F97C26">
        <w:rPr>
          <w:rFonts w:cs="Times New Roman"/>
        </w:rPr>
        <w:t>ministrijas izdevumiem jaunā, padziļinātākā detalizācijas pakāpē;</w:t>
      </w:r>
    </w:p>
    <w:p w:rsidR="00C31A20" w:rsidRPr="00F97C26" w:rsidRDefault="00C31A20" w:rsidP="00FB4B60">
      <w:pPr>
        <w:pStyle w:val="ListParagraph"/>
        <w:numPr>
          <w:ilvl w:val="0"/>
          <w:numId w:val="12"/>
        </w:numPr>
        <w:jc w:val="both"/>
        <w:rPr>
          <w:rFonts w:cs="Times New Roman"/>
        </w:rPr>
      </w:pPr>
      <w:r w:rsidRPr="00F97C26">
        <w:rPr>
          <w:rFonts w:cs="Times New Roman"/>
        </w:rPr>
        <w:t>norādi uz sasaisti ar plānošanas dokumentiem un to rezultātiem;</w:t>
      </w:r>
    </w:p>
    <w:p w:rsidR="00C31A20" w:rsidRPr="00F97C26" w:rsidRDefault="00C31A20" w:rsidP="00FB4B60">
      <w:pPr>
        <w:pStyle w:val="ListParagraph"/>
        <w:numPr>
          <w:ilvl w:val="0"/>
          <w:numId w:val="12"/>
        </w:numPr>
        <w:jc w:val="both"/>
        <w:rPr>
          <w:rFonts w:cs="Times New Roman"/>
        </w:rPr>
      </w:pPr>
      <w:r w:rsidRPr="00F97C26">
        <w:rPr>
          <w:rFonts w:cs="Times New Roman"/>
        </w:rPr>
        <w:t>darbības rezultātiem jaunā detalizācijas pakāpē;</w:t>
      </w:r>
    </w:p>
    <w:p w:rsidR="00C31A20" w:rsidRPr="00F97C26" w:rsidRDefault="00C31A20" w:rsidP="00FB4B60">
      <w:pPr>
        <w:pStyle w:val="ListParagraph"/>
        <w:numPr>
          <w:ilvl w:val="0"/>
          <w:numId w:val="12"/>
        </w:numPr>
        <w:jc w:val="both"/>
        <w:rPr>
          <w:rFonts w:cs="Times New Roman"/>
        </w:rPr>
      </w:pPr>
      <w:r w:rsidRPr="00F97C26">
        <w:rPr>
          <w:rFonts w:cs="Times New Roman"/>
        </w:rPr>
        <w:t>norādi uz darbības rezultātu sasaisti ar politikas rezultātiem.</w:t>
      </w:r>
    </w:p>
    <w:p w:rsidR="00C31A20" w:rsidRPr="00F97C26" w:rsidRDefault="00C31A20" w:rsidP="00FB4B60">
      <w:pPr>
        <w:pStyle w:val="ListParagraph"/>
        <w:numPr>
          <w:ilvl w:val="0"/>
          <w:numId w:val="12"/>
        </w:numPr>
        <w:jc w:val="both"/>
        <w:rPr>
          <w:rFonts w:cs="Times New Roman"/>
        </w:rPr>
      </w:pPr>
      <w:r w:rsidRPr="00F97C26">
        <w:rPr>
          <w:rFonts w:cs="Times New Roman"/>
        </w:rPr>
        <w:t>konkrēto izmaksu mērķi, ja nav sasaiste ar plānošanas dokumentiem.</w:t>
      </w:r>
    </w:p>
    <w:p w:rsidR="00C31A20" w:rsidRPr="007313B2" w:rsidRDefault="00C31A20" w:rsidP="007313B2">
      <w:pPr>
        <w:rPr>
          <w:rFonts w:cs="Times New Roman"/>
        </w:rPr>
      </w:pPr>
    </w:p>
    <w:p w:rsidR="0011506B" w:rsidRDefault="00673E7B" w:rsidP="00673E7B">
      <w:pPr>
        <w:ind w:firstLine="709"/>
        <w:jc w:val="both"/>
        <w:rPr>
          <w:rFonts w:cs="Times New Roman"/>
        </w:rPr>
      </w:pPr>
      <w:r>
        <w:rPr>
          <w:rFonts w:cs="Times New Roman"/>
        </w:rPr>
        <w:t>Tādējādi, lai līdzsvarotu augšminētā informācijas pasniegšanas veida stiprās un vājās puses, būtu izvērtējama iespēja budžeta paskaidrojumos koncentrēties uz konkrētā gada (vidēja termiņa plānošanas cikla) pašām būtiskākajām prioritātēm, uz kurām tiek virzīti programmas (apakšprogrammas) resursi, savukārt izsmeļošu sasaisti ar pastāvošiem attīstības plānošanas dokumentiem (to mērķiem un rezultātiem) apkopot atsevišķā dokumentā.</w:t>
      </w:r>
    </w:p>
    <w:p w:rsidR="00673E7B" w:rsidRPr="00661E39" w:rsidRDefault="00673E7B" w:rsidP="00673E7B">
      <w:pPr>
        <w:ind w:firstLine="709"/>
        <w:jc w:val="both"/>
        <w:rPr>
          <w:rFonts w:cs="Times New Roman"/>
          <w:szCs w:val="24"/>
        </w:rPr>
      </w:pPr>
    </w:p>
    <w:p w:rsidR="00C31A20" w:rsidRPr="00673E7B" w:rsidRDefault="00C31A20" w:rsidP="00803BF2">
      <w:pPr>
        <w:pStyle w:val="Heading4"/>
        <w:numPr>
          <w:ilvl w:val="3"/>
          <w:numId w:val="3"/>
        </w:numPr>
        <w:ind w:left="1134" w:hanging="774"/>
        <w:rPr>
          <w:rFonts w:ascii="Times New Roman" w:hAnsi="Times New Roman" w:cs="Times New Roman"/>
          <w:b/>
          <w:i w:val="0"/>
          <w:color w:val="auto"/>
        </w:rPr>
      </w:pPr>
      <w:r w:rsidRPr="00673E7B">
        <w:rPr>
          <w:rFonts w:ascii="Times New Roman" w:hAnsi="Times New Roman" w:cs="Times New Roman"/>
          <w:b/>
          <w:i w:val="0"/>
          <w:color w:val="auto"/>
        </w:rPr>
        <w:t>Jauna dokumenta ieviešanas budžeta procesā loma sasaistes nodrošināšanā</w:t>
      </w:r>
    </w:p>
    <w:p w:rsidR="00493F88" w:rsidRPr="00661E39" w:rsidRDefault="00493F88" w:rsidP="00493F88">
      <w:pPr>
        <w:pStyle w:val="ListParagraph"/>
        <w:ind w:left="1497"/>
        <w:jc w:val="both"/>
        <w:rPr>
          <w:rFonts w:cs="Times New Roman"/>
          <w:szCs w:val="24"/>
        </w:rPr>
      </w:pPr>
    </w:p>
    <w:p w:rsidR="00673E7B" w:rsidRPr="00DE3FA5" w:rsidRDefault="00673E7B" w:rsidP="00673E7B">
      <w:pPr>
        <w:ind w:firstLine="709"/>
        <w:jc w:val="both"/>
        <w:rPr>
          <w:rFonts w:cs="Times New Roman"/>
        </w:rPr>
      </w:pPr>
      <w:r w:rsidRPr="00F97C26">
        <w:rPr>
          <w:rFonts w:cs="Times New Roman"/>
        </w:rPr>
        <w:t>Alternatīvs risinājums mēģinājumam integrēt budžeta bāzes izdevumu sasaisti ar politikas mērķiem un to rezultātiem esošajā budžeta procesa ietvarā vai iespējamos tā attīstības modeļos, ir jauna dokumenta izstrāde un integrēšanas budžeta procesā, kura vienīgais mērķis būtu nodrošināt budžeta bā</w:t>
      </w:r>
      <w:r>
        <w:rPr>
          <w:rFonts w:cs="Times New Roman"/>
        </w:rPr>
        <w:t>zes izdevumu sa</w:t>
      </w:r>
      <w:r w:rsidRPr="00F97C26">
        <w:rPr>
          <w:rFonts w:cs="Times New Roman"/>
        </w:rPr>
        <w:t>saisti ar politikas mērķiem un to rezultātiem, esot par pamatu budžeta izdevumu efektivitātes izvērtēšanai.</w:t>
      </w:r>
      <w:r>
        <w:rPr>
          <w:rFonts w:cs="Times New Roman"/>
        </w:rPr>
        <w:t xml:space="preserve"> </w:t>
      </w:r>
      <w:r w:rsidRPr="00F97C26">
        <w:rPr>
          <w:rFonts w:cs="Times New Roman"/>
        </w:rPr>
        <w:t>Minētais dokuments saturētu tikai nosacīti zemākās funkcionāli neatkarīgās izmaksu vienības (ar atsauci uz atrašanās vietu kopējā programmu</w:t>
      </w:r>
      <w:r>
        <w:rPr>
          <w:rFonts w:cs="Times New Roman"/>
        </w:rPr>
        <w:t xml:space="preserve"> (</w:t>
      </w:r>
      <w:r w:rsidRPr="00F97C26">
        <w:rPr>
          <w:rFonts w:cs="Times New Roman"/>
        </w:rPr>
        <w:t>apakšprogrammu</w:t>
      </w:r>
      <w:r>
        <w:rPr>
          <w:rFonts w:cs="Times New Roman"/>
        </w:rPr>
        <w:t>)</w:t>
      </w:r>
      <w:r w:rsidRPr="00F97C26">
        <w:rPr>
          <w:rFonts w:cs="Times New Roman"/>
        </w:rPr>
        <w:t xml:space="preserve"> hierarhijā), kur katrai no minētajām vienībām būtu definēta:</w:t>
      </w:r>
    </w:p>
    <w:p w:rsidR="00673E7B" w:rsidRPr="001D5A50" w:rsidRDefault="00673E7B" w:rsidP="00FB4B60">
      <w:pPr>
        <w:pStyle w:val="ListParagraph"/>
        <w:numPr>
          <w:ilvl w:val="0"/>
          <w:numId w:val="15"/>
        </w:numPr>
        <w:ind w:left="714" w:hanging="357"/>
        <w:jc w:val="both"/>
        <w:rPr>
          <w:rFonts w:cs="Times New Roman"/>
        </w:rPr>
      </w:pPr>
      <w:r w:rsidRPr="001D5A50">
        <w:rPr>
          <w:rFonts w:cs="Times New Roman"/>
        </w:rPr>
        <w:t>izdevumu apmērs;</w:t>
      </w:r>
    </w:p>
    <w:p w:rsidR="00673E7B" w:rsidRPr="001D5A50" w:rsidRDefault="00673E7B" w:rsidP="00FB4B60">
      <w:pPr>
        <w:pStyle w:val="ListParagraph"/>
        <w:numPr>
          <w:ilvl w:val="0"/>
          <w:numId w:val="15"/>
        </w:numPr>
        <w:ind w:left="714" w:hanging="357"/>
        <w:jc w:val="both"/>
        <w:rPr>
          <w:rFonts w:cs="Times New Roman"/>
        </w:rPr>
      </w:pPr>
      <w:r w:rsidRPr="001D5A50">
        <w:rPr>
          <w:rFonts w:cs="Times New Roman"/>
        </w:rPr>
        <w:t>darbības rezultāti,</w:t>
      </w:r>
    </w:p>
    <w:p w:rsidR="00673E7B" w:rsidRPr="001D5A50" w:rsidRDefault="00673E7B" w:rsidP="00FB4B60">
      <w:pPr>
        <w:pStyle w:val="ListParagraph"/>
        <w:numPr>
          <w:ilvl w:val="0"/>
          <w:numId w:val="15"/>
        </w:numPr>
        <w:ind w:left="714" w:hanging="357"/>
        <w:jc w:val="both"/>
        <w:rPr>
          <w:rFonts w:cs="Times New Roman"/>
        </w:rPr>
      </w:pPr>
      <w:r w:rsidRPr="001D5A50">
        <w:rPr>
          <w:rFonts w:cs="Times New Roman"/>
        </w:rPr>
        <w:t>politikas dokumenti, to mērķi un rezultāti, kuriem ir pakārtoti minētie izdevumi;</w:t>
      </w:r>
    </w:p>
    <w:p w:rsidR="00673E7B" w:rsidRPr="001D5A50" w:rsidRDefault="00673E7B" w:rsidP="00FB4B60">
      <w:pPr>
        <w:pStyle w:val="ListParagraph"/>
        <w:numPr>
          <w:ilvl w:val="0"/>
          <w:numId w:val="15"/>
        </w:numPr>
        <w:ind w:left="714" w:hanging="357"/>
        <w:jc w:val="both"/>
        <w:rPr>
          <w:rFonts w:cs="Times New Roman"/>
        </w:rPr>
      </w:pPr>
      <w:r w:rsidRPr="001D5A50">
        <w:rPr>
          <w:rFonts w:cs="Times New Roman"/>
        </w:rPr>
        <w:t>makroietekmes rezultāti;</w:t>
      </w:r>
    </w:p>
    <w:p w:rsidR="00673E7B" w:rsidRPr="00E918EC" w:rsidRDefault="00673E7B" w:rsidP="00FB4B60">
      <w:pPr>
        <w:pStyle w:val="ListParagraph"/>
        <w:numPr>
          <w:ilvl w:val="0"/>
          <w:numId w:val="15"/>
        </w:numPr>
        <w:ind w:left="714" w:hanging="357"/>
        <w:jc w:val="both"/>
        <w:rPr>
          <w:rFonts w:cs="Times New Roman"/>
        </w:rPr>
      </w:pPr>
      <w:r w:rsidRPr="001D5A50">
        <w:rPr>
          <w:rFonts w:cs="Times New Roman"/>
        </w:rPr>
        <w:lastRenderedPageBreak/>
        <w:t>izdevumu mērķis vai normatīvie akti, gadījumā, ja izdevumiem nav sasaistes ar</w:t>
      </w:r>
      <w:r w:rsidRPr="00E133A0">
        <w:rPr>
          <w:rFonts w:cs="Times New Roman"/>
        </w:rPr>
        <w:t xml:space="preserve"> plānošanas dokumentiem.</w:t>
      </w:r>
    </w:p>
    <w:p w:rsidR="00C31A20" w:rsidRPr="00661E39" w:rsidRDefault="00C31A20" w:rsidP="00C31A20">
      <w:pPr>
        <w:jc w:val="both"/>
        <w:rPr>
          <w:rFonts w:cs="Times New Roman"/>
          <w:szCs w:val="24"/>
        </w:rPr>
      </w:pPr>
    </w:p>
    <w:p w:rsidR="00C31A20" w:rsidRPr="00673E7B" w:rsidRDefault="00C31A20" w:rsidP="007407CC">
      <w:pPr>
        <w:pStyle w:val="Heading3"/>
        <w:numPr>
          <w:ilvl w:val="2"/>
          <w:numId w:val="3"/>
        </w:numPr>
        <w:jc w:val="both"/>
        <w:rPr>
          <w:rFonts w:ascii="Times New Roman" w:hAnsi="Times New Roman" w:cs="Times New Roman"/>
          <w:b/>
          <w:color w:val="auto"/>
        </w:rPr>
      </w:pPr>
      <w:bookmarkStart w:id="13" w:name="_Toc443558723"/>
      <w:r w:rsidRPr="00673E7B">
        <w:rPr>
          <w:rFonts w:ascii="Times New Roman" w:hAnsi="Times New Roman" w:cs="Times New Roman"/>
          <w:b/>
          <w:color w:val="auto"/>
        </w:rPr>
        <w:t>Nepieciešamība ieviest mehānismu budžeta bāzes izdevumu efektivitātes noteikšanai politikas mērķu un rezultātu sasniegšanā</w:t>
      </w:r>
      <w:bookmarkEnd w:id="13"/>
    </w:p>
    <w:p w:rsidR="00493F88" w:rsidRPr="00661E39" w:rsidRDefault="00493F88" w:rsidP="00493F88">
      <w:pPr>
        <w:pStyle w:val="ListParagraph"/>
        <w:ind w:left="1497"/>
        <w:jc w:val="both"/>
        <w:rPr>
          <w:rFonts w:cs="Times New Roman"/>
          <w:b/>
          <w:szCs w:val="24"/>
        </w:rPr>
      </w:pPr>
    </w:p>
    <w:p w:rsidR="00673E7B" w:rsidRPr="00F97C26" w:rsidRDefault="00673E7B" w:rsidP="00673E7B">
      <w:pPr>
        <w:ind w:firstLine="709"/>
        <w:jc w:val="both"/>
        <w:rPr>
          <w:rFonts w:cs="Times New Roman"/>
        </w:rPr>
      </w:pPr>
      <w:r w:rsidRPr="00F97C26">
        <w:rPr>
          <w:rFonts w:cs="Times New Roman"/>
        </w:rPr>
        <w:t>La</w:t>
      </w:r>
      <w:r>
        <w:rPr>
          <w:rFonts w:cs="Times New Roman"/>
        </w:rPr>
        <w:t>i gan budžeta bāzes izdevumu sa</w:t>
      </w:r>
      <w:r w:rsidRPr="00F97C26">
        <w:rPr>
          <w:rFonts w:cs="Times New Roman"/>
        </w:rPr>
        <w:t>saisti ar politikas mērķiem un to rezultātiem ļauj saprast, cik kopumā tiek tērēts konkrētu mērķu sasniegšanai, vai labums, kas tiek gūts no katra iztērētā eiro konkrēta mērķa sasniegšanai, ir optimāls, apzināt jomas, kurās ir nepieciešams izstrādāt plānošanas dokumentus, atteikties no izdevumiem, kuru veikšanai nav saskatāms  ekonomisks pamats u.c., tomēr viens no galvenajiem ieguvumiem un vienlaikus arī izaici</w:t>
      </w:r>
      <w:r>
        <w:rPr>
          <w:rFonts w:cs="Times New Roman"/>
        </w:rPr>
        <w:t>nājumiem, kas tiek iegūts no sa</w:t>
      </w:r>
      <w:r w:rsidRPr="00F97C26">
        <w:rPr>
          <w:rFonts w:cs="Times New Roman"/>
        </w:rPr>
        <w:t xml:space="preserve">saistes procesa, saglabājas iespēja lietderīgāk pārdalīt valsts rīcībā esošos ierobežotos resursus uz aktivitātēm, kas maksimāli efektīvi sasniedz valsts prioritātes un citus mērķus, kā arī identificēt alternatīvas ieguldījumu iespējas. </w:t>
      </w:r>
    </w:p>
    <w:p w:rsidR="00673E7B" w:rsidRPr="00F97C26" w:rsidRDefault="00673E7B" w:rsidP="00673E7B">
      <w:pPr>
        <w:jc w:val="both"/>
        <w:rPr>
          <w:rFonts w:cs="Times New Roman"/>
        </w:rPr>
      </w:pPr>
      <w:r w:rsidRPr="00F97C26">
        <w:rPr>
          <w:rFonts w:cs="Times New Roman"/>
        </w:rPr>
        <w:t xml:space="preserve">Vērtējot </w:t>
      </w:r>
      <w:r>
        <w:rPr>
          <w:rFonts w:cs="Times New Roman"/>
        </w:rPr>
        <w:t>izdevumu</w:t>
      </w:r>
      <w:r w:rsidRPr="00F97C26">
        <w:rPr>
          <w:rFonts w:cs="Times New Roman"/>
        </w:rPr>
        <w:t xml:space="preserve"> efektivitāti, praksē biežāk nāksies saskarties ar trim situācijām:</w:t>
      </w:r>
    </w:p>
    <w:p w:rsidR="00673E7B" w:rsidRPr="00F97C26" w:rsidRDefault="00673E7B" w:rsidP="00FB4B60">
      <w:pPr>
        <w:pStyle w:val="ListParagraph"/>
        <w:numPr>
          <w:ilvl w:val="0"/>
          <w:numId w:val="13"/>
        </w:numPr>
        <w:jc w:val="both"/>
        <w:rPr>
          <w:rFonts w:cs="Times New Roman"/>
        </w:rPr>
      </w:pPr>
      <w:r>
        <w:rPr>
          <w:rFonts w:cs="Times New Roman"/>
        </w:rPr>
        <w:t xml:space="preserve">kad </w:t>
      </w:r>
      <w:r w:rsidRPr="00F97C26">
        <w:rPr>
          <w:rFonts w:cs="Times New Roman"/>
        </w:rPr>
        <w:t>zemākās funkcionāli neatkarīgās izmaksu vienības darbības rezultāti ļaus visnotaļ precīzi un viegli aprēķināt tās devumu politikas rezultātu sasniegšanā, piemēram, ja instrumenta darbības rezultāts paredzēs radīt konkrētu skaitu jaunu darba vietu vai nodrošināt, ka konkrēts skaits ar vakancēm tiek aizpildīts ar darbiniekiem, šajā gadījumā būs samērā vienkārši apzināt vei</w:t>
      </w:r>
      <w:r>
        <w:rPr>
          <w:rFonts w:cs="Times New Roman"/>
        </w:rPr>
        <w:t xml:space="preserve">kto izmaksu faktisko ietekmi uz </w:t>
      </w:r>
      <w:r w:rsidRPr="00F97C26">
        <w:rPr>
          <w:rFonts w:cs="Times New Roman"/>
        </w:rPr>
        <w:t>politikas rezultātu izmaiņām un veikt izvēli par labu instrumentam, kurš efektīvāk sekmē pozitīvu dinamiku politikas rezultātos;</w:t>
      </w:r>
    </w:p>
    <w:p w:rsidR="00673E7B" w:rsidRPr="00F97C26" w:rsidRDefault="00673E7B" w:rsidP="00FB4B60">
      <w:pPr>
        <w:pStyle w:val="ListParagraph"/>
        <w:numPr>
          <w:ilvl w:val="0"/>
          <w:numId w:val="13"/>
        </w:numPr>
        <w:jc w:val="both"/>
        <w:rPr>
          <w:rFonts w:cs="Times New Roman"/>
        </w:rPr>
      </w:pPr>
      <w:r w:rsidRPr="00F97C26">
        <w:rPr>
          <w:rFonts w:cs="Times New Roman"/>
        </w:rPr>
        <w:t>kad zemākās funkcionāli neatkarīgās izmaksu vienības darbības rezultāti neļaus tiešā veidā noteikt ietekmi uz politikas rezultātu svārstībām, piemēram, ja instrumenta darbības rezultāts paredzēs apmācīt noteiktu skaitu ar personām ar mērķi sekmēt kopējās nodarbinātības rādītājus valstī.</w:t>
      </w:r>
    </w:p>
    <w:p w:rsidR="00673E7B" w:rsidRPr="00F97C26" w:rsidRDefault="00673E7B" w:rsidP="00673E7B">
      <w:pPr>
        <w:pStyle w:val="ListParagraph"/>
        <w:jc w:val="both"/>
        <w:rPr>
          <w:rFonts w:cs="Times New Roman"/>
        </w:rPr>
      </w:pPr>
      <w:r w:rsidRPr="00F97C26">
        <w:rPr>
          <w:rFonts w:cs="Times New Roman"/>
        </w:rPr>
        <w:t xml:space="preserve">Šajā gadījumā ir nepieciešams izstrādāt metodiku, kas ļautu novērtēt un savstarpēji salīdzināt instrumentu ietekmes efektivitāti uz politikas rezultātiem, ņemot vērā, ka darbības rezultāti tiešā veidā minēto ietekmi novērtēt neļauj; </w:t>
      </w:r>
    </w:p>
    <w:p w:rsidR="00673E7B" w:rsidRPr="00F97C26" w:rsidRDefault="00673E7B" w:rsidP="00FB4B60">
      <w:pPr>
        <w:pStyle w:val="ListParagraph"/>
        <w:numPr>
          <w:ilvl w:val="0"/>
          <w:numId w:val="13"/>
        </w:numPr>
        <w:jc w:val="both"/>
        <w:rPr>
          <w:rFonts w:cs="Times New Roman"/>
        </w:rPr>
      </w:pPr>
      <w:r w:rsidRPr="00F97C26">
        <w:rPr>
          <w:rFonts w:cs="Times New Roman"/>
        </w:rPr>
        <w:t>kad zemāko funkcionāli neatkarīgo izmaksu vienību un tās darbības rezultātus nav iespējams piesaistīt esošajiem politikas rezultātiem. Šajā gadījumā ir nepieciešams:</w:t>
      </w:r>
    </w:p>
    <w:p w:rsidR="00673E7B" w:rsidRPr="00F97C26" w:rsidRDefault="00673E7B" w:rsidP="00FB4B60">
      <w:pPr>
        <w:pStyle w:val="ListParagraph"/>
        <w:numPr>
          <w:ilvl w:val="1"/>
          <w:numId w:val="13"/>
        </w:numPr>
        <w:jc w:val="both"/>
        <w:rPr>
          <w:rFonts w:cs="Times New Roman"/>
        </w:rPr>
      </w:pPr>
      <w:r w:rsidRPr="00F97C26">
        <w:rPr>
          <w:rFonts w:cs="Times New Roman"/>
        </w:rPr>
        <w:t>lemt par plānošanas dokumenta nepieciešamību konkrētajā jomā;</w:t>
      </w:r>
    </w:p>
    <w:p w:rsidR="00673E7B" w:rsidRPr="00353758" w:rsidRDefault="00673E7B" w:rsidP="00FB4B60">
      <w:pPr>
        <w:pStyle w:val="ListParagraph"/>
        <w:numPr>
          <w:ilvl w:val="1"/>
          <w:numId w:val="13"/>
        </w:numPr>
        <w:jc w:val="both"/>
        <w:rPr>
          <w:rFonts w:cs="Times New Roman"/>
        </w:rPr>
      </w:pPr>
      <w:r w:rsidRPr="0011506B">
        <w:rPr>
          <w:rFonts w:cs="Times New Roman"/>
        </w:rPr>
        <w:t>definēt tādu izmaksu, kas nav tieši vērstas uz valsts vai nozaru prioritāšu finansēšanu, lomu valsts tautsaimniecībā.</w:t>
      </w:r>
    </w:p>
    <w:p w:rsidR="00D7735F" w:rsidRPr="00661E39" w:rsidRDefault="00D7735F" w:rsidP="00661E39">
      <w:pPr>
        <w:jc w:val="both"/>
        <w:rPr>
          <w:rFonts w:cs="Times New Roman"/>
          <w:szCs w:val="24"/>
        </w:rPr>
      </w:pPr>
    </w:p>
    <w:p w:rsidR="00EE7AD0" w:rsidRPr="006742EE" w:rsidRDefault="00EE7AD0" w:rsidP="00FB4B60">
      <w:pPr>
        <w:pStyle w:val="Heading2"/>
        <w:numPr>
          <w:ilvl w:val="1"/>
          <w:numId w:val="3"/>
        </w:numPr>
        <w:rPr>
          <w:rFonts w:ascii="Times New Roman" w:hAnsi="Times New Roman" w:cs="Times New Roman"/>
          <w:b/>
          <w:color w:val="auto"/>
          <w:sz w:val="24"/>
          <w:szCs w:val="24"/>
        </w:rPr>
      </w:pPr>
      <w:bookmarkStart w:id="14" w:name="_Toc443558724"/>
      <w:r w:rsidRPr="006742EE">
        <w:rPr>
          <w:rFonts w:ascii="Times New Roman" w:hAnsi="Times New Roman" w:cs="Times New Roman"/>
          <w:b/>
          <w:color w:val="auto"/>
          <w:sz w:val="24"/>
          <w:szCs w:val="24"/>
        </w:rPr>
        <w:t>Valsts budžeta izdevumu pārskatīšanas virzieni</w:t>
      </w:r>
      <w:bookmarkEnd w:id="14"/>
    </w:p>
    <w:p w:rsidR="00EE7AD0" w:rsidRPr="006742EE" w:rsidRDefault="00EE7AD0" w:rsidP="00EE7AD0">
      <w:pPr>
        <w:rPr>
          <w:b/>
          <w:szCs w:val="24"/>
        </w:rPr>
      </w:pPr>
    </w:p>
    <w:p w:rsidR="00673893" w:rsidRPr="006742EE" w:rsidRDefault="00673893" w:rsidP="00673893">
      <w:pPr>
        <w:ind w:firstLine="720"/>
        <w:jc w:val="both"/>
        <w:rPr>
          <w:szCs w:val="24"/>
        </w:rPr>
      </w:pPr>
      <w:r w:rsidRPr="006742EE">
        <w:rPr>
          <w:szCs w:val="24"/>
        </w:rPr>
        <w:t xml:space="preserve">Valsts budžeta izdevumu pārskatīšana ir viens no pamatrīkiem kā nodrošināt publiskā finansējuma un politikas plānošanas, stratēģisko prioritāšu sasaisti. Izdevumu pārskatīšanas pamatmērķis ir regulāri un sistemātiski novērtēt finansējuma izlietojuma efektivitāti, kā arī veicināt iecerēto rezultātu efektīvu sasniegšanu. Izdevumu pārskatīšana var nodrošināt resursus, ko iespējams novirzīt hierarhiski augstākajos attīstības plānošanas dokumentos definēto prioritāšu finansēšanai. Tāpat izdevumu pārskatīšana var palīdzēt atrast ekonomiskākus veidus kā īstenot valsts politiku, nesamazinot valsts sniegto pakalpojumu apjomu. </w:t>
      </w:r>
    </w:p>
    <w:p w:rsidR="00673893" w:rsidRPr="006742EE" w:rsidRDefault="00673893" w:rsidP="00673893">
      <w:pPr>
        <w:ind w:firstLine="720"/>
        <w:jc w:val="both"/>
        <w:rPr>
          <w:szCs w:val="24"/>
        </w:rPr>
      </w:pPr>
      <w:r w:rsidRPr="006742EE">
        <w:rPr>
          <w:szCs w:val="24"/>
        </w:rPr>
        <w:t xml:space="preserve">Pasaules attīstītajās valstīs izdevumu pārskatīšana ir kļuvusi par neatņemamu vidēja termiņa budžeta izstrādes sastāvdaļu, tādējādi sniedzot nodokļu maksātājiem pārliecību, ka publiskais finansējums tiek izlietots valstij aktuālo prioritāšu finansēšanai un valsts īstenotā nozaru politika ir pietiekami efektīva nepieciešamo rezultātu sasniegšanā. Tādējādi pilnvērtīgas izdevumu pārskatīšanas un analīzes pamatā ir snieguma (rezultatīvo rādītāju un izvirzīto mērķu) izvērtējums un sistemātiska uzraudzība. </w:t>
      </w:r>
    </w:p>
    <w:p w:rsidR="00673893" w:rsidRPr="006742EE" w:rsidRDefault="00673893" w:rsidP="00673893">
      <w:pPr>
        <w:ind w:firstLine="720"/>
        <w:jc w:val="both"/>
        <w:rPr>
          <w:szCs w:val="24"/>
        </w:rPr>
      </w:pPr>
      <w:r w:rsidRPr="006742EE">
        <w:rPr>
          <w:szCs w:val="24"/>
        </w:rPr>
        <w:lastRenderedPageBreak/>
        <w:t>Tālāk apkopoti FM plānotie pasākumi, lai vidējā termiņā izstrādātu priekšlikumus valsts budžeta izd</w:t>
      </w:r>
      <w:r>
        <w:rPr>
          <w:szCs w:val="24"/>
        </w:rPr>
        <w:t>evumu politikas efektivizēšanai:</w:t>
      </w:r>
    </w:p>
    <w:p w:rsidR="00673893" w:rsidRDefault="00673893" w:rsidP="00FB4B60">
      <w:pPr>
        <w:pStyle w:val="ListParagraph"/>
        <w:numPr>
          <w:ilvl w:val="0"/>
          <w:numId w:val="2"/>
        </w:numPr>
        <w:ind w:left="360"/>
        <w:jc w:val="both"/>
        <w:rPr>
          <w:szCs w:val="24"/>
        </w:rPr>
      </w:pPr>
      <w:r w:rsidRPr="006742EE">
        <w:rPr>
          <w:szCs w:val="24"/>
        </w:rPr>
        <w:t xml:space="preserve">Valsts budžeta izpildes elastības rīku (apropriācijas pārdaļu starp budžeta programmām, ekonomiskās klasifikācijas kodiem un resoriem) izmantošanas ietekme uz izdevumu mērķtiecīgumu. Analīze ir veicama par valsts pamatfunkcijas īstenošanas daļas budžeta programmām, no kurām regulāri tiek pārdalīts finansējums, un par programmām, kurām piešķirts </w:t>
      </w:r>
      <w:r w:rsidR="00C619B8">
        <w:rPr>
          <w:szCs w:val="24"/>
        </w:rPr>
        <w:t>JPI</w:t>
      </w:r>
      <w:r w:rsidRPr="006742EE">
        <w:rPr>
          <w:szCs w:val="24"/>
        </w:rPr>
        <w:t xml:space="preserve"> finansējums, taču budžeta izpildes laikā finansējums tiek pārdalīts citiem mērķiem. </w:t>
      </w:r>
    </w:p>
    <w:p w:rsidR="00673893" w:rsidRPr="008F4E92" w:rsidRDefault="00673893" w:rsidP="00673893">
      <w:pPr>
        <w:ind w:left="1080"/>
        <w:jc w:val="both"/>
        <w:rPr>
          <w:szCs w:val="24"/>
        </w:rPr>
      </w:pPr>
      <w:r w:rsidRPr="008F4E92">
        <w:rPr>
          <w:szCs w:val="24"/>
        </w:rPr>
        <w:t>Pasākuma mērķis – identificēt gadījumus, kad budžeta attīstības daļu ir bijis iespējams finansēt no bāzes daļas finansējuma vai bāzes daļā ir finansējuma rezerves.</w:t>
      </w:r>
    </w:p>
    <w:p w:rsidR="00673893" w:rsidRDefault="00673893" w:rsidP="00FB4B60">
      <w:pPr>
        <w:pStyle w:val="ListParagraph"/>
        <w:numPr>
          <w:ilvl w:val="0"/>
          <w:numId w:val="2"/>
        </w:numPr>
        <w:ind w:left="360"/>
        <w:jc w:val="both"/>
        <w:rPr>
          <w:szCs w:val="24"/>
        </w:rPr>
      </w:pPr>
      <w:r w:rsidRPr="006742EE">
        <w:rPr>
          <w:szCs w:val="24"/>
        </w:rPr>
        <w:t xml:space="preserve">Pēdējo trīs gadu Valsts kontroles revīzijas ziņojumu analīze, identificējot tādus valsts budžeta izdevumus, kas revīziju rezultātā ir atzīti par nelietderīgiem, nelikumīgiem u.tml. </w:t>
      </w:r>
    </w:p>
    <w:p w:rsidR="00673893" w:rsidRPr="008F4E92" w:rsidRDefault="00673893" w:rsidP="00673893">
      <w:pPr>
        <w:ind w:left="1080"/>
        <w:jc w:val="both"/>
        <w:rPr>
          <w:szCs w:val="24"/>
        </w:rPr>
      </w:pPr>
      <w:r w:rsidRPr="008F4E92">
        <w:rPr>
          <w:szCs w:val="24"/>
        </w:rPr>
        <w:t>Pasākuma mērķis – piešķirt praktisku ieguvumu no augstākās revīzijas iestādes paveiktā darba, lai rastu publisko izdevumu ietaupījumu.</w:t>
      </w:r>
    </w:p>
    <w:p w:rsidR="00673893" w:rsidRDefault="00673893" w:rsidP="00FB4B60">
      <w:pPr>
        <w:pStyle w:val="ListParagraph"/>
        <w:numPr>
          <w:ilvl w:val="0"/>
          <w:numId w:val="2"/>
        </w:numPr>
        <w:ind w:left="360"/>
        <w:jc w:val="both"/>
        <w:rPr>
          <w:szCs w:val="24"/>
        </w:rPr>
      </w:pPr>
      <w:r w:rsidRPr="006742EE">
        <w:rPr>
          <w:szCs w:val="24"/>
        </w:rPr>
        <w:t xml:space="preserve">Padziļināta budžeta attīstības daļas finansēto pasākumu analīze, izvērtējot to, vai un kādā mērā ir sasniegti pasākumiem izvirzītie mērķi un sasniegti gaidītie efekti (rezultatīvie rādītāji). </w:t>
      </w:r>
    </w:p>
    <w:p w:rsidR="00673893" w:rsidRDefault="00673893" w:rsidP="00673893">
      <w:pPr>
        <w:ind w:left="1080"/>
        <w:jc w:val="both"/>
        <w:rPr>
          <w:szCs w:val="24"/>
        </w:rPr>
      </w:pPr>
      <w:r w:rsidRPr="008F4E92">
        <w:rPr>
          <w:szCs w:val="24"/>
        </w:rPr>
        <w:t xml:space="preserve">Pasākuma mērķis – identificēt tos attīstības daļas finansētos pasākumus, kas ir saglabājušies vidēja termiņa budžeta bāzes izdevumos, bet nav pietiekami efektīvi iecerēto rezultātu sasniegšanā vai ir zaudējušas savu aktualitāti. </w:t>
      </w:r>
    </w:p>
    <w:p w:rsidR="00673893" w:rsidRPr="00673893" w:rsidRDefault="00673893" w:rsidP="00673893">
      <w:pPr>
        <w:ind w:left="1080"/>
        <w:jc w:val="both"/>
        <w:rPr>
          <w:szCs w:val="24"/>
        </w:rPr>
      </w:pPr>
      <w:r>
        <w:rPr>
          <w:szCs w:val="24"/>
        </w:rPr>
        <w:t>V</w:t>
      </w:r>
      <w:r w:rsidRPr="008F4E92">
        <w:rPr>
          <w:szCs w:val="24"/>
        </w:rPr>
        <w:t>eikt grozījumus normatīvajos aktos, lai nodrošinātu, ka atbalstītajiem attīstības daļas pasākumiem tiek aktualizēti sasniedzamie rezultatīvie rādītāji atbilstoši faktiski piešķirtajam finansējumam, kas nereti atšķiras no ministriju sākotnēji pieprasītā.</w:t>
      </w:r>
    </w:p>
    <w:p w:rsidR="00673893" w:rsidRPr="00E7173E" w:rsidRDefault="00673893" w:rsidP="00FB4B60">
      <w:pPr>
        <w:pStyle w:val="ListParagraph"/>
        <w:numPr>
          <w:ilvl w:val="0"/>
          <w:numId w:val="2"/>
        </w:numPr>
        <w:ind w:left="360"/>
        <w:jc w:val="both"/>
        <w:rPr>
          <w:szCs w:val="24"/>
        </w:rPr>
      </w:pPr>
      <w:r w:rsidRPr="00FE3C95">
        <w:rPr>
          <w:szCs w:val="24"/>
        </w:rPr>
        <w:t>Atbalsta funkciju veicošā personāla analīze (t.sk. arī savstarpēji salīdzinot resorus), izvērtējot atbalsta funkcijas veidojošā personāla skaitu un īpatsvaru kopējā darbinieku skaitā, kā arī atlīdzības apmēru. Atbalsta funkciju tvērums ir definēts MK</w:t>
      </w:r>
      <w:r w:rsidRPr="00E7173E">
        <w:rPr>
          <w:szCs w:val="24"/>
        </w:rPr>
        <w:t xml:space="preserve"> </w:t>
      </w:r>
      <w:r w:rsidRPr="00FE3C95">
        <w:rPr>
          <w:szCs w:val="24"/>
        </w:rPr>
        <w:t xml:space="preserve">2010.gada 14.decembra ieteikumos Nr.2 “Valsts pārvaldes iestādes struktūras izveidošanas kārtība”. </w:t>
      </w:r>
    </w:p>
    <w:p w:rsidR="00673893" w:rsidRPr="008F4E92" w:rsidRDefault="00673893" w:rsidP="00673893">
      <w:pPr>
        <w:ind w:left="1080"/>
        <w:jc w:val="both"/>
        <w:rPr>
          <w:szCs w:val="24"/>
        </w:rPr>
      </w:pPr>
      <w:r w:rsidRPr="008F4E92">
        <w:rPr>
          <w:szCs w:val="24"/>
        </w:rPr>
        <w:t xml:space="preserve">Pasākuma mērķis – </w:t>
      </w:r>
      <w:r>
        <w:rPr>
          <w:szCs w:val="24"/>
        </w:rPr>
        <w:t xml:space="preserve">gūt informāciju par atbalsta personāla skaitu un īpatsvaru kopējā darbinieku skaitā un </w:t>
      </w:r>
      <w:r w:rsidRPr="008F4E92">
        <w:rPr>
          <w:szCs w:val="24"/>
        </w:rPr>
        <w:t>rosināt diskusiju par pasaulē plaši izplatītu atbalsta funkciju centralizāciju valsts pārvaldes līmenī, izveidojot dalīto pakalpojumu centrus/iestādes.</w:t>
      </w:r>
    </w:p>
    <w:p w:rsidR="00673893" w:rsidRDefault="00673893" w:rsidP="00FB4B60">
      <w:pPr>
        <w:pStyle w:val="ListParagraph"/>
        <w:numPr>
          <w:ilvl w:val="0"/>
          <w:numId w:val="2"/>
        </w:numPr>
        <w:ind w:left="360"/>
        <w:jc w:val="both"/>
        <w:rPr>
          <w:szCs w:val="24"/>
        </w:rPr>
      </w:pPr>
      <w:r>
        <w:rPr>
          <w:szCs w:val="24"/>
        </w:rPr>
        <w:t xml:space="preserve">Apkopot informāciju par </w:t>
      </w:r>
      <w:r w:rsidRPr="006742EE">
        <w:rPr>
          <w:szCs w:val="24"/>
        </w:rPr>
        <w:t>ilgstoši vakantā</w:t>
      </w:r>
      <w:r>
        <w:rPr>
          <w:szCs w:val="24"/>
        </w:rPr>
        <w:t>m</w:t>
      </w:r>
      <w:r w:rsidRPr="006742EE">
        <w:rPr>
          <w:szCs w:val="24"/>
        </w:rPr>
        <w:t xml:space="preserve"> amata viet</w:t>
      </w:r>
      <w:r>
        <w:rPr>
          <w:szCs w:val="24"/>
        </w:rPr>
        <w:t>ām</w:t>
      </w:r>
      <w:r w:rsidRPr="006742EE">
        <w:rPr>
          <w:szCs w:val="24"/>
        </w:rPr>
        <w:t xml:space="preserve">, izvērtējot </w:t>
      </w:r>
      <w:r>
        <w:rPr>
          <w:szCs w:val="24"/>
        </w:rPr>
        <w:t xml:space="preserve">tendences kopējā nodarbināto skaitā resorā. </w:t>
      </w:r>
      <w:r w:rsidRPr="006742EE">
        <w:rPr>
          <w:szCs w:val="24"/>
        </w:rPr>
        <w:t>Nepieciešamības gadījumā rosināt pārskatīt amata vietu skaitu nepamatoti uzturētu vakanto amata vietu gadījumos</w:t>
      </w:r>
      <w:r>
        <w:rPr>
          <w:szCs w:val="24"/>
        </w:rPr>
        <w:t>.</w:t>
      </w:r>
      <w:r w:rsidRPr="006742EE">
        <w:rPr>
          <w:szCs w:val="24"/>
        </w:rPr>
        <w:t xml:space="preserve"> </w:t>
      </w:r>
    </w:p>
    <w:p w:rsidR="00673893" w:rsidRDefault="00673893" w:rsidP="00FB4B60">
      <w:pPr>
        <w:pStyle w:val="ListParagraph"/>
        <w:numPr>
          <w:ilvl w:val="0"/>
          <w:numId w:val="2"/>
        </w:numPr>
        <w:ind w:left="360"/>
        <w:jc w:val="both"/>
        <w:rPr>
          <w:szCs w:val="24"/>
        </w:rPr>
      </w:pPr>
      <w:r w:rsidRPr="006742EE">
        <w:rPr>
          <w:szCs w:val="24"/>
        </w:rPr>
        <w:t xml:space="preserve">Nozaru un individuālu jomu finansējuma efektivitātes analīze (arī starptautisks salīdzinājums), pielietojot starptautiski pieņemtus vai nacionāli uzskaitītus un vispāratzītus nozaru rezultatīvos rādītājus (indikatorus). </w:t>
      </w:r>
    </w:p>
    <w:p w:rsidR="002732AD" w:rsidRDefault="00673893" w:rsidP="00661E39">
      <w:pPr>
        <w:ind w:left="1080"/>
        <w:jc w:val="both"/>
        <w:rPr>
          <w:szCs w:val="24"/>
        </w:rPr>
      </w:pPr>
      <w:r w:rsidRPr="00790260">
        <w:rPr>
          <w:szCs w:val="24"/>
        </w:rPr>
        <w:t>Pasākuma mērķis – identificēt nozares, kurās ir visaugstākā nepieciešamība fundamentāli pārskatīt politikas, lai kāpinātu atdevi no veiktajiem publisko finanšu ieguldījumiem atbilstoši attēlā atspoguļotajam konceptam.</w:t>
      </w:r>
    </w:p>
    <w:p w:rsidR="00661E39" w:rsidRPr="00661E39" w:rsidRDefault="00661E39" w:rsidP="00661E39">
      <w:pPr>
        <w:ind w:left="1080"/>
        <w:jc w:val="both"/>
        <w:rPr>
          <w:szCs w:val="24"/>
        </w:rPr>
      </w:pPr>
    </w:p>
    <w:p w:rsidR="00E32B5B" w:rsidRDefault="00131010" w:rsidP="00FB4B60">
      <w:pPr>
        <w:pStyle w:val="Heading2"/>
        <w:numPr>
          <w:ilvl w:val="1"/>
          <w:numId w:val="3"/>
        </w:numPr>
        <w:jc w:val="both"/>
        <w:rPr>
          <w:rFonts w:ascii="Times New Roman" w:hAnsi="Times New Roman" w:cs="Times New Roman"/>
          <w:b/>
          <w:color w:val="auto"/>
          <w:sz w:val="24"/>
          <w:szCs w:val="24"/>
        </w:rPr>
      </w:pPr>
      <w:bookmarkStart w:id="15" w:name="_Toc443558725"/>
      <w:r w:rsidRPr="006742EE">
        <w:rPr>
          <w:rFonts w:ascii="Times New Roman" w:hAnsi="Times New Roman" w:cs="Times New Roman"/>
          <w:b/>
          <w:color w:val="auto"/>
          <w:sz w:val="24"/>
          <w:szCs w:val="24"/>
        </w:rPr>
        <w:t>Budžeta paskaidrojumu pilnveidošana</w:t>
      </w:r>
      <w:bookmarkEnd w:id="15"/>
      <w:r w:rsidRPr="006742EE">
        <w:rPr>
          <w:rFonts w:ascii="Times New Roman" w:hAnsi="Times New Roman" w:cs="Times New Roman"/>
          <w:b/>
          <w:color w:val="auto"/>
          <w:sz w:val="24"/>
          <w:szCs w:val="24"/>
        </w:rPr>
        <w:t xml:space="preserve"> </w:t>
      </w:r>
      <w:r w:rsidR="00581822" w:rsidRPr="006742EE">
        <w:rPr>
          <w:rFonts w:ascii="Times New Roman" w:hAnsi="Times New Roman" w:cs="Times New Roman"/>
          <w:b/>
          <w:color w:val="auto"/>
          <w:sz w:val="24"/>
          <w:szCs w:val="24"/>
        </w:rPr>
        <w:t xml:space="preserve"> </w:t>
      </w:r>
    </w:p>
    <w:p w:rsidR="00CF429A" w:rsidRPr="00661E39" w:rsidRDefault="00CF429A" w:rsidP="00C6675F">
      <w:pPr>
        <w:rPr>
          <w:szCs w:val="24"/>
        </w:rPr>
      </w:pPr>
    </w:p>
    <w:p w:rsidR="00966DA6" w:rsidRPr="00C6675F" w:rsidRDefault="00C6675F" w:rsidP="00C6675F">
      <w:pPr>
        <w:ind w:firstLine="709"/>
        <w:jc w:val="both"/>
      </w:pPr>
      <w:r w:rsidRPr="00C6675F">
        <w:t>Budžeta plānošanas un politikas sistēmu saistība un orientācija uz rezultātu ir ne tikai jāpilnveido un sistemātiski jāattīsta, bet šai saistībai ir jābūt arī uzskatāmi un adekvāti atspoguļotai budžeta dokumentācijā. Tādējādi ar kopējās plānošanas sistēmas pilnveidošanu nesaraujami saistītais pasākums ir budžeta paskaidrojumu satura un kvalitātes pilnveidošana</w:t>
      </w:r>
      <w:r>
        <w:t>.</w:t>
      </w:r>
    </w:p>
    <w:p w:rsidR="002812E8" w:rsidRPr="007A396A" w:rsidRDefault="002812E8" w:rsidP="002812E8">
      <w:pPr>
        <w:ind w:firstLine="357"/>
        <w:rPr>
          <w:b/>
          <w:bCs/>
          <w:i/>
          <w:szCs w:val="24"/>
        </w:rPr>
      </w:pPr>
      <w:r w:rsidRPr="007A396A">
        <w:rPr>
          <w:rFonts w:eastAsiaTheme="majorEastAsia"/>
          <w:b/>
          <w:bCs/>
          <w:i/>
          <w:szCs w:val="24"/>
        </w:rPr>
        <w:t>Plānotā rīcība un mērķi</w:t>
      </w:r>
      <w:r w:rsidRPr="007A396A">
        <w:rPr>
          <w:b/>
          <w:bCs/>
          <w:i/>
          <w:szCs w:val="24"/>
        </w:rPr>
        <w:t>:</w:t>
      </w:r>
    </w:p>
    <w:p w:rsidR="002812E8" w:rsidRPr="000B6253" w:rsidRDefault="002812E8" w:rsidP="00FB4B60">
      <w:pPr>
        <w:numPr>
          <w:ilvl w:val="0"/>
          <w:numId w:val="27"/>
        </w:numPr>
        <w:spacing w:line="259" w:lineRule="auto"/>
        <w:jc w:val="both"/>
        <w:rPr>
          <w:szCs w:val="24"/>
        </w:rPr>
      </w:pPr>
      <w:r w:rsidRPr="000B6253">
        <w:rPr>
          <w:rFonts w:eastAsiaTheme="minorEastAsia"/>
          <w:szCs w:val="24"/>
        </w:rPr>
        <w:t>izvērtē</w:t>
      </w:r>
      <w:r>
        <w:rPr>
          <w:rFonts w:eastAsiaTheme="minorEastAsia"/>
          <w:szCs w:val="24"/>
        </w:rPr>
        <w:t>jo</w:t>
      </w:r>
      <w:r w:rsidRPr="000B6253">
        <w:rPr>
          <w:rFonts w:eastAsiaTheme="minorEastAsia"/>
          <w:szCs w:val="24"/>
        </w:rPr>
        <w:t xml:space="preserve">t informācijas </w:t>
      </w:r>
      <w:r w:rsidRPr="000B6253">
        <w:rPr>
          <w:rFonts w:eastAsiaTheme="minorEastAsia"/>
          <w:bCs/>
          <w:szCs w:val="24"/>
        </w:rPr>
        <w:t>saturu un detalizācijas</w:t>
      </w:r>
      <w:r w:rsidRPr="000B6253">
        <w:rPr>
          <w:rFonts w:eastAsiaTheme="minorEastAsia"/>
          <w:szCs w:val="24"/>
        </w:rPr>
        <w:t xml:space="preserve"> pakāpi budžeta paskaidrojumos</w:t>
      </w:r>
      <w:r>
        <w:rPr>
          <w:rFonts w:eastAsiaTheme="minorEastAsia"/>
          <w:szCs w:val="24"/>
        </w:rPr>
        <w:t>,</w:t>
      </w:r>
      <w:r w:rsidRPr="000B6253">
        <w:rPr>
          <w:rFonts w:eastAsiaTheme="minorEastAsia"/>
          <w:szCs w:val="24"/>
        </w:rPr>
        <w:t xml:space="preserve"> </w:t>
      </w:r>
      <w:r w:rsidRPr="007A396A">
        <w:rPr>
          <w:rFonts w:eastAsiaTheme="minorEastAsia"/>
          <w:i/>
          <w:szCs w:val="24"/>
        </w:rPr>
        <w:t>palielināt budžeta</w:t>
      </w:r>
      <w:r w:rsidRPr="000B6253">
        <w:rPr>
          <w:rFonts w:eastAsiaTheme="minorEastAsia"/>
          <w:szCs w:val="24"/>
        </w:rPr>
        <w:t xml:space="preserve"> </w:t>
      </w:r>
      <w:r w:rsidRPr="00416868">
        <w:rPr>
          <w:rFonts w:eastAsiaTheme="minorEastAsia"/>
          <w:bCs/>
          <w:i/>
          <w:szCs w:val="24"/>
        </w:rPr>
        <w:t>uztveramību</w:t>
      </w:r>
      <w:r w:rsidRPr="00416868">
        <w:rPr>
          <w:rFonts w:eastAsiaTheme="minorEastAsia"/>
          <w:i/>
          <w:szCs w:val="24"/>
        </w:rPr>
        <w:t xml:space="preserve"> un </w:t>
      </w:r>
      <w:r w:rsidRPr="00416868">
        <w:rPr>
          <w:rFonts w:eastAsiaTheme="minorEastAsia"/>
          <w:bCs/>
          <w:i/>
          <w:szCs w:val="24"/>
        </w:rPr>
        <w:t>budžeta izdevumu sasaisti ar attīstības plānošanas dokumentos noteiktajiem mērķiem</w:t>
      </w:r>
      <w:r w:rsidRPr="00416868">
        <w:rPr>
          <w:rFonts w:eastAsiaTheme="minorEastAsia"/>
          <w:bCs/>
          <w:szCs w:val="24"/>
        </w:rPr>
        <w:t>,</w:t>
      </w:r>
      <w:r w:rsidRPr="000B6253">
        <w:rPr>
          <w:rFonts w:eastAsiaTheme="minorEastAsia"/>
          <w:bCs/>
          <w:szCs w:val="24"/>
        </w:rPr>
        <w:t xml:space="preserve"> politikas rezultātiem </w:t>
      </w:r>
      <w:r w:rsidRPr="000B6253">
        <w:rPr>
          <w:rFonts w:eastAsiaTheme="minorEastAsia"/>
          <w:szCs w:val="24"/>
        </w:rPr>
        <w:t xml:space="preserve">un darbības rezultātiem un to rezultatīvajiem rādītājiem, lai sniegtu informāciju par budžetu kā </w:t>
      </w:r>
      <w:r w:rsidRPr="000B6253">
        <w:rPr>
          <w:rFonts w:eastAsiaTheme="minorEastAsia"/>
          <w:bCs/>
          <w:szCs w:val="24"/>
        </w:rPr>
        <w:t>politikas realizācijas instrumentu</w:t>
      </w:r>
      <w:r>
        <w:rPr>
          <w:rFonts w:eastAsiaTheme="minorEastAsia"/>
          <w:bCs/>
          <w:szCs w:val="24"/>
        </w:rPr>
        <w:t>;</w:t>
      </w:r>
    </w:p>
    <w:p w:rsidR="002812E8" w:rsidRPr="000B6253" w:rsidRDefault="002812E8" w:rsidP="00FB4B60">
      <w:pPr>
        <w:numPr>
          <w:ilvl w:val="0"/>
          <w:numId w:val="27"/>
        </w:numPr>
        <w:spacing w:after="120" w:line="259" w:lineRule="auto"/>
        <w:jc w:val="both"/>
        <w:rPr>
          <w:szCs w:val="24"/>
        </w:rPr>
      </w:pPr>
      <w:r w:rsidRPr="00416868">
        <w:rPr>
          <w:rFonts w:eastAsiaTheme="minorEastAsia"/>
          <w:bCs/>
          <w:i/>
          <w:szCs w:val="24"/>
        </w:rPr>
        <w:lastRenderedPageBreak/>
        <w:t>iedzīvināt</w:t>
      </w:r>
      <w:r w:rsidRPr="006D6209">
        <w:rPr>
          <w:rFonts w:eastAsiaTheme="minorEastAsia"/>
          <w:bCs/>
          <w:i/>
          <w:szCs w:val="24"/>
          <w:u w:val="single"/>
        </w:rPr>
        <w:t xml:space="preserve"> </w:t>
      </w:r>
      <w:r w:rsidRPr="00416868">
        <w:rPr>
          <w:rFonts w:eastAsiaTheme="minorEastAsia"/>
          <w:bCs/>
          <w:szCs w:val="24"/>
        </w:rPr>
        <w:t>budžeta</w:t>
      </w:r>
      <w:r w:rsidRPr="000B6253">
        <w:rPr>
          <w:rFonts w:eastAsiaTheme="minorEastAsia"/>
          <w:bCs/>
          <w:szCs w:val="24"/>
        </w:rPr>
        <w:t xml:space="preserve"> izstrādes procesā</w:t>
      </w:r>
      <w:r>
        <w:rPr>
          <w:rFonts w:eastAsiaTheme="minorEastAsia"/>
          <w:bCs/>
          <w:szCs w:val="24"/>
        </w:rPr>
        <w:t xml:space="preserve"> </w:t>
      </w:r>
      <w:r w:rsidRPr="00416868">
        <w:rPr>
          <w:rFonts w:eastAsiaTheme="minorEastAsia"/>
          <w:i/>
          <w:szCs w:val="24"/>
        </w:rPr>
        <w:t>budžeta plānošanas un lēmuma pieņemšanas</w:t>
      </w:r>
      <w:r w:rsidRPr="00416868">
        <w:rPr>
          <w:rFonts w:eastAsiaTheme="minorEastAsia"/>
          <w:szCs w:val="24"/>
        </w:rPr>
        <w:t xml:space="preserve"> par </w:t>
      </w:r>
      <w:r w:rsidRPr="00416868">
        <w:t>finansējuma piešķīrumiem</w:t>
      </w:r>
      <w:r w:rsidRPr="00416868">
        <w:rPr>
          <w:rFonts w:eastAsiaTheme="minorEastAsia"/>
          <w:szCs w:val="24"/>
        </w:rPr>
        <w:t xml:space="preserve"> </w:t>
      </w:r>
      <w:r w:rsidRPr="00416868">
        <w:rPr>
          <w:rFonts w:eastAsiaTheme="minorEastAsia"/>
          <w:i/>
          <w:szCs w:val="24"/>
        </w:rPr>
        <w:t>procesu sasaisti ar attīstības plānošanas dokumentos</w:t>
      </w:r>
      <w:r w:rsidRPr="000B6253">
        <w:rPr>
          <w:rFonts w:eastAsiaTheme="minorEastAsia"/>
          <w:szCs w:val="24"/>
        </w:rPr>
        <w:t xml:space="preserve"> noteiktajiem mērķiem un sasniedzamajiem rezultātiem</w:t>
      </w:r>
      <w:r>
        <w:rPr>
          <w:rFonts w:eastAsiaTheme="minorEastAsia"/>
          <w:szCs w:val="24"/>
        </w:rPr>
        <w:t>.</w:t>
      </w:r>
      <w:r w:rsidRPr="000B6253">
        <w:rPr>
          <w:rFonts w:eastAsiaTheme="minorEastAsia"/>
          <w:szCs w:val="24"/>
        </w:rPr>
        <w:t xml:space="preserve"> </w:t>
      </w:r>
    </w:p>
    <w:p w:rsidR="002812E8" w:rsidRPr="000B6253" w:rsidRDefault="002812E8" w:rsidP="002812E8">
      <w:pPr>
        <w:ind w:firstLine="357"/>
        <w:rPr>
          <w:bCs/>
          <w:szCs w:val="24"/>
        </w:rPr>
      </w:pPr>
      <w:r>
        <w:rPr>
          <w:rFonts w:eastAsiaTheme="majorEastAsia"/>
          <w:bCs/>
          <w:szCs w:val="24"/>
        </w:rPr>
        <w:t>Pilnveidojot b</w:t>
      </w:r>
      <w:r w:rsidRPr="000B6253">
        <w:rPr>
          <w:rFonts w:eastAsiaTheme="majorEastAsia"/>
          <w:bCs/>
          <w:szCs w:val="24"/>
        </w:rPr>
        <w:t>udžeta paskaidrojumu</w:t>
      </w:r>
      <w:r>
        <w:rPr>
          <w:rFonts w:eastAsiaTheme="majorEastAsia"/>
          <w:bCs/>
          <w:szCs w:val="24"/>
        </w:rPr>
        <w:t>s,</w:t>
      </w:r>
      <w:r w:rsidRPr="000B6253">
        <w:rPr>
          <w:rFonts w:eastAsiaTheme="majorEastAsia"/>
          <w:bCs/>
          <w:szCs w:val="24"/>
        </w:rPr>
        <w:t xml:space="preserve"> </w:t>
      </w:r>
      <w:r w:rsidRPr="007A396A">
        <w:rPr>
          <w:rFonts w:eastAsiaTheme="majorEastAsia"/>
          <w:b/>
          <w:bCs/>
          <w:i/>
          <w:szCs w:val="24"/>
        </w:rPr>
        <w:t>sagaidāmie ieguvumi</w:t>
      </w:r>
      <w:r w:rsidRPr="000B6253">
        <w:rPr>
          <w:bCs/>
          <w:szCs w:val="24"/>
        </w:rPr>
        <w:t>:</w:t>
      </w:r>
    </w:p>
    <w:p w:rsidR="002812E8" w:rsidRPr="000B6253" w:rsidRDefault="002812E8" w:rsidP="00FB4B60">
      <w:pPr>
        <w:numPr>
          <w:ilvl w:val="0"/>
          <w:numId w:val="28"/>
        </w:numPr>
        <w:jc w:val="both"/>
        <w:rPr>
          <w:szCs w:val="24"/>
        </w:rPr>
      </w:pPr>
      <w:r>
        <w:rPr>
          <w:rFonts w:eastAsiaTheme="minorEastAsia"/>
          <w:szCs w:val="24"/>
        </w:rPr>
        <w:t>p</w:t>
      </w:r>
      <w:r w:rsidRPr="000B6253">
        <w:rPr>
          <w:rFonts w:eastAsiaTheme="minorEastAsia"/>
          <w:szCs w:val="24"/>
        </w:rPr>
        <w:t xml:space="preserve">askaidrojumos strukturētā veidā tiks ietverta informācija </w:t>
      </w:r>
      <w:r w:rsidRPr="00416868">
        <w:rPr>
          <w:rFonts w:eastAsiaTheme="minorEastAsia"/>
          <w:szCs w:val="24"/>
        </w:rPr>
        <w:t xml:space="preserve">par </w:t>
      </w:r>
      <w:r w:rsidRPr="00416868">
        <w:rPr>
          <w:rFonts w:eastAsiaTheme="minorEastAsia"/>
          <w:bCs/>
          <w:i/>
          <w:szCs w:val="24"/>
        </w:rPr>
        <w:t>papildu finansējuma piešķīrumiem</w:t>
      </w:r>
      <w:r w:rsidRPr="00416868">
        <w:rPr>
          <w:rFonts w:eastAsiaTheme="minorEastAsia"/>
          <w:szCs w:val="24"/>
        </w:rPr>
        <w:t xml:space="preserve"> (</w:t>
      </w:r>
      <w:r w:rsidR="00445E57" w:rsidRPr="00416868">
        <w:rPr>
          <w:bCs/>
          <w:szCs w:val="24"/>
        </w:rPr>
        <w:t>JPI</w:t>
      </w:r>
      <w:r w:rsidRPr="00416868">
        <w:rPr>
          <w:bCs/>
          <w:szCs w:val="24"/>
        </w:rPr>
        <w:t xml:space="preserve">, </w:t>
      </w:r>
      <w:r w:rsidRPr="00416868">
        <w:rPr>
          <w:rFonts w:eastAsiaTheme="minorEastAsia"/>
          <w:szCs w:val="24"/>
        </w:rPr>
        <w:t xml:space="preserve">citiem prioritāriem/neatliekamiem pasākumiem) un  </w:t>
      </w:r>
      <w:r w:rsidRPr="00416868">
        <w:rPr>
          <w:rFonts w:eastAsiaTheme="minorEastAsia"/>
          <w:bCs/>
          <w:szCs w:val="24"/>
        </w:rPr>
        <w:t xml:space="preserve">to </w:t>
      </w:r>
      <w:r w:rsidRPr="00416868">
        <w:rPr>
          <w:rFonts w:eastAsiaTheme="minorEastAsia"/>
          <w:bCs/>
          <w:i/>
          <w:szCs w:val="24"/>
        </w:rPr>
        <w:t>sasaisti ar politikas mērķiem un politikas rezultātiem</w:t>
      </w:r>
      <w:r w:rsidRPr="00416868">
        <w:rPr>
          <w:rFonts w:eastAsiaTheme="minorEastAsia"/>
          <w:szCs w:val="24"/>
        </w:rPr>
        <w:t>, kā arī sasniedzamajiem darbības rezultātiem un to rezultatīvajiem rādītājiem</w:t>
      </w:r>
      <w:r w:rsidRPr="00416868">
        <w:rPr>
          <w:szCs w:val="24"/>
        </w:rPr>
        <w:t>. Plānots, ka informācija varētu tikt atspoguļota par n+1, n</w:t>
      </w:r>
      <w:r w:rsidRPr="000B6253">
        <w:rPr>
          <w:szCs w:val="24"/>
        </w:rPr>
        <w:t>+2, n+3 gadiem</w:t>
      </w:r>
      <w:r>
        <w:rPr>
          <w:szCs w:val="24"/>
        </w:rPr>
        <w:t>;</w:t>
      </w:r>
    </w:p>
    <w:p w:rsidR="002812E8" w:rsidRPr="00416868" w:rsidRDefault="002812E8" w:rsidP="005172C9">
      <w:pPr>
        <w:numPr>
          <w:ilvl w:val="0"/>
          <w:numId w:val="28"/>
        </w:numPr>
        <w:ind w:left="714" w:hanging="357"/>
        <w:jc w:val="both"/>
        <w:rPr>
          <w:szCs w:val="24"/>
        </w:rPr>
      </w:pPr>
      <w:r>
        <w:rPr>
          <w:rFonts w:eastAsiaTheme="minorEastAsia"/>
          <w:szCs w:val="24"/>
        </w:rPr>
        <w:t>p</w:t>
      </w:r>
      <w:r w:rsidRPr="000B6253">
        <w:rPr>
          <w:rFonts w:eastAsiaTheme="minorEastAsia"/>
          <w:szCs w:val="24"/>
        </w:rPr>
        <w:t xml:space="preserve">askaidrojumi sniegs </w:t>
      </w:r>
      <w:r w:rsidRPr="00416868">
        <w:rPr>
          <w:rFonts w:eastAsiaTheme="minorEastAsia"/>
          <w:szCs w:val="24"/>
        </w:rPr>
        <w:t xml:space="preserve">skaidrāku priekšstatu par ministriju </w:t>
      </w:r>
      <w:r w:rsidRPr="00416868">
        <w:rPr>
          <w:rFonts w:eastAsiaTheme="minorEastAsia"/>
          <w:bCs/>
          <w:i/>
          <w:szCs w:val="24"/>
        </w:rPr>
        <w:t>budžeta programmās</w:t>
      </w:r>
      <w:r w:rsidRPr="00416868">
        <w:rPr>
          <w:rFonts w:eastAsiaTheme="minorEastAsia"/>
          <w:bCs/>
          <w:szCs w:val="24"/>
        </w:rPr>
        <w:t xml:space="preserve"> (apakšprogrammās) </w:t>
      </w:r>
      <w:r w:rsidRPr="00416868">
        <w:rPr>
          <w:rFonts w:eastAsiaTheme="minorEastAsia"/>
          <w:bCs/>
          <w:i/>
          <w:szCs w:val="24"/>
        </w:rPr>
        <w:t xml:space="preserve">plānotā finansējuma </w:t>
      </w:r>
      <w:r w:rsidRPr="00416868">
        <w:rPr>
          <w:rFonts w:eastAsiaTheme="minorEastAsia"/>
          <w:i/>
          <w:szCs w:val="24"/>
        </w:rPr>
        <w:t>sasaisti ar attīstības plānošanas dokumentos</w:t>
      </w:r>
      <w:r w:rsidRPr="00416868">
        <w:rPr>
          <w:rFonts w:eastAsiaTheme="minorEastAsia"/>
          <w:szCs w:val="24"/>
        </w:rPr>
        <w:t xml:space="preserve"> formulētajiem politikas mērķiem un politikas rezultātiem, lai atspoguļotu, kā </w:t>
      </w:r>
      <w:r w:rsidRPr="00416868">
        <w:rPr>
          <w:rFonts w:eastAsiaTheme="minorEastAsia"/>
          <w:i/>
          <w:szCs w:val="24"/>
        </w:rPr>
        <w:t>līdzekļi tiek izmantoti politikas mērķu sasniegšanai</w:t>
      </w:r>
      <w:r w:rsidRPr="00416868">
        <w:rPr>
          <w:rFonts w:eastAsiaTheme="minorEastAsia"/>
          <w:szCs w:val="24"/>
        </w:rPr>
        <w:t xml:space="preserve"> un funkciju/uzdevumu īstenošanai</w:t>
      </w:r>
      <w:r w:rsidRPr="00416868">
        <w:rPr>
          <w:szCs w:val="24"/>
        </w:rPr>
        <w:t>;</w:t>
      </w:r>
    </w:p>
    <w:p w:rsidR="002812E8" w:rsidRPr="00416868" w:rsidRDefault="002812E8" w:rsidP="005172C9">
      <w:pPr>
        <w:numPr>
          <w:ilvl w:val="0"/>
          <w:numId w:val="28"/>
        </w:numPr>
        <w:ind w:left="714" w:hanging="357"/>
        <w:jc w:val="both"/>
        <w:rPr>
          <w:szCs w:val="24"/>
        </w:rPr>
      </w:pPr>
      <w:r w:rsidRPr="00416868">
        <w:rPr>
          <w:rFonts w:eastAsiaTheme="minorEastAsia"/>
          <w:szCs w:val="24"/>
        </w:rPr>
        <w:t xml:space="preserve">uzlabosies budžeta dokumentācijas </w:t>
      </w:r>
      <w:r w:rsidRPr="00416868">
        <w:rPr>
          <w:rFonts w:eastAsiaTheme="minorEastAsia"/>
          <w:bCs/>
          <w:szCs w:val="24"/>
        </w:rPr>
        <w:t>uztveramība</w:t>
      </w:r>
      <w:r w:rsidRPr="00416868">
        <w:rPr>
          <w:rFonts w:eastAsiaTheme="minorEastAsia"/>
          <w:szCs w:val="24"/>
        </w:rPr>
        <w:t>, samazinot budžeta paskaidrojumos esošās tehniskās informācijas apjomu</w:t>
      </w:r>
      <w:r w:rsidRPr="00416868">
        <w:rPr>
          <w:szCs w:val="24"/>
        </w:rPr>
        <w:t>;</w:t>
      </w:r>
    </w:p>
    <w:p w:rsidR="002812E8" w:rsidRPr="00416868" w:rsidRDefault="002812E8" w:rsidP="005172C9">
      <w:pPr>
        <w:numPr>
          <w:ilvl w:val="0"/>
          <w:numId w:val="28"/>
        </w:numPr>
        <w:ind w:left="714" w:hanging="357"/>
        <w:jc w:val="both"/>
        <w:rPr>
          <w:szCs w:val="24"/>
        </w:rPr>
      </w:pPr>
      <w:r w:rsidRPr="00416868">
        <w:rPr>
          <w:szCs w:val="24"/>
        </w:rPr>
        <w:t>tiks izskatītas iespējas</w:t>
      </w:r>
      <w:r w:rsidRPr="00416868">
        <w:rPr>
          <w:rFonts w:eastAsiaTheme="minorEastAsia"/>
          <w:szCs w:val="24"/>
        </w:rPr>
        <w:t xml:space="preserve"> </w:t>
      </w:r>
      <w:r w:rsidRPr="00416868">
        <w:rPr>
          <w:rFonts w:eastAsiaTheme="minorEastAsia"/>
          <w:bCs/>
          <w:szCs w:val="24"/>
        </w:rPr>
        <w:t>racionalizēt</w:t>
      </w:r>
      <w:r w:rsidRPr="00416868">
        <w:rPr>
          <w:rFonts w:eastAsiaTheme="minorEastAsia"/>
          <w:szCs w:val="24"/>
        </w:rPr>
        <w:t xml:space="preserve"> budžeta paskaidrojumu sagatavošanu, nodrošinot, ka tiks izmantota uzkrātā informācija un ministrijām nebūs viena un tā pati informācija jāievada vairākās formās, tādējādi mazinot administratīvo slogu (tiks izmantota SAP programmā pieejamā informācija);</w:t>
      </w:r>
    </w:p>
    <w:p w:rsidR="002812E8" w:rsidRPr="00416868" w:rsidRDefault="002812E8" w:rsidP="005172C9">
      <w:pPr>
        <w:numPr>
          <w:ilvl w:val="0"/>
          <w:numId w:val="28"/>
        </w:numPr>
        <w:ind w:left="714" w:hanging="357"/>
        <w:jc w:val="both"/>
        <w:rPr>
          <w:bCs/>
          <w:szCs w:val="24"/>
        </w:rPr>
      </w:pPr>
      <w:r w:rsidRPr="00416868">
        <w:rPr>
          <w:bCs/>
          <w:szCs w:val="24"/>
        </w:rPr>
        <w:t xml:space="preserve">tiks izvērtēta iespēja jau šobrīd pastāvošās </w:t>
      </w:r>
      <w:r w:rsidRPr="00416868">
        <w:rPr>
          <w:bCs/>
          <w:i/>
          <w:szCs w:val="24"/>
        </w:rPr>
        <w:t>politikas rezultātu un to rezultatīvo rādītāju pases</w:t>
      </w:r>
      <w:r w:rsidRPr="00416868">
        <w:rPr>
          <w:bCs/>
          <w:szCs w:val="24"/>
        </w:rPr>
        <w:t xml:space="preserve"> (</w:t>
      </w:r>
      <w:r w:rsidRPr="00416868">
        <w:t>MK instrukcija Nr.16)</w:t>
      </w:r>
      <w:r w:rsidRPr="00416868">
        <w:rPr>
          <w:bCs/>
          <w:szCs w:val="24"/>
        </w:rPr>
        <w:t xml:space="preserve"> </w:t>
      </w:r>
      <w:r w:rsidRPr="00416868">
        <w:rPr>
          <w:bCs/>
          <w:i/>
          <w:szCs w:val="24"/>
        </w:rPr>
        <w:t xml:space="preserve">sasaistīt ar </w:t>
      </w:r>
      <w:r w:rsidRPr="00416868">
        <w:rPr>
          <w:i/>
          <w:szCs w:val="24"/>
        </w:rPr>
        <w:t>budžeta programmu pasi</w:t>
      </w:r>
      <w:r w:rsidRPr="00416868">
        <w:rPr>
          <w:szCs w:val="24"/>
        </w:rPr>
        <w:t>;</w:t>
      </w:r>
    </w:p>
    <w:p w:rsidR="00A960BD" w:rsidRPr="0077491A" w:rsidRDefault="004D2F0E" w:rsidP="00FB4B60">
      <w:pPr>
        <w:numPr>
          <w:ilvl w:val="0"/>
          <w:numId w:val="28"/>
        </w:numPr>
        <w:jc w:val="both"/>
        <w:rPr>
          <w:bCs/>
          <w:szCs w:val="24"/>
        </w:rPr>
      </w:pPr>
      <w:r w:rsidRPr="004D2F0E">
        <w:rPr>
          <w:szCs w:val="24"/>
        </w:rPr>
        <w:t xml:space="preserve">tiks izvērtēta iespēja nodrošināt informāciju par </w:t>
      </w:r>
      <w:r w:rsidR="00006DF5">
        <w:rPr>
          <w:szCs w:val="24"/>
        </w:rPr>
        <w:t>JPI</w:t>
      </w:r>
      <w:r w:rsidRPr="004D2F0E">
        <w:rPr>
          <w:szCs w:val="24"/>
        </w:rPr>
        <w:t xml:space="preserve"> pasākumu vidējam termiņam izpildi (cik lielā mērā rādītāji ir sasniegti – analītisku vērtējumu), pilnveidojot atskaitīšanās sistēmu. Šī informācija varēs tikt veiksmīgi izmantota analīzei pie budžeta plānošanas nākamajam saimnieciskajam gadam, lēmumu pieņemšanai par finansējuma piešķīrumiem. Būs redzama ieguldījumu atdeve.</w:t>
      </w:r>
      <w:r w:rsidR="002812E8" w:rsidRPr="006D6209">
        <w:rPr>
          <w:bCs/>
          <w:szCs w:val="24"/>
        </w:rPr>
        <w:t xml:space="preserve"> </w:t>
      </w:r>
    </w:p>
    <w:p w:rsidR="002812E8" w:rsidRPr="007A396A" w:rsidRDefault="002812E8" w:rsidP="002812E8">
      <w:pPr>
        <w:ind w:firstLine="360"/>
        <w:jc w:val="both"/>
        <w:rPr>
          <w:b/>
          <w:i/>
          <w:szCs w:val="24"/>
        </w:rPr>
      </w:pPr>
      <w:r w:rsidRPr="007A396A">
        <w:rPr>
          <w:b/>
          <w:i/>
          <w:szCs w:val="24"/>
        </w:rPr>
        <w:t>Budžeta programmu pases ieviešana:</w:t>
      </w:r>
    </w:p>
    <w:p w:rsidR="008955EC" w:rsidRDefault="00A960BD" w:rsidP="00C63E2E">
      <w:pPr>
        <w:ind w:firstLine="709"/>
        <w:jc w:val="both"/>
        <w:rPr>
          <w:bCs/>
          <w:szCs w:val="24"/>
        </w:rPr>
      </w:pPr>
      <w:r>
        <w:rPr>
          <w:szCs w:val="24"/>
        </w:rPr>
        <w:t>Ir</w:t>
      </w:r>
      <w:r w:rsidR="002812E8">
        <w:rPr>
          <w:szCs w:val="24"/>
        </w:rPr>
        <w:t xml:space="preserve"> izvērtē</w:t>
      </w:r>
      <w:r>
        <w:rPr>
          <w:szCs w:val="24"/>
        </w:rPr>
        <w:t>jama</w:t>
      </w:r>
      <w:r w:rsidR="002812E8">
        <w:rPr>
          <w:szCs w:val="24"/>
        </w:rPr>
        <w:t xml:space="preserve"> iespēj</w:t>
      </w:r>
      <w:r>
        <w:rPr>
          <w:szCs w:val="24"/>
        </w:rPr>
        <w:t>a</w:t>
      </w:r>
      <w:r w:rsidR="002812E8" w:rsidRPr="000B6253">
        <w:rPr>
          <w:szCs w:val="24"/>
        </w:rPr>
        <w:t xml:space="preserve"> izveidot</w:t>
      </w:r>
      <w:r w:rsidR="002812E8">
        <w:rPr>
          <w:szCs w:val="24"/>
        </w:rPr>
        <w:t xml:space="preserve"> </w:t>
      </w:r>
      <w:r w:rsidR="002812E8" w:rsidRPr="000B6253">
        <w:rPr>
          <w:szCs w:val="24"/>
        </w:rPr>
        <w:t>budžeta</w:t>
      </w:r>
      <w:r w:rsidR="002812E8">
        <w:rPr>
          <w:szCs w:val="24"/>
        </w:rPr>
        <w:t xml:space="preserve"> plānošanas dokumentu –</w:t>
      </w:r>
      <w:r w:rsidR="002812E8" w:rsidRPr="000B6253">
        <w:rPr>
          <w:szCs w:val="24"/>
        </w:rPr>
        <w:t xml:space="preserve"> budžeta programmu pasi </w:t>
      </w:r>
      <w:r w:rsidR="002812E8">
        <w:rPr>
          <w:szCs w:val="24"/>
        </w:rPr>
        <w:t>–</w:t>
      </w:r>
      <w:r w:rsidR="002812E8" w:rsidRPr="000B6253">
        <w:rPr>
          <w:szCs w:val="24"/>
        </w:rPr>
        <w:t xml:space="preserve"> strukturētu dokumentu, kur tiks uzkrāta </w:t>
      </w:r>
      <w:r w:rsidR="002812E8">
        <w:rPr>
          <w:szCs w:val="24"/>
        </w:rPr>
        <w:t xml:space="preserve">un aktualizēta </w:t>
      </w:r>
      <w:r w:rsidR="002812E8" w:rsidRPr="000B6253">
        <w:rPr>
          <w:szCs w:val="24"/>
        </w:rPr>
        <w:t>informācija par katru budžeta programmu (apakšprogrammu)</w:t>
      </w:r>
      <w:r w:rsidR="002812E8">
        <w:rPr>
          <w:szCs w:val="24"/>
        </w:rPr>
        <w:t xml:space="preserve"> un tās elementiem</w:t>
      </w:r>
      <w:r w:rsidR="00C501B7">
        <w:rPr>
          <w:szCs w:val="24"/>
        </w:rPr>
        <w:t xml:space="preserve"> </w:t>
      </w:r>
      <w:r w:rsidR="00C501B7" w:rsidRPr="00C501B7">
        <w:rPr>
          <w:szCs w:val="24"/>
        </w:rPr>
        <w:t>(zemākās funkcionāli neatkarīgās izmaksu vienības līmenī)</w:t>
      </w:r>
      <w:r w:rsidR="002812E8" w:rsidRPr="000B6253">
        <w:rPr>
          <w:szCs w:val="24"/>
        </w:rPr>
        <w:t xml:space="preserve">. Papildus pasē tiks atspoguļota sasaiste ar attīstības plānošanas dokumentos, normatīvajos aktos </w:t>
      </w:r>
      <w:r w:rsidR="002812E8" w:rsidRPr="000B6253">
        <w:rPr>
          <w:bCs/>
          <w:szCs w:val="24"/>
        </w:rPr>
        <w:t>minētajām politikas prioritātēm, virzieniem, mērķiem</w:t>
      </w:r>
      <w:r w:rsidR="002812E8" w:rsidRPr="000B6253">
        <w:rPr>
          <w:szCs w:val="24"/>
        </w:rPr>
        <w:t>,</w:t>
      </w:r>
      <w:r w:rsidR="002812E8" w:rsidRPr="000B6253">
        <w:rPr>
          <w:bCs/>
          <w:szCs w:val="24"/>
        </w:rPr>
        <w:t xml:space="preserve"> politikas rezultātiem</w:t>
      </w:r>
      <w:r w:rsidR="002812E8">
        <w:rPr>
          <w:bCs/>
          <w:szCs w:val="24"/>
        </w:rPr>
        <w:t xml:space="preserve"> un </w:t>
      </w:r>
      <w:r w:rsidR="002812E8" w:rsidRPr="000B6253">
        <w:rPr>
          <w:bCs/>
          <w:szCs w:val="24"/>
        </w:rPr>
        <w:t>politikas rezultatīvo rādītāju nosaukumiem,</w:t>
      </w:r>
      <w:r w:rsidR="002812E8" w:rsidRPr="000B6253">
        <w:rPr>
          <w:szCs w:val="24"/>
        </w:rPr>
        <w:t xml:space="preserve"> </w:t>
      </w:r>
      <w:r w:rsidR="002812E8" w:rsidRPr="000B6253">
        <w:rPr>
          <w:bCs/>
          <w:szCs w:val="24"/>
        </w:rPr>
        <w:t>darbības rezultātiem un darbības rezultatīvo rādītāju nosaukumiem, kas attiecas uz programmu (apakšprogrammu).</w:t>
      </w:r>
      <w:r w:rsidR="002812E8">
        <w:rPr>
          <w:bCs/>
          <w:szCs w:val="24"/>
        </w:rPr>
        <w:t xml:space="preserve"> Budžeta programmu pase tiks izmantota budžeta paskaidrojumu sagatavošanā, statiskajai budžeta programmas pases informācijai pievienojot aktualizējamo s</w:t>
      </w:r>
      <w:r w:rsidR="002812E8" w:rsidRPr="001974C7">
        <w:rPr>
          <w:bCs/>
          <w:szCs w:val="24"/>
        </w:rPr>
        <w:t>kaitlisko informāciju (finansiālos rādītājus, politikas rezultatīvo rādītāju un darbības rezultatīvo rādītāju skaitliskās vērtības)</w:t>
      </w:r>
      <w:r w:rsidR="002812E8">
        <w:rPr>
          <w:bCs/>
          <w:szCs w:val="24"/>
        </w:rPr>
        <w:t>.</w:t>
      </w:r>
      <w:bookmarkStart w:id="16" w:name="513581"/>
      <w:bookmarkEnd w:id="16"/>
    </w:p>
    <w:p w:rsidR="00C0577A" w:rsidRPr="006E35D8" w:rsidRDefault="00C0577A" w:rsidP="00FB4B60">
      <w:pPr>
        <w:pStyle w:val="Heading1"/>
        <w:numPr>
          <w:ilvl w:val="0"/>
          <w:numId w:val="3"/>
        </w:numPr>
        <w:rPr>
          <w:rFonts w:ascii="Times New Roman" w:hAnsi="Times New Roman" w:cs="Times New Roman"/>
          <w:b/>
          <w:color w:val="auto"/>
          <w:sz w:val="24"/>
          <w:szCs w:val="24"/>
        </w:rPr>
      </w:pPr>
      <w:bookmarkStart w:id="17" w:name="_Toc443558726"/>
      <w:r w:rsidRPr="006E35D8">
        <w:rPr>
          <w:rFonts w:ascii="Times New Roman" w:hAnsi="Times New Roman" w:cs="Times New Roman"/>
          <w:b/>
          <w:color w:val="auto"/>
          <w:sz w:val="24"/>
          <w:szCs w:val="24"/>
        </w:rPr>
        <w:t>Kopsavilkums</w:t>
      </w:r>
      <w:bookmarkEnd w:id="17"/>
    </w:p>
    <w:p w:rsidR="00C0577A" w:rsidRDefault="00C0577A" w:rsidP="004F1F83">
      <w:pPr>
        <w:jc w:val="both"/>
        <w:rPr>
          <w:bCs/>
          <w:szCs w:val="24"/>
        </w:rPr>
      </w:pPr>
    </w:p>
    <w:p w:rsidR="00064585" w:rsidRDefault="00064585" w:rsidP="00064585">
      <w:pPr>
        <w:ind w:firstLine="709"/>
        <w:jc w:val="both"/>
        <w:rPr>
          <w:bCs/>
          <w:szCs w:val="24"/>
        </w:rPr>
      </w:pPr>
      <w:r>
        <w:rPr>
          <w:bCs/>
          <w:szCs w:val="24"/>
        </w:rPr>
        <w:t>L</w:t>
      </w:r>
      <w:r w:rsidRPr="00064585">
        <w:rPr>
          <w:bCs/>
          <w:szCs w:val="24"/>
        </w:rPr>
        <w:t xml:space="preserve">ai nodrošinātu </w:t>
      </w:r>
      <w:r w:rsidR="00D16DE4">
        <w:rPr>
          <w:bCs/>
          <w:szCs w:val="24"/>
        </w:rPr>
        <w:t xml:space="preserve">uz rezultātiem balstītu valsts budžeta finansējuma </w:t>
      </w:r>
      <w:r w:rsidR="00A52A3B">
        <w:rPr>
          <w:bCs/>
          <w:szCs w:val="24"/>
        </w:rPr>
        <w:t xml:space="preserve">piešķiršanu un </w:t>
      </w:r>
      <w:r w:rsidR="00D16DE4">
        <w:rPr>
          <w:bCs/>
          <w:szCs w:val="24"/>
        </w:rPr>
        <w:t xml:space="preserve">izlietojumu, nepieciešams </w:t>
      </w:r>
      <w:r w:rsidR="00A52A3B">
        <w:rPr>
          <w:bCs/>
          <w:szCs w:val="24"/>
        </w:rPr>
        <w:t>fundamentāli pārskatīt rezultatīvo rādītāju sistēmas pielietojum</w:t>
      </w:r>
      <w:r w:rsidR="00DD3C30">
        <w:rPr>
          <w:bCs/>
          <w:szCs w:val="24"/>
        </w:rPr>
        <w:t>u</w:t>
      </w:r>
      <w:r w:rsidR="00A52A3B">
        <w:rPr>
          <w:bCs/>
          <w:szCs w:val="24"/>
        </w:rPr>
        <w:t xml:space="preserve"> budžeta izstrādes procesā. </w:t>
      </w:r>
      <w:r w:rsidR="00A179A5">
        <w:rPr>
          <w:bCs/>
          <w:szCs w:val="24"/>
        </w:rPr>
        <w:t>Šādas sistēmiskas izmaiņas ir veicamas ilgtermiņ</w:t>
      </w:r>
      <w:r w:rsidR="00F402CB">
        <w:rPr>
          <w:bCs/>
          <w:szCs w:val="24"/>
        </w:rPr>
        <w:t xml:space="preserve">ā. </w:t>
      </w:r>
      <w:r w:rsidR="00A52A3B">
        <w:rPr>
          <w:bCs/>
          <w:szCs w:val="24"/>
        </w:rPr>
        <w:t xml:space="preserve">Pieejas maiņai ir </w:t>
      </w:r>
      <w:r w:rsidR="00217162">
        <w:rPr>
          <w:bCs/>
          <w:szCs w:val="24"/>
        </w:rPr>
        <w:t xml:space="preserve">izvirzāmi </w:t>
      </w:r>
      <w:r w:rsidR="00A52A3B">
        <w:rPr>
          <w:bCs/>
          <w:szCs w:val="24"/>
        </w:rPr>
        <w:t>divi konceptuāli pamatmērķi:</w:t>
      </w:r>
    </w:p>
    <w:p w:rsidR="003E302B" w:rsidRDefault="003E302B" w:rsidP="00064585">
      <w:pPr>
        <w:ind w:firstLine="709"/>
        <w:jc w:val="both"/>
        <w:rPr>
          <w:bCs/>
          <w:szCs w:val="24"/>
        </w:rPr>
      </w:pPr>
    </w:p>
    <w:p w:rsidR="00A52A3B" w:rsidRDefault="00A52A3B" w:rsidP="00FB4B60">
      <w:pPr>
        <w:pStyle w:val="ListParagraph"/>
        <w:numPr>
          <w:ilvl w:val="0"/>
          <w:numId w:val="29"/>
        </w:numPr>
        <w:jc w:val="both"/>
        <w:rPr>
          <w:bCs/>
          <w:szCs w:val="24"/>
        </w:rPr>
      </w:pPr>
      <w:r>
        <w:rPr>
          <w:bCs/>
          <w:szCs w:val="24"/>
        </w:rPr>
        <w:t>Precīzi definēt, ko Latvijas iedzīvotāji iegūst no ieguldītajiem publiskajiem resursiem;</w:t>
      </w:r>
    </w:p>
    <w:p w:rsidR="00A52A3B" w:rsidRDefault="00A52A3B" w:rsidP="00FB4B60">
      <w:pPr>
        <w:pStyle w:val="ListParagraph"/>
        <w:numPr>
          <w:ilvl w:val="0"/>
          <w:numId w:val="29"/>
        </w:numPr>
        <w:jc w:val="both"/>
        <w:rPr>
          <w:bCs/>
          <w:szCs w:val="24"/>
        </w:rPr>
      </w:pPr>
      <w:r>
        <w:rPr>
          <w:bCs/>
          <w:szCs w:val="24"/>
        </w:rPr>
        <w:t xml:space="preserve">Pastāvīgi izstrādāt risinājumus, lai ekonomiskāk (lētāk) sasniegtu </w:t>
      </w:r>
      <w:r w:rsidR="00686734">
        <w:rPr>
          <w:bCs/>
          <w:szCs w:val="24"/>
        </w:rPr>
        <w:t xml:space="preserve">valstij </w:t>
      </w:r>
      <w:r>
        <w:rPr>
          <w:bCs/>
          <w:szCs w:val="24"/>
        </w:rPr>
        <w:t>vēlamo rezultātu.</w:t>
      </w:r>
    </w:p>
    <w:p w:rsidR="003E302B" w:rsidRDefault="003E302B" w:rsidP="00DD3C30">
      <w:pPr>
        <w:ind w:firstLine="720"/>
        <w:jc w:val="both"/>
        <w:rPr>
          <w:bCs/>
          <w:szCs w:val="24"/>
        </w:rPr>
      </w:pPr>
    </w:p>
    <w:p w:rsidR="004C73C7" w:rsidRDefault="000C20A4" w:rsidP="00DD3C30">
      <w:pPr>
        <w:ind w:firstLine="720"/>
        <w:jc w:val="both"/>
        <w:rPr>
          <w:rFonts w:eastAsia="Times New Roman" w:cs="Times New Roman"/>
          <w:szCs w:val="28"/>
          <w:lang w:eastAsia="lv-LV"/>
        </w:rPr>
      </w:pPr>
      <w:r>
        <w:rPr>
          <w:bCs/>
          <w:szCs w:val="24"/>
        </w:rPr>
        <w:t xml:space="preserve">Ņemot vērā starptautiski atzītos pētījumos konstatēto, kā arī </w:t>
      </w:r>
      <w:r w:rsidR="004C73C7">
        <w:rPr>
          <w:bCs/>
          <w:szCs w:val="24"/>
        </w:rPr>
        <w:t xml:space="preserve">ievērojot </w:t>
      </w:r>
      <w:r w:rsidR="004C73C7" w:rsidRPr="00AB155E">
        <w:rPr>
          <w:rFonts w:eastAsia="Times New Roman" w:cs="Times New Roman"/>
          <w:szCs w:val="28"/>
          <w:lang w:eastAsia="lv-LV"/>
        </w:rPr>
        <w:t xml:space="preserve">ES Padomes 2015.gada 14.jūlija ieteikumus Nr.2 un Nr.3 par Latvijas 2015.gada valsts reformu programmu un </w:t>
      </w:r>
      <w:r w:rsidR="004C73C7" w:rsidRPr="00AB155E">
        <w:rPr>
          <w:rFonts w:eastAsia="Times New Roman" w:cs="Times New Roman"/>
          <w:szCs w:val="28"/>
          <w:lang w:eastAsia="lv-LV"/>
        </w:rPr>
        <w:lastRenderedPageBreak/>
        <w:t>ar ko sniedz Padomes atzinumu par Latvijas 2015.gada stabilitātes programmu (2015/C 272/17), par prioritārajām</w:t>
      </w:r>
      <w:r w:rsidR="00644571">
        <w:rPr>
          <w:rFonts w:eastAsia="Times New Roman" w:cs="Times New Roman"/>
          <w:szCs w:val="28"/>
          <w:lang w:eastAsia="lv-LV"/>
        </w:rPr>
        <w:t xml:space="preserve"> sistēmisku izmaiņu veikšanā</w:t>
      </w:r>
      <w:r w:rsidR="004C73C7" w:rsidRPr="00AB155E">
        <w:rPr>
          <w:rFonts w:eastAsia="Times New Roman" w:cs="Times New Roman"/>
          <w:szCs w:val="28"/>
          <w:lang w:eastAsia="lv-LV"/>
        </w:rPr>
        <w:t xml:space="preserve"> </w:t>
      </w:r>
      <w:r w:rsidR="004C73C7">
        <w:rPr>
          <w:rFonts w:eastAsia="Times New Roman" w:cs="Times New Roman"/>
          <w:szCs w:val="28"/>
          <w:lang w:eastAsia="lv-LV"/>
        </w:rPr>
        <w:t>ir uzskatāmas:</w:t>
      </w:r>
    </w:p>
    <w:p w:rsidR="004C73C7" w:rsidRPr="004C73C7" w:rsidRDefault="00644571" w:rsidP="00FB4B60">
      <w:pPr>
        <w:pStyle w:val="ListParagraph"/>
        <w:numPr>
          <w:ilvl w:val="0"/>
          <w:numId w:val="31"/>
        </w:numPr>
        <w:jc w:val="both"/>
        <w:rPr>
          <w:bCs/>
          <w:szCs w:val="24"/>
        </w:rPr>
      </w:pPr>
      <w:r>
        <w:rPr>
          <w:rFonts w:eastAsia="Times New Roman" w:cs="Times New Roman"/>
          <w:szCs w:val="28"/>
          <w:lang w:eastAsia="lv-LV"/>
        </w:rPr>
        <w:t>V</w:t>
      </w:r>
      <w:r w:rsidR="004C73C7">
        <w:rPr>
          <w:rFonts w:eastAsia="Times New Roman" w:cs="Times New Roman"/>
          <w:szCs w:val="28"/>
          <w:lang w:eastAsia="lv-LV"/>
        </w:rPr>
        <w:t>eselības nozare;</w:t>
      </w:r>
    </w:p>
    <w:p w:rsidR="000C20A4" w:rsidRPr="004C73C7" w:rsidRDefault="00644571" w:rsidP="00FB4B60">
      <w:pPr>
        <w:pStyle w:val="ListParagraph"/>
        <w:numPr>
          <w:ilvl w:val="0"/>
          <w:numId w:val="31"/>
        </w:numPr>
        <w:jc w:val="both"/>
        <w:rPr>
          <w:bCs/>
          <w:szCs w:val="24"/>
        </w:rPr>
      </w:pPr>
      <w:r>
        <w:rPr>
          <w:rFonts w:eastAsia="Times New Roman" w:cs="Times New Roman"/>
          <w:szCs w:val="28"/>
          <w:lang w:eastAsia="lv-LV"/>
        </w:rPr>
        <w:t>I</w:t>
      </w:r>
      <w:r w:rsidR="004C73C7" w:rsidRPr="004C73C7">
        <w:rPr>
          <w:rFonts w:eastAsia="Times New Roman" w:cs="Times New Roman"/>
          <w:szCs w:val="28"/>
          <w:lang w:eastAsia="lv-LV"/>
        </w:rPr>
        <w:t>zglītības nozare.</w:t>
      </w:r>
    </w:p>
    <w:p w:rsidR="00340E9E" w:rsidRDefault="00340E9E" w:rsidP="00DD3C30">
      <w:pPr>
        <w:ind w:firstLine="720"/>
        <w:jc w:val="both"/>
        <w:rPr>
          <w:bCs/>
          <w:szCs w:val="24"/>
        </w:rPr>
      </w:pPr>
    </w:p>
    <w:p w:rsidR="00DD3C30" w:rsidRDefault="00DD3C30" w:rsidP="00DD3C30">
      <w:pPr>
        <w:ind w:firstLine="720"/>
        <w:jc w:val="both"/>
        <w:rPr>
          <w:bCs/>
          <w:szCs w:val="24"/>
        </w:rPr>
      </w:pPr>
      <w:r>
        <w:rPr>
          <w:bCs/>
          <w:szCs w:val="24"/>
        </w:rPr>
        <w:t>Augstāk minēto pamatmērķu sasniegšanai nepieciešams aktivizēt šādas vidējā termiņā prioritāri veicamās funkcijas:</w:t>
      </w:r>
    </w:p>
    <w:p w:rsidR="003E302B" w:rsidRDefault="003E302B" w:rsidP="00DD3C30">
      <w:pPr>
        <w:ind w:firstLine="720"/>
        <w:jc w:val="both"/>
        <w:rPr>
          <w:bCs/>
          <w:szCs w:val="24"/>
        </w:rPr>
      </w:pPr>
    </w:p>
    <w:p w:rsidR="00DD3C30" w:rsidRDefault="00DD3C30" w:rsidP="00FB4B60">
      <w:pPr>
        <w:pStyle w:val="ListParagraph"/>
        <w:numPr>
          <w:ilvl w:val="0"/>
          <w:numId w:val="30"/>
        </w:numPr>
        <w:jc w:val="both"/>
        <w:rPr>
          <w:bCs/>
          <w:szCs w:val="24"/>
        </w:rPr>
      </w:pPr>
      <w:r w:rsidRPr="00DD3C30">
        <w:rPr>
          <w:bCs/>
          <w:szCs w:val="24"/>
        </w:rPr>
        <w:t>Iespējami augstāka līmeņa rezultatīvo rādītāju integrēšana budžeta struktūrā</w:t>
      </w:r>
      <w:r>
        <w:rPr>
          <w:bCs/>
          <w:szCs w:val="24"/>
        </w:rPr>
        <w:t xml:space="preserve"> (t.sk.</w:t>
      </w:r>
      <w:r w:rsidR="00084DF3">
        <w:rPr>
          <w:bCs/>
          <w:szCs w:val="24"/>
        </w:rPr>
        <w:t>,</w:t>
      </w:r>
      <w:r>
        <w:rPr>
          <w:bCs/>
          <w:szCs w:val="24"/>
        </w:rPr>
        <w:t xml:space="preserve"> nepieciešamības gadījumā pārskatot budžeta programmu struktūru)</w:t>
      </w:r>
      <w:r w:rsidRPr="00DD3C30">
        <w:rPr>
          <w:bCs/>
          <w:szCs w:val="24"/>
        </w:rPr>
        <w:t>, papildus šā brīža hierarhiski zemākajam darbības rezultātu līmenim, iedzīvinot publisko izdevumu sasaisti ar sasniedzamajiem politikas rezultātiem</w:t>
      </w:r>
      <w:r>
        <w:rPr>
          <w:bCs/>
          <w:szCs w:val="24"/>
        </w:rPr>
        <w:t>;</w:t>
      </w:r>
    </w:p>
    <w:p w:rsidR="003E302B" w:rsidRPr="00DD3C30" w:rsidRDefault="003E302B" w:rsidP="00FB4B60">
      <w:pPr>
        <w:pStyle w:val="ListParagraph"/>
        <w:numPr>
          <w:ilvl w:val="0"/>
          <w:numId w:val="30"/>
        </w:numPr>
        <w:jc w:val="both"/>
        <w:rPr>
          <w:bCs/>
          <w:szCs w:val="24"/>
        </w:rPr>
      </w:pPr>
      <w:r>
        <w:rPr>
          <w:bCs/>
          <w:szCs w:val="24"/>
        </w:rPr>
        <w:t>I</w:t>
      </w:r>
      <w:r w:rsidRPr="003E302B">
        <w:rPr>
          <w:bCs/>
          <w:szCs w:val="24"/>
        </w:rPr>
        <w:t>zveidot un ieviest pastāvīgu nozarēs ieguldītā finansējuma un īstenotās nozaru politikas efektivitātes un ekonomiskuma analīzes modeli</w:t>
      </w:r>
      <w:r>
        <w:rPr>
          <w:bCs/>
          <w:szCs w:val="24"/>
        </w:rPr>
        <w:t>, pēc iespējas izmantojot starptautiski atzītu praksi un zinātniskos pētījumus;</w:t>
      </w:r>
    </w:p>
    <w:p w:rsidR="00DD3C30" w:rsidRDefault="00DD3C30" w:rsidP="00FB4B60">
      <w:pPr>
        <w:pStyle w:val="ListParagraph"/>
        <w:numPr>
          <w:ilvl w:val="0"/>
          <w:numId w:val="30"/>
        </w:numPr>
        <w:jc w:val="both"/>
        <w:rPr>
          <w:bCs/>
          <w:szCs w:val="24"/>
        </w:rPr>
      </w:pPr>
      <w:r w:rsidRPr="00DD3C30">
        <w:rPr>
          <w:bCs/>
          <w:szCs w:val="24"/>
        </w:rPr>
        <w:t>Budžeta programmām piesaistīto mērķu un rezultatīvo rādītāju pārformulēšana, padarot tos izmantojamus</w:t>
      </w:r>
      <w:r>
        <w:rPr>
          <w:bCs/>
          <w:szCs w:val="24"/>
        </w:rPr>
        <w:t xml:space="preserve"> analītiskiem mērķiem</w:t>
      </w:r>
      <w:r w:rsidR="00085381">
        <w:rPr>
          <w:bCs/>
          <w:szCs w:val="24"/>
        </w:rPr>
        <w:t xml:space="preserve"> (efektivitātes un produktivitātes mērījumiem)</w:t>
      </w:r>
      <w:r>
        <w:rPr>
          <w:bCs/>
          <w:szCs w:val="24"/>
        </w:rPr>
        <w:t>;</w:t>
      </w:r>
    </w:p>
    <w:p w:rsidR="00DD3C30" w:rsidRDefault="00DD3C30" w:rsidP="00FB4B60">
      <w:pPr>
        <w:pStyle w:val="ListParagraph"/>
        <w:numPr>
          <w:ilvl w:val="0"/>
          <w:numId w:val="30"/>
        </w:numPr>
        <w:jc w:val="both"/>
        <w:rPr>
          <w:bCs/>
          <w:szCs w:val="24"/>
        </w:rPr>
      </w:pPr>
      <w:r w:rsidRPr="00DD3C30">
        <w:rPr>
          <w:bCs/>
          <w:szCs w:val="24"/>
        </w:rPr>
        <w:t>Regulāra izdevumu pārskatīšana, koncentrējot resursu iespējami augstākas prioritātes izdevumiem</w:t>
      </w:r>
      <w:r w:rsidR="00085381">
        <w:rPr>
          <w:bCs/>
          <w:szCs w:val="24"/>
        </w:rPr>
        <w:t xml:space="preserve"> atbilstoši attīstības plānošanas dokumentos definētajiem mērķiem</w:t>
      </w:r>
      <w:r>
        <w:rPr>
          <w:bCs/>
          <w:szCs w:val="24"/>
        </w:rPr>
        <w:t>;</w:t>
      </w:r>
    </w:p>
    <w:p w:rsidR="00E83E8F" w:rsidRDefault="00E83E8F" w:rsidP="00FB4B60">
      <w:pPr>
        <w:pStyle w:val="ListParagraph"/>
        <w:numPr>
          <w:ilvl w:val="0"/>
          <w:numId w:val="30"/>
        </w:numPr>
        <w:jc w:val="both"/>
        <w:rPr>
          <w:bCs/>
          <w:szCs w:val="24"/>
        </w:rPr>
      </w:pPr>
      <w:r>
        <w:rPr>
          <w:bCs/>
          <w:szCs w:val="24"/>
        </w:rPr>
        <w:t>Budžeta attīstības daļas izdevumu (pasākumu)</w:t>
      </w:r>
      <w:r w:rsidRPr="00DD3C30">
        <w:rPr>
          <w:bCs/>
          <w:szCs w:val="24"/>
        </w:rPr>
        <w:t xml:space="preserve"> analīze, ieviešot resoru sākotnēji iecerēto mērķu sasniegšanas starpposma un </w:t>
      </w:r>
      <w:r w:rsidRPr="00084DF3">
        <w:rPr>
          <w:bCs/>
          <w:i/>
          <w:szCs w:val="24"/>
        </w:rPr>
        <w:t>ex-post</w:t>
      </w:r>
      <w:r w:rsidRPr="00DD3C30">
        <w:rPr>
          <w:bCs/>
          <w:szCs w:val="24"/>
        </w:rPr>
        <w:t xml:space="preserve"> uzraudzību, atlasot neefektīvus, aktualitāti zaudējušus vai neīstenotus pasākumus</w:t>
      </w:r>
      <w:r>
        <w:rPr>
          <w:bCs/>
          <w:szCs w:val="24"/>
        </w:rPr>
        <w:t>;</w:t>
      </w:r>
    </w:p>
    <w:p w:rsidR="00DD3C30" w:rsidRDefault="00DD3C30" w:rsidP="00FB4B60">
      <w:pPr>
        <w:pStyle w:val="ListParagraph"/>
        <w:numPr>
          <w:ilvl w:val="0"/>
          <w:numId w:val="30"/>
        </w:numPr>
        <w:jc w:val="both"/>
        <w:rPr>
          <w:bCs/>
          <w:szCs w:val="24"/>
        </w:rPr>
      </w:pPr>
      <w:r w:rsidRPr="00DD3C30">
        <w:rPr>
          <w:bCs/>
          <w:szCs w:val="24"/>
        </w:rPr>
        <w:t>Izvērtēt valsts budžeta elastības instrumentu ietekmi uz konkrētām programmām piešķirto budžeta līdzekļu mērķtiecīgu izlietošanu</w:t>
      </w:r>
      <w:r>
        <w:rPr>
          <w:bCs/>
          <w:szCs w:val="24"/>
        </w:rPr>
        <w:t>;</w:t>
      </w:r>
    </w:p>
    <w:p w:rsidR="00DD3C30" w:rsidRDefault="00DD3C30" w:rsidP="00F044A7">
      <w:pPr>
        <w:pStyle w:val="ListParagraph"/>
        <w:numPr>
          <w:ilvl w:val="0"/>
          <w:numId w:val="30"/>
        </w:numPr>
        <w:jc w:val="both"/>
        <w:rPr>
          <w:bCs/>
          <w:szCs w:val="24"/>
        </w:rPr>
      </w:pPr>
      <w:r>
        <w:rPr>
          <w:bCs/>
          <w:szCs w:val="24"/>
        </w:rPr>
        <w:t>A</w:t>
      </w:r>
      <w:r w:rsidRPr="00DD3C30">
        <w:rPr>
          <w:bCs/>
          <w:szCs w:val="24"/>
        </w:rPr>
        <w:t xml:space="preserve">tsevišķu izdevumu veidu horizontāla analīze, kur ir pielietojamas atsauces vērtības uz tirgus cenām, kur ir konstatējamas ekonomiski neracionālas vidēja termiņa izdevumu </w:t>
      </w:r>
      <w:r w:rsidR="00F044A7" w:rsidRPr="00F044A7">
        <w:rPr>
          <w:bCs/>
          <w:szCs w:val="24"/>
        </w:rPr>
        <w:t xml:space="preserve">izmaiņu tendences </w:t>
      </w:r>
      <w:r w:rsidR="00ED015E" w:rsidRPr="00ED015E">
        <w:rPr>
          <w:bCs/>
          <w:szCs w:val="24"/>
        </w:rPr>
        <w:t>vai izdevumu mainība nesaistīta ar sociālekonomisko raksturlielumu izmaiņām, piemēram, izmaiņas iedzīvotāju skaitā, mācību iestāžu audzēkņu skaitā u.tml.;</w:t>
      </w:r>
    </w:p>
    <w:p w:rsidR="00DD3C30" w:rsidRDefault="00DD3C30" w:rsidP="00FB4B60">
      <w:pPr>
        <w:pStyle w:val="ListParagraph"/>
        <w:numPr>
          <w:ilvl w:val="0"/>
          <w:numId w:val="30"/>
        </w:numPr>
        <w:jc w:val="both"/>
        <w:rPr>
          <w:bCs/>
          <w:szCs w:val="24"/>
        </w:rPr>
      </w:pPr>
      <w:r>
        <w:rPr>
          <w:bCs/>
          <w:szCs w:val="24"/>
        </w:rPr>
        <w:t>N</w:t>
      </w:r>
      <w:r w:rsidRPr="00DD3C30">
        <w:rPr>
          <w:bCs/>
          <w:szCs w:val="24"/>
        </w:rPr>
        <w:t>ulles budžeta principa ieviešana attiecībā uz šai sistēmai piemērotām valsts budžeta programmām vai apakšprogrammām</w:t>
      </w:r>
      <w:r w:rsidR="003E302B">
        <w:rPr>
          <w:bCs/>
          <w:szCs w:val="24"/>
        </w:rPr>
        <w:t>;</w:t>
      </w:r>
    </w:p>
    <w:p w:rsidR="003E302B" w:rsidRDefault="003E302B" w:rsidP="00FB4B60">
      <w:pPr>
        <w:pStyle w:val="ListParagraph"/>
        <w:numPr>
          <w:ilvl w:val="0"/>
          <w:numId w:val="30"/>
        </w:numPr>
        <w:jc w:val="both"/>
        <w:rPr>
          <w:bCs/>
          <w:szCs w:val="24"/>
        </w:rPr>
      </w:pPr>
      <w:r w:rsidRPr="003E302B">
        <w:rPr>
          <w:bCs/>
          <w:szCs w:val="24"/>
        </w:rPr>
        <w:t>Budžeta paskaidrojumu pilnveidošana, lai sniegtu informāciju par budžetu kā politikas realizācijas instrumentu</w:t>
      </w:r>
      <w:r w:rsidR="00E83E8F">
        <w:rPr>
          <w:bCs/>
          <w:szCs w:val="24"/>
        </w:rPr>
        <w:t>.</w:t>
      </w:r>
    </w:p>
    <w:p w:rsidR="00476159" w:rsidRDefault="00476159" w:rsidP="00045DDD">
      <w:pPr>
        <w:pStyle w:val="BodyText"/>
        <w:tabs>
          <w:tab w:val="left" w:pos="900"/>
          <w:tab w:val="left" w:pos="7088"/>
        </w:tabs>
        <w:rPr>
          <w:szCs w:val="28"/>
          <w:lang w:val="lv-LV"/>
        </w:rPr>
      </w:pPr>
    </w:p>
    <w:p w:rsidR="00084DF3" w:rsidRDefault="00084DF3" w:rsidP="00045DDD">
      <w:pPr>
        <w:pStyle w:val="BodyText"/>
        <w:tabs>
          <w:tab w:val="left" w:pos="900"/>
          <w:tab w:val="left" w:pos="7088"/>
        </w:tabs>
        <w:rPr>
          <w:szCs w:val="28"/>
          <w:lang w:val="lv-LV"/>
        </w:rPr>
      </w:pPr>
    </w:p>
    <w:p w:rsidR="00084DF3" w:rsidRDefault="00084DF3" w:rsidP="00045DDD">
      <w:pPr>
        <w:pStyle w:val="BodyText"/>
        <w:tabs>
          <w:tab w:val="left" w:pos="900"/>
          <w:tab w:val="left" w:pos="7088"/>
        </w:tabs>
        <w:rPr>
          <w:szCs w:val="28"/>
          <w:lang w:val="lv-LV"/>
        </w:rPr>
      </w:pPr>
    </w:p>
    <w:p w:rsidR="00045DDD" w:rsidRPr="00F01244" w:rsidRDefault="008F388E" w:rsidP="00F01244">
      <w:pPr>
        <w:pStyle w:val="BodyText"/>
        <w:tabs>
          <w:tab w:val="left" w:pos="900"/>
          <w:tab w:val="left" w:pos="7088"/>
        </w:tabs>
        <w:ind w:firstLine="426"/>
        <w:rPr>
          <w:sz w:val="24"/>
          <w:szCs w:val="24"/>
          <w:lang w:val="lv-LV"/>
        </w:rPr>
      </w:pPr>
      <w:r>
        <w:rPr>
          <w:sz w:val="24"/>
          <w:szCs w:val="24"/>
          <w:lang w:val="lv-LV"/>
        </w:rPr>
        <w:t>F</w:t>
      </w:r>
      <w:r w:rsidR="00045DDD" w:rsidRPr="00F01244">
        <w:rPr>
          <w:sz w:val="24"/>
          <w:szCs w:val="24"/>
          <w:lang w:val="lv-LV"/>
        </w:rPr>
        <w:t>inanšu ministre                                                                     D.</w:t>
      </w:r>
      <w:r w:rsidR="00F01244" w:rsidRPr="00F01244">
        <w:rPr>
          <w:sz w:val="24"/>
          <w:szCs w:val="24"/>
          <w:lang w:val="lv-LV"/>
        </w:rPr>
        <w:t xml:space="preserve"> </w:t>
      </w:r>
      <w:r w:rsidR="00045DDD" w:rsidRPr="00F01244">
        <w:rPr>
          <w:bCs/>
          <w:sz w:val="24"/>
          <w:szCs w:val="24"/>
          <w:lang w:val="lv-LV"/>
        </w:rPr>
        <w:t>Reizniece</w:t>
      </w:r>
      <w:r w:rsidR="005172C9">
        <w:rPr>
          <w:sz w:val="24"/>
          <w:szCs w:val="24"/>
          <w:lang w:val="lv-LV"/>
        </w:rPr>
        <w:t>-</w:t>
      </w:r>
      <w:r w:rsidR="00045DDD" w:rsidRPr="00F01244">
        <w:rPr>
          <w:bCs/>
          <w:sz w:val="24"/>
          <w:szCs w:val="24"/>
          <w:lang w:val="lv-LV"/>
        </w:rPr>
        <w:t>Ozola</w:t>
      </w:r>
      <w:r w:rsidR="00045DDD" w:rsidRPr="00F01244">
        <w:rPr>
          <w:sz w:val="24"/>
          <w:szCs w:val="24"/>
          <w:lang w:val="lv-LV"/>
        </w:rPr>
        <w:t xml:space="preserve">        </w:t>
      </w:r>
    </w:p>
    <w:p w:rsidR="00FA1242" w:rsidRDefault="00FA1242" w:rsidP="00A11F37">
      <w:pPr>
        <w:tabs>
          <w:tab w:val="left" w:pos="2350"/>
        </w:tabs>
        <w:rPr>
          <w:szCs w:val="24"/>
        </w:rPr>
      </w:pPr>
    </w:p>
    <w:p w:rsidR="00FA1242" w:rsidRDefault="00FA1242" w:rsidP="00A11F37">
      <w:pPr>
        <w:tabs>
          <w:tab w:val="left" w:pos="2350"/>
        </w:tabs>
        <w:rPr>
          <w:szCs w:val="24"/>
        </w:rPr>
      </w:pPr>
    </w:p>
    <w:p w:rsidR="00084DF3" w:rsidRDefault="00084DF3" w:rsidP="00A11F37">
      <w:pPr>
        <w:tabs>
          <w:tab w:val="left" w:pos="2350"/>
        </w:tabs>
        <w:rPr>
          <w:szCs w:val="24"/>
        </w:rPr>
      </w:pPr>
    </w:p>
    <w:p w:rsidR="00084DF3" w:rsidRDefault="00084DF3" w:rsidP="00A11F37">
      <w:pPr>
        <w:tabs>
          <w:tab w:val="left" w:pos="2350"/>
        </w:tabs>
        <w:rPr>
          <w:szCs w:val="24"/>
        </w:rPr>
      </w:pPr>
    </w:p>
    <w:p w:rsidR="003353F8" w:rsidRDefault="003353F8" w:rsidP="00A11F37">
      <w:pPr>
        <w:tabs>
          <w:tab w:val="left" w:pos="2350"/>
        </w:tabs>
        <w:rPr>
          <w:szCs w:val="24"/>
        </w:rPr>
      </w:pPr>
    </w:p>
    <w:p w:rsidR="003353F8" w:rsidRDefault="003353F8" w:rsidP="00A11F37">
      <w:pPr>
        <w:tabs>
          <w:tab w:val="left" w:pos="2350"/>
        </w:tabs>
        <w:rPr>
          <w:szCs w:val="24"/>
        </w:rPr>
      </w:pPr>
    </w:p>
    <w:p w:rsidR="00084DF3" w:rsidRDefault="00084DF3" w:rsidP="00A11F37">
      <w:pPr>
        <w:tabs>
          <w:tab w:val="left" w:pos="2350"/>
        </w:tabs>
        <w:rPr>
          <w:szCs w:val="24"/>
        </w:rPr>
      </w:pPr>
    </w:p>
    <w:p w:rsidR="00084DF3" w:rsidRDefault="00084DF3" w:rsidP="00A11F37">
      <w:pPr>
        <w:tabs>
          <w:tab w:val="left" w:pos="2350"/>
        </w:tabs>
        <w:rPr>
          <w:szCs w:val="24"/>
        </w:rPr>
      </w:pPr>
    </w:p>
    <w:p w:rsidR="00FA1242" w:rsidRPr="00F01244" w:rsidRDefault="00FB2B4D" w:rsidP="00FA1242">
      <w:pPr>
        <w:pStyle w:val="BodyText"/>
        <w:tabs>
          <w:tab w:val="left" w:pos="900"/>
          <w:tab w:val="left" w:pos="7088"/>
        </w:tabs>
        <w:rPr>
          <w:sz w:val="18"/>
          <w:szCs w:val="18"/>
          <w:lang w:val="lv-LV"/>
        </w:rPr>
      </w:pPr>
      <w:r>
        <w:rPr>
          <w:sz w:val="18"/>
          <w:szCs w:val="18"/>
        </w:rPr>
        <w:t>18.02.2016 12:12</w:t>
      </w:r>
    </w:p>
    <w:p w:rsidR="00FA1242" w:rsidRPr="00F01244" w:rsidRDefault="00FA1242" w:rsidP="00FA1242">
      <w:pPr>
        <w:rPr>
          <w:rFonts w:eastAsia="Times New Roman" w:cs="Times New Roman"/>
          <w:sz w:val="18"/>
          <w:szCs w:val="18"/>
          <w:lang w:eastAsia="lv-LV"/>
        </w:rPr>
      </w:pPr>
      <w:r w:rsidRPr="00F01244">
        <w:rPr>
          <w:rFonts w:eastAsia="Times New Roman" w:cs="Times New Roman"/>
          <w:sz w:val="18"/>
          <w:szCs w:val="18"/>
          <w:lang w:eastAsia="lv-LV"/>
        </w:rPr>
        <w:fldChar w:fldCharType="begin"/>
      </w:r>
      <w:r w:rsidRPr="00F01244">
        <w:rPr>
          <w:rFonts w:eastAsia="Times New Roman" w:cs="Times New Roman"/>
          <w:sz w:val="18"/>
          <w:szCs w:val="18"/>
          <w:lang w:eastAsia="lv-LV"/>
        </w:rPr>
        <w:instrText xml:space="preserve"> NUMWORDS   \* MERGEFORMAT </w:instrText>
      </w:r>
      <w:r w:rsidRPr="00F01244">
        <w:rPr>
          <w:rFonts w:eastAsia="Times New Roman" w:cs="Times New Roman"/>
          <w:sz w:val="18"/>
          <w:szCs w:val="18"/>
          <w:lang w:eastAsia="lv-LV"/>
        </w:rPr>
        <w:fldChar w:fldCharType="separate"/>
      </w:r>
      <w:r w:rsidR="004C714B">
        <w:rPr>
          <w:rFonts w:eastAsia="Times New Roman" w:cs="Times New Roman"/>
          <w:noProof/>
          <w:sz w:val="18"/>
          <w:szCs w:val="18"/>
          <w:lang w:eastAsia="lv-LV"/>
        </w:rPr>
        <w:t>8869</w:t>
      </w:r>
      <w:r w:rsidRPr="00F01244">
        <w:rPr>
          <w:rFonts w:eastAsia="Times New Roman" w:cs="Times New Roman"/>
          <w:sz w:val="18"/>
          <w:szCs w:val="18"/>
          <w:lang w:eastAsia="lv-LV"/>
        </w:rPr>
        <w:fldChar w:fldCharType="end"/>
      </w:r>
    </w:p>
    <w:p w:rsidR="00FA1242" w:rsidRPr="00F01244" w:rsidRDefault="00FA1242" w:rsidP="00FA1242">
      <w:pPr>
        <w:rPr>
          <w:rFonts w:eastAsia="Times New Roman" w:cs="Times New Roman"/>
          <w:sz w:val="18"/>
          <w:szCs w:val="18"/>
          <w:lang w:eastAsia="lv-LV"/>
        </w:rPr>
      </w:pPr>
      <w:r w:rsidRPr="00F01244">
        <w:rPr>
          <w:rFonts w:eastAsia="Times New Roman" w:cs="Times New Roman"/>
          <w:sz w:val="18"/>
          <w:szCs w:val="18"/>
          <w:lang w:eastAsia="lv-LV"/>
        </w:rPr>
        <w:t>A.Baumanis</w:t>
      </w:r>
    </w:p>
    <w:p w:rsidR="00FA1242" w:rsidRPr="005172C9" w:rsidRDefault="00FA1242" w:rsidP="00FA1242">
      <w:pPr>
        <w:rPr>
          <w:rFonts w:eastAsia="Times New Roman" w:cs="Times New Roman"/>
          <w:sz w:val="18"/>
          <w:szCs w:val="18"/>
          <w:lang w:eastAsia="lv-LV"/>
        </w:rPr>
      </w:pPr>
      <w:r w:rsidRPr="00F01244">
        <w:rPr>
          <w:rFonts w:eastAsia="Times New Roman" w:cs="Times New Roman"/>
          <w:sz w:val="18"/>
          <w:szCs w:val="18"/>
          <w:lang w:eastAsia="lv-LV"/>
        </w:rPr>
        <w:t xml:space="preserve">67083981, </w:t>
      </w:r>
      <w:hyperlink r:id="rId19" w:history="1">
        <w:r w:rsidRPr="005172C9">
          <w:rPr>
            <w:rStyle w:val="Hyperlink"/>
            <w:rFonts w:eastAsia="Times New Roman" w:cs="Times New Roman"/>
            <w:color w:val="auto"/>
            <w:sz w:val="18"/>
            <w:szCs w:val="18"/>
            <w:lang w:eastAsia="lv-LV"/>
          </w:rPr>
          <w:t>Andris.Baumanis@fm.gov.lv</w:t>
        </w:r>
      </w:hyperlink>
      <w:r w:rsidRPr="005172C9">
        <w:rPr>
          <w:rFonts w:eastAsia="Times New Roman" w:cs="Times New Roman"/>
          <w:sz w:val="18"/>
          <w:szCs w:val="18"/>
          <w:lang w:eastAsia="lv-LV"/>
        </w:rPr>
        <w:t xml:space="preserve"> </w:t>
      </w:r>
    </w:p>
    <w:p w:rsidR="00FA1242" w:rsidRPr="005172C9" w:rsidRDefault="00FA1242" w:rsidP="00FA1242">
      <w:pPr>
        <w:rPr>
          <w:rFonts w:eastAsia="Times New Roman" w:cs="Times New Roman"/>
          <w:sz w:val="18"/>
          <w:szCs w:val="18"/>
          <w:lang w:eastAsia="lv-LV"/>
        </w:rPr>
      </w:pPr>
      <w:r w:rsidRPr="005172C9">
        <w:rPr>
          <w:rFonts w:eastAsia="Times New Roman" w:cs="Times New Roman"/>
          <w:sz w:val="18"/>
          <w:szCs w:val="18"/>
          <w:lang w:eastAsia="lv-LV"/>
        </w:rPr>
        <w:t>K.Stafecka</w:t>
      </w:r>
    </w:p>
    <w:p w:rsidR="00064585" w:rsidRPr="005172C9" w:rsidRDefault="00FA1242" w:rsidP="00F01244">
      <w:pPr>
        <w:rPr>
          <w:rFonts w:eastAsia="Times New Roman" w:cs="Times New Roman"/>
          <w:sz w:val="18"/>
          <w:szCs w:val="18"/>
          <w:lang w:eastAsia="lv-LV"/>
        </w:rPr>
      </w:pPr>
      <w:bookmarkStart w:id="18" w:name="_GoBack"/>
      <w:r w:rsidRPr="005172C9">
        <w:rPr>
          <w:rFonts w:eastAsia="Times New Roman" w:cs="Times New Roman"/>
          <w:sz w:val="18"/>
          <w:szCs w:val="18"/>
          <w:lang w:eastAsia="lv-LV"/>
        </w:rPr>
        <w:t xml:space="preserve">67095438, </w:t>
      </w:r>
      <w:hyperlink r:id="rId20" w:history="1">
        <w:r w:rsidR="005A3AF9" w:rsidRPr="005172C9">
          <w:rPr>
            <w:rStyle w:val="Hyperlink"/>
            <w:rFonts w:eastAsia="Times New Roman" w:cs="Times New Roman"/>
            <w:color w:val="auto"/>
            <w:sz w:val="18"/>
            <w:szCs w:val="18"/>
            <w:lang w:eastAsia="lv-LV"/>
          </w:rPr>
          <w:t>Klinta.Stafecka@fm.gov.lv</w:t>
        </w:r>
      </w:hyperlink>
      <w:r w:rsidR="005A3AF9" w:rsidRPr="005172C9">
        <w:rPr>
          <w:rFonts w:eastAsia="Times New Roman" w:cs="Times New Roman"/>
          <w:sz w:val="18"/>
          <w:szCs w:val="18"/>
          <w:lang w:eastAsia="lv-LV"/>
        </w:rPr>
        <w:t xml:space="preserve"> </w:t>
      </w:r>
      <w:r w:rsidR="00A11F37" w:rsidRPr="005172C9">
        <w:rPr>
          <w:szCs w:val="24"/>
        </w:rPr>
        <w:tab/>
      </w:r>
      <w:bookmarkEnd w:id="18"/>
    </w:p>
    <w:sectPr w:rsidR="00064585" w:rsidRPr="005172C9" w:rsidSect="00B54831">
      <w:headerReference w:type="default" r:id="rId21"/>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16" w:rsidRDefault="00464A16" w:rsidP="00B97114">
      <w:r>
        <w:separator/>
      </w:r>
    </w:p>
  </w:endnote>
  <w:endnote w:type="continuationSeparator" w:id="0">
    <w:p w:rsidR="00464A16" w:rsidRDefault="00464A16" w:rsidP="00B9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F3" w:rsidRPr="00F01244" w:rsidRDefault="00084DF3" w:rsidP="00F01244">
    <w:pPr>
      <w:pStyle w:val="naisf"/>
      <w:spacing w:before="0" w:beforeAutospacing="0" w:after="0" w:afterAutospacing="0"/>
      <w:jc w:val="both"/>
      <w:rPr>
        <w:rFonts w:eastAsia="Calibri"/>
        <w:sz w:val="26"/>
        <w:szCs w:val="26"/>
        <w:lang w:eastAsia="en-US"/>
      </w:rPr>
    </w:pPr>
    <w:r w:rsidRPr="00BC2490">
      <w:rPr>
        <w:sz w:val="20"/>
      </w:rPr>
      <w:fldChar w:fldCharType="begin"/>
    </w:r>
    <w:r w:rsidRPr="00BC2490">
      <w:rPr>
        <w:sz w:val="20"/>
      </w:rPr>
      <w:instrText xml:space="preserve"> FILENAME   \* MERGEFORMAT </w:instrText>
    </w:r>
    <w:r w:rsidRPr="00BC2490">
      <w:rPr>
        <w:sz w:val="20"/>
      </w:rPr>
      <w:fldChar w:fldCharType="separate"/>
    </w:r>
    <w:r w:rsidR="00CF6826">
      <w:rPr>
        <w:noProof/>
        <w:sz w:val="20"/>
      </w:rPr>
      <w:t>FMZino_180216_ziņojums_pārskatīšana.docx</w:t>
    </w:r>
    <w:r w:rsidRPr="00BC2490">
      <w:rPr>
        <w:sz w:val="20"/>
      </w:rPr>
      <w:fldChar w:fldCharType="end"/>
    </w:r>
    <w:r w:rsidRPr="00BC2490">
      <w:rPr>
        <w:sz w:val="20"/>
      </w:rPr>
      <w:t xml:space="preserve">; </w:t>
    </w:r>
    <w:r w:rsidRPr="005A2976">
      <w:rPr>
        <w:sz w:val="20"/>
      </w:rPr>
      <w:t>Par informatīv</w:t>
    </w:r>
    <w:r>
      <w:rPr>
        <w:sz w:val="20"/>
      </w:rPr>
      <w:t xml:space="preserve">o ziņojumu </w:t>
    </w:r>
    <w:r w:rsidRPr="004B4431">
      <w:rPr>
        <w:rFonts w:eastAsia="Calibri"/>
        <w:sz w:val="20"/>
        <w:szCs w:val="20"/>
        <w:lang w:eastAsia="en-US"/>
      </w:rPr>
      <w:t>“Paveiktie un plānotie pasākumi, ieviešot budžeta sistēmu, kas balstīta uz attīstības plānošanas dokumentu mērķu sasniegšanu”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16" w:rsidRDefault="00464A16" w:rsidP="00B97114">
      <w:r>
        <w:separator/>
      </w:r>
    </w:p>
  </w:footnote>
  <w:footnote w:type="continuationSeparator" w:id="0">
    <w:p w:rsidR="00464A16" w:rsidRDefault="00464A16" w:rsidP="00B97114">
      <w:r>
        <w:continuationSeparator/>
      </w:r>
    </w:p>
  </w:footnote>
  <w:footnote w:id="1">
    <w:p w:rsidR="00084DF3" w:rsidRPr="00084DF3" w:rsidRDefault="00084DF3" w:rsidP="00F8615F">
      <w:pPr>
        <w:pStyle w:val="FootnoteText"/>
        <w:jc w:val="both"/>
      </w:pPr>
      <w:r w:rsidRPr="00084DF3">
        <w:rPr>
          <w:rStyle w:val="FootnoteReference"/>
        </w:rPr>
        <w:footnoteRef/>
      </w:r>
      <w:r w:rsidRPr="00084DF3">
        <w:t xml:space="preserve"> Informatīvais ziņojums par vidēja termiņa budžeta plānošanas pilnveidošanas iespējām, Finanšu ministrija, 2014.gada decembris</w:t>
      </w:r>
    </w:p>
  </w:footnote>
  <w:footnote w:id="2">
    <w:p w:rsidR="00084DF3" w:rsidRPr="00084DF3" w:rsidRDefault="00084DF3" w:rsidP="00434C09">
      <w:pPr>
        <w:pStyle w:val="FootnoteText"/>
        <w:jc w:val="both"/>
      </w:pPr>
      <w:r w:rsidRPr="00084DF3">
        <w:rPr>
          <w:rStyle w:val="FootnoteReference"/>
        </w:rPr>
        <w:footnoteRef/>
      </w:r>
      <w:r w:rsidRPr="00084DF3">
        <w:t xml:space="preserve"> </w:t>
      </w:r>
      <w:r w:rsidRPr="00084DF3">
        <w:rPr>
          <w:i/>
        </w:rPr>
        <w:t>Defining an Using Performance Indicators and Targets in Government M&amp;E Systems</w:t>
      </w:r>
      <w:r w:rsidRPr="00084DF3">
        <w:t xml:space="preserve"> </w:t>
      </w:r>
    </w:p>
    <w:p w:rsidR="00084DF3" w:rsidRPr="00084DF3" w:rsidRDefault="00084DF3" w:rsidP="00434C09">
      <w:pPr>
        <w:pStyle w:val="FootnoteText"/>
        <w:jc w:val="both"/>
      </w:pPr>
      <w:r w:rsidRPr="00084DF3">
        <w:t>Pie</w:t>
      </w:r>
      <w:r w:rsidRPr="005172C9">
        <w:t xml:space="preserve">ejams: </w:t>
      </w:r>
      <w:hyperlink r:id="rId1" w:history="1">
        <w:r w:rsidRPr="005172C9">
          <w:rPr>
            <w:rStyle w:val="Hyperlink"/>
            <w:color w:val="auto"/>
          </w:rPr>
          <w:t>http://siteresources.worldbank.org/INTPOVERTY/Resources/335642-1276521901256/ME12_v2.pdf</w:t>
        </w:r>
      </w:hyperlink>
    </w:p>
  </w:footnote>
  <w:footnote w:id="3">
    <w:p w:rsidR="00084DF3" w:rsidRPr="00176E54" w:rsidRDefault="00084DF3" w:rsidP="00A37B90">
      <w:pPr>
        <w:jc w:val="both"/>
        <w:rPr>
          <w:sz w:val="16"/>
          <w:szCs w:val="16"/>
        </w:rPr>
      </w:pPr>
      <w:r w:rsidRPr="00176E54">
        <w:rPr>
          <w:rStyle w:val="FootnoteReference"/>
          <w:sz w:val="16"/>
          <w:szCs w:val="16"/>
        </w:rPr>
        <w:footnoteRef/>
      </w:r>
      <w:r w:rsidRPr="00176E54">
        <w:rPr>
          <w:sz w:val="16"/>
          <w:szCs w:val="16"/>
        </w:rPr>
        <w:t xml:space="preserve"> Ņemot vērā to, ka gala termiņš detalizētu likuma “Par valsts budžetu 2016.gadam” paskaidrojumu sagatavošanai ir 2016.gada 18.februāris, FM analizējot ministriju budžeta programmām (apakšprogrammām) definētos mērķus izmantoja likuma “Par valsts budžetu 2015.gadam” paskaidrojumus. </w:t>
      </w:r>
    </w:p>
  </w:footnote>
  <w:footnote w:id="4">
    <w:p w:rsidR="00084DF3" w:rsidRPr="00176E54" w:rsidRDefault="00084DF3" w:rsidP="00A37B90">
      <w:pPr>
        <w:jc w:val="both"/>
        <w:rPr>
          <w:sz w:val="16"/>
          <w:szCs w:val="16"/>
        </w:rPr>
      </w:pPr>
      <w:r w:rsidRPr="00176E54">
        <w:rPr>
          <w:rStyle w:val="FootnoteReference"/>
          <w:sz w:val="16"/>
          <w:szCs w:val="16"/>
        </w:rPr>
        <w:footnoteRef/>
      </w:r>
      <w:r w:rsidRPr="00176E54">
        <w:rPr>
          <w:sz w:val="16"/>
          <w:szCs w:val="16"/>
        </w:rPr>
        <w:t xml:space="preserve"> Atbilstoši minētajiem kritērijiem analizēti arī Valsts prezidenta kancelejas, Saeimas, Tiesībsarga biroja, Sabiedrisko pakalpojumu regulēšanas komisijas, Valsts kontroles, Augstākās tiesas, Satversmes tiesas, Prokuratūras, Radio un televīzijas (turpmāk – neatkarīgās iestādes) budžeta programmām (apakšprogrammām) definētie mērķi.</w:t>
      </w:r>
    </w:p>
  </w:footnote>
  <w:footnote w:id="5">
    <w:p w:rsidR="00084DF3" w:rsidRPr="00084DF3" w:rsidRDefault="00084DF3" w:rsidP="0031615E">
      <w:pPr>
        <w:pStyle w:val="FootnoteText"/>
      </w:pPr>
      <w:r w:rsidRPr="00084DF3">
        <w:rPr>
          <w:rStyle w:val="FootnoteReference"/>
        </w:rPr>
        <w:footnoteRef/>
      </w:r>
      <w:r w:rsidRPr="00084DF3">
        <w:t xml:space="preserve"> Informācija no valsts budžeta paskaidrojumi likumam “Par valsts budžetu 2015.gadam”, </w:t>
      </w:r>
      <w:hyperlink r:id="rId2" w:history="1">
        <w:r w:rsidRPr="005172C9">
          <w:rPr>
            <w:rStyle w:val="Hyperlink"/>
            <w:color w:val="auto"/>
          </w:rPr>
          <w:t>http://www.fm.gov.lv/files/valstsbudzets/budzetapaskaidrojumi/FMPask_O_020315_bud2015_1.pdf</w:t>
        </w:r>
      </w:hyperlink>
      <w:r w:rsidRPr="005172C9">
        <w:t xml:space="preserve"> </w:t>
      </w:r>
    </w:p>
  </w:footnote>
  <w:footnote w:id="6">
    <w:p w:rsidR="00084DF3" w:rsidRPr="00084DF3" w:rsidRDefault="00084DF3">
      <w:pPr>
        <w:pStyle w:val="FootnoteText"/>
      </w:pPr>
      <w:r w:rsidRPr="00084DF3">
        <w:rPr>
          <w:rStyle w:val="FootnoteReference"/>
        </w:rPr>
        <w:footnoteRef/>
      </w:r>
      <w:r w:rsidRPr="00084DF3">
        <w:t xml:space="preserve"> Turpat </w:t>
      </w:r>
    </w:p>
  </w:footnote>
  <w:footnote w:id="7">
    <w:p w:rsidR="00084DF3" w:rsidRPr="00084DF3" w:rsidRDefault="00084DF3" w:rsidP="00661E39">
      <w:pPr>
        <w:pStyle w:val="FootnoteText"/>
      </w:pPr>
      <w:r w:rsidRPr="00084DF3">
        <w:rPr>
          <w:rStyle w:val="FootnoteReference"/>
        </w:rPr>
        <w:footnoteRef/>
      </w:r>
      <w:r w:rsidRPr="00084DF3">
        <w:t xml:space="preserve"> Informācija no valsts budžeta paskaidrojumi likumam “Par valsts budžetu 2015.gadam”, </w:t>
      </w:r>
      <w:hyperlink r:id="rId3" w:history="1">
        <w:r w:rsidRPr="005172C9">
          <w:rPr>
            <w:rStyle w:val="Hyperlink"/>
            <w:color w:val="auto"/>
          </w:rPr>
          <w:t>http://www.fm.gov.lv/files/valstsbudzets/budzetapaskaidrojumi/FMPask_P_020315_bud2015_1.pdf</w:t>
        </w:r>
      </w:hyperlink>
      <w:r w:rsidRPr="005172C9">
        <w:t xml:space="preserve"> </w:t>
      </w:r>
    </w:p>
  </w:footnote>
  <w:footnote w:id="8">
    <w:p w:rsidR="00084DF3" w:rsidRPr="00084DF3" w:rsidRDefault="00084DF3" w:rsidP="00661E39">
      <w:pPr>
        <w:pStyle w:val="FootnoteText"/>
      </w:pPr>
      <w:r w:rsidRPr="00084DF3">
        <w:rPr>
          <w:rStyle w:val="FootnoteReference"/>
        </w:rPr>
        <w:footnoteRef/>
      </w:r>
      <w:r w:rsidRPr="00084DF3">
        <w:t xml:space="preserve"> Turpat</w:t>
      </w:r>
    </w:p>
  </w:footnote>
  <w:footnote w:id="9">
    <w:p w:rsidR="00084DF3" w:rsidRPr="005172C9" w:rsidRDefault="00084DF3" w:rsidP="00A413B4">
      <w:pPr>
        <w:pStyle w:val="FootnoteText"/>
      </w:pPr>
      <w:r w:rsidRPr="00661E39">
        <w:rPr>
          <w:rStyle w:val="FootnoteReference"/>
        </w:rPr>
        <w:footnoteRef/>
      </w:r>
      <w:r w:rsidRPr="00661E39">
        <w:t xml:space="preserve"> Informācija no valsts budžeta paskaidrojumi likumam “Par valsts budžetu 2015.gadam”, </w:t>
      </w:r>
      <w:hyperlink r:id="rId4" w:history="1">
        <w:r w:rsidRPr="005172C9">
          <w:rPr>
            <w:rStyle w:val="Hyperlink"/>
            <w:color w:val="auto"/>
          </w:rPr>
          <w:t>http://www.fm.gov.lv/files/valstsbudzets/budzetapaskaidrojumi/FMPask_AA_020315_bud2015_1.pdf</w:t>
        </w:r>
      </w:hyperlink>
      <w:r w:rsidRPr="005172C9">
        <w:t xml:space="preserve"> </w:t>
      </w:r>
    </w:p>
  </w:footnote>
  <w:footnote w:id="10">
    <w:p w:rsidR="00084DF3" w:rsidRPr="005172C9" w:rsidRDefault="00084DF3" w:rsidP="00E9703D">
      <w:pPr>
        <w:pStyle w:val="FootnoteText"/>
      </w:pPr>
      <w:r w:rsidRPr="005172C9">
        <w:rPr>
          <w:rStyle w:val="FootnoteReference"/>
        </w:rPr>
        <w:footnoteRef/>
      </w:r>
      <w:r w:rsidRPr="005172C9">
        <w:t xml:space="preserve"> </w:t>
      </w:r>
      <w:r w:rsidRPr="005172C9">
        <w:rPr>
          <w:i/>
        </w:rPr>
        <w:t>A set of performance indicators across the health and aged care system</w:t>
      </w:r>
      <w:r w:rsidRPr="005172C9">
        <w:t xml:space="preserve"> Pieejams: </w:t>
      </w:r>
      <w:hyperlink r:id="rId5" w:history="1">
        <w:r w:rsidRPr="005172C9">
          <w:rPr>
            <w:rStyle w:val="Hyperlink"/>
            <w:color w:val="auto"/>
          </w:rPr>
          <w:t>http://www.aihw.gov.au/WorkArea/DownloadAsset.aspx?id=6442471955</w:t>
        </w:r>
      </w:hyperlink>
      <w:r w:rsidRPr="005172C9">
        <w:t xml:space="preserve"> </w:t>
      </w:r>
    </w:p>
  </w:footnote>
  <w:footnote w:id="11">
    <w:p w:rsidR="00084DF3" w:rsidRPr="00434C09" w:rsidRDefault="00084DF3">
      <w:pPr>
        <w:pStyle w:val="FootnoteText"/>
        <w:rPr>
          <w:sz w:val="16"/>
          <w:szCs w:val="16"/>
        </w:rPr>
      </w:pPr>
      <w:r w:rsidRPr="005172C9">
        <w:rPr>
          <w:rStyle w:val="FootnoteReference"/>
        </w:rPr>
        <w:footnoteRef/>
      </w:r>
      <w:r w:rsidRPr="005172C9">
        <w:t xml:space="preserve"> Pieejams: </w:t>
      </w:r>
      <w:hyperlink r:id="rId6" w:history="1">
        <w:r w:rsidRPr="005172C9">
          <w:rPr>
            <w:rStyle w:val="Hyperlink"/>
            <w:color w:val="auto"/>
          </w:rPr>
          <w:t>http://www.aihw.gov.au/WorkArea/DownloadAsset.aspx?id=6442471955</w:t>
        </w:r>
      </w:hyperlink>
    </w:p>
  </w:footnote>
  <w:footnote w:id="12">
    <w:p w:rsidR="00084DF3" w:rsidRPr="00661E39" w:rsidRDefault="00084DF3" w:rsidP="000C20A4">
      <w:pPr>
        <w:pStyle w:val="FootnoteText"/>
        <w:jc w:val="both"/>
      </w:pPr>
      <w:r w:rsidRPr="00661E39">
        <w:rPr>
          <w:rStyle w:val="FootnoteReference"/>
        </w:rPr>
        <w:footnoteRef/>
      </w:r>
      <w:r w:rsidRPr="00661E39">
        <w:t xml:space="preserve"> European Commission, </w:t>
      </w:r>
      <w:r w:rsidRPr="00661E39">
        <w:rPr>
          <w:i/>
        </w:rPr>
        <w:t>Quality of public expenditure</w:t>
      </w:r>
      <w:r w:rsidRPr="00661E39">
        <w:t xml:space="preserve"> (Note to the Economic Policy Committee (Eurogroup formation), 2016.gads</w:t>
      </w:r>
    </w:p>
  </w:footnote>
  <w:footnote w:id="13">
    <w:p w:rsidR="00084DF3" w:rsidRPr="00661E39" w:rsidRDefault="00084DF3" w:rsidP="000C20A4">
      <w:pPr>
        <w:pStyle w:val="FootnoteText"/>
        <w:jc w:val="both"/>
      </w:pPr>
      <w:r w:rsidRPr="00661E39">
        <w:rPr>
          <w:rStyle w:val="FootnoteReference"/>
        </w:rPr>
        <w:footnoteRef/>
      </w:r>
      <w:r w:rsidRPr="00661E39">
        <w:t xml:space="preserve"> European Commission, </w:t>
      </w:r>
      <w:r w:rsidRPr="00661E39">
        <w:rPr>
          <w:i/>
        </w:rPr>
        <w:t>Quality of public expenditure</w:t>
      </w:r>
      <w:r w:rsidRPr="00661E39">
        <w:t xml:space="preserve"> (Note to the Economic Policy Committee (Eurogroup formation), 2016.gads</w:t>
      </w:r>
    </w:p>
  </w:footnote>
  <w:footnote w:id="14">
    <w:p w:rsidR="00084DF3" w:rsidRPr="00661E39" w:rsidRDefault="00084DF3" w:rsidP="000C20A4">
      <w:pPr>
        <w:pStyle w:val="FootnoteText"/>
        <w:jc w:val="both"/>
      </w:pPr>
      <w:r w:rsidRPr="00661E39">
        <w:rPr>
          <w:rStyle w:val="FootnoteReference"/>
        </w:rPr>
        <w:footnoteRef/>
      </w:r>
      <w:r w:rsidRPr="00661E39">
        <w:t xml:space="preserve"> </w:t>
      </w:r>
      <w:r w:rsidR="00661E39" w:rsidRPr="00661E39">
        <w:t>Turpat</w:t>
      </w:r>
    </w:p>
  </w:footnote>
  <w:footnote w:id="15">
    <w:p w:rsidR="00084DF3" w:rsidRPr="00661E39" w:rsidRDefault="00084DF3" w:rsidP="000C20A4">
      <w:pPr>
        <w:pStyle w:val="FootnoteText"/>
      </w:pPr>
      <w:r w:rsidRPr="00661E39">
        <w:rPr>
          <w:rStyle w:val="FootnoteReference"/>
        </w:rPr>
        <w:footnoteRef/>
      </w:r>
      <w:r w:rsidRPr="00661E39">
        <w:t xml:space="preserve"> Turpat</w:t>
      </w:r>
    </w:p>
  </w:footnote>
  <w:footnote w:id="16">
    <w:p w:rsidR="00084DF3" w:rsidRPr="00661E39" w:rsidRDefault="00084DF3" w:rsidP="000C20A4">
      <w:pPr>
        <w:pStyle w:val="FootnoteText"/>
        <w:jc w:val="both"/>
      </w:pPr>
      <w:r w:rsidRPr="00661E39">
        <w:rPr>
          <w:rStyle w:val="FootnoteReference"/>
        </w:rPr>
        <w:footnoteRef/>
      </w:r>
      <w:r w:rsidRPr="00661E39">
        <w:t xml:space="preserve"> Turpat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393836"/>
      <w:docPartObj>
        <w:docPartGallery w:val="Page Numbers (Top of Page)"/>
        <w:docPartUnique/>
      </w:docPartObj>
    </w:sdtPr>
    <w:sdtEndPr>
      <w:rPr>
        <w:noProof/>
      </w:rPr>
    </w:sdtEndPr>
    <w:sdtContent>
      <w:p w:rsidR="00084DF3" w:rsidRDefault="00084DF3">
        <w:pPr>
          <w:pStyle w:val="Header"/>
          <w:jc w:val="right"/>
        </w:pPr>
        <w:r>
          <w:fldChar w:fldCharType="begin"/>
        </w:r>
        <w:r>
          <w:instrText xml:space="preserve"> PAGE   \* MERGEFORMAT </w:instrText>
        </w:r>
        <w:r>
          <w:fldChar w:fldCharType="separate"/>
        </w:r>
        <w:r w:rsidR="008C4C36">
          <w:rPr>
            <w:noProof/>
          </w:rPr>
          <w:t>27</w:t>
        </w:r>
        <w:r>
          <w:rPr>
            <w:noProof/>
          </w:rPr>
          <w:fldChar w:fldCharType="end"/>
        </w:r>
      </w:p>
    </w:sdtContent>
  </w:sdt>
  <w:p w:rsidR="00084DF3" w:rsidRDefault="00084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4BB7"/>
    <w:multiLevelType w:val="hybridMultilevel"/>
    <w:tmpl w:val="E72E892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0C8B5AE8"/>
    <w:multiLevelType w:val="hybridMultilevel"/>
    <w:tmpl w:val="C7A450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1B09CD"/>
    <w:multiLevelType w:val="hybridMultilevel"/>
    <w:tmpl w:val="6E728E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713C9A"/>
    <w:multiLevelType w:val="hybridMultilevel"/>
    <w:tmpl w:val="334C6AF2"/>
    <w:lvl w:ilvl="0" w:tplc="D0EA5DB4">
      <w:start w:val="1"/>
      <w:numFmt w:val="bullet"/>
      <w:lvlText w:val=""/>
      <w:lvlJc w:val="left"/>
      <w:pPr>
        <w:ind w:left="992" w:hanging="283"/>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nsid w:val="212538AD"/>
    <w:multiLevelType w:val="multilevel"/>
    <w:tmpl w:val="A23E96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940BAD"/>
    <w:multiLevelType w:val="hybridMultilevel"/>
    <w:tmpl w:val="393AB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C667AD"/>
    <w:multiLevelType w:val="hybridMultilevel"/>
    <w:tmpl w:val="523AD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552687B"/>
    <w:multiLevelType w:val="hybridMultilevel"/>
    <w:tmpl w:val="0BDC7520"/>
    <w:lvl w:ilvl="0" w:tplc="04260001">
      <w:start w:val="1"/>
      <w:numFmt w:val="bullet"/>
      <w:lvlText w:val=""/>
      <w:lvlJc w:val="left"/>
      <w:pPr>
        <w:tabs>
          <w:tab w:val="num" w:pos="720"/>
        </w:tabs>
        <w:ind w:left="720" w:hanging="360"/>
      </w:pPr>
      <w:rPr>
        <w:rFonts w:ascii="Symbol" w:hAnsi="Symbol" w:hint="default"/>
      </w:rPr>
    </w:lvl>
    <w:lvl w:ilvl="1" w:tplc="1D9656E4" w:tentative="1">
      <w:start w:val="1"/>
      <w:numFmt w:val="bullet"/>
      <w:lvlText w:val="•"/>
      <w:lvlJc w:val="left"/>
      <w:pPr>
        <w:tabs>
          <w:tab w:val="num" w:pos="1440"/>
        </w:tabs>
        <w:ind w:left="1440" w:hanging="360"/>
      </w:pPr>
      <w:rPr>
        <w:rFonts w:ascii="Times New Roman" w:hAnsi="Times New Roman" w:hint="default"/>
      </w:rPr>
    </w:lvl>
    <w:lvl w:ilvl="2" w:tplc="E5EADA92" w:tentative="1">
      <w:start w:val="1"/>
      <w:numFmt w:val="bullet"/>
      <w:lvlText w:val="•"/>
      <w:lvlJc w:val="left"/>
      <w:pPr>
        <w:tabs>
          <w:tab w:val="num" w:pos="2160"/>
        </w:tabs>
        <w:ind w:left="2160" w:hanging="360"/>
      </w:pPr>
      <w:rPr>
        <w:rFonts w:ascii="Times New Roman" w:hAnsi="Times New Roman" w:hint="default"/>
      </w:rPr>
    </w:lvl>
    <w:lvl w:ilvl="3" w:tplc="B2F60B3C" w:tentative="1">
      <w:start w:val="1"/>
      <w:numFmt w:val="bullet"/>
      <w:lvlText w:val="•"/>
      <w:lvlJc w:val="left"/>
      <w:pPr>
        <w:tabs>
          <w:tab w:val="num" w:pos="2880"/>
        </w:tabs>
        <w:ind w:left="2880" w:hanging="360"/>
      </w:pPr>
      <w:rPr>
        <w:rFonts w:ascii="Times New Roman" w:hAnsi="Times New Roman" w:hint="default"/>
      </w:rPr>
    </w:lvl>
    <w:lvl w:ilvl="4" w:tplc="46A0F380" w:tentative="1">
      <w:start w:val="1"/>
      <w:numFmt w:val="bullet"/>
      <w:lvlText w:val="•"/>
      <w:lvlJc w:val="left"/>
      <w:pPr>
        <w:tabs>
          <w:tab w:val="num" w:pos="3600"/>
        </w:tabs>
        <w:ind w:left="3600" w:hanging="360"/>
      </w:pPr>
      <w:rPr>
        <w:rFonts w:ascii="Times New Roman" w:hAnsi="Times New Roman" w:hint="default"/>
      </w:rPr>
    </w:lvl>
    <w:lvl w:ilvl="5" w:tplc="2C96E402" w:tentative="1">
      <w:start w:val="1"/>
      <w:numFmt w:val="bullet"/>
      <w:lvlText w:val="•"/>
      <w:lvlJc w:val="left"/>
      <w:pPr>
        <w:tabs>
          <w:tab w:val="num" w:pos="4320"/>
        </w:tabs>
        <w:ind w:left="4320" w:hanging="360"/>
      </w:pPr>
      <w:rPr>
        <w:rFonts w:ascii="Times New Roman" w:hAnsi="Times New Roman" w:hint="default"/>
      </w:rPr>
    </w:lvl>
    <w:lvl w:ilvl="6" w:tplc="A808D4D6" w:tentative="1">
      <w:start w:val="1"/>
      <w:numFmt w:val="bullet"/>
      <w:lvlText w:val="•"/>
      <w:lvlJc w:val="left"/>
      <w:pPr>
        <w:tabs>
          <w:tab w:val="num" w:pos="5040"/>
        </w:tabs>
        <w:ind w:left="5040" w:hanging="360"/>
      </w:pPr>
      <w:rPr>
        <w:rFonts w:ascii="Times New Roman" w:hAnsi="Times New Roman" w:hint="default"/>
      </w:rPr>
    </w:lvl>
    <w:lvl w:ilvl="7" w:tplc="985C6758" w:tentative="1">
      <w:start w:val="1"/>
      <w:numFmt w:val="bullet"/>
      <w:lvlText w:val="•"/>
      <w:lvlJc w:val="left"/>
      <w:pPr>
        <w:tabs>
          <w:tab w:val="num" w:pos="5760"/>
        </w:tabs>
        <w:ind w:left="5760" w:hanging="360"/>
      </w:pPr>
      <w:rPr>
        <w:rFonts w:ascii="Times New Roman" w:hAnsi="Times New Roman" w:hint="default"/>
      </w:rPr>
    </w:lvl>
    <w:lvl w:ilvl="8" w:tplc="3208D5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512DC8"/>
    <w:multiLevelType w:val="hybridMultilevel"/>
    <w:tmpl w:val="B43E50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1C58F7"/>
    <w:multiLevelType w:val="hybridMultilevel"/>
    <w:tmpl w:val="0FD00672"/>
    <w:lvl w:ilvl="0" w:tplc="8E5CCE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DA3C88"/>
    <w:multiLevelType w:val="hybridMultilevel"/>
    <w:tmpl w:val="79F29940"/>
    <w:lvl w:ilvl="0" w:tplc="EBE0B9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4B6ED3"/>
    <w:multiLevelType w:val="hybridMultilevel"/>
    <w:tmpl w:val="BEE25E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456B60"/>
    <w:multiLevelType w:val="hybridMultilevel"/>
    <w:tmpl w:val="1B445E3E"/>
    <w:lvl w:ilvl="0" w:tplc="04260001">
      <w:start w:val="1"/>
      <w:numFmt w:val="bullet"/>
      <w:lvlText w:val=""/>
      <w:lvlJc w:val="left"/>
      <w:pPr>
        <w:tabs>
          <w:tab w:val="num" w:pos="720"/>
        </w:tabs>
        <w:ind w:left="720" w:hanging="360"/>
      </w:pPr>
      <w:rPr>
        <w:rFonts w:ascii="Symbol" w:hAnsi="Symbol" w:hint="default"/>
      </w:rPr>
    </w:lvl>
    <w:lvl w:ilvl="1" w:tplc="4C8E687C" w:tentative="1">
      <w:start w:val="1"/>
      <w:numFmt w:val="bullet"/>
      <w:lvlText w:val="•"/>
      <w:lvlJc w:val="left"/>
      <w:pPr>
        <w:tabs>
          <w:tab w:val="num" w:pos="1440"/>
        </w:tabs>
        <w:ind w:left="1440" w:hanging="360"/>
      </w:pPr>
      <w:rPr>
        <w:rFonts w:ascii="Arial" w:hAnsi="Arial" w:hint="default"/>
      </w:rPr>
    </w:lvl>
    <w:lvl w:ilvl="2" w:tplc="C8C81B3C" w:tentative="1">
      <w:start w:val="1"/>
      <w:numFmt w:val="bullet"/>
      <w:lvlText w:val="•"/>
      <w:lvlJc w:val="left"/>
      <w:pPr>
        <w:tabs>
          <w:tab w:val="num" w:pos="2160"/>
        </w:tabs>
        <w:ind w:left="2160" w:hanging="360"/>
      </w:pPr>
      <w:rPr>
        <w:rFonts w:ascii="Arial" w:hAnsi="Arial" w:hint="default"/>
      </w:rPr>
    </w:lvl>
    <w:lvl w:ilvl="3" w:tplc="0BB0CA0E" w:tentative="1">
      <w:start w:val="1"/>
      <w:numFmt w:val="bullet"/>
      <w:lvlText w:val="•"/>
      <w:lvlJc w:val="left"/>
      <w:pPr>
        <w:tabs>
          <w:tab w:val="num" w:pos="2880"/>
        </w:tabs>
        <w:ind w:left="2880" w:hanging="360"/>
      </w:pPr>
      <w:rPr>
        <w:rFonts w:ascii="Arial" w:hAnsi="Arial" w:hint="default"/>
      </w:rPr>
    </w:lvl>
    <w:lvl w:ilvl="4" w:tplc="1E8A1118" w:tentative="1">
      <w:start w:val="1"/>
      <w:numFmt w:val="bullet"/>
      <w:lvlText w:val="•"/>
      <w:lvlJc w:val="left"/>
      <w:pPr>
        <w:tabs>
          <w:tab w:val="num" w:pos="3600"/>
        </w:tabs>
        <w:ind w:left="3600" w:hanging="360"/>
      </w:pPr>
      <w:rPr>
        <w:rFonts w:ascii="Arial" w:hAnsi="Arial" w:hint="default"/>
      </w:rPr>
    </w:lvl>
    <w:lvl w:ilvl="5" w:tplc="364EB5E4" w:tentative="1">
      <w:start w:val="1"/>
      <w:numFmt w:val="bullet"/>
      <w:lvlText w:val="•"/>
      <w:lvlJc w:val="left"/>
      <w:pPr>
        <w:tabs>
          <w:tab w:val="num" w:pos="4320"/>
        </w:tabs>
        <w:ind w:left="4320" w:hanging="360"/>
      </w:pPr>
      <w:rPr>
        <w:rFonts w:ascii="Arial" w:hAnsi="Arial" w:hint="default"/>
      </w:rPr>
    </w:lvl>
    <w:lvl w:ilvl="6" w:tplc="6AC22E3E" w:tentative="1">
      <w:start w:val="1"/>
      <w:numFmt w:val="bullet"/>
      <w:lvlText w:val="•"/>
      <w:lvlJc w:val="left"/>
      <w:pPr>
        <w:tabs>
          <w:tab w:val="num" w:pos="5040"/>
        </w:tabs>
        <w:ind w:left="5040" w:hanging="360"/>
      </w:pPr>
      <w:rPr>
        <w:rFonts w:ascii="Arial" w:hAnsi="Arial" w:hint="default"/>
      </w:rPr>
    </w:lvl>
    <w:lvl w:ilvl="7" w:tplc="67EAE0A8" w:tentative="1">
      <w:start w:val="1"/>
      <w:numFmt w:val="bullet"/>
      <w:lvlText w:val="•"/>
      <w:lvlJc w:val="left"/>
      <w:pPr>
        <w:tabs>
          <w:tab w:val="num" w:pos="5760"/>
        </w:tabs>
        <w:ind w:left="5760" w:hanging="360"/>
      </w:pPr>
      <w:rPr>
        <w:rFonts w:ascii="Arial" w:hAnsi="Arial" w:hint="default"/>
      </w:rPr>
    </w:lvl>
    <w:lvl w:ilvl="8" w:tplc="10B686B8" w:tentative="1">
      <w:start w:val="1"/>
      <w:numFmt w:val="bullet"/>
      <w:lvlText w:val="•"/>
      <w:lvlJc w:val="left"/>
      <w:pPr>
        <w:tabs>
          <w:tab w:val="num" w:pos="6480"/>
        </w:tabs>
        <w:ind w:left="6480" w:hanging="360"/>
      </w:pPr>
      <w:rPr>
        <w:rFonts w:ascii="Arial" w:hAnsi="Arial" w:hint="default"/>
      </w:rPr>
    </w:lvl>
  </w:abstractNum>
  <w:abstractNum w:abstractNumId="13">
    <w:nsid w:val="2DA24C4E"/>
    <w:multiLevelType w:val="hybridMultilevel"/>
    <w:tmpl w:val="519C51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E3A2CBF"/>
    <w:multiLevelType w:val="hybridMultilevel"/>
    <w:tmpl w:val="2E3AF15A"/>
    <w:lvl w:ilvl="0" w:tplc="3368624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3E62FBE"/>
    <w:multiLevelType w:val="hybridMultilevel"/>
    <w:tmpl w:val="92BCC1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5A04E2"/>
    <w:multiLevelType w:val="hybridMultilevel"/>
    <w:tmpl w:val="496E8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9C57150"/>
    <w:multiLevelType w:val="hybridMultilevel"/>
    <w:tmpl w:val="999693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AD81D88"/>
    <w:multiLevelType w:val="hybridMultilevel"/>
    <w:tmpl w:val="3F480FD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9">
    <w:nsid w:val="3F03192F"/>
    <w:multiLevelType w:val="multilevel"/>
    <w:tmpl w:val="73DC254C"/>
    <w:lvl w:ilvl="0">
      <w:start w:val="1"/>
      <w:numFmt w:val="decimal"/>
      <w:lvlText w:val="%1."/>
      <w:lvlJc w:val="left"/>
      <w:pPr>
        <w:ind w:left="1077" w:hanging="360"/>
      </w:pPr>
    </w:lvl>
    <w:lvl w:ilvl="1">
      <w:start w:val="1"/>
      <w:numFmt w:val="decimal"/>
      <w:isLgl/>
      <w:lvlText w:val="%1.%2."/>
      <w:lvlJc w:val="left"/>
      <w:pPr>
        <w:ind w:left="1497" w:hanging="780"/>
      </w:pPr>
      <w:rPr>
        <w:rFonts w:hint="default"/>
      </w:rPr>
    </w:lvl>
    <w:lvl w:ilvl="2">
      <w:start w:val="2"/>
      <w:numFmt w:val="decimal"/>
      <w:isLgl/>
      <w:lvlText w:val="%1.%2.%3."/>
      <w:lvlJc w:val="left"/>
      <w:pPr>
        <w:ind w:left="1497" w:hanging="780"/>
      </w:pPr>
      <w:rPr>
        <w:rFonts w:hint="default"/>
      </w:rPr>
    </w:lvl>
    <w:lvl w:ilvl="3">
      <w:start w:val="1"/>
      <w:numFmt w:val="decimal"/>
      <w:isLgl/>
      <w:lvlText w:val="%1.%2.%3.%4."/>
      <w:lvlJc w:val="left"/>
      <w:pPr>
        <w:ind w:left="1497" w:hanging="7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nsid w:val="467B2251"/>
    <w:multiLevelType w:val="hybridMultilevel"/>
    <w:tmpl w:val="6A72088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B4DCDD98">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1C047B0"/>
    <w:multiLevelType w:val="hybridMultilevel"/>
    <w:tmpl w:val="E1EA5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1DE5AB6"/>
    <w:multiLevelType w:val="hybridMultilevel"/>
    <w:tmpl w:val="A600C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4F66B78"/>
    <w:multiLevelType w:val="hybridMultilevel"/>
    <w:tmpl w:val="545E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455C8C"/>
    <w:multiLevelType w:val="hybridMultilevel"/>
    <w:tmpl w:val="42FE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BD342C"/>
    <w:multiLevelType w:val="hybridMultilevel"/>
    <w:tmpl w:val="8DE061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AAB7A0B"/>
    <w:multiLevelType w:val="hybridMultilevel"/>
    <w:tmpl w:val="95E8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F00D01"/>
    <w:multiLevelType w:val="hybridMultilevel"/>
    <w:tmpl w:val="0834FF0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8">
    <w:nsid w:val="765D212C"/>
    <w:multiLevelType w:val="hybridMultilevel"/>
    <w:tmpl w:val="79809780"/>
    <w:lvl w:ilvl="0" w:tplc="B8E25B5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788758D"/>
    <w:multiLevelType w:val="hybridMultilevel"/>
    <w:tmpl w:val="590EF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2"/>
  </w:num>
  <w:num w:numId="5">
    <w:abstractNumId w:val="16"/>
  </w:num>
  <w:num w:numId="6">
    <w:abstractNumId w:val="11"/>
  </w:num>
  <w:num w:numId="7">
    <w:abstractNumId w:val="17"/>
  </w:num>
  <w:num w:numId="8">
    <w:abstractNumId w:val="1"/>
  </w:num>
  <w:num w:numId="9">
    <w:abstractNumId w:val="21"/>
  </w:num>
  <w:num w:numId="10">
    <w:abstractNumId w:val="29"/>
  </w:num>
  <w:num w:numId="11">
    <w:abstractNumId w:val="8"/>
  </w:num>
  <w:num w:numId="12">
    <w:abstractNumId w:val="13"/>
  </w:num>
  <w:num w:numId="13">
    <w:abstractNumId w:val="20"/>
  </w:num>
  <w:num w:numId="14">
    <w:abstractNumId w:val="19"/>
  </w:num>
  <w:num w:numId="15">
    <w:abstractNumId w:val="15"/>
  </w:num>
  <w:num w:numId="16">
    <w:abstractNumId w:val="9"/>
  </w:num>
  <w:num w:numId="17">
    <w:abstractNumId w:val="10"/>
  </w:num>
  <w:num w:numId="18">
    <w:abstractNumId w:val="25"/>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27"/>
  </w:num>
  <w:num w:numId="24">
    <w:abstractNumId w:val="23"/>
  </w:num>
  <w:num w:numId="25">
    <w:abstractNumId w:val="6"/>
  </w:num>
  <w:num w:numId="26">
    <w:abstractNumId w:val="3"/>
  </w:num>
  <w:num w:numId="27">
    <w:abstractNumId w:val="12"/>
  </w:num>
  <w:num w:numId="28">
    <w:abstractNumId w:val="7"/>
  </w:num>
  <w:num w:numId="29">
    <w:abstractNumId w:val="24"/>
  </w:num>
  <w:num w:numId="30">
    <w:abstractNumId w:val="5"/>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E8"/>
    <w:rsid w:val="0000550E"/>
    <w:rsid w:val="0000568F"/>
    <w:rsid w:val="00006DF5"/>
    <w:rsid w:val="00007F7C"/>
    <w:rsid w:val="0001392B"/>
    <w:rsid w:val="000173E4"/>
    <w:rsid w:val="00020275"/>
    <w:rsid w:val="000213F2"/>
    <w:rsid w:val="00021CE1"/>
    <w:rsid w:val="00023544"/>
    <w:rsid w:val="0002382A"/>
    <w:rsid w:val="0002382F"/>
    <w:rsid w:val="00023F71"/>
    <w:rsid w:val="000241CF"/>
    <w:rsid w:val="000249E4"/>
    <w:rsid w:val="00025D68"/>
    <w:rsid w:val="00032F6F"/>
    <w:rsid w:val="00035B4F"/>
    <w:rsid w:val="000407ED"/>
    <w:rsid w:val="00041D2D"/>
    <w:rsid w:val="000421B0"/>
    <w:rsid w:val="00042386"/>
    <w:rsid w:val="00043A23"/>
    <w:rsid w:val="00045DDD"/>
    <w:rsid w:val="0004605D"/>
    <w:rsid w:val="000477B2"/>
    <w:rsid w:val="00050824"/>
    <w:rsid w:val="00051965"/>
    <w:rsid w:val="00052FD1"/>
    <w:rsid w:val="00054373"/>
    <w:rsid w:val="00055007"/>
    <w:rsid w:val="0005518A"/>
    <w:rsid w:val="00055C14"/>
    <w:rsid w:val="00055CAD"/>
    <w:rsid w:val="00060127"/>
    <w:rsid w:val="000606C0"/>
    <w:rsid w:val="0006242B"/>
    <w:rsid w:val="000634F9"/>
    <w:rsid w:val="00064585"/>
    <w:rsid w:val="000657BA"/>
    <w:rsid w:val="000667C2"/>
    <w:rsid w:val="000672AB"/>
    <w:rsid w:val="00071E06"/>
    <w:rsid w:val="00072273"/>
    <w:rsid w:val="000751E0"/>
    <w:rsid w:val="00082424"/>
    <w:rsid w:val="00084C80"/>
    <w:rsid w:val="00084D25"/>
    <w:rsid w:val="00084DF3"/>
    <w:rsid w:val="00085381"/>
    <w:rsid w:val="00091C26"/>
    <w:rsid w:val="00091D97"/>
    <w:rsid w:val="00091FDA"/>
    <w:rsid w:val="000921C8"/>
    <w:rsid w:val="00092261"/>
    <w:rsid w:val="00093F41"/>
    <w:rsid w:val="00094A04"/>
    <w:rsid w:val="000955DF"/>
    <w:rsid w:val="00096B29"/>
    <w:rsid w:val="000A1C65"/>
    <w:rsid w:val="000A6830"/>
    <w:rsid w:val="000B0337"/>
    <w:rsid w:val="000B461F"/>
    <w:rsid w:val="000B50DD"/>
    <w:rsid w:val="000B6DE5"/>
    <w:rsid w:val="000B6EB1"/>
    <w:rsid w:val="000B73DD"/>
    <w:rsid w:val="000C20A4"/>
    <w:rsid w:val="000C2C21"/>
    <w:rsid w:val="000C3224"/>
    <w:rsid w:val="000C3853"/>
    <w:rsid w:val="000C3D34"/>
    <w:rsid w:val="000C474E"/>
    <w:rsid w:val="000C4D24"/>
    <w:rsid w:val="000C5F7E"/>
    <w:rsid w:val="000C7511"/>
    <w:rsid w:val="000D17D7"/>
    <w:rsid w:val="000D1821"/>
    <w:rsid w:val="000D526D"/>
    <w:rsid w:val="000D58E1"/>
    <w:rsid w:val="000E03A4"/>
    <w:rsid w:val="000E1EF9"/>
    <w:rsid w:val="000E3EE7"/>
    <w:rsid w:val="000E423D"/>
    <w:rsid w:val="000F1A27"/>
    <w:rsid w:val="000F227C"/>
    <w:rsid w:val="000F374F"/>
    <w:rsid w:val="000F699E"/>
    <w:rsid w:val="001005BB"/>
    <w:rsid w:val="0010096F"/>
    <w:rsid w:val="00101CE7"/>
    <w:rsid w:val="001032AD"/>
    <w:rsid w:val="00105BC4"/>
    <w:rsid w:val="00107565"/>
    <w:rsid w:val="001079BA"/>
    <w:rsid w:val="00112D14"/>
    <w:rsid w:val="001133FF"/>
    <w:rsid w:val="0011506B"/>
    <w:rsid w:val="00115472"/>
    <w:rsid w:val="001230D4"/>
    <w:rsid w:val="001257D2"/>
    <w:rsid w:val="00131010"/>
    <w:rsid w:val="00132B68"/>
    <w:rsid w:val="0013665F"/>
    <w:rsid w:val="00136AFD"/>
    <w:rsid w:val="001420D1"/>
    <w:rsid w:val="00142506"/>
    <w:rsid w:val="00144CCD"/>
    <w:rsid w:val="00145893"/>
    <w:rsid w:val="00145D52"/>
    <w:rsid w:val="00150EBE"/>
    <w:rsid w:val="00152699"/>
    <w:rsid w:val="00152754"/>
    <w:rsid w:val="001535B0"/>
    <w:rsid w:val="001551E9"/>
    <w:rsid w:val="00156C9F"/>
    <w:rsid w:val="00157F63"/>
    <w:rsid w:val="00160365"/>
    <w:rsid w:val="00160C5D"/>
    <w:rsid w:val="00161AB1"/>
    <w:rsid w:val="00162A53"/>
    <w:rsid w:val="00162C9C"/>
    <w:rsid w:val="00163047"/>
    <w:rsid w:val="00163196"/>
    <w:rsid w:val="001634F3"/>
    <w:rsid w:val="0016674C"/>
    <w:rsid w:val="0017152E"/>
    <w:rsid w:val="00171F46"/>
    <w:rsid w:val="00172299"/>
    <w:rsid w:val="001734DA"/>
    <w:rsid w:val="00173A40"/>
    <w:rsid w:val="001762BF"/>
    <w:rsid w:val="00176E54"/>
    <w:rsid w:val="00180137"/>
    <w:rsid w:val="0018458F"/>
    <w:rsid w:val="001856B2"/>
    <w:rsid w:val="00190195"/>
    <w:rsid w:val="00193C0C"/>
    <w:rsid w:val="00193E8D"/>
    <w:rsid w:val="00193FFB"/>
    <w:rsid w:val="00195A37"/>
    <w:rsid w:val="00196274"/>
    <w:rsid w:val="001962FF"/>
    <w:rsid w:val="00197E2B"/>
    <w:rsid w:val="001A121D"/>
    <w:rsid w:val="001A46C2"/>
    <w:rsid w:val="001A47DB"/>
    <w:rsid w:val="001A5C68"/>
    <w:rsid w:val="001B014E"/>
    <w:rsid w:val="001B04A7"/>
    <w:rsid w:val="001B3583"/>
    <w:rsid w:val="001B55D3"/>
    <w:rsid w:val="001B635B"/>
    <w:rsid w:val="001B7199"/>
    <w:rsid w:val="001B7AC8"/>
    <w:rsid w:val="001C14ED"/>
    <w:rsid w:val="001C27ED"/>
    <w:rsid w:val="001C4301"/>
    <w:rsid w:val="001C4E7B"/>
    <w:rsid w:val="001C543E"/>
    <w:rsid w:val="001C61FA"/>
    <w:rsid w:val="001C75F2"/>
    <w:rsid w:val="001D06A8"/>
    <w:rsid w:val="001D4047"/>
    <w:rsid w:val="001D4E53"/>
    <w:rsid w:val="001D54C6"/>
    <w:rsid w:val="001D5DDE"/>
    <w:rsid w:val="001D5EB7"/>
    <w:rsid w:val="001D7B8A"/>
    <w:rsid w:val="001E0736"/>
    <w:rsid w:val="001E263F"/>
    <w:rsid w:val="001E4ECC"/>
    <w:rsid w:val="001E57C8"/>
    <w:rsid w:val="001E587D"/>
    <w:rsid w:val="001E6E39"/>
    <w:rsid w:val="001E7146"/>
    <w:rsid w:val="001F0DD7"/>
    <w:rsid w:val="001F1B05"/>
    <w:rsid w:val="002000BD"/>
    <w:rsid w:val="002012E2"/>
    <w:rsid w:val="00202255"/>
    <w:rsid w:val="00202365"/>
    <w:rsid w:val="002029DA"/>
    <w:rsid w:val="002032C5"/>
    <w:rsid w:val="002069ED"/>
    <w:rsid w:val="002108E3"/>
    <w:rsid w:val="00213A4F"/>
    <w:rsid w:val="00217162"/>
    <w:rsid w:val="0022010B"/>
    <w:rsid w:val="002246AE"/>
    <w:rsid w:val="00225765"/>
    <w:rsid w:val="00225B66"/>
    <w:rsid w:val="0022717E"/>
    <w:rsid w:val="002279D6"/>
    <w:rsid w:val="00227A42"/>
    <w:rsid w:val="002325CF"/>
    <w:rsid w:val="0023333D"/>
    <w:rsid w:val="00234580"/>
    <w:rsid w:val="00236CC0"/>
    <w:rsid w:val="00237A1C"/>
    <w:rsid w:val="002406B3"/>
    <w:rsid w:val="00242668"/>
    <w:rsid w:val="00250915"/>
    <w:rsid w:val="002516A4"/>
    <w:rsid w:val="0025373E"/>
    <w:rsid w:val="00257359"/>
    <w:rsid w:val="002575CC"/>
    <w:rsid w:val="00257E68"/>
    <w:rsid w:val="002601B9"/>
    <w:rsid w:val="00260FCF"/>
    <w:rsid w:val="00261A4A"/>
    <w:rsid w:val="002643B3"/>
    <w:rsid w:val="002659A6"/>
    <w:rsid w:val="002677D7"/>
    <w:rsid w:val="00267AD7"/>
    <w:rsid w:val="00267BE7"/>
    <w:rsid w:val="00267D76"/>
    <w:rsid w:val="00270E75"/>
    <w:rsid w:val="002718E6"/>
    <w:rsid w:val="00271C1B"/>
    <w:rsid w:val="002729FA"/>
    <w:rsid w:val="002732AD"/>
    <w:rsid w:val="002736E4"/>
    <w:rsid w:val="0027635F"/>
    <w:rsid w:val="00276582"/>
    <w:rsid w:val="0027779F"/>
    <w:rsid w:val="00277916"/>
    <w:rsid w:val="002812E8"/>
    <w:rsid w:val="00281A2F"/>
    <w:rsid w:val="002824D5"/>
    <w:rsid w:val="00283822"/>
    <w:rsid w:val="00283ECF"/>
    <w:rsid w:val="0028466B"/>
    <w:rsid w:val="002846BB"/>
    <w:rsid w:val="002925DC"/>
    <w:rsid w:val="002927DF"/>
    <w:rsid w:val="0029464A"/>
    <w:rsid w:val="002947E6"/>
    <w:rsid w:val="002970B1"/>
    <w:rsid w:val="002A0B86"/>
    <w:rsid w:val="002A0E46"/>
    <w:rsid w:val="002A1EA5"/>
    <w:rsid w:val="002A2920"/>
    <w:rsid w:val="002A31A7"/>
    <w:rsid w:val="002A543D"/>
    <w:rsid w:val="002A5F85"/>
    <w:rsid w:val="002A7016"/>
    <w:rsid w:val="002B135C"/>
    <w:rsid w:val="002B4AA2"/>
    <w:rsid w:val="002B5509"/>
    <w:rsid w:val="002B7999"/>
    <w:rsid w:val="002B7E99"/>
    <w:rsid w:val="002C1BB7"/>
    <w:rsid w:val="002C20D2"/>
    <w:rsid w:val="002C235E"/>
    <w:rsid w:val="002C2BCD"/>
    <w:rsid w:val="002C3168"/>
    <w:rsid w:val="002C40E1"/>
    <w:rsid w:val="002C438A"/>
    <w:rsid w:val="002C71CC"/>
    <w:rsid w:val="002D0023"/>
    <w:rsid w:val="002D07B3"/>
    <w:rsid w:val="002D0D3D"/>
    <w:rsid w:val="002D29A3"/>
    <w:rsid w:val="002D2A3B"/>
    <w:rsid w:val="002D42A8"/>
    <w:rsid w:val="002D5CE1"/>
    <w:rsid w:val="002D6116"/>
    <w:rsid w:val="002D63C0"/>
    <w:rsid w:val="002E0519"/>
    <w:rsid w:val="002E0F15"/>
    <w:rsid w:val="002E1D8F"/>
    <w:rsid w:val="002E3446"/>
    <w:rsid w:val="002E63F7"/>
    <w:rsid w:val="002F25D9"/>
    <w:rsid w:val="002F3932"/>
    <w:rsid w:val="002F47AF"/>
    <w:rsid w:val="00300E1A"/>
    <w:rsid w:val="00302E15"/>
    <w:rsid w:val="00305816"/>
    <w:rsid w:val="003074CB"/>
    <w:rsid w:val="0031246F"/>
    <w:rsid w:val="00313F67"/>
    <w:rsid w:val="00314818"/>
    <w:rsid w:val="00314D94"/>
    <w:rsid w:val="0031615E"/>
    <w:rsid w:val="00316D55"/>
    <w:rsid w:val="0031782E"/>
    <w:rsid w:val="00320219"/>
    <w:rsid w:val="00320A10"/>
    <w:rsid w:val="00324448"/>
    <w:rsid w:val="00326FBB"/>
    <w:rsid w:val="00332FF3"/>
    <w:rsid w:val="0033363D"/>
    <w:rsid w:val="003353F8"/>
    <w:rsid w:val="00335B43"/>
    <w:rsid w:val="0034086C"/>
    <w:rsid w:val="00340E9E"/>
    <w:rsid w:val="00341790"/>
    <w:rsid w:val="0034349F"/>
    <w:rsid w:val="0034540A"/>
    <w:rsid w:val="00345A97"/>
    <w:rsid w:val="00345F39"/>
    <w:rsid w:val="00346AD0"/>
    <w:rsid w:val="00351D84"/>
    <w:rsid w:val="00352073"/>
    <w:rsid w:val="00352394"/>
    <w:rsid w:val="003528A9"/>
    <w:rsid w:val="00353758"/>
    <w:rsid w:val="0035392A"/>
    <w:rsid w:val="00353BF4"/>
    <w:rsid w:val="00355678"/>
    <w:rsid w:val="00356B3C"/>
    <w:rsid w:val="00361388"/>
    <w:rsid w:val="003662B3"/>
    <w:rsid w:val="00367788"/>
    <w:rsid w:val="00371B69"/>
    <w:rsid w:val="00374422"/>
    <w:rsid w:val="00374E75"/>
    <w:rsid w:val="0037523F"/>
    <w:rsid w:val="00377050"/>
    <w:rsid w:val="00380510"/>
    <w:rsid w:val="003829D6"/>
    <w:rsid w:val="00384C1F"/>
    <w:rsid w:val="003877DA"/>
    <w:rsid w:val="003902E4"/>
    <w:rsid w:val="00392B53"/>
    <w:rsid w:val="003A1401"/>
    <w:rsid w:val="003A21BD"/>
    <w:rsid w:val="003A329F"/>
    <w:rsid w:val="003A551F"/>
    <w:rsid w:val="003A5571"/>
    <w:rsid w:val="003A63A6"/>
    <w:rsid w:val="003B0C7F"/>
    <w:rsid w:val="003B25E2"/>
    <w:rsid w:val="003C510E"/>
    <w:rsid w:val="003C628A"/>
    <w:rsid w:val="003C67D2"/>
    <w:rsid w:val="003C774A"/>
    <w:rsid w:val="003D0389"/>
    <w:rsid w:val="003D215A"/>
    <w:rsid w:val="003D31FD"/>
    <w:rsid w:val="003D4E18"/>
    <w:rsid w:val="003D50CA"/>
    <w:rsid w:val="003D59C1"/>
    <w:rsid w:val="003D6414"/>
    <w:rsid w:val="003E18B4"/>
    <w:rsid w:val="003E302B"/>
    <w:rsid w:val="003E3924"/>
    <w:rsid w:val="003E3DD9"/>
    <w:rsid w:val="003E49B2"/>
    <w:rsid w:val="003E5070"/>
    <w:rsid w:val="003E7ED2"/>
    <w:rsid w:val="003F1103"/>
    <w:rsid w:val="003F1D6D"/>
    <w:rsid w:val="003F6BF7"/>
    <w:rsid w:val="00401332"/>
    <w:rsid w:val="00404EEC"/>
    <w:rsid w:val="0040680E"/>
    <w:rsid w:val="00407A2D"/>
    <w:rsid w:val="00414480"/>
    <w:rsid w:val="0041451A"/>
    <w:rsid w:val="00414949"/>
    <w:rsid w:val="00415790"/>
    <w:rsid w:val="00415A5C"/>
    <w:rsid w:val="00416868"/>
    <w:rsid w:val="0042028C"/>
    <w:rsid w:val="00421995"/>
    <w:rsid w:val="004222CD"/>
    <w:rsid w:val="00422831"/>
    <w:rsid w:val="00423037"/>
    <w:rsid w:val="004266C1"/>
    <w:rsid w:val="0042713A"/>
    <w:rsid w:val="00432527"/>
    <w:rsid w:val="00434133"/>
    <w:rsid w:val="00434A2A"/>
    <w:rsid w:val="00434C09"/>
    <w:rsid w:val="00435B42"/>
    <w:rsid w:val="004360D2"/>
    <w:rsid w:val="00436A3F"/>
    <w:rsid w:val="00437B81"/>
    <w:rsid w:val="0044074E"/>
    <w:rsid w:val="00440EAB"/>
    <w:rsid w:val="004437C5"/>
    <w:rsid w:val="00445E57"/>
    <w:rsid w:val="00446126"/>
    <w:rsid w:val="0044669C"/>
    <w:rsid w:val="004472A6"/>
    <w:rsid w:val="004511C0"/>
    <w:rsid w:val="0045274A"/>
    <w:rsid w:val="004533AE"/>
    <w:rsid w:val="00456E1B"/>
    <w:rsid w:val="00457D23"/>
    <w:rsid w:val="00461822"/>
    <w:rsid w:val="004621E1"/>
    <w:rsid w:val="00463290"/>
    <w:rsid w:val="004640E6"/>
    <w:rsid w:val="00464A16"/>
    <w:rsid w:val="004655BD"/>
    <w:rsid w:val="004676C8"/>
    <w:rsid w:val="00467A96"/>
    <w:rsid w:val="00470C44"/>
    <w:rsid w:val="0047167C"/>
    <w:rsid w:val="004744F1"/>
    <w:rsid w:val="00476159"/>
    <w:rsid w:val="00477DB8"/>
    <w:rsid w:val="004816B2"/>
    <w:rsid w:val="00483DBE"/>
    <w:rsid w:val="00485B18"/>
    <w:rsid w:val="00491025"/>
    <w:rsid w:val="00491381"/>
    <w:rsid w:val="004913A3"/>
    <w:rsid w:val="004922C8"/>
    <w:rsid w:val="004932E8"/>
    <w:rsid w:val="00493F88"/>
    <w:rsid w:val="0049441B"/>
    <w:rsid w:val="004955D4"/>
    <w:rsid w:val="00496494"/>
    <w:rsid w:val="004A223D"/>
    <w:rsid w:val="004A773A"/>
    <w:rsid w:val="004B0404"/>
    <w:rsid w:val="004B049A"/>
    <w:rsid w:val="004B0F40"/>
    <w:rsid w:val="004B4452"/>
    <w:rsid w:val="004B5204"/>
    <w:rsid w:val="004B5AE0"/>
    <w:rsid w:val="004C13CC"/>
    <w:rsid w:val="004C2750"/>
    <w:rsid w:val="004C6282"/>
    <w:rsid w:val="004C714B"/>
    <w:rsid w:val="004C73C7"/>
    <w:rsid w:val="004D023D"/>
    <w:rsid w:val="004D1290"/>
    <w:rsid w:val="004D2F0E"/>
    <w:rsid w:val="004D4E5F"/>
    <w:rsid w:val="004D51E0"/>
    <w:rsid w:val="004D5DD1"/>
    <w:rsid w:val="004E0527"/>
    <w:rsid w:val="004E32DA"/>
    <w:rsid w:val="004E3C0A"/>
    <w:rsid w:val="004E5554"/>
    <w:rsid w:val="004E6A1D"/>
    <w:rsid w:val="004E715B"/>
    <w:rsid w:val="004F1F83"/>
    <w:rsid w:val="004F74C2"/>
    <w:rsid w:val="00500C52"/>
    <w:rsid w:val="00503150"/>
    <w:rsid w:val="005031EE"/>
    <w:rsid w:val="005033D4"/>
    <w:rsid w:val="00505101"/>
    <w:rsid w:val="00505E3A"/>
    <w:rsid w:val="00505E75"/>
    <w:rsid w:val="00507726"/>
    <w:rsid w:val="0051236C"/>
    <w:rsid w:val="005127C8"/>
    <w:rsid w:val="005170B6"/>
    <w:rsid w:val="005172C9"/>
    <w:rsid w:val="00517838"/>
    <w:rsid w:val="005215AF"/>
    <w:rsid w:val="00523029"/>
    <w:rsid w:val="00524AE1"/>
    <w:rsid w:val="00524ED7"/>
    <w:rsid w:val="0052554D"/>
    <w:rsid w:val="00526BB4"/>
    <w:rsid w:val="005361F8"/>
    <w:rsid w:val="00536A42"/>
    <w:rsid w:val="005411EB"/>
    <w:rsid w:val="005439D9"/>
    <w:rsid w:val="0054489C"/>
    <w:rsid w:val="0054784D"/>
    <w:rsid w:val="00550141"/>
    <w:rsid w:val="005515EB"/>
    <w:rsid w:val="00553C04"/>
    <w:rsid w:val="00557D68"/>
    <w:rsid w:val="00560B9A"/>
    <w:rsid w:val="0056113C"/>
    <w:rsid w:val="00562D15"/>
    <w:rsid w:val="0056327D"/>
    <w:rsid w:val="005641CB"/>
    <w:rsid w:val="005660A3"/>
    <w:rsid w:val="00570946"/>
    <w:rsid w:val="00573409"/>
    <w:rsid w:val="005746F6"/>
    <w:rsid w:val="00575B81"/>
    <w:rsid w:val="00576525"/>
    <w:rsid w:val="00577DF9"/>
    <w:rsid w:val="00580B3B"/>
    <w:rsid w:val="00581822"/>
    <w:rsid w:val="00583240"/>
    <w:rsid w:val="005840D2"/>
    <w:rsid w:val="00585FB0"/>
    <w:rsid w:val="00586C05"/>
    <w:rsid w:val="005956D9"/>
    <w:rsid w:val="0059658F"/>
    <w:rsid w:val="00597606"/>
    <w:rsid w:val="005A247D"/>
    <w:rsid w:val="005A2C9C"/>
    <w:rsid w:val="005A2FEE"/>
    <w:rsid w:val="005A3801"/>
    <w:rsid w:val="005A3AF9"/>
    <w:rsid w:val="005A773F"/>
    <w:rsid w:val="005A7836"/>
    <w:rsid w:val="005B03EF"/>
    <w:rsid w:val="005B2941"/>
    <w:rsid w:val="005B5BF8"/>
    <w:rsid w:val="005B7512"/>
    <w:rsid w:val="005C49EF"/>
    <w:rsid w:val="005D2E3F"/>
    <w:rsid w:val="005D3231"/>
    <w:rsid w:val="005D401B"/>
    <w:rsid w:val="005D41DB"/>
    <w:rsid w:val="005D6C68"/>
    <w:rsid w:val="005D728C"/>
    <w:rsid w:val="005E0E9E"/>
    <w:rsid w:val="005E33C6"/>
    <w:rsid w:val="005E4525"/>
    <w:rsid w:val="005E5883"/>
    <w:rsid w:val="005E6A69"/>
    <w:rsid w:val="005E7D17"/>
    <w:rsid w:val="005F07BE"/>
    <w:rsid w:val="005F1005"/>
    <w:rsid w:val="005F1BA7"/>
    <w:rsid w:val="005F2A7C"/>
    <w:rsid w:val="005F3A99"/>
    <w:rsid w:val="005F3C03"/>
    <w:rsid w:val="005F5E9F"/>
    <w:rsid w:val="00601D85"/>
    <w:rsid w:val="00607568"/>
    <w:rsid w:val="00607678"/>
    <w:rsid w:val="00607E67"/>
    <w:rsid w:val="00610E68"/>
    <w:rsid w:val="00611975"/>
    <w:rsid w:val="00612FA8"/>
    <w:rsid w:val="0061717F"/>
    <w:rsid w:val="0061725A"/>
    <w:rsid w:val="00623528"/>
    <w:rsid w:val="0062435D"/>
    <w:rsid w:val="00624644"/>
    <w:rsid w:val="00624BCD"/>
    <w:rsid w:val="00624E99"/>
    <w:rsid w:val="0062592C"/>
    <w:rsid w:val="00625E73"/>
    <w:rsid w:val="0062630C"/>
    <w:rsid w:val="00626338"/>
    <w:rsid w:val="00631C06"/>
    <w:rsid w:val="0063266C"/>
    <w:rsid w:val="00633373"/>
    <w:rsid w:val="00640DBD"/>
    <w:rsid w:val="00644571"/>
    <w:rsid w:val="006471A4"/>
    <w:rsid w:val="0064732D"/>
    <w:rsid w:val="006531C5"/>
    <w:rsid w:val="00653EBE"/>
    <w:rsid w:val="00660820"/>
    <w:rsid w:val="00661E39"/>
    <w:rsid w:val="0066235B"/>
    <w:rsid w:val="00666931"/>
    <w:rsid w:val="0067188F"/>
    <w:rsid w:val="00671EFD"/>
    <w:rsid w:val="00672B67"/>
    <w:rsid w:val="00673893"/>
    <w:rsid w:val="00673E7B"/>
    <w:rsid w:val="006742EE"/>
    <w:rsid w:val="00674E1B"/>
    <w:rsid w:val="00676AFA"/>
    <w:rsid w:val="00677B81"/>
    <w:rsid w:val="00681F75"/>
    <w:rsid w:val="0068516C"/>
    <w:rsid w:val="0068607D"/>
    <w:rsid w:val="00686734"/>
    <w:rsid w:val="00686BD0"/>
    <w:rsid w:val="00690BAB"/>
    <w:rsid w:val="00693364"/>
    <w:rsid w:val="006959C0"/>
    <w:rsid w:val="00695E10"/>
    <w:rsid w:val="006A0402"/>
    <w:rsid w:val="006A2529"/>
    <w:rsid w:val="006A33A3"/>
    <w:rsid w:val="006A4484"/>
    <w:rsid w:val="006A5C82"/>
    <w:rsid w:val="006A6B49"/>
    <w:rsid w:val="006A7369"/>
    <w:rsid w:val="006A77EA"/>
    <w:rsid w:val="006B0A77"/>
    <w:rsid w:val="006B0E63"/>
    <w:rsid w:val="006B3046"/>
    <w:rsid w:val="006B3EEE"/>
    <w:rsid w:val="006B6BB1"/>
    <w:rsid w:val="006B72A5"/>
    <w:rsid w:val="006B7F50"/>
    <w:rsid w:val="006C0A80"/>
    <w:rsid w:val="006C0B86"/>
    <w:rsid w:val="006C1058"/>
    <w:rsid w:val="006C14D1"/>
    <w:rsid w:val="006C1F4B"/>
    <w:rsid w:val="006C22FF"/>
    <w:rsid w:val="006C3914"/>
    <w:rsid w:val="006C5122"/>
    <w:rsid w:val="006C5E00"/>
    <w:rsid w:val="006D793C"/>
    <w:rsid w:val="006E1A54"/>
    <w:rsid w:val="006E2426"/>
    <w:rsid w:val="006E35D8"/>
    <w:rsid w:val="006F1B65"/>
    <w:rsid w:val="006F575A"/>
    <w:rsid w:val="00702031"/>
    <w:rsid w:val="0070309D"/>
    <w:rsid w:val="007057CE"/>
    <w:rsid w:val="00707842"/>
    <w:rsid w:val="00707B4D"/>
    <w:rsid w:val="00710F50"/>
    <w:rsid w:val="00713212"/>
    <w:rsid w:val="007161B8"/>
    <w:rsid w:val="00720597"/>
    <w:rsid w:val="0072291B"/>
    <w:rsid w:val="00723D36"/>
    <w:rsid w:val="00730674"/>
    <w:rsid w:val="007313B2"/>
    <w:rsid w:val="007315A1"/>
    <w:rsid w:val="007325FF"/>
    <w:rsid w:val="00732833"/>
    <w:rsid w:val="0073474F"/>
    <w:rsid w:val="007352A8"/>
    <w:rsid w:val="007357FA"/>
    <w:rsid w:val="007359C7"/>
    <w:rsid w:val="007407CC"/>
    <w:rsid w:val="00742576"/>
    <w:rsid w:val="007427DB"/>
    <w:rsid w:val="007442F0"/>
    <w:rsid w:val="00744CFD"/>
    <w:rsid w:val="00746045"/>
    <w:rsid w:val="007473C7"/>
    <w:rsid w:val="0074765F"/>
    <w:rsid w:val="00750811"/>
    <w:rsid w:val="00756D9D"/>
    <w:rsid w:val="00756F32"/>
    <w:rsid w:val="0075738B"/>
    <w:rsid w:val="00761A2F"/>
    <w:rsid w:val="007629C6"/>
    <w:rsid w:val="007631F5"/>
    <w:rsid w:val="00763977"/>
    <w:rsid w:val="007650F4"/>
    <w:rsid w:val="007664D5"/>
    <w:rsid w:val="00767F0E"/>
    <w:rsid w:val="0077491A"/>
    <w:rsid w:val="00781AF2"/>
    <w:rsid w:val="0078293B"/>
    <w:rsid w:val="00783078"/>
    <w:rsid w:val="00784A50"/>
    <w:rsid w:val="00785081"/>
    <w:rsid w:val="00790260"/>
    <w:rsid w:val="00791B34"/>
    <w:rsid w:val="007929AD"/>
    <w:rsid w:val="007936DC"/>
    <w:rsid w:val="00793709"/>
    <w:rsid w:val="0079456F"/>
    <w:rsid w:val="00794AD2"/>
    <w:rsid w:val="0079633B"/>
    <w:rsid w:val="00796B0E"/>
    <w:rsid w:val="00796D49"/>
    <w:rsid w:val="007A1207"/>
    <w:rsid w:val="007A3069"/>
    <w:rsid w:val="007A4695"/>
    <w:rsid w:val="007A652D"/>
    <w:rsid w:val="007B07C5"/>
    <w:rsid w:val="007B09A1"/>
    <w:rsid w:val="007B2320"/>
    <w:rsid w:val="007B2EAD"/>
    <w:rsid w:val="007B41FB"/>
    <w:rsid w:val="007B772F"/>
    <w:rsid w:val="007C02BF"/>
    <w:rsid w:val="007C096F"/>
    <w:rsid w:val="007C1070"/>
    <w:rsid w:val="007C3274"/>
    <w:rsid w:val="007C5789"/>
    <w:rsid w:val="007C579F"/>
    <w:rsid w:val="007C636A"/>
    <w:rsid w:val="007C6BC7"/>
    <w:rsid w:val="007C6FA6"/>
    <w:rsid w:val="007D405D"/>
    <w:rsid w:val="007D54B7"/>
    <w:rsid w:val="007D62BD"/>
    <w:rsid w:val="007D7711"/>
    <w:rsid w:val="007E2812"/>
    <w:rsid w:val="007E3119"/>
    <w:rsid w:val="007E5EDE"/>
    <w:rsid w:val="007E6AC0"/>
    <w:rsid w:val="007E6C57"/>
    <w:rsid w:val="007E7298"/>
    <w:rsid w:val="007E7698"/>
    <w:rsid w:val="007E7BCA"/>
    <w:rsid w:val="007F2F0A"/>
    <w:rsid w:val="007F525F"/>
    <w:rsid w:val="007F572E"/>
    <w:rsid w:val="008004CE"/>
    <w:rsid w:val="00802672"/>
    <w:rsid w:val="00803BF2"/>
    <w:rsid w:val="00803E35"/>
    <w:rsid w:val="0080495C"/>
    <w:rsid w:val="00806796"/>
    <w:rsid w:val="00807B5E"/>
    <w:rsid w:val="00810753"/>
    <w:rsid w:val="008108CC"/>
    <w:rsid w:val="00810CB7"/>
    <w:rsid w:val="008118F1"/>
    <w:rsid w:val="00811E14"/>
    <w:rsid w:val="00813852"/>
    <w:rsid w:val="008144B2"/>
    <w:rsid w:val="00817B08"/>
    <w:rsid w:val="00820759"/>
    <w:rsid w:val="00823324"/>
    <w:rsid w:val="0082343B"/>
    <w:rsid w:val="00823F34"/>
    <w:rsid w:val="00824DE8"/>
    <w:rsid w:val="0082538E"/>
    <w:rsid w:val="008260AF"/>
    <w:rsid w:val="008263E0"/>
    <w:rsid w:val="00826AEB"/>
    <w:rsid w:val="00826F5E"/>
    <w:rsid w:val="00830122"/>
    <w:rsid w:val="0083186D"/>
    <w:rsid w:val="00833802"/>
    <w:rsid w:val="0083440D"/>
    <w:rsid w:val="008347A3"/>
    <w:rsid w:val="008407BA"/>
    <w:rsid w:val="0084356A"/>
    <w:rsid w:val="0084431D"/>
    <w:rsid w:val="00844B3D"/>
    <w:rsid w:val="00844CFC"/>
    <w:rsid w:val="00845F70"/>
    <w:rsid w:val="00850B78"/>
    <w:rsid w:val="0085132F"/>
    <w:rsid w:val="0085184C"/>
    <w:rsid w:val="008532F4"/>
    <w:rsid w:val="00853416"/>
    <w:rsid w:val="0085379C"/>
    <w:rsid w:val="00853C65"/>
    <w:rsid w:val="00853CFE"/>
    <w:rsid w:val="0085431E"/>
    <w:rsid w:val="00854460"/>
    <w:rsid w:val="0085583F"/>
    <w:rsid w:val="008565FB"/>
    <w:rsid w:val="00862EDF"/>
    <w:rsid w:val="00864BEE"/>
    <w:rsid w:val="008670D0"/>
    <w:rsid w:val="00870FCD"/>
    <w:rsid w:val="0087125A"/>
    <w:rsid w:val="0087528D"/>
    <w:rsid w:val="008758C1"/>
    <w:rsid w:val="008766E4"/>
    <w:rsid w:val="00881BCE"/>
    <w:rsid w:val="00882F4B"/>
    <w:rsid w:val="00886F72"/>
    <w:rsid w:val="00887F87"/>
    <w:rsid w:val="00893583"/>
    <w:rsid w:val="008955EC"/>
    <w:rsid w:val="00895693"/>
    <w:rsid w:val="00897618"/>
    <w:rsid w:val="00897D09"/>
    <w:rsid w:val="008A0032"/>
    <w:rsid w:val="008A0739"/>
    <w:rsid w:val="008A34B9"/>
    <w:rsid w:val="008A5FEE"/>
    <w:rsid w:val="008A75E0"/>
    <w:rsid w:val="008B061D"/>
    <w:rsid w:val="008B2BD2"/>
    <w:rsid w:val="008B4A9D"/>
    <w:rsid w:val="008B58DF"/>
    <w:rsid w:val="008B613F"/>
    <w:rsid w:val="008C0213"/>
    <w:rsid w:val="008C21F5"/>
    <w:rsid w:val="008C22A7"/>
    <w:rsid w:val="008C3391"/>
    <w:rsid w:val="008C4641"/>
    <w:rsid w:val="008C4B07"/>
    <w:rsid w:val="008C4C36"/>
    <w:rsid w:val="008C64FD"/>
    <w:rsid w:val="008C65A2"/>
    <w:rsid w:val="008D056D"/>
    <w:rsid w:val="008D0E62"/>
    <w:rsid w:val="008D2809"/>
    <w:rsid w:val="008D4C6D"/>
    <w:rsid w:val="008D550A"/>
    <w:rsid w:val="008E2279"/>
    <w:rsid w:val="008E36CB"/>
    <w:rsid w:val="008E4443"/>
    <w:rsid w:val="008E4D0E"/>
    <w:rsid w:val="008E4E21"/>
    <w:rsid w:val="008E6A5A"/>
    <w:rsid w:val="008E6D19"/>
    <w:rsid w:val="008F057E"/>
    <w:rsid w:val="008F1B9D"/>
    <w:rsid w:val="008F21F0"/>
    <w:rsid w:val="008F29CC"/>
    <w:rsid w:val="008F388E"/>
    <w:rsid w:val="008F46D0"/>
    <w:rsid w:val="008F4E92"/>
    <w:rsid w:val="008F6A3F"/>
    <w:rsid w:val="008F6C34"/>
    <w:rsid w:val="008F795C"/>
    <w:rsid w:val="008F7CE1"/>
    <w:rsid w:val="009024F2"/>
    <w:rsid w:val="009030A9"/>
    <w:rsid w:val="009034BC"/>
    <w:rsid w:val="009037D7"/>
    <w:rsid w:val="00903D65"/>
    <w:rsid w:val="00906876"/>
    <w:rsid w:val="00910B4F"/>
    <w:rsid w:val="00912860"/>
    <w:rsid w:val="00912A94"/>
    <w:rsid w:val="0091682D"/>
    <w:rsid w:val="009168A8"/>
    <w:rsid w:val="009169B8"/>
    <w:rsid w:val="00920846"/>
    <w:rsid w:val="00920922"/>
    <w:rsid w:val="00920F50"/>
    <w:rsid w:val="009226AE"/>
    <w:rsid w:val="00922B52"/>
    <w:rsid w:val="00923172"/>
    <w:rsid w:val="00926F7F"/>
    <w:rsid w:val="00927486"/>
    <w:rsid w:val="0093068C"/>
    <w:rsid w:val="00932888"/>
    <w:rsid w:val="009331B6"/>
    <w:rsid w:val="00933339"/>
    <w:rsid w:val="00936994"/>
    <w:rsid w:val="00944C90"/>
    <w:rsid w:val="00945BEA"/>
    <w:rsid w:val="00946A33"/>
    <w:rsid w:val="0095371E"/>
    <w:rsid w:val="00954B17"/>
    <w:rsid w:val="00956C7C"/>
    <w:rsid w:val="00957A49"/>
    <w:rsid w:val="0096086E"/>
    <w:rsid w:val="009649A8"/>
    <w:rsid w:val="0096559C"/>
    <w:rsid w:val="0096622A"/>
    <w:rsid w:val="00966DA6"/>
    <w:rsid w:val="00970ACD"/>
    <w:rsid w:val="00972BE3"/>
    <w:rsid w:val="00972CD8"/>
    <w:rsid w:val="00972F1C"/>
    <w:rsid w:val="0097392D"/>
    <w:rsid w:val="00975B41"/>
    <w:rsid w:val="0097758D"/>
    <w:rsid w:val="00977D9A"/>
    <w:rsid w:val="00980172"/>
    <w:rsid w:val="0098277A"/>
    <w:rsid w:val="00983C88"/>
    <w:rsid w:val="00984909"/>
    <w:rsid w:val="0098605B"/>
    <w:rsid w:val="009861C9"/>
    <w:rsid w:val="009876D1"/>
    <w:rsid w:val="00991866"/>
    <w:rsid w:val="0099256B"/>
    <w:rsid w:val="00992E82"/>
    <w:rsid w:val="00995518"/>
    <w:rsid w:val="0099609A"/>
    <w:rsid w:val="00997AD6"/>
    <w:rsid w:val="009A00FA"/>
    <w:rsid w:val="009A0BE6"/>
    <w:rsid w:val="009A2C13"/>
    <w:rsid w:val="009A2D0B"/>
    <w:rsid w:val="009A430F"/>
    <w:rsid w:val="009A45F9"/>
    <w:rsid w:val="009A5054"/>
    <w:rsid w:val="009A53E0"/>
    <w:rsid w:val="009B52DC"/>
    <w:rsid w:val="009B67FE"/>
    <w:rsid w:val="009B7BA7"/>
    <w:rsid w:val="009C1CFA"/>
    <w:rsid w:val="009C2499"/>
    <w:rsid w:val="009C34E2"/>
    <w:rsid w:val="009C4F04"/>
    <w:rsid w:val="009C4FB4"/>
    <w:rsid w:val="009C6F2A"/>
    <w:rsid w:val="009D07E2"/>
    <w:rsid w:val="009D7319"/>
    <w:rsid w:val="009D75AE"/>
    <w:rsid w:val="009E523F"/>
    <w:rsid w:val="009E714C"/>
    <w:rsid w:val="009E74BF"/>
    <w:rsid w:val="009F00FA"/>
    <w:rsid w:val="009F2806"/>
    <w:rsid w:val="009F4E7F"/>
    <w:rsid w:val="009F526C"/>
    <w:rsid w:val="009F7E5F"/>
    <w:rsid w:val="00A01697"/>
    <w:rsid w:val="00A03A77"/>
    <w:rsid w:val="00A05BF2"/>
    <w:rsid w:val="00A10AC5"/>
    <w:rsid w:val="00A11F37"/>
    <w:rsid w:val="00A136F5"/>
    <w:rsid w:val="00A1488A"/>
    <w:rsid w:val="00A1522D"/>
    <w:rsid w:val="00A16103"/>
    <w:rsid w:val="00A16587"/>
    <w:rsid w:val="00A179A5"/>
    <w:rsid w:val="00A21851"/>
    <w:rsid w:val="00A21C4B"/>
    <w:rsid w:val="00A230B7"/>
    <w:rsid w:val="00A24E06"/>
    <w:rsid w:val="00A3096C"/>
    <w:rsid w:val="00A33DE6"/>
    <w:rsid w:val="00A346C6"/>
    <w:rsid w:val="00A34D4B"/>
    <w:rsid w:val="00A35937"/>
    <w:rsid w:val="00A361D9"/>
    <w:rsid w:val="00A36EB3"/>
    <w:rsid w:val="00A37B90"/>
    <w:rsid w:val="00A413B4"/>
    <w:rsid w:val="00A4199B"/>
    <w:rsid w:val="00A438B7"/>
    <w:rsid w:val="00A45C46"/>
    <w:rsid w:val="00A47FBD"/>
    <w:rsid w:val="00A507B8"/>
    <w:rsid w:val="00A5106E"/>
    <w:rsid w:val="00A52A3B"/>
    <w:rsid w:val="00A52D43"/>
    <w:rsid w:val="00A53BA6"/>
    <w:rsid w:val="00A55736"/>
    <w:rsid w:val="00A60923"/>
    <w:rsid w:val="00A61886"/>
    <w:rsid w:val="00A63B89"/>
    <w:rsid w:val="00A643DF"/>
    <w:rsid w:val="00A6665E"/>
    <w:rsid w:val="00A7034D"/>
    <w:rsid w:val="00A7209D"/>
    <w:rsid w:val="00A7279D"/>
    <w:rsid w:val="00A735B1"/>
    <w:rsid w:val="00A76219"/>
    <w:rsid w:val="00A810D5"/>
    <w:rsid w:val="00A83977"/>
    <w:rsid w:val="00A86E93"/>
    <w:rsid w:val="00A87171"/>
    <w:rsid w:val="00A912A3"/>
    <w:rsid w:val="00A91CC3"/>
    <w:rsid w:val="00A92A95"/>
    <w:rsid w:val="00A93233"/>
    <w:rsid w:val="00A955DC"/>
    <w:rsid w:val="00A960BD"/>
    <w:rsid w:val="00A96A11"/>
    <w:rsid w:val="00A96F26"/>
    <w:rsid w:val="00AA39D9"/>
    <w:rsid w:val="00AA5E3A"/>
    <w:rsid w:val="00AA72DD"/>
    <w:rsid w:val="00AB0A9F"/>
    <w:rsid w:val="00AB114D"/>
    <w:rsid w:val="00AB1DCB"/>
    <w:rsid w:val="00AB1FF5"/>
    <w:rsid w:val="00AB3231"/>
    <w:rsid w:val="00AB4973"/>
    <w:rsid w:val="00AB5CEE"/>
    <w:rsid w:val="00AB683F"/>
    <w:rsid w:val="00AC1296"/>
    <w:rsid w:val="00AC265A"/>
    <w:rsid w:val="00AC426C"/>
    <w:rsid w:val="00AC47CC"/>
    <w:rsid w:val="00AC5890"/>
    <w:rsid w:val="00AC6A4B"/>
    <w:rsid w:val="00AC7048"/>
    <w:rsid w:val="00AD3DF2"/>
    <w:rsid w:val="00AD4752"/>
    <w:rsid w:val="00AD4934"/>
    <w:rsid w:val="00AD4B27"/>
    <w:rsid w:val="00AD5C8F"/>
    <w:rsid w:val="00AD7830"/>
    <w:rsid w:val="00AE3944"/>
    <w:rsid w:val="00AE43FC"/>
    <w:rsid w:val="00AE5230"/>
    <w:rsid w:val="00AE694F"/>
    <w:rsid w:val="00AE774A"/>
    <w:rsid w:val="00AE7E95"/>
    <w:rsid w:val="00AF00B3"/>
    <w:rsid w:val="00AF18FA"/>
    <w:rsid w:val="00AF1F5E"/>
    <w:rsid w:val="00AF2937"/>
    <w:rsid w:val="00AF2BC7"/>
    <w:rsid w:val="00AF35D3"/>
    <w:rsid w:val="00AF4CC5"/>
    <w:rsid w:val="00AF5326"/>
    <w:rsid w:val="00AF5A15"/>
    <w:rsid w:val="00AF72D6"/>
    <w:rsid w:val="00B00808"/>
    <w:rsid w:val="00B00F26"/>
    <w:rsid w:val="00B02E5D"/>
    <w:rsid w:val="00B0537F"/>
    <w:rsid w:val="00B103E9"/>
    <w:rsid w:val="00B12C73"/>
    <w:rsid w:val="00B149BB"/>
    <w:rsid w:val="00B15014"/>
    <w:rsid w:val="00B15954"/>
    <w:rsid w:val="00B15F8E"/>
    <w:rsid w:val="00B16106"/>
    <w:rsid w:val="00B23F77"/>
    <w:rsid w:val="00B251F4"/>
    <w:rsid w:val="00B272CE"/>
    <w:rsid w:val="00B2758D"/>
    <w:rsid w:val="00B304A0"/>
    <w:rsid w:val="00B30999"/>
    <w:rsid w:val="00B32530"/>
    <w:rsid w:val="00B325AC"/>
    <w:rsid w:val="00B32CD8"/>
    <w:rsid w:val="00B32EA8"/>
    <w:rsid w:val="00B32FC4"/>
    <w:rsid w:val="00B334F8"/>
    <w:rsid w:val="00B35D5A"/>
    <w:rsid w:val="00B35F3D"/>
    <w:rsid w:val="00B36EB8"/>
    <w:rsid w:val="00B42D3B"/>
    <w:rsid w:val="00B42D5B"/>
    <w:rsid w:val="00B44919"/>
    <w:rsid w:val="00B44B9D"/>
    <w:rsid w:val="00B45F30"/>
    <w:rsid w:val="00B5134F"/>
    <w:rsid w:val="00B518C2"/>
    <w:rsid w:val="00B53970"/>
    <w:rsid w:val="00B54831"/>
    <w:rsid w:val="00B56072"/>
    <w:rsid w:val="00B57543"/>
    <w:rsid w:val="00B60BCA"/>
    <w:rsid w:val="00B61774"/>
    <w:rsid w:val="00B6194D"/>
    <w:rsid w:val="00B61F65"/>
    <w:rsid w:val="00B64B68"/>
    <w:rsid w:val="00B65670"/>
    <w:rsid w:val="00B67E3F"/>
    <w:rsid w:val="00B704B6"/>
    <w:rsid w:val="00B765D3"/>
    <w:rsid w:val="00B80A40"/>
    <w:rsid w:val="00B81DEA"/>
    <w:rsid w:val="00B86696"/>
    <w:rsid w:val="00B87CF8"/>
    <w:rsid w:val="00B918B0"/>
    <w:rsid w:val="00B92D7A"/>
    <w:rsid w:val="00B94F1F"/>
    <w:rsid w:val="00B97114"/>
    <w:rsid w:val="00BA0B75"/>
    <w:rsid w:val="00BA238A"/>
    <w:rsid w:val="00BA36A0"/>
    <w:rsid w:val="00BA5406"/>
    <w:rsid w:val="00BA72A4"/>
    <w:rsid w:val="00BA73F2"/>
    <w:rsid w:val="00BB024A"/>
    <w:rsid w:val="00BB2006"/>
    <w:rsid w:val="00BB2BCF"/>
    <w:rsid w:val="00BB3896"/>
    <w:rsid w:val="00BB4D5D"/>
    <w:rsid w:val="00BC1E7D"/>
    <w:rsid w:val="00BC2D0B"/>
    <w:rsid w:val="00BC42D2"/>
    <w:rsid w:val="00BC5A10"/>
    <w:rsid w:val="00BC5F64"/>
    <w:rsid w:val="00BC5FA8"/>
    <w:rsid w:val="00BC64B2"/>
    <w:rsid w:val="00BC7AAD"/>
    <w:rsid w:val="00BD09B3"/>
    <w:rsid w:val="00BD205C"/>
    <w:rsid w:val="00BD2A0C"/>
    <w:rsid w:val="00BD3CB8"/>
    <w:rsid w:val="00BD58C7"/>
    <w:rsid w:val="00BE095E"/>
    <w:rsid w:val="00BE2D33"/>
    <w:rsid w:val="00BE32C5"/>
    <w:rsid w:val="00BE3586"/>
    <w:rsid w:val="00BE5BBB"/>
    <w:rsid w:val="00BE6E4F"/>
    <w:rsid w:val="00BF2D64"/>
    <w:rsid w:val="00BF318C"/>
    <w:rsid w:val="00BF353F"/>
    <w:rsid w:val="00BF45A7"/>
    <w:rsid w:val="00BF47CC"/>
    <w:rsid w:val="00BF61B1"/>
    <w:rsid w:val="00BF678B"/>
    <w:rsid w:val="00BF7C34"/>
    <w:rsid w:val="00C0023C"/>
    <w:rsid w:val="00C025A3"/>
    <w:rsid w:val="00C0298D"/>
    <w:rsid w:val="00C03C48"/>
    <w:rsid w:val="00C0407D"/>
    <w:rsid w:val="00C04506"/>
    <w:rsid w:val="00C0577A"/>
    <w:rsid w:val="00C057B7"/>
    <w:rsid w:val="00C06BAA"/>
    <w:rsid w:val="00C07B90"/>
    <w:rsid w:val="00C10B08"/>
    <w:rsid w:val="00C121B7"/>
    <w:rsid w:val="00C13504"/>
    <w:rsid w:val="00C14833"/>
    <w:rsid w:val="00C16886"/>
    <w:rsid w:val="00C21A82"/>
    <w:rsid w:val="00C237E9"/>
    <w:rsid w:val="00C238E7"/>
    <w:rsid w:val="00C24384"/>
    <w:rsid w:val="00C27281"/>
    <w:rsid w:val="00C274CD"/>
    <w:rsid w:val="00C30ABF"/>
    <w:rsid w:val="00C31A20"/>
    <w:rsid w:val="00C36AC5"/>
    <w:rsid w:val="00C40419"/>
    <w:rsid w:val="00C456CB"/>
    <w:rsid w:val="00C457D6"/>
    <w:rsid w:val="00C477DC"/>
    <w:rsid w:val="00C501B7"/>
    <w:rsid w:val="00C506B6"/>
    <w:rsid w:val="00C537A9"/>
    <w:rsid w:val="00C57C68"/>
    <w:rsid w:val="00C619B8"/>
    <w:rsid w:val="00C61CD5"/>
    <w:rsid w:val="00C61D6F"/>
    <w:rsid w:val="00C61E9A"/>
    <w:rsid w:val="00C63E2E"/>
    <w:rsid w:val="00C646FB"/>
    <w:rsid w:val="00C65FBF"/>
    <w:rsid w:val="00C6675F"/>
    <w:rsid w:val="00C704A8"/>
    <w:rsid w:val="00C717CD"/>
    <w:rsid w:val="00C755DB"/>
    <w:rsid w:val="00C7568E"/>
    <w:rsid w:val="00C76908"/>
    <w:rsid w:val="00C772DB"/>
    <w:rsid w:val="00C77623"/>
    <w:rsid w:val="00C80E01"/>
    <w:rsid w:val="00C81CC7"/>
    <w:rsid w:val="00C81D43"/>
    <w:rsid w:val="00C8389D"/>
    <w:rsid w:val="00C840D0"/>
    <w:rsid w:val="00C90464"/>
    <w:rsid w:val="00C91DE3"/>
    <w:rsid w:val="00C923A8"/>
    <w:rsid w:val="00C92D09"/>
    <w:rsid w:val="00C95162"/>
    <w:rsid w:val="00C97EEE"/>
    <w:rsid w:val="00C97F7E"/>
    <w:rsid w:val="00CA093C"/>
    <w:rsid w:val="00CA16DC"/>
    <w:rsid w:val="00CA3A85"/>
    <w:rsid w:val="00CA4A3B"/>
    <w:rsid w:val="00CA5051"/>
    <w:rsid w:val="00CA5463"/>
    <w:rsid w:val="00CA74A4"/>
    <w:rsid w:val="00CB1885"/>
    <w:rsid w:val="00CB4F5A"/>
    <w:rsid w:val="00CB51BE"/>
    <w:rsid w:val="00CB56D8"/>
    <w:rsid w:val="00CB6B47"/>
    <w:rsid w:val="00CB71AF"/>
    <w:rsid w:val="00CC2362"/>
    <w:rsid w:val="00CC27D5"/>
    <w:rsid w:val="00CC349C"/>
    <w:rsid w:val="00CC3CB1"/>
    <w:rsid w:val="00CC40ED"/>
    <w:rsid w:val="00CC501D"/>
    <w:rsid w:val="00CC5624"/>
    <w:rsid w:val="00CC57A8"/>
    <w:rsid w:val="00CC5B6B"/>
    <w:rsid w:val="00CC63F8"/>
    <w:rsid w:val="00CC6D7F"/>
    <w:rsid w:val="00CD0B2B"/>
    <w:rsid w:val="00CD42E0"/>
    <w:rsid w:val="00CD7AC2"/>
    <w:rsid w:val="00CE1513"/>
    <w:rsid w:val="00CE2D25"/>
    <w:rsid w:val="00CF295A"/>
    <w:rsid w:val="00CF2F7E"/>
    <w:rsid w:val="00CF32FA"/>
    <w:rsid w:val="00CF429A"/>
    <w:rsid w:val="00CF5144"/>
    <w:rsid w:val="00CF6826"/>
    <w:rsid w:val="00CF6980"/>
    <w:rsid w:val="00D01F77"/>
    <w:rsid w:val="00D038E9"/>
    <w:rsid w:val="00D04AD4"/>
    <w:rsid w:val="00D05DB9"/>
    <w:rsid w:val="00D06283"/>
    <w:rsid w:val="00D07E52"/>
    <w:rsid w:val="00D12F23"/>
    <w:rsid w:val="00D12F8C"/>
    <w:rsid w:val="00D16DE4"/>
    <w:rsid w:val="00D21AC1"/>
    <w:rsid w:val="00D21B26"/>
    <w:rsid w:val="00D22E52"/>
    <w:rsid w:val="00D22FA7"/>
    <w:rsid w:val="00D23000"/>
    <w:rsid w:val="00D24CBF"/>
    <w:rsid w:val="00D268CC"/>
    <w:rsid w:val="00D27430"/>
    <w:rsid w:val="00D27DFC"/>
    <w:rsid w:val="00D32B68"/>
    <w:rsid w:val="00D335F7"/>
    <w:rsid w:val="00D33D11"/>
    <w:rsid w:val="00D33DD4"/>
    <w:rsid w:val="00D34B45"/>
    <w:rsid w:val="00D35A28"/>
    <w:rsid w:val="00D364E7"/>
    <w:rsid w:val="00D37041"/>
    <w:rsid w:val="00D37165"/>
    <w:rsid w:val="00D37406"/>
    <w:rsid w:val="00D403CB"/>
    <w:rsid w:val="00D42CD6"/>
    <w:rsid w:val="00D42D55"/>
    <w:rsid w:val="00D42DF2"/>
    <w:rsid w:val="00D43798"/>
    <w:rsid w:val="00D43965"/>
    <w:rsid w:val="00D45145"/>
    <w:rsid w:val="00D46F62"/>
    <w:rsid w:val="00D47256"/>
    <w:rsid w:val="00D47363"/>
    <w:rsid w:val="00D47415"/>
    <w:rsid w:val="00D47638"/>
    <w:rsid w:val="00D5091C"/>
    <w:rsid w:val="00D528AB"/>
    <w:rsid w:val="00D52B16"/>
    <w:rsid w:val="00D54456"/>
    <w:rsid w:val="00D55D3C"/>
    <w:rsid w:val="00D60EEC"/>
    <w:rsid w:val="00D617E3"/>
    <w:rsid w:val="00D643C9"/>
    <w:rsid w:val="00D72610"/>
    <w:rsid w:val="00D72E3D"/>
    <w:rsid w:val="00D737ED"/>
    <w:rsid w:val="00D73C55"/>
    <w:rsid w:val="00D7408C"/>
    <w:rsid w:val="00D75AA5"/>
    <w:rsid w:val="00D76F6D"/>
    <w:rsid w:val="00D7735F"/>
    <w:rsid w:val="00D774B4"/>
    <w:rsid w:val="00D8224F"/>
    <w:rsid w:val="00D84857"/>
    <w:rsid w:val="00D85793"/>
    <w:rsid w:val="00D85868"/>
    <w:rsid w:val="00D85EB9"/>
    <w:rsid w:val="00D86E82"/>
    <w:rsid w:val="00D92683"/>
    <w:rsid w:val="00D9479E"/>
    <w:rsid w:val="00D9774A"/>
    <w:rsid w:val="00D97E81"/>
    <w:rsid w:val="00DA2EC2"/>
    <w:rsid w:val="00DA3085"/>
    <w:rsid w:val="00DA419F"/>
    <w:rsid w:val="00DA5634"/>
    <w:rsid w:val="00DA5804"/>
    <w:rsid w:val="00DA6EA6"/>
    <w:rsid w:val="00DB013B"/>
    <w:rsid w:val="00DB0449"/>
    <w:rsid w:val="00DB0A53"/>
    <w:rsid w:val="00DB3B6F"/>
    <w:rsid w:val="00DB4303"/>
    <w:rsid w:val="00DB60A5"/>
    <w:rsid w:val="00DB63F2"/>
    <w:rsid w:val="00DB7ECF"/>
    <w:rsid w:val="00DC095A"/>
    <w:rsid w:val="00DC4BC8"/>
    <w:rsid w:val="00DC50C7"/>
    <w:rsid w:val="00DC593F"/>
    <w:rsid w:val="00DC752A"/>
    <w:rsid w:val="00DD0CA7"/>
    <w:rsid w:val="00DD15BF"/>
    <w:rsid w:val="00DD2483"/>
    <w:rsid w:val="00DD3346"/>
    <w:rsid w:val="00DD353B"/>
    <w:rsid w:val="00DD3C30"/>
    <w:rsid w:val="00DE0E07"/>
    <w:rsid w:val="00DE19DC"/>
    <w:rsid w:val="00DE23D7"/>
    <w:rsid w:val="00DE30BD"/>
    <w:rsid w:val="00DE3FA5"/>
    <w:rsid w:val="00DE603C"/>
    <w:rsid w:val="00DE6872"/>
    <w:rsid w:val="00DE6A36"/>
    <w:rsid w:val="00DF10C0"/>
    <w:rsid w:val="00DF377D"/>
    <w:rsid w:val="00DF44AB"/>
    <w:rsid w:val="00DF4544"/>
    <w:rsid w:val="00DF4758"/>
    <w:rsid w:val="00DF4F86"/>
    <w:rsid w:val="00DF5EFB"/>
    <w:rsid w:val="00DF7A80"/>
    <w:rsid w:val="00DF7E58"/>
    <w:rsid w:val="00DF7F24"/>
    <w:rsid w:val="00E013BC"/>
    <w:rsid w:val="00E01955"/>
    <w:rsid w:val="00E02D39"/>
    <w:rsid w:val="00E0370B"/>
    <w:rsid w:val="00E117D9"/>
    <w:rsid w:val="00E11D7D"/>
    <w:rsid w:val="00E15CE3"/>
    <w:rsid w:val="00E17D9A"/>
    <w:rsid w:val="00E204EA"/>
    <w:rsid w:val="00E20733"/>
    <w:rsid w:val="00E20C32"/>
    <w:rsid w:val="00E23043"/>
    <w:rsid w:val="00E23387"/>
    <w:rsid w:val="00E236AD"/>
    <w:rsid w:val="00E23AD1"/>
    <w:rsid w:val="00E2451A"/>
    <w:rsid w:val="00E24617"/>
    <w:rsid w:val="00E258EA"/>
    <w:rsid w:val="00E311B6"/>
    <w:rsid w:val="00E32B5B"/>
    <w:rsid w:val="00E3749B"/>
    <w:rsid w:val="00E40DE1"/>
    <w:rsid w:val="00E40FB2"/>
    <w:rsid w:val="00E41173"/>
    <w:rsid w:val="00E4246A"/>
    <w:rsid w:val="00E462B4"/>
    <w:rsid w:val="00E465BF"/>
    <w:rsid w:val="00E46787"/>
    <w:rsid w:val="00E46C87"/>
    <w:rsid w:val="00E50058"/>
    <w:rsid w:val="00E50F5D"/>
    <w:rsid w:val="00E51230"/>
    <w:rsid w:val="00E518AF"/>
    <w:rsid w:val="00E53352"/>
    <w:rsid w:val="00E53801"/>
    <w:rsid w:val="00E54F1A"/>
    <w:rsid w:val="00E5501B"/>
    <w:rsid w:val="00E55C5E"/>
    <w:rsid w:val="00E56854"/>
    <w:rsid w:val="00E56A2E"/>
    <w:rsid w:val="00E61514"/>
    <w:rsid w:val="00E632CD"/>
    <w:rsid w:val="00E6381F"/>
    <w:rsid w:val="00E63A74"/>
    <w:rsid w:val="00E646E3"/>
    <w:rsid w:val="00E66477"/>
    <w:rsid w:val="00E66A83"/>
    <w:rsid w:val="00E70567"/>
    <w:rsid w:val="00E70704"/>
    <w:rsid w:val="00E70B85"/>
    <w:rsid w:val="00E719C7"/>
    <w:rsid w:val="00E72A3A"/>
    <w:rsid w:val="00E8014D"/>
    <w:rsid w:val="00E81952"/>
    <w:rsid w:val="00E83DDA"/>
    <w:rsid w:val="00E83E8F"/>
    <w:rsid w:val="00E855F0"/>
    <w:rsid w:val="00E85B1B"/>
    <w:rsid w:val="00E909FC"/>
    <w:rsid w:val="00E9100D"/>
    <w:rsid w:val="00E910A6"/>
    <w:rsid w:val="00E918EC"/>
    <w:rsid w:val="00E95E71"/>
    <w:rsid w:val="00E96BF0"/>
    <w:rsid w:val="00E96F60"/>
    <w:rsid w:val="00E9703D"/>
    <w:rsid w:val="00E976CB"/>
    <w:rsid w:val="00EA26D0"/>
    <w:rsid w:val="00EA4F92"/>
    <w:rsid w:val="00EA4FE3"/>
    <w:rsid w:val="00EA5AD9"/>
    <w:rsid w:val="00EA5E0B"/>
    <w:rsid w:val="00EA6768"/>
    <w:rsid w:val="00EA7DAF"/>
    <w:rsid w:val="00EB0C75"/>
    <w:rsid w:val="00EB10A4"/>
    <w:rsid w:val="00EB21CC"/>
    <w:rsid w:val="00EB3346"/>
    <w:rsid w:val="00EB506B"/>
    <w:rsid w:val="00EB54A9"/>
    <w:rsid w:val="00EB5F68"/>
    <w:rsid w:val="00EB774F"/>
    <w:rsid w:val="00EC0E61"/>
    <w:rsid w:val="00EC0FAE"/>
    <w:rsid w:val="00EC15CB"/>
    <w:rsid w:val="00EC2429"/>
    <w:rsid w:val="00ED015E"/>
    <w:rsid w:val="00ED139F"/>
    <w:rsid w:val="00ED15F3"/>
    <w:rsid w:val="00ED2971"/>
    <w:rsid w:val="00ED3607"/>
    <w:rsid w:val="00ED457E"/>
    <w:rsid w:val="00ED5A35"/>
    <w:rsid w:val="00ED67BE"/>
    <w:rsid w:val="00EE022B"/>
    <w:rsid w:val="00EE1E9F"/>
    <w:rsid w:val="00EE2F3B"/>
    <w:rsid w:val="00EE3B70"/>
    <w:rsid w:val="00EE41E7"/>
    <w:rsid w:val="00EE55C0"/>
    <w:rsid w:val="00EE7AD0"/>
    <w:rsid w:val="00EF0380"/>
    <w:rsid w:val="00EF4BED"/>
    <w:rsid w:val="00F01244"/>
    <w:rsid w:val="00F01557"/>
    <w:rsid w:val="00F02694"/>
    <w:rsid w:val="00F044A7"/>
    <w:rsid w:val="00F04B6F"/>
    <w:rsid w:val="00F06240"/>
    <w:rsid w:val="00F0786F"/>
    <w:rsid w:val="00F1062A"/>
    <w:rsid w:val="00F10C99"/>
    <w:rsid w:val="00F12262"/>
    <w:rsid w:val="00F13816"/>
    <w:rsid w:val="00F148AA"/>
    <w:rsid w:val="00F17380"/>
    <w:rsid w:val="00F175E2"/>
    <w:rsid w:val="00F20DEB"/>
    <w:rsid w:val="00F21391"/>
    <w:rsid w:val="00F22456"/>
    <w:rsid w:val="00F25469"/>
    <w:rsid w:val="00F25826"/>
    <w:rsid w:val="00F25EA0"/>
    <w:rsid w:val="00F261FE"/>
    <w:rsid w:val="00F27958"/>
    <w:rsid w:val="00F27C1D"/>
    <w:rsid w:val="00F30A86"/>
    <w:rsid w:val="00F3307B"/>
    <w:rsid w:val="00F35429"/>
    <w:rsid w:val="00F36C2B"/>
    <w:rsid w:val="00F402CB"/>
    <w:rsid w:val="00F410DF"/>
    <w:rsid w:val="00F42E3E"/>
    <w:rsid w:val="00F4351E"/>
    <w:rsid w:val="00F43790"/>
    <w:rsid w:val="00F455F1"/>
    <w:rsid w:val="00F45FBA"/>
    <w:rsid w:val="00F51E1D"/>
    <w:rsid w:val="00F521B7"/>
    <w:rsid w:val="00F54453"/>
    <w:rsid w:val="00F60F8E"/>
    <w:rsid w:val="00F64E35"/>
    <w:rsid w:val="00F6576C"/>
    <w:rsid w:val="00F66257"/>
    <w:rsid w:val="00F66B26"/>
    <w:rsid w:val="00F7284B"/>
    <w:rsid w:val="00F7285D"/>
    <w:rsid w:val="00F7301B"/>
    <w:rsid w:val="00F73376"/>
    <w:rsid w:val="00F75CEB"/>
    <w:rsid w:val="00F75D45"/>
    <w:rsid w:val="00F76180"/>
    <w:rsid w:val="00F76256"/>
    <w:rsid w:val="00F80F61"/>
    <w:rsid w:val="00F84912"/>
    <w:rsid w:val="00F84E00"/>
    <w:rsid w:val="00F85E9A"/>
    <w:rsid w:val="00F8615F"/>
    <w:rsid w:val="00F867EB"/>
    <w:rsid w:val="00F86E11"/>
    <w:rsid w:val="00F86E63"/>
    <w:rsid w:val="00F90896"/>
    <w:rsid w:val="00F90960"/>
    <w:rsid w:val="00F926A9"/>
    <w:rsid w:val="00F92A82"/>
    <w:rsid w:val="00F92C04"/>
    <w:rsid w:val="00F93C4E"/>
    <w:rsid w:val="00F9439C"/>
    <w:rsid w:val="00F9612C"/>
    <w:rsid w:val="00F974D3"/>
    <w:rsid w:val="00FA1242"/>
    <w:rsid w:val="00FA1D2B"/>
    <w:rsid w:val="00FA384D"/>
    <w:rsid w:val="00FA4323"/>
    <w:rsid w:val="00FA4A6E"/>
    <w:rsid w:val="00FA7297"/>
    <w:rsid w:val="00FA7427"/>
    <w:rsid w:val="00FB2B4D"/>
    <w:rsid w:val="00FB37EE"/>
    <w:rsid w:val="00FB4B60"/>
    <w:rsid w:val="00FC026C"/>
    <w:rsid w:val="00FC13FB"/>
    <w:rsid w:val="00FC182E"/>
    <w:rsid w:val="00FC2A33"/>
    <w:rsid w:val="00FC45C8"/>
    <w:rsid w:val="00FC4C4B"/>
    <w:rsid w:val="00FC5982"/>
    <w:rsid w:val="00FC59EC"/>
    <w:rsid w:val="00FC5D9A"/>
    <w:rsid w:val="00FC70B9"/>
    <w:rsid w:val="00FD0F04"/>
    <w:rsid w:val="00FD1170"/>
    <w:rsid w:val="00FD2C67"/>
    <w:rsid w:val="00FD5961"/>
    <w:rsid w:val="00FD6113"/>
    <w:rsid w:val="00FD6DE2"/>
    <w:rsid w:val="00FE01E7"/>
    <w:rsid w:val="00FE0F36"/>
    <w:rsid w:val="00FE3C95"/>
    <w:rsid w:val="00FE7642"/>
    <w:rsid w:val="00FE796C"/>
    <w:rsid w:val="00FF08AF"/>
    <w:rsid w:val="00FF1B85"/>
    <w:rsid w:val="00FF1BA6"/>
    <w:rsid w:val="00FF32A4"/>
    <w:rsid w:val="00FF3DA4"/>
    <w:rsid w:val="00FF6149"/>
    <w:rsid w:val="00FF7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C16703-CDD4-4BBF-9C09-23961B63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73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46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62B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73E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2CE"/>
    <w:pPr>
      <w:ind w:left="720"/>
      <w:contextualSpacing/>
    </w:pPr>
  </w:style>
  <w:style w:type="paragraph" w:styleId="Header">
    <w:name w:val="header"/>
    <w:basedOn w:val="Normal"/>
    <w:link w:val="HeaderChar"/>
    <w:uiPriority w:val="99"/>
    <w:unhideWhenUsed/>
    <w:rsid w:val="00B97114"/>
    <w:pPr>
      <w:tabs>
        <w:tab w:val="center" w:pos="4153"/>
        <w:tab w:val="right" w:pos="8306"/>
      </w:tabs>
    </w:pPr>
  </w:style>
  <w:style w:type="character" w:customStyle="1" w:styleId="HeaderChar">
    <w:name w:val="Header Char"/>
    <w:basedOn w:val="DefaultParagraphFont"/>
    <w:link w:val="Header"/>
    <w:uiPriority w:val="99"/>
    <w:rsid w:val="00B97114"/>
  </w:style>
  <w:style w:type="paragraph" w:styleId="Footer">
    <w:name w:val="footer"/>
    <w:basedOn w:val="Normal"/>
    <w:link w:val="FooterChar"/>
    <w:uiPriority w:val="99"/>
    <w:unhideWhenUsed/>
    <w:rsid w:val="00B97114"/>
    <w:pPr>
      <w:tabs>
        <w:tab w:val="center" w:pos="4153"/>
        <w:tab w:val="right" w:pos="8306"/>
      </w:tabs>
    </w:pPr>
  </w:style>
  <w:style w:type="character" w:customStyle="1" w:styleId="FooterChar">
    <w:name w:val="Footer Char"/>
    <w:basedOn w:val="DefaultParagraphFont"/>
    <w:link w:val="Footer"/>
    <w:uiPriority w:val="99"/>
    <w:rsid w:val="00B97114"/>
  </w:style>
  <w:style w:type="paragraph" w:styleId="FootnoteText">
    <w:name w:val="footnote text"/>
    <w:basedOn w:val="Normal"/>
    <w:link w:val="FootnoteTextChar"/>
    <w:uiPriority w:val="99"/>
    <w:semiHidden/>
    <w:unhideWhenUsed/>
    <w:rsid w:val="006F1B65"/>
    <w:rPr>
      <w:sz w:val="20"/>
      <w:szCs w:val="20"/>
    </w:rPr>
  </w:style>
  <w:style w:type="character" w:customStyle="1" w:styleId="FootnoteTextChar">
    <w:name w:val="Footnote Text Char"/>
    <w:basedOn w:val="DefaultParagraphFont"/>
    <w:link w:val="FootnoteText"/>
    <w:uiPriority w:val="99"/>
    <w:semiHidden/>
    <w:rsid w:val="006F1B65"/>
    <w:rPr>
      <w:sz w:val="20"/>
      <w:szCs w:val="20"/>
    </w:rPr>
  </w:style>
  <w:style w:type="character" w:styleId="FootnoteReference">
    <w:name w:val="footnote reference"/>
    <w:basedOn w:val="DefaultParagraphFont"/>
    <w:uiPriority w:val="99"/>
    <w:semiHidden/>
    <w:unhideWhenUsed/>
    <w:rsid w:val="006F1B65"/>
    <w:rPr>
      <w:vertAlign w:val="superscript"/>
    </w:rPr>
  </w:style>
  <w:style w:type="character" w:styleId="Hyperlink">
    <w:name w:val="Hyperlink"/>
    <w:basedOn w:val="DefaultParagraphFont"/>
    <w:uiPriority w:val="99"/>
    <w:unhideWhenUsed/>
    <w:rsid w:val="00AD4752"/>
    <w:rPr>
      <w:color w:val="0563C1" w:themeColor="hyperlink"/>
      <w:u w:val="single"/>
    </w:rPr>
  </w:style>
  <w:style w:type="character" w:styleId="CommentReference">
    <w:name w:val="annotation reference"/>
    <w:basedOn w:val="DefaultParagraphFont"/>
    <w:uiPriority w:val="99"/>
    <w:semiHidden/>
    <w:unhideWhenUsed/>
    <w:rsid w:val="00BC5FA8"/>
    <w:rPr>
      <w:sz w:val="16"/>
      <w:szCs w:val="16"/>
    </w:rPr>
  </w:style>
  <w:style w:type="paragraph" w:styleId="CommentText">
    <w:name w:val="annotation text"/>
    <w:basedOn w:val="Normal"/>
    <w:link w:val="CommentTextChar"/>
    <w:uiPriority w:val="99"/>
    <w:semiHidden/>
    <w:unhideWhenUsed/>
    <w:rsid w:val="00BC5FA8"/>
    <w:rPr>
      <w:sz w:val="20"/>
      <w:szCs w:val="20"/>
    </w:rPr>
  </w:style>
  <w:style w:type="character" w:customStyle="1" w:styleId="CommentTextChar">
    <w:name w:val="Comment Text Char"/>
    <w:basedOn w:val="DefaultParagraphFont"/>
    <w:link w:val="CommentText"/>
    <w:uiPriority w:val="99"/>
    <w:semiHidden/>
    <w:rsid w:val="00BC5FA8"/>
    <w:rPr>
      <w:sz w:val="20"/>
      <w:szCs w:val="20"/>
    </w:rPr>
  </w:style>
  <w:style w:type="paragraph" w:styleId="CommentSubject">
    <w:name w:val="annotation subject"/>
    <w:basedOn w:val="CommentText"/>
    <w:next w:val="CommentText"/>
    <w:link w:val="CommentSubjectChar"/>
    <w:uiPriority w:val="99"/>
    <w:semiHidden/>
    <w:unhideWhenUsed/>
    <w:rsid w:val="00BC5FA8"/>
    <w:rPr>
      <w:b/>
      <w:bCs/>
    </w:rPr>
  </w:style>
  <w:style w:type="character" w:customStyle="1" w:styleId="CommentSubjectChar">
    <w:name w:val="Comment Subject Char"/>
    <w:basedOn w:val="CommentTextChar"/>
    <w:link w:val="CommentSubject"/>
    <w:uiPriority w:val="99"/>
    <w:semiHidden/>
    <w:rsid w:val="00BC5FA8"/>
    <w:rPr>
      <w:b/>
      <w:bCs/>
      <w:sz w:val="20"/>
      <w:szCs w:val="20"/>
    </w:rPr>
  </w:style>
  <w:style w:type="paragraph" w:styleId="BalloonText">
    <w:name w:val="Balloon Text"/>
    <w:basedOn w:val="Normal"/>
    <w:link w:val="BalloonTextChar"/>
    <w:uiPriority w:val="99"/>
    <w:semiHidden/>
    <w:unhideWhenUsed/>
    <w:rsid w:val="00BC5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FA8"/>
    <w:rPr>
      <w:rFonts w:ascii="Segoe UI" w:hAnsi="Segoe UI" w:cs="Segoe UI"/>
      <w:sz w:val="18"/>
      <w:szCs w:val="18"/>
    </w:rPr>
  </w:style>
  <w:style w:type="character" w:customStyle="1" w:styleId="Heading1Char">
    <w:name w:val="Heading 1 Char"/>
    <w:basedOn w:val="DefaultParagraphFont"/>
    <w:link w:val="Heading1"/>
    <w:uiPriority w:val="9"/>
    <w:rsid w:val="0075738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5738B"/>
    <w:pPr>
      <w:spacing w:line="259" w:lineRule="auto"/>
      <w:outlineLvl w:val="9"/>
    </w:pPr>
    <w:rPr>
      <w:lang w:val="en-US"/>
    </w:rPr>
  </w:style>
  <w:style w:type="character" w:customStyle="1" w:styleId="Heading2Char">
    <w:name w:val="Heading 2 Char"/>
    <w:basedOn w:val="DefaultParagraphFont"/>
    <w:link w:val="Heading2"/>
    <w:uiPriority w:val="9"/>
    <w:rsid w:val="00E2461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4C6282"/>
    <w:pPr>
      <w:tabs>
        <w:tab w:val="left" w:pos="440"/>
        <w:tab w:val="right" w:leader="dot" w:pos="9344"/>
      </w:tabs>
      <w:spacing w:after="100"/>
    </w:pPr>
    <w:rPr>
      <w:rFonts w:cs="Times New Roman"/>
      <w:b/>
      <w:noProof/>
    </w:rPr>
  </w:style>
  <w:style w:type="paragraph" w:styleId="TOC2">
    <w:name w:val="toc 2"/>
    <w:basedOn w:val="Normal"/>
    <w:next w:val="Normal"/>
    <w:autoRedefine/>
    <w:uiPriority w:val="39"/>
    <w:unhideWhenUsed/>
    <w:rsid w:val="00F21391"/>
    <w:pPr>
      <w:tabs>
        <w:tab w:val="left" w:pos="880"/>
        <w:tab w:val="right" w:leader="dot" w:pos="9344"/>
      </w:tabs>
      <w:spacing w:after="100"/>
      <w:ind w:left="240"/>
    </w:pPr>
    <w:rPr>
      <w:rFonts w:cs="Times New Roman"/>
      <w:b/>
      <w:noProof/>
    </w:rPr>
  </w:style>
  <w:style w:type="table" w:styleId="TableGrid">
    <w:name w:val="Table Grid"/>
    <w:basedOn w:val="TableNormal"/>
    <w:uiPriority w:val="59"/>
    <w:rsid w:val="00B8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D403C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Spacing">
    <w:name w:val="No Spacing"/>
    <w:uiPriority w:val="1"/>
    <w:qFormat/>
    <w:rsid w:val="0064732D"/>
    <w:rPr>
      <w:rFonts w:asciiTheme="minorHAnsi" w:hAnsiTheme="minorHAnsi"/>
      <w:sz w:val="22"/>
    </w:rPr>
  </w:style>
  <w:style w:type="paragraph" w:customStyle="1" w:styleId="Default">
    <w:name w:val="Default"/>
    <w:rsid w:val="00CF295A"/>
    <w:pPr>
      <w:autoSpaceDE w:val="0"/>
      <w:autoSpaceDN w:val="0"/>
      <w:adjustRightInd w:val="0"/>
    </w:pPr>
    <w:rPr>
      <w:rFonts w:cs="Times New Roman"/>
      <w:color w:val="000000"/>
      <w:szCs w:val="24"/>
    </w:rPr>
  </w:style>
  <w:style w:type="paragraph" w:customStyle="1" w:styleId="programmas">
    <w:name w:val="programmas"/>
    <w:basedOn w:val="Normal"/>
    <w:qFormat/>
    <w:rsid w:val="003D59C1"/>
    <w:pPr>
      <w:widowControl w:val="0"/>
      <w:spacing w:before="240" w:after="120"/>
      <w:jc w:val="center"/>
    </w:pPr>
    <w:rPr>
      <w:rFonts w:eastAsia="Times New Roman" w:cs="Times New Roman"/>
      <w:b/>
      <w:szCs w:val="20"/>
      <w:lang w:val="en-US"/>
    </w:rPr>
  </w:style>
  <w:style w:type="paragraph" w:customStyle="1" w:styleId="tabteksts">
    <w:name w:val="tab_teksts"/>
    <w:basedOn w:val="Normal"/>
    <w:rsid w:val="003D59C1"/>
    <w:rPr>
      <w:rFonts w:eastAsia="Times New Roman" w:cs="Times New Roman"/>
      <w:sz w:val="18"/>
      <w:szCs w:val="20"/>
    </w:rPr>
  </w:style>
  <w:style w:type="character" w:customStyle="1" w:styleId="Heading3Char">
    <w:name w:val="Heading 3 Char"/>
    <w:basedOn w:val="DefaultParagraphFont"/>
    <w:link w:val="Heading3"/>
    <w:uiPriority w:val="9"/>
    <w:rsid w:val="00E462B4"/>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673E7B"/>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0D17D7"/>
    <w:pPr>
      <w:spacing w:after="100"/>
      <w:ind w:left="480"/>
    </w:pPr>
  </w:style>
  <w:style w:type="paragraph" w:styleId="BodyText">
    <w:name w:val="Body Text"/>
    <w:basedOn w:val="Normal"/>
    <w:link w:val="BodyTextChar"/>
    <w:unhideWhenUsed/>
    <w:rsid w:val="00045DDD"/>
    <w:pPr>
      <w:jc w:val="both"/>
    </w:pPr>
    <w:rPr>
      <w:rFonts w:eastAsia="Times New Roman" w:cs="Times New Roman"/>
      <w:sz w:val="28"/>
      <w:szCs w:val="20"/>
      <w:lang w:val="en-AU" w:eastAsia="lv-LV"/>
    </w:rPr>
  </w:style>
  <w:style w:type="character" w:customStyle="1" w:styleId="BodyTextChar">
    <w:name w:val="Body Text Char"/>
    <w:basedOn w:val="DefaultParagraphFont"/>
    <w:link w:val="BodyText"/>
    <w:rsid w:val="00045DDD"/>
    <w:rPr>
      <w:rFonts w:eastAsia="Times New Roman" w:cs="Times New Roman"/>
      <w:sz w:val="28"/>
      <w:szCs w:val="20"/>
      <w:lang w:val="en-AU" w:eastAsia="lv-LV"/>
    </w:rPr>
  </w:style>
  <w:style w:type="paragraph" w:customStyle="1" w:styleId="naisf">
    <w:name w:val="naisf"/>
    <w:basedOn w:val="Normal"/>
    <w:rsid w:val="00F01244"/>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7622">
      <w:bodyDiv w:val="1"/>
      <w:marLeft w:val="0"/>
      <w:marRight w:val="0"/>
      <w:marTop w:val="0"/>
      <w:marBottom w:val="0"/>
      <w:divBdr>
        <w:top w:val="none" w:sz="0" w:space="0" w:color="auto"/>
        <w:left w:val="none" w:sz="0" w:space="0" w:color="auto"/>
        <w:bottom w:val="none" w:sz="0" w:space="0" w:color="auto"/>
        <w:right w:val="none" w:sz="0" w:space="0" w:color="auto"/>
      </w:divBdr>
    </w:div>
    <w:div w:id="105731554">
      <w:bodyDiv w:val="1"/>
      <w:marLeft w:val="0"/>
      <w:marRight w:val="0"/>
      <w:marTop w:val="0"/>
      <w:marBottom w:val="0"/>
      <w:divBdr>
        <w:top w:val="none" w:sz="0" w:space="0" w:color="auto"/>
        <w:left w:val="none" w:sz="0" w:space="0" w:color="auto"/>
        <w:bottom w:val="none" w:sz="0" w:space="0" w:color="auto"/>
        <w:right w:val="none" w:sz="0" w:space="0" w:color="auto"/>
      </w:divBdr>
    </w:div>
    <w:div w:id="143200852">
      <w:bodyDiv w:val="1"/>
      <w:marLeft w:val="0"/>
      <w:marRight w:val="0"/>
      <w:marTop w:val="0"/>
      <w:marBottom w:val="0"/>
      <w:divBdr>
        <w:top w:val="none" w:sz="0" w:space="0" w:color="auto"/>
        <w:left w:val="none" w:sz="0" w:space="0" w:color="auto"/>
        <w:bottom w:val="none" w:sz="0" w:space="0" w:color="auto"/>
        <w:right w:val="none" w:sz="0" w:space="0" w:color="auto"/>
      </w:divBdr>
      <w:divsChild>
        <w:div w:id="616133877">
          <w:marLeft w:val="0"/>
          <w:marRight w:val="0"/>
          <w:marTop w:val="0"/>
          <w:marBottom w:val="0"/>
          <w:divBdr>
            <w:top w:val="none" w:sz="0" w:space="0" w:color="auto"/>
            <w:left w:val="none" w:sz="0" w:space="0" w:color="auto"/>
            <w:bottom w:val="none" w:sz="0" w:space="0" w:color="auto"/>
            <w:right w:val="none" w:sz="0" w:space="0" w:color="auto"/>
          </w:divBdr>
          <w:divsChild>
            <w:div w:id="1925843883">
              <w:marLeft w:val="0"/>
              <w:marRight w:val="0"/>
              <w:marTop w:val="0"/>
              <w:marBottom w:val="0"/>
              <w:divBdr>
                <w:top w:val="none" w:sz="0" w:space="0" w:color="auto"/>
                <w:left w:val="none" w:sz="0" w:space="0" w:color="auto"/>
                <w:bottom w:val="none" w:sz="0" w:space="0" w:color="auto"/>
                <w:right w:val="none" w:sz="0" w:space="0" w:color="auto"/>
              </w:divBdr>
              <w:divsChild>
                <w:div w:id="638924600">
                  <w:marLeft w:val="0"/>
                  <w:marRight w:val="0"/>
                  <w:marTop w:val="0"/>
                  <w:marBottom w:val="0"/>
                  <w:divBdr>
                    <w:top w:val="none" w:sz="0" w:space="0" w:color="auto"/>
                    <w:left w:val="none" w:sz="0" w:space="0" w:color="auto"/>
                    <w:bottom w:val="none" w:sz="0" w:space="0" w:color="auto"/>
                    <w:right w:val="none" w:sz="0" w:space="0" w:color="auto"/>
                  </w:divBdr>
                  <w:divsChild>
                    <w:div w:id="25445925">
                      <w:marLeft w:val="0"/>
                      <w:marRight w:val="0"/>
                      <w:marTop w:val="0"/>
                      <w:marBottom w:val="0"/>
                      <w:divBdr>
                        <w:top w:val="none" w:sz="0" w:space="0" w:color="auto"/>
                        <w:left w:val="none" w:sz="0" w:space="0" w:color="auto"/>
                        <w:bottom w:val="none" w:sz="0" w:space="0" w:color="auto"/>
                        <w:right w:val="none" w:sz="0" w:space="0" w:color="auto"/>
                      </w:divBdr>
                      <w:divsChild>
                        <w:div w:id="411970652">
                          <w:marLeft w:val="0"/>
                          <w:marRight w:val="0"/>
                          <w:marTop w:val="0"/>
                          <w:marBottom w:val="0"/>
                          <w:divBdr>
                            <w:top w:val="none" w:sz="0" w:space="0" w:color="auto"/>
                            <w:left w:val="none" w:sz="0" w:space="0" w:color="auto"/>
                            <w:bottom w:val="none" w:sz="0" w:space="0" w:color="auto"/>
                            <w:right w:val="none" w:sz="0" w:space="0" w:color="auto"/>
                          </w:divBdr>
                          <w:divsChild>
                            <w:div w:id="1892689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09981">
      <w:bodyDiv w:val="1"/>
      <w:marLeft w:val="0"/>
      <w:marRight w:val="0"/>
      <w:marTop w:val="0"/>
      <w:marBottom w:val="0"/>
      <w:divBdr>
        <w:top w:val="none" w:sz="0" w:space="0" w:color="auto"/>
        <w:left w:val="none" w:sz="0" w:space="0" w:color="auto"/>
        <w:bottom w:val="none" w:sz="0" w:space="0" w:color="auto"/>
        <w:right w:val="none" w:sz="0" w:space="0" w:color="auto"/>
      </w:divBdr>
    </w:div>
    <w:div w:id="378937496">
      <w:bodyDiv w:val="1"/>
      <w:marLeft w:val="0"/>
      <w:marRight w:val="0"/>
      <w:marTop w:val="0"/>
      <w:marBottom w:val="0"/>
      <w:divBdr>
        <w:top w:val="none" w:sz="0" w:space="0" w:color="auto"/>
        <w:left w:val="none" w:sz="0" w:space="0" w:color="auto"/>
        <w:bottom w:val="none" w:sz="0" w:space="0" w:color="auto"/>
        <w:right w:val="none" w:sz="0" w:space="0" w:color="auto"/>
      </w:divBdr>
    </w:div>
    <w:div w:id="577178002">
      <w:bodyDiv w:val="1"/>
      <w:marLeft w:val="0"/>
      <w:marRight w:val="0"/>
      <w:marTop w:val="0"/>
      <w:marBottom w:val="0"/>
      <w:divBdr>
        <w:top w:val="none" w:sz="0" w:space="0" w:color="auto"/>
        <w:left w:val="none" w:sz="0" w:space="0" w:color="auto"/>
        <w:bottom w:val="none" w:sz="0" w:space="0" w:color="auto"/>
        <w:right w:val="none" w:sz="0" w:space="0" w:color="auto"/>
      </w:divBdr>
    </w:div>
    <w:div w:id="848713309">
      <w:bodyDiv w:val="1"/>
      <w:marLeft w:val="0"/>
      <w:marRight w:val="0"/>
      <w:marTop w:val="0"/>
      <w:marBottom w:val="0"/>
      <w:divBdr>
        <w:top w:val="none" w:sz="0" w:space="0" w:color="auto"/>
        <w:left w:val="none" w:sz="0" w:space="0" w:color="auto"/>
        <w:bottom w:val="none" w:sz="0" w:space="0" w:color="auto"/>
        <w:right w:val="none" w:sz="0" w:space="0" w:color="auto"/>
      </w:divBdr>
    </w:div>
    <w:div w:id="1089277134">
      <w:bodyDiv w:val="1"/>
      <w:marLeft w:val="0"/>
      <w:marRight w:val="0"/>
      <w:marTop w:val="0"/>
      <w:marBottom w:val="0"/>
      <w:divBdr>
        <w:top w:val="none" w:sz="0" w:space="0" w:color="auto"/>
        <w:left w:val="none" w:sz="0" w:space="0" w:color="auto"/>
        <w:bottom w:val="none" w:sz="0" w:space="0" w:color="auto"/>
        <w:right w:val="none" w:sz="0" w:space="0" w:color="auto"/>
      </w:divBdr>
    </w:div>
    <w:div w:id="1151870006">
      <w:bodyDiv w:val="1"/>
      <w:marLeft w:val="0"/>
      <w:marRight w:val="0"/>
      <w:marTop w:val="0"/>
      <w:marBottom w:val="0"/>
      <w:divBdr>
        <w:top w:val="none" w:sz="0" w:space="0" w:color="auto"/>
        <w:left w:val="none" w:sz="0" w:space="0" w:color="auto"/>
        <w:bottom w:val="none" w:sz="0" w:space="0" w:color="auto"/>
        <w:right w:val="none" w:sz="0" w:space="0" w:color="auto"/>
      </w:divBdr>
    </w:div>
    <w:div w:id="1338650607">
      <w:bodyDiv w:val="1"/>
      <w:marLeft w:val="0"/>
      <w:marRight w:val="0"/>
      <w:marTop w:val="0"/>
      <w:marBottom w:val="0"/>
      <w:divBdr>
        <w:top w:val="none" w:sz="0" w:space="0" w:color="auto"/>
        <w:left w:val="none" w:sz="0" w:space="0" w:color="auto"/>
        <w:bottom w:val="none" w:sz="0" w:space="0" w:color="auto"/>
        <w:right w:val="none" w:sz="0" w:space="0" w:color="auto"/>
      </w:divBdr>
    </w:div>
    <w:div w:id="1410351052">
      <w:bodyDiv w:val="1"/>
      <w:marLeft w:val="0"/>
      <w:marRight w:val="0"/>
      <w:marTop w:val="0"/>
      <w:marBottom w:val="0"/>
      <w:divBdr>
        <w:top w:val="none" w:sz="0" w:space="0" w:color="auto"/>
        <w:left w:val="none" w:sz="0" w:space="0" w:color="auto"/>
        <w:bottom w:val="none" w:sz="0" w:space="0" w:color="auto"/>
        <w:right w:val="none" w:sz="0" w:space="0" w:color="auto"/>
      </w:divBdr>
    </w:div>
    <w:div w:id="1907522201">
      <w:bodyDiv w:val="1"/>
      <w:marLeft w:val="0"/>
      <w:marRight w:val="0"/>
      <w:marTop w:val="0"/>
      <w:marBottom w:val="0"/>
      <w:divBdr>
        <w:top w:val="none" w:sz="0" w:space="0" w:color="auto"/>
        <w:left w:val="none" w:sz="0" w:space="0" w:color="auto"/>
        <w:bottom w:val="none" w:sz="0" w:space="0" w:color="auto"/>
        <w:right w:val="none" w:sz="0" w:space="0" w:color="auto"/>
      </w:divBdr>
    </w:div>
    <w:div w:id="1973362860">
      <w:bodyDiv w:val="1"/>
      <w:marLeft w:val="0"/>
      <w:marRight w:val="0"/>
      <w:marTop w:val="0"/>
      <w:marBottom w:val="0"/>
      <w:divBdr>
        <w:top w:val="none" w:sz="0" w:space="0" w:color="auto"/>
        <w:left w:val="none" w:sz="0" w:space="0" w:color="auto"/>
        <w:bottom w:val="none" w:sz="0" w:space="0" w:color="auto"/>
        <w:right w:val="none" w:sz="0" w:space="0" w:color="auto"/>
      </w:divBdr>
    </w:div>
    <w:div w:id="1986349619">
      <w:bodyDiv w:val="1"/>
      <w:marLeft w:val="0"/>
      <w:marRight w:val="0"/>
      <w:marTop w:val="0"/>
      <w:marBottom w:val="0"/>
      <w:divBdr>
        <w:top w:val="none" w:sz="0" w:space="0" w:color="auto"/>
        <w:left w:val="none" w:sz="0" w:space="0" w:color="auto"/>
        <w:bottom w:val="none" w:sz="0" w:space="0" w:color="auto"/>
        <w:right w:val="none" w:sz="0" w:space="0" w:color="auto"/>
      </w:divBdr>
    </w:div>
    <w:div w:id="20135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mailto:Klinta.Stafecka@f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mailto:Andris.Baumanis@fm.gov.lv"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m.gov.lv/files/valstsbudzets/budzetapaskaidrojumi/FMPask_P_020315_bud2015_1.pdf" TargetMode="External"/><Relationship Id="rId2" Type="http://schemas.openxmlformats.org/officeDocument/2006/relationships/hyperlink" Target="http://www.fm.gov.lv/files/valstsbudzets/budzetapaskaidrojumi/FMPask_O_020315_bud2015_1.pdf" TargetMode="External"/><Relationship Id="rId1" Type="http://schemas.openxmlformats.org/officeDocument/2006/relationships/hyperlink" Target="http://siteresources.worldbank.org/INTPOVERTY/Resources/335642-1276521901256/ME12_v2.pdf" TargetMode="External"/><Relationship Id="rId6" Type="http://schemas.openxmlformats.org/officeDocument/2006/relationships/hyperlink" Target="http://www.aihw.gov.au/WorkArea/DownloadAsset.aspx?id=6442471955" TargetMode="External"/><Relationship Id="rId5" Type="http://schemas.openxmlformats.org/officeDocument/2006/relationships/hyperlink" Target="http://www.aihw.gov.au/WorkArea/DownloadAsset.aspx?id=6442471955" TargetMode="External"/><Relationship Id="rId4" Type="http://schemas.openxmlformats.org/officeDocument/2006/relationships/hyperlink" Target="http://www.fm.gov.lv/files/valstsbudzets/budzetapaskaidrojumi/FMPask_AA_020315_bud2015_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BD\Kopsavilkuma_nod\VBPKN_jaut&#257;jumi\Izdevumu_parskatisana\IZ_SPIRK_120115\Materi&#257;li\datu%20tabul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BD\Kopsavilkuma_nod\VBPKN_jaut&#257;jumi\Izdevumu_parskatisana\IZ_SPIRK_120115\Materi&#257;li\datu%20tabul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BD\Kopsavilkuma_nod\VBPKN_jaut&#257;jumi\Izdevumu_parskatisana\IZ_SPIRK_120115\Materi&#257;li\datu%20tabul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BD\Kopsavilkuma_nod\VBPKN_jaut&#257;jumi\Izdevumu_parskatisana\IZ_SPIRK_120115\Materi&#257;li\datu%20tabula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416434166201664E-2"/>
          <c:y val="3.360059879778645E-2"/>
          <c:w val="0.89048645297290596"/>
          <c:h val="0.74846789673678848"/>
        </c:manualLayout>
      </c:layout>
      <c:barChart>
        <c:barDir val="col"/>
        <c:grouping val="stacked"/>
        <c:varyColors val="0"/>
        <c:ser>
          <c:idx val="0"/>
          <c:order val="0"/>
          <c:tx>
            <c:strRef>
              <c:f>'2.attēls'!$A$4</c:f>
              <c:strCache>
                <c:ptCount val="1"/>
                <c:pt idx="0">
                  <c:v>Budžeta bāze</c:v>
                </c:pt>
              </c:strCache>
            </c:strRef>
          </c:tx>
          <c:spPr>
            <a:solidFill>
              <a:schemeClr val="accent6">
                <a:lumMod val="75000"/>
              </a:schemeClr>
            </a:solidFill>
            <a:ln>
              <a:noFill/>
            </a:ln>
            <a:effectLst/>
          </c:spPr>
          <c:invertIfNegative val="0"/>
          <c:dLbls>
            <c:dLbl>
              <c:idx val="0"/>
              <c:layout>
                <c:manualLayout>
                  <c:x val="0"/>
                  <c:y val="0.1442786069651741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950248756218906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7792287663057324E-17"/>
                  <c:y val="4.477611940298507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9.5584575326114649E-17"/>
                  <c:y val="-1.990049751243781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487562189054731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'2.attēls'!$B$3:$G$3</c:f>
              <c:numCache>
                <c:formatCode>General</c:formatCode>
                <c:ptCount val="6"/>
                <c:pt idx="0">
                  <c:v>2013</c:v>
                </c:pt>
                <c:pt idx="1">
                  <c:v>2014</c:v>
                </c:pt>
                <c:pt idx="2">
                  <c:v>2015</c:v>
                </c:pt>
                <c:pt idx="3">
                  <c:v>2016</c:v>
                </c:pt>
                <c:pt idx="4">
                  <c:v>2017</c:v>
                </c:pt>
                <c:pt idx="5">
                  <c:v>2018</c:v>
                </c:pt>
              </c:numCache>
            </c:numRef>
          </c:cat>
          <c:val>
            <c:numRef>
              <c:f>'2.attēls'!$B$4:$G$4</c:f>
              <c:numCache>
                <c:formatCode>#,##0.0</c:formatCode>
                <c:ptCount val="6"/>
                <c:pt idx="0">
                  <c:v>6578.5940241700009</c:v>
                </c:pt>
                <c:pt idx="1">
                  <c:v>6634.3948891799973</c:v>
                </c:pt>
                <c:pt idx="2">
                  <c:v>6644.1967219099979</c:v>
                </c:pt>
                <c:pt idx="3">
                  <c:v>6895.5672409999997</c:v>
                </c:pt>
                <c:pt idx="4">
                  <c:v>7745.2278480000004</c:v>
                </c:pt>
                <c:pt idx="5">
                  <c:v>8237.2822419999993</c:v>
                </c:pt>
              </c:numCache>
            </c:numRef>
          </c:val>
        </c:ser>
        <c:ser>
          <c:idx val="1"/>
          <c:order val="1"/>
          <c:tx>
            <c:strRef>
              <c:f>'2.attēls'!$A$5</c:f>
              <c:strCache>
                <c:ptCount val="1"/>
                <c:pt idx="0">
                  <c:v>JPI</c:v>
                </c:pt>
              </c:strCache>
            </c:strRef>
          </c:tx>
          <c:spPr>
            <a:solidFill>
              <a:schemeClr val="accent2"/>
            </a:solidFill>
            <a:ln>
              <a:noFill/>
            </a:ln>
            <a:effectLst/>
          </c:spPr>
          <c:invertIfNegative val="0"/>
          <c:dLbls>
            <c:dLbl>
              <c:idx val="0"/>
              <c:layout>
                <c:manualLayout>
                  <c:x val="2.0997375328083989E-3"/>
                  <c:y val="-3.66551986884943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8494743406926593E-17"/>
                  <c:y val="-4.887359825132574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2.0997375328083989E-3"/>
                  <c:y val="-6.109199781415718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5.4982798032741476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2764398469910037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7491399016370731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'2.attēls'!$B$3:$G$3</c:f>
              <c:numCache>
                <c:formatCode>General</c:formatCode>
                <c:ptCount val="6"/>
                <c:pt idx="0">
                  <c:v>2013</c:v>
                </c:pt>
                <c:pt idx="1">
                  <c:v>2014</c:v>
                </c:pt>
                <c:pt idx="2">
                  <c:v>2015</c:v>
                </c:pt>
                <c:pt idx="3">
                  <c:v>2016</c:v>
                </c:pt>
                <c:pt idx="4">
                  <c:v>2017</c:v>
                </c:pt>
                <c:pt idx="5">
                  <c:v>2018</c:v>
                </c:pt>
              </c:numCache>
            </c:numRef>
          </c:cat>
          <c:val>
            <c:numRef>
              <c:f>'2.attēls'!$B$5:$G$5</c:f>
              <c:numCache>
                <c:formatCode>#,##0.0</c:formatCode>
                <c:ptCount val="6"/>
                <c:pt idx="0">
                  <c:v>275.16253782999996</c:v>
                </c:pt>
                <c:pt idx="1">
                  <c:v>553.10321282000007</c:v>
                </c:pt>
                <c:pt idx="2">
                  <c:v>827.11872309000091</c:v>
                </c:pt>
                <c:pt idx="3">
                  <c:v>790.65819699999997</c:v>
                </c:pt>
                <c:pt idx="4">
                  <c:v>438.053042</c:v>
                </c:pt>
                <c:pt idx="5">
                  <c:v>226.618697</c:v>
                </c:pt>
              </c:numCache>
            </c:numRef>
          </c:val>
        </c:ser>
        <c:dLbls>
          <c:showLegendKey val="0"/>
          <c:showVal val="0"/>
          <c:showCatName val="0"/>
          <c:showSerName val="0"/>
          <c:showPercent val="0"/>
          <c:showBubbleSize val="0"/>
        </c:dLbls>
        <c:gapWidth val="100"/>
        <c:overlap val="100"/>
        <c:axId val="151993104"/>
        <c:axId val="151993496"/>
      </c:barChart>
      <c:catAx>
        <c:axId val="15199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1993496"/>
        <c:crossesAt val="0"/>
        <c:auto val="1"/>
        <c:lblAlgn val="ctr"/>
        <c:lblOffset val="100"/>
        <c:noMultiLvlLbl val="0"/>
      </c:catAx>
      <c:valAx>
        <c:axId val="151993496"/>
        <c:scaling>
          <c:orientation val="minMax"/>
          <c:max val="9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1993104"/>
        <c:crosses val="autoZero"/>
        <c:crossBetween val="between"/>
        <c:majorUnit val="1000"/>
        <c:min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 (10)'!$A$11</c:f>
              <c:strCache>
                <c:ptCount val="1"/>
                <c:pt idx="0">
                  <c:v>Izdevumi valsts pamatfunkciju īstenošanai</c:v>
                </c:pt>
              </c:strCache>
            </c:strRef>
          </c:tx>
          <c:spPr>
            <a:solidFill>
              <a:schemeClr val="accent6">
                <a:lumMod val="75000"/>
              </a:schemeClr>
            </a:solidFill>
            <a:ln>
              <a:noFill/>
            </a:ln>
            <a:effectLst/>
          </c:spPr>
          <c:invertIfNegative val="0"/>
          <c:dLbls>
            <c:dLbl>
              <c:idx val="0"/>
              <c:layout>
                <c:manualLayout>
                  <c:x val="0"/>
                  <c:y val="5.1772202309836715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85981680605329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185981680605336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2.7559597629873592E-3"/>
                  <c:y val="-5.177220230983679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2.7559597629874602E-3"/>
                  <c:y val="-8.3632019115890077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(10)'!$B$10:$G$10</c:f>
              <c:strCache>
                <c:ptCount val="6"/>
                <c:pt idx="0">
                  <c:v>2013</c:v>
                </c:pt>
                <c:pt idx="1">
                  <c:v>2014</c:v>
                </c:pt>
                <c:pt idx="2">
                  <c:v>2015</c:v>
                </c:pt>
                <c:pt idx="3">
                  <c:v>2016</c:v>
                </c:pt>
                <c:pt idx="4">
                  <c:v>2017</c:v>
                </c:pt>
                <c:pt idx="5">
                  <c:v>2018</c:v>
                </c:pt>
              </c:strCache>
            </c:strRef>
          </c:cat>
          <c:val>
            <c:numRef>
              <c:f>'Sheet1 (10)'!$B$11:$G$11</c:f>
              <c:numCache>
                <c:formatCode>#,##0.0</c:formatCode>
                <c:ptCount val="6"/>
                <c:pt idx="0">
                  <c:v>3454.0627030000001</c:v>
                </c:pt>
                <c:pt idx="1">
                  <c:v>3832.2366229999998</c:v>
                </c:pt>
                <c:pt idx="2">
                  <c:v>4069.946015</c:v>
                </c:pt>
                <c:pt idx="3">
                  <c:v>4241.7144090000002</c:v>
                </c:pt>
                <c:pt idx="4">
                  <c:v>4504.4657429999997</c:v>
                </c:pt>
                <c:pt idx="5">
                  <c:v>4625.8547529999996</c:v>
                </c:pt>
              </c:numCache>
            </c:numRef>
          </c:val>
        </c:ser>
        <c:ser>
          <c:idx val="1"/>
          <c:order val="1"/>
          <c:tx>
            <c:strRef>
              <c:f>'Sheet1 (10)'!$A$12</c:f>
              <c:strCache>
                <c:ptCount val="1"/>
                <c:pt idx="0">
                  <c:v>Izdevumi ES projektu īstenošanai</c:v>
                </c:pt>
              </c:strCache>
            </c:strRef>
          </c:tx>
          <c:spPr>
            <a:solidFill>
              <a:schemeClr val="accent2"/>
            </a:solidFill>
            <a:ln>
              <a:noFill/>
            </a:ln>
            <a:effectLst/>
          </c:spPr>
          <c:invertIfNegative val="0"/>
          <c:dLbls>
            <c:dLbl>
              <c:idx val="0"/>
              <c:layout>
                <c:manualLayout>
                  <c:x val="0"/>
                  <c:y val="3.584229390681003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3894862604539987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5.0525345315002863E-17"/>
                  <c:y val="1.592990840302668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1.0105069063000573E-16"/>
                  <c:y val="-7.9649542015133405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1.0105069063000573E-16"/>
                  <c:y val="-3.9824771007566706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(10)'!$B$10:$G$10</c:f>
              <c:strCache>
                <c:ptCount val="6"/>
                <c:pt idx="0">
                  <c:v>2013</c:v>
                </c:pt>
                <c:pt idx="1">
                  <c:v>2014</c:v>
                </c:pt>
                <c:pt idx="2">
                  <c:v>2015</c:v>
                </c:pt>
                <c:pt idx="3">
                  <c:v>2016</c:v>
                </c:pt>
                <c:pt idx="4">
                  <c:v>2017</c:v>
                </c:pt>
                <c:pt idx="5">
                  <c:v>2018</c:v>
                </c:pt>
              </c:strCache>
            </c:strRef>
          </c:cat>
          <c:val>
            <c:numRef>
              <c:f>'Sheet1 (10)'!$B$12:$G$12</c:f>
              <c:numCache>
                <c:formatCode>#,##0.0</c:formatCode>
                <c:ptCount val="6"/>
                <c:pt idx="0">
                  <c:v>1371.3946109999999</c:v>
                </c:pt>
                <c:pt idx="1">
                  <c:v>1280.930441</c:v>
                </c:pt>
                <c:pt idx="2">
                  <c:v>1254.3371299999999</c:v>
                </c:pt>
                <c:pt idx="3">
                  <c:v>1201.884401</c:v>
                </c:pt>
                <c:pt idx="4">
                  <c:v>1351.0116089999999</c:v>
                </c:pt>
                <c:pt idx="5">
                  <c:v>1383.7842519999999</c:v>
                </c:pt>
              </c:numCache>
            </c:numRef>
          </c:val>
        </c:ser>
        <c:dLbls>
          <c:dLblPos val="ctr"/>
          <c:showLegendKey val="0"/>
          <c:showVal val="1"/>
          <c:showCatName val="0"/>
          <c:showSerName val="0"/>
          <c:showPercent val="0"/>
          <c:showBubbleSize val="0"/>
        </c:dLbls>
        <c:gapWidth val="100"/>
        <c:overlap val="100"/>
        <c:axId val="151994280"/>
        <c:axId val="151994672"/>
      </c:barChart>
      <c:catAx>
        <c:axId val="15199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1994672"/>
        <c:crossesAt val="0"/>
        <c:auto val="1"/>
        <c:lblAlgn val="ctr"/>
        <c:lblOffset val="100"/>
        <c:noMultiLvlLbl val="0"/>
      </c:catAx>
      <c:valAx>
        <c:axId val="151994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1994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(9)'!$N$32</c:f>
              <c:strCache>
                <c:ptCount val="1"/>
                <c:pt idx="0">
                  <c:v>2016</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(9)'!$M$33:$M$51</c:f>
              <c:strCache>
                <c:ptCount val="19"/>
                <c:pt idx="0">
                  <c:v>AM</c:v>
                </c:pt>
                <c:pt idx="1">
                  <c:v>VM</c:v>
                </c:pt>
                <c:pt idx="2">
                  <c:v>SM</c:v>
                </c:pt>
                <c:pt idx="3">
                  <c:v>IeM</c:v>
                </c:pt>
                <c:pt idx="4">
                  <c:v>EM</c:v>
                </c:pt>
                <c:pt idx="5">
                  <c:v>LM</c:v>
                </c:pt>
                <c:pt idx="6">
                  <c:v>IZM</c:v>
                </c:pt>
                <c:pt idx="7">
                  <c:v>KM</c:v>
                </c:pt>
                <c:pt idx="8">
                  <c:v>TM</c:v>
                </c:pt>
                <c:pt idx="9">
                  <c:v>ZM</c:v>
                </c:pt>
                <c:pt idx="10">
                  <c:v>FM</c:v>
                </c:pt>
                <c:pt idx="11">
                  <c:v>62.resors*</c:v>
                </c:pt>
                <c:pt idx="12">
                  <c:v>VARAM</c:v>
                </c:pt>
                <c:pt idx="13">
                  <c:v>74.resors**</c:v>
                </c:pt>
                <c:pt idx="14">
                  <c:v>ĀM</c:v>
                </c:pt>
                <c:pt idx="15">
                  <c:v>R un TV</c:v>
                </c:pt>
                <c:pt idx="16">
                  <c:v>Prokuratūr</c:v>
                </c:pt>
                <c:pt idx="17">
                  <c:v>MK</c:v>
                </c:pt>
                <c:pt idx="18">
                  <c:v>VK</c:v>
                </c:pt>
              </c:strCache>
            </c:strRef>
          </c:cat>
          <c:val>
            <c:numRef>
              <c:f>'Sheet1 (9)'!$N$33:$N$51</c:f>
              <c:numCache>
                <c:formatCode>0.0</c:formatCode>
                <c:ptCount val="19"/>
                <c:pt idx="0">
                  <c:v>160.509322</c:v>
                </c:pt>
                <c:pt idx="1">
                  <c:v>104.926289</c:v>
                </c:pt>
                <c:pt idx="2">
                  <c:v>82.028081999999998</c:v>
                </c:pt>
                <c:pt idx="3">
                  <c:v>81.180105999999995</c:v>
                </c:pt>
                <c:pt idx="4">
                  <c:v>66.011636999999993</c:v>
                </c:pt>
                <c:pt idx="5">
                  <c:v>62.467311000000002</c:v>
                </c:pt>
                <c:pt idx="6">
                  <c:v>54.288077000000001</c:v>
                </c:pt>
                <c:pt idx="7">
                  <c:v>31.402343999999999</c:v>
                </c:pt>
                <c:pt idx="8">
                  <c:v>31.250177000000001</c:v>
                </c:pt>
                <c:pt idx="9">
                  <c:v>30.478384999999999</c:v>
                </c:pt>
                <c:pt idx="10">
                  <c:v>26.990767000000002</c:v>
                </c:pt>
                <c:pt idx="11">
                  <c:v>21.750988</c:v>
                </c:pt>
                <c:pt idx="12">
                  <c:v>10.538867</c:v>
                </c:pt>
                <c:pt idx="13">
                  <c:v>9</c:v>
                </c:pt>
                <c:pt idx="14">
                  <c:v>5.7612550000000002</c:v>
                </c:pt>
                <c:pt idx="15">
                  <c:v>3.8389199999999999</c:v>
                </c:pt>
                <c:pt idx="16">
                  <c:v>2.4625569999999999</c:v>
                </c:pt>
                <c:pt idx="17">
                  <c:v>1.7657</c:v>
                </c:pt>
                <c:pt idx="18">
                  <c:v>1.5751390000000001</c:v>
                </c:pt>
              </c:numCache>
            </c:numRef>
          </c:val>
        </c:ser>
        <c:ser>
          <c:idx val="1"/>
          <c:order val="1"/>
          <c:tx>
            <c:strRef>
              <c:f>'Sheet1 (9)'!$O$32</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(9)'!$M$33:$M$51</c:f>
              <c:strCache>
                <c:ptCount val="19"/>
                <c:pt idx="0">
                  <c:v>AM</c:v>
                </c:pt>
                <c:pt idx="1">
                  <c:v>VM</c:v>
                </c:pt>
                <c:pt idx="2">
                  <c:v>SM</c:v>
                </c:pt>
                <c:pt idx="3">
                  <c:v>IeM</c:v>
                </c:pt>
                <c:pt idx="4">
                  <c:v>EM</c:v>
                </c:pt>
                <c:pt idx="5">
                  <c:v>LM</c:v>
                </c:pt>
                <c:pt idx="6">
                  <c:v>IZM</c:v>
                </c:pt>
                <c:pt idx="7">
                  <c:v>KM</c:v>
                </c:pt>
                <c:pt idx="8">
                  <c:v>TM</c:v>
                </c:pt>
                <c:pt idx="9">
                  <c:v>ZM</c:v>
                </c:pt>
                <c:pt idx="10">
                  <c:v>FM</c:v>
                </c:pt>
                <c:pt idx="11">
                  <c:v>62.resors*</c:v>
                </c:pt>
                <c:pt idx="12">
                  <c:v>VARAM</c:v>
                </c:pt>
                <c:pt idx="13">
                  <c:v>74.resors**</c:v>
                </c:pt>
                <c:pt idx="14">
                  <c:v>ĀM</c:v>
                </c:pt>
                <c:pt idx="15">
                  <c:v>R un TV</c:v>
                </c:pt>
                <c:pt idx="16">
                  <c:v>Prokuratūr</c:v>
                </c:pt>
                <c:pt idx="17">
                  <c:v>MK</c:v>
                </c:pt>
                <c:pt idx="18">
                  <c:v>VK</c:v>
                </c:pt>
              </c:strCache>
            </c:strRef>
          </c:cat>
          <c:val>
            <c:numRef>
              <c:f>'Sheet1 (9)'!$O$33:$O$51</c:f>
              <c:numCache>
                <c:formatCode>0.0</c:formatCode>
                <c:ptCount val="19"/>
                <c:pt idx="0">
                  <c:v>62.965779619999999</c:v>
                </c:pt>
                <c:pt idx="1">
                  <c:v>149.17938035999998</c:v>
                </c:pt>
                <c:pt idx="2">
                  <c:v>94.918994220000002</c:v>
                </c:pt>
                <c:pt idx="3">
                  <c:v>53.929714850000003</c:v>
                </c:pt>
                <c:pt idx="4">
                  <c:v>58.767035300000003</c:v>
                </c:pt>
                <c:pt idx="5">
                  <c:v>88.608975650000005</c:v>
                </c:pt>
                <c:pt idx="6">
                  <c:v>69.006893480000002</c:v>
                </c:pt>
                <c:pt idx="7">
                  <c:v>36.251494550000004</c:v>
                </c:pt>
                <c:pt idx="8">
                  <c:v>40.599262859999996</c:v>
                </c:pt>
                <c:pt idx="9">
                  <c:v>38.578709849999996</c:v>
                </c:pt>
                <c:pt idx="10">
                  <c:v>65.888249329999994</c:v>
                </c:pt>
                <c:pt idx="11">
                  <c:v>27.270878230000001</c:v>
                </c:pt>
                <c:pt idx="12">
                  <c:v>13.19983401</c:v>
                </c:pt>
                <c:pt idx="13">
                  <c:v>0</c:v>
                </c:pt>
                <c:pt idx="14">
                  <c:v>7.5138613099999993</c:v>
                </c:pt>
                <c:pt idx="15">
                  <c:v>5.2083353899999993</c:v>
                </c:pt>
                <c:pt idx="16">
                  <c:v>2.4787873599999997</c:v>
                </c:pt>
                <c:pt idx="17">
                  <c:v>1.8049662099999999</c:v>
                </c:pt>
                <c:pt idx="18">
                  <c:v>1.4519249999999999</c:v>
                </c:pt>
              </c:numCache>
            </c:numRef>
          </c:val>
        </c:ser>
        <c:dLbls>
          <c:dLblPos val="outEnd"/>
          <c:showLegendKey val="0"/>
          <c:showVal val="1"/>
          <c:showCatName val="0"/>
          <c:showSerName val="0"/>
          <c:showPercent val="0"/>
          <c:showBubbleSize val="0"/>
        </c:dLbls>
        <c:gapWidth val="50"/>
        <c:overlap val="-27"/>
        <c:axId val="152009392"/>
        <c:axId val="152009784"/>
      </c:barChart>
      <c:catAx>
        <c:axId val="15200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2009784"/>
        <c:crosses val="autoZero"/>
        <c:auto val="1"/>
        <c:lblAlgn val="ctr"/>
        <c:lblOffset val="100"/>
        <c:noMultiLvlLbl val="0"/>
      </c:catAx>
      <c:valAx>
        <c:axId val="152009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5200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cofog!$B$1</c:f>
              <c:strCache>
                <c:ptCount val="1"/>
                <c:pt idx="0">
                  <c:v>2013</c:v>
                </c:pt>
              </c:strCache>
            </c:strRef>
          </c:tx>
          <c:spPr>
            <a:solidFill>
              <a:srgbClr val="CC99FF"/>
            </a:solidFill>
            <a:ln>
              <a:noFill/>
            </a:ln>
            <a:effectLst/>
          </c:spPr>
          <c:invertIfNegative val="0"/>
          <c:dLbls>
            <c:dLbl>
              <c:idx val="9"/>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cofog!$A$2:$A$11</c:f>
              <c:strCache>
                <c:ptCount val="10"/>
                <c:pt idx="0">
                  <c:v>Aizsardzība</c:v>
                </c:pt>
                <c:pt idx="1">
                  <c:v>Sabiedriskā kārtība un drošība</c:v>
                </c:pt>
                <c:pt idx="2">
                  <c:v>Veselība</c:v>
                </c:pt>
                <c:pt idx="3">
                  <c:v>Ekonomiskā darbība</c:v>
                </c:pt>
                <c:pt idx="4">
                  <c:v>Izglītība</c:v>
                </c:pt>
                <c:pt idx="5">
                  <c:v>Sociālā aizsardzība</c:v>
                </c:pt>
                <c:pt idx="6">
                  <c:v>Vispārējie valdības dienesti</c:v>
                </c:pt>
                <c:pt idx="7">
                  <c:v>Atpūta, kultūra un reliģija</c:v>
                </c:pt>
                <c:pt idx="8">
                  <c:v>Vides aizsardzība</c:v>
                </c:pt>
                <c:pt idx="9">
                  <c:v>Teritoriju un mājokļu apsaimniekošana</c:v>
                </c:pt>
              </c:strCache>
            </c:strRef>
          </c:cat>
          <c:val>
            <c:numRef>
              <c:f>cofog!$B$2:$B$11</c:f>
              <c:numCache>
                <c:formatCode>#,##0</c:formatCode>
                <c:ptCount val="10"/>
                <c:pt idx="0">
                  <c:v>7.9228234300000002</c:v>
                </c:pt>
                <c:pt idx="1">
                  <c:v>38.847953349999976</c:v>
                </c:pt>
                <c:pt idx="2">
                  <c:v>64.022259399999996</c:v>
                </c:pt>
                <c:pt idx="3">
                  <c:v>62.577306040000003</c:v>
                </c:pt>
                <c:pt idx="4">
                  <c:v>18.999984349999998</c:v>
                </c:pt>
                <c:pt idx="5">
                  <c:v>31.918172060000003</c:v>
                </c:pt>
                <c:pt idx="6">
                  <c:v>29.460169880000002</c:v>
                </c:pt>
                <c:pt idx="7">
                  <c:v>16.966172680000003</c:v>
                </c:pt>
                <c:pt idx="8">
                  <c:v>4.1865142899999999</c:v>
                </c:pt>
                <c:pt idx="9">
                  <c:v>0.26118234999999995</c:v>
                </c:pt>
              </c:numCache>
            </c:numRef>
          </c:val>
        </c:ser>
        <c:ser>
          <c:idx val="1"/>
          <c:order val="1"/>
          <c:tx>
            <c:strRef>
              <c:f>cofog!$C$1</c:f>
              <c:strCache>
                <c:ptCount val="1"/>
                <c:pt idx="0">
                  <c:v>2014</c:v>
                </c:pt>
              </c:strCache>
            </c:strRef>
          </c:tx>
          <c:spPr>
            <a:solidFill>
              <a:schemeClr val="accent2"/>
            </a:solidFill>
            <a:ln>
              <a:noFill/>
            </a:ln>
            <a:effectLst/>
          </c:spPr>
          <c:invertIfNegative val="0"/>
          <c:dLbls>
            <c:dLbl>
              <c:idx val="2"/>
              <c:layout>
                <c:manualLayout>
                  <c:x val="-4.2105258504737285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8070172336490495E-3"/>
                  <c:y val="9.345796685014028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cofog!$A$2:$A$11</c:f>
              <c:strCache>
                <c:ptCount val="10"/>
                <c:pt idx="0">
                  <c:v>Aizsardzība</c:v>
                </c:pt>
                <c:pt idx="1">
                  <c:v>Sabiedriskā kārtība un drošība</c:v>
                </c:pt>
                <c:pt idx="2">
                  <c:v>Veselība</c:v>
                </c:pt>
                <c:pt idx="3">
                  <c:v>Ekonomiskā darbība</c:v>
                </c:pt>
                <c:pt idx="4">
                  <c:v>Izglītība</c:v>
                </c:pt>
                <c:pt idx="5">
                  <c:v>Sociālā aizsardzība</c:v>
                </c:pt>
                <c:pt idx="6">
                  <c:v>Vispārējie valdības dienesti</c:v>
                </c:pt>
                <c:pt idx="7">
                  <c:v>Atpūta, kultūra un reliģija</c:v>
                </c:pt>
                <c:pt idx="8">
                  <c:v>Vides aizsardzība</c:v>
                </c:pt>
                <c:pt idx="9">
                  <c:v>Teritoriju un mājokļu apsaimniekošana</c:v>
                </c:pt>
              </c:strCache>
            </c:strRef>
          </c:cat>
          <c:val>
            <c:numRef>
              <c:f>cofog!$C$2:$C$11</c:f>
              <c:numCache>
                <c:formatCode>#,##0</c:formatCode>
                <c:ptCount val="10"/>
                <c:pt idx="0">
                  <c:v>24.824641750000001</c:v>
                </c:pt>
                <c:pt idx="1">
                  <c:v>64.118907619999987</c:v>
                </c:pt>
                <c:pt idx="2">
                  <c:v>112.57226941999997</c:v>
                </c:pt>
                <c:pt idx="3">
                  <c:v>124.55435319</c:v>
                </c:pt>
                <c:pt idx="4">
                  <c:v>58.273157089999998</c:v>
                </c:pt>
                <c:pt idx="5">
                  <c:v>60.097362120000007</c:v>
                </c:pt>
                <c:pt idx="6">
                  <c:v>60.977175610000003</c:v>
                </c:pt>
                <c:pt idx="7">
                  <c:v>38.970943240000011</c:v>
                </c:pt>
                <c:pt idx="8">
                  <c:v>7.8256033700000014</c:v>
                </c:pt>
                <c:pt idx="9">
                  <c:v>0.88879940999999996</c:v>
                </c:pt>
              </c:numCache>
            </c:numRef>
          </c:val>
        </c:ser>
        <c:ser>
          <c:idx val="2"/>
          <c:order val="2"/>
          <c:tx>
            <c:strRef>
              <c:f>cofog!$D$1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cofog!$A$2:$A$11</c:f>
              <c:strCache>
                <c:ptCount val="10"/>
                <c:pt idx="0">
                  <c:v>Aizsardzība</c:v>
                </c:pt>
                <c:pt idx="1">
                  <c:v>Sabiedriskā kārtība un drošība</c:v>
                </c:pt>
                <c:pt idx="2">
                  <c:v>Veselība</c:v>
                </c:pt>
                <c:pt idx="3">
                  <c:v>Ekonomiskā darbība</c:v>
                </c:pt>
                <c:pt idx="4">
                  <c:v>Izglītība</c:v>
                </c:pt>
                <c:pt idx="5">
                  <c:v>Sociālā aizsardzība</c:v>
                </c:pt>
                <c:pt idx="6">
                  <c:v>Vispārējie valdības dienesti</c:v>
                </c:pt>
                <c:pt idx="7">
                  <c:v>Atpūta, kultūra un reliģija</c:v>
                </c:pt>
                <c:pt idx="8">
                  <c:v>Vides aizsardzība</c:v>
                </c:pt>
                <c:pt idx="9">
                  <c:v>Teritoriju un mājokļu apsaimniekošana</c:v>
                </c:pt>
              </c:strCache>
            </c:strRef>
          </c:cat>
          <c:val>
            <c:numRef>
              <c:f>cofog!$D$2:$D$11</c:f>
              <c:numCache>
                <c:formatCode>#,##0</c:formatCode>
                <c:ptCount val="10"/>
                <c:pt idx="0">
                  <c:v>62.402419849999994</c:v>
                </c:pt>
                <c:pt idx="1">
                  <c:v>81.060389279999967</c:v>
                </c:pt>
                <c:pt idx="2">
                  <c:v>148.03091835999999</c:v>
                </c:pt>
                <c:pt idx="3">
                  <c:v>192.96855992000002</c:v>
                </c:pt>
                <c:pt idx="4">
                  <c:v>90.407769110000018</c:v>
                </c:pt>
                <c:pt idx="5">
                  <c:v>105.00087528000002</c:v>
                </c:pt>
                <c:pt idx="6">
                  <c:v>97.072287529999983</c:v>
                </c:pt>
                <c:pt idx="7">
                  <c:v>37.175691749999999</c:v>
                </c:pt>
                <c:pt idx="8">
                  <c:v>10.615394399999998</c:v>
                </c:pt>
                <c:pt idx="9">
                  <c:v>2.3844176100000003</c:v>
                </c:pt>
              </c:numCache>
            </c:numRef>
          </c:val>
        </c:ser>
        <c:ser>
          <c:idx val="3"/>
          <c:order val="3"/>
          <c:tx>
            <c:strRef>
              <c:f>cofog!$E$1</c:f>
              <c:strCache>
                <c:ptCount val="1"/>
                <c:pt idx="0">
                  <c:v>2016</c:v>
                </c:pt>
              </c:strCache>
            </c:strRef>
          </c:tx>
          <c:spPr>
            <a:solidFill>
              <a:schemeClr val="accent4"/>
            </a:solidFill>
            <a:ln>
              <a:noFill/>
            </a:ln>
            <a:effectLst/>
          </c:spPr>
          <c:invertIfNegative val="0"/>
          <c:dLbls>
            <c:dLbl>
              <c:idx val="3"/>
              <c:layout>
                <c:manualLayout>
                  <c:x val="2.8070172336491007E-3"/>
                  <c:y val="-2.855627109750678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cofog!$A$2:$A$11</c:f>
              <c:strCache>
                <c:ptCount val="10"/>
                <c:pt idx="0">
                  <c:v>Aizsardzība</c:v>
                </c:pt>
                <c:pt idx="1">
                  <c:v>Sabiedriskā kārtība un drošība</c:v>
                </c:pt>
                <c:pt idx="2">
                  <c:v>Veselība</c:v>
                </c:pt>
                <c:pt idx="3">
                  <c:v>Ekonomiskā darbība</c:v>
                </c:pt>
                <c:pt idx="4">
                  <c:v>Izglītība</c:v>
                </c:pt>
                <c:pt idx="5">
                  <c:v>Sociālā aizsardzība</c:v>
                </c:pt>
                <c:pt idx="6">
                  <c:v>Vispārējie valdības dienesti</c:v>
                </c:pt>
                <c:pt idx="7">
                  <c:v>Atpūta, kultūra un reliģija</c:v>
                </c:pt>
                <c:pt idx="8">
                  <c:v>Vides aizsardzība</c:v>
                </c:pt>
                <c:pt idx="9">
                  <c:v>Teritoriju un mājokļu apsaimniekošana</c:v>
                </c:pt>
              </c:strCache>
            </c:strRef>
          </c:cat>
          <c:val>
            <c:numRef>
              <c:f>cofog!$E$2:$E$11</c:f>
              <c:numCache>
                <c:formatCode>#,##0</c:formatCode>
                <c:ptCount val="10"/>
                <c:pt idx="0">
                  <c:v>160.80452299999999</c:v>
                </c:pt>
                <c:pt idx="1">
                  <c:v>104.141291</c:v>
                </c:pt>
                <c:pt idx="2">
                  <c:v>104.480323</c:v>
                </c:pt>
                <c:pt idx="3">
                  <c:v>179.081671</c:v>
                </c:pt>
                <c:pt idx="4">
                  <c:v>72.228982999999999</c:v>
                </c:pt>
                <c:pt idx="5">
                  <c:v>71.657348999999996</c:v>
                </c:pt>
                <c:pt idx="6">
                  <c:v>54.548637999999997</c:v>
                </c:pt>
                <c:pt idx="7">
                  <c:v>33.389004999999997</c:v>
                </c:pt>
                <c:pt idx="8">
                  <c:v>7.8528640000000003</c:v>
                </c:pt>
                <c:pt idx="9">
                  <c:v>2.4735499999999999</c:v>
                </c:pt>
              </c:numCache>
            </c:numRef>
          </c:val>
        </c:ser>
        <c:ser>
          <c:idx val="4"/>
          <c:order val="4"/>
          <c:tx>
            <c:strRef>
              <c:f>cofog!$F$1</c:f>
              <c:strCache>
                <c:ptCount val="1"/>
                <c:pt idx="0">
                  <c:v>2017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cofog!$A$2:$A$11</c:f>
              <c:strCache>
                <c:ptCount val="10"/>
                <c:pt idx="0">
                  <c:v>Aizsardzība</c:v>
                </c:pt>
                <c:pt idx="1">
                  <c:v>Sabiedriskā kārtība un drošība</c:v>
                </c:pt>
                <c:pt idx="2">
                  <c:v>Veselība</c:v>
                </c:pt>
                <c:pt idx="3">
                  <c:v>Ekonomiskā darbība</c:v>
                </c:pt>
                <c:pt idx="4">
                  <c:v>Izglītība</c:v>
                </c:pt>
                <c:pt idx="5">
                  <c:v>Sociālā aizsardzība</c:v>
                </c:pt>
                <c:pt idx="6">
                  <c:v>Vispārējie valdības dienesti</c:v>
                </c:pt>
                <c:pt idx="7">
                  <c:v>Atpūta, kultūra un reliģija</c:v>
                </c:pt>
                <c:pt idx="8">
                  <c:v>Vides aizsardzība</c:v>
                </c:pt>
                <c:pt idx="9">
                  <c:v>Teritoriju un mājokļu apsaimniekošana</c:v>
                </c:pt>
              </c:strCache>
            </c:strRef>
          </c:cat>
          <c:val>
            <c:numRef>
              <c:f>cofog!$F$2:$F$11</c:f>
              <c:numCache>
                <c:formatCode>#,##0</c:formatCode>
                <c:ptCount val="10"/>
                <c:pt idx="0">
                  <c:v>237.167317</c:v>
                </c:pt>
                <c:pt idx="1">
                  <c:v>59.269088000000004</c:v>
                </c:pt>
                <c:pt idx="2">
                  <c:v>52.173856000000001</c:v>
                </c:pt>
                <c:pt idx="3">
                  <c:v>21.329663</c:v>
                </c:pt>
                <c:pt idx="4">
                  <c:v>19.687446999999999</c:v>
                </c:pt>
                <c:pt idx="5">
                  <c:v>15.849304</c:v>
                </c:pt>
                <c:pt idx="6">
                  <c:v>14.166136</c:v>
                </c:pt>
                <c:pt idx="7">
                  <c:v>12.737883</c:v>
                </c:pt>
                <c:pt idx="8">
                  <c:v>4.5415530000000004</c:v>
                </c:pt>
                <c:pt idx="9">
                  <c:v>1.130795</c:v>
                </c:pt>
              </c:numCache>
            </c:numRef>
          </c:val>
        </c:ser>
        <c:ser>
          <c:idx val="5"/>
          <c:order val="5"/>
          <c:tx>
            <c:strRef>
              <c:f>cofog!$G$1</c:f>
              <c:strCache>
                <c:ptCount val="1"/>
                <c:pt idx="0">
                  <c:v>2018</c:v>
                </c:pt>
              </c:strCache>
            </c:strRef>
          </c:tx>
          <c:spPr>
            <a:solidFill>
              <a:schemeClr val="accent6"/>
            </a:solidFill>
            <a:ln>
              <a:noFill/>
            </a:ln>
            <a:effectLst/>
          </c:spPr>
          <c:invertIfNegative val="0"/>
          <c:dLbls>
            <c:dLbl>
              <c:idx val="0"/>
              <c:layout>
                <c:manualLayout>
                  <c:x val="2.8070172336491393E-3"/>
                  <c:y val="0"/>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cofog!$A$2:$A$11</c:f>
              <c:strCache>
                <c:ptCount val="10"/>
                <c:pt idx="0">
                  <c:v>Aizsardzība</c:v>
                </c:pt>
                <c:pt idx="1">
                  <c:v>Sabiedriskā kārtība un drošība</c:v>
                </c:pt>
                <c:pt idx="2">
                  <c:v>Veselība</c:v>
                </c:pt>
                <c:pt idx="3">
                  <c:v>Ekonomiskā darbība</c:v>
                </c:pt>
                <c:pt idx="4">
                  <c:v>Izglītība</c:v>
                </c:pt>
                <c:pt idx="5">
                  <c:v>Sociālā aizsardzība</c:v>
                </c:pt>
                <c:pt idx="6">
                  <c:v>Vispārējie valdības dienesti</c:v>
                </c:pt>
                <c:pt idx="7">
                  <c:v>Atpūta, kultūra un reliģija</c:v>
                </c:pt>
                <c:pt idx="8">
                  <c:v>Vides aizsardzība</c:v>
                </c:pt>
                <c:pt idx="9">
                  <c:v>Teritoriju un mājokļu apsaimniekošana</c:v>
                </c:pt>
              </c:strCache>
            </c:strRef>
          </c:cat>
          <c:val>
            <c:numRef>
              <c:f>cofog!$G$2:$G$11</c:f>
              <c:numCache>
                <c:formatCode>#,##0</c:formatCode>
                <c:ptCount val="10"/>
                <c:pt idx="0">
                  <c:v>147.575661</c:v>
                </c:pt>
                <c:pt idx="1">
                  <c:v>40.739818</c:v>
                </c:pt>
                <c:pt idx="2">
                  <c:v>23.267261000000001</c:v>
                </c:pt>
                <c:pt idx="3">
                  <c:v>4.3098939999999999</c:v>
                </c:pt>
                <c:pt idx="4">
                  <c:v>0.42753600000000003</c:v>
                </c:pt>
                <c:pt idx="5">
                  <c:v>3.0445410000000002</c:v>
                </c:pt>
                <c:pt idx="6">
                  <c:v>1.845634</c:v>
                </c:pt>
                <c:pt idx="7">
                  <c:v>2.3544779999999998</c:v>
                </c:pt>
                <c:pt idx="8">
                  <c:v>3.053874</c:v>
                </c:pt>
                <c:pt idx="9">
                  <c:v>0</c:v>
                </c:pt>
              </c:numCache>
            </c:numRef>
          </c:val>
        </c:ser>
        <c:dLbls>
          <c:showLegendKey val="0"/>
          <c:showVal val="0"/>
          <c:showCatName val="0"/>
          <c:showSerName val="0"/>
          <c:showPercent val="0"/>
          <c:showBubbleSize val="0"/>
        </c:dLbls>
        <c:gapWidth val="100"/>
        <c:overlap val="-27"/>
        <c:axId val="152010568"/>
        <c:axId val="234666832"/>
      </c:barChart>
      <c:catAx>
        <c:axId val="152010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lv-LV"/>
          </a:p>
        </c:txPr>
        <c:crossAx val="234666832"/>
        <c:crosses val="autoZero"/>
        <c:auto val="1"/>
        <c:lblAlgn val="ctr"/>
        <c:lblOffset val="100"/>
        <c:noMultiLvlLbl val="0"/>
      </c:catAx>
      <c:valAx>
        <c:axId val="234666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52010568"/>
        <c:crosses val="autoZero"/>
        <c:crossBetween val="between"/>
      </c:valAx>
      <c:spPr>
        <a:noFill/>
        <a:ln>
          <a:noFill/>
        </a:ln>
        <a:effectLst/>
      </c:spPr>
    </c:plotArea>
    <c:legend>
      <c:legendPos val="b"/>
      <c:layout>
        <c:manualLayout>
          <c:xMode val="edge"/>
          <c:yMode val="edge"/>
          <c:x val="0.31718517909435473"/>
          <c:y val="0.93603340062252338"/>
          <c:w val="0.44441588002269439"/>
          <c:h val="3.87007307290067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3A4648-8F9E-4ED0-B41E-35A59425C9E5}" type="doc">
      <dgm:prSet loTypeId="urn:microsoft.com/office/officeart/2005/8/layout/equation2" loCatId="process" qsTypeId="urn:microsoft.com/office/officeart/2005/8/quickstyle/simple5" qsCatId="simple" csTypeId="urn:microsoft.com/office/officeart/2005/8/colors/accent0_2" csCatId="mainScheme" phldr="1"/>
      <dgm:spPr/>
    </dgm:pt>
    <dgm:pt modelId="{3C6D82DA-814F-4B80-9A24-0CF6DEB55653}">
      <dgm:prSet phldrT="[Text]" custT="1"/>
      <dgm:spPr/>
      <dgm:t>
        <a:bodyPr/>
        <a:lstStyle/>
        <a:p>
          <a:r>
            <a:rPr lang="lv-LV" sz="800" b="1" i="0" dirty="0" smtClean="0">
              <a:solidFill>
                <a:sysClr val="windowText" lastClr="000000"/>
              </a:solidFill>
              <a:latin typeface="Times New Roman" panose="02020603050405020304" pitchFamily="18" charset="0"/>
              <a:cs typeface="Times New Roman" panose="02020603050405020304" pitchFamily="18" charset="0"/>
            </a:rPr>
            <a:t>Budžeta bāze:</a:t>
          </a:r>
        </a:p>
        <a:p>
          <a:r>
            <a:rPr lang="lv-LV" sz="800" dirty="0" smtClean="0">
              <a:solidFill>
                <a:sysClr val="windowText" lastClr="000000"/>
              </a:solidFill>
              <a:latin typeface="Times New Roman" panose="02020603050405020304" pitchFamily="18" charset="0"/>
              <a:cs typeface="Times New Roman" panose="02020603050405020304" pitchFamily="18" charset="0"/>
            </a:rPr>
            <a:t>Finansējums, kas nodrošina valsts funkciju izpildi nemainīgā līmenī</a:t>
          </a:r>
          <a:endParaRPr lang="lv-LV" sz="800" i="1">
            <a:solidFill>
              <a:sysClr val="windowText" lastClr="000000"/>
            </a:solidFill>
            <a:latin typeface="Times New Roman" panose="02020603050405020304" pitchFamily="18" charset="0"/>
            <a:cs typeface="Times New Roman" panose="02020603050405020304" pitchFamily="18" charset="0"/>
          </a:endParaRPr>
        </a:p>
      </dgm:t>
    </dgm:pt>
    <dgm:pt modelId="{990E9234-9B59-4210-90E4-FEC690FA5916}" type="parTrans" cxnId="{DE3EC55E-0E6C-4513-97E5-67838CB66104}">
      <dgm:prSet/>
      <dgm:spPr/>
      <dgm:t>
        <a:bodyPr/>
        <a:lstStyle/>
        <a:p>
          <a:endParaRPr lang="lv-LV"/>
        </a:p>
      </dgm:t>
    </dgm:pt>
    <dgm:pt modelId="{3D029547-D709-4F64-9FF0-9E11399FB142}" type="sibTrans" cxnId="{DE3EC55E-0E6C-4513-97E5-67838CB66104}">
      <dgm:prSet/>
      <dgm:spPr/>
      <dgm:t>
        <a:bodyPr/>
        <a:lstStyle/>
        <a:p>
          <a:endParaRPr lang="lv-LV"/>
        </a:p>
      </dgm:t>
    </dgm:pt>
    <dgm:pt modelId="{B101CDB0-E820-4990-8ED6-C95BDD164370}">
      <dgm:prSet phldrT="[Text]" custT="1"/>
      <dgm:spPr/>
      <dgm:t>
        <a:bodyPr/>
        <a:lstStyle/>
        <a:p>
          <a:pPr algn="ctr"/>
          <a:r>
            <a:rPr lang="lv-LV" sz="800" b="1" i="0" dirty="0" smtClean="0">
              <a:solidFill>
                <a:sysClr val="windowText" lastClr="000000"/>
              </a:solidFill>
              <a:latin typeface="Times New Roman" panose="02020603050405020304" pitchFamily="18" charset="0"/>
              <a:cs typeface="Times New Roman" panose="02020603050405020304" pitchFamily="18" charset="0"/>
            </a:rPr>
            <a:t>Budžeta attīstības daļa:</a:t>
          </a:r>
        </a:p>
        <a:p>
          <a:pPr algn="ctr"/>
          <a:r>
            <a:rPr lang="lv-LV" sz="800" dirty="0" smtClean="0">
              <a:solidFill>
                <a:sysClr val="windowText" lastClr="000000"/>
              </a:solidFill>
              <a:latin typeface="Times New Roman" panose="02020603050405020304" pitchFamily="18" charset="0"/>
              <a:cs typeface="Times New Roman" panose="02020603050405020304" pitchFamily="18" charset="0"/>
            </a:rPr>
            <a:t>JPI</a:t>
          </a:r>
          <a:endParaRPr lang="lv-LV" sz="800" i="1">
            <a:solidFill>
              <a:sysClr val="windowText" lastClr="000000"/>
            </a:solidFill>
            <a:latin typeface="Times New Roman" panose="02020603050405020304" pitchFamily="18" charset="0"/>
            <a:cs typeface="Times New Roman" panose="02020603050405020304" pitchFamily="18" charset="0"/>
          </a:endParaRPr>
        </a:p>
      </dgm:t>
    </dgm:pt>
    <dgm:pt modelId="{E4B6BA5D-FAB6-4152-8B60-992E94C83E58}" type="parTrans" cxnId="{15CCF1DC-B234-45EC-BE26-7A64CC64BFD3}">
      <dgm:prSet/>
      <dgm:spPr/>
      <dgm:t>
        <a:bodyPr/>
        <a:lstStyle/>
        <a:p>
          <a:endParaRPr lang="lv-LV"/>
        </a:p>
      </dgm:t>
    </dgm:pt>
    <dgm:pt modelId="{AEFAC792-E2DD-4569-902A-A0953E44A0FA}" type="sibTrans" cxnId="{15CCF1DC-B234-45EC-BE26-7A64CC64BFD3}">
      <dgm:prSet/>
      <dgm:spPr/>
      <dgm:t>
        <a:bodyPr/>
        <a:lstStyle/>
        <a:p>
          <a:endParaRPr lang="lv-LV">
            <a:ln>
              <a:solidFill>
                <a:schemeClr val="lt1">
                  <a:hueOff val="0"/>
                  <a:satOff val="0"/>
                  <a:lumOff val="0"/>
                </a:schemeClr>
              </a:solidFill>
            </a:ln>
          </a:endParaRPr>
        </a:p>
      </dgm:t>
    </dgm:pt>
    <dgm:pt modelId="{1B37FBB1-9B14-4B79-913C-4F962F80EACF}">
      <dgm:prSet phldrT="[Text]" custT="1"/>
      <dgm:spPr/>
      <dgm:t>
        <a:bodyPr/>
        <a:lstStyle/>
        <a:p>
          <a:r>
            <a:rPr lang="lv-LV" sz="1000" b="1" dirty="0" smtClean="0">
              <a:solidFill>
                <a:sysClr val="windowText" lastClr="000000"/>
              </a:solidFill>
              <a:latin typeface="Times New Roman" panose="02020603050405020304" pitchFamily="18" charset="0"/>
              <a:cs typeface="Times New Roman" panose="02020603050405020304" pitchFamily="18" charset="0"/>
            </a:rPr>
            <a:t>Maksimāli pieļaujamais izdevumu kopapjoms</a:t>
          </a:r>
          <a:endParaRPr lang="lv-LV" sz="1000" b="1">
            <a:solidFill>
              <a:sysClr val="windowText" lastClr="000000"/>
            </a:solidFill>
            <a:latin typeface="Times New Roman" panose="02020603050405020304" pitchFamily="18" charset="0"/>
            <a:cs typeface="Times New Roman" panose="02020603050405020304" pitchFamily="18" charset="0"/>
          </a:endParaRPr>
        </a:p>
      </dgm:t>
    </dgm:pt>
    <dgm:pt modelId="{B4A8675A-277A-4DA2-9437-4D918D05BDAD}" type="parTrans" cxnId="{74B4C3C2-A089-4D03-8E84-369AA7EF3628}">
      <dgm:prSet/>
      <dgm:spPr/>
      <dgm:t>
        <a:bodyPr/>
        <a:lstStyle/>
        <a:p>
          <a:endParaRPr lang="lv-LV"/>
        </a:p>
      </dgm:t>
    </dgm:pt>
    <dgm:pt modelId="{091B7A02-9DB2-4253-8340-73A994E4564C}" type="sibTrans" cxnId="{74B4C3C2-A089-4D03-8E84-369AA7EF3628}">
      <dgm:prSet/>
      <dgm:spPr/>
      <dgm:t>
        <a:bodyPr/>
        <a:lstStyle/>
        <a:p>
          <a:endParaRPr lang="lv-LV"/>
        </a:p>
      </dgm:t>
    </dgm:pt>
    <dgm:pt modelId="{5B79A2B4-538D-4D5F-AA83-D14ABD6A4ECC}" type="pres">
      <dgm:prSet presAssocID="{7A3A4648-8F9E-4ED0-B41E-35A59425C9E5}" presName="Name0" presStyleCnt="0">
        <dgm:presLayoutVars>
          <dgm:dir/>
          <dgm:resizeHandles val="exact"/>
        </dgm:presLayoutVars>
      </dgm:prSet>
      <dgm:spPr/>
    </dgm:pt>
    <dgm:pt modelId="{E56EF3A5-F6BE-464D-A386-451AD2DB8633}" type="pres">
      <dgm:prSet presAssocID="{7A3A4648-8F9E-4ED0-B41E-35A59425C9E5}" presName="vNodes" presStyleCnt="0"/>
      <dgm:spPr/>
    </dgm:pt>
    <dgm:pt modelId="{E178F7DB-744A-44BC-98B9-98A15D625C79}" type="pres">
      <dgm:prSet presAssocID="{3C6D82DA-814F-4B80-9A24-0CF6DEB55653}" presName="node" presStyleLbl="node1" presStyleIdx="0" presStyleCnt="3" custScaleX="187471">
        <dgm:presLayoutVars>
          <dgm:bulletEnabled val="1"/>
        </dgm:presLayoutVars>
      </dgm:prSet>
      <dgm:spPr>
        <a:prstGeom prst="rect">
          <a:avLst/>
        </a:prstGeom>
      </dgm:spPr>
      <dgm:t>
        <a:bodyPr/>
        <a:lstStyle/>
        <a:p>
          <a:endParaRPr lang="lv-LV"/>
        </a:p>
      </dgm:t>
    </dgm:pt>
    <dgm:pt modelId="{3F29BCC1-4019-4778-A545-4D097216E530}" type="pres">
      <dgm:prSet presAssocID="{3D029547-D709-4F64-9FF0-9E11399FB142}" presName="spacerT" presStyleCnt="0"/>
      <dgm:spPr/>
    </dgm:pt>
    <dgm:pt modelId="{95468953-299A-4792-94C5-88D1B229FD4C}" type="pres">
      <dgm:prSet presAssocID="{3D029547-D709-4F64-9FF0-9E11399FB142}" presName="sibTrans" presStyleLbl="sibTrans2D1" presStyleIdx="0" presStyleCnt="2"/>
      <dgm:spPr/>
      <dgm:t>
        <a:bodyPr/>
        <a:lstStyle/>
        <a:p>
          <a:endParaRPr lang="lv-LV"/>
        </a:p>
      </dgm:t>
    </dgm:pt>
    <dgm:pt modelId="{B9246916-B927-4668-B0F8-4001C56DC323}" type="pres">
      <dgm:prSet presAssocID="{3D029547-D709-4F64-9FF0-9E11399FB142}" presName="spacerB" presStyleCnt="0"/>
      <dgm:spPr/>
    </dgm:pt>
    <dgm:pt modelId="{4CAABF82-22E7-41E1-9636-3667B1F50DC4}" type="pres">
      <dgm:prSet presAssocID="{B101CDB0-E820-4990-8ED6-C95BDD164370}" presName="node" presStyleLbl="node1" presStyleIdx="1" presStyleCnt="3" custScaleX="184611">
        <dgm:presLayoutVars>
          <dgm:bulletEnabled val="1"/>
        </dgm:presLayoutVars>
      </dgm:prSet>
      <dgm:spPr>
        <a:prstGeom prst="rect">
          <a:avLst/>
        </a:prstGeom>
      </dgm:spPr>
      <dgm:t>
        <a:bodyPr/>
        <a:lstStyle/>
        <a:p>
          <a:endParaRPr lang="lv-LV"/>
        </a:p>
      </dgm:t>
    </dgm:pt>
    <dgm:pt modelId="{342B7C93-107E-4A95-AC5A-4E99FA37D9E1}" type="pres">
      <dgm:prSet presAssocID="{7A3A4648-8F9E-4ED0-B41E-35A59425C9E5}" presName="sibTransLast" presStyleLbl="sibTrans2D1" presStyleIdx="1" presStyleCnt="2" custScaleX="143384"/>
      <dgm:spPr/>
      <dgm:t>
        <a:bodyPr/>
        <a:lstStyle/>
        <a:p>
          <a:endParaRPr lang="lv-LV"/>
        </a:p>
      </dgm:t>
    </dgm:pt>
    <dgm:pt modelId="{E25CB324-32C1-4128-8439-C62FDC7090AD}" type="pres">
      <dgm:prSet presAssocID="{7A3A4648-8F9E-4ED0-B41E-35A59425C9E5}" presName="connectorText" presStyleLbl="sibTrans2D1" presStyleIdx="1" presStyleCnt="2"/>
      <dgm:spPr/>
      <dgm:t>
        <a:bodyPr/>
        <a:lstStyle/>
        <a:p>
          <a:endParaRPr lang="lv-LV"/>
        </a:p>
      </dgm:t>
    </dgm:pt>
    <dgm:pt modelId="{71F30326-FC37-4D7D-9635-1DC5BF675273}" type="pres">
      <dgm:prSet presAssocID="{7A3A4648-8F9E-4ED0-B41E-35A59425C9E5}" presName="lastNode" presStyleLbl="node1" presStyleIdx="2" presStyleCnt="3" custScaleX="105560" custScaleY="55588" custLinFactNeighborX="77179" custLinFactNeighborY="504">
        <dgm:presLayoutVars>
          <dgm:bulletEnabled val="1"/>
        </dgm:presLayoutVars>
      </dgm:prSet>
      <dgm:spPr>
        <a:prstGeom prst="rect">
          <a:avLst/>
        </a:prstGeom>
      </dgm:spPr>
      <dgm:t>
        <a:bodyPr/>
        <a:lstStyle/>
        <a:p>
          <a:endParaRPr lang="lv-LV"/>
        </a:p>
      </dgm:t>
    </dgm:pt>
  </dgm:ptLst>
  <dgm:cxnLst>
    <dgm:cxn modelId="{337676B8-6D74-4A64-A15F-C66328E91BA2}" type="presOf" srcId="{AEFAC792-E2DD-4569-902A-A0953E44A0FA}" destId="{342B7C93-107E-4A95-AC5A-4E99FA37D9E1}" srcOrd="0" destOrd="0" presId="urn:microsoft.com/office/officeart/2005/8/layout/equation2"/>
    <dgm:cxn modelId="{36E31690-CCD2-48A2-A403-B764E8FABAD7}" type="presOf" srcId="{7A3A4648-8F9E-4ED0-B41E-35A59425C9E5}" destId="{5B79A2B4-538D-4D5F-AA83-D14ABD6A4ECC}" srcOrd="0" destOrd="0" presId="urn:microsoft.com/office/officeart/2005/8/layout/equation2"/>
    <dgm:cxn modelId="{4607106D-5D89-4E1B-9F05-9C69D656D234}" type="presOf" srcId="{B101CDB0-E820-4990-8ED6-C95BDD164370}" destId="{4CAABF82-22E7-41E1-9636-3667B1F50DC4}" srcOrd="0" destOrd="0" presId="urn:microsoft.com/office/officeart/2005/8/layout/equation2"/>
    <dgm:cxn modelId="{DE3EC55E-0E6C-4513-97E5-67838CB66104}" srcId="{7A3A4648-8F9E-4ED0-B41E-35A59425C9E5}" destId="{3C6D82DA-814F-4B80-9A24-0CF6DEB55653}" srcOrd="0" destOrd="0" parTransId="{990E9234-9B59-4210-90E4-FEC690FA5916}" sibTransId="{3D029547-D709-4F64-9FF0-9E11399FB142}"/>
    <dgm:cxn modelId="{74B4C3C2-A089-4D03-8E84-369AA7EF3628}" srcId="{7A3A4648-8F9E-4ED0-B41E-35A59425C9E5}" destId="{1B37FBB1-9B14-4B79-913C-4F962F80EACF}" srcOrd="2" destOrd="0" parTransId="{B4A8675A-277A-4DA2-9437-4D918D05BDAD}" sibTransId="{091B7A02-9DB2-4253-8340-73A994E4564C}"/>
    <dgm:cxn modelId="{020D8ABA-DE9A-4F77-A5C7-FF0219B3F78E}" type="presOf" srcId="{3D029547-D709-4F64-9FF0-9E11399FB142}" destId="{95468953-299A-4792-94C5-88D1B229FD4C}" srcOrd="0" destOrd="0" presId="urn:microsoft.com/office/officeart/2005/8/layout/equation2"/>
    <dgm:cxn modelId="{1209471A-C850-44DC-9CB2-79F62CDD03FB}" type="presOf" srcId="{3C6D82DA-814F-4B80-9A24-0CF6DEB55653}" destId="{E178F7DB-744A-44BC-98B9-98A15D625C79}" srcOrd="0" destOrd="0" presId="urn:microsoft.com/office/officeart/2005/8/layout/equation2"/>
    <dgm:cxn modelId="{3EB75436-E626-4A08-A7F1-A87CDE80D897}" type="presOf" srcId="{1B37FBB1-9B14-4B79-913C-4F962F80EACF}" destId="{71F30326-FC37-4D7D-9635-1DC5BF675273}" srcOrd="0" destOrd="0" presId="urn:microsoft.com/office/officeart/2005/8/layout/equation2"/>
    <dgm:cxn modelId="{1BB7F997-D516-4D6C-B2FC-CA90544EA067}" type="presOf" srcId="{AEFAC792-E2DD-4569-902A-A0953E44A0FA}" destId="{E25CB324-32C1-4128-8439-C62FDC7090AD}" srcOrd="1" destOrd="0" presId="urn:microsoft.com/office/officeart/2005/8/layout/equation2"/>
    <dgm:cxn modelId="{15CCF1DC-B234-45EC-BE26-7A64CC64BFD3}" srcId="{7A3A4648-8F9E-4ED0-B41E-35A59425C9E5}" destId="{B101CDB0-E820-4990-8ED6-C95BDD164370}" srcOrd="1" destOrd="0" parTransId="{E4B6BA5D-FAB6-4152-8B60-992E94C83E58}" sibTransId="{AEFAC792-E2DD-4569-902A-A0953E44A0FA}"/>
    <dgm:cxn modelId="{71EB4355-A69C-40F9-963C-70237B1DB6A0}" type="presParOf" srcId="{5B79A2B4-538D-4D5F-AA83-D14ABD6A4ECC}" destId="{E56EF3A5-F6BE-464D-A386-451AD2DB8633}" srcOrd="0" destOrd="0" presId="urn:microsoft.com/office/officeart/2005/8/layout/equation2"/>
    <dgm:cxn modelId="{D3F8374D-D589-4E6E-AA09-BCDAD0A5456D}" type="presParOf" srcId="{E56EF3A5-F6BE-464D-A386-451AD2DB8633}" destId="{E178F7DB-744A-44BC-98B9-98A15D625C79}" srcOrd="0" destOrd="0" presId="urn:microsoft.com/office/officeart/2005/8/layout/equation2"/>
    <dgm:cxn modelId="{72F59A77-6084-466E-8030-9E7DDF067773}" type="presParOf" srcId="{E56EF3A5-F6BE-464D-A386-451AD2DB8633}" destId="{3F29BCC1-4019-4778-A545-4D097216E530}" srcOrd="1" destOrd="0" presId="urn:microsoft.com/office/officeart/2005/8/layout/equation2"/>
    <dgm:cxn modelId="{21CE6A9F-19C2-4021-9400-16DD7034BFAF}" type="presParOf" srcId="{E56EF3A5-F6BE-464D-A386-451AD2DB8633}" destId="{95468953-299A-4792-94C5-88D1B229FD4C}" srcOrd="2" destOrd="0" presId="urn:microsoft.com/office/officeart/2005/8/layout/equation2"/>
    <dgm:cxn modelId="{93C6F598-8529-43A0-81EA-2B4ACD672CAC}" type="presParOf" srcId="{E56EF3A5-F6BE-464D-A386-451AD2DB8633}" destId="{B9246916-B927-4668-B0F8-4001C56DC323}" srcOrd="3" destOrd="0" presId="urn:microsoft.com/office/officeart/2005/8/layout/equation2"/>
    <dgm:cxn modelId="{EACE49F1-BE2B-433B-B5B1-AA2907C643B0}" type="presParOf" srcId="{E56EF3A5-F6BE-464D-A386-451AD2DB8633}" destId="{4CAABF82-22E7-41E1-9636-3667B1F50DC4}" srcOrd="4" destOrd="0" presId="urn:microsoft.com/office/officeart/2005/8/layout/equation2"/>
    <dgm:cxn modelId="{7DA28817-632A-4803-88F4-0CE2493D2C42}" type="presParOf" srcId="{5B79A2B4-538D-4D5F-AA83-D14ABD6A4ECC}" destId="{342B7C93-107E-4A95-AC5A-4E99FA37D9E1}" srcOrd="1" destOrd="0" presId="urn:microsoft.com/office/officeart/2005/8/layout/equation2"/>
    <dgm:cxn modelId="{643AAFB9-E925-471D-BDDF-CBB76652D355}" type="presParOf" srcId="{342B7C93-107E-4A95-AC5A-4E99FA37D9E1}" destId="{E25CB324-32C1-4128-8439-C62FDC7090AD}" srcOrd="0" destOrd="0" presId="urn:microsoft.com/office/officeart/2005/8/layout/equation2"/>
    <dgm:cxn modelId="{B75E03B0-0625-4F6B-9F99-0384EA7738AE}" type="presParOf" srcId="{5B79A2B4-538D-4D5F-AA83-D14ABD6A4ECC}" destId="{71F30326-FC37-4D7D-9635-1DC5BF675273}" srcOrd="2" destOrd="0" presId="urn:microsoft.com/office/officeart/2005/8/layout/equati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78F7DB-744A-44BC-98B9-98A15D625C79}">
      <dsp:nvSpPr>
        <dsp:cNvPr id="0" name=""/>
        <dsp:cNvSpPr/>
      </dsp:nvSpPr>
      <dsp:spPr>
        <a:xfrm>
          <a:off x="1473337" y="420"/>
          <a:ext cx="1169584" cy="62387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b="1" i="0" kern="1200" dirty="0" smtClean="0">
              <a:solidFill>
                <a:sysClr val="windowText" lastClr="000000"/>
              </a:solidFill>
              <a:latin typeface="Times New Roman" panose="02020603050405020304" pitchFamily="18" charset="0"/>
              <a:cs typeface="Times New Roman" panose="02020603050405020304" pitchFamily="18" charset="0"/>
            </a:rPr>
            <a:t>Budžeta bāze:</a:t>
          </a:r>
        </a:p>
        <a:p>
          <a:pPr lvl="0" algn="ctr" defTabSz="355600">
            <a:lnSpc>
              <a:spcPct val="90000"/>
            </a:lnSpc>
            <a:spcBef>
              <a:spcPct val="0"/>
            </a:spcBef>
            <a:spcAft>
              <a:spcPct val="35000"/>
            </a:spcAft>
          </a:pPr>
          <a:r>
            <a:rPr lang="lv-LV" sz="800" kern="1200" dirty="0" smtClean="0">
              <a:solidFill>
                <a:sysClr val="windowText" lastClr="000000"/>
              </a:solidFill>
              <a:latin typeface="Times New Roman" panose="02020603050405020304" pitchFamily="18" charset="0"/>
              <a:cs typeface="Times New Roman" panose="02020603050405020304" pitchFamily="18" charset="0"/>
            </a:rPr>
            <a:t>Finansējums, kas nodrošina valsts funkciju izpildi nemainīgā līmenī</a:t>
          </a:r>
          <a:endParaRPr lang="lv-LV" sz="800" i="1" kern="1200">
            <a:solidFill>
              <a:sysClr val="windowText" lastClr="000000"/>
            </a:solidFill>
            <a:latin typeface="Times New Roman" panose="02020603050405020304" pitchFamily="18" charset="0"/>
            <a:cs typeface="Times New Roman" panose="02020603050405020304" pitchFamily="18" charset="0"/>
          </a:endParaRPr>
        </a:p>
      </dsp:txBody>
      <dsp:txXfrm>
        <a:off x="1473337" y="420"/>
        <a:ext cx="1169584" cy="623875"/>
      </dsp:txXfrm>
    </dsp:sp>
    <dsp:sp modelId="{95468953-299A-4792-94C5-88D1B229FD4C}">
      <dsp:nvSpPr>
        <dsp:cNvPr id="0" name=""/>
        <dsp:cNvSpPr/>
      </dsp:nvSpPr>
      <dsp:spPr>
        <a:xfrm>
          <a:off x="1877206" y="674954"/>
          <a:ext cx="361847" cy="361847"/>
        </a:xfrm>
        <a:prstGeom prst="mathPlus">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lv-LV" sz="600" kern="1200"/>
        </a:p>
      </dsp:txBody>
      <dsp:txXfrm>
        <a:off x="1925169" y="813324"/>
        <a:ext cx="265921" cy="85107"/>
      </dsp:txXfrm>
    </dsp:sp>
    <dsp:sp modelId="{4CAABF82-22E7-41E1-9636-3667B1F50DC4}">
      <dsp:nvSpPr>
        <dsp:cNvPr id="0" name=""/>
        <dsp:cNvSpPr/>
      </dsp:nvSpPr>
      <dsp:spPr>
        <a:xfrm>
          <a:off x="1482258" y="1087460"/>
          <a:ext cx="1151742" cy="62387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v-LV" sz="800" b="1" i="0" kern="1200" dirty="0" smtClean="0">
              <a:solidFill>
                <a:sysClr val="windowText" lastClr="000000"/>
              </a:solidFill>
              <a:latin typeface="Times New Roman" panose="02020603050405020304" pitchFamily="18" charset="0"/>
              <a:cs typeface="Times New Roman" panose="02020603050405020304" pitchFamily="18" charset="0"/>
            </a:rPr>
            <a:t>Budžeta attīstības daļa:</a:t>
          </a:r>
        </a:p>
        <a:p>
          <a:pPr lvl="0" algn="ctr" defTabSz="355600">
            <a:lnSpc>
              <a:spcPct val="90000"/>
            </a:lnSpc>
            <a:spcBef>
              <a:spcPct val="0"/>
            </a:spcBef>
            <a:spcAft>
              <a:spcPct val="35000"/>
            </a:spcAft>
          </a:pPr>
          <a:r>
            <a:rPr lang="lv-LV" sz="800" kern="1200" dirty="0" smtClean="0">
              <a:solidFill>
                <a:sysClr val="windowText" lastClr="000000"/>
              </a:solidFill>
              <a:latin typeface="Times New Roman" panose="02020603050405020304" pitchFamily="18" charset="0"/>
              <a:cs typeface="Times New Roman" panose="02020603050405020304" pitchFamily="18" charset="0"/>
            </a:rPr>
            <a:t>JPI</a:t>
          </a:r>
          <a:endParaRPr lang="lv-LV" sz="800" i="1" kern="1200">
            <a:solidFill>
              <a:sysClr val="windowText" lastClr="000000"/>
            </a:solidFill>
            <a:latin typeface="Times New Roman" panose="02020603050405020304" pitchFamily="18" charset="0"/>
            <a:cs typeface="Times New Roman" panose="02020603050405020304" pitchFamily="18" charset="0"/>
          </a:endParaRPr>
        </a:p>
      </dsp:txBody>
      <dsp:txXfrm>
        <a:off x="1482258" y="1087460"/>
        <a:ext cx="1151742" cy="623875"/>
      </dsp:txXfrm>
    </dsp:sp>
    <dsp:sp modelId="{342B7C93-107E-4A95-AC5A-4E99FA37D9E1}">
      <dsp:nvSpPr>
        <dsp:cNvPr id="0" name=""/>
        <dsp:cNvSpPr/>
      </dsp:nvSpPr>
      <dsp:spPr>
        <a:xfrm rot="11884">
          <a:off x="2720676" y="742884"/>
          <a:ext cx="437593" cy="232081"/>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lv-LV" sz="900" kern="1200">
            <a:ln>
              <a:solidFill>
                <a:schemeClr val="lt1">
                  <a:hueOff val="0"/>
                  <a:satOff val="0"/>
                  <a:lumOff val="0"/>
                </a:schemeClr>
              </a:solidFill>
            </a:ln>
          </a:endParaRPr>
        </a:p>
      </dsp:txBody>
      <dsp:txXfrm>
        <a:off x="2720676" y="789180"/>
        <a:ext cx="367969" cy="139249"/>
      </dsp:txXfrm>
    </dsp:sp>
    <dsp:sp modelId="{71F30326-FC37-4D7D-9635-1DC5BF675273}">
      <dsp:nvSpPr>
        <dsp:cNvPr id="0" name=""/>
        <dsp:cNvSpPr/>
      </dsp:nvSpPr>
      <dsp:spPr>
        <a:xfrm>
          <a:off x="3218734" y="515367"/>
          <a:ext cx="1317125" cy="69359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dirty="0" smtClean="0">
              <a:solidFill>
                <a:sysClr val="windowText" lastClr="000000"/>
              </a:solidFill>
              <a:latin typeface="Times New Roman" panose="02020603050405020304" pitchFamily="18" charset="0"/>
              <a:cs typeface="Times New Roman" panose="02020603050405020304" pitchFamily="18" charset="0"/>
            </a:rPr>
            <a:t>Maksimāli pieļaujamais izdevumu kopapjoms</a:t>
          </a:r>
          <a:endParaRPr lang="lv-LV" sz="1000" b="1" kern="1200">
            <a:solidFill>
              <a:sysClr val="windowText" lastClr="000000"/>
            </a:solidFill>
            <a:latin typeface="Times New Roman" panose="02020603050405020304" pitchFamily="18" charset="0"/>
            <a:cs typeface="Times New Roman" panose="02020603050405020304" pitchFamily="18" charset="0"/>
          </a:endParaRPr>
        </a:p>
      </dsp:txBody>
      <dsp:txXfrm>
        <a:off x="3218734" y="515367"/>
        <a:ext cx="1317125" cy="69359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71BB-85A1-4AB9-9882-D73D302D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9065</Words>
  <Characters>65548</Characters>
  <Application>Microsoft Office Word</Application>
  <DocSecurity>0</DocSecurity>
  <Lines>1560</Lines>
  <Paragraphs>746</Paragraphs>
  <ScaleCrop>false</ScaleCrop>
  <HeadingPairs>
    <vt:vector size="2" baseType="variant">
      <vt:variant>
        <vt:lpstr>Title</vt:lpstr>
      </vt:variant>
      <vt:variant>
        <vt:i4>1</vt:i4>
      </vt:variant>
    </vt:vector>
  </HeadingPairs>
  <TitlesOfParts>
    <vt:vector size="1" baseType="lpstr">
      <vt:lpstr>Informatīvais ziņojums “Paveiktie un plānotie pasākumi, ieviešot budžeta sistēmu, kas balstīta uz attīstības plānošanas dokumentu mērķu sasniegšanu”</vt:lpstr>
    </vt:vector>
  </TitlesOfParts>
  <Company>Finanšu ministrija</Company>
  <LinksUpToDate>false</LinksUpToDate>
  <CharactersWithSpaces>73867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“Paveiktie un plānotie pasākumi, ieviešot budžeta sistēmu, kas balstīta uz attīstības plānošanas dokumentu mērķu sasniegšanu”</dc:title>
  <dc:subject/>
  <dc:creator>klinta.stafecka@fm.gov.lv</dc:creator>
  <cp:keywords/>
  <dc:description>Klinta.Stafecka@fm.gov.lv
67095438</dc:description>
  <cp:lastModifiedBy>Gunta Puidīte</cp:lastModifiedBy>
  <cp:revision>123</cp:revision>
  <cp:lastPrinted>2016-02-18T09:39:00Z</cp:lastPrinted>
  <dcterms:created xsi:type="dcterms:W3CDTF">2016-02-16T15:22:00Z</dcterms:created>
  <dcterms:modified xsi:type="dcterms:W3CDTF">2016-02-18T11:49:00Z</dcterms:modified>
</cp:coreProperties>
</file>