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EB" w:rsidRPr="00E17EDA" w:rsidRDefault="008D34EB" w:rsidP="005401E9">
      <w:pPr>
        <w:jc w:val="center"/>
        <w:rPr>
          <w:b/>
        </w:rPr>
      </w:pPr>
      <w:r w:rsidRPr="00E17EDA">
        <w:rPr>
          <w:b/>
          <w:szCs w:val="28"/>
        </w:rPr>
        <w:t>Ministru kabineta noteikumu projekta „</w:t>
      </w:r>
      <w:r w:rsidR="007B75AD" w:rsidRPr="00E17EDA">
        <w:rPr>
          <w:b/>
          <w:szCs w:val="28"/>
        </w:rPr>
        <w:t>Grozījumi</w:t>
      </w:r>
      <w:r w:rsidRPr="00E17EDA">
        <w:rPr>
          <w:b/>
          <w:szCs w:val="28"/>
        </w:rPr>
        <w:t xml:space="preserve"> Ministru kabineta 2011.</w:t>
      </w:r>
      <w:r w:rsidR="00FD35E8" w:rsidRPr="00E17EDA">
        <w:rPr>
          <w:b/>
          <w:szCs w:val="28"/>
        </w:rPr>
        <w:t> </w:t>
      </w:r>
      <w:r w:rsidRPr="00E17EDA">
        <w:rPr>
          <w:b/>
          <w:szCs w:val="28"/>
        </w:rPr>
        <w:t>gada 27.</w:t>
      </w:r>
      <w:r w:rsidR="00FD35E8" w:rsidRPr="00E17EDA">
        <w:rPr>
          <w:b/>
          <w:szCs w:val="28"/>
        </w:rPr>
        <w:t> </w:t>
      </w:r>
      <w:r w:rsidRPr="00E17EDA">
        <w:rPr>
          <w:b/>
          <w:szCs w:val="28"/>
        </w:rPr>
        <w:t xml:space="preserve">decembra noteikumos </w:t>
      </w:r>
      <w:r w:rsidRPr="00E17EDA">
        <w:rPr>
          <w:b/>
          <w:bCs/>
          <w:szCs w:val="28"/>
        </w:rPr>
        <w:t>Nr.</w:t>
      </w:r>
      <w:r w:rsidR="00FD35E8" w:rsidRPr="00E17EDA">
        <w:rPr>
          <w:b/>
          <w:bCs/>
          <w:szCs w:val="28"/>
        </w:rPr>
        <w:t> </w:t>
      </w:r>
      <w:r w:rsidRPr="00E17EDA">
        <w:rPr>
          <w:b/>
          <w:bCs/>
          <w:szCs w:val="28"/>
        </w:rPr>
        <w:t>1025</w:t>
      </w:r>
      <w:r w:rsidRPr="00E17EDA">
        <w:rPr>
          <w:b/>
          <w:szCs w:val="28"/>
        </w:rPr>
        <w:t xml:space="preserve"> „Noteikumi par rīcību ar lietiskajiem pierādījumiem un arestēto mantu</w:t>
      </w:r>
      <w:r w:rsidRPr="00E17EDA">
        <w:rPr>
          <w:b/>
        </w:rPr>
        <w:t>””</w:t>
      </w:r>
      <w:r w:rsidRPr="00E17EDA">
        <w:rPr>
          <w:b/>
          <w:szCs w:val="28"/>
        </w:rPr>
        <w:t xml:space="preserve"> sākotnējās ietekmes novērtējuma ziņojums (anotācija)</w:t>
      </w:r>
    </w:p>
    <w:p w:rsidR="008D34EB" w:rsidRPr="00E17EDA" w:rsidRDefault="008D34EB"/>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9"/>
        <w:gridCol w:w="1736"/>
        <w:gridCol w:w="7136"/>
      </w:tblGrid>
      <w:tr w:rsidR="00E17EDA" w:rsidRPr="00E17EDA" w:rsidTr="006020DB">
        <w:trPr>
          <w:trHeight w:val="405"/>
          <w:tblCellSpacing w:w="15" w:type="dxa"/>
        </w:trPr>
        <w:tc>
          <w:tcPr>
            <w:tcW w:w="4969" w:type="pct"/>
            <w:gridSpan w:val="3"/>
            <w:tcBorders>
              <w:top w:val="outset" w:sz="6" w:space="0" w:color="auto"/>
              <w:bottom w:val="outset" w:sz="6" w:space="0" w:color="auto"/>
            </w:tcBorders>
            <w:vAlign w:val="center"/>
          </w:tcPr>
          <w:p w:rsidR="008D34EB" w:rsidRPr="00E17EDA" w:rsidRDefault="008D34EB" w:rsidP="00862D0F">
            <w:pPr>
              <w:spacing w:before="100" w:beforeAutospacing="1" w:after="100" w:afterAutospacing="1"/>
              <w:ind w:firstLine="0"/>
              <w:jc w:val="center"/>
              <w:rPr>
                <w:b/>
                <w:bCs/>
                <w:sz w:val="24"/>
                <w:szCs w:val="24"/>
                <w:lang w:eastAsia="lv-LV"/>
              </w:rPr>
            </w:pPr>
            <w:r w:rsidRPr="00E17EDA">
              <w:rPr>
                <w:b/>
                <w:bCs/>
                <w:sz w:val="24"/>
                <w:szCs w:val="24"/>
                <w:lang w:eastAsia="lv-LV"/>
              </w:rPr>
              <w:t>I. Tiesību akta projekta izstrādes nepieciešamība</w:t>
            </w:r>
          </w:p>
        </w:tc>
      </w:tr>
      <w:tr w:rsidR="00E17EDA" w:rsidRPr="00E17EDA" w:rsidTr="00B3614A">
        <w:trPr>
          <w:trHeight w:val="405"/>
          <w:tblCellSpacing w:w="15" w:type="dxa"/>
        </w:trPr>
        <w:tc>
          <w:tcPr>
            <w:tcW w:w="444" w:type="pct"/>
            <w:tcBorders>
              <w:top w:val="outset" w:sz="6" w:space="0" w:color="auto"/>
              <w:bottom w:val="outset" w:sz="6" w:space="0" w:color="auto"/>
              <w:right w:val="outset" w:sz="6" w:space="0" w:color="auto"/>
            </w:tcBorders>
          </w:tcPr>
          <w:p w:rsidR="008D34EB" w:rsidRPr="00E17EDA" w:rsidRDefault="008D34EB" w:rsidP="00862D0F">
            <w:pPr>
              <w:spacing w:before="100" w:beforeAutospacing="1" w:after="100" w:afterAutospacing="1"/>
              <w:ind w:firstLine="0"/>
              <w:jc w:val="center"/>
              <w:rPr>
                <w:sz w:val="24"/>
                <w:szCs w:val="24"/>
                <w:lang w:eastAsia="lv-LV"/>
              </w:rPr>
            </w:pPr>
            <w:r w:rsidRPr="00E17EDA">
              <w:rPr>
                <w:sz w:val="24"/>
                <w:szCs w:val="24"/>
                <w:lang w:eastAsia="lv-LV"/>
              </w:rPr>
              <w:t>1.</w:t>
            </w:r>
          </w:p>
        </w:tc>
        <w:tc>
          <w:tcPr>
            <w:tcW w:w="878"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Pamatojums</w:t>
            </w:r>
          </w:p>
        </w:tc>
        <w:tc>
          <w:tcPr>
            <w:tcW w:w="3617" w:type="pct"/>
            <w:tcBorders>
              <w:top w:val="outset" w:sz="6" w:space="0" w:color="auto"/>
              <w:left w:val="outset" w:sz="6" w:space="0" w:color="auto"/>
              <w:bottom w:val="outset" w:sz="6" w:space="0" w:color="auto"/>
            </w:tcBorders>
          </w:tcPr>
          <w:p w:rsidR="008D34EB" w:rsidRPr="00E17EDA" w:rsidRDefault="008D34EB" w:rsidP="00695960">
            <w:pPr>
              <w:ind w:firstLine="709"/>
              <w:rPr>
                <w:sz w:val="24"/>
                <w:szCs w:val="24"/>
              </w:rPr>
            </w:pPr>
            <w:r w:rsidRPr="00E17EDA">
              <w:rPr>
                <w:sz w:val="24"/>
                <w:szCs w:val="24"/>
              </w:rPr>
              <w:t>Saskaņā ar 2010.</w:t>
            </w:r>
            <w:r w:rsidR="009F5BAF" w:rsidRPr="00E17EDA">
              <w:rPr>
                <w:sz w:val="24"/>
                <w:szCs w:val="24"/>
              </w:rPr>
              <w:t> </w:t>
            </w:r>
            <w:r w:rsidRPr="00E17EDA">
              <w:rPr>
                <w:sz w:val="24"/>
                <w:szCs w:val="24"/>
              </w:rPr>
              <w:t>gada 20.</w:t>
            </w:r>
            <w:r w:rsidR="009F5BAF" w:rsidRPr="00E17EDA">
              <w:rPr>
                <w:sz w:val="24"/>
                <w:szCs w:val="24"/>
              </w:rPr>
              <w:t> </w:t>
            </w:r>
            <w:r w:rsidRPr="00E17EDA">
              <w:rPr>
                <w:sz w:val="24"/>
                <w:szCs w:val="24"/>
              </w:rPr>
              <w:t xml:space="preserve">maija Grozījumiem Stratēģiskas nozīmes preču aprites likumā par atbildīgo iestādi par Latvijas Republikas Nacionālajā stratēģiskas nozīmes preču un pakalpojumu sarakstā minēto sevišķā veidā veicamiem operatīvās darbības pasākumiem </w:t>
            </w:r>
            <w:r w:rsidR="00522BA5">
              <w:rPr>
                <w:sz w:val="24"/>
                <w:szCs w:val="24"/>
              </w:rPr>
              <w:t xml:space="preserve">un operatīvās darbības pasākumu traucēšanai </w:t>
            </w:r>
            <w:r w:rsidRPr="00E17EDA">
              <w:rPr>
                <w:sz w:val="24"/>
                <w:szCs w:val="24"/>
              </w:rPr>
              <w:t>speciāli radītu vai pielāgotu iekārtu, ierīču vai instrumentu un to komponentu</w:t>
            </w:r>
            <w:r w:rsidR="00354F54" w:rsidRPr="00E17EDA">
              <w:rPr>
                <w:sz w:val="24"/>
                <w:szCs w:val="24"/>
              </w:rPr>
              <w:t>, un programmatūru</w:t>
            </w:r>
            <w:r w:rsidRPr="00E17EDA">
              <w:rPr>
                <w:sz w:val="24"/>
                <w:szCs w:val="24"/>
              </w:rPr>
              <w:t xml:space="preserve"> (turpmāk – speciālās ierīces) sertificēšanu un aprites kontroli Latvijas Republikā ir noteikta Drošības policija.</w:t>
            </w:r>
          </w:p>
          <w:p w:rsidR="008D34EB" w:rsidRPr="00E17EDA" w:rsidRDefault="008D34EB" w:rsidP="00046B64">
            <w:pPr>
              <w:ind w:firstLine="709"/>
              <w:rPr>
                <w:sz w:val="24"/>
                <w:szCs w:val="24"/>
              </w:rPr>
            </w:pPr>
            <w:r w:rsidRPr="00E17EDA">
              <w:rPr>
                <w:sz w:val="24"/>
                <w:szCs w:val="24"/>
              </w:rPr>
              <w:t>Drošības policija atbilstoši normatīvajos aktos noteiktajam:</w:t>
            </w:r>
          </w:p>
          <w:p w:rsidR="008D34EB" w:rsidRPr="00E17EDA" w:rsidRDefault="008D34EB" w:rsidP="00046B64">
            <w:pPr>
              <w:pStyle w:val="ListParagraph"/>
              <w:numPr>
                <w:ilvl w:val="0"/>
                <w:numId w:val="10"/>
              </w:numPr>
              <w:tabs>
                <w:tab w:val="left" w:pos="982"/>
              </w:tabs>
              <w:ind w:left="-11" w:firstLine="709"/>
              <w:rPr>
                <w:sz w:val="24"/>
                <w:szCs w:val="24"/>
              </w:rPr>
            </w:pPr>
            <w:r w:rsidRPr="00E17EDA">
              <w:rPr>
                <w:sz w:val="24"/>
                <w:szCs w:val="24"/>
              </w:rPr>
              <w:t>izsniedz speciālās atļaujas (licences) komercdarbībai speciālo ierīču aprites jomā (Stratēģiskas nozīmes</w:t>
            </w:r>
            <w:r w:rsidR="00684BEB" w:rsidRPr="00E17EDA">
              <w:rPr>
                <w:sz w:val="24"/>
                <w:szCs w:val="24"/>
              </w:rPr>
              <w:t xml:space="preserve"> preču</w:t>
            </w:r>
            <w:r w:rsidRPr="00E17EDA">
              <w:rPr>
                <w:sz w:val="24"/>
                <w:szCs w:val="24"/>
              </w:rPr>
              <w:t xml:space="preserve"> likuma 5.</w:t>
            </w:r>
            <w:r w:rsidRPr="00E17EDA">
              <w:rPr>
                <w:sz w:val="24"/>
                <w:szCs w:val="24"/>
                <w:vertAlign w:val="superscript"/>
              </w:rPr>
              <w:t>1</w:t>
            </w:r>
            <w:r w:rsidR="00BE7D32" w:rsidRPr="00E17EDA">
              <w:rPr>
                <w:sz w:val="24"/>
                <w:szCs w:val="24"/>
                <w:vertAlign w:val="superscript"/>
              </w:rPr>
              <w:t> </w:t>
            </w:r>
            <w:r w:rsidRPr="00E17EDA">
              <w:rPr>
                <w:sz w:val="24"/>
                <w:szCs w:val="24"/>
              </w:rPr>
              <w:t>panta otrā daļa);</w:t>
            </w:r>
          </w:p>
          <w:p w:rsidR="008D34EB" w:rsidRPr="00E17EDA" w:rsidRDefault="008D34EB" w:rsidP="00046B64">
            <w:pPr>
              <w:pStyle w:val="ListParagraph"/>
              <w:numPr>
                <w:ilvl w:val="0"/>
                <w:numId w:val="10"/>
              </w:numPr>
              <w:tabs>
                <w:tab w:val="left" w:pos="982"/>
              </w:tabs>
              <w:ind w:left="-11" w:firstLine="709"/>
              <w:rPr>
                <w:sz w:val="24"/>
                <w:szCs w:val="24"/>
              </w:rPr>
            </w:pPr>
            <w:r w:rsidRPr="00E17EDA">
              <w:rPr>
                <w:sz w:val="24"/>
                <w:szCs w:val="24"/>
              </w:rPr>
              <w:t xml:space="preserve">sniedz atzinumu par to, </w:t>
            </w:r>
            <w:proofErr w:type="gramStart"/>
            <w:r w:rsidRPr="00E17EDA">
              <w:rPr>
                <w:sz w:val="24"/>
                <w:szCs w:val="24"/>
              </w:rPr>
              <w:t>ka telpa, kurā komersants glabās, ražos</w:t>
            </w:r>
            <w:proofErr w:type="gramEnd"/>
            <w:r w:rsidRPr="00E17EDA">
              <w:rPr>
                <w:sz w:val="24"/>
                <w:szCs w:val="24"/>
              </w:rPr>
              <w:t xml:space="preserve"> vai veiks speciālo ierīču apkalpošanu (remontu un apkopi), un līdzekļi speciālo ierīču un tehnoloģiskās dokumentācijas glabāšanai atbilst prasībām darbam ar valsts noslēpuma objektiem (Ministru kabineta 2009.</w:t>
            </w:r>
            <w:r w:rsidR="009F5BAF" w:rsidRPr="00E17EDA">
              <w:rPr>
                <w:sz w:val="24"/>
                <w:szCs w:val="24"/>
              </w:rPr>
              <w:t> </w:t>
            </w:r>
            <w:r w:rsidRPr="00E17EDA">
              <w:rPr>
                <w:sz w:val="24"/>
                <w:szCs w:val="24"/>
              </w:rPr>
              <w:t>gada 18.</w:t>
            </w:r>
            <w:r w:rsidR="009F5BAF" w:rsidRPr="00E17EDA">
              <w:rPr>
                <w:sz w:val="24"/>
                <w:szCs w:val="24"/>
              </w:rPr>
              <w:t> </w:t>
            </w:r>
            <w:r w:rsidRPr="00E17EDA">
              <w:rPr>
                <w:sz w:val="24"/>
                <w:szCs w:val="24"/>
              </w:rPr>
              <w:t>augusta noteikumu Nr.</w:t>
            </w:r>
            <w:r w:rsidR="00A56F4C" w:rsidRPr="00E17EDA">
              <w:rPr>
                <w:sz w:val="24"/>
                <w:szCs w:val="24"/>
              </w:rPr>
              <w:t> </w:t>
            </w:r>
            <w:r w:rsidRPr="00E17EDA">
              <w:rPr>
                <w:sz w:val="24"/>
                <w:szCs w:val="24"/>
              </w:rPr>
              <w:t>926 „Noteikumi par sevišķā veidā veicamiem operatīvās darbības pasākumiem speciāli radītu vai pielāgotu iekārtu, ierīču vai instrumentu un to komponentu apriti” 5.6.</w:t>
            </w:r>
            <w:r w:rsidR="00A56F4C" w:rsidRPr="00E17EDA">
              <w:rPr>
                <w:sz w:val="24"/>
                <w:szCs w:val="24"/>
              </w:rPr>
              <w:t> apakš</w:t>
            </w:r>
            <w:r w:rsidRPr="00E17EDA">
              <w:rPr>
                <w:sz w:val="24"/>
                <w:szCs w:val="24"/>
              </w:rPr>
              <w:t>punkts)</w:t>
            </w:r>
            <w:r w:rsidR="00945173" w:rsidRPr="00E17EDA">
              <w:rPr>
                <w:sz w:val="24"/>
                <w:szCs w:val="24"/>
              </w:rPr>
              <w:t>;</w:t>
            </w:r>
          </w:p>
          <w:p w:rsidR="008D34EB" w:rsidRPr="00E17EDA" w:rsidRDefault="008D34EB" w:rsidP="00046B64">
            <w:pPr>
              <w:pStyle w:val="ListParagraph"/>
              <w:numPr>
                <w:ilvl w:val="0"/>
                <w:numId w:val="10"/>
              </w:numPr>
              <w:tabs>
                <w:tab w:val="left" w:pos="982"/>
              </w:tabs>
              <w:ind w:left="-11" w:firstLine="709"/>
              <w:rPr>
                <w:sz w:val="24"/>
                <w:szCs w:val="24"/>
              </w:rPr>
            </w:pPr>
            <w:r w:rsidRPr="00E17EDA">
              <w:rPr>
                <w:sz w:val="24"/>
                <w:szCs w:val="24"/>
              </w:rPr>
              <w:t>sertificē speciālās ierīces (Stratēģiskas nozīmes likuma 5.</w:t>
            </w:r>
            <w:r w:rsidRPr="00E17EDA">
              <w:rPr>
                <w:sz w:val="24"/>
                <w:szCs w:val="24"/>
                <w:vertAlign w:val="superscript"/>
              </w:rPr>
              <w:t>1</w:t>
            </w:r>
            <w:r w:rsidR="00A56F4C" w:rsidRPr="00E17EDA">
              <w:rPr>
                <w:sz w:val="24"/>
                <w:szCs w:val="24"/>
                <w:vertAlign w:val="superscript"/>
              </w:rPr>
              <w:t> </w:t>
            </w:r>
            <w:r w:rsidRPr="00E17EDA">
              <w:rPr>
                <w:sz w:val="24"/>
                <w:szCs w:val="24"/>
              </w:rPr>
              <w:t>panta desmitā daļa);</w:t>
            </w:r>
          </w:p>
          <w:p w:rsidR="00A56F4C" w:rsidRPr="00E17EDA" w:rsidRDefault="008D34EB" w:rsidP="00046B64">
            <w:pPr>
              <w:pStyle w:val="ListParagraph"/>
              <w:numPr>
                <w:ilvl w:val="0"/>
                <w:numId w:val="10"/>
              </w:numPr>
              <w:tabs>
                <w:tab w:val="left" w:pos="982"/>
              </w:tabs>
              <w:ind w:left="-11" w:firstLine="709"/>
              <w:rPr>
                <w:sz w:val="24"/>
                <w:szCs w:val="24"/>
              </w:rPr>
            </w:pPr>
            <w:r w:rsidRPr="00E17EDA">
              <w:rPr>
                <w:sz w:val="24"/>
                <w:szCs w:val="24"/>
              </w:rPr>
              <w:t>nodrošina ekspertīzes veikšanu speciālajām ierīcēm (Stratēģiskas nozīmes likuma 11.</w:t>
            </w:r>
            <w:r w:rsidR="00A56F4C" w:rsidRPr="00E17EDA">
              <w:rPr>
                <w:sz w:val="24"/>
                <w:szCs w:val="24"/>
              </w:rPr>
              <w:t> </w:t>
            </w:r>
            <w:r w:rsidRPr="00E17EDA">
              <w:rPr>
                <w:sz w:val="24"/>
                <w:szCs w:val="24"/>
              </w:rPr>
              <w:t>panta ceturtās daļas 5.</w:t>
            </w:r>
            <w:r w:rsidR="00A56F4C" w:rsidRPr="00E17EDA">
              <w:rPr>
                <w:sz w:val="24"/>
                <w:szCs w:val="24"/>
              </w:rPr>
              <w:t> </w:t>
            </w:r>
            <w:r w:rsidRPr="00E17EDA">
              <w:rPr>
                <w:sz w:val="24"/>
                <w:szCs w:val="24"/>
              </w:rPr>
              <w:t>punkts);</w:t>
            </w:r>
          </w:p>
          <w:p w:rsidR="008D34EB" w:rsidRPr="00E17EDA" w:rsidRDefault="008D34EB" w:rsidP="00046B64">
            <w:pPr>
              <w:pStyle w:val="ListParagraph"/>
              <w:numPr>
                <w:ilvl w:val="0"/>
                <w:numId w:val="10"/>
              </w:numPr>
              <w:tabs>
                <w:tab w:val="left" w:pos="982"/>
              </w:tabs>
              <w:ind w:left="-11" w:firstLine="709"/>
              <w:rPr>
                <w:sz w:val="24"/>
                <w:szCs w:val="24"/>
              </w:rPr>
            </w:pPr>
            <w:r w:rsidRPr="00E17EDA">
              <w:rPr>
                <w:sz w:val="24"/>
                <w:szCs w:val="24"/>
              </w:rPr>
              <w:t xml:space="preserve">atsevišķos gadījumos nosaka un atbild par īslaicīgu speciālo </w:t>
            </w:r>
            <w:proofErr w:type="spellStart"/>
            <w:r w:rsidRPr="00E17EDA">
              <w:rPr>
                <w:sz w:val="24"/>
                <w:szCs w:val="24"/>
              </w:rPr>
              <w:t>radiolīdzekļu</w:t>
            </w:r>
            <w:proofErr w:type="spellEnd"/>
            <w:r w:rsidRPr="00E17EDA">
              <w:rPr>
                <w:sz w:val="24"/>
                <w:szCs w:val="24"/>
              </w:rPr>
              <w:t xml:space="preserve"> izmantošanu (Ministru kabineta 2011.</w:t>
            </w:r>
            <w:r w:rsidR="009F5BAF" w:rsidRPr="00E17EDA">
              <w:rPr>
                <w:sz w:val="24"/>
                <w:szCs w:val="24"/>
              </w:rPr>
              <w:t> </w:t>
            </w:r>
            <w:r w:rsidRPr="00E17EDA">
              <w:rPr>
                <w:sz w:val="24"/>
                <w:szCs w:val="24"/>
              </w:rPr>
              <w:t>gada 1.</w:t>
            </w:r>
            <w:r w:rsidR="009F5BAF" w:rsidRPr="00E17EDA">
              <w:rPr>
                <w:sz w:val="24"/>
                <w:szCs w:val="24"/>
              </w:rPr>
              <w:t> </w:t>
            </w:r>
            <w:r w:rsidRPr="00E17EDA">
              <w:rPr>
                <w:sz w:val="24"/>
                <w:szCs w:val="24"/>
              </w:rPr>
              <w:t>februāra noteikumu Nr.</w:t>
            </w:r>
            <w:r w:rsidR="00A56F4C" w:rsidRPr="00E17EDA">
              <w:rPr>
                <w:sz w:val="24"/>
                <w:szCs w:val="24"/>
              </w:rPr>
              <w:t> </w:t>
            </w:r>
            <w:r w:rsidRPr="00E17EDA">
              <w:rPr>
                <w:sz w:val="24"/>
                <w:szCs w:val="24"/>
              </w:rPr>
              <w:t>93</w:t>
            </w:r>
            <w:r w:rsidR="00A56F4C" w:rsidRPr="00E17EDA">
              <w:rPr>
                <w:sz w:val="24"/>
                <w:szCs w:val="24"/>
              </w:rPr>
              <w:t xml:space="preserve"> “Noteikumi par speciālo </w:t>
            </w:r>
            <w:proofErr w:type="spellStart"/>
            <w:r w:rsidR="00A56F4C" w:rsidRPr="00E17EDA">
              <w:rPr>
                <w:sz w:val="24"/>
                <w:szCs w:val="24"/>
              </w:rPr>
              <w:t>radiolīdzekļu</w:t>
            </w:r>
            <w:proofErr w:type="spellEnd"/>
            <w:r w:rsidR="00A56F4C" w:rsidRPr="00E17EDA">
              <w:rPr>
                <w:sz w:val="24"/>
                <w:szCs w:val="24"/>
              </w:rPr>
              <w:t xml:space="preserve"> izmantošanas kārtību un tehniskajām prasībām to darbībai”</w:t>
            </w:r>
            <w:r w:rsidRPr="00E17EDA">
              <w:rPr>
                <w:sz w:val="24"/>
                <w:szCs w:val="24"/>
              </w:rPr>
              <w:t xml:space="preserve"> 5.</w:t>
            </w:r>
            <w:r w:rsidR="00A56F4C" w:rsidRPr="00E17EDA">
              <w:rPr>
                <w:sz w:val="24"/>
                <w:szCs w:val="24"/>
              </w:rPr>
              <w:t> </w:t>
            </w:r>
            <w:r w:rsidRPr="00E17EDA">
              <w:rPr>
                <w:sz w:val="24"/>
                <w:szCs w:val="24"/>
              </w:rPr>
              <w:t>punkts).</w:t>
            </w:r>
          </w:p>
          <w:p w:rsidR="008D34EB" w:rsidRPr="00E17EDA" w:rsidRDefault="008D34EB" w:rsidP="00DD16D0">
            <w:pPr>
              <w:autoSpaceDE w:val="0"/>
              <w:autoSpaceDN w:val="0"/>
              <w:adjustRightInd w:val="0"/>
              <w:rPr>
                <w:sz w:val="24"/>
                <w:szCs w:val="24"/>
              </w:rPr>
            </w:pPr>
            <w:r w:rsidRPr="00E17EDA">
              <w:rPr>
                <w:sz w:val="24"/>
                <w:szCs w:val="24"/>
              </w:rPr>
              <w:t xml:space="preserve">Neskatoties uz to, ka Drošības policijai ir uzlikts pienākums veikt speciālo ierīču identifikāciju (ekspertīzi) un to aprites kontroli, atsevišķos speciālo ierīču aprites posmos nav nodrošināts efektīvs šo pienākumu īstenošanas mehānisms, proti, rīcība ar tādām speciālajām ierīcēm, kas atzītas par lietiskajiem pierādījumiem </w:t>
            </w:r>
            <w:r w:rsidR="00DD16D0" w:rsidRPr="00E17EDA">
              <w:rPr>
                <w:sz w:val="24"/>
                <w:szCs w:val="24"/>
              </w:rPr>
              <w:t>k</w:t>
            </w:r>
            <w:r w:rsidRPr="00E17EDA">
              <w:rPr>
                <w:sz w:val="24"/>
                <w:szCs w:val="24"/>
              </w:rPr>
              <w:t>riminālprocesā</w:t>
            </w:r>
            <w:r w:rsidR="00DD16D0" w:rsidRPr="00E17EDA">
              <w:rPr>
                <w:sz w:val="24"/>
                <w:szCs w:val="24"/>
              </w:rPr>
              <w:t>, attiecībā uz šo ierīču glābšanu</w:t>
            </w:r>
            <w:r w:rsidRPr="00E17EDA">
              <w:rPr>
                <w:sz w:val="24"/>
                <w:szCs w:val="24"/>
              </w:rPr>
              <w:t xml:space="preserve"> laika posmā no izņemšanas līdz galīgā nolēmuma taisīšanai nav noregulēta atbilstoši speciālo ierīču aprites vispārējām prasībām.</w:t>
            </w:r>
          </w:p>
        </w:tc>
      </w:tr>
      <w:tr w:rsidR="00E17EDA" w:rsidRPr="00E17EDA" w:rsidTr="00B3614A">
        <w:trPr>
          <w:trHeight w:val="465"/>
          <w:tblCellSpacing w:w="15" w:type="dxa"/>
        </w:trPr>
        <w:tc>
          <w:tcPr>
            <w:tcW w:w="444" w:type="pct"/>
            <w:tcBorders>
              <w:top w:val="outset" w:sz="6" w:space="0" w:color="auto"/>
              <w:bottom w:val="outset" w:sz="6" w:space="0" w:color="auto"/>
              <w:right w:val="outset" w:sz="6" w:space="0" w:color="auto"/>
            </w:tcBorders>
          </w:tcPr>
          <w:p w:rsidR="008D34EB" w:rsidRPr="00E17EDA" w:rsidRDefault="008D34EB" w:rsidP="00862D0F">
            <w:pPr>
              <w:spacing w:before="100" w:beforeAutospacing="1" w:after="100" w:afterAutospacing="1"/>
              <w:ind w:firstLine="0"/>
              <w:jc w:val="center"/>
              <w:rPr>
                <w:sz w:val="24"/>
                <w:szCs w:val="24"/>
                <w:lang w:eastAsia="lv-LV"/>
              </w:rPr>
            </w:pPr>
            <w:r w:rsidRPr="00E17EDA">
              <w:rPr>
                <w:sz w:val="24"/>
                <w:szCs w:val="24"/>
                <w:lang w:eastAsia="lv-LV"/>
              </w:rPr>
              <w:t>2.</w:t>
            </w:r>
          </w:p>
        </w:tc>
        <w:tc>
          <w:tcPr>
            <w:tcW w:w="878" w:type="pct"/>
            <w:tcBorders>
              <w:top w:val="outset" w:sz="6" w:space="0" w:color="auto"/>
              <w:left w:val="outset" w:sz="6" w:space="0" w:color="auto"/>
              <w:bottom w:val="outset" w:sz="6" w:space="0" w:color="auto"/>
              <w:right w:val="outset" w:sz="6" w:space="0" w:color="auto"/>
            </w:tcBorders>
          </w:tcPr>
          <w:p w:rsidR="008D34EB" w:rsidRPr="00E17EDA" w:rsidRDefault="008D34EB" w:rsidP="00FD61B9">
            <w:pPr>
              <w:ind w:firstLine="0"/>
              <w:jc w:val="left"/>
              <w:rPr>
                <w:sz w:val="24"/>
                <w:szCs w:val="24"/>
                <w:lang w:eastAsia="lv-LV"/>
              </w:rPr>
            </w:pPr>
            <w:r w:rsidRPr="00E17EDA">
              <w:rPr>
                <w:sz w:val="24"/>
                <w:szCs w:val="24"/>
                <w:lang w:eastAsia="lv-LV"/>
              </w:rPr>
              <w:t xml:space="preserve">Pašreizējā situācija un problēmas, kuru risināšanai tiesību akta projekts </w:t>
            </w:r>
            <w:r w:rsidRPr="00E17EDA">
              <w:rPr>
                <w:sz w:val="24"/>
                <w:szCs w:val="24"/>
                <w:lang w:eastAsia="lv-LV"/>
              </w:rPr>
              <w:lastRenderedPageBreak/>
              <w:t>izstrādāts, tiesiskā regulējuma mērķis un būtība</w:t>
            </w:r>
          </w:p>
        </w:tc>
        <w:tc>
          <w:tcPr>
            <w:tcW w:w="3617" w:type="pct"/>
            <w:tcBorders>
              <w:top w:val="outset" w:sz="6" w:space="0" w:color="auto"/>
              <w:left w:val="outset" w:sz="6" w:space="0" w:color="auto"/>
              <w:bottom w:val="outset" w:sz="6" w:space="0" w:color="auto"/>
            </w:tcBorders>
          </w:tcPr>
          <w:p w:rsidR="0072173B" w:rsidRPr="00E17EDA" w:rsidRDefault="0072173B" w:rsidP="0072173B">
            <w:pPr>
              <w:autoSpaceDE w:val="0"/>
              <w:autoSpaceDN w:val="0"/>
              <w:adjustRightInd w:val="0"/>
              <w:rPr>
                <w:sz w:val="24"/>
                <w:szCs w:val="24"/>
              </w:rPr>
            </w:pPr>
            <w:r w:rsidRPr="00E17EDA">
              <w:rPr>
                <w:sz w:val="24"/>
                <w:szCs w:val="24"/>
              </w:rPr>
              <w:lastRenderedPageBreak/>
              <w:t xml:space="preserve">Saskaņā ar Ministru kabineta 2007. gada 25. septembra noteikumu </w:t>
            </w:r>
            <w:r w:rsidR="00A56F4C" w:rsidRPr="00E17EDA">
              <w:rPr>
                <w:sz w:val="24"/>
                <w:szCs w:val="24"/>
              </w:rPr>
              <w:t xml:space="preserve">Nr. 645 </w:t>
            </w:r>
            <w:r w:rsidRPr="00E17EDA">
              <w:rPr>
                <w:sz w:val="24"/>
                <w:szCs w:val="24"/>
              </w:rPr>
              <w:t>“Noteikumi par Nacionālo stratēģiskas nozīmes preču un pakalpojumu sarakstu” sadaļās</w:t>
            </w:r>
            <w:r w:rsidRPr="00E17EDA">
              <w:t xml:space="preserve"> </w:t>
            </w:r>
            <w:r w:rsidRPr="00E17EDA">
              <w:rPr>
                <w:sz w:val="24"/>
                <w:szCs w:val="24"/>
              </w:rPr>
              <w:t>10A905 un</w:t>
            </w:r>
            <w:r w:rsidRPr="00E17EDA">
              <w:t xml:space="preserve"> </w:t>
            </w:r>
            <w:r w:rsidRPr="00E17EDA">
              <w:rPr>
                <w:sz w:val="24"/>
                <w:szCs w:val="24"/>
              </w:rPr>
              <w:t>10D901 minēto,</w:t>
            </w:r>
            <w:r w:rsidR="002349F6" w:rsidRPr="009A4FBA">
              <w:rPr>
                <w:color w:val="000000" w:themeColor="text1"/>
                <w:sz w:val="24"/>
                <w:szCs w:val="24"/>
                <w:shd w:val="clear" w:color="auto" w:fill="FFFFFF"/>
              </w:rPr>
              <w:t xml:space="preserve"> </w:t>
            </w:r>
            <w:r w:rsidR="007D2A31">
              <w:rPr>
                <w:color w:val="000000" w:themeColor="text1"/>
                <w:sz w:val="24"/>
                <w:szCs w:val="24"/>
                <w:shd w:val="clear" w:color="auto" w:fill="FFFFFF"/>
              </w:rPr>
              <w:t xml:space="preserve">kā </w:t>
            </w:r>
            <w:r w:rsidR="002349F6" w:rsidRPr="009A4FBA">
              <w:rPr>
                <w:color w:val="000000" w:themeColor="text1"/>
                <w:sz w:val="24"/>
                <w:szCs w:val="24"/>
                <w:shd w:val="clear" w:color="auto" w:fill="FFFFFF"/>
              </w:rPr>
              <w:t>sevišķā veidā veicamiem operatīvās darbības pasākumiem speciāli radītas vai pielāgotas iekārtas, ierīces vai instrumenti un to komponentes, un programmatūra ir</w:t>
            </w:r>
            <w:r w:rsidR="007D2A31">
              <w:rPr>
                <w:color w:val="000000" w:themeColor="text1"/>
                <w:sz w:val="24"/>
                <w:szCs w:val="24"/>
                <w:shd w:val="clear" w:color="auto" w:fill="FFFFFF"/>
              </w:rPr>
              <w:t xml:space="preserve"> noteiktas</w:t>
            </w:r>
            <w:r w:rsidRPr="009A4FBA">
              <w:rPr>
                <w:color w:val="000000" w:themeColor="text1"/>
                <w:sz w:val="24"/>
                <w:szCs w:val="24"/>
              </w:rPr>
              <w:t>:</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lastRenderedPageBreak/>
              <w:t>iekārtas un ierīces audioinformācijas ieguvei slēptā veidā;</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t xml:space="preserve">iekārtas un ierīces slēptai videonovērošanai vai </w:t>
            </w:r>
            <w:proofErr w:type="spellStart"/>
            <w:r w:rsidRPr="00E17EDA">
              <w:rPr>
                <w:sz w:val="24"/>
                <w:szCs w:val="24"/>
              </w:rPr>
              <w:t>videodokumentēšanai</w:t>
            </w:r>
            <w:proofErr w:type="spellEnd"/>
            <w:r w:rsidRPr="00E17EDA">
              <w:rPr>
                <w:sz w:val="24"/>
                <w:szCs w:val="24"/>
              </w:rPr>
              <w:t>;</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t>iekārtas un ierīces analogo, ciparu vai mobilo telekomunikāciju sarunu vai citas informācijas pārtveršanai no tehniskajiem līdzekļiem vai sakaru kanāliem slēptā veidā;</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t>iekārtas un ierīces “slēptai iekļūšanai” telpās, transportlīdzekļos vai citos objektos;</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t>iekārtas un ierīces operatīvās darbības pasākumu traucēšanai;</w:t>
            </w:r>
          </w:p>
          <w:p w:rsidR="0072173B" w:rsidRPr="00E17EDA" w:rsidRDefault="0072173B" w:rsidP="00046B64">
            <w:pPr>
              <w:pStyle w:val="ListParagraph"/>
              <w:numPr>
                <w:ilvl w:val="0"/>
                <w:numId w:val="11"/>
              </w:numPr>
              <w:autoSpaceDE w:val="0"/>
              <w:autoSpaceDN w:val="0"/>
              <w:adjustRightInd w:val="0"/>
              <w:ind w:left="0" w:firstLine="556"/>
              <w:rPr>
                <w:sz w:val="24"/>
                <w:szCs w:val="24"/>
              </w:rPr>
            </w:pPr>
            <w:r w:rsidRPr="00E17EDA">
              <w:rPr>
                <w:sz w:val="24"/>
                <w:szCs w:val="24"/>
              </w:rPr>
              <w:t xml:space="preserve">sevišķā veidā veicamiem operatīvās darbības pasākumiem speciāli radītas vai pielāgotas programmatūras, </w:t>
            </w:r>
            <w:proofErr w:type="gramStart"/>
            <w:r w:rsidRPr="00E17EDA">
              <w:rPr>
                <w:sz w:val="24"/>
                <w:szCs w:val="24"/>
              </w:rPr>
              <w:t>kas speciāli radītas</w:t>
            </w:r>
            <w:proofErr w:type="gramEnd"/>
            <w:r w:rsidRPr="00E17EDA">
              <w:rPr>
                <w:sz w:val="24"/>
                <w:szCs w:val="24"/>
              </w:rPr>
              <w:t xml:space="preserve"> vai pielāgotas informācijas iegūšanai no datoriem, datoru tīkliem vai citām informācijas sistēmām vai šīs informācijas iznīcināšanai vai izmainīšanai slēptā veidā.</w:t>
            </w:r>
          </w:p>
          <w:p w:rsidR="008D34EB" w:rsidRPr="00E17EDA" w:rsidRDefault="008D34EB" w:rsidP="00B3614A">
            <w:pPr>
              <w:autoSpaceDE w:val="0"/>
              <w:autoSpaceDN w:val="0"/>
              <w:adjustRightInd w:val="0"/>
              <w:rPr>
                <w:sz w:val="24"/>
                <w:szCs w:val="24"/>
              </w:rPr>
            </w:pPr>
            <w:r w:rsidRPr="00E17EDA">
              <w:rPr>
                <w:sz w:val="24"/>
                <w:szCs w:val="24"/>
              </w:rPr>
              <w:t>Lai pakļautu kontrolei speciālo ierīču apriti, kā arī</w:t>
            </w:r>
            <w:r w:rsidR="00F47C8C" w:rsidRPr="00E17EDA">
              <w:rPr>
                <w:sz w:val="24"/>
                <w:szCs w:val="24"/>
              </w:rPr>
              <w:t>,</w:t>
            </w:r>
            <w:r w:rsidRPr="00E17EDA">
              <w:rPr>
                <w:sz w:val="24"/>
                <w:szCs w:val="24"/>
              </w:rPr>
              <w:t xml:space="preserve"> lai Krimināllikumā varētu paredzēt sodu par minēto preču neatļautu apriti, 2009.</w:t>
            </w:r>
            <w:r w:rsidR="0072173B" w:rsidRPr="00E17EDA">
              <w:rPr>
                <w:sz w:val="24"/>
                <w:szCs w:val="24"/>
              </w:rPr>
              <w:t> </w:t>
            </w:r>
            <w:r w:rsidRPr="00E17EDA">
              <w:rPr>
                <w:sz w:val="24"/>
                <w:szCs w:val="24"/>
              </w:rPr>
              <w:t>gada 12.</w:t>
            </w:r>
            <w:r w:rsidR="00DD16D0" w:rsidRPr="00E17EDA">
              <w:rPr>
                <w:sz w:val="24"/>
                <w:szCs w:val="24"/>
              </w:rPr>
              <w:t> </w:t>
            </w:r>
            <w:r w:rsidRPr="00E17EDA">
              <w:rPr>
                <w:sz w:val="24"/>
                <w:szCs w:val="24"/>
              </w:rPr>
              <w:t>martā tika pieņemti un 15.</w:t>
            </w:r>
            <w:r w:rsidR="0072173B" w:rsidRPr="00E17EDA">
              <w:rPr>
                <w:sz w:val="24"/>
                <w:szCs w:val="24"/>
              </w:rPr>
              <w:t> </w:t>
            </w:r>
            <w:r w:rsidRPr="00E17EDA">
              <w:rPr>
                <w:sz w:val="24"/>
                <w:szCs w:val="24"/>
              </w:rPr>
              <w:t>aprīlī stājās spēkā grozījumi Stratēģiskas nozīmes preču aprites likumā, papildinot to ar jaunu normu – 5.</w:t>
            </w:r>
            <w:r w:rsidRPr="00E17EDA">
              <w:rPr>
                <w:sz w:val="24"/>
                <w:szCs w:val="24"/>
                <w:vertAlign w:val="superscript"/>
              </w:rPr>
              <w:t>1</w:t>
            </w:r>
            <w:r w:rsidR="0072173B" w:rsidRPr="00E17EDA">
              <w:rPr>
                <w:sz w:val="24"/>
                <w:szCs w:val="24"/>
                <w:vertAlign w:val="superscript"/>
              </w:rPr>
              <w:t> </w:t>
            </w:r>
            <w:r w:rsidRPr="00E17EDA">
              <w:rPr>
                <w:sz w:val="24"/>
                <w:szCs w:val="24"/>
              </w:rPr>
              <w:t>pantu „Sevišķā veidā veicamiem operatīvās darbības pasākumiem speciāli radītu vai pielāgotu iekārtu, ierīču vai instrumentu un to komponentu aprite”. Šie grozījumi būtiski papildināja pastāvošo stratēģiskas nozīmes preču aprite</w:t>
            </w:r>
            <w:r w:rsidR="0072173B" w:rsidRPr="00E17EDA">
              <w:rPr>
                <w:sz w:val="24"/>
                <w:szCs w:val="24"/>
              </w:rPr>
              <w:t>s kontroles mehānismu, nosakot</w:t>
            </w:r>
            <w:r w:rsidRPr="00E17EDA">
              <w:rPr>
                <w:sz w:val="24"/>
                <w:szCs w:val="24"/>
              </w:rPr>
              <w:t>:</w:t>
            </w:r>
          </w:p>
          <w:p w:rsidR="0072173B" w:rsidRPr="00E17EDA" w:rsidRDefault="0072173B" w:rsidP="00046B64">
            <w:pPr>
              <w:pStyle w:val="ListParagraph"/>
              <w:numPr>
                <w:ilvl w:val="0"/>
                <w:numId w:val="10"/>
              </w:numPr>
              <w:ind w:left="0" w:firstLine="283"/>
              <w:rPr>
                <w:sz w:val="24"/>
                <w:szCs w:val="24"/>
              </w:rPr>
            </w:pPr>
            <w:r w:rsidRPr="00E17EDA">
              <w:rPr>
                <w:sz w:val="24"/>
                <w:szCs w:val="24"/>
              </w:rPr>
              <w:t>speciālo ierīču lietošanas aizliegumu – speciālās ierīces atļauts lietot tikai operatīvās darbības subjektiem likumā noteiktajā kārtībā;</w:t>
            </w:r>
          </w:p>
          <w:p w:rsidR="008D34EB" w:rsidRPr="00E17EDA" w:rsidRDefault="0072173B" w:rsidP="00046B64">
            <w:pPr>
              <w:pStyle w:val="ListParagraph"/>
              <w:numPr>
                <w:ilvl w:val="0"/>
                <w:numId w:val="10"/>
              </w:numPr>
              <w:ind w:left="0" w:firstLine="283"/>
              <w:rPr>
                <w:sz w:val="24"/>
                <w:szCs w:val="24"/>
              </w:rPr>
            </w:pPr>
            <w:r w:rsidRPr="00E17EDA">
              <w:rPr>
                <w:sz w:val="24"/>
                <w:szCs w:val="24"/>
              </w:rPr>
              <w:t xml:space="preserve">speciālo ierīču aprites aizliegumu fiziskām personām </w:t>
            </w:r>
            <w:r w:rsidR="005C6C07" w:rsidRPr="00E17EDA">
              <w:rPr>
                <w:sz w:val="24"/>
                <w:szCs w:val="24"/>
              </w:rPr>
              <w:t>(</w:t>
            </w:r>
            <w:r w:rsidR="008D34EB" w:rsidRPr="00E17EDA">
              <w:rPr>
                <w:sz w:val="24"/>
                <w:szCs w:val="24"/>
              </w:rPr>
              <w:t>5.</w:t>
            </w:r>
            <w:r w:rsidR="008D34EB" w:rsidRPr="00E17EDA">
              <w:rPr>
                <w:sz w:val="24"/>
                <w:szCs w:val="24"/>
                <w:vertAlign w:val="superscript"/>
              </w:rPr>
              <w:t>1</w:t>
            </w:r>
            <w:r w:rsidRPr="00E17EDA">
              <w:rPr>
                <w:sz w:val="24"/>
                <w:szCs w:val="24"/>
                <w:vertAlign w:val="superscript"/>
              </w:rPr>
              <w:t> </w:t>
            </w:r>
            <w:r w:rsidR="005C6C07" w:rsidRPr="00E17EDA">
              <w:rPr>
                <w:sz w:val="24"/>
                <w:szCs w:val="24"/>
              </w:rPr>
              <w:t>panta pirmajā daļa), izņemot speciālās ierīces no vispārējās civiltiesiskās apgrozības;</w:t>
            </w:r>
          </w:p>
          <w:p w:rsidR="008D34EB" w:rsidRPr="00E17EDA" w:rsidRDefault="005C6C07" w:rsidP="00046B64">
            <w:pPr>
              <w:pStyle w:val="ListParagraph"/>
              <w:numPr>
                <w:ilvl w:val="0"/>
                <w:numId w:val="10"/>
              </w:numPr>
              <w:ind w:left="0" w:firstLine="283"/>
              <w:rPr>
                <w:sz w:val="24"/>
                <w:szCs w:val="24"/>
              </w:rPr>
            </w:pPr>
            <w:r w:rsidRPr="00E17EDA">
              <w:rPr>
                <w:sz w:val="24"/>
                <w:szCs w:val="24"/>
              </w:rPr>
              <w:t xml:space="preserve">ierobežojumus </w:t>
            </w:r>
            <w:r w:rsidR="008D34EB" w:rsidRPr="00E17EDA">
              <w:rPr>
                <w:sz w:val="24"/>
                <w:szCs w:val="24"/>
              </w:rPr>
              <w:t>speciālo ierīču komerciālajai apgrozībai (5.</w:t>
            </w:r>
            <w:r w:rsidR="008D34EB" w:rsidRPr="00E17EDA">
              <w:rPr>
                <w:sz w:val="24"/>
                <w:szCs w:val="24"/>
                <w:vertAlign w:val="superscript"/>
              </w:rPr>
              <w:t>1</w:t>
            </w:r>
            <w:r w:rsidR="00A56F4C" w:rsidRPr="00E17EDA">
              <w:rPr>
                <w:sz w:val="24"/>
                <w:szCs w:val="24"/>
                <w:vertAlign w:val="superscript"/>
              </w:rPr>
              <w:t> </w:t>
            </w:r>
            <w:r w:rsidR="008D34EB" w:rsidRPr="00E17EDA">
              <w:rPr>
                <w:sz w:val="24"/>
                <w:szCs w:val="24"/>
              </w:rPr>
              <w:t xml:space="preserve">panta </w:t>
            </w:r>
            <w:r w:rsidRPr="00E17EDA">
              <w:rPr>
                <w:sz w:val="24"/>
                <w:szCs w:val="24"/>
              </w:rPr>
              <w:t>otrā daļa) –</w:t>
            </w:r>
            <w:r w:rsidR="008D34EB" w:rsidRPr="00E17EDA">
              <w:rPr>
                <w:sz w:val="24"/>
                <w:szCs w:val="24"/>
              </w:rPr>
              <w:t xml:space="preserve"> speciālo ierīču apritei (glabāšanai, ražošanai, transportēšanai, realizēšanai, apkalpošanai), kā arī šo ierīču eksporta, importa, tranzīta un pārvietošanas licences saņemšanai ir nepieciešama speciālā atļauja (licence) komercdarbībai ar Nacionālajā stratēģiskas nozīmes preču un pakalpojumu sarakstā minētajām speciālajām ierīcēm;</w:t>
            </w:r>
          </w:p>
          <w:p w:rsidR="008D34EB" w:rsidRPr="00E17EDA" w:rsidRDefault="005C6C07" w:rsidP="00046B64">
            <w:pPr>
              <w:pStyle w:val="ListParagraph"/>
              <w:numPr>
                <w:ilvl w:val="0"/>
                <w:numId w:val="10"/>
              </w:numPr>
              <w:ind w:left="0" w:firstLine="283"/>
              <w:rPr>
                <w:sz w:val="24"/>
                <w:szCs w:val="24"/>
              </w:rPr>
            </w:pPr>
            <w:r w:rsidRPr="00E17EDA">
              <w:rPr>
                <w:sz w:val="24"/>
                <w:szCs w:val="24"/>
              </w:rPr>
              <w:t>sertificēšanu (5.</w:t>
            </w:r>
            <w:r w:rsidRPr="00E17EDA">
              <w:rPr>
                <w:sz w:val="24"/>
                <w:szCs w:val="24"/>
                <w:vertAlign w:val="superscript"/>
              </w:rPr>
              <w:t>1</w:t>
            </w:r>
            <w:r w:rsidR="00A56F4C" w:rsidRPr="00E17EDA">
              <w:rPr>
                <w:sz w:val="24"/>
                <w:szCs w:val="24"/>
                <w:vertAlign w:val="superscript"/>
              </w:rPr>
              <w:t> </w:t>
            </w:r>
            <w:r w:rsidRPr="00E17EDA">
              <w:rPr>
                <w:sz w:val="24"/>
                <w:szCs w:val="24"/>
              </w:rPr>
              <w:t xml:space="preserve">panta desmitā daļa) – </w:t>
            </w:r>
            <w:r w:rsidR="008D34EB" w:rsidRPr="00E17EDA">
              <w:rPr>
                <w:sz w:val="24"/>
                <w:szCs w:val="24"/>
              </w:rPr>
              <w:t>Latvijas Republikā atļauta tikai tādu speciālo ierīču aprite, kuras ir Ministru kabineta noteiktajā kārtībā sertificētas.</w:t>
            </w:r>
          </w:p>
          <w:p w:rsidR="008D34EB" w:rsidRPr="00E17EDA" w:rsidRDefault="008D34EB" w:rsidP="007C065A">
            <w:pPr>
              <w:autoSpaceDE w:val="0"/>
              <w:autoSpaceDN w:val="0"/>
              <w:adjustRightInd w:val="0"/>
              <w:rPr>
                <w:sz w:val="24"/>
                <w:szCs w:val="24"/>
              </w:rPr>
            </w:pPr>
            <w:r w:rsidRPr="00E17EDA">
              <w:rPr>
                <w:sz w:val="24"/>
                <w:szCs w:val="24"/>
              </w:rPr>
              <w:t>Speciālo ie</w:t>
            </w:r>
            <w:r w:rsidR="005C6C07" w:rsidRPr="00E17EDA">
              <w:rPr>
                <w:sz w:val="24"/>
                <w:szCs w:val="24"/>
              </w:rPr>
              <w:t xml:space="preserve">rīču aprites īpašais regulējums, proti, aizliegumi un aprites ierobežojumi, </w:t>
            </w:r>
            <w:r w:rsidRPr="00E17EDA">
              <w:rPr>
                <w:sz w:val="24"/>
                <w:szCs w:val="24"/>
              </w:rPr>
              <w:t>ir noteikts gan sabiedrības kopumā, gan katra indivīda interesēs. Šāds regulējums pieņemts, lai sekmētu drošību, pakļaujot kontrolei speciālo ierīču, kas ir operatīvās darbības līdzekļi, apriti, kā arī lai nodrošinātu personas privātās informācijas neaizskaramību.</w:t>
            </w:r>
            <w:r w:rsidR="00313A09" w:rsidRPr="00E17EDA">
              <w:rPr>
                <w:sz w:val="24"/>
                <w:szCs w:val="24"/>
              </w:rPr>
              <w:t xml:space="preserve"> Tādējādi speciālās ierīces veido atsevišķu stratēģiskas nozīmes preču kategoriju, kurai, ņemot vērā apdraudējuma raksturu</w:t>
            </w:r>
            <w:r w:rsidR="00B36FC0" w:rsidRPr="00E17EDA">
              <w:rPr>
                <w:sz w:val="24"/>
                <w:szCs w:val="24"/>
              </w:rPr>
              <w:t xml:space="preserve"> personas pamattiesībām, ir noteikti īpaši aprites nosacījumi, </w:t>
            </w:r>
            <w:r w:rsidR="005C6C07" w:rsidRPr="00E17EDA">
              <w:rPr>
                <w:sz w:val="24"/>
                <w:szCs w:val="24"/>
              </w:rPr>
              <w:t>ar ko speciālās ierīces atšķiras no citām stratēģiskas nozīmes preču kategorijām.</w:t>
            </w:r>
          </w:p>
          <w:p w:rsidR="008D34EB" w:rsidRPr="00E17EDA" w:rsidRDefault="008D34EB" w:rsidP="00101B1C">
            <w:pPr>
              <w:autoSpaceDE w:val="0"/>
              <w:autoSpaceDN w:val="0"/>
              <w:adjustRightInd w:val="0"/>
              <w:rPr>
                <w:sz w:val="24"/>
                <w:szCs w:val="24"/>
              </w:rPr>
            </w:pPr>
            <w:r w:rsidRPr="00E17EDA">
              <w:rPr>
                <w:sz w:val="24"/>
                <w:szCs w:val="24"/>
              </w:rPr>
              <w:t>Ņemot vērā to, ka speciālo ierīču aprites aizlieguma pārkāpuma rezultātā tiek būtiski apdraudētas gan personu privātās dzīves neaizskaramības intereses, gan operatīvās darbības mērķu sasniegšanas intereses, kopš 2009.</w:t>
            </w:r>
            <w:r w:rsidR="005C6C07" w:rsidRPr="00E17EDA">
              <w:rPr>
                <w:sz w:val="24"/>
                <w:szCs w:val="24"/>
              </w:rPr>
              <w:t> </w:t>
            </w:r>
            <w:r w:rsidRPr="00E17EDA">
              <w:rPr>
                <w:sz w:val="24"/>
                <w:szCs w:val="24"/>
              </w:rPr>
              <w:t>gada 14.</w:t>
            </w:r>
            <w:r w:rsidR="005C6C07" w:rsidRPr="00E17EDA">
              <w:rPr>
                <w:sz w:val="24"/>
                <w:szCs w:val="24"/>
              </w:rPr>
              <w:t> </w:t>
            </w:r>
            <w:r w:rsidRPr="00E17EDA">
              <w:rPr>
                <w:sz w:val="24"/>
                <w:szCs w:val="24"/>
              </w:rPr>
              <w:t xml:space="preserve">oktobra par speciālo ierīču aprites </w:t>
            </w:r>
            <w:r w:rsidRPr="00E17EDA">
              <w:rPr>
                <w:sz w:val="24"/>
                <w:szCs w:val="24"/>
              </w:rPr>
              <w:lastRenderedPageBreak/>
              <w:t>aizlieguma pārkāpšanu ir paredzēta atbildība Krimināllikuma 237.</w:t>
            </w:r>
            <w:r w:rsidRPr="00E17EDA">
              <w:rPr>
                <w:sz w:val="24"/>
                <w:szCs w:val="24"/>
                <w:vertAlign w:val="superscript"/>
              </w:rPr>
              <w:t>1</w:t>
            </w:r>
            <w:r w:rsidR="005C6C07" w:rsidRPr="00E17EDA">
              <w:rPr>
                <w:sz w:val="24"/>
                <w:szCs w:val="24"/>
                <w:vertAlign w:val="superscript"/>
              </w:rPr>
              <w:t> </w:t>
            </w:r>
            <w:r w:rsidR="005C6C07" w:rsidRPr="00E17EDA">
              <w:rPr>
                <w:sz w:val="24"/>
                <w:szCs w:val="24"/>
              </w:rPr>
              <w:t>panta otrajā daļā</w:t>
            </w:r>
            <w:r w:rsidRPr="00E17EDA">
              <w:rPr>
                <w:sz w:val="24"/>
                <w:szCs w:val="24"/>
              </w:rPr>
              <w:t>.</w:t>
            </w:r>
            <w:r w:rsidR="005C6C07" w:rsidRPr="00E17EDA">
              <w:rPr>
                <w:sz w:val="24"/>
                <w:szCs w:val="24"/>
              </w:rPr>
              <w:t xml:space="preserve"> </w:t>
            </w:r>
            <w:r w:rsidR="004B3FB7" w:rsidRPr="00E17EDA">
              <w:rPr>
                <w:sz w:val="24"/>
                <w:szCs w:val="24"/>
              </w:rPr>
              <w:t>Kaut gan Kriminālprocesa likums neparedz obligātas ekspertīzes veikšanu personas saukšanai pie kriminālatbildības, tomēr, lai noteiktu, ka priekšmets ir Kriminālprocesa likuma 237.</w:t>
            </w:r>
            <w:r w:rsidR="004B3FB7" w:rsidRPr="00E17EDA">
              <w:rPr>
                <w:sz w:val="24"/>
                <w:szCs w:val="24"/>
                <w:vertAlign w:val="superscript"/>
              </w:rPr>
              <w:t>1</w:t>
            </w:r>
            <w:r w:rsidR="00011D89" w:rsidRPr="00E17EDA">
              <w:rPr>
                <w:sz w:val="24"/>
                <w:szCs w:val="24"/>
              </w:rPr>
              <w:t> </w:t>
            </w:r>
            <w:r w:rsidR="004B3FB7" w:rsidRPr="00E17EDA">
              <w:rPr>
                <w:sz w:val="24"/>
                <w:szCs w:val="24"/>
              </w:rPr>
              <w:t>panta otrās daļas dispozīcijā ietvertais noziedzīga nodarījuma priekšmets</w:t>
            </w:r>
            <w:r w:rsidR="00CA6124">
              <w:rPr>
                <w:sz w:val="24"/>
                <w:szCs w:val="24"/>
              </w:rPr>
              <w:t>, proti, speciālā ierīce,</w:t>
            </w:r>
            <w:r w:rsidR="004B3FB7" w:rsidRPr="00E17EDA">
              <w:rPr>
                <w:sz w:val="24"/>
                <w:szCs w:val="24"/>
              </w:rPr>
              <w:t xml:space="preserve"> nepieciešams noteikt ekspertīzi saskaņā ar Kriminālp</w:t>
            </w:r>
            <w:r w:rsidR="00011D89" w:rsidRPr="00E17EDA">
              <w:rPr>
                <w:sz w:val="24"/>
                <w:szCs w:val="24"/>
              </w:rPr>
              <w:t>rocesa likuma 194. </w:t>
            </w:r>
            <w:r w:rsidR="004B3FB7" w:rsidRPr="00E17EDA">
              <w:rPr>
                <w:sz w:val="24"/>
                <w:szCs w:val="24"/>
              </w:rPr>
              <w:t>pantu. Savukārt</w:t>
            </w:r>
            <w:r w:rsidR="00CA6124">
              <w:rPr>
                <w:sz w:val="24"/>
                <w:szCs w:val="24"/>
              </w:rPr>
              <w:t>,</w:t>
            </w:r>
            <w:r w:rsidR="004B3FB7" w:rsidRPr="00E17EDA">
              <w:rPr>
                <w:sz w:val="24"/>
                <w:szCs w:val="24"/>
              </w:rPr>
              <w:t xml:space="preserve"> ņemot vērā Stratēģiskas nozīmes preču aprites likuma 5.</w:t>
            </w:r>
            <w:r w:rsidR="004B3FB7" w:rsidRPr="00E17EDA">
              <w:rPr>
                <w:sz w:val="24"/>
                <w:szCs w:val="24"/>
                <w:vertAlign w:val="superscript"/>
              </w:rPr>
              <w:t>1</w:t>
            </w:r>
            <w:r w:rsidR="00011D89" w:rsidRPr="00E17EDA">
              <w:rPr>
                <w:sz w:val="24"/>
                <w:szCs w:val="24"/>
              </w:rPr>
              <w:t> </w:t>
            </w:r>
            <w:r w:rsidR="004B3FB7" w:rsidRPr="00E17EDA">
              <w:rPr>
                <w:sz w:val="24"/>
                <w:szCs w:val="24"/>
              </w:rPr>
              <w:t>panta desmito daļu</w:t>
            </w:r>
            <w:r w:rsidR="00CA6124">
              <w:rPr>
                <w:sz w:val="24"/>
                <w:szCs w:val="24"/>
              </w:rPr>
              <w:t>,</w:t>
            </w:r>
            <w:r w:rsidR="004B3FB7" w:rsidRPr="00E17EDA">
              <w:rPr>
                <w:sz w:val="24"/>
                <w:szCs w:val="24"/>
              </w:rPr>
              <w:t xml:space="preserve"> iestāde, kas šādos gadījumos veic ekspertīzi, ir Drošības policija</w:t>
            </w:r>
            <w:r w:rsidRPr="00E17EDA">
              <w:rPr>
                <w:sz w:val="24"/>
                <w:szCs w:val="24"/>
              </w:rPr>
              <w:t xml:space="preserve">. Ekspertīzes veikšanas laikā Drošības policija </w:t>
            </w:r>
            <w:r w:rsidR="003D4D13" w:rsidRPr="00E17EDA">
              <w:rPr>
                <w:sz w:val="24"/>
                <w:szCs w:val="24"/>
              </w:rPr>
              <w:t xml:space="preserve">jau šobrīd </w:t>
            </w:r>
            <w:r w:rsidRPr="00E17EDA">
              <w:rPr>
                <w:sz w:val="24"/>
                <w:szCs w:val="24"/>
              </w:rPr>
              <w:t>nodrošina speciālo ierīču glabāšanu telpās, kas atbilst normatīva</w:t>
            </w:r>
            <w:r w:rsidR="00945173" w:rsidRPr="00E17EDA">
              <w:rPr>
                <w:sz w:val="24"/>
                <w:szCs w:val="24"/>
              </w:rPr>
              <w:t>jos aktos noteiktajām prasībām.</w:t>
            </w:r>
          </w:p>
          <w:p w:rsidR="00323BBE" w:rsidRPr="00E17EDA" w:rsidRDefault="008D34EB" w:rsidP="00323BBE">
            <w:pPr>
              <w:autoSpaceDE w:val="0"/>
              <w:autoSpaceDN w:val="0"/>
              <w:adjustRightInd w:val="0"/>
              <w:rPr>
                <w:sz w:val="24"/>
                <w:szCs w:val="24"/>
              </w:rPr>
            </w:pPr>
            <w:r w:rsidRPr="00E17EDA">
              <w:rPr>
                <w:sz w:val="24"/>
                <w:szCs w:val="24"/>
              </w:rPr>
              <w:t>Kriminālprocesa likuma 239.</w:t>
            </w:r>
            <w:r w:rsidR="00101B1C" w:rsidRPr="00E17EDA">
              <w:rPr>
                <w:sz w:val="24"/>
                <w:szCs w:val="24"/>
              </w:rPr>
              <w:t> </w:t>
            </w:r>
            <w:r w:rsidRPr="00E17EDA">
              <w:rPr>
                <w:sz w:val="24"/>
                <w:szCs w:val="24"/>
              </w:rPr>
              <w:t xml:space="preserve">panta regulējums paredz, </w:t>
            </w:r>
            <w:proofErr w:type="gramStart"/>
            <w:r w:rsidRPr="00E17EDA">
              <w:rPr>
                <w:sz w:val="24"/>
                <w:szCs w:val="24"/>
              </w:rPr>
              <w:t>ka lietiskos pierādījumus, kuru apgrozība aizliegta ar likumu, ar procesa virzītāja lēmumu nodod atti</w:t>
            </w:r>
            <w:r w:rsidR="008A6802" w:rsidRPr="00E17EDA">
              <w:rPr>
                <w:sz w:val="24"/>
                <w:szCs w:val="24"/>
              </w:rPr>
              <w:t>ecīgajām iestādēm</w:t>
            </w:r>
            <w:proofErr w:type="gramEnd"/>
            <w:r w:rsidR="008A6802" w:rsidRPr="00E17EDA">
              <w:rPr>
                <w:sz w:val="24"/>
                <w:szCs w:val="24"/>
              </w:rPr>
              <w:t xml:space="preserve"> vai iznīcina.</w:t>
            </w:r>
            <w:r w:rsidR="00323BBE" w:rsidRPr="00E17EDA">
              <w:rPr>
                <w:sz w:val="24"/>
                <w:szCs w:val="24"/>
              </w:rPr>
              <w:t xml:space="preserve"> Kārtība, kādā tiek organizēta rīcība ar lietiskajiem pierādījumiem, kurus nevar uzglabāt kopā ar pārējiem krimināllietas materiāliem, t.sk. lietiskajiem pierādījumiem, kuru apgrozība aizliegta ar likumu, nosaka Ministru kabineta 2011. gada 27. decembra noteikumi Nr.</w:t>
            </w:r>
            <w:r w:rsidR="009043BF" w:rsidRPr="00E17EDA">
              <w:rPr>
                <w:sz w:val="24"/>
                <w:szCs w:val="24"/>
              </w:rPr>
              <w:t> </w:t>
            </w:r>
            <w:r w:rsidR="00323BBE" w:rsidRPr="00E17EDA">
              <w:rPr>
                <w:sz w:val="24"/>
                <w:szCs w:val="24"/>
              </w:rPr>
              <w:t xml:space="preserve">1025 “Noteikumi par rīcību ar lietiskajiem pierādījumiem un arestēto mantu”. </w:t>
            </w:r>
            <w:proofErr w:type="gramStart"/>
            <w:r w:rsidR="00323BBE" w:rsidRPr="00E17EDA">
              <w:rPr>
                <w:sz w:val="24"/>
                <w:szCs w:val="24"/>
              </w:rPr>
              <w:t>Šo noteikumu 7.</w:t>
            </w:r>
            <w:r w:rsidR="009043BF" w:rsidRPr="00E17EDA">
              <w:rPr>
                <w:sz w:val="24"/>
                <w:szCs w:val="24"/>
              </w:rPr>
              <w:t> </w:t>
            </w:r>
            <w:r w:rsidR="00323BBE" w:rsidRPr="00E17EDA">
              <w:rPr>
                <w:sz w:val="24"/>
                <w:szCs w:val="24"/>
              </w:rPr>
              <w:t>punktā uzskatāmā veidā apkopotas to lietisko pierādījumu</w:t>
            </w:r>
            <w:proofErr w:type="gramEnd"/>
            <w:r w:rsidR="00323BBE" w:rsidRPr="00E17EDA">
              <w:rPr>
                <w:sz w:val="24"/>
                <w:szCs w:val="24"/>
              </w:rPr>
              <w:t>, kurus nevar uzglabāt kopā ar pārējiem krimināllietas materiāliem, kategorijas un prasības šādu lietisko pierādījumu glabāšanai. Tomēr starp minētajām kategorijām nav izceltas speciālās ierīces, un atšķirīgā tiesiskā regulējuma dēļ tās neiederas arī nevienā citā no uzskaitītajām kategorijām. Tāpat minētajos noteikumos nav norādīta iestāde, kurai glabāšanā jānodod kriminālprocesa ietvaros atrastās un izņemtās speciālās ierīces, kuru apgrozība aizliegta ar likumu, lai varētu tikt izpildītas Kriminālprocesa likuma 239. panta prasības.</w:t>
            </w:r>
          </w:p>
          <w:p w:rsidR="00E964AE" w:rsidRPr="00E17EDA" w:rsidRDefault="00323BBE" w:rsidP="003118A8">
            <w:pPr>
              <w:autoSpaceDE w:val="0"/>
              <w:autoSpaceDN w:val="0"/>
              <w:adjustRightInd w:val="0"/>
              <w:rPr>
                <w:sz w:val="24"/>
                <w:szCs w:val="24"/>
              </w:rPr>
            </w:pPr>
            <w:r w:rsidRPr="00E17EDA">
              <w:rPr>
                <w:sz w:val="24"/>
                <w:szCs w:val="24"/>
              </w:rPr>
              <w:t>Analizējot pastāvošo praksi, Drošības policija ir secinājusi</w:t>
            </w:r>
            <w:r w:rsidR="00E964AE" w:rsidRPr="00E17EDA">
              <w:rPr>
                <w:sz w:val="24"/>
                <w:szCs w:val="24"/>
              </w:rPr>
              <w:t>, ka kriminālprocesu ietvaros atrastās un</w:t>
            </w:r>
            <w:proofErr w:type="gramStart"/>
            <w:r w:rsidR="00E964AE" w:rsidRPr="00E17EDA">
              <w:rPr>
                <w:sz w:val="24"/>
                <w:szCs w:val="24"/>
              </w:rPr>
              <w:t xml:space="preserve">  </w:t>
            </w:r>
            <w:proofErr w:type="gramEnd"/>
            <w:r w:rsidR="00E964AE" w:rsidRPr="00E17EDA">
              <w:rPr>
                <w:sz w:val="24"/>
                <w:szCs w:val="24"/>
              </w:rPr>
              <w:t>izņemtās speciālās ier</w:t>
            </w:r>
            <w:r w:rsidRPr="00E17EDA">
              <w:rPr>
                <w:sz w:val="24"/>
                <w:szCs w:val="24"/>
              </w:rPr>
              <w:t>īces</w:t>
            </w:r>
            <w:r w:rsidR="00E964AE" w:rsidRPr="00E17EDA">
              <w:rPr>
                <w:sz w:val="24"/>
                <w:szCs w:val="24"/>
              </w:rPr>
              <w:t xml:space="preserve"> </w:t>
            </w:r>
            <w:r w:rsidRPr="00E17EDA">
              <w:rPr>
                <w:sz w:val="24"/>
                <w:szCs w:val="24"/>
              </w:rPr>
              <w:t xml:space="preserve">vairumā gadījumu ir </w:t>
            </w:r>
            <w:r w:rsidR="00E964AE" w:rsidRPr="00E17EDA">
              <w:rPr>
                <w:sz w:val="24"/>
                <w:szCs w:val="24"/>
              </w:rPr>
              <w:t xml:space="preserve">nesertificētas, līdz ar to uzskatāmas par lietiskajiem pierādījumiem, kuru apgrozība aizliegta ar likumu. Tomēr minētos apstākļus var </w:t>
            </w:r>
            <w:r w:rsidR="00DD16D0" w:rsidRPr="00E17EDA">
              <w:rPr>
                <w:sz w:val="24"/>
                <w:szCs w:val="24"/>
              </w:rPr>
              <w:t>konstatēt</w:t>
            </w:r>
            <w:r w:rsidR="00E964AE" w:rsidRPr="00E17EDA">
              <w:rPr>
                <w:sz w:val="24"/>
                <w:szCs w:val="24"/>
              </w:rPr>
              <w:t xml:space="preserve"> tikai Drošības policijas nozīmēts eksperts, līdz ar to procesa virzītājs par turpmāko rīcību var lemt tikai pēc eksperta atzinuma saņemšanas.</w:t>
            </w:r>
            <w:r w:rsidRPr="00E17EDA">
              <w:rPr>
                <w:sz w:val="24"/>
                <w:szCs w:val="24"/>
              </w:rPr>
              <w:t xml:space="preserve"> Tā kā normatīvajos aktos nav precīzi noregulēts, kurai institūcijai glabāšanā nododamas speciālās ierīces, šobrīd ir izveidojusies prakse, ka atsevišķos gadījumos </w:t>
            </w:r>
            <w:r w:rsidR="00DD16D0" w:rsidRPr="00E17EDA">
              <w:rPr>
                <w:sz w:val="24"/>
                <w:szCs w:val="24"/>
              </w:rPr>
              <w:t xml:space="preserve">līdz galīgā nolēmuma pieņemšanai </w:t>
            </w:r>
            <w:r w:rsidRPr="00E17EDA">
              <w:rPr>
                <w:sz w:val="24"/>
                <w:szCs w:val="24"/>
              </w:rPr>
              <w:t xml:space="preserve">speciālās ierīces tiek nodotas glabāšanai Drošības policijā, savukārt citos gadījumos to glabāšanu nodrošina procesa virzītājs. Šāda situācija samazina iespēju nodrošināt efektīvu kontroli pār </w:t>
            </w:r>
            <w:r w:rsidR="00B06C4B" w:rsidRPr="00E17EDA">
              <w:rPr>
                <w:sz w:val="24"/>
                <w:szCs w:val="24"/>
              </w:rPr>
              <w:t>speciālajām ierīcēm</w:t>
            </w:r>
            <w:r w:rsidRPr="00E17EDA">
              <w:rPr>
                <w:sz w:val="24"/>
                <w:szCs w:val="24"/>
              </w:rPr>
              <w:t>, kas ir viens no Drošības policijas veicamiem uzdevumiem.</w:t>
            </w:r>
          </w:p>
          <w:p w:rsidR="00323BBE" w:rsidRPr="00E17EDA" w:rsidRDefault="00323BBE" w:rsidP="003118A8">
            <w:pPr>
              <w:autoSpaceDE w:val="0"/>
              <w:autoSpaceDN w:val="0"/>
              <w:adjustRightInd w:val="0"/>
              <w:rPr>
                <w:sz w:val="24"/>
                <w:szCs w:val="24"/>
              </w:rPr>
            </w:pPr>
            <w:r w:rsidRPr="00E17EDA">
              <w:rPr>
                <w:sz w:val="24"/>
                <w:szCs w:val="24"/>
              </w:rPr>
              <w:t>Lai Drošības policija varētu nodrošināt efektīvu kontroli pār speciālajām ierīcēm atbilstoši normatīvajos aktos noteiktajām prasībām, Ministru kabineta 2011. gada 27. decembra noteikumos “Noteikumi par rīcību ar lietiskajiem pierādījumiem un arestēto mantu” ir jāparedz, ka kriminālprocesa ietvaros izņemtās speciālās ierīces līdz to nodošanai ekspertam tiek glabātas telpās, kas atbilst prasībām darbam ar valsts noslēpuma objektiem,</w:t>
            </w:r>
            <w:r w:rsidR="00B06C4B" w:rsidRPr="00E17EDA">
              <w:rPr>
                <w:sz w:val="24"/>
                <w:szCs w:val="24"/>
              </w:rPr>
              <w:t xml:space="preserve"> vai arī nekavējoties tiek nodotas Drošības policijai. Tāpat jāparedz, ka p</w:t>
            </w:r>
            <w:r w:rsidRPr="00E17EDA">
              <w:rPr>
                <w:sz w:val="24"/>
                <w:szCs w:val="24"/>
              </w:rPr>
              <w:t>ēc ekspertīzes veikšanas šādas ierīces glabā Drošības policijā.</w:t>
            </w:r>
          </w:p>
          <w:p w:rsidR="008D34EB" w:rsidRPr="00E17EDA" w:rsidRDefault="00323BBE" w:rsidP="00B33B03">
            <w:pPr>
              <w:autoSpaceDE w:val="0"/>
              <w:autoSpaceDN w:val="0"/>
              <w:adjustRightInd w:val="0"/>
              <w:rPr>
                <w:sz w:val="24"/>
                <w:szCs w:val="24"/>
              </w:rPr>
            </w:pPr>
            <w:r w:rsidRPr="00E17EDA">
              <w:rPr>
                <w:sz w:val="24"/>
                <w:szCs w:val="24"/>
              </w:rPr>
              <w:lastRenderedPageBreak/>
              <w:t>Jānorāda, ka š</w:t>
            </w:r>
            <w:r w:rsidR="00876D96" w:rsidRPr="00E17EDA">
              <w:rPr>
                <w:sz w:val="24"/>
                <w:szCs w:val="24"/>
              </w:rPr>
              <w:t>o noteikumu 3.</w:t>
            </w:r>
            <w:r w:rsidR="009043BF" w:rsidRPr="00E17EDA">
              <w:rPr>
                <w:sz w:val="24"/>
                <w:szCs w:val="24"/>
              </w:rPr>
              <w:t> </w:t>
            </w:r>
            <w:r w:rsidR="00876D96" w:rsidRPr="00E17EDA">
              <w:rPr>
                <w:sz w:val="24"/>
                <w:szCs w:val="24"/>
              </w:rPr>
              <w:t xml:space="preserve">punkts </w:t>
            </w:r>
            <w:r w:rsidRPr="00E17EDA">
              <w:rPr>
                <w:sz w:val="24"/>
                <w:szCs w:val="24"/>
              </w:rPr>
              <w:t xml:space="preserve">jau šobrīd </w:t>
            </w:r>
            <w:r w:rsidR="00876D96" w:rsidRPr="00E17EDA">
              <w:rPr>
                <w:sz w:val="24"/>
                <w:szCs w:val="24"/>
              </w:rPr>
              <w:t xml:space="preserve">vispārīgi paredz, ka </w:t>
            </w:r>
            <w:r w:rsidR="005264E2" w:rsidRPr="00E17EDA">
              <w:rPr>
                <w:sz w:val="24"/>
                <w:szCs w:val="24"/>
              </w:rPr>
              <w:t>l</w:t>
            </w:r>
            <w:r w:rsidR="00876D96" w:rsidRPr="00E17EDA">
              <w:rPr>
                <w:sz w:val="24"/>
                <w:szCs w:val="24"/>
              </w:rPr>
              <w:t>ietisko pierādījumu glabā, realizē vai iznīcina saskaņā ar attiecīgo jomu regulējošiem normatīvajiem aktiem</w:t>
            </w:r>
            <w:r w:rsidRPr="00E17EDA">
              <w:rPr>
                <w:sz w:val="24"/>
                <w:szCs w:val="24"/>
              </w:rPr>
              <w:t xml:space="preserve">. </w:t>
            </w:r>
            <w:r w:rsidR="00B33B03" w:rsidRPr="00E17EDA">
              <w:rPr>
                <w:sz w:val="24"/>
                <w:szCs w:val="24"/>
              </w:rPr>
              <w:t xml:space="preserve">Speciālo ierīču uzglabāšanas princips ir </w:t>
            </w:r>
            <w:proofErr w:type="gramStart"/>
            <w:r w:rsidR="00B33B03" w:rsidRPr="00E17EDA">
              <w:rPr>
                <w:sz w:val="24"/>
                <w:szCs w:val="24"/>
              </w:rPr>
              <w:t>noteikts Ministru kabineta 2009. gada 18. septembra noteikumu</w:t>
            </w:r>
            <w:proofErr w:type="gramEnd"/>
            <w:r w:rsidR="00B33B03" w:rsidRPr="00E17EDA">
              <w:rPr>
                <w:sz w:val="24"/>
                <w:szCs w:val="24"/>
              </w:rPr>
              <w:t xml:space="preserve"> Nr.</w:t>
            </w:r>
            <w:r w:rsidR="009043BF" w:rsidRPr="00E17EDA">
              <w:rPr>
                <w:sz w:val="24"/>
                <w:szCs w:val="24"/>
              </w:rPr>
              <w:t> </w:t>
            </w:r>
            <w:r w:rsidR="00B33B03" w:rsidRPr="00E17EDA">
              <w:rPr>
                <w:sz w:val="24"/>
                <w:szCs w:val="24"/>
              </w:rPr>
              <w:t>926 “Noteikumi par sevišķā veidā veicamiem operatīvās darbības pasākumiem speciāli radītu vai pielāgotu iekārtu, ierīču vai instrumentu un to komponentu apriti” 31.</w:t>
            </w:r>
            <w:r w:rsidR="009043BF" w:rsidRPr="00E17EDA">
              <w:rPr>
                <w:sz w:val="24"/>
                <w:szCs w:val="24"/>
              </w:rPr>
              <w:t> </w:t>
            </w:r>
            <w:r w:rsidR="00B33B03" w:rsidRPr="00E17EDA">
              <w:rPr>
                <w:sz w:val="24"/>
                <w:szCs w:val="24"/>
              </w:rPr>
              <w:t xml:space="preserve">punktā. Proti, speciālās ierīces atļauts glabāt tikai “īpaši ierīkotās telpās, kuras atbilst prasībām darbam ar valsts noslēpuma objektiem”. Tādējādi jau šobrīd procesa virzītājam ir jānodrošina speciālo ierīču glabāšana tam speciāli pielāgotās telpās, kas nerada papildus administratīvo slogu. Gadījumos, ja minēto prasību nav iespējams ievērot, speciālā ierīce nekavējoties nogādājama Drošības policijā, kas jau šobrīd </w:t>
            </w:r>
            <w:r w:rsidR="005264E2" w:rsidRPr="00E17EDA">
              <w:rPr>
                <w:sz w:val="24"/>
                <w:szCs w:val="24"/>
              </w:rPr>
              <w:t>nodrošina</w:t>
            </w:r>
            <w:r w:rsidR="00B33B03" w:rsidRPr="00E17EDA">
              <w:rPr>
                <w:sz w:val="24"/>
                <w:szCs w:val="24"/>
              </w:rPr>
              <w:t xml:space="preserve"> speciālo ierīču glabāšanu atbilstoši normatīvajos aktos noteiktajai kārtībai.</w:t>
            </w:r>
          </w:p>
          <w:p w:rsidR="008F34BD" w:rsidRDefault="00F25BDA">
            <w:pPr>
              <w:autoSpaceDE w:val="0"/>
              <w:autoSpaceDN w:val="0"/>
              <w:adjustRightInd w:val="0"/>
              <w:rPr>
                <w:sz w:val="24"/>
                <w:szCs w:val="24"/>
              </w:rPr>
            </w:pPr>
            <w:r>
              <w:rPr>
                <w:sz w:val="24"/>
                <w:szCs w:val="24"/>
              </w:rPr>
              <w:t>Vienlaikus</w:t>
            </w:r>
            <w:r w:rsidR="008F34BD">
              <w:rPr>
                <w:sz w:val="24"/>
                <w:szCs w:val="24"/>
              </w:rPr>
              <w:t xml:space="preserve">, ņemot vērā to, ka </w:t>
            </w:r>
            <w:r w:rsidRPr="00E17EDA">
              <w:rPr>
                <w:sz w:val="24"/>
                <w:szCs w:val="24"/>
              </w:rPr>
              <w:t>Ministru kabineta 2007. gada 25. septembra noteikumu Nr. 645 “Noteikumi par Nacionālo stratēģiskas nozīmes preču un pakalpojumu sarakstu”</w:t>
            </w:r>
            <w:r w:rsidR="008F34BD">
              <w:rPr>
                <w:sz w:val="24"/>
                <w:szCs w:val="24"/>
              </w:rPr>
              <w:t xml:space="preserve"> pielikuma sadaļā 10A905 pie iekārtām un ierīcēm, kas speciāli radītas vai pielāgotas sevišķā veidā veicamiem operatīvās darbības pasākumiem ir norādītas arī iekārtas un ierīces operatīvās darbības pasākumu traucēšanai, lai nodrošinātu tiesību normu skaidru un viennozīmīgu piemērošanu, projektā nepiecie</w:t>
            </w:r>
            <w:r w:rsidR="00721653">
              <w:rPr>
                <w:sz w:val="24"/>
                <w:szCs w:val="24"/>
              </w:rPr>
              <w:t>šams skaidri noteikt, ka projektā iekļautais tiesiskais regulējums ir attiecināms arī uz iekārtām un ierīcēm, kas speciāli radītas vai pielāgotas operatīvās darbības pasākumu traucēšanai.</w:t>
            </w:r>
            <w:r w:rsidR="008F34BD">
              <w:rPr>
                <w:sz w:val="24"/>
                <w:szCs w:val="24"/>
              </w:rPr>
              <w:t xml:space="preserve">  </w:t>
            </w:r>
            <w:r w:rsidRPr="00E17EDA">
              <w:rPr>
                <w:sz w:val="24"/>
                <w:szCs w:val="24"/>
              </w:rPr>
              <w:t xml:space="preserve"> </w:t>
            </w:r>
          </w:p>
          <w:p w:rsidR="00A80551" w:rsidRPr="00E17EDA" w:rsidRDefault="00FB1F80" w:rsidP="005264E2">
            <w:pPr>
              <w:autoSpaceDE w:val="0"/>
              <w:autoSpaceDN w:val="0"/>
              <w:adjustRightInd w:val="0"/>
              <w:rPr>
                <w:sz w:val="24"/>
                <w:szCs w:val="24"/>
              </w:rPr>
            </w:pPr>
            <w:r w:rsidRPr="00E17EDA">
              <w:rPr>
                <w:sz w:val="24"/>
                <w:szCs w:val="24"/>
              </w:rPr>
              <w:t>Noteikumu projekts neatstāj ietekmi uz rīcību ar speciālajām ierīcēm, kas atzītas par lietiskajiem pierādījumiem, pēc galīgā nolēmuma pieņemšanas, kas arī turpmāk tiks organizēt</w:t>
            </w:r>
            <w:r w:rsidR="005264E2" w:rsidRPr="00E17EDA">
              <w:rPr>
                <w:sz w:val="24"/>
                <w:szCs w:val="24"/>
              </w:rPr>
              <w:t>a</w:t>
            </w:r>
            <w:r w:rsidRPr="00E17EDA">
              <w:rPr>
                <w:sz w:val="24"/>
                <w:szCs w:val="24"/>
              </w:rPr>
              <w:t xml:space="preserve"> </w:t>
            </w:r>
            <w:r w:rsidR="005264E2" w:rsidRPr="00E17EDA">
              <w:rPr>
                <w:sz w:val="24"/>
                <w:szCs w:val="24"/>
              </w:rPr>
              <w:t xml:space="preserve">normatīvajos aktos noteiktajā </w:t>
            </w:r>
            <w:r w:rsidRPr="00E17EDA">
              <w:rPr>
                <w:sz w:val="24"/>
                <w:szCs w:val="24"/>
              </w:rPr>
              <w:t>kārtībā.</w:t>
            </w:r>
          </w:p>
        </w:tc>
      </w:tr>
      <w:tr w:rsidR="00E17EDA" w:rsidRPr="00E17EDA" w:rsidTr="00B3614A">
        <w:trPr>
          <w:trHeight w:val="465"/>
          <w:tblCellSpacing w:w="15" w:type="dxa"/>
        </w:trPr>
        <w:tc>
          <w:tcPr>
            <w:tcW w:w="444" w:type="pct"/>
            <w:tcBorders>
              <w:top w:val="outset" w:sz="6" w:space="0" w:color="auto"/>
              <w:bottom w:val="outset" w:sz="6" w:space="0" w:color="auto"/>
              <w:right w:val="outset" w:sz="6" w:space="0" w:color="auto"/>
            </w:tcBorders>
          </w:tcPr>
          <w:p w:rsidR="008D34EB" w:rsidRPr="00E17EDA" w:rsidRDefault="008D34EB" w:rsidP="00EC35ED">
            <w:pPr>
              <w:spacing w:before="100" w:beforeAutospacing="1" w:after="100" w:afterAutospacing="1"/>
              <w:ind w:firstLine="0"/>
              <w:rPr>
                <w:sz w:val="24"/>
                <w:szCs w:val="24"/>
                <w:lang w:eastAsia="lv-LV"/>
              </w:rPr>
            </w:pPr>
          </w:p>
        </w:tc>
        <w:tc>
          <w:tcPr>
            <w:tcW w:w="878"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Projekta izstrādē iesaistītās institūcijas</w:t>
            </w:r>
          </w:p>
        </w:tc>
        <w:tc>
          <w:tcPr>
            <w:tcW w:w="3617" w:type="pct"/>
            <w:tcBorders>
              <w:top w:val="outset" w:sz="6" w:space="0" w:color="auto"/>
              <w:left w:val="outset" w:sz="6" w:space="0" w:color="auto"/>
              <w:bottom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Drošības policija.</w:t>
            </w:r>
          </w:p>
        </w:tc>
      </w:tr>
      <w:tr w:rsidR="00E17EDA" w:rsidRPr="00E17EDA" w:rsidTr="00B3614A">
        <w:trPr>
          <w:tblCellSpacing w:w="15" w:type="dxa"/>
        </w:trPr>
        <w:tc>
          <w:tcPr>
            <w:tcW w:w="444" w:type="pct"/>
            <w:tcBorders>
              <w:top w:val="outset" w:sz="6" w:space="0" w:color="auto"/>
              <w:bottom w:val="outset" w:sz="6" w:space="0" w:color="auto"/>
              <w:right w:val="outset" w:sz="6" w:space="0" w:color="auto"/>
            </w:tcBorders>
          </w:tcPr>
          <w:p w:rsidR="008D34EB" w:rsidRPr="00E17EDA" w:rsidRDefault="008D34EB" w:rsidP="00862D0F">
            <w:pPr>
              <w:spacing w:before="100" w:beforeAutospacing="1" w:after="100" w:afterAutospacing="1"/>
              <w:ind w:firstLine="0"/>
              <w:jc w:val="center"/>
              <w:rPr>
                <w:sz w:val="24"/>
                <w:szCs w:val="24"/>
                <w:lang w:eastAsia="lv-LV"/>
              </w:rPr>
            </w:pPr>
            <w:r w:rsidRPr="00E17EDA">
              <w:rPr>
                <w:sz w:val="24"/>
                <w:szCs w:val="24"/>
                <w:lang w:eastAsia="lv-LV"/>
              </w:rPr>
              <w:t>4.</w:t>
            </w:r>
          </w:p>
        </w:tc>
        <w:tc>
          <w:tcPr>
            <w:tcW w:w="878"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Cita informācija</w:t>
            </w:r>
          </w:p>
        </w:tc>
        <w:tc>
          <w:tcPr>
            <w:tcW w:w="3617" w:type="pct"/>
            <w:tcBorders>
              <w:top w:val="outset" w:sz="6" w:space="0" w:color="auto"/>
              <w:left w:val="outset" w:sz="6" w:space="0" w:color="auto"/>
              <w:bottom w:val="outset" w:sz="6" w:space="0" w:color="auto"/>
            </w:tcBorders>
          </w:tcPr>
          <w:p w:rsidR="008D34EB" w:rsidRPr="00E17EDA" w:rsidRDefault="008D34EB" w:rsidP="00862D0F">
            <w:pPr>
              <w:spacing w:before="100" w:beforeAutospacing="1" w:after="100" w:afterAutospacing="1"/>
              <w:ind w:firstLine="0"/>
              <w:jc w:val="left"/>
              <w:rPr>
                <w:sz w:val="24"/>
                <w:szCs w:val="24"/>
                <w:lang w:eastAsia="lv-LV"/>
              </w:rPr>
            </w:pPr>
            <w:r w:rsidRPr="00E17EDA">
              <w:rPr>
                <w:sz w:val="24"/>
                <w:szCs w:val="24"/>
                <w:lang w:eastAsia="lv-LV"/>
              </w:rPr>
              <w:t>Nav.</w:t>
            </w:r>
          </w:p>
        </w:tc>
      </w:tr>
    </w:tbl>
    <w:p w:rsidR="008D34EB" w:rsidRPr="00E17EDA" w:rsidRDefault="008D34EB" w:rsidP="009A4FBA">
      <w:pPr>
        <w:ind w:firstLine="0"/>
        <w:jc w:val="left"/>
        <w:rPr>
          <w:sz w:val="24"/>
          <w:szCs w:val="24"/>
          <w:lang w:eastAsia="lv-LV"/>
        </w:rPr>
      </w:pPr>
      <w:r w:rsidRPr="00E17EDA">
        <w:rPr>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64"/>
        <w:gridCol w:w="2083"/>
        <w:gridCol w:w="7134"/>
      </w:tblGrid>
      <w:tr w:rsidR="00E17EDA" w:rsidRPr="00E17EDA" w:rsidTr="008C16EE">
        <w:trPr>
          <w:trHeight w:val="555"/>
          <w:tblCellSpacing w:w="15" w:type="dxa"/>
        </w:trPr>
        <w:tc>
          <w:tcPr>
            <w:tcW w:w="4969" w:type="pct"/>
            <w:gridSpan w:val="3"/>
            <w:tcBorders>
              <w:top w:val="outset" w:sz="6" w:space="0" w:color="auto"/>
              <w:bottom w:val="outset" w:sz="6" w:space="0" w:color="auto"/>
            </w:tcBorders>
            <w:vAlign w:val="center"/>
          </w:tcPr>
          <w:p w:rsidR="008D34EB" w:rsidRPr="00E17EDA" w:rsidRDefault="008D34EB" w:rsidP="00862D0F">
            <w:pPr>
              <w:spacing w:before="100" w:beforeAutospacing="1" w:after="100" w:afterAutospacing="1"/>
              <w:ind w:firstLine="0"/>
              <w:jc w:val="center"/>
              <w:rPr>
                <w:b/>
                <w:bCs/>
                <w:sz w:val="24"/>
                <w:szCs w:val="24"/>
                <w:lang w:eastAsia="lv-LV"/>
              </w:rPr>
            </w:pPr>
            <w:r w:rsidRPr="00E17EDA">
              <w:rPr>
                <w:b/>
                <w:bCs/>
                <w:sz w:val="24"/>
                <w:szCs w:val="24"/>
                <w:lang w:eastAsia="lv-LV"/>
              </w:rPr>
              <w:t>II. Tiesību akta projekta ietekme uz sabiedrību, tautsaimniecības attīstību un administratīvo slogu</w:t>
            </w:r>
          </w:p>
        </w:tc>
      </w:tr>
      <w:tr w:rsidR="00E17EDA" w:rsidRPr="00E17EDA" w:rsidTr="008C16EE">
        <w:trPr>
          <w:trHeight w:val="465"/>
          <w:tblCellSpacing w:w="15" w:type="dxa"/>
        </w:trPr>
        <w:tc>
          <w:tcPr>
            <w:tcW w:w="267"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tcBorders>
          </w:tcPr>
          <w:p w:rsidR="008D34EB" w:rsidRPr="00E17EDA" w:rsidRDefault="00BE7D32" w:rsidP="00354F54">
            <w:pPr>
              <w:shd w:val="clear" w:color="auto" w:fill="FFFFFF"/>
              <w:ind w:right="57" w:firstLine="0"/>
              <w:rPr>
                <w:sz w:val="24"/>
                <w:szCs w:val="24"/>
              </w:rPr>
            </w:pPr>
            <w:r w:rsidRPr="00E17EDA">
              <w:rPr>
                <w:sz w:val="24"/>
                <w:szCs w:val="24"/>
              </w:rPr>
              <w:t>P</w:t>
            </w:r>
            <w:r w:rsidR="008D34EB" w:rsidRPr="00E17EDA">
              <w:rPr>
                <w:sz w:val="24"/>
                <w:szCs w:val="24"/>
              </w:rPr>
              <w:t xml:space="preserve">rojekts attieksies uz </w:t>
            </w:r>
            <w:r w:rsidR="00945173" w:rsidRPr="00E17EDA">
              <w:rPr>
                <w:sz w:val="24"/>
                <w:szCs w:val="24"/>
              </w:rPr>
              <w:t>izmeklēšanas iestāžu amatpersonām</w:t>
            </w:r>
            <w:r w:rsidR="00354F54" w:rsidRPr="00E17EDA">
              <w:rPr>
                <w:sz w:val="24"/>
                <w:szCs w:val="24"/>
              </w:rPr>
              <w:t>.</w:t>
            </w:r>
          </w:p>
        </w:tc>
      </w:tr>
      <w:tr w:rsidR="00E17EDA" w:rsidRPr="00E17EDA" w:rsidTr="008C16EE">
        <w:trPr>
          <w:trHeight w:val="510"/>
          <w:tblCellSpacing w:w="15" w:type="dxa"/>
        </w:trPr>
        <w:tc>
          <w:tcPr>
            <w:tcW w:w="267"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tcBorders>
          </w:tcPr>
          <w:p w:rsidR="008D34EB" w:rsidRPr="00E17EDA" w:rsidRDefault="00227DDE" w:rsidP="00BE7D32">
            <w:pPr>
              <w:ind w:firstLine="0"/>
              <w:jc w:val="left"/>
              <w:rPr>
                <w:sz w:val="24"/>
                <w:szCs w:val="24"/>
                <w:lang w:eastAsia="lv-LV"/>
              </w:rPr>
            </w:pPr>
            <w:r w:rsidRPr="00E17EDA">
              <w:rPr>
                <w:sz w:val="24"/>
                <w:szCs w:val="24"/>
              </w:rPr>
              <w:t>Projekta tiesiskais regulējums nemaina tiesības un pienākumus, kā arī veicamās darbības papildus šobrīd paredzētajam.</w:t>
            </w:r>
            <w:r w:rsidR="00BE7D32" w:rsidRPr="00E17EDA">
              <w:rPr>
                <w:sz w:val="24"/>
                <w:szCs w:val="24"/>
              </w:rPr>
              <w:t xml:space="preserve"> </w:t>
            </w:r>
          </w:p>
        </w:tc>
      </w:tr>
      <w:tr w:rsidR="00E17EDA" w:rsidRPr="00E17EDA" w:rsidTr="008C16EE">
        <w:trPr>
          <w:trHeight w:val="510"/>
          <w:tblCellSpacing w:w="15" w:type="dxa"/>
        </w:trPr>
        <w:tc>
          <w:tcPr>
            <w:tcW w:w="267"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lastRenderedPageBreak/>
              <w:t>3.</w:t>
            </w:r>
          </w:p>
        </w:tc>
        <w:tc>
          <w:tcPr>
            <w:tcW w:w="1056"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Administratīvo izmaksu monetārs novērtējums</w:t>
            </w:r>
          </w:p>
        </w:tc>
        <w:tc>
          <w:tcPr>
            <w:tcW w:w="3615" w:type="pct"/>
            <w:tcBorders>
              <w:top w:val="outset" w:sz="6" w:space="0" w:color="auto"/>
              <w:left w:val="outset" w:sz="6" w:space="0" w:color="auto"/>
              <w:bottom w:val="outset" w:sz="6" w:space="0" w:color="auto"/>
            </w:tcBorders>
          </w:tcPr>
          <w:p w:rsidR="008D34EB" w:rsidRPr="00E17EDA" w:rsidRDefault="00BE7D32" w:rsidP="00862D0F">
            <w:pPr>
              <w:ind w:firstLine="0"/>
              <w:jc w:val="left"/>
              <w:rPr>
                <w:sz w:val="24"/>
                <w:szCs w:val="24"/>
                <w:lang w:eastAsia="lv-LV"/>
              </w:rPr>
            </w:pPr>
            <w:r w:rsidRPr="00E17EDA">
              <w:rPr>
                <w:sz w:val="24"/>
                <w:szCs w:val="24"/>
              </w:rPr>
              <w:t>Funkciju izpilde tiks nodrošināta piešķirtā budžeta finansējuma ietvaros.</w:t>
            </w:r>
          </w:p>
        </w:tc>
      </w:tr>
      <w:tr w:rsidR="00E17EDA" w:rsidRPr="00E17EDA" w:rsidTr="008C16EE">
        <w:trPr>
          <w:trHeight w:val="345"/>
          <w:tblCellSpacing w:w="15" w:type="dxa"/>
        </w:trPr>
        <w:tc>
          <w:tcPr>
            <w:tcW w:w="267"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Cita informācija</w:t>
            </w:r>
          </w:p>
        </w:tc>
        <w:tc>
          <w:tcPr>
            <w:tcW w:w="3615" w:type="pct"/>
            <w:tcBorders>
              <w:top w:val="outset" w:sz="6" w:space="0" w:color="auto"/>
              <w:left w:val="outset" w:sz="6" w:space="0" w:color="auto"/>
              <w:bottom w:val="outset" w:sz="6" w:space="0" w:color="auto"/>
            </w:tcBorders>
          </w:tcPr>
          <w:p w:rsidR="008D34EB" w:rsidRPr="00E17EDA" w:rsidRDefault="008D34EB" w:rsidP="00862D0F">
            <w:pPr>
              <w:spacing w:before="100" w:beforeAutospacing="1" w:after="100" w:afterAutospacing="1"/>
              <w:ind w:firstLine="0"/>
              <w:jc w:val="left"/>
              <w:rPr>
                <w:sz w:val="24"/>
                <w:szCs w:val="24"/>
                <w:lang w:eastAsia="lv-LV"/>
              </w:rPr>
            </w:pPr>
            <w:r w:rsidRPr="00E17EDA">
              <w:rPr>
                <w:sz w:val="24"/>
                <w:szCs w:val="24"/>
                <w:lang w:eastAsia="lv-LV"/>
              </w:rPr>
              <w:t>Nav.</w:t>
            </w:r>
          </w:p>
        </w:tc>
      </w:tr>
    </w:tbl>
    <w:p w:rsidR="00354F54" w:rsidRPr="00E17EDA" w:rsidRDefault="008D34EB" w:rsidP="009A4FBA">
      <w:pPr>
        <w:ind w:firstLine="0"/>
        <w:jc w:val="left"/>
        <w:rPr>
          <w:sz w:val="24"/>
          <w:szCs w:val="24"/>
          <w:lang w:eastAsia="lv-LV"/>
        </w:rPr>
      </w:pPr>
      <w:r w:rsidRPr="00E17EDA">
        <w:rPr>
          <w:sz w:val="24"/>
          <w:szCs w:val="24"/>
          <w:lang w:eastAsia="lv-LV"/>
        </w:rPr>
        <w:t>  </w:t>
      </w:r>
    </w:p>
    <w:tbl>
      <w:tblPr>
        <w:tblW w:w="54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12"/>
        <w:gridCol w:w="2682"/>
        <w:gridCol w:w="6702"/>
      </w:tblGrid>
      <w:tr w:rsidR="00E17EDA" w:rsidRPr="00E17EDA" w:rsidTr="00354F54">
        <w:trPr>
          <w:trHeight w:val="420"/>
          <w:tblCellSpacing w:w="15" w:type="dxa"/>
          <w:jc w:val="center"/>
        </w:trPr>
        <w:tc>
          <w:tcPr>
            <w:tcW w:w="4969" w:type="pct"/>
            <w:gridSpan w:val="3"/>
            <w:tcBorders>
              <w:top w:val="outset" w:sz="6" w:space="0" w:color="auto"/>
              <w:bottom w:val="outset" w:sz="6" w:space="0" w:color="auto"/>
            </w:tcBorders>
            <w:vAlign w:val="center"/>
          </w:tcPr>
          <w:p w:rsidR="00354F54" w:rsidRPr="00E17EDA" w:rsidRDefault="00354F54" w:rsidP="00265A2D">
            <w:pPr>
              <w:spacing w:before="100" w:beforeAutospacing="1" w:after="100" w:afterAutospacing="1"/>
              <w:ind w:firstLine="0"/>
              <w:jc w:val="center"/>
              <w:rPr>
                <w:b/>
                <w:bCs/>
                <w:sz w:val="24"/>
                <w:szCs w:val="24"/>
                <w:lang w:eastAsia="lv-LV"/>
              </w:rPr>
            </w:pPr>
            <w:r w:rsidRPr="00E17EDA">
              <w:rPr>
                <w:b/>
                <w:bCs/>
                <w:sz w:val="24"/>
                <w:szCs w:val="24"/>
                <w:lang w:eastAsia="lv-LV"/>
              </w:rPr>
              <w:t>VI. Sabiedrības līdzdalība un komunikācijas aktivitātes</w:t>
            </w:r>
          </w:p>
        </w:tc>
      </w:tr>
      <w:tr w:rsidR="00E17EDA" w:rsidRPr="00E17EDA" w:rsidTr="00354F54">
        <w:trPr>
          <w:tblCellSpacing w:w="15" w:type="dxa"/>
          <w:jc w:val="center"/>
        </w:trPr>
        <w:tc>
          <w:tcPr>
            <w:tcW w:w="188" w:type="pct"/>
            <w:tcBorders>
              <w:top w:val="outset" w:sz="6" w:space="0" w:color="auto"/>
              <w:bottom w:val="outset" w:sz="6" w:space="0" w:color="auto"/>
              <w:right w:val="outset" w:sz="6" w:space="0" w:color="auto"/>
            </w:tcBorders>
          </w:tcPr>
          <w:p w:rsidR="00354F54" w:rsidRPr="00E17EDA" w:rsidRDefault="00354F54" w:rsidP="00265A2D">
            <w:pPr>
              <w:ind w:firstLine="0"/>
              <w:jc w:val="left"/>
              <w:rPr>
                <w:sz w:val="24"/>
                <w:szCs w:val="24"/>
                <w:lang w:eastAsia="lv-LV"/>
              </w:rPr>
            </w:pPr>
            <w:r w:rsidRPr="00E17EDA">
              <w:rPr>
                <w:sz w:val="24"/>
                <w:szCs w:val="24"/>
                <w:lang w:eastAsia="lv-LV"/>
              </w:rPr>
              <w:t>1.</w:t>
            </w:r>
          </w:p>
        </w:tc>
        <w:tc>
          <w:tcPr>
            <w:tcW w:w="1362" w:type="pct"/>
            <w:tcBorders>
              <w:top w:val="outset" w:sz="6" w:space="0" w:color="auto"/>
              <w:left w:val="outset" w:sz="6" w:space="0" w:color="auto"/>
              <w:bottom w:val="outset" w:sz="6" w:space="0" w:color="auto"/>
              <w:right w:val="outset" w:sz="6" w:space="0" w:color="auto"/>
            </w:tcBorders>
          </w:tcPr>
          <w:p w:rsidR="00354F54" w:rsidRPr="00E17EDA" w:rsidRDefault="00354F54" w:rsidP="00265A2D">
            <w:pPr>
              <w:ind w:right="39" w:firstLine="0"/>
              <w:jc w:val="left"/>
              <w:rPr>
                <w:sz w:val="24"/>
                <w:szCs w:val="24"/>
                <w:lang w:eastAsia="lv-LV"/>
              </w:rPr>
            </w:pPr>
            <w:r w:rsidRPr="00E17EDA">
              <w:rPr>
                <w:sz w:val="24"/>
                <w:szCs w:val="24"/>
              </w:rPr>
              <w:t>Plānotās sabiedrības līdzdalības un komunikācijas aktivitātes saistībā ar projektu</w:t>
            </w:r>
          </w:p>
        </w:tc>
        <w:tc>
          <w:tcPr>
            <w:tcW w:w="3389" w:type="pct"/>
            <w:tcBorders>
              <w:top w:val="outset" w:sz="6" w:space="0" w:color="auto"/>
              <w:left w:val="outset" w:sz="6" w:space="0" w:color="auto"/>
              <w:bottom w:val="outset" w:sz="6" w:space="0" w:color="auto"/>
            </w:tcBorders>
          </w:tcPr>
          <w:p w:rsidR="00227DDE" w:rsidRPr="00E17EDA" w:rsidRDefault="00354F54" w:rsidP="003E2A61">
            <w:pPr>
              <w:tabs>
                <w:tab w:val="left" w:pos="776"/>
              </w:tabs>
              <w:ind w:firstLine="0"/>
              <w:rPr>
                <w:sz w:val="24"/>
                <w:szCs w:val="24"/>
              </w:rPr>
            </w:pPr>
            <w:r w:rsidRPr="00E17EDA">
              <w:rPr>
                <w:sz w:val="24"/>
                <w:szCs w:val="24"/>
              </w:rPr>
              <w:t xml:space="preserve">Sabiedrības līdzdalības un komunikācijas aktivitātes saistībā ar likumprojektu netiek plānotas, jo likumprojektā ietvertais regulējums skar tikai </w:t>
            </w:r>
            <w:r w:rsidR="00227DDE" w:rsidRPr="00E17EDA">
              <w:rPr>
                <w:sz w:val="24"/>
                <w:szCs w:val="24"/>
              </w:rPr>
              <w:t>izmeklēšanas iestādes</w:t>
            </w:r>
            <w:r w:rsidR="003E2A61" w:rsidRPr="00E17EDA">
              <w:rPr>
                <w:sz w:val="24"/>
                <w:szCs w:val="24"/>
              </w:rPr>
              <w:t xml:space="preserve"> un </w:t>
            </w:r>
            <w:r w:rsidR="00227DDE" w:rsidRPr="00E17EDA">
              <w:rPr>
                <w:sz w:val="24"/>
                <w:szCs w:val="24"/>
              </w:rPr>
              <w:t>nerada jaunas tiesības un neuzliek jaunus pienākumus papildus tam, kā tas šobrīd jau ir paredzēts.</w:t>
            </w:r>
          </w:p>
        </w:tc>
      </w:tr>
      <w:tr w:rsidR="00E17EDA" w:rsidRPr="00E17EDA" w:rsidTr="00354F54">
        <w:trPr>
          <w:tblCellSpacing w:w="15" w:type="dxa"/>
          <w:jc w:val="center"/>
        </w:trPr>
        <w:tc>
          <w:tcPr>
            <w:tcW w:w="188" w:type="pct"/>
            <w:tcBorders>
              <w:top w:val="outset" w:sz="6" w:space="0" w:color="auto"/>
              <w:bottom w:val="outset" w:sz="6" w:space="0" w:color="auto"/>
              <w:right w:val="outset" w:sz="6" w:space="0" w:color="auto"/>
            </w:tcBorders>
          </w:tcPr>
          <w:p w:rsidR="0032136B" w:rsidRPr="00E17EDA" w:rsidRDefault="0032136B" w:rsidP="00265A2D">
            <w:pPr>
              <w:ind w:firstLine="0"/>
              <w:jc w:val="left"/>
              <w:rPr>
                <w:sz w:val="24"/>
                <w:szCs w:val="24"/>
                <w:lang w:eastAsia="lv-LV"/>
              </w:rPr>
            </w:pPr>
            <w:r w:rsidRPr="00E17EDA">
              <w:rPr>
                <w:sz w:val="24"/>
                <w:szCs w:val="24"/>
                <w:lang w:eastAsia="lv-LV"/>
              </w:rPr>
              <w:t>2.</w:t>
            </w:r>
          </w:p>
        </w:tc>
        <w:tc>
          <w:tcPr>
            <w:tcW w:w="1362" w:type="pct"/>
            <w:tcBorders>
              <w:top w:val="outset" w:sz="6" w:space="0" w:color="auto"/>
              <w:left w:val="outset" w:sz="6" w:space="0" w:color="auto"/>
              <w:bottom w:val="outset" w:sz="6" w:space="0" w:color="auto"/>
              <w:right w:val="outset" w:sz="6" w:space="0" w:color="auto"/>
            </w:tcBorders>
          </w:tcPr>
          <w:p w:rsidR="0032136B" w:rsidRPr="00E17EDA" w:rsidRDefault="0032136B" w:rsidP="00265A2D">
            <w:pPr>
              <w:ind w:right="39" w:firstLine="0"/>
              <w:jc w:val="left"/>
              <w:rPr>
                <w:sz w:val="24"/>
                <w:szCs w:val="24"/>
              </w:rPr>
            </w:pPr>
            <w:r w:rsidRPr="00E17EDA">
              <w:rPr>
                <w:sz w:val="24"/>
                <w:szCs w:val="24"/>
                <w:lang w:eastAsia="lv-LV"/>
              </w:rPr>
              <w:t>Sabiedrības līdzdalība projekta izstrādē.</w:t>
            </w:r>
          </w:p>
        </w:tc>
        <w:tc>
          <w:tcPr>
            <w:tcW w:w="3389" w:type="pct"/>
            <w:tcBorders>
              <w:top w:val="outset" w:sz="6" w:space="0" w:color="auto"/>
              <w:left w:val="outset" w:sz="6" w:space="0" w:color="auto"/>
              <w:bottom w:val="outset" w:sz="6" w:space="0" w:color="auto"/>
            </w:tcBorders>
          </w:tcPr>
          <w:p w:rsidR="0032136B" w:rsidRPr="00E17EDA" w:rsidRDefault="0032136B" w:rsidP="003E2A61">
            <w:pPr>
              <w:tabs>
                <w:tab w:val="left" w:pos="776"/>
              </w:tabs>
              <w:ind w:firstLine="0"/>
              <w:rPr>
                <w:sz w:val="24"/>
                <w:szCs w:val="24"/>
              </w:rPr>
            </w:pPr>
            <w:r w:rsidRPr="00E17EDA">
              <w:rPr>
                <w:sz w:val="24"/>
                <w:szCs w:val="24"/>
              </w:rPr>
              <w:t>Projekts šo jomu neskar.</w:t>
            </w:r>
          </w:p>
        </w:tc>
      </w:tr>
      <w:tr w:rsidR="00E17EDA" w:rsidRPr="00E17EDA" w:rsidTr="00354F54">
        <w:trPr>
          <w:tblCellSpacing w:w="15" w:type="dxa"/>
          <w:jc w:val="center"/>
        </w:trPr>
        <w:tc>
          <w:tcPr>
            <w:tcW w:w="188" w:type="pct"/>
            <w:tcBorders>
              <w:top w:val="outset" w:sz="6" w:space="0" w:color="auto"/>
              <w:bottom w:val="outset" w:sz="6" w:space="0" w:color="auto"/>
              <w:right w:val="outset" w:sz="6" w:space="0" w:color="auto"/>
            </w:tcBorders>
          </w:tcPr>
          <w:p w:rsidR="0032136B" w:rsidRPr="00E17EDA" w:rsidRDefault="0032136B" w:rsidP="00265A2D">
            <w:pPr>
              <w:ind w:firstLine="0"/>
              <w:jc w:val="left"/>
              <w:rPr>
                <w:sz w:val="24"/>
                <w:szCs w:val="24"/>
                <w:lang w:eastAsia="lv-LV"/>
              </w:rPr>
            </w:pPr>
            <w:r w:rsidRPr="00E17EDA">
              <w:rPr>
                <w:sz w:val="24"/>
                <w:szCs w:val="24"/>
                <w:lang w:eastAsia="lv-LV"/>
              </w:rPr>
              <w:t>3.</w:t>
            </w:r>
          </w:p>
        </w:tc>
        <w:tc>
          <w:tcPr>
            <w:tcW w:w="1362" w:type="pct"/>
            <w:tcBorders>
              <w:top w:val="outset" w:sz="6" w:space="0" w:color="auto"/>
              <w:left w:val="outset" w:sz="6" w:space="0" w:color="auto"/>
              <w:bottom w:val="outset" w:sz="6" w:space="0" w:color="auto"/>
              <w:right w:val="outset" w:sz="6" w:space="0" w:color="auto"/>
            </w:tcBorders>
          </w:tcPr>
          <w:p w:rsidR="0032136B" w:rsidRPr="00E17EDA" w:rsidRDefault="0032136B" w:rsidP="00265A2D">
            <w:pPr>
              <w:ind w:right="39" w:firstLine="0"/>
              <w:jc w:val="left"/>
              <w:rPr>
                <w:sz w:val="24"/>
                <w:szCs w:val="24"/>
                <w:lang w:eastAsia="lv-LV"/>
              </w:rPr>
            </w:pPr>
            <w:r w:rsidRPr="00E17EDA">
              <w:rPr>
                <w:sz w:val="24"/>
                <w:szCs w:val="24"/>
                <w:lang w:eastAsia="lv-LV"/>
              </w:rPr>
              <w:t>Sabiedrības līdzdalības rezultāti.</w:t>
            </w:r>
          </w:p>
        </w:tc>
        <w:tc>
          <w:tcPr>
            <w:tcW w:w="3389" w:type="pct"/>
            <w:tcBorders>
              <w:top w:val="outset" w:sz="6" w:space="0" w:color="auto"/>
              <w:left w:val="outset" w:sz="6" w:space="0" w:color="auto"/>
              <w:bottom w:val="outset" w:sz="6" w:space="0" w:color="auto"/>
            </w:tcBorders>
          </w:tcPr>
          <w:p w:rsidR="0032136B" w:rsidRPr="00E17EDA" w:rsidRDefault="0032136B" w:rsidP="003E2A61">
            <w:pPr>
              <w:tabs>
                <w:tab w:val="left" w:pos="776"/>
              </w:tabs>
              <w:ind w:firstLine="0"/>
              <w:rPr>
                <w:sz w:val="24"/>
                <w:szCs w:val="24"/>
              </w:rPr>
            </w:pPr>
            <w:r w:rsidRPr="00E17EDA">
              <w:rPr>
                <w:sz w:val="24"/>
                <w:szCs w:val="24"/>
              </w:rPr>
              <w:t>Projekts šo jomu neskar.</w:t>
            </w:r>
          </w:p>
        </w:tc>
      </w:tr>
      <w:tr w:rsidR="00354F54" w:rsidRPr="00E17EDA" w:rsidTr="00354F54">
        <w:trPr>
          <w:tblCellSpacing w:w="15" w:type="dxa"/>
          <w:jc w:val="center"/>
        </w:trPr>
        <w:tc>
          <w:tcPr>
            <w:tcW w:w="188" w:type="pct"/>
            <w:tcBorders>
              <w:top w:val="outset" w:sz="6" w:space="0" w:color="auto"/>
              <w:bottom w:val="outset" w:sz="6" w:space="0" w:color="auto"/>
              <w:right w:val="outset" w:sz="6" w:space="0" w:color="auto"/>
            </w:tcBorders>
          </w:tcPr>
          <w:p w:rsidR="00354F54" w:rsidRPr="00E17EDA" w:rsidRDefault="0032136B" w:rsidP="00265A2D">
            <w:pPr>
              <w:ind w:firstLine="0"/>
              <w:jc w:val="left"/>
              <w:rPr>
                <w:sz w:val="24"/>
                <w:szCs w:val="24"/>
                <w:lang w:eastAsia="lv-LV"/>
              </w:rPr>
            </w:pPr>
            <w:r w:rsidRPr="00E17EDA">
              <w:rPr>
                <w:sz w:val="24"/>
                <w:szCs w:val="24"/>
                <w:lang w:eastAsia="lv-LV"/>
              </w:rPr>
              <w:t>4</w:t>
            </w:r>
            <w:r w:rsidR="00354F54" w:rsidRPr="00E17EDA">
              <w:rPr>
                <w:sz w:val="24"/>
                <w:szCs w:val="24"/>
                <w:lang w:eastAsia="lv-LV"/>
              </w:rPr>
              <w:t>.</w:t>
            </w:r>
          </w:p>
        </w:tc>
        <w:tc>
          <w:tcPr>
            <w:tcW w:w="1362" w:type="pct"/>
            <w:tcBorders>
              <w:top w:val="outset" w:sz="6" w:space="0" w:color="auto"/>
              <w:left w:val="outset" w:sz="6" w:space="0" w:color="auto"/>
              <w:bottom w:val="outset" w:sz="6" w:space="0" w:color="auto"/>
              <w:right w:val="outset" w:sz="6" w:space="0" w:color="auto"/>
            </w:tcBorders>
          </w:tcPr>
          <w:p w:rsidR="00354F54" w:rsidRPr="00E17EDA" w:rsidRDefault="00354F54" w:rsidP="00265A2D">
            <w:pPr>
              <w:ind w:firstLine="0"/>
              <w:jc w:val="left"/>
              <w:rPr>
                <w:sz w:val="24"/>
                <w:szCs w:val="24"/>
                <w:lang w:eastAsia="lv-LV"/>
              </w:rPr>
            </w:pPr>
            <w:r w:rsidRPr="00E17EDA">
              <w:rPr>
                <w:sz w:val="24"/>
                <w:szCs w:val="24"/>
                <w:lang w:eastAsia="lv-LV"/>
              </w:rPr>
              <w:t>Cita informācija</w:t>
            </w:r>
          </w:p>
        </w:tc>
        <w:tc>
          <w:tcPr>
            <w:tcW w:w="3389" w:type="pct"/>
            <w:tcBorders>
              <w:top w:val="outset" w:sz="6" w:space="0" w:color="auto"/>
              <w:left w:val="outset" w:sz="6" w:space="0" w:color="auto"/>
              <w:bottom w:val="outset" w:sz="6" w:space="0" w:color="auto"/>
            </w:tcBorders>
          </w:tcPr>
          <w:p w:rsidR="00354F54" w:rsidRPr="00E17EDA" w:rsidRDefault="00354F54" w:rsidP="00265A2D">
            <w:pPr>
              <w:ind w:firstLine="0"/>
              <w:jc w:val="left"/>
              <w:rPr>
                <w:sz w:val="24"/>
                <w:szCs w:val="24"/>
                <w:lang w:eastAsia="lv-LV"/>
              </w:rPr>
            </w:pPr>
            <w:r w:rsidRPr="00E17EDA">
              <w:rPr>
                <w:sz w:val="24"/>
                <w:szCs w:val="24"/>
                <w:lang w:eastAsia="lv-LV"/>
              </w:rPr>
              <w:t>Nav.</w:t>
            </w:r>
          </w:p>
        </w:tc>
      </w:tr>
    </w:tbl>
    <w:p w:rsidR="008D34EB" w:rsidRPr="00E17EDA" w:rsidRDefault="008D34EB" w:rsidP="009A4FBA">
      <w:pPr>
        <w:ind w:firstLine="0"/>
        <w:jc w:val="left"/>
        <w:rPr>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14"/>
        <w:gridCol w:w="3977"/>
        <w:gridCol w:w="5249"/>
      </w:tblGrid>
      <w:tr w:rsidR="00E17EDA" w:rsidRPr="00E17EDA" w:rsidTr="008C16EE">
        <w:trPr>
          <w:trHeight w:val="375"/>
          <w:tblCellSpacing w:w="15" w:type="dxa"/>
          <w:jc w:val="center"/>
        </w:trPr>
        <w:tc>
          <w:tcPr>
            <w:tcW w:w="4969" w:type="pct"/>
            <w:gridSpan w:val="3"/>
            <w:tcBorders>
              <w:top w:val="outset" w:sz="6" w:space="0" w:color="auto"/>
              <w:bottom w:val="outset" w:sz="6" w:space="0" w:color="auto"/>
            </w:tcBorders>
            <w:vAlign w:val="center"/>
          </w:tcPr>
          <w:p w:rsidR="008D34EB" w:rsidRPr="00E17EDA" w:rsidRDefault="008D34EB" w:rsidP="00862D0F">
            <w:pPr>
              <w:spacing w:before="100" w:beforeAutospacing="1" w:after="100" w:afterAutospacing="1"/>
              <w:ind w:firstLine="0"/>
              <w:jc w:val="center"/>
              <w:rPr>
                <w:b/>
                <w:bCs/>
                <w:sz w:val="24"/>
                <w:szCs w:val="24"/>
                <w:lang w:eastAsia="lv-LV"/>
              </w:rPr>
            </w:pPr>
            <w:r w:rsidRPr="00E17EDA">
              <w:rPr>
                <w:b/>
                <w:bCs/>
                <w:sz w:val="24"/>
                <w:szCs w:val="24"/>
                <w:lang w:eastAsia="lv-LV"/>
              </w:rPr>
              <w:t>VII. Tiesību akta projekta izpildes nodrošināšana un tās ietekme uz institūcijām</w:t>
            </w:r>
          </w:p>
        </w:tc>
      </w:tr>
      <w:tr w:rsidR="00E17EDA" w:rsidRPr="00E17EDA" w:rsidTr="008C16EE">
        <w:trPr>
          <w:trHeight w:val="420"/>
          <w:tblCellSpacing w:w="15" w:type="dxa"/>
          <w:jc w:val="center"/>
        </w:trPr>
        <w:tc>
          <w:tcPr>
            <w:tcW w:w="193"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Projekta izpildē iesaistītās institūcijas</w:t>
            </w:r>
          </w:p>
        </w:tc>
        <w:tc>
          <w:tcPr>
            <w:tcW w:w="2684" w:type="pct"/>
            <w:tcBorders>
              <w:top w:val="outset" w:sz="6" w:space="0" w:color="auto"/>
              <w:left w:val="outset" w:sz="6" w:space="0" w:color="auto"/>
              <w:bottom w:val="outset" w:sz="6" w:space="0" w:color="auto"/>
            </w:tcBorders>
          </w:tcPr>
          <w:p w:rsidR="008D34EB" w:rsidRPr="00E17EDA" w:rsidRDefault="0028136B" w:rsidP="00862D0F">
            <w:pPr>
              <w:ind w:firstLine="0"/>
              <w:jc w:val="left"/>
              <w:rPr>
                <w:sz w:val="24"/>
                <w:szCs w:val="24"/>
                <w:lang w:eastAsia="lv-LV"/>
              </w:rPr>
            </w:pPr>
            <w:r w:rsidRPr="00E17EDA">
              <w:rPr>
                <w:sz w:val="24"/>
                <w:szCs w:val="24"/>
              </w:rPr>
              <w:t xml:space="preserve">Tiesību akta izpilde notiks esošo valsts institūciju ietvaros. </w:t>
            </w:r>
          </w:p>
        </w:tc>
      </w:tr>
      <w:tr w:rsidR="00E17EDA" w:rsidRPr="00E17EDA" w:rsidTr="008C16EE">
        <w:trPr>
          <w:trHeight w:val="450"/>
          <w:tblCellSpacing w:w="15" w:type="dxa"/>
          <w:jc w:val="center"/>
        </w:trPr>
        <w:tc>
          <w:tcPr>
            <w:tcW w:w="193"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tcPr>
          <w:p w:rsidR="008D34EB" w:rsidRPr="00E17EDA" w:rsidRDefault="008D34EB" w:rsidP="002A3D3A">
            <w:pPr>
              <w:ind w:firstLine="0"/>
              <w:rPr>
                <w:sz w:val="24"/>
                <w:szCs w:val="24"/>
                <w:lang w:eastAsia="lv-LV"/>
              </w:rPr>
            </w:pPr>
            <w:r w:rsidRPr="00E17EDA">
              <w:rPr>
                <w:sz w:val="24"/>
                <w:szCs w:val="24"/>
                <w:lang w:eastAsia="lv-LV"/>
              </w:rPr>
              <w:t xml:space="preserve">Projekta izpildes ietekme uz pārvaldes funkcijām un institucionālo struktūru. </w:t>
            </w:r>
          </w:p>
          <w:p w:rsidR="008D34EB" w:rsidRPr="00E17EDA" w:rsidRDefault="008D34EB" w:rsidP="002A3D3A">
            <w:pPr>
              <w:spacing w:before="100" w:beforeAutospacing="1" w:after="100" w:afterAutospacing="1"/>
              <w:ind w:firstLine="0"/>
              <w:rPr>
                <w:sz w:val="24"/>
                <w:szCs w:val="24"/>
                <w:lang w:eastAsia="lv-LV"/>
              </w:rPr>
            </w:pPr>
            <w:r w:rsidRPr="00E17EDA">
              <w:rPr>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tcBorders>
          </w:tcPr>
          <w:p w:rsidR="008D34EB" w:rsidRPr="00E17EDA" w:rsidRDefault="009B123F" w:rsidP="002A3D3A">
            <w:pPr>
              <w:ind w:firstLine="0"/>
              <w:rPr>
                <w:sz w:val="24"/>
                <w:szCs w:val="24"/>
              </w:rPr>
            </w:pPr>
            <w:r w:rsidRPr="00E17EDA">
              <w:rPr>
                <w:sz w:val="24"/>
                <w:szCs w:val="24"/>
              </w:rPr>
              <w:t>Jaunas institūcijas netiks izveidotas un esošās institūcijas netiks likvidētas vai reorganizētas</w:t>
            </w:r>
            <w:r w:rsidR="00403EDF" w:rsidRPr="00E17EDA">
              <w:rPr>
                <w:sz w:val="24"/>
                <w:szCs w:val="24"/>
                <w:lang w:eastAsia="lv-LV"/>
              </w:rPr>
              <w:t>.</w:t>
            </w:r>
          </w:p>
          <w:p w:rsidR="008D34EB" w:rsidRPr="00E17EDA" w:rsidRDefault="008D34EB" w:rsidP="00F52299">
            <w:pPr>
              <w:ind w:firstLine="0"/>
              <w:rPr>
                <w:sz w:val="24"/>
                <w:szCs w:val="24"/>
                <w:lang w:eastAsia="lv-LV"/>
              </w:rPr>
            </w:pPr>
          </w:p>
        </w:tc>
      </w:tr>
      <w:tr w:rsidR="008D34EB" w:rsidRPr="00E17EDA" w:rsidTr="008C16EE">
        <w:trPr>
          <w:trHeight w:val="390"/>
          <w:tblCellSpacing w:w="15" w:type="dxa"/>
          <w:jc w:val="center"/>
        </w:trPr>
        <w:tc>
          <w:tcPr>
            <w:tcW w:w="193" w:type="pct"/>
            <w:tcBorders>
              <w:top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tcPr>
          <w:p w:rsidR="008D34EB" w:rsidRPr="00E17EDA" w:rsidRDefault="008D34EB" w:rsidP="00862D0F">
            <w:pPr>
              <w:ind w:firstLine="0"/>
              <w:jc w:val="left"/>
              <w:rPr>
                <w:sz w:val="24"/>
                <w:szCs w:val="24"/>
                <w:lang w:eastAsia="lv-LV"/>
              </w:rPr>
            </w:pPr>
            <w:r w:rsidRPr="00E17EDA">
              <w:rPr>
                <w:sz w:val="24"/>
                <w:szCs w:val="24"/>
                <w:lang w:eastAsia="lv-LV"/>
              </w:rPr>
              <w:t>Cita informācija</w:t>
            </w:r>
          </w:p>
        </w:tc>
        <w:tc>
          <w:tcPr>
            <w:tcW w:w="2684" w:type="pct"/>
            <w:tcBorders>
              <w:top w:val="outset" w:sz="6" w:space="0" w:color="auto"/>
              <w:left w:val="outset" w:sz="6" w:space="0" w:color="auto"/>
              <w:bottom w:val="outset" w:sz="6" w:space="0" w:color="auto"/>
            </w:tcBorders>
          </w:tcPr>
          <w:p w:rsidR="008D34EB" w:rsidRPr="00E17EDA" w:rsidRDefault="008D34EB" w:rsidP="00862D0F">
            <w:pPr>
              <w:spacing w:before="100" w:beforeAutospacing="1" w:after="100" w:afterAutospacing="1"/>
              <w:ind w:firstLine="0"/>
              <w:jc w:val="left"/>
              <w:rPr>
                <w:sz w:val="24"/>
                <w:szCs w:val="24"/>
                <w:lang w:eastAsia="lv-LV"/>
              </w:rPr>
            </w:pPr>
            <w:r w:rsidRPr="00E17EDA">
              <w:rPr>
                <w:sz w:val="24"/>
                <w:szCs w:val="24"/>
                <w:lang w:eastAsia="lv-LV"/>
              </w:rPr>
              <w:t>Nav</w:t>
            </w:r>
          </w:p>
        </w:tc>
      </w:tr>
    </w:tbl>
    <w:p w:rsidR="008D34EB" w:rsidRPr="00E17EDA" w:rsidRDefault="008D34EB" w:rsidP="00140597">
      <w:pPr>
        <w:ind w:left="-284" w:firstLine="0"/>
      </w:pPr>
    </w:p>
    <w:p w:rsidR="008D34EB" w:rsidRPr="00E17EDA" w:rsidRDefault="003E2A61" w:rsidP="00403EDF">
      <w:pPr>
        <w:ind w:firstLine="0"/>
        <w:rPr>
          <w:i/>
          <w:sz w:val="24"/>
          <w:szCs w:val="24"/>
        </w:rPr>
      </w:pPr>
      <w:r w:rsidRPr="00E17EDA">
        <w:rPr>
          <w:i/>
          <w:sz w:val="24"/>
          <w:szCs w:val="24"/>
        </w:rPr>
        <w:t xml:space="preserve">Anotācijas III, IV un </w:t>
      </w:r>
      <w:r w:rsidR="008D34EB" w:rsidRPr="00E17EDA">
        <w:rPr>
          <w:i/>
          <w:sz w:val="24"/>
          <w:szCs w:val="24"/>
        </w:rPr>
        <w:t xml:space="preserve">V sadaļa – projekts šīs jomas neskar. </w:t>
      </w:r>
    </w:p>
    <w:p w:rsidR="009A4FBA" w:rsidRDefault="009A4FBA" w:rsidP="00403EDF">
      <w:pPr>
        <w:tabs>
          <w:tab w:val="right" w:pos="9071"/>
        </w:tabs>
        <w:ind w:firstLine="0"/>
        <w:rPr>
          <w:szCs w:val="28"/>
          <w:lang w:val="de-DE"/>
        </w:rPr>
      </w:pPr>
    </w:p>
    <w:p w:rsidR="009A4FBA" w:rsidRDefault="009A4FBA" w:rsidP="00403EDF">
      <w:pPr>
        <w:tabs>
          <w:tab w:val="right" w:pos="9071"/>
        </w:tabs>
        <w:ind w:firstLine="0"/>
        <w:rPr>
          <w:szCs w:val="28"/>
          <w:lang w:val="de-DE"/>
        </w:rPr>
      </w:pPr>
    </w:p>
    <w:p w:rsidR="008D34EB" w:rsidRPr="00E17EDA" w:rsidRDefault="00403EDF" w:rsidP="00403EDF">
      <w:pPr>
        <w:tabs>
          <w:tab w:val="right" w:pos="9071"/>
        </w:tabs>
        <w:ind w:firstLine="0"/>
        <w:rPr>
          <w:szCs w:val="28"/>
          <w:lang w:val="de-DE"/>
        </w:rPr>
      </w:pPr>
      <w:r w:rsidRPr="00E17EDA">
        <w:rPr>
          <w:szCs w:val="28"/>
          <w:lang w:val="de-DE"/>
        </w:rPr>
        <w:t>Iekšlietu ministrs</w:t>
      </w:r>
      <w:r w:rsidRPr="00E17EDA">
        <w:rPr>
          <w:szCs w:val="28"/>
          <w:lang w:val="de-DE"/>
        </w:rPr>
        <w:tab/>
      </w:r>
      <w:r w:rsidR="008D34EB" w:rsidRPr="00E17EDA">
        <w:rPr>
          <w:szCs w:val="28"/>
          <w:lang w:val="de-DE"/>
        </w:rPr>
        <w:t>R. Kozlovskis</w:t>
      </w:r>
    </w:p>
    <w:p w:rsidR="008D34EB" w:rsidRDefault="008D34EB" w:rsidP="001F4AB0">
      <w:pPr>
        <w:pStyle w:val="naisf"/>
        <w:rPr>
          <w:sz w:val="28"/>
          <w:szCs w:val="28"/>
        </w:rPr>
      </w:pPr>
      <w:r w:rsidRPr="00E17EDA">
        <w:rPr>
          <w:sz w:val="28"/>
          <w:szCs w:val="28"/>
        </w:rPr>
        <w:tab/>
      </w:r>
    </w:p>
    <w:p w:rsidR="009A4FBA" w:rsidRPr="00E17EDA" w:rsidRDefault="009A4FBA" w:rsidP="001F4AB0">
      <w:pPr>
        <w:pStyle w:val="naisf"/>
        <w:rPr>
          <w:sz w:val="28"/>
          <w:szCs w:val="28"/>
        </w:rPr>
      </w:pPr>
    </w:p>
    <w:p w:rsidR="008D34EB" w:rsidRPr="00E17EDA" w:rsidRDefault="008D34EB" w:rsidP="00403EDF">
      <w:pPr>
        <w:pStyle w:val="naisf"/>
        <w:tabs>
          <w:tab w:val="right" w:pos="9071"/>
        </w:tabs>
        <w:ind w:firstLine="0"/>
        <w:rPr>
          <w:sz w:val="28"/>
          <w:szCs w:val="28"/>
        </w:rPr>
      </w:pPr>
      <w:r w:rsidRPr="00E17EDA">
        <w:rPr>
          <w:sz w:val="28"/>
          <w:szCs w:val="28"/>
        </w:rPr>
        <w:t>Vīza: valsts sekretāre</w:t>
      </w:r>
      <w:r w:rsidR="00403EDF" w:rsidRPr="00E17EDA">
        <w:rPr>
          <w:sz w:val="28"/>
          <w:szCs w:val="28"/>
        </w:rPr>
        <w:tab/>
      </w:r>
      <w:r w:rsidRPr="00E17EDA">
        <w:rPr>
          <w:sz w:val="28"/>
          <w:szCs w:val="28"/>
        </w:rPr>
        <w:t>I.Pētersone-Godmane</w:t>
      </w:r>
    </w:p>
    <w:p w:rsidR="008D34EB" w:rsidRPr="00E17EDA" w:rsidRDefault="008D34EB" w:rsidP="001F4AB0">
      <w:pPr>
        <w:rPr>
          <w:szCs w:val="28"/>
        </w:rPr>
      </w:pPr>
    </w:p>
    <w:p w:rsidR="003E2A61" w:rsidRDefault="003E2A61" w:rsidP="001F4AB0">
      <w:pPr>
        <w:rPr>
          <w:szCs w:val="28"/>
        </w:rPr>
      </w:pPr>
      <w:bookmarkStart w:id="0" w:name="_GoBack"/>
      <w:bookmarkEnd w:id="0"/>
    </w:p>
    <w:p w:rsidR="009A4FBA" w:rsidRDefault="009A4FBA" w:rsidP="00403EDF">
      <w:pPr>
        <w:ind w:firstLine="0"/>
        <w:rPr>
          <w:sz w:val="20"/>
          <w:szCs w:val="20"/>
        </w:rPr>
      </w:pPr>
    </w:p>
    <w:p w:rsidR="008D34EB" w:rsidRPr="009A4FBA" w:rsidRDefault="00C46297" w:rsidP="00403EDF">
      <w:pPr>
        <w:ind w:firstLine="0"/>
        <w:rPr>
          <w:sz w:val="20"/>
          <w:szCs w:val="20"/>
        </w:rPr>
      </w:pPr>
      <w:r>
        <w:rPr>
          <w:sz w:val="20"/>
          <w:szCs w:val="20"/>
        </w:rPr>
        <w:t>2</w:t>
      </w:r>
      <w:r w:rsidR="00217508">
        <w:rPr>
          <w:sz w:val="20"/>
          <w:szCs w:val="20"/>
        </w:rPr>
        <w:t>5</w:t>
      </w:r>
      <w:r w:rsidR="008D34EB" w:rsidRPr="009A4FBA">
        <w:rPr>
          <w:sz w:val="20"/>
          <w:szCs w:val="20"/>
        </w:rPr>
        <w:t>.</w:t>
      </w:r>
      <w:r w:rsidR="00217508">
        <w:rPr>
          <w:sz w:val="20"/>
          <w:szCs w:val="20"/>
        </w:rPr>
        <w:t>01</w:t>
      </w:r>
      <w:r w:rsidR="008D34EB" w:rsidRPr="009A4FBA">
        <w:rPr>
          <w:sz w:val="20"/>
          <w:szCs w:val="20"/>
        </w:rPr>
        <w:t>.201</w:t>
      </w:r>
      <w:r w:rsidR="00217508">
        <w:rPr>
          <w:sz w:val="20"/>
          <w:szCs w:val="20"/>
        </w:rPr>
        <w:t>6</w:t>
      </w:r>
      <w:r w:rsidR="008D34EB" w:rsidRPr="009A4FBA">
        <w:rPr>
          <w:sz w:val="20"/>
          <w:szCs w:val="20"/>
        </w:rPr>
        <w:t xml:space="preserve">. </w:t>
      </w:r>
      <w:r>
        <w:rPr>
          <w:sz w:val="20"/>
          <w:szCs w:val="20"/>
        </w:rPr>
        <w:t>09</w:t>
      </w:r>
      <w:r w:rsidR="008D34EB" w:rsidRPr="009A4FBA">
        <w:rPr>
          <w:sz w:val="20"/>
          <w:szCs w:val="20"/>
        </w:rPr>
        <w:t>:</w:t>
      </w:r>
      <w:r w:rsidR="00CA6124" w:rsidRPr="009A4FBA">
        <w:rPr>
          <w:sz w:val="20"/>
          <w:szCs w:val="20"/>
        </w:rPr>
        <w:t>4</w:t>
      </w:r>
      <w:r w:rsidR="00E17EDA" w:rsidRPr="009A4FBA">
        <w:rPr>
          <w:sz w:val="20"/>
          <w:szCs w:val="20"/>
        </w:rPr>
        <w:t>0</w:t>
      </w:r>
    </w:p>
    <w:p w:rsidR="008D34EB" w:rsidRPr="009A4FBA" w:rsidRDefault="00402041" w:rsidP="00403EDF">
      <w:pPr>
        <w:tabs>
          <w:tab w:val="left" w:pos="3075"/>
        </w:tabs>
        <w:ind w:firstLine="0"/>
        <w:rPr>
          <w:noProof/>
          <w:sz w:val="20"/>
          <w:szCs w:val="20"/>
        </w:rPr>
      </w:pPr>
      <w:r w:rsidRPr="009A4FBA">
        <w:rPr>
          <w:sz w:val="20"/>
          <w:szCs w:val="20"/>
        </w:rPr>
        <w:fldChar w:fldCharType="begin"/>
      </w:r>
      <w:r w:rsidRPr="009A4FBA">
        <w:rPr>
          <w:sz w:val="20"/>
          <w:szCs w:val="20"/>
        </w:rPr>
        <w:instrText xml:space="preserve"> NUMWORDS   \* MERGEFORMAT </w:instrText>
      </w:r>
      <w:r w:rsidRPr="009A4FBA">
        <w:rPr>
          <w:sz w:val="20"/>
          <w:szCs w:val="20"/>
        </w:rPr>
        <w:fldChar w:fldCharType="separate"/>
      </w:r>
      <w:r w:rsidR="00217508">
        <w:rPr>
          <w:noProof/>
          <w:sz w:val="20"/>
          <w:szCs w:val="20"/>
        </w:rPr>
        <w:t>1631</w:t>
      </w:r>
      <w:r w:rsidRPr="009A4FBA">
        <w:rPr>
          <w:noProof/>
          <w:sz w:val="20"/>
          <w:szCs w:val="20"/>
        </w:rPr>
        <w:fldChar w:fldCharType="end"/>
      </w:r>
    </w:p>
    <w:p w:rsidR="008D34EB" w:rsidRPr="009A4FBA" w:rsidRDefault="008D34EB" w:rsidP="00140597">
      <w:pPr>
        <w:ind w:firstLine="0"/>
        <w:rPr>
          <w:sz w:val="20"/>
          <w:szCs w:val="20"/>
        </w:rPr>
      </w:pPr>
      <w:r w:rsidRPr="009A4FBA">
        <w:rPr>
          <w:sz w:val="20"/>
          <w:szCs w:val="20"/>
        </w:rPr>
        <w:t>67208</w:t>
      </w:r>
      <w:r w:rsidR="00403EDF" w:rsidRPr="009A4FBA">
        <w:rPr>
          <w:sz w:val="20"/>
          <w:szCs w:val="20"/>
        </w:rPr>
        <w:t>815</w:t>
      </w:r>
      <w:r w:rsidRPr="009A4FBA">
        <w:rPr>
          <w:sz w:val="20"/>
          <w:szCs w:val="20"/>
        </w:rPr>
        <w:t xml:space="preserve">, </w:t>
      </w:r>
      <w:hyperlink r:id="rId8" w:history="1">
        <w:r w:rsidRPr="009A4FBA">
          <w:rPr>
            <w:rStyle w:val="Hyperlink"/>
            <w:color w:val="auto"/>
            <w:sz w:val="20"/>
            <w:szCs w:val="20"/>
          </w:rPr>
          <w:t>juristi@dp.gov.lv</w:t>
        </w:r>
      </w:hyperlink>
    </w:p>
    <w:sectPr w:rsidR="008D34EB" w:rsidRPr="009A4FBA" w:rsidSect="00C63D91">
      <w:headerReference w:type="default" r:id="rId9"/>
      <w:footerReference w:type="default" r:id="rId10"/>
      <w:footerReference w:type="first" r:id="rId11"/>
      <w:pgSz w:w="11906" w:h="16838"/>
      <w:pgMar w:top="1134" w:right="1134" w:bottom="1134" w:left="1701" w:header="850" w:footer="85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ED" w:rsidRDefault="001528ED" w:rsidP="00F3628F">
      <w:r>
        <w:separator/>
      </w:r>
    </w:p>
  </w:endnote>
  <w:endnote w:type="continuationSeparator" w:id="0">
    <w:p w:rsidR="001528ED" w:rsidRDefault="001528ED"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EB" w:rsidRPr="00C03EEA" w:rsidRDefault="007B724D" w:rsidP="00185096">
    <w:pPr>
      <w:pStyle w:val="Footer"/>
      <w:spacing w:before="120"/>
      <w:ind w:firstLine="0"/>
      <w:rPr>
        <w:sz w:val="20"/>
        <w:szCs w:val="20"/>
      </w:rPr>
    </w:pPr>
    <w:fldSimple w:instr=" FILENAME   \* MERGEFORMAT ">
      <w:r w:rsidR="00217508">
        <w:rPr>
          <w:noProof/>
          <w:sz w:val="20"/>
          <w:szCs w:val="20"/>
          <w:lang w:val="en-US"/>
        </w:rPr>
        <w:t>IEMAnot_250</w:t>
      </w:r>
      <w:r w:rsidR="00FF3146" w:rsidRPr="00FF3146">
        <w:rPr>
          <w:noProof/>
          <w:sz w:val="20"/>
          <w:szCs w:val="20"/>
          <w:lang w:val="en-US"/>
        </w:rPr>
        <w:t>1</w:t>
      </w:r>
      <w:r w:rsidR="00217508">
        <w:rPr>
          <w:noProof/>
          <w:sz w:val="20"/>
          <w:szCs w:val="20"/>
          <w:lang w:val="en-US"/>
        </w:rPr>
        <w:t>2016</w:t>
      </w:r>
      <w:r w:rsidR="00FF3146" w:rsidRPr="00FF3146">
        <w:rPr>
          <w:noProof/>
          <w:sz w:val="20"/>
          <w:szCs w:val="20"/>
          <w:lang w:val="en-US"/>
        </w:rPr>
        <w:t>_ierices</w:t>
      </w:r>
    </w:fldSimple>
    <w:r w:rsidR="008D34EB" w:rsidRPr="00C03EEA">
      <w:rPr>
        <w:sz w:val="20"/>
        <w:szCs w:val="20"/>
        <w:lang w:val="en-US"/>
      </w:rPr>
      <w:t xml:space="preserve">; </w:t>
    </w:r>
    <w:r w:rsidR="008D34EB" w:rsidRPr="00C03EEA">
      <w:rPr>
        <w:sz w:val="20"/>
        <w:szCs w:val="20"/>
      </w:rPr>
      <w:t>Ministru kabineta noteikumu projekta „Grozījum</w:t>
    </w:r>
    <w:r w:rsidR="007B75AD">
      <w:rPr>
        <w:sz w:val="20"/>
        <w:szCs w:val="20"/>
      </w:rPr>
      <w:t>i</w:t>
    </w:r>
    <w:r w:rsidR="008D34EB" w:rsidRPr="00C03EEA">
      <w:rPr>
        <w:sz w:val="20"/>
        <w:szCs w:val="20"/>
      </w:rPr>
      <w:t xml:space="preserve"> Ministru kabineta 2011.</w:t>
    </w:r>
    <w:r w:rsidR="00F83950">
      <w:rPr>
        <w:sz w:val="20"/>
        <w:szCs w:val="20"/>
      </w:rPr>
      <w:t> </w:t>
    </w:r>
    <w:r w:rsidR="008D34EB" w:rsidRPr="00C03EEA">
      <w:rPr>
        <w:sz w:val="20"/>
        <w:szCs w:val="20"/>
      </w:rPr>
      <w:t>gada 27.</w:t>
    </w:r>
    <w:r w:rsidR="00F83950">
      <w:rPr>
        <w:sz w:val="20"/>
        <w:szCs w:val="20"/>
      </w:rPr>
      <w:t> </w:t>
    </w:r>
    <w:r w:rsidR="008D34EB" w:rsidRPr="00C03EEA">
      <w:rPr>
        <w:sz w:val="20"/>
        <w:szCs w:val="20"/>
      </w:rPr>
      <w:t>decembra noteikumos Nr.</w:t>
    </w:r>
    <w:r w:rsidR="00F83950">
      <w:rPr>
        <w:sz w:val="20"/>
        <w:szCs w:val="20"/>
      </w:rPr>
      <w:t> </w:t>
    </w:r>
    <w:r w:rsidR="008D34EB" w:rsidRPr="00C03EEA">
      <w:rPr>
        <w:sz w:val="20"/>
        <w:szCs w:val="20"/>
      </w:rPr>
      <w:t>1025 „Noteikumi par rīcību ar lietiskajiem pierādījumiem un arestēto mantu””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EB" w:rsidRPr="00403EDF" w:rsidRDefault="007B724D" w:rsidP="00C63D91">
    <w:pPr>
      <w:pStyle w:val="Footer"/>
      <w:spacing w:before="120"/>
      <w:ind w:firstLine="0"/>
      <w:rPr>
        <w:sz w:val="20"/>
        <w:szCs w:val="20"/>
      </w:rPr>
    </w:pPr>
    <w:fldSimple w:instr=" FILENAME   \* MERGEFORMAT ">
      <w:r w:rsidR="00217508">
        <w:rPr>
          <w:noProof/>
          <w:sz w:val="20"/>
          <w:szCs w:val="20"/>
          <w:lang w:val="en-US"/>
        </w:rPr>
        <w:t>IEMAnot_25012016</w:t>
      </w:r>
      <w:r w:rsidR="00FF3146" w:rsidRPr="00FF3146">
        <w:rPr>
          <w:noProof/>
          <w:sz w:val="20"/>
          <w:szCs w:val="20"/>
          <w:lang w:val="en-US"/>
        </w:rPr>
        <w:t>_ierices</w:t>
      </w:r>
    </w:fldSimple>
    <w:r w:rsidR="008D34EB">
      <w:rPr>
        <w:sz w:val="20"/>
        <w:szCs w:val="20"/>
      </w:rPr>
      <w:t xml:space="preserve">; </w:t>
    </w:r>
    <w:r w:rsidR="00403EDF" w:rsidRPr="00C03EEA">
      <w:rPr>
        <w:sz w:val="20"/>
        <w:szCs w:val="20"/>
      </w:rPr>
      <w:t>Ministru kabine</w:t>
    </w:r>
    <w:r w:rsidR="00F83950">
      <w:rPr>
        <w:sz w:val="20"/>
        <w:szCs w:val="20"/>
      </w:rPr>
      <w:t>ta noteikumu projekta „Grozījum</w:t>
    </w:r>
    <w:r w:rsidR="007B75AD">
      <w:rPr>
        <w:sz w:val="20"/>
        <w:szCs w:val="20"/>
      </w:rPr>
      <w:t>i</w:t>
    </w:r>
    <w:r w:rsidR="00403EDF" w:rsidRPr="00C03EEA">
      <w:rPr>
        <w:sz w:val="20"/>
        <w:szCs w:val="20"/>
      </w:rPr>
      <w:t xml:space="preserve"> Ministru kabineta 2011.</w:t>
    </w:r>
    <w:r w:rsidR="00F83950">
      <w:rPr>
        <w:sz w:val="20"/>
        <w:szCs w:val="20"/>
      </w:rPr>
      <w:t> </w:t>
    </w:r>
    <w:r w:rsidR="00403EDF" w:rsidRPr="00C03EEA">
      <w:rPr>
        <w:sz w:val="20"/>
        <w:szCs w:val="20"/>
      </w:rPr>
      <w:t>gada 27.</w:t>
    </w:r>
    <w:r w:rsidR="00F83950">
      <w:rPr>
        <w:sz w:val="20"/>
        <w:szCs w:val="20"/>
      </w:rPr>
      <w:t> </w:t>
    </w:r>
    <w:r w:rsidR="00403EDF" w:rsidRPr="00C03EEA">
      <w:rPr>
        <w:sz w:val="20"/>
        <w:szCs w:val="20"/>
      </w:rPr>
      <w:t>decembra noteikumos Nr.</w:t>
    </w:r>
    <w:r w:rsidR="00F83950">
      <w:rPr>
        <w:sz w:val="20"/>
        <w:szCs w:val="20"/>
      </w:rPr>
      <w:t> </w:t>
    </w:r>
    <w:r w:rsidR="00403EDF" w:rsidRPr="00C03EEA">
      <w:rPr>
        <w:sz w:val="20"/>
        <w:szCs w:val="20"/>
      </w:rPr>
      <w:t>1025 „Noteikumi par rīcību ar lietiskajiem pierādījumiem un arestēto mantu””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ED" w:rsidRDefault="001528ED" w:rsidP="00F3628F">
      <w:r>
        <w:separator/>
      </w:r>
    </w:p>
  </w:footnote>
  <w:footnote w:type="continuationSeparator" w:id="0">
    <w:p w:rsidR="001528ED" w:rsidRDefault="001528ED"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EB" w:rsidRDefault="008D34EB" w:rsidP="009A4FB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217508">
      <w:rPr>
        <w:noProof/>
        <w:sz w:val="20"/>
        <w:szCs w:val="20"/>
      </w:rPr>
      <w:t>5</w:t>
    </w:r>
    <w:r w:rsidRPr="00B605EA">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41396178"/>
    <w:multiLevelType w:val="hybridMultilevel"/>
    <w:tmpl w:val="05145160"/>
    <w:lvl w:ilvl="0" w:tplc="C632E56C">
      <w:start w:val="2009"/>
      <w:numFmt w:val="bullet"/>
      <w:lvlText w:val="-"/>
      <w:lvlJc w:val="left"/>
      <w:pPr>
        <w:ind w:left="1440" w:hanging="360"/>
      </w:pPr>
      <w:rPr>
        <w:rFonts w:ascii="Times New Roman" w:eastAsia="Times New Roman" w:hAnsi="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10AB"/>
    <w:rsid w:val="00011D89"/>
    <w:rsid w:val="00014974"/>
    <w:rsid w:val="00034767"/>
    <w:rsid w:val="00046B64"/>
    <w:rsid w:val="00062181"/>
    <w:rsid w:val="0007566F"/>
    <w:rsid w:val="00077CE8"/>
    <w:rsid w:val="00083D16"/>
    <w:rsid w:val="0008799E"/>
    <w:rsid w:val="000D513D"/>
    <w:rsid w:val="000E5184"/>
    <w:rsid w:val="000E7ED0"/>
    <w:rsid w:val="00101B1C"/>
    <w:rsid w:val="0013550B"/>
    <w:rsid w:val="0013569A"/>
    <w:rsid w:val="00140597"/>
    <w:rsid w:val="00151C8F"/>
    <w:rsid w:val="001528ED"/>
    <w:rsid w:val="00161FC1"/>
    <w:rsid w:val="00171441"/>
    <w:rsid w:val="00171E4F"/>
    <w:rsid w:val="0018091E"/>
    <w:rsid w:val="00183AE1"/>
    <w:rsid w:val="00185096"/>
    <w:rsid w:val="001A4487"/>
    <w:rsid w:val="001C0EEE"/>
    <w:rsid w:val="001C6521"/>
    <w:rsid w:val="001D1F48"/>
    <w:rsid w:val="001D510D"/>
    <w:rsid w:val="001D5646"/>
    <w:rsid w:val="001D681A"/>
    <w:rsid w:val="001E250C"/>
    <w:rsid w:val="001E4331"/>
    <w:rsid w:val="001F4AB0"/>
    <w:rsid w:val="00200F0F"/>
    <w:rsid w:val="00205CD5"/>
    <w:rsid w:val="0021213F"/>
    <w:rsid w:val="00217508"/>
    <w:rsid w:val="00224D56"/>
    <w:rsid w:val="00227D61"/>
    <w:rsid w:val="00227DDE"/>
    <w:rsid w:val="00227ED8"/>
    <w:rsid w:val="002349F6"/>
    <w:rsid w:val="00243873"/>
    <w:rsid w:val="0026042D"/>
    <w:rsid w:val="0027319E"/>
    <w:rsid w:val="0027455A"/>
    <w:rsid w:val="0028136B"/>
    <w:rsid w:val="002A1F02"/>
    <w:rsid w:val="002A3D3A"/>
    <w:rsid w:val="002B493B"/>
    <w:rsid w:val="002C01C2"/>
    <w:rsid w:val="002C59EB"/>
    <w:rsid w:val="002D2B36"/>
    <w:rsid w:val="002E55E1"/>
    <w:rsid w:val="002F4C71"/>
    <w:rsid w:val="003010E0"/>
    <w:rsid w:val="003102AA"/>
    <w:rsid w:val="003118A8"/>
    <w:rsid w:val="00313A09"/>
    <w:rsid w:val="00314C6B"/>
    <w:rsid w:val="0032136B"/>
    <w:rsid w:val="003235AA"/>
    <w:rsid w:val="00323BBE"/>
    <w:rsid w:val="003417A9"/>
    <w:rsid w:val="00354F54"/>
    <w:rsid w:val="00355FC9"/>
    <w:rsid w:val="0036204A"/>
    <w:rsid w:val="003D393B"/>
    <w:rsid w:val="003D397A"/>
    <w:rsid w:val="003D4D13"/>
    <w:rsid w:val="003D6EA8"/>
    <w:rsid w:val="003E2A61"/>
    <w:rsid w:val="003E55D3"/>
    <w:rsid w:val="00402041"/>
    <w:rsid w:val="00403EDF"/>
    <w:rsid w:val="00403F5E"/>
    <w:rsid w:val="00424AB3"/>
    <w:rsid w:val="0044584E"/>
    <w:rsid w:val="004466EA"/>
    <w:rsid w:val="004509D5"/>
    <w:rsid w:val="00455938"/>
    <w:rsid w:val="0046668C"/>
    <w:rsid w:val="004701FD"/>
    <w:rsid w:val="00476B02"/>
    <w:rsid w:val="00476E9D"/>
    <w:rsid w:val="00490250"/>
    <w:rsid w:val="004B3054"/>
    <w:rsid w:val="004B3FB7"/>
    <w:rsid w:val="004D5D8C"/>
    <w:rsid w:val="004F460B"/>
    <w:rsid w:val="004F55B2"/>
    <w:rsid w:val="004F62C2"/>
    <w:rsid w:val="00507BA0"/>
    <w:rsid w:val="005128C9"/>
    <w:rsid w:val="00522BA5"/>
    <w:rsid w:val="005264E2"/>
    <w:rsid w:val="005401E9"/>
    <w:rsid w:val="00571B50"/>
    <w:rsid w:val="00572504"/>
    <w:rsid w:val="00580DDF"/>
    <w:rsid w:val="00583CFA"/>
    <w:rsid w:val="005937BE"/>
    <w:rsid w:val="005A2741"/>
    <w:rsid w:val="005A3F65"/>
    <w:rsid w:val="005C04DC"/>
    <w:rsid w:val="005C6C07"/>
    <w:rsid w:val="005D0796"/>
    <w:rsid w:val="005E36D1"/>
    <w:rsid w:val="006020DB"/>
    <w:rsid w:val="006076D1"/>
    <w:rsid w:val="00607E96"/>
    <w:rsid w:val="00612737"/>
    <w:rsid w:val="00616CC7"/>
    <w:rsid w:val="0062391C"/>
    <w:rsid w:val="00623A32"/>
    <w:rsid w:val="0064086D"/>
    <w:rsid w:val="006462A7"/>
    <w:rsid w:val="006569DF"/>
    <w:rsid w:val="006810B6"/>
    <w:rsid w:val="00683BBE"/>
    <w:rsid w:val="00684699"/>
    <w:rsid w:val="00684BEB"/>
    <w:rsid w:val="00687DEE"/>
    <w:rsid w:val="00695960"/>
    <w:rsid w:val="006A34DA"/>
    <w:rsid w:val="006B58A6"/>
    <w:rsid w:val="006B6D96"/>
    <w:rsid w:val="006C7180"/>
    <w:rsid w:val="006C76BC"/>
    <w:rsid w:val="006F223E"/>
    <w:rsid w:val="006F6363"/>
    <w:rsid w:val="00715FE0"/>
    <w:rsid w:val="00717A8A"/>
    <w:rsid w:val="00721653"/>
    <w:rsid w:val="0072173B"/>
    <w:rsid w:val="00725014"/>
    <w:rsid w:val="00734965"/>
    <w:rsid w:val="0073700E"/>
    <w:rsid w:val="007536A2"/>
    <w:rsid w:val="007719B6"/>
    <w:rsid w:val="007747B8"/>
    <w:rsid w:val="007B724D"/>
    <w:rsid w:val="007B75AD"/>
    <w:rsid w:val="007C065A"/>
    <w:rsid w:val="007C3FFC"/>
    <w:rsid w:val="007D2A31"/>
    <w:rsid w:val="007D5007"/>
    <w:rsid w:val="007E0AEF"/>
    <w:rsid w:val="007F61C4"/>
    <w:rsid w:val="00800BE8"/>
    <w:rsid w:val="008230AB"/>
    <w:rsid w:val="00827B09"/>
    <w:rsid w:val="008301CE"/>
    <w:rsid w:val="00845D78"/>
    <w:rsid w:val="00850A1C"/>
    <w:rsid w:val="008609B5"/>
    <w:rsid w:val="00862D0F"/>
    <w:rsid w:val="00876D96"/>
    <w:rsid w:val="008773AE"/>
    <w:rsid w:val="0088221C"/>
    <w:rsid w:val="00887DF1"/>
    <w:rsid w:val="0089767B"/>
    <w:rsid w:val="008A5680"/>
    <w:rsid w:val="008A6802"/>
    <w:rsid w:val="008C16EE"/>
    <w:rsid w:val="008D34EB"/>
    <w:rsid w:val="008D5E43"/>
    <w:rsid w:val="008E5B8E"/>
    <w:rsid w:val="008E7BC0"/>
    <w:rsid w:val="008F34BD"/>
    <w:rsid w:val="00902BE1"/>
    <w:rsid w:val="009043BF"/>
    <w:rsid w:val="00907B1F"/>
    <w:rsid w:val="00914EC7"/>
    <w:rsid w:val="00915D58"/>
    <w:rsid w:val="00921B07"/>
    <w:rsid w:val="00922A16"/>
    <w:rsid w:val="00922E26"/>
    <w:rsid w:val="00930C6C"/>
    <w:rsid w:val="00945173"/>
    <w:rsid w:val="00945180"/>
    <w:rsid w:val="009566B4"/>
    <w:rsid w:val="009629B8"/>
    <w:rsid w:val="00963E11"/>
    <w:rsid w:val="00994A60"/>
    <w:rsid w:val="009A4FBA"/>
    <w:rsid w:val="009B123F"/>
    <w:rsid w:val="009B2E47"/>
    <w:rsid w:val="009B4710"/>
    <w:rsid w:val="009B479F"/>
    <w:rsid w:val="009B7317"/>
    <w:rsid w:val="009C1D16"/>
    <w:rsid w:val="009F5BAF"/>
    <w:rsid w:val="00A001EB"/>
    <w:rsid w:val="00A06DB2"/>
    <w:rsid w:val="00A24594"/>
    <w:rsid w:val="00A26085"/>
    <w:rsid w:val="00A32E4A"/>
    <w:rsid w:val="00A42311"/>
    <w:rsid w:val="00A56F4C"/>
    <w:rsid w:val="00A65AE7"/>
    <w:rsid w:val="00A80551"/>
    <w:rsid w:val="00A900F4"/>
    <w:rsid w:val="00A95040"/>
    <w:rsid w:val="00A9559E"/>
    <w:rsid w:val="00A974F2"/>
    <w:rsid w:val="00AA5967"/>
    <w:rsid w:val="00AB3022"/>
    <w:rsid w:val="00AB6F4E"/>
    <w:rsid w:val="00AF1141"/>
    <w:rsid w:val="00AF2B4C"/>
    <w:rsid w:val="00AF7FCC"/>
    <w:rsid w:val="00B06C4B"/>
    <w:rsid w:val="00B16423"/>
    <w:rsid w:val="00B21D01"/>
    <w:rsid w:val="00B30091"/>
    <w:rsid w:val="00B33B03"/>
    <w:rsid w:val="00B3614A"/>
    <w:rsid w:val="00B36FC0"/>
    <w:rsid w:val="00B57428"/>
    <w:rsid w:val="00B605EA"/>
    <w:rsid w:val="00B63CA4"/>
    <w:rsid w:val="00B75620"/>
    <w:rsid w:val="00B774F4"/>
    <w:rsid w:val="00B91EF1"/>
    <w:rsid w:val="00BA5524"/>
    <w:rsid w:val="00BA572C"/>
    <w:rsid w:val="00BA5E65"/>
    <w:rsid w:val="00BA6840"/>
    <w:rsid w:val="00BD1EF0"/>
    <w:rsid w:val="00BE22DB"/>
    <w:rsid w:val="00BE6D54"/>
    <w:rsid w:val="00BE7D32"/>
    <w:rsid w:val="00BF041C"/>
    <w:rsid w:val="00BF4C08"/>
    <w:rsid w:val="00C00BF4"/>
    <w:rsid w:val="00C03EEA"/>
    <w:rsid w:val="00C22A7A"/>
    <w:rsid w:val="00C46297"/>
    <w:rsid w:val="00C46783"/>
    <w:rsid w:val="00C50C1A"/>
    <w:rsid w:val="00C6177A"/>
    <w:rsid w:val="00C63D91"/>
    <w:rsid w:val="00C75CD7"/>
    <w:rsid w:val="00CA6124"/>
    <w:rsid w:val="00CB0FEC"/>
    <w:rsid w:val="00CB60C3"/>
    <w:rsid w:val="00CE1E58"/>
    <w:rsid w:val="00CE3270"/>
    <w:rsid w:val="00CE60DB"/>
    <w:rsid w:val="00D0737C"/>
    <w:rsid w:val="00D12AF7"/>
    <w:rsid w:val="00D1766F"/>
    <w:rsid w:val="00D33CA6"/>
    <w:rsid w:val="00D4453F"/>
    <w:rsid w:val="00D63A07"/>
    <w:rsid w:val="00D65B61"/>
    <w:rsid w:val="00D847A7"/>
    <w:rsid w:val="00D87E7A"/>
    <w:rsid w:val="00D910B0"/>
    <w:rsid w:val="00DA192D"/>
    <w:rsid w:val="00DB0ED8"/>
    <w:rsid w:val="00DB5144"/>
    <w:rsid w:val="00DD16D0"/>
    <w:rsid w:val="00DD22B3"/>
    <w:rsid w:val="00DE0A42"/>
    <w:rsid w:val="00DE4E14"/>
    <w:rsid w:val="00DF0A49"/>
    <w:rsid w:val="00DF183D"/>
    <w:rsid w:val="00DF3ADF"/>
    <w:rsid w:val="00DF5B9E"/>
    <w:rsid w:val="00E17EDA"/>
    <w:rsid w:val="00E21D7E"/>
    <w:rsid w:val="00E32545"/>
    <w:rsid w:val="00E750BC"/>
    <w:rsid w:val="00E964AE"/>
    <w:rsid w:val="00EB0963"/>
    <w:rsid w:val="00EC1DC1"/>
    <w:rsid w:val="00EC35ED"/>
    <w:rsid w:val="00ED552A"/>
    <w:rsid w:val="00ED622B"/>
    <w:rsid w:val="00EF1664"/>
    <w:rsid w:val="00EF35E7"/>
    <w:rsid w:val="00EF3D7B"/>
    <w:rsid w:val="00EF52DE"/>
    <w:rsid w:val="00F04084"/>
    <w:rsid w:val="00F04654"/>
    <w:rsid w:val="00F22BF7"/>
    <w:rsid w:val="00F25BDA"/>
    <w:rsid w:val="00F26636"/>
    <w:rsid w:val="00F317DC"/>
    <w:rsid w:val="00F3628F"/>
    <w:rsid w:val="00F37DCD"/>
    <w:rsid w:val="00F47C8C"/>
    <w:rsid w:val="00F52299"/>
    <w:rsid w:val="00F70446"/>
    <w:rsid w:val="00F705E3"/>
    <w:rsid w:val="00F81D8F"/>
    <w:rsid w:val="00F8250F"/>
    <w:rsid w:val="00F8286C"/>
    <w:rsid w:val="00F83950"/>
    <w:rsid w:val="00F83BDB"/>
    <w:rsid w:val="00F953D7"/>
    <w:rsid w:val="00FA11EA"/>
    <w:rsid w:val="00FA2202"/>
    <w:rsid w:val="00FB1F80"/>
    <w:rsid w:val="00FC6323"/>
    <w:rsid w:val="00FD35E8"/>
    <w:rsid w:val="00FD61B9"/>
    <w:rsid w:val="00FE346D"/>
    <w:rsid w:val="00FE68D5"/>
    <w:rsid w:val="00FF0E79"/>
    <w:rsid w:val="00FF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3AA6CE5-D4E8-47EB-A7F4-88856A23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1"/>
    <w:pPr>
      <w:ind w:firstLine="720"/>
      <w:jc w:val="both"/>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styleId="CommentReference">
    <w:name w:val="annotation reference"/>
    <w:basedOn w:val="DefaultParagraphFont"/>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basedOn w:val="DefaultParagraphFont"/>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basedOn w:val="DefaultParagraphFont"/>
    <w:link w:val="BodyText"/>
    <w:uiPriority w:val="99"/>
    <w:locked/>
    <w:rsid w:val="001F4AB0"/>
    <w:rPr>
      <w:rFonts w:eastAsia="Times New Roman" w:cs="Times New Roman"/>
      <w:b/>
      <w:bCs/>
      <w:sz w:val="24"/>
      <w:szCs w:val="24"/>
      <w:lang w:val="lv-LV" w:eastAsia="en-US" w:bidi="ar-SA"/>
    </w:rPr>
  </w:style>
  <w:style w:type="paragraph" w:styleId="CommentSubject">
    <w:name w:val="annotation subject"/>
    <w:basedOn w:val="CommentText"/>
    <w:next w:val="CommentText"/>
    <w:link w:val="CommentSubjectChar"/>
    <w:uiPriority w:val="99"/>
    <w:semiHidden/>
    <w:unhideWhenUsed/>
    <w:rsid w:val="009043BF"/>
    <w:rPr>
      <w:b/>
      <w:bCs/>
      <w:sz w:val="20"/>
      <w:lang w:eastAsia="en-US"/>
    </w:rPr>
  </w:style>
  <w:style w:type="character" w:customStyle="1" w:styleId="CommentSubjectChar">
    <w:name w:val="Comment Subject Char"/>
    <w:basedOn w:val="CommentTextChar"/>
    <w:link w:val="CommentSubject"/>
    <w:uiPriority w:val="99"/>
    <w:semiHidden/>
    <w:rsid w:val="009043BF"/>
    <w:rPr>
      <w:rFonts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5363">
      <w:marLeft w:val="0"/>
      <w:marRight w:val="0"/>
      <w:marTop w:val="0"/>
      <w:marBottom w:val="0"/>
      <w:divBdr>
        <w:top w:val="none" w:sz="0" w:space="0" w:color="auto"/>
        <w:left w:val="none" w:sz="0" w:space="0" w:color="auto"/>
        <w:bottom w:val="none" w:sz="0" w:space="0" w:color="auto"/>
        <w:right w:val="none" w:sz="0" w:space="0" w:color="auto"/>
      </w:divBdr>
    </w:div>
    <w:div w:id="713115364">
      <w:marLeft w:val="0"/>
      <w:marRight w:val="0"/>
      <w:marTop w:val="0"/>
      <w:marBottom w:val="0"/>
      <w:divBdr>
        <w:top w:val="none" w:sz="0" w:space="0" w:color="auto"/>
        <w:left w:val="none" w:sz="0" w:space="0" w:color="auto"/>
        <w:bottom w:val="none" w:sz="0" w:space="0" w:color="auto"/>
        <w:right w:val="none" w:sz="0" w:space="0" w:color="auto"/>
      </w:divBdr>
    </w:div>
    <w:div w:id="713115365">
      <w:marLeft w:val="0"/>
      <w:marRight w:val="0"/>
      <w:marTop w:val="0"/>
      <w:marBottom w:val="0"/>
      <w:divBdr>
        <w:top w:val="none" w:sz="0" w:space="0" w:color="auto"/>
        <w:left w:val="none" w:sz="0" w:space="0" w:color="auto"/>
        <w:bottom w:val="none" w:sz="0" w:space="0" w:color="auto"/>
        <w:right w:val="none" w:sz="0" w:space="0" w:color="auto"/>
      </w:divBdr>
    </w:div>
    <w:div w:id="9086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d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26E7-EA57-4503-B58D-7C06C27E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11572</Characters>
  <Application>Microsoft Office Word</Application>
  <DocSecurity>0</DocSecurity>
  <Lines>282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36553</cp:lastModifiedBy>
  <cp:revision>3</cp:revision>
  <cp:lastPrinted>2015-11-26T16:09:00Z</cp:lastPrinted>
  <dcterms:created xsi:type="dcterms:W3CDTF">2015-10-28T07:38:00Z</dcterms:created>
  <dcterms:modified xsi:type="dcterms:W3CDTF">2016-01-26T13:12:00Z</dcterms:modified>
</cp:coreProperties>
</file>