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712E" w14:textId="1AF2F55F" w:rsidR="00CA68E0" w:rsidRPr="00EE151F" w:rsidRDefault="00CA68E0" w:rsidP="0079133E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58548487" w14:textId="77777777" w:rsidR="00D65E20" w:rsidRPr="00EE151F" w:rsidRDefault="00D65E20" w:rsidP="0079133E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717D0AF6" w14:textId="77777777" w:rsidR="00CA68E0" w:rsidRPr="00EE151F" w:rsidRDefault="00CA68E0" w:rsidP="0079133E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7664758F" w14:textId="34C180EB" w:rsidR="00D65E20" w:rsidRPr="00693240" w:rsidRDefault="00D65E20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D51583">
        <w:rPr>
          <w:sz w:val="28"/>
          <w:szCs w:val="28"/>
        </w:rPr>
        <w:t>8. martā</w:t>
      </w:r>
      <w:r w:rsidRPr="00693240">
        <w:rPr>
          <w:sz w:val="28"/>
          <w:szCs w:val="28"/>
        </w:rPr>
        <w:tab/>
        <w:t>Noteikumi Nr.</w:t>
      </w:r>
      <w:r w:rsidR="00D51583">
        <w:rPr>
          <w:sz w:val="28"/>
          <w:szCs w:val="28"/>
        </w:rPr>
        <w:t> 144</w:t>
      </w:r>
    </w:p>
    <w:p w14:paraId="06FEEEA1" w14:textId="466970F9" w:rsidR="00D65E20" w:rsidRPr="00693240" w:rsidRDefault="00D65E20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D51583">
        <w:rPr>
          <w:sz w:val="28"/>
          <w:szCs w:val="28"/>
        </w:rPr>
        <w:t>12</w:t>
      </w:r>
      <w:r w:rsidRPr="00693240">
        <w:rPr>
          <w:sz w:val="28"/>
          <w:szCs w:val="28"/>
        </w:rPr>
        <w:t>  </w:t>
      </w:r>
      <w:r w:rsidR="00D51583">
        <w:rPr>
          <w:sz w:val="28"/>
          <w:szCs w:val="28"/>
        </w:rPr>
        <w:t>20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7E370122" w14:textId="6795BC44" w:rsidR="0079133E" w:rsidRPr="001579B5" w:rsidRDefault="0079133E" w:rsidP="0079133E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5D4F9CAD" w14:textId="77777777" w:rsidR="00656D85" w:rsidRDefault="006D72BA" w:rsidP="00656D85">
      <w:pPr>
        <w:pStyle w:val="BodyTextIndent2"/>
        <w:ind w:firstLine="0"/>
        <w:jc w:val="center"/>
        <w:rPr>
          <w:b/>
          <w:bCs/>
        </w:rPr>
      </w:pPr>
      <w:r w:rsidRPr="006D72BA">
        <w:rPr>
          <w:b/>
          <w:bCs/>
        </w:rPr>
        <w:t>Grozījumi Ministru kabineta 2000</w:t>
      </w:r>
      <w:r w:rsidR="00D65E20">
        <w:rPr>
          <w:b/>
          <w:bCs/>
        </w:rPr>
        <w:t>.</w:t>
      </w:r>
      <w:r w:rsidR="00656D85">
        <w:rPr>
          <w:b/>
          <w:bCs/>
        </w:rPr>
        <w:t> </w:t>
      </w:r>
      <w:r w:rsidR="00D65E20">
        <w:rPr>
          <w:b/>
          <w:bCs/>
        </w:rPr>
        <w:t>g</w:t>
      </w:r>
      <w:r w:rsidRPr="006D72BA">
        <w:rPr>
          <w:b/>
          <w:bCs/>
        </w:rPr>
        <w:t>ada 27</w:t>
      </w:r>
      <w:r w:rsidR="00D65E20">
        <w:rPr>
          <w:b/>
          <w:bCs/>
        </w:rPr>
        <w:t>.</w:t>
      </w:r>
      <w:r w:rsidR="00656D85">
        <w:rPr>
          <w:b/>
          <w:bCs/>
        </w:rPr>
        <w:t> </w:t>
      </w:r>
      <w:r w:rsidR="00D65E20">
        <w:rPr>
          <w:b/>
          <w:bCs/>
        </w:rPr>
        <w:t>j</w:t>
      </w:r>
      <w:r w:rsidRPr="006D72BA">
        <w:rPr>
          <w:b/>
          <w:bCs/>
        </w:rPr>
        <w:t>ūnija noteikumos Nr.</w:t>
      </w:r>
      <w:r w:rsidR="001F7602">
        <w:rPr>
          <w:b/>
          <w:bCs/>
        </w:rPr>
        <w:t> </w:t>
      </w:r>
      <w:r w:rsidRPr="006D72BA">
        <w:rPr>
          <w:b/>
          <w:bCs/>
        </w:rPr>
        <w:t xml:space="preserve">211 </w:t>
      </w:r>
      <w:r w:rsidR="001F7602">
        <w:rPr>
          <w:b/>
          <w:bCs/>
        </w:rPr>
        <w:t>"</w:t>
      </w:r>
      <w:r w:rsidRPr="006D72BA">
        <w:rPr>
          <w:b/>
          <w:bCs/>
        </w:rPr>
        <w:t xml:space="preserve">Noteikumi par valsts profesionālās vidējās izglītības standartu un </w:t>
      </w:r>
    </w:p>
    <w:p w14:paraId="7E370124" w14:textId="523A84D2" w:rsidR="0014646D" w:rsidRDefault="006D72BA" w:rsidP="00656D85">
      <w:pPr>
        <w:pStyle w:val="BodyTextIndent2"/>
        <w:ind w:firstLine="0"/>
        <w:jc w:val="center"/>
      </w:pPr>
      <w:r w:rsidRPr="006D72BA">
        <w:rPr>
          <w:b/>
          <w:bCs/>
        </w:rPr>
        <w:t>valsts arodizglītības standartu</w:t>
      </w:r>
      <w:r w:rsidR="00D65E20">
        <w:rPr>
          <w:b/>
          <w:bCs/>
        </w:rPr>
        <w:t>"</w:t>
      </w:r>
    </w:p>
    <w:p w14:paraId="7E370125" w14:textId="77777777" w:rsidR="006D72BA" w:rsidRDefault="006D72BA" w:rsidP="0079133E">
      <w:pPr>
        <w:pStyle w:val="Heading1"/>
        <w:tabs>
          <w:tab w:val="left" w:pos="6804"/>
        </w:tabs>
        <w:spacing w:after="0"/>
      </w:pPr>
    </w:p>
    <w:p w14:paraId="7E370126" w14:textId="77777777" w:rsidR="009C4884" w:rsidRDefault="009C4884" w:rsidP="0079133E">
      <w:pPr>
        <w:pStyle w:val="Heading1"/>
        <w:tabs>
          <w:tab w:val="left" w:pos="6804"/>
        </w:tabs>
        <w:spacing w:after="0"/>
      </w:pPr>
      <w:r>
        <w:t>Izdoti saskaņā ar</w:t>
      </w:r>
    </w:p>
    <w:p w14:paraId="7E370127" w14:textId="779AB07B" w:rsidR="006D72BA" w:rsidRDefault="006D72BA" w:rsidP="006D72BA">
      <w:pPr>
        <w:pStyle w:val="BodyTextIndent2"/>
        <w:jc w:val="right"/>
      </w:pPr>
      <w:r>
        <w:t>Izglītības likuma 14</w:t>
      </w:r>
      <w:r w:rsidR="00D65E20">
        <w:t>.</w:t>
      </w:r>
      <w:r w:rsidR="00656D85">
        <w:t> </w:t>
      </w:r>
      <w:r w:rsidR="00D65E20">
        <w:t>p</w:t>
      </w:r>
      <w:r>
        <w:t>anta 19</w:t>
      </w:r>
      <w:r w:rsidR="00656D85">
        <w:t>. </w:t>
      </w:r>
      <w:r w:rsidR="00D65E20">
        <w:t>p</w:t>
      </w:r>
      <w:r>
        <w:t>unktu un</w:t>
      </w:r>
    </w:p>
    <w:p w14:paraId="2A063C50" w14:textId="77777777" w:rsidR="00656D85" w:rsidRDefault="006D72BA" w:rsidP="006D72BA">
      <w:pPr>
        <w:pStyle w:val="BodyTextIndent2"/>
        <w:jc w:val="right"/>
      </w:pPr>
      <w:r>
        <w:t xml:space="preserve">Profesionālās izglītības likuma </w:t>
      </w:r>
    </w:p>
    <w:p w14:paraId="7E370128" w14:textId="383C57AF" w:rsidR="0014646D" w:rsidRDefault="006D72BA" w:rsidP="006D72BA">
      <w:pPr>
        <w:pStyle w:val="BodyTextIndent2"/>
        <w:jc w:val="right"/>
      </w:pPr>
      <w:r>
        <w:t>23</w:t>
      </w:r>
      <w:r w:rsidR="00D65E20">
        <w:t>.</w:t>
      </w:r>
      <w:r w:rsidR="00656D85">
        <w:t> </w:t>
      </w:r>
      <w:r w:rsidR="00D65E20">
        <w:t>p</w:t>
      </w:r>
      <w:r>
        <w:t>anta otro daļu</w:t>
      </w:r>
    </w:p>
    <w:p w14:paraId="7E370129" w14:textId="77777777" w:rsidR="006D72BA" w:rsidRDefault="006D72BA" w:rsidP="006D72BA">
      <w:pPr>
        <w:pStyle w:val="BodyTextIndent2"/>
      </w:pPr>
    </w:p>
    <w:p w14:paraId="7E37012A" w14:textId="695ABC7C" w:rsidR="0094322E" w:rsidRDefault="00FC4251" w:rsidP="00FC4251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2DA">
        <w:rPr>
          <w:sz w:val="28"/>
          <w:szCs w:val="28"/>
        </w:rPr>
        <w:t>1.</w:t>
      </w:r>
      <w:r w:rsidR="00656D85">
        <w:rPr>
          <w:sz w:val="28"/>
          <w:szCs w:val="28"/>
        </w:rPr>
        <w:t> </w:t>
      </w:r>
      <w:r w:rsidR="008F5AF5">
        <w:rPr>
          <w:sz w:val="28"/>
          <w:szCs w:val="28"/>
        </w:rPr>
        <w:t>Izdarīt Ministru kabineta 20</w:t>
      </w:r>
      <w:r w:rsidR="006D72BA">
        <w:rPr>
          <w:sz w:val="28"/>
          <w:szCs w:val="28"/>
        </w:rPr>
        <w:t>00</w:t>
      </w:r>
      <w:r w:rsidR="00D65E20">
        <w:rPr>
          <w:sz w:val="28"/>
          <w:szCs w:val="28"/>
        </w:rPr>
        <w:t>.</w:t>
      </w:r>
      <w:r w:rsidR="00656D85">
        <w:rPr>
          <w:sz w:val="28"/>
          <w:szCs w:val="28"/>
        </w:rPr>
        <w:t> </w:t>
      </w:r>
      <w:r w:rsidR="00D65E20">
        <w:rPr>
          <w:sz w:val="28"/>
          <w:szCs w:val="28"/>
        </w:rPr>
        <w:t>g</w:t>
      </w:r>
      <w:r w:rsidR="008F5AF5">
        <w:rPr>
          <w:sz w:val="28"/>
          <w:szCs w:val="28"/>
        </w:rPr>
        <w:t>ada 2</w:t>
      </w:r>
      <w:r w:rsidR="006D72BA">
        <w:rPr>
          <w:sz w:val="28"/>
          <w:szCs w:val="28"/>
        </w:rPr>
        <w:t>7</w:t>
      </w:r>
      <w:r w:rsidR="00D65E20">
        <w:rPr>
          <w:sz w:val="28"/>
          <w:szCs w:val="28"/>
        </w:rPr>
        <w:t>.</w:t>
      </w:r>
      <w:r w:rsidR="00656D85">
        <w:rPr>
          <w:sz w:val="28"/>
          <w:szCs w:val="28"/>
        </w:rPr>
        <w:t> </w:t>
      </w:r>
      <w:r w:rsidR="00D65E20">
        <w:rPr>
          <w:sz w:val="28"/>
          <w:szCs w:val="28"/>
        </w:rPr>
        <w:t>j</w:t>
      </w:r>
      <w:r w:rsidR="006D72BA">
        <w:rPr>
          <w:sz w:val="28"/>
          <w:szCs w:val="28"/>
        </w:rPr>
        <w:t>ūnija</w:t>
      </w:r>
      <w:r w:rsidR="008F5AF5">
        <w:rPr>
          <w:sz w:val="28"/>
          <w:szCs w:val="28"/>
        </w:rPr>
        <w:t xml:space="preserve"> noteikumos Nr.</w:t>
      </w:r>
      <w:r w:rsidR="00656D85">
        <w:rPr>
          <w:sz w:val="28"/>
          <w:szCs w:val="28"/>
        </w:rPr>
        <w:t> </w:t>
      </w:r>
      <w:r w:rsidR="008F5AF5">
        <w:rPr>
          <w:sz w:val="28"/>
          <w:szCs w:val="28"/>
        </w:rPr>
        <w:t>2</w:t>
      </w:r>
      <w:r w:rsidR="006D72BA">
        <w:rPr>
          <w:sz w:val="28"/>
          <w:szCs w:val="28"/>
        </w:rPr>
        <w:t>11</w:t>
      </w:r>
      <w:r w:rsidR="00E62A8C">
        <w:rPr>
          <w:sz w:val="28"/>
          <w:szCs w:val="28"/>
        </w:rPr>
        <w:t xml:space="preserve"> </w:t>
      </w:r>
      <w:r w:rsidR="006955AD">
        <w:rPr>
          <w:sz w:val="28"/>
          <w:szCs w:val="28"/>
        </w:rPr>
        <w:t>"</w:t>
      </w:r>
      <w:r w:rsidR="006D72BA" w:rsidRPr="006D72BA">
        <w:rPr>
          <w:sz w:val="28"/>
          <w:szCs w:val="28"/>
        </w:rPr>
        <w:t>Noteikumi par valsts profesionālās vidējās izglītības standartu un valsts arodizglītības standartu</w:t>
      </w:r>
      <w:r w:rsidR="00D65E20">
        <w:rPr>
          <w:sz w:val="28"/>
          <w:szCs w:val="28"/>
        </w:rPr>
        <w:t>"</w:t>
      </w:r>
      <w:r w:rsidR="00E62A8C">
        <w:rPr>
          <w:sz w:val="28"/>
          <w:szCs w:val="28"/>
        </w:rPr>
        <w:t xml:space="preserve"> </w:t>
      </w:r>
      <w:r w:rsidR="008F5AF5">
        <w:rPr>
          <w:sz w:val="28"/>
          <w:szCs w:val="28"/>
        </w:rPr>
        <w:t>(Latvijas Vēstnesis, 20</w:t>
      </w:r>
      <w:r w:rsidR="006D72BA">
        <w:rPr>
          <w:sz w:val="28"/>
          <w:szCs w:val="28"/>
        </w:rPr>
        <w:t>00</w:t>
      </w:r>
      <w:r w:rsidR="000E3A15">
        <w:rPr>
          <w:sz w:val="28"/>
          <w:szCs w:val="28"/>
        </w:rPr>
        <w:t xml:space="preserve">, </w:t>
      </w:r>
      <w:r w:rsidR="006D72BA">
        <w:rPr>
          <w:sz w:val="28"/>
          <w:szCs w:val="28"/>
        </w:rPr>
        <w:t>244</w:t>
      </w:r>
      <w:r w:rsidR="00656D85">
        <w:rPr>
          <w:sz w:val="28"/>
          <w:szCs w:val="28"/>
        </w:rPr>
        <w:t>.</w:t>
      </w:r>
      <w:r w:rsidR="006D72BA">
        <w:rPr>
          <w:sz w:val="28"/>
          <w:szCs w:val="28"/>
        </w:rPr>
        <w:t>/246</w:t>
      </w:r>
      <w:r w:rsidR="00D65E20">
        <w:rPr>
          <w:sz w:val="28"/>
          <w:szCs w:val="28"/>
        </w:rPr>
        <w:t>.</w:t>
      </w:r>
      <w:r w:rsidR="00656D85">
        <w:rPr>
          <w:sz w:val="28"/>
          <w:szCs w:val="28"/>
        </w:rPr>
        <w:t> </w:t>
      </w:r>
      <w:r w:rsidR="00D65E20">
        <w:rPr>
          <w:sz w:val="28"/>
          <w:szCs w:val="28"/>
        </w:rPr>
        <w:t>n</w:t>
      </w:r>
      <w:r w:rsidR="00652EFB" w:rsidRPr="00292B4F">
        <w:rPr>
          <w:sz w:val="28"/>
          <w:szCs w:val="28"/>
        </w:rPr>
        <w:t>r</w:t>
      </w:r>
      <w:r w:rsidR="00652EFB">
        <w:rPr>
          <w:sz w:val="28"/>
          <w:szCs w:val="28"/>
        </w:rPr>
        <w:t>.</w:t>
      </w:r>
      <w:r w:rsidR="00B9363F">
        <w:rPr>
          <w:sz w:val="28"/>
          <w:szCs w:val="28"/>
        </w:rPr>
        <w:t>; 200</w:t>
      </w:r>
      <w:r w:rsidR="00400753">
        <w:rPr>
          <w:sz w:val="28"/>
          <w:szCs w:val="28"/>
        </w:rPr>
        <w:t>4</w:t>
      </w:r>
      <w:r w:rsidR="00B9363F">
        <w:rPr>
          <w:sz w:val="28"/>
          <w:szCs w:val="28"/>
        </w:rPr>
        <w:t>, 98</w:t>
      </w:r>
      <w:r w:rsidR="00D65E20">
        <w:rPr>
          <w:sz w:val="28"/>
          <w:szCs w:val="28"/>
        </w:rPr>
        <w:t>.</w:t>
      </w:r>
      <w:r w:rsidR="00656D85">
        <w:rPr>
          <w:sz w:val="28"/>
          <w:szCs w:val="28"/>
        </w:rPr>
        <w:t> </w:t>
      </w:r>
      <w:r w:rsidR="00D65E20">
        <w:rPr>
          <w:sz w:val="28"/>
          <w:szCs w:val="28"/>
        </w:rPr>
        <w:t>n</w:t>
      </w:r>
      <w:r w:rsidR="00B9363F">
        <w:rPr>
          <w:sz w:val="28"/>
          <w:szCs w:val="28"/>
        </w:rPr>
        <w:t>r.</w:t>
      </w:r>
      <w:r w:rsidR="00400753">
        <w:rPr>
          <w:sz w:val="28"/>
          <w:szCs w:val="28"/>
        </w:rPr>
        <w:t>; 2006, 138</w:t>
      </w:r>
      <w:r w:rsidR="00D65E20">
        <w:rPr>
          <w:sz w:val="28"/>
          <w:szCs w:val="28"/>
        </w:rPr>
        <w:t>.</w:t>
      </w:r>
      <w:r w:rsidR="00656D85">
        <w:rPr>
          <w:sz w:val="28"/>
          <w:szCs w:val="28"/>
        </w:rPr>
        <w:t> </w:t>
      </w:r>
      <w:r w:rsidR="00D65E20">
        <w:rPr>
          <w:sz w:val="28"/>
          <w:szCs w:val="28"/>
        </w:rPr>
        <w:t>n</w:t>
      </w:r>
      <w:r w:rsidR="00400753">
        <w:rPr>
          <w:sz w:val="28"/>
          <w:szCs w:val="28"/>
        </w:rPr>
        <w:t>r.; 2008, 201</w:t>
      </w:r>
      <w:r w:rsidR="00D65E20">
        <w:rPr>
          <w:sz w:val="28"/>
          <w:szCs w:val="28"/>
        </w:rPr>
        <w:t>.</w:t>
      </w:r>
      <w:r w:rsidR="00FC37CE">
        <w:rPr>
          <w:sz w:val="28"/>
          <w:szCs w:val="28"/>
        </w:rPr>
        <w:t> </w:t>
      </w:r>
      <w:r w:rsidR="00D65E20">
        <w:rPr>
          <w:sz w:val="28"/>
          <w:szCs w:val="28"/>
        </w:rPr>
        <w:t>n</w:t>
      </w:r>
      <w:r w:rsidR="00400753">
        <w:rPr>
          <w:sz w:val="28"/>
          <w:szCs w:val="28"/>
        </w:rPr>
        <w:t>r.; 2010, 144</w:t>
      </w:r>
      <w:r w:rsidR="00D65E20">
        <w:rPr>
          <w:sz w:val="28"/>
          <w:szCs w:val="28"/>
        </w:rPr>
        <w:t>.</w:t>
      </w:r>
      <w:r w:rsidR="00656D85">
        <w:rPr>
          <w:sz w:val="28"/>
          <w:szCs w:val="28"/>
        </w:rPr>
        <w:t> </w:t>
      </w:r>
      <w:r w:rsidR="00D65E20">
        <w:rPr>
          <w:sz w:val="28"/>
          <w:szCs w:val="28"/>
        </w:rPr>
        <w:t>n</w:t>
      </w:r>
      <w:r w:rsidR="00400753">
        <w:rPr>
          <w:sz w:val="28"/>
          <w:szCs w:val="28"/>
        </w:rPr>
        <w:t>r.</w:t>
      </w:r>
      <w:r w:rsidR="000E3A15">
        <w:rPr>
          <w:sz w:val="28"/>
          <w:szCs w:val="28"/>
        </w:rPr>
        <w:t>) šādu</w:t>
      </w:r>
      <w:r w:rsidR="00C41FBD">
        <w:rPr>
          <w:sz w:val="28"/>
          <w:szCs w:val="28"/>
        </w:rPr>
        <w:t>s</w:t>
      </w:r>
      <w:r w:rsidR="000E3A15">
        <w:rPr>
          <w:sz w:val="28"/>
          <w:szCs w:val="28"/>
        </w:rPr>
        <w:t xml:space="preserve"> gro</w:t>
      </w:r>
      <w:r w:rsidR="00E62A8C">
        <w:rPr>
          <w:sz w:val="28"/>
          <w:szCs w:val="28"/>
        </w:rPr>
        <w:t>zījumu</w:t>
      </w:r>
      <w:r w:rsidR="00C41FBD">
        <w:rPr>
          <w:sz w:val="28"/>
          <w:szCs w:val="28"/>
        </w:rPr>
        <w:t>s</w:t>
      </w:r>
      <w:r w:rsidR="0094322E">
        <w:rPr>
          <w:sz w:val="28"/>
          <w:szCs w:val="28"/>
        </w:rPr>
        <w:t>:</w:t>
      </w:r>
    </w:p>
    <w:p w14:paraId="7E37012C" w14:textId="476B8BBE" w:rsidR="00BD38DC" w:rsidRDefault="00FF159B" w:rsidP="00656D8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02D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C190F">
        <w:rPr>
          <w:sz w:val="28"/>
          <w:szCs w:val="28"/>
        </w:rPr>
        <w:t>p</w:t>
      </w:r>
      <w:r w:rsidR="00C41FBD">
        <w:rPr>
          <w:sz w:val="28"/>
          <w:szCs w:val="28"/>
        </w:rPr>
        <w:t>apildināt noteikumus ar 6.2.4</w:t>
      </w:r>
      <w:r w:rsidR="00D65E20">
        <w:rPr>
          <w:sz w:val="28"/>
          <w:szCs w:val="28"/>
        </w:rPr>
        <w:t>.</w:t>
      </w:r>
      <w:r w:rsidR="00656D85">
        <w:rPr>
          <w:sz w:val="28"/>
          <w:szCs w:val="28"/>
        </w:rPr>
        <w:t> </w:t>
      </w:r>
      <w:r w:rsidR="00D65E20">
        <w:rPr>
          <w:sz w:val="28"/>
          <w:szCs w:val="28"/>
        </w:rPr>
        <w:t>a</w:t>
      </w:r>
      <w:r w:rsidR="00C41FBD">
        <w:rPr>
          <w:sz w:val="28"/>
          <w:szCs w:val="28"/>
        </w:rPr>
        <w:t xml:space="preserve">pakšpunktu </w:t>
      </w:r>
      <w:r w:rsidR="001E4AF9">
        <w:rPr>
          <w:sz w:val="28"/>
          <w:szCs w:val="28"/>
        </w:rPr>
        <w:t>šādā redakcijā:</w:t>
      </w:r>
    </w:p>
    <w:p w14:paraId="111ECC77" w14:textId="77777777" w:rsidR="00656D85" w:rsidRDefault="00656D85" w:rsidP="00656D8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E37012D" w14:textId="68A21816" w:rsidR="00C41FBD" w:rsidRPr="00FD039B" w:rsidRDefault="00D65E20" w:rsidP="00656D85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"</w:t>
      </w:r>
      <w:r w:rsidR="001E4AF9" w:rsidRPr="001E4AF9">
        <w:rPr>
          <w:sz w:val="28"/>
          <w:szCs w:val="28"/>
        </w:rPr>
        <w:t>6.</w:t>
      </w:r>
      <w:r w:rsidR="00C41FBD">
        <w:rPr>
          <w:sz w:val="28"/>
          <w:szCs w:val="28"/>
        </w:rPr>
        <w:t>2.4.</w:t>
      </w:r>
      <w:r w:rsidR="001E4AF9" w:rsidRPr="001E4AF9">
        <w:rPr>
          <w:sz w:val="28"/>
          <w:szCs w:val="28"/>
        </w:rPr>
        <w:t xml:space="preserve"> </w:t>
      </w:r>
      <w:r w:rsidR="00C41FBD" w:rsidRPr="00786328">
        <w:rPr>
          <w:sz w:val="28"/>
          <w:szCs w:val="28"/>
        </w:rPr>
        <w:t xml:space="preserve">dabaszinības vai </w:t>
      </w:r>
      <w:r w:rsidR="00C41FBD" w:rsidRPr="007B6F10">
        <w:rPr>
          <w:color w:val="000000" w:themeColor="text1"/>
          <w:sz w:val="28"/>
          <w:szCs w:val="28"/>
        </w:rPr>
        <w:t>fizika</w:t>
      </w:r>
      <w:r w:rsidR="00656D85">
        <w:rPr>
          <w:color w:val="000000" w:themeColor="text1"/>
          <w:sz w:val="28"/>
          <w:szCs w:val="28"/>
        </w:rPr>
        <w:t>,</w:t>
      </w:r>
      <w:r w:rsidR="003E41AF" w:rsidRPr="007B6F10">
        <w:rPr>
          <w:color w:val="000000" w:themeColor="text1"/>
          <w:sz w:val="28"/>
          <w:szCs w:val="28"/>
        </w:rPr>
        <w:t xml:space="preserve"> vai</w:t>
      </w:r>
      <w:r w:rsidR="00C41FBD" w:rsidRPr="007B6F10">
        <w:rPr>
          <w:color w:val="000000" w:themeColor="text1"/>
          <w:sz w:val="28"/>
          <w:szCs w:val="28"/>
        </w:rPr>
        <w:t xml:space="preserve"> ķī</w:t>
      </w:r>
      <w:r w:rsidR="00375F62" w:rsidRPr="007B6F10">
        <w:rPr>
          <w:color w:val="000000" w:themeColor="text1"/>
          <w:sz w:val="28"/>
          <w:szCs w:val="28"/>
        </w:rPr>
        <w:t>mija.</w:t>
      </w:r>
      <w:r>
        <w:rPr>
          <w:color w:val="000000" w:themeColor="text1"/>
          <w:sz w:val="28"/>
          <w:szCs w:val="28"/>
        </w:rPr>
        <w:t>"</w:t>
      </w:r>
      <w:r w:rsidR="00656D85">
        <w:rPr>
          <w:color w:val="000000" w:themeColor="text1"/>
          <w:sz w:val="28"/>
          <w:szCs w:val="28"/>
        </w:rPr>
        <w:t>;</w:t>
      </w:r>
    </w:p>
    <w:p w14:paraId="7E37012E" w14:textId="77777777" w:rsidR="00B86F4D" w:rsidRPr="00FD039B" w:rsidRDefault="00B86F4D" w:rsidP="00656D85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14:paraId="7E37012F" w14:textId="15EE87B8" w:rsidR="00C41FBD" w:rsidRDefault="00FE02DA" w:rsidP="00656D85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1.</w:t>
      </w:r>
      <w:r w:rsidR="00FF159B">
        <w:rPr>
          <w:color w:val="auto"/>
          <w:sz w:val="28"/>
          <w:szCs w:val="28"/>
          <w:lang w:val="lv-LV"/>
        </w:rPr>
        <w:t xml:space="preserve">2. </w:t>
      </w:r>
      <w:r w:rsidR="00656D85">
        <w:rPr>
          <w:color w:val="auto"/>
          <w:sz w:val="28"/>
          <w:szCs w:val="28"/>
          <w:lang w:val="lv-LV"/>
        </w:rPr>
        <w:t>p</w:t>
      </w:r>
      <w:r w:rsidR="00C41FBD">
        <w:rPr>
          <w:color w:val="auto"/>
          <w:sz w:val="28"/>
          <w:szCs w:val="28"/>
          <w:lang w:val="lv-LV"/>
        </w:rPr>
        <w:t>apildināt noteikumus ar 6.3.4</w:t>
      </w:r>
      <w:r w:rsidR="00D65E20">
        <w:rPr>
          <w:color w:val="auto"/>
          <w:sz w:val="28"/>
          <w:szCs w:val="28"/>
          <w:lang w:val="lv-LV"/>
        </w:rPr>
        <w:t>.</w:t>
      </w:r>
      <w:r w:rsidR="00656D85">
        <w:rPr>
          <w:color w:val="auto"/>
          <w:sz w:val="28"/>
          <w:szCs w:val="28"/>
          <w:lang w:val="lv-LV"/>
        </w:rPr>
        <w:t> </w:t>
      </w:r>
      <w:r w:rsidR="00D65E20">
        <w:rPr>
          <w:color w:val="auto"/>
          <w:sz w:val="28"/>
          <w:szCs w:val="28"/>
          <w:lang w:val="lv-LV"/>
        </w:rPr>
        <w:t>a</w:t>
      </w:r>
      <w:r w:rsidR="00C41FBD">
        <w:rPr>
          <w:color w:val="auto"/>
          <w:sz w:val="28"/>
          <w:szCs w:val="28"/>
          <w:lang w:val="lv-LV"/>
        </w:rPr>
        <w:t>pakšpunktu šādā redakcijā:</w:t>
      </w:r>
    </w:p>
    <w:p w14:paraId="66C32CFF" w14:textId="77777777" w:rsidR="00656D85" w:rsidRDefault="00656D85" w:rsidP="00656D85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</w:p>
    <w:p w14:paraId="7E370130" w14:textId="7AD95969" w:rsidR="00C41FBD" w:rsidRDefault="00D65E20" w:rsidP="00656D85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"</w:t>
      </w:r>
      <w:r w:rsidR="00375F62">
        <w:rPr>
          <w:color w:val="auto"/>
          <w:sz w:val="28"/>
          <w:szCs w:val="28"/>
          <w:lang w:val="lv-LV"/>
        </w:rPr>
        <w:t>6.3.4. literatūra.</w:t>
      </w:r>
      <w:r>
        <w:rPr>
          <w:color w:val="auto"/>
          <w:sz w:val="28"/>
          <w:szCs w:val="28"/>
          <w:lang w:val="lv-LV"/>
        </w:rPr>
        <w:t>"</w:t>
      </w:r>
      <w:r w:rsidR="00656D85">
        <w:rPr>
          <w:color w:val="auto"/>
          <w:sz w:val="28"/>
          <w:szCs w:val="28"/>
          <w:lang w:val="lv-LV"/>
        </w:rPr>
        <w:t>;</w:t>
      </w:r>
    </w:p>
    <w:p w14:paraId="7E370131" w14:textId="77777777" w:rsidR="00B86F4D" w:rsidRDefault="00B86F4D" w:rsidP="00656D85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</w:p>
    <w:p w14:paraId="7E370132" w14:textId="07224027" w:rsidR="005B0C0A" w:rsidRDefault="00FE02DA" w:rsidP="00656D8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F159B">
        <w:rPr>
          <w:sz w:val="28"/>
          <w:szCs w:val="28"/>
        </w:rPr>
        <w:t xml:space="preserve">. </w:t>
      </w:r>
      <w:r w:rsidR="00656D85">
        <w:rPr>
          <w:sz w:val="28"/>
          <w:szCs w:val="28"/>
        </w:rPr>
        <w:t>i</w:t>
      </w:r>
      <w:r w:rsidR="00F00851">
        <w:rPr>
          <w:sz w:val="28"/>
          <w:szCs w:val="28"/>
        </w:rPr>
        <w:t>zteikt 8</w:t>
      </w:r>
      <w:r w:rsidR="00D65E20">
        <w:rPr>
          <w:sz w:val="28"/>
          <w:szCs w:val="28"/>
        </w:rPr>
        <w:t>.</w:t>
      </w:r>
      <w:r w:rsidR="00656D85">
        <w:rPr>
          <w:sz w:val="28"/>
          <w:szCs w:val="28"/>
        </w:rPr>
        <w:t> </w:t>
      </w:r>
      <w:r w:rsidR="00D65E20">
        <w:rPr>
          <w:sz w:val="28"/>
          <w:szCs w:val="28"/>
        </w:rPr>
        <w:t>p</w:t>
      </w:r>
      <w:r w:rsidR="00F00851">
        <w:rPr>
          <w:sz w:val="28"/>
          <w:szCs w:val="28"/>
        </w:rPr>
        <w:t>unktu šādā redakcijā:</w:t>
      </w:r>
    </w:p>
    <w:p w14:paraId="259C395F" w14:textId="77777777" w:rsidR="00763886" w:rsidRDefault="00763886" w:rsidP="00656D8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E370133" w14:textId="0AE67803" w:rsidR="002463F9" w:rsidRDefault="00D65E20" w:rsidP="00656D8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479C7" w:rsidRPr="00B86F4D">
        <w:rPr>
          <w:sz w:val="28"/>
          <w:szCs w:val="28"/>
        </w:rPr>
        <w:t>8.</w:t>
      </w:r>
      <w:r w:rsidR="00656D85">
        <w:rPr>
          <w:sz w:val="28"/>
          <w:szCs w:val="28"/>
        </w:rPr>
        <w:t> </w:t>
      </w:r>
      <w:r w:rsidR="000479C7" w:rsidRPr="00B86F4D">
        <w:rPr>
          <w:sz w:val="28"/>
          <w:szCs w:val="28"/>
        </w:rPr>
        <w:t xml:space="preserve">Visās izglītības programmās iekļaut mācību kursu </w:t>
      </w:r>
      <w:r w:rsidR="00656D85">
        <w:rPr>
          <w:sz w:val="28"/>
          <w:szCs w:val="28"/>
        </w:rPr>
        <w:t>"</w:t>
      </w:r>
      <w:r w:rsidR="000479C7" w:rsidRPr="00B86F4D">
        <w:rPr>
          <w:sz w:val="28"/>
          <w:szCs w:val="28"/>
        </w:rPr>
        <w:t>Sabiedrības un cilvēka drošība</w:t>
      </w:r>
      <w:r>
        <w:rPr>
          <w:sz w:val="28"/>
          <w:szCs w:val="28"/>
        </w:rPr>
        <w:t>"</w:t>
      </w:r>
      <w:r w:rsidR="000479C7" w:rsidRPr="00B86F4D">
        <w:rPr>
          <w:sz w:val="28"/>
          <w:szCs w:val="28"/>
        </w:rPr>
        <w:t xml:space="preserve"> ar šādu saturu:</w:t>
      </w:r>
    </w:p>
    <w:p w14:paraId="7E370134" w14:textId="77777777" w:rsidR="002463F9" w:rsidRDefault="002463F9" w:rsidP="00656D8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 veselības izglītība;</w:t>
      </w:r>
    </w:p>
    <w:p w14:paraId="7E370135" w14:textId="77777777" w:rsidR="002463F9" w:rsidRDefault="002463F9" w:rsidP="00656D8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vides izglītība;</w:t>
      </w:r>
    </w:p>
    <w:p w14:paraId="7E370136" w14:textId="77777777" w:rsidR="002463F9" w:rsidRDefault="002463F9" w:rsidP="00656D8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 izglītība darba vides drošības jomā;</w:t>
      </w:r>
    </w:p>
    <w:p w14:paraId="7E370137" w14:textId="22781710" w:rsidR="00447418" w:rsidRPr="00B86F4D" w:rsidRDefault="002463F9" w:rsidP="00656D8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 izglītība valsts aizsardzības jomā.</w:t>
      </w:r>
      <w:r w:rsidR="00D65E20">
        <w:rPr>
          <w:sz w:val="28"/>
          <w:szCs w:val="28"/>
        </w:rPr>
        <w:t>"</w:t>
      </w:r>
      <w:r w:rsidR="00656D85">
        <w:rPr>
          <w:sz w:val="28"/>
          <w:szCs w:val="28"/>
        </w:rPr>
        <w:t>;</w:t>
      </w:r>
    </w:p>
    <w:p w14:paraId="7E370138" w14:textId="77777777" w:rsidR="00CD0FAD" w:rsidRPr="009F2316" w:rsidRDefault="00CD0FAD" w:rsidP="00656D8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E370139" w14:textId="0BD4655B" w:rsidR="006161B1" w:rsidRPr="00D34184" w:rsidRDefault="00FE02DA" w:rsidP="00656D85">
      <w:pPr>
        <w:pStyle w:val="NormalWeb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="00FF159B">
        <w:rPr>
          <w:sz w:val="28"/>
          <w:szCs w:val="28"/>
        </w:rPr>
        <w:t xml:space="preserve">4. </w:t>
      </w:r>
      <w:r w:rsidR="00656D85">
        <w:rPr>
          <w:iCs/>
          <w:sz w:val="28"/>
          <w:szCs w:val="28"/>
        </w:rPr>
        <w:t>p</w:t>
      </w:r>
      <w:r w:rsidR="006161B1" w:rsidRPr="00D34184">
        <w:rPr>
          <w:iCs/>
          <w:sz w:val="28"/>
          <w:szCs w:val="28"/>
        </w:rPr>
        <w:t>apildināt noteikumus ar 10.6</w:t>
      </w:r>
      <w:r w:rsidR="00D65E20">
        <w:rPr>
          <w:iCs/>
          <w:sz w:val="28"/>
          <w:szCs w:val="28"/>
        </w:rPr>
        <w:t>.</w:t>
      </w:r>
      <w:r w:rsidR="00656D85">
        <w:rPr>
          <w:iCs/>
          <w:sz w:val="28"/>
          <w:szCs w:val="28"/>
        </w:rPr>
        <w:t> </w:t>
      </w:r>
      <w:r w:rsidR="00D65E20">
        <w:rPr>
          <w:iCs/>
          <w:sz w:val="28"/>
          <w:szCs w:val="28"/>
        </w:rPr>
        <w:t>a</w:t>
      </w:r>
      <w:r w:rsidR="006161B1" w:rsidRPr="00D34184">
        <w:rPr>
          <w:iCs/>
          <w:sz w:val="28"/>
          <w:szCs w:val="28"/>
        </w:rPr>
        <w:t xml:space="preserve">pakšpunktu šādā redakcijā: </w:t>
      </w:r>
    </w:p>
    <w:p w14:paraId="7551B685" w14:textId="77777777" w:rsidR="00763886" w:rsidRDefault="00763886" w:rsidP="00656D85">
      <w:pPr>
        <w:pStyle w:val="NormalWeb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</w:p>
    <w:p w14:paraId="7E37013A" w14:textId="0DA8C103" w:rsidR="006161B1" w:rsidRPr="00D34184" w:rsidRDefault="00D65E20" w:rsidP="00656D85">
      <w:pPr>
        <w:pStyle w:val="NormalWeb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"</w:t>
      </w:r>
      <w:r w:rsidR="006161B1" w:rsidRPr="00D34184">
        <w:rPr>
          <w:iCs/>
          <w:sz w:val="28"/>
          <w:szCs w:val="28"/>
        </w:rPr>
        <w:t>10.6.</w:t>
      </w:r>
      <w:r w:rsidR="00656D85">
        <w:rPr>
          <w:iCs/>
          <w:sz w:val="28"/>
          <w:szCs w:val="28"/>
        </w:rPr>
        <w:t> </w:t>
      </w:r>
      <w:r w:rsidR="006161B1" w:rsidRPr="00EC190F">
        <w:rPr>
          <w:iCs/>
          <w:sz w:val="28"/>
          <w:szCs w:val="28"/>
        </w:rPr>
        <w:t>teorijas dalījumu</w:t>
      </w:r>
      <w:r w:rsidR="006161B1" w:rsidRPr="00D34184">
        <w:rPr>
          <w:iCs/>
          <w:sz w:val="28"/>
          <w:szCs w:val="28"/>
        </w:rPr>
        <w:t xml:space="preserve"> humanitārajā un tehniskajā virzienā.</w:t>
      </w:r>
      <w:r>
        <w:rPr>
          <w:iCs/>
          <w:sz w:val="28"/>
          <w:szCs w:val="28"/>
        </w:rPr>
        <w:t>"</w:t>
      </w:r>
      <w:r w:rsidR="00656D85">
        <w:rPr>
          <w:iCs/>
          <w:sz w:val="28"/>
          <w:szCs w:val="28"/>
        </w:rPr>
        <w:t>;</w:t>
      </w:r>
    </w:p>
    <w:p w14:paraId="7E37013B" w14:textId="77777777" w:rsidR="006161B1" w:rsidRDefault="006161B1" w:rsidP="00FC425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7E37013C" w14:textId="2D24B8AD" w:rsidR="009A3283" w:rsidRDefault="00FE02DA" w:rsidP="00FC425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161B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656D85">
        <w:rPr>
          <w:sz w:val="28"/>
          <w:szCs w:val="28"/>
        </w:rPr>
        <w:t>i</w:t>
      </w:r>
      <w:r w:rsidR="009A3283">
        <w:rPr>
          <w:sz w:val="28"/>
          <w:szCs w:val="28"/>
        </w:rPr>
        <w:t>zteikt 13.1.2</w:t>
      </w:r>
      <w:r w:rsidR="00D65E20">
        <w:rPr>
          <w:sz w:val="28"/>
          <w:szCs w:val="28"/>
        </w:rPr>
        <w:t>. a</w:t>
      </w:r>
      <w:r w:rsidR="00B86F4D">
        <w:rPr>
          <w:sz w:val="28"/>
          <w:szCs w:val="28"/>
        </w:rPr>
        <w:t>pakš</w:t>
      </w:r>
      <w:r w:rsidR="009A3283">
        <w:rPr>
          <w:sz w:val="28"/>
          <w:szCs w:val="28"/>
        </w:rPr>
        <w:t>punktu šādā redakcijā:</w:t>
      </w:r>
    </w:p>
    <w:p w14:paraId="5AD3F152" w14:textId="77777777" w:rsidR="00763886" w:rsidRDefault="00763886" w:rsidP="00FC425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E37013D" w14:textId="4C6BB805" w:rsidR="009D7424" w:rsidRDefault="00D65E20" w:rsidP="00FC425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D7424" w:rsidRPr="00CD0FAD">
        <w:rPr>
          <w:sz w:val="28"/>
          <w:szCs w:val="28"/>
        </w:rPr>
        <w:t>13.1.2.</w:t>
      </w:r>
      <w:r w:rsidR="00656D85">
        <w:rPr>
          <w:sz w:val="28"/>
          <w:szCs w:val="28"/>
        </w:rPr>
        <w:t> </w:t>
      </w:r>
      <w:r w:rsidR="009D7424" w:rsidRPr="00CD0FAD">
        <w:rPr>
          <w:sz w:val="28"/>
          <w:szCs w:val="28"/>
        </w:rPr>
        <w:t>izglītības programmās, kuras iz</w:t>
      </w:r>
      <w:r w:rsidR="009D7424">
        <w:rPr>
          <w:sz w:val="28"/>
          <w:szCs w:val="28"/>
        </w:rPr>
        <w:t>glītojamie uzsāk pēc pamatizglī</w:t>
      </w:r>
      <w:r w:rsidR="009D7424" w:rsidRPr="00CD0FAD">
        <w:rPr>
          <w:sz w:val="28"/>
          <w:szCs w:val="28"/>
        </w:rPr>
        <w:t xml:space="preserve">tības ieguves, </w:t>
      </w:r>
      <w:r w:rsidR="00656D85" w:rsidRPr="00D34184">
        <w:rPr>
          <w:iCs/>
          <w:sz w:val="28"/>
          <w:szCs w:val="28"/>
        </w:rPr>
        <w:t>–</w:t>
      </w:r>
      <w:r w:rsidR="009D7424" w:rsidRPr="00CD0FAD">
        <w:rPr>
          <w:sz w:val="28"/>
          <w:szCs w:val="28"/>
        </w:rPr>
        <w:t xml:space="preserve"> </w:t>
      </w:r>
      <w:r w:rsidR="009D7424">
        <w:rPr>
          <w:sz w:val="28"/>
          <w:szCs w:val="28"/>
        </w:rPr>
        <w:t xml:space="preserve">ne </w:t>
      </w:r>
      <w:proofErr w:type="gramStart"/>
      <w:r w:rsidR="009D7424">
        <w:rPr>
          <w:sz w:val="28"/>
          <w:szCs w:val="28"/>
        </w:rPr>
        <w:t xml:space="preserve">mazāk kā </w:t>
      </w:r>
      <w:r w:rsidR="009D7424" w:rsidRPr="00B86F4D">
        <w:rPr>
          <w:sz w:val="28"/>
          <w:szCs w:val="28"/>
        </w:rPr>
        <w:t>četri</w:t>
      </w:r>
      <w:r w:rsidR="009D7424" w:rsidRPr="00CD0FAD">
        <w:rPr>
          <w:color w:val="FF0000"/>
          <w:sz w:val="28"/>
          <w:szCs w:val="28"/>
        </w:rPr>
        <w:t xml:space="preserve"> </w:t>
      </w:r>
      <w:r w:rsidR="009D7424" w:rsidRPr="00CD0FAD">
        <w:rPr>
          <w:sz w:val="28"/>
          <w:szCs w:val="28"/>
        </w:rPr>
        <w:t>eksāmeni</w:t>
      </w:r>
      <w:proofErr w:type="gramEnd"/>
      <w:r w:rsidR="009D7424" w:rsidRPr="00CD0FAD">
        <w:rPr>
          <w:sz w:val="28"/>
          <w:szCs w:val="28"/>
        </w:rPr>
        <w:t xml:space="preserve"> vispār</w:t>
      </w:r>
      <w:r w:rsidR="00773FDD">
        <w:rPr>
          <w:sz w:val="28"/>
          <w:szCs w:val="28"/>
        </w:rPr>
        <w:t>izglītojošos mācību priekšmetos</w:t>
      </w:r>
      <w:r w:rsidR="00720DEF">
        <w:rPr>
          <w:sz w:val="28"/>
          <w:szCs w:val="28"/>
        </w:rPr>
        <w:t xml:space="preserve">: </w:t>
      </w:r>
      <w:r w:rsidR="00773FDD" w:rsidRPr="004E31DD">
        <w:rPr>
          <w:color w:val="000000" w:themeColor="text1"/>
          <w:sz w:val="28"/>
          <w:szCs w:val="28"/>
        </w:rPr>
        <w:t>centralizētais eksāmens latviešu valodā, centralizētais eksāmens vienā svešvalodā pēc izglītojamā izvēles, centralizētais eksāmens matemātikā</w:t>
      </w:r>
      <w:r w:rsidR="00720DEF" w:rsidRPr="004E31DD">
        <w:rPr>
          <w:color w:val="000000" w:themeColor="text1"/>
          <w:sz w:val="28"/>
          <w:szCs w:val="28"/>
        </w:rPr>
        <w:t xml:space="preserve"> un </w:t>
      </w:r>
      <w:r w:rsidR="00044BDD" w:rsidRPr="004E31DD">
        <w:rPr>
          <w:color w:val="000000" w:themeColor="text1"/>
          <w:sz w:val="28"/>
          <w:szCs w:val="28"/>
        </w:rPr>
        <w:t>vismaz viens eksāmens pēc izglītojamā izvēles,</w:t>
      </w:r>
      <w:r w:rsidR="00720DEF" w:rsidRPr="004E31DD">
        <w:rPr>
          <w:color w:val="000000" w:themeColor="text1"/>
        </w:rPr>
        <w:t xml:space="preserve"> </w:t>
      </w:r>
      <w:r w:rsidR="00720DEF" w:rsidRPr="004E31DD">
        <w:rPr>
          <w:color w:val="000000" w:themeColor="text1"/>
          <w:sz w:val="28"/>
          <w:szCs w:val="28"/>
        </w:rPr>
        <w:t>kura apjoms izglītības programmā nav mazāks par 105</w:t>
      </w:r>
      <w:r w:rsidR="00EC190F">
        <w:rPr>
          <w:color w:val="000000" w:themeColor="text1"/>
          <w:sz w:val="28"/>
          <w:szCs w:val="28"/>
        </w:rPr>
        <w:t> </w:t>
      </w:r>
      <w:r w:rsidR="00720DEF" w:rsidRPr="004E31DD">
        <w:rPr>
          <w:color w:val="000000" w:themeColor="text1"/>
          <w:sz w:val="28"/>
          <w:szCs w:val="28"/>
        </w:rPr>
        <w:t>mācību stundām.</w:t>
      </w:r>
      <w:r>
        <w:rPr>
          <w:color w:val="000000" w:themeColor="text1"/>
          <w:sz w:val="28"/>
          <w:szCs w:val="28"/>
        </w:rPr>
        <w:t>"</w:t>
      </w:r>
      <w:r w:rsidR="00656D85">
        <w:rPr>
          <w:color w:val="000000" w:themeColor="text1"/>
          <w:sz w:val="28"/>
          <w:szCs w:val="28"/>
        </w:rPr>
        <w:t>;</w:t>
      </w:r>
    </w:p>
    <w:p w14:paraId="7E37013E" w14:textId="77777777" w:rsidR="00A2034F" w:rsidRDefault="00A2034F" w:rsidP="00FE02DA">
      <w:pPr>
        <w:pStyle w:val="NormalWeb"/>
        <w:spacing w:before="0" w:beforeAutospacing="0" w:after="0" w:afterAutospacing="0"/>
        <w:ind w:left="1134"/>
        <w:jc w:val="both"/>
        <w:rPr>
          <w:sz w:val="28"/>
          <w:szCs w:val="28"/>
        </w:rPr>
      </w:pPr>
    </w:p>
    <w:p w14:paraId="7E37013F" w14:textId="3C56D2BD" w:rsidR="00502303" w:rsidRDefault="00FC4251" w:rsidP="00FC4251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2DA">
        <w:rPr>
          <w:sz w:val="28"/>
          <w:szCs w:val="28"/>
        </w:rPr>
        <w:t>1.</w:t>
      </w:r>
      <w:r w:rsidR="006161B1">
        <w:rPr>
          <w:sz w:val="28"/>
          <w:szCs w:val="28"/>
        </w:rPr>
        <w:t>6</w:t>
      </w:r>
      <w:r w:rsidR="00EB0D76">
        <w:rPr>
          <w:sz w:val="28"/>
          <w:szCs w:val="28"/>
        </w:rPr>
        <w:t>.</w:t>
      </w:r>
      <w:r w:rsidR="00656D85">
        <w:rPr>
          <w:sz w:val="28"/>
          <w:szCs w:val="28"/>
        </w:rPr>
        <w:t> i</w:t>
      </w:r>
      <w:r w:rsidR="00502303" w:rsidRPr="008724F6">
        <w:rPr>
          <w:sz w:val="28"/>
          <w:szCs w:val="28"/>
        </w:rPr>
        <w:t>zteikt 2</w:t>
      </w:r>
      <w:r w:rsidR="00D65E20">
        <w:rPr>
          <w:sz w:val="28"/>
          <w:szCs w:val="28"/>
        </w:rPr>
        <w:t>.</w:t>
      </w:r>
      <w:r w:rsidR="00656D85">
        <w:rPr>
          <w:sz w:val="28"/>
          <w:szCs w:val="28"/>
        </w:rPr>
        <w:t> </w:t>
      </w:r>
      <w:r w:rsidR="00D65E20">
        <w:rPr>
          <w:sz w:val="28"/>
          <w:szCs w:val="28"/>
        </w:rPr>
        <w:t>p</w:t>
      </w:r>
      <w:r w:rsidR="00502303" w:rsidRPr="008724F6">
        <w:rPr>
          <w:sz w:val="28"/>
          <w:szCs w:val="28"/>
        </w:rPr>
        <w:t xml:space="preserve">ielikuma </w:t>
      </w:r>
      <w:r w:rsidR="00502303">
        <w:rPr>
          <w:sz w:val="28"/>
          <w:szCs w:val="28"/>
        </w:rPr>
        <w:t>1</w:t>
      </w:r>
      <w:r w:rsidR="00D65E20">
        <w:rPr>
          <w:sz w:val="28"/>
          <w:szCs w:val="28"/>
        </w:rPr>
        <w:t>.</w:t>
      </w:r>
      <w:r w:rsidR="00656D85">
        <w:rPr>
          <w:sz w:val="28"/>
          <w:szCs w:val="28"/>
        </w:rPr>
        <w:t> </w:t>
      </w:r>
      <w:r w:rsidR="00D65E20">
        <w:rPr>
          <w:sz w:val="28"/>
          <w:szCs w:val="28"/>
        </w:rPr>
        <w:t>t</w:t>
      </w:r>
      <w:r w:rsidR="00502303" w:rsidRPr="008724F6">
        <w:rPr>
          <w:sz w:val="28"/>
          <w:szCs w:val="28"/>
        </w:rPr>
        <w:t xml:space="preserve">abulu </w:t>
      </w:r>
      <w:r w:rsidR="00EC190F">
        <w:rPr>
          <w:sz w:val="28"/>
          <w:szCs w:val="28"/>
        </w:rPr>
        <w:t xml:space="preserve">un piezīmes </w:t>
      </w:r>
      <w:r w:rsidR="00502303" w:rsidRPr="008724F6">
        <w:rPr>
          <w:sz w:val="28"/>
          <w:szCs w:val="28"/>
        </w:rPr>
        <w:t>šādā redakcijā:</w:t>
      </w:r>
    </w:p>
    <w:p w14:paraId="0FDDAAF0" w14:textId="77777777" w:rsidR="00763886" w:rsidRDefault="00763886" w:rsidP="00FC4251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E370140" w14:textId="7EB3C5AD" w:rsidR="00502303" w:rsidRPr="00EC190F" w:rsidRDefault="00D65E20" w:rsidP="00502303">
      <w:pPr>
        <w:pStyle w:val="NormalWeb"/>
        <w:spacing w:before="0" w:beforeAutospacing="0" w:after="0" w:afterAutospacing="0"/>
        <w:ind w:left="1134" w:hanging="425"/>
        <w:jc w:val="right"/>
        <w:rPr>
          <w:bCs/>
        </w:rPr>
      </w:pPr>
      <w:r w:rsidRPr="00EC190F">
        <w:rPr>
          <w:bCs/>
        </w:rPr>
        <w:t>"</w:t>
      </w:r>
      <w:r w:rsidR="00502303" w:rsidRPr="00EC190F">
        <w:rPr>
          <w:bCs/>
        </w:rPr>
        <w:t>1</w:t>
      </w:r>
      <w:r w:rsidRPr="00EC190F">
        <w:rPr>
          <w:bCs/>
        </w:rPr>
        <w:t>.</w:t>
      </w:r>
      <w:r w:rsidR="00656D85" w:rsidRPr="00EC190F">
        <w:rPr>
          <w:bCs/>
        </w:rPr>
        <w:t> </w:t>
      </w:r>
      <w:r w:rsidRPr="00EC190F">
        <w:rPr>
          <w:bCs/>
        </w:rPr>
        <w:t>t</w:t>
      </w:r>
      <w:r w:rsidR="00502303" w:rsidRPr="00EC190F">
        <w:rPr>
          <w:bCs/>
        </w:rPr>
        <w:t>abula</w:t>
      </w:r>
    </w:p>
    <w:p w14:paraId="7E370141" w14:textId="77777777" w:rsidR="00502303" w:rsidRPr="00EC190F" w:rsidRDefault="00502303" w:rsidP="00656D8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EC190F">
        <w:rPr>
          <w:b/>
          <w:bCs/>
        </w:rPr>
        <w:t>Programmu apjoms</w:t>
      </w:r>
    </w:p>
    <w:p w14:paraId="7E370142" w14:textId="77777777" w:rsidR="00502303" w:rsidRPr="00EC190F" w:rsidRDefault="00502303" w:rsidP="00FE02DA">
      <w:pPr>
        <w:pStyle w:val="NormalWeb"/>
        <w:spacing w:before="0" w:beforeAutospacing="0" w:after="0" w:afterAutospacing="0"/>
        <w:ind w:left="1134" w:hanging="425"/>
        <w:jc w:val="both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4677"/>
      </w:tblGrid>
      <w:tr w:rsidR="00502303" w:rsidRPr="00E62CC8" w14:paraId="7E370145" w14:textId="77777777" w:rsidTr="00EC190F">
        <w:tc>
          <w:tcPr>
            <w:tcW w:w="4253" w:type="dxa"/>
          </w:tcPr>
          <w:p w14:paraId="7E370143" w14:textId="77777777" w:rsidR="00502303" w:rsidRPr="00E62CC8" w:rsidRDefault="00502303" w:rsidP="00656D85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E62CC8">
              <w:rPr>
                <w:bCs/>
              </w:rPr>
              <w:t>Izglītības programmas</w:t>
            </w:r>
          </w:p>
        </w:tc>
        <w:tc>
          <w:tcPr>
            <w:tcW w:w="4677" w:type="dxa"/>
          </w:tcPr>
          <w:p w14:paraId="7E370144" w14:textId="77777777" w:rsidR="00502303" w:rsidRPr="00E62CC8" w:rsidRDefault="00502303" w:rsidP="00656D85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E62CC8">
              <w:rPr>
                <w:bCs/>
              </w:rPr>
              <w:t>Programmas apjoms</w:t>
            </w:r>
          </w:p>
        </w:tc>
      </w:tr>
      <w:tr w:rsidR="00502303" w:rsidRPr="00EC190F" w14:paraId="7E370148" w14:textId="77777777" w:rsidTr="00EC190F">
        <w:tc>
          <w:tcPr>
            <w:tcW w:w="4253" w:type="dxa"/>
          </w:tcPr>
          <w:p w14:paraId="7E370146" w14:textId="77777777" w:rsidR="00502303" w:rsidRPr="00EC190F" w:rsidRDefault="00502303" w:rsidP="00656D85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EC190F">
              <w:t>Programmas, kuras izglītojamais uzsāk pēc pamatizglītības ieguves</w:t>
            </w:r>
          </w:p>
        </w:tc>
        <w:tc>
          <w:tcPr>
            <w:tcW w:w="4677" w:type="dxa"/>
          </w:tcPr>
          <w:p w14:paraId="7E370147" w14:textId="122A7214" w:rsidR="00502303" w:rsidRPr="00EC190F" w:rsidRDefault="00EE151F" w:rsidP="00656D85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t>V</w:t>
            </w:r>
            <w:r w:rsidR="00502303" w:rsidRPr="00EC190F">
              <w:t>ismaz 5760 stundu</w:t>
            </w:r>
          </w:p>
        </w:tc>
      </w:tr>
      <w:tr w:rsidR="00502303" w:rsidRPr="00EC190F" w14:paraId="7E37014B" w14:textId="77777777" w:rsidTr="00EC190F">
        <w:tc>
          <w:tcPr>
            <w:tcW w:w="4253" w:type="dxa"/>
          </w:tcPr>
          <w:p w14:paraId="7E370149" w14:textId="77777777" w:rsidR="00502303" w:rsidRPr="00EC190F" w:rsidRDefault="00502303" w:rsidP="00656D85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EC190F">
              <w:t>Programmas, kuras izglītojamais uzsāk pēc vidējās izglītības ieguves</w:t>
            </w:r>
          </w:p>
        </w:tc>
        <w:tc>
          <w:tcPr>
            <w:tcW w:w="4677" w:type="dxa"/>
          </w:tcPr>
          <w:p w14:paraId="7E37014A" w14:textId="6BCC366F" w:rsidR="00502303" w:rsidRPr="00EC190F" w:rsidRDefault="00EE151F" w:rsidP="00EC190F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>
              <w:t>V</w:t>
            </w:r>
            <w:r w:rsidR="00502303" w:rsidRPr="00EC190F">
              <w:t>ismaz 2120</w:t>
            </w:r>
            <w:r w:rsidR="00EC190F">
              <w:t> </w:t>
            </w:r>
            <w:r w:rsidR="00502303" w:rsidRPr="00EC190F">
              <w:t xml:space="preserve">stundu (izglītības tematiskai jomai </w:t>
            </w:r>
            <w:r w:rsidR="00EC190F">
              <w:t>"</w:t>
            </w:r>
            <w:r w:rsidR="00502303" w:rsidRPr="00EC190F">
              <w:t>Mākslas</w:t>
            </w:r>
            <w:r w:rsidR="00D65E20" w:rsidRPr="00EC190F">
              <w:t>"</w:t>
            </w:r>
            <w:r w:rsidR="00502303" w:rsidRPr="00EC190F">
              <w:t xml:space="preserve"> īstenojamas vismaz 3120</w:t>
            </w:r>
            <w:r w:rsidR="00EC190F">
              <w:t> </w:t>
            </w:r>
            <w:r w:rsidR="00502303" w:rsidRPr="00EC190F">
              <w:t>stund</w:t>
            </w:r>
            <w:r w:rsidR="00EC190F">
              <w:t>as</w:t>
            </w:r>
            <w:r w:rsidR="00DA6688" w:rsidRPr="00EC190F">
              <w:t xml:space="preserve">, </w:t>
            </w:r>
            <w:r w:rsidR="00DA6688" w:rsidRPr="00EC190F">
              <w:rPr>
                <w:color w:val="000000" w:themeColor="text1"/>
              </w:rPr>
              <w:t>īstenošanas ilgums – vismaz 2</w:t>
            </w:r>
            <w:r w:rsidR="00EC190F">
              <w:rPr>
                <w:color w:val="000000" w:themeColor="text1"/>
              </w:rPr>
              <w:t> </w:t>
            </w:r>
            <w:r w:rsidR="00DA6688" w:rsidRPr="00EC190F">
              <w:rPr>
                <w:color w:val="000000" w:themeColor="text1"/>
              </w:rPr>
              <w:t>gadi</w:t>
            </w:r>
            <w:r w:rsidR="00502303" w:rsidRPr="00EC190F">
              <w:rPr>
                <w:color w:val="000000" w:themeColor="text1"/>
              </w:rPr>
              <w:t>)</w:t>
            </w:r>
          </w:p>
        </w:tc>
      </w:tr>
    </w:tbl>
    <w:p w14:paraId="7E37014C" w14:textId="77777777" w:rsidR="00502303" w:rsidRPr="00EC190F" w:rsidRDefault="00502303" w:rsidP="00502303">
      <w:pPr>
        <w:pStyle w:val="NormalWeb"/>
        <w:spacing w:before="0" w:beforeAutospacing="0" w:after="0" w:afterAutospacing="0"/>
        <w:ind w:left="1134" w:hanging="425"/>
        <w:jc w:val="both"/>
        <w:rPr>
          <w:bCs/>
        </w:rPr>
      </w:pPr>
    </w:p>
    <w:p w14:paraId="7E37014D" w14:textId="77777777" w:rsidR="004E4918" w:rsidRPr="00EC190F" w:rsidRDefault="004E4918" w:rsidP="00656D85">
      <w:pPr>
        <w:pStyle w:val="NormalWeb"/>
        <w:spacing w:before="0" w:beforeAutospacing="0" w:after="0" w:afterAutospacing="0"/>
        <w:ind w:firstLine="709"/>
        <w:jc w:val="both"/>
      </w:pPr>
      <w:r w:rsidRPr="00EC190F">
        <w:t>Piezīmes.</w:t>
      </w:r>
    </w:p>
    <w:p w14:paraId="7E37014E" w14:textId="7CB061C5" w:rsidR="004E4918" w:rsidRPr="00EC190F" w:rsidRDefault="00656D85" w:rsidP="00656D85">
      <w:pPr>
        <w:pStyle w:val="NormalWeb"/>
        <w:tabs>
          <w:tab w:val="left" w:pos="284"/>
        </w:tabs>
        <w:spacing w:before="0" w:beforeAutospacing="0" w:after="0" w:afterAutospacing="0"/>
        <w:ind w:firstLine="709"/>
        <w:jc w:val="both"/>
      </w:pPr>
      <w:r w:rsidRPr="00EC190F">
        <w:t>1. </w:t>
      </w:r>
      <w:r w:rsidR="004E4918" w:rsidRPr="00EC190F">
        <w:t>Patstāvīgā darba stundu skaits nedrīkst pārsniegt 15</w:t>
      </w:r>
      <w:r w:rsidR="00EC190F">
        <w:t> </w:t>
      </w:r>
      <w:r w:rsidR="004E4918" w:rsidRPr="00EC190F">
        <w:t>procentu no programmas apjoma.</w:t>
      </w:r>
    </w:p>
    <w:p w14:paraId="7E37014F" w14:textId="47066ACB" w:rsidR="004E4918" w:rsidRPr="00EC190F" w:rsidRDefault="00656D85" w:rsidP="00656D85">
      <w:pPr>
        <w:pStyle w:val="NormalWeb"/>
        <w:tabs>
          <w:tab w:val="left" w:pos="284"/>
        </w:tabs>
        <w:spacing w:before="0" w:beforeAutospacing="0" w:after="0" w:afterAutospacing="0"/>
        <w:ind w:firstLine="709"/>
        <w:jc w:val="both"/>
      </w:pPr>
      <w:r w:rsidRPr="00EC190F">
        <w:t>2. </w:t>
      </w:r>
      <w:r w:rsidR="004E4918" w:rsidRPr="00EC190F">
        <w:t>Obligātā profesionālā satura apjoms mūzikas, mākslas un horeogrāfijas profesionālās vidējās izglītības programmās, kuras izglītojamais uzsāk pēc atbilstošas nozares profesionālās ievirzes izglītības ieguves, var tikt samazināts ne vairāk kā par 10</w:t>
      </w:r>
      <w:r w:rsidR="00EC190F">
        <w:t> </w:t>
      </w:r>
      <w:r w:rsidR="004E4918" w:rsidRPr="00EC190F">
        <w:t>procentiem no profesionālo mācību prie</w:t>
      </w:r>
      <w:r w:rsidR="00DA6688" w:rsidRPr="00EC190F">
        <w:t>kšmetu un prakses kopējā apjoma</w:t>
      </w:r>
      <w:r w:rsidR="004E4918" w:rsidRPr="00EC190F">
        <w:t>.</w:t>
      </w:r>
      <w:r w:rsidR="00D65E20" w:rsidRPr="00EC190F">
        <w:t>"</w:t>
      </w:r>
      <w:r w:rsidRPr="00EC190F">
        <w:t>;</w:t>
      </w:r>
    </w:p>
    <w:p w14:paraId="7E370150" w14:textId="77777777" w:rsidR="004E4918" w:rsidRPr="00E15A92" w:rsidRDefault="004E4918" w:rsidP="00502303">
      <w:pPr>
        <w:pStyle w:val="NormalWeb"/>
        <w:spacing w:before="0" w:beforeAutospacing="0" w:after="0" w:afterAutospacing="0"/>
        <w:ind w:left="1134" w:hanging="425"/>
        <w:jc w:val="both"/>
        <w:rPr>
          <w:bCs/>
          <w:sz w:val="28"/>
          <w:szCs w:val="28"/>
        </w:rPr>
      </w:pPr>
    </w:p>
    <w:p w14:paraId="7E370151" w14:textId="76247942" w:rsidR="008B452E" w:rsidRDefault="00FC4251" w:rsidP="00FC4251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2DA">
        <w:rPr>
          <w:sz w:val="28"/>
          <w:szCs w:val="28"/>
        </w:rPr>
        <w:t>1.</w:t>
      </w:r>
      <w:r w:rsidR="006161B1">
        <w:rPr>
          <w:sz w:val="28"/>
          <w:szCs w:val="28"/>
        </w:rPr>
        <w:t>7</w:t>
      </w:r>
      <w:r w:rsidR="00FF159B">
        <w:rPr>
          <w:sz w:val="28"/>
          <w:szCs w:val="28"/>
        </w:rPr>
        <w:t xml:space="preserve">. </w:t>
      </w:r>
      <w:r w:rsidR="00656D85">
        <w:rPr>
          <w:sz w:val="28"/>
          <w:szCs w:val="28"/>
        </w:rPr>
        <w:t>i</w:t>
      </w:r>
      <w:r w:rsidR="0016018B" w:rsidRPr="008724F6">
        <w:rPr>
          <w:sz w:val="28"/>
          <w:szCs w:val="28"/>
        </w:rPr>
        <w:t>zteikt 2</w:t>
      </w:r>
      <w:r w:rsidR="00D65E20">
        <w:rPr>
          <w:sz w:val="28"/>
          <w:szCs w:val="28"/>
        </w:rPr>
        <w:t>.</w:t>
      </w:r>
      <w:r w:rsidR="00EC190F">
        <w:rPr>
          <w:sz w:val="28"/>
          <w:szCs w:val="28"/>
        </w:rPr>
        <w:t> </w:t>
      </w:r>
      <w:r w:rsidR="00D65E20">
        <w:rPr>
          <w:sz w:val="28"/>
          <w:szCs w:val="28"/>
        </w:rPr>
        <w:t>p</w:t>
      </w:r>
      <w:r w:rsidR="0016018B" w:rsidRPr="008724F6">
        <w:rPr>
          <w:sz w:val="28"/>
          <w:szCs w:val="28"/>
        </w:rPr>
        <w:t>ielikuma 3</w:t>
      </w:r>
      <w:r w:rsidR="00D65E20">
        <w:rPr>
          <w:sz w:val="28"/>
          <w:szCs w:val="28"/>
        </w:rPr>
        <w:t>.</w:t>
      </w:r>
      <w:r w:rsidR="00EC190F">
        <w:rPr>
          <w:sz w:val="28"/>
          <w:szCs w:val="28"/>
        </w:rPr>
        <w:t> </w:t>
      </w:r>
      <w:r w:rsidR="00D65E20">
        <w:rPr>
          <w:sz w:val="28"/>
          <w:szCs w:val="28"/>
        </w:rPr>
        <w:t>t</w:t>
      </w:r>
      <w:r w:rsidR="0016018B" w:rsidRPr="008724F6">
        <w:rPr>
          <w:sz w:val="28"/>
          <w:szCs w:val="28"/>
        </w:rPr>
        <w:t xml:space="preserve">abulu </w:t>
      </w:r>
      <w:r w:rsidR="00FC37CE">
        <w:rPr>
          <w:sz w:val="28"/>
          <w:szCs w:val="28"/>
        </w:rPr>
        <w:t xml:space="preserve">un piezīmes </w:t>
      </w:r>
      <w:r w:rsidR="0016018B" w:rsidRPr="008724F6">
        <w:rPr>
          <w:sz w:val="28"/>
          <w:szCs w:val="28"/>
        </w:rPr>
        <w:t>šādā redakcijā:</w:t>
      </w:r>
    </w:p>
    <w:p w14:paraId="45F36BFD" w14:textId="77777777" w:rsidR="00763886" w:rsidRPr="008724F6" w:rsidRDefault="00763886" w:rsidP="00FC4251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E370152" w14:textId="6340C8FD" w:rsidR="00943A5C" w:rsidRPr="00997A9C" w:rsidRDefault="00D65E20" w:rsidP="0016018B">
      <w:pPr>
        <w:pStyle w:val="NormalWeb"/>
        <w:spacing w:before="0" w:beforeAutospacing="0" w:after="0" w:afterAutospacing="0"/>
        <w:ind w:firstLine="709"/>
        <w:jc w:val="right"/>
      </w:pPr>
      <w:r w:rsidRPr="00997A9C">
        <w:t>"</w:t>
      </w:r>
      <w:r w:rsidR="00255CAF" w:rsidRPr="00997A9C">
        <w:t>3</w:t>
      </w:r>
      <w:r w:rsidRPr="00997A9C">
        <w:t>.</w:t>
      </w:r>
      <w:r w:rsidR="00EC190F" w:rsidRPr="00997A9C">
        <w:t> </w:t>
      </w:r>
      <w:r w:rsidRPr="00997A9C">
        <w:t>t</w:t>
      </w:r>
      <w:r w:rsidR="00255CAF" w:rsidRPr="00997A9C">
        <w:t>abula</w:t>
      </w:r>
    </w:p>
    <w:p w14:paraId="7E370153" w14:textId="77777777" w:rsidR="00255CAF" w:rsidRPr="00997A9C" w:rsidRDefault="00255CAF" w:rsidP="00656D85">
      <w:pPr>
        <w:pStyle w:val="NormalWeb"/>
        <w:spacing w:before="0" w:beforeAutospacing="0" w:after="0" w:afterAutospacing="0"/>
        <w:jc w:val="center"/>
        <w:rPr>
          <w:b/>
        </w:rPr>
      </w:pPr>
      <w:r w:rsidRPr="00997A9C">
        <w:rPr>
          <w:b/>
        </w:rPr>
        <w:t>Teorijas sadalījums</w:t>
      </w:r>
    </w:p>
    <w:p w14:paraId="7E370154" w14:textId="77777777" w:rsidR="00535D5E" w:rsidRPr="00997A9C" w:rsidRDefault="00535D5E" w:rsidP="00535D5E">
      <w:pPr>
        <w:pStyle w:val="NormalWeb"/>
        <w:spacing w:before="0" w:beforeAutospacing="0" w:after="0" w:afterAutospacing="0"/>
        <w:ind w:left="1080"/>
        <w:jc w:val="center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1"/>
        <w:gridCol w:w="2052"/>
        <w:gridCol w:w="1959"/>
        <w:gridCol w:w="2693"/>
      </w:tblGrid>
      <w:tr w:rsidR="00255CAF" w:rsidRPr="00997A9C" w14:paraId="7E370156" w14:textId="77777777" w:rsidTr="003D1633">
        <w:tc>
          <w:tcPr>
            <w:tcW w:w="8755" w:type="dxa"/>
            <w:gridSpan w:val="4"/>
          </w:tcPr>
          <w:p w14:paraId="7E370155" w14:textId="5CD280C7" w:rsidR="00255CAF" w:rsidRPr="00E62CC8" w:rsidRDefault="00255CAF" w:rsidP="00E62CC8">
            <w:pPr>
              <w:pStyle w:val="NormalWeb"/>
              <w:spacing w:before="0" w:beforeAutospacing="0" w:after="0" w:afterAutospacing="0"/>
            </w:pPr>
            <w:r w:rsidRPr="00E62CC8">
              <w:t>Teorija –</w:t>
            </w:r>
            <w:r w:rsidR="00FF159B" w:rsidRPr="00E62CC8">
              <w:t xml:space="preserve"> </w:t>
            </w:r>
            <w:r w:rsidRPr="00E62CC8">
              <w:t>kopā 100</w:t>
            </w:r>
            <w:r w:rsidR="00F13ED3" w:rsidRPr="00E62CC8">
              <w:t> </w:t>
            </w:r>
            <w:r w:rsidRPr="00E62CC8">
              <w:t>%</w:t>
            </w:r>
          </w:p>
        </w:tc>
      </w:tr>
      <w:tr w:rsidR="00255CAF" w:rsidRPr="00997A9C" w14:paraId="7E370159" w14:textId="77777777" w:rsidTr="00F13ED3">
        <w:tc>
          <w:tcPr>
            <w:tcW w:w="6062" w:type="dxa"/>
            <w:gridSpan w:val="3"/>
          </w:tcPr>
          <w:p w14:paraId="7E370157" w14:textId="6CEE03AE" w:rsidR="00255CAF" w:rsidRPr="00E62CC8" w:rsidRDefault="00255CAF" w:rsidP="00A27006">
            <w:pPr>
              <w:pStyle w:val="NormalWeb"/>
              <w:spacing w:before="0" w:beforeAutospacing="0" w:after="0" w:afterAutospacing="0"/>
              <w:jc w:val="both"/>
            </w:pPr>
            <w:r w:rsidRPr="00E62CC8">
              <w:t>Vispārizglītojošie mācību priekšmeti –</w:t>
            </w:r>
            <w:r w:rsidR="00FF159B" w:rsidRPr="00E62CC8">
              <w:t xml:space="preserve"> </w:t>
            </w:r>
            <w:r w:rsidRPr="00E62CC8">
              <w:t>kopā 60</w:t>
            </w:r>
            <w:r w:rsidR="00E62CC8">
              <w:t> </w:t>
            </w:r>
            <w:r w:rsidRPr="00E62CC8">
              <w:t>%</w:t>
            </w:r>
          </w:p>
        </w:tc>
        <w:tc>
          <w:tcPr>
            <w:tcW w:w="2693" w:type="dxa"/>
          </w:tcPr>
          <w:p w14:paraId="7E370158" w14:textId="5B8DE098" w:rsidR="00255CAF" w:rsidRPr="00997A9C" w:rsidRDefault="00255CAF" w:rsidP="00F13ED3">
            <w:pPr>
              <w:pStyle w:val="NormalWeb"/>
              <w:spacing w:before="0" w:beforeAutospacing="0" w:after="0" w:afterAutospacing="0"/>
            </w:pPr>
            <w:r w:rsidRPr="00997A9C">
              <w:t xml:space="preserve">Profesionālie mācību priekšmeti </w:t>
            </w:r>
            <w:r w:rsidR="001D02A7" w:rsidRPr="00997A9C">
              <w:t>–</w:t>
            </w:r>
            <w:r w:rsidR="00656D85" w:rsidRPr="00997A9C">
              <w:t xml:space="preserve"> </w:t>
            </w:r>
            <w:r w:rsidR="001D02A7" w:rsidRPr="00997A9C">
              <w:t xml:space="preserve">kopā </w:t>
            </w:r>
            <w:r w:rsidRPr="00997A9C">
              <w:t>40</w:t>
            </w:r>
            <w:r w:rsidR="00E62CC8">
              <w:t> </w:t>
            </w:r>
            <w:r w:rsidRPr="00997A9C">
              <w:t>%</w:t>
            </w:r>
          </w:p>
        </w:tc>
      </w:tr>
      <w:tr w:rsidR="0016018B" w:rsidRPr="00997A9C" w14:paraId="7E37015C" w14:textId="77777777" w:rsidTr="00F13ED3">
        <w:tc>
          <w:tcPr>
            <w:tcW w:w="6062" w:type="dxa"/>
            <w:gridSpan w:val="3"/>
          </w:tcPr>
          <w:p w14:paraId="7E37015A" w14:textId="77777777" w:rsidR="0016018B" w:rsidRPr="00E62CC8" w:rsidRDefault="0016018B" w:rsidP="00C343FC">
            <w:pPr>
              <w:pStyle w:val="NormalWeb"/>
              <w:spacing w:before="0" w:beforeAutospacing="0" w:after="0" w:afterAutospacing="0"/>
              <w:jc w:val="center"/>
            </w:pPr>
            <w:r w:rsidRPr="00E62CC8">
              <w:t>Humanitārais virziens</w:t>
            </w:r>
          </w:p>
        </w:tc>
        <w:tc>
          <w:tcPr>
            <w:tcW w:w="2693" w:type="dxa"/>
            <w:vMerge w:val="restart"/>
          </w:tcPr>
          <w:p w14:paraId="7E37015B" w14:textId="02100999" w:rsidR="0016018B" w:rsidRPr="00997A9C" w:rsidRDefault="007B653C" w:rsidP="00F13ED3">
            <w:pPr>
              <w:pStyle w:val="NormalWeb"/>
              <w:spacing w:before="0" w:beforeAutospacing="0" w:after="0" w:afterAutospacing="0"/>
            </w:pPr>
            <w:r w:rsidRPr="00997A9C">
              <w:t>Sabiedrības un cilvēka drošība</w:t>
            </w:r>
            <w:r w:rsidR="00BC2BDA" w:rsidRPr="00997A9C">
              <w:t xml:space="preserve"> (7</w:t>
            </w:r>
            <w:r w:rsidR="00E62CC8">
              <w:t> </w:t>
            </w:r>
            <w:r w:rsidR="00BC2BDA" w:rsidRPr="00997A9C">
              <w:t>%)</w:t>
            </w:r>
          </w:p>
        </w:tc>
      </w:tr>
      <w:tr w:rsidR="0016018B" w:rsidRPr="00997A9C" w14:paraId="7E37015F" w14:textId="77777777" w:rsidTr="00F13ED3">
        <w:tc>
          <w:tcPr>
            <w:tcW w:w="6062" w:type="dxa"/>
            <w:gridSpan w:val="3"/>
          </w:tcPr>
          <w:p w14:paraId="7E37015D" w14:textId="77777777" w:rsidR="0016018B" w:rsidRPr="00997A9C" w:rsidRDefault="0016018B" w:rsidP="00A27006">
            <w:pPr>
              <w:pStyle w:val="NormalWeb"/>
              <w:spacing w:before="0" w:beforeAutospacing="0" w:after="0" w:afterAutospacing="0"/>
              <w:jc w:val="both"/>
            </w:pPr>
            <w:r w:rsidRPr="00997A9C">
              <w:t>Izglītošanas jomas – kopā 100%</w:t>
            </w:r>
          </w:p>
        </w:tc>
        <w:tc>
          <w:tcPr>
            <w:tcW w:w="2693" w:type="dxa"/>
            <w:vMerge/>
          </w:tcPr>
          <w:p w14:paraId="7E37015E" w14:textId="77777777" w:rsidR="0016018B" w:rsidRPr="00997A9C" w:rsidRDefault="0016018B" w:rsidP="00A2700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6018B" w:rsidRPr="00997A9C" w14:paraId="7E370164" w14:textId="77777777" w:rsidTr="00F13ED3">
        <w:tc>
          <w:tcPr>
            <w:tcW w:w="2051" w:type="dxa"/>
          </w:tcPr>
          <w:p w14:paraId="7E370160" w14:textId="4D4520EF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45</w:t>
            </w:r>
            <w:r w:rsidR="00EC190F" w:rsidRPr="00997A9C">
              <w:t> </w:t>
            </w:r>
            <w:r w:rsidRPr="00997A9C">
              <w:t>%</w:t>
            </w:r>
          </w:p>
        </w:tc>
        <w:tc>
          <w:tcPr>
            <w:tcW w:w="2052" w:type="dxa"/>
          </w:tcPr>
          <w:p w14:paraId="7E370161" w14:textId="700D3F92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33</w:t>
            </w:r>
            <w:r w:rsidR="00EC190F" w:rsidRPr="00997A9C">
              <w:t> </w:t>
            </w:r>
            <w:r w:rsidRPr="00997A9C">
              <w:t>%</w:t>
            </w:r>
          </w:p>
        </w:tc>
        <w:tc>
          <w:tcPr>
            <w:tcW w:w="1959" w:type="dxa"/>
          </w:tcPr>
          <w:p w14:paraId="7E370162" w14:textId="474CC092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22</w:t>
            </w:r>
            <w:r w:rsidR="00EC190F" w:rsidRPr="00997A9C">
              <w:t> </w:t>
            </w:r>
            <w:r w:rsidRPr="00997A9C">
              <w:t>%</w:t>
            </w:r>
          </w:p>
        </w:tc>
        <w:tc>
          <w:tcPr>
            <w:tcW w:w="2693" w:type="dxa"/>
            <w:vMerge/>
          </w:tcPr>
          <w:p w14:paraId="7E370163" w14:textId="77777777" w:rsidR="0016018B" w:rsidRPr="00997A9C" w:rsidRDefault="0016018B" w:rsidP="00A2700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6018B" w:rsidRPr="00997A9C" w14:paraId="7E370169" w14:textId="77777777" w:rsidTr="00F13ED3">
        <w:tc>
          <w:tcPr>
            <w:tcW w:w="2051" w:type="dxa"/>
          </w:tcPr>
          <w:p w14:paraId="7E370165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valodas un komunikatīvās zinības</w:t>
            </w:r>
          </w:p>
        </w:tc>
        <w:tc>
          <w:tcPr>
            <w:tcW w:w="2052" w:type="dxa"/>
          </w:tcPr>
          <w:p w14:paraId="7E370166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matemātika, dabas zinības un tehniskās zinības</w:t>
            </w:r>
          </w:p>
        </w:tc>
        <w:tc>
          <w:tcPr>
            <w:tcW w:w="1959" w:type="dxa"/>
          </w:tcPr>
          <w:p w14:paraId="7E370167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sociālās zinības un kultūrizglītība</w:t>
            </w:r>
          </w:p>
        </w:tc>
        <w:tc>
          <w:tcPr>
            <w:tcW w:w="2693" w:type="dxa"/>
            <w:vMerge/>
          </w:tcPr>
          <w:p w14:paraId="7E370168" w14:textId="77777777" w:rsidR="0016018B" w:rsidRPr="00997A9C" w:rsidRDefault="0016018B" w:rsidP="00A2700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6018B" w:rsidRPr="00997A9C" w14:paraId="7E37016C" w14:textId="77777777" w:rsidTr="00F13ED3">
        <w:tc>
          <w:tcPr>
            <w:tcW w:w="6062" w:type="dxa"/>
            <w:gridSpan w:val="3"/>
          </w:tcPr>
          <w:p w14:paraId="7E37016A" w14:textId="77777777" w:rsidR="0016018B" w:rsidRPr="00997A9C" w:rsidRDefault="0016018B" w:rsidP="00C343FC">
            <w:pPr>
              <w:pStyle w:val="NormalWeb"/>
              <w:spacing w:before="0" w:beforeAutospacing="0" w:after="0" w:afterAutospacing="0"/>
              <w:jc w:val="center"/>
            </w:pPr>
            <w:r w:rsidRPr="00997A9C">
              <w:t>Mācību priekšmeti</w:t>
            </w:r>
          </w:p>
        </w:tc>
        <w:tc>
          <w:tcPr>
            <w:tcW w:w="2693" w:type="dxa"/>
            <w:vMerge/>
          </w:tcPr>
          <w:p w14:paraId="7E37016B" w14:textId="77777777" w:rsidR="0016018B" w:rsidRPr="00997A9C" w:rsidRDefault="0016018B" w:rsidP="00A2700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6018B" w:rsidRPr="00997A9C" w14:paraId="7E370171" w14:textId="77777777" w:rsidTr="00F13ED3">
        <w:tc>
          <w:tcPr>
            <w:tcW w:w="2051" w:type="dxa"/>
          </w:tcPr>
          <w:p w14:paraId="7E37016D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latviešu valoda</w:t>
            </w:r>
          </w:p>
        </w:tc>
        <w:tc>
          <w:tcPr>
            <w:tcW w:w="2052" w:type="dxa"/>
          </w:tcPr>
          <w:p w14:paraId="7E37016E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matemātika</w:t>
            </w:r>
          </w:p>
        </w:tc>
        <w:tc>
          <w:tcPr>
            <w:tcW w:w="1959" w:type="dxa"/>
          </w:tcPr>
          <w:p w14:paraId="7E37016F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Latvijas un pasaules vēsture</w:t>
            </w:r>
          </w:p>
        </w:tc>
        <w:tc>
          <w:tcPr>
            <w:tcW w:w="2693" w:type="dxa"/>
            <w:vMerge/>
          </w:tcPr>
          <w:p w14:paraId="7E370170" w14:textId="77777777" w:rsidR="0016018B" w:rsidRPr="00997A9C" w:rsidRDefault="0016018B" w:rsidP="00A27006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14:paraId="335E79AE" w14:textId="77777777" w:rsidR="00F13ED3" w:rsidRDefault="00F13ED3">
      <w: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1"/>
        <w:gridCol w:w="2052"/>
        <w:gridCol w:w="1959"/>
        <w:gridCol w:w="2693"/>
      </w:tblGrid>
      <w:tr w:rsidR="0016018B" w:rsidRPr="00997A9C" w14:paraId="7E370176" w14:textId="77777777" w:rsidTr="00F13ED3">
        <w:tc>
          <w:tcPr>
            <w:tcW w:w="2051" w:type="dxa"/>
            <w:tcBorders>
              <w:bottom w:val="single" w:sz="4" w:space="0" w:color="auto"/>
            </w:tcBorders>
          </w:tcPr>
          <w:p w14:paraId="7E370172" w14:textId="1DCBED62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lastRenderedPageBreak/>
              <w:t>pirmā svešvaloda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7E370173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informātika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7E370174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ekonomika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14:paraId="7E370175" w14:textId="77777777" w:rsidR="0016018B" w:rsidRPr="00997A9C" w:rsidRDefault="0016018B" w:rsidP="00A2700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6018B" w:rsidRPr="00997A9C" w14:paraId="7E37017B" w14:textId="77777777" w:rsidTr="00F13ED3">
        <w:tc>
          <w:tcPr>
            <w:tcW w:w="2051" w:type="dxa"/>
            <w:tcBorders>
              <w:top w:val="single" w:sz="4" w:space="0" w:color="auto"/>
            </w:tcBorders>
          </w:tcPr>
          <w:p w14:paraId="7E370177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otrā svešvaloda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7E370178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dabaszinības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7E370179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literatūra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14:paraId="7E37017A" w14:textId="77777777" w:rsidR="0016018B" w:rsidRPr="00997A9C" w:rsidRDefault="0016018B" w:rsidP="00A2700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6018B" w:rsidRPr="00997A9C" w14:paraId="7E370180" w14:textId="77777777" w:rsidTr="00F13ED3">
        <w:tc>
          <w:tcPr>
            <w:tcW w:w="2051" w:type="dxa"/>
          </w:tcPr>
          <w:p w14:paraId="7E37017C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izvēles mācību priekšmeti</w:t>
            </w:r>
          </w:p>
        </w:tc>
        <w:tc>
          <w:tcPr>
            <w:tcW w:w="2052" w:type="dxa"/>
          </w:tcPr>
          <w:p w14:paraId="7E37017D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izvēles mācību priekšmeti</w:t>
            </w:r>
          </w:p>
        </w:tc>
        <w:tc>
          <w:tcPr>
            <w:tcW w:w="1959" w:type="dxa"/>
          </w:tcPr>
          <w:p w14:paraId="7E37017E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izvēles mācību priekšmeti</w:t>
            </w:r>
          </w:p>
        </w:tc>
        <w:tc>
          <w:tcPr>
            <w:tcW w:w="2693" w:type="dxa"/>
            <w:vMerge/>
          </w:tcPr>
          <w:p w14:paraId="7E37017F" w14:textId="77777777" w:rsidR="0016018B" w:rsidRPr="00997A9C" w:rsidRDefault="0016018B" w:rsidP="00A2700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6018B" w:rsidRPr="00997A9C" w14:paraId="7E370183" w14:textId="77777777" w:rsidTr="00F13ED3">
        <w:tc>
          <w:tcPr>
            <w:tcW w:w="6062" w:type="dxa"/>
            <w:gridSpan w:val="3"/>
          </w:tcPr>
          <w:p w14:paraId="7E370181" w14:textId="77777777" w:rsidR="0016018B" w:rsidRPr="00E62CC8" w:rsidRDefault="0016018B" w:rsidP="00C343FC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E62CC8">
              <w:t>Tehniskais virziens</w:t>
            </w:r>
          </w:p>
        </w:tc>
        <w:tc>
          <w:tcPr>
            <w:tcW w:w="2693" w:type="dxa"/>
            <w:vMerge/>
          </w:tcPr>
          <w:p w14:paraId="7E370182" w14:textId="77777777" w:rsidR="0016018B" w:rsidRPr="00997A9C" w:rsidRDefault="0016018B" w:rsidP="00112F74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6018B" w:rsidRPr="00997A9C" w14:paraId="7E370186" w14:textId="77777777" w:rsidTr="00F13ED3">
        <w:tc>
          <w:tcPr>
            <w:tcW w:w="6062" w:type="dxa"/>
            <w:gridSpan w:val="3"/>
          </w:tcPr>
          <w:p w14:paraId="7E370184" w14:textId="12A34CF4" w:rsidR="0016018B" w:rsidRPr="00997A9C" w:rsidRDefault="0016018B" w:rsidP="00112F74">
            <w:pPr>
              <w:pStyle w:val="NormalWeb"/>
              <w:spacing w:before="0" w:beforeAutospacing="0" w:after="0" w:afterAutospacing="0"/>
              <w:jc w:val="both"/>
            </w:pPr>
            <w:r w:rsidRPr="00997A9C">
              <w:t>Izglītošanas jomas – kopā 100</w:t>
            </w:r>
            <w:r w:rsidR="00F13ED3">
              <w:t> </w:t>
            </w:r>
            <w:r w:rsidRPr="00997A9C">
              <w:t>%</w:t>
            </w:r>
          </w:p>
        </w:tc>
        <w:tc>
          <w:tcPr>
            <w:tcW w:w="2693" w:type="dxa"/>
            <w:vMerge/>
          </w:tcPr>
          <w:p w14:paraId="7E370185" w14:textId="77777777" w:rsidR="0016018B" w:rsidRPr="00997A9C" w:rsidRDefault="0016018B" w:rsidP="00112F74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6018B" w:rsidRPr="00997A9C" w14:paraId="7E37018B" w14:textId="77777777" w:rsidTr="00F13ED3">
        <w:tc>
          <w:tcPr>
            <w:tcW w:w="2051" w:type="dxa"/>
          </w:tcPr>
          <w:p w14:paraId="7E370187" w14:textId="7A57EB81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33</w:t>
            </w:r>
            <w:r w:rsidR="00EC190F" w:rsidRPr="00997A9C">
              <w:t> </w:t>
            </w:r>
            <w:r w:rsidRPr="00997A9C">
              <w:t>%</w:t>
            </w:r>
          </w:p>
        </w:tc>
        <w:tc>
          <w:tcPr>
            <w:tcW w:w="2052" w:type="dxa"/>
          </w:tcPr>
          <w:p w14:paraId="7E370188" w14:textId="19F2AD53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45</w:t>
            </w:r>
            <w:r w:rsidR="00EC190F" w:rsidRPr="00997A9C">
              <w:t> </w:t>
            </w:r>
            <w:r w:rsidRPr="00997A9C">
              <w:t>%</w:t>
            </w:r>
          </w:p>
        </w:tc>
        <w:tc>
          <w:tcPr>
            <w:tcW w:w="1959" w:type="dxa"/>
          </w:tcPr>
          <w:p w14:paraId="7E370189" w14:textId="0DF00D91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22</w:t>
            </w:r>
            <w:r w:rsidR="00EC190F" w:rsidRPr="00997A9C">
              <w:t> </w:t>
            </w:r>
            <w:r w:rsidRPr="00997A9C">
              <w:t>%</w:t>
            </w:r>
          </w:p>
        </w:tc>
        <w:tc>
          <w:tcPr>
            <w:tcW w:w="2693" w:type="dxa"/>
            <w:vMerge/>
          </w:tcPr>
          <w:p w14:paraId="7E37018A" w14:textId="77777777" w:rsidR="0016018B" w:rsidRPr="00997A9C" w:rsidRDefault="0016018B" w:rsidP="00112F74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6018B" w:rsidRPr="00997A9C" w14:paraId="7E370190" w14:textId="77777777" w:rsidTr="00F13ED3">
        <w:tc>
          <w:tcPr>
            <w:tcW w:w="2051" w:type="dxa"/>
          </w:tcPr>
          <w:p w14:paraId="7E37018C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valodas un komunikatīvās zinības</w:t>
            </w:r>
          </w:p>
        </w:tc>
        <w:tc>
          <w:tcPr>
            <w:tcW w:w="2052" w:type="dxa"/>
          </w:tcPr>
          <w:p w14:paraId="7E37018D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matemātika, dabas zinības un tehniskās zinības</w:t>
            </w:r>
          </w:p>
        </w:tc>
        <w:tc>
          <w:tcPr>
            <w:tcW w:w="1959" w:type="dxa"/>
          </w:tcPr>
          <w:p w14:paraId="7E37018E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sociālās zinības un kultūrizglītība</w:t>
            </w:r>
          </w:p>
        </w:tc>
        <w:tc>
          <w:tcPr>
            <w:tcW w:w="2693" w:type="dxa"/>
            <w:vMerge/>
          </w:tcPr>
          <w:p w14:paraId="7E37018F" w14:textId="77777777" w:rsidR="0016018B" w:rsidRPr="00997A9C" w:rsidRDefault="0016018B" w:rsidP="00112F74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6018B" w:rsidRPr="00997A9C" w14:paraId="7E370193" w14:textId="77777777" w:rsidTr="00F13ED3">
        <w:tc>
          <w:tcPr>
            <w:tcW w:w="6062" w:type="dxa"/>
            <w:gridSpan w:val="3"/>
          </w:tcPr>
          <w:p w14:paraId="7E370191" w14:textId="77777777" w:rsidR="0016018B" w:rsidRPr="00997A9C" w:rsidRDefault="0016018B" w:rsidP="00C343FC">
            <w:pPr>
              <w:pStyle w:val="NormalWeb"/>
              <w:spacing w:before="0" w:beforeAutospacing="0" w:after="0" w:afterAutospacing="0"/>
              <w:jc w:val="center"/>
            </w:pPr>
            <w:r w:rsidRPr="00997A9C">
              <w:t>Mācību priekšmeti</w:t>
            </w:r>
          </w:p>
        </w:tc>
        <w:tc>
          <w:tcPr>
            <w:tcW w:w="2693" w:type="dxa"/>
            <w:vMerge/>
          </w:tcPr>
          <w:p w14:paraId="7E370192" w14:textId="77777777" w:rsidR="0016018B" w:rsidRPr="00997A9C" w:rsidRDefault="0016018B" w:rsidP="00112F74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6018B" w:rsidRPr="00997A9C" w14:paraId="7E370198" w14:textId="77777777" w:rsidTr="00F13ED3">
        <w:tc>
          <w:tcPr>
            <w:tcW w:w="2051" w:type="dxa"/>
          </w:tcPr>
          <w:p w14:paraId="7E370194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latviešu valoda</w:t>
            </w:r>
          </w:p>
        </w:tc>
        <w:tc>
          <w:tcPr>
            <w:tcW w:w="2052" w:type="dxa"/>
          </w:tcPr>
          <w:p w14:paraId="7E370195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matemātika</w:t>
            </w:r>
          </w:p>
        </w:tc>
        <w:tc>
          <w:tcPr>
            <w:tcW w:w="1959" w:type="dxa"/>
          </w:tcPr>
          <w:p w14:paraId="7E370196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Latvijas un pasaules vēsture</w:t>
            </w:r>
          </w:p>
        </w:tc>
        <w:tc>
          <w:tcPr>
            <w:tcW w:w="2693" w:type="dxa"/>
            <w:vMerge/>
          </w:tcPr>
          <w:p w14:paraId="7E370197" w14:textId="77777777" w:rsidR="0016018B" w:rsidRPr="00997A9C" w:rsidRDefault="0016018B" w:rsidP="00112F74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6018B" w:rsidRPr="00997A9C" w14:paraId="7E37019D" w14:textId="77777777" w:rsidTr="00F13ED3">
        <w:tc>
          <w:tcPr>
            <w:tcW w:w="2051" w:type="dxa"/>
          </w:tcPr>
          <w:p w14:paraId="7E370199" w14:textId="77777777" w:rsidR="0016018B" w:rsidRPr="00997A9C" w:rsidRDefault="002F403C" w:rsidP="00EC190F">
            <w:pPr>
              <w:pStyle w:val="NormalWeb"/>
              <w:spacing w:before="0" w:beforeAutospacing="0" w:after="0" w:afterAutospacing="0"/>
            </w:pPr>
            <w:r w:rsidRPr="00997A9C">
              <w:t>pirmā svešvaloda</w:t>
            </w:r>
          </w:p>
        </w:tc>
        <w:tc>
          <w:tcPr>
            <w:tcW w:w="2052" w:type="dxa"/>
          </w:tcPr>
          <w:p w14:paraId="7E37019A" w14:textId="77777777" w:rsidR="0016018B" w:rsidRPr="00997A9C" w:rsidRDefault="0016018B" w:rsidP="00EC190F">
            <w:pPr>
              <w:pStyle w:val="NormalWeb"/>
              <w:spacing w:before="0" w:beforeAutospacing="0" w:after="0" w:afterAutospacing="0"/>
            </w:pPr>
            <w:r w:rsidRPr="00997A9C">
              <w:t>informātika</w:t>
            </w:r>
          </w:p>
        </w:tc>
        <w:tc>
          <w:tcPr>
            <w:tcW w:w="1959" w:type="dxa"/>
          </w:tcPr>
          <w:p w14:paraId="7E37019B" w14:textId="77777777" w:rsidR="0016018B" w:rsidRPr="00997A9C" w:rsidRDefault="002F403C" w:rsidP="00EC190F">
            <w:pPr>
              <w:pStyle w:val="NormalWeb"/>
              <w:spacing w:before="0" w:beforeAutospacing="0" w:after="0" w:afterAutospacing="0"/>
            </w:pPr>
            <w:r w:rsidRPr="00997A9C">
              <w:t xml:space="preserve">ekonomika </w:t>
            </w:r>
          </w:p>
        </w:tc>
        <w:tc>
          <w:tcPr>
            <w:tcW w:w="2693" w:type="dxa"/>
            <w:vMerge/>
          </w:tcPr>
          <w:p w14:paraId="7E37019C" w14:textId="77777777" w:rsidR="0016018B" w:rsidRPr="00997A9C" w:rsidRDefault="0016018B" w:rsidP="00112F74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6018B" w:rsidRPr="00997A9C" w14:paraId="7E3701A2" w14:textId="77777777" w:rsidTr="00F13ED3">
        <w:tc>
          <w:tcPr>
            <w:tcW w:w="2051" w:type="dxa"/>
          </w:tcPr>
          <w:p w14:paraId="7E37019E" w14:textId="77777777" w:rsidR="0016018B" w:rsidRPr="00997A9C" w:rsidRDefault="002F403C" w:rsidP="00EC190F">
            <w:pPr>
              <w:pStyle w:val="NormalWeb"/>
              <w:spacing w:before="0" w:beforeAutospacing="0" w:after="0" w:afterAutospacing="0"/>
            </w:pPr>
            <w:r w:rsidRPr="00997A9C">
              <w:t>otrā svešvaloda</w:t>
            </w:r>
          </w:p>
        </w:tc>
        <w:tc>
          <w:tcPr>
            <w:tcW w:w="2052" w:type="dxa"/>
          </w:tcPr>
          <w:p w14:paraId="7E37019F" w14:textId="77777777" w:rsidR="0016018B" w:rsidRPr="00997A9C" w:rsidRDefault="00FD039B" w:rsidP="00EC190F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997A9C">
              <w:rPr>
                <w:color w:val="000000" w:themeColor="text1"/>
              </w:rPr>
              <w:t>f</w:t>
            </w:r>
            <w:r w:rsidR="003E41AF" w:rsidRPr="00997A9C">
              <w:rPr>
                <w:color w:val="000000" w:themeColor="text1"/>
              </w:rPr>
              <w:t>izika vai</w:t>
            </w:r>
            <w:r w:rsidR="0016018B" w:rsidRPr="00997A9C">
              <w:rPr>
                <w:color w:val="000000" w:themeColor="text1"/>
              </w:rPr>
              <w:t xml:space="preserve"> ķīmija</w:t>
            </w:r>
          </w:p>
        </w:tc>
        <w:tc>
          <w:tcPr>
            <w:tcW w:w="1959" w:type="dxa"/>
          </w:tcPr>
          <w:p w14:paraId="7E3701A0" w14:textId="77777777" w:rsidR="0016018B" w:rsidRPr="00997A9C" w:rsidRDefault="002F403C" w:rsidP="00EC190F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997A9C">
              <w:rPr>
                <w:color w:val="000000" w:themeColor="text1"/>
              </w:rPr>
              <w:t>literatūra</w:t>
            </w:r>
          </w:p>
        </w:tc>
        <w:tc>
          <w:tcPr>
            <w:tcW w:w="2693" w:type="dxa"/>
            <w:vMerge/>
          </w:tcPr>
          <w:p w14:paraId="7E3701A1" w14:textId="77777777" w:rsidR="0016018B" w:rsidRPr="00997A9C" w:rsidRDefault="0016018B" w:rsidP="00112F74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6018B" w:rsidRPr="00997A9C" w14:paraId="7E3701A7" w14:textId="77777777" w:rsidTr="00F13ED3">
        <w:tc>
          <w:tcPr>
            <w:tcW w:w="2051" w:type="dxa"/>
          </w:tcPr>
          <w:p w14:paraId="7E3701A3" w14:textId="77777777" w:rsidR="0016018B" w:rsidRPr="00997A9C" w:rsidRDefault="002F403C" w:rsidP="00EC190F">
            <w:pPr>
              <w:pStyle w:val="NormalWeb"/>
              <w:spacing w:before="0" w:beforeAutospacing="0" w:after="0" w:afterAutospacing="0"/>
            </w:pPr>
            <w:r w:rsidRPr="00997A9C">
              <w:t>izvēles mācību priekšmeti</w:t>
            </w:r>
          </w:p>
        </w:tc>
        <w:tc>
          <w:tcPr>
            <w:tcW w:w="2052" w:type="dxa"/>
          </w:tcPr>
          <w:p w14:paraId="7E3701A4" w14:textId="77777777" w:rsidR="0016018B" w:rsidRPr="00997A9C" w:rsidRDefault="002F403C" w:rsidP="00EC190F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r w:rsidRPr="00997A9C">
              <w:t>izvēles mācību priekšmeti</w:t>
            </w:r>
          </w:p>
        </w:tc>
        <w:tc>
          <w:tcPr>
            <w:tcW w:w="1959" w:type="dxa"/>
          </w:tcPr>
          <w:p w14:paraId="7E3701A5" w14:textId="77777777" w:rsidR="0016018B" w:rsidRPr="00997A9C" w:rsidRDefault="002F403C" w:rsidP="00EC190F">
            <w:pPr>
              <w:pStyle w:val="NormalWeb"/>
              <w:spacing w:before="0" w:beforeAutospacing="0" w:after="0" w:afterAutospacing="0"/>
            </w:pPr>
            <w:r w:rsidRPr="00997A9C">
              <w:t>izvēles mācību priekšmeti</w:t>
            </w:r>
          </w:p>
        </w:tc>
        <w:tc>
          <w:tcPr>
            <w:tcW w:w="2693" w:type="dxa"/>
            <w:vMerge/>
          </w:tcPr>
          <w:p w14:paraId="7E3701A6" w14:textId="77777777" w:rsidR="0016018B" w:rsidRPr="00997A9C" w:rsidRDefault="0016018B" w:rsidP="00112F74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14:paraId="7E3701A8" w14:textId="77777777" w:rsidR="00A33E23" w:rsidRPr="00997A9C" w:rsidRDefault="00A33E23" w:rsidP="009B086C">
      <w:pPr>
        <w:pStyle w:val="BodyTextIndent"/>
        <w:spacing w:after="0"/>
        <w:jc w:val="both"/>
        <w:rPr>
          <w:b w:val="0"/>
          <w:bCs w:val="0"/>
          <w:sz w:val="24"/>
        </w:rPr>
      </w:pPr>
    </w:p>
    <w:p w14:paraId="7E3701A9" w14:textId="4C0E37EA" w:rsidR="00D27A65" w:rsidRPr="00997A9C" w:rsidRDefault="009B086C" w:rsidP="00656D85">
      <w:pPr>
        <w:pStyle w:val="BodyTextIndent"/>
        <w:spacing w:after="0"/>
        <w:jc w:val="both"/>
        <w:rPr>
          <w:b w:val="0"/>
          <w:bCs w:val="0"/>
          <w:sz w:val="24"/>
        </w:rPr>
      </w:pPr>
      <w:r w:rsidRPr="00997A9C">
        <w:rPr>
          <w:b w:val="0"/>
          <w:bCs w:val="0"/>
          <w:sz w:val="24"/>
        </w:rPr>
        <w:t>Piezīme</w:t>
      </w:r>
      <w:r w:rsidR="00CA68E0" w:rsidRPr="00997A9C">
        <w:rPr>
          <w:b w:val="0"/>
          <w:bCs w:val="0"/>
          <w:sz w:val="24"/>
        </w:rPr>
        <w:t>s</w:t>
      </w:r>
      <w:r w:rsidRPr="00997A9C">
        <w:rPr>
          <w:b w:val="0"/>
          <w:bCs w:val="0"/>
          <w:sz w:val="24"/>
        </w:rPr>
        <w:t xml:space="preserve">. </w:t>
      </w:r>
    </w:p>
    <w:p w14:paraId="7E3701AA" w14:textId="35F22355" w:rsidR="00D27A65" w:rsidRPr="00997A9C" w:rsidRDefault="00D27A65" w:rsidP="00656D85">
      <w:pPr>
        <w:pStyle w:val="BodyTextIndent"/>
        <w:tabs>
          <w:tab w:val="left" w:pos="284"/>
        </w:tabs>
        <w:spacing w:after="0"/>
        <w:jc w:val="both"/>
        <w:rPr>
          <w:b w:val="0"/>
          <w:bCs w:val="0"/>
          <w:sz w:val="24"/>
        </w:rPr>
      </w:pPr>
      <w:r w:rsidRPr="00997A9C">
        <w:rPr>
          <w:b w:val="0"/>
          <w:bCs w:val="0"/>
          <w:sz w:val="24"/>
        </w:rPr>
        <w:t>1.</w:t>
      </w:r>
      <w:r w:rsidR="00656D85" w:rsidRPr="00997A9C">
        <w:rPr>
          <w:b w:val="0"/>
          <w:bCs w:val="0"/>
          <w:sz w:val="24"/>
        </w:rPr>
        <w:t> </w:t>
      </w:r>
      <w:r w:rsidRPr="00997A9C">
        <w:rPr>
          <w:b w:val="0"/>
          <w:bCs w:val="0"/>
          <w:sz w:val="24"/>
        </w:rPr>
        <w:t>Pieļaujamā atkāpe – trīs procenti. Izglītības programmās, kurās iepriekš apgūta vidējā izglītība, teoriju veido profesionālie mācību priekšmeti.</w:t>
      </w:r>
    </w:p>
    <w:p w14:paraId="7E3701AB" w14:textId="78AC4120" w:rsidR="00D27A65" w:rsidRPr="00997A9C" w:rsidRDefault="00D27A65" w:rsidP="00656D85">
      <w:pPr>
        <w:pStyle w:val="BodyTextIndent"/>
        <w:tabs>
          <w:tab w:val="left" w:pos="284"/>
        </w:tabs>
        <w:spacing w:after="0"/>
        <w:jc w:val="both"/>
        <w:rPr>
          <w:b w:val="0"/>
          <w:bCs w:val="0"/>
          <w:sz w:val="24"/>
        </w:rPr>
      </w:pPr>
      <w:r w:rsidRPr="00997A9C">
        <w:rPr>
          <w:b w:val="0"/>
          <w:bCs w:val="0"/>
          <w:sz w:val="24"/>
        </w:rPr>
        <w:t>2.</w:t>
      </w:r>
      <w:r w:rsidR="00656D85" w:rsidRPr="00997A9C">
        <w:rPr>
          <w:b w:val="0"/>
          <w:bCs w:val="0"/>
          <w:sz w:val="24"/>
        </w:rPr>
        <w:t> </w:t>
      </w:r>
      <w:r w:rsidR="004E31DD" w:rsidRPr="00997A9C">
        <w:rPr>
          <w:b w:val="0"/>
          <w:bCs w:val="0"/>
          <w:sz w:val="24"/>
        </w:rPr>
        <w:t xml:space="preserve">Mācību kursa </w:t>
      </w:r>
      <w:r w:rsidR="00D65E20" w:rsidRPr="00997A9C">
        <w:rPr>
          <w:b w:val="0"/>
          <w:bCs w:val="0"/>
          <w:sz w:val="24"/>
        </w:rPr>
        <w:t>"</w:t>
      </w:r>
      <w:r w:rsidR="004E31DD" w:rsidRPr="00997A9C">
        <w:rPr>
          <w:b w:val="0"/>
          <w:bCs w:val="0"/>
          <w:sz w:val="24"/>
        </w:rPr>
        <w:t>Sabiedrības un cilvēka drošība</w:t>
      </w:r>
      <w:r w:rsidR="00D65E20" w:rsidRPr="00997A9C">
        <w:rPr>
          <w:b w:val="0"/>
          <w:bCs w:val="0"/>
          <w:sz w:val="24"/>
        </w:rPr>
        <w:t>"</w:t>
      </w:r>
      <w:r w:rsidR="004E31DD" w:rsidRPr="00997A9C">
        <w:rPr>
          <w:b w:val="0"/>
          <w:bCs w:val="0"/>
          <w:sz w:val="24"/>
        </w:rPr>
        <w:t xml:space="preserve"> veselības izglītības satura apguvei noteikt </w:t>
      </w:r>
      <w:r w:rsidRPr="00997A9C">
        <w:rPr>
          <w:b w:val="0"/>
          <w:bCs w:val="0"/>
          <w:sz w:val="24"/>
        </w:rPr>
        <w:t>24</w:t>
      </w:r>
      <w:r w:rsidR="00E62CC8">
        <w:rPr>
          <w:b w:val="0"/>
          <w:bCs w:val="0"/>
          <w:sz w:val="24"/>
        </w:rPr>
        <w:t> </w:t>
      </w:r>
      <w:r w:rsidR="00FD2531" w:rsidRPr="00997A9C">
        <w:rPr>
          <w:b w:val="0"/>
          <w:bCs w:val="0"/>
          <w:sz w:val="24"/>
        </w:rPr>
        <w:t xml:space="preserve">mācību </w:t>
      </w:r>
      <w:r w:rsidRPr="00997A9C">
        <w:rPr>
          <w:b w:val="0"/>
          <w:bCs w:val="0"/>
          <w:sz w:val="24"/>
        </w:rPr>
        <w:t>stundas, neieskaitot saturu</w:t>
      </w:r>
      <w:r w:rsidR="004E31DD" w:rsidRPr="00997A9C">
        <w:rPr>
          <w:b w:val="0"/>
          <w:bCs w:val="0"/>
          <w:sz w:val="24"/>
        </w:rPr>
        <w:t>,</w:t>
      </w:r>
      <w:r w:rsidRPr="00997A9C">
        <w:rPr>
          <w:b w:val="0"/>
          <w:bCs w:val="0"/>
          <w:sz w:val="24"/>
        </w:rPr>
        <w:t xml:space="preserve"> kas integrēts citos mācību priekšmetos.</w:t>
      </w:r>
    </w:p>
    <w:p w14:paraId="7E3701AC" w14:textId="3C4CEEE6" w:rsidR="00255CAF" w:rsidRPr="00997A9C" w:rsidRDefault="00D27A65" w:rsidP="00656D85">
      <w:pPr>
        <w:pStyle w:val="BodyTextIndent"/>
        <w:tabs>
          <w:tab w:val="left" w:pos="284"/>
        </w:tabs>
        <w:spacing w:after="0"/>
        <w:jc w:val="both"/>
        <w:rPr>
          <w:b w:val="0"/>
          <w:bCs w:val="0"/>
          <w:sz w:val="24"/>
        </w:rPr>
      </w:pPr>
      <w:r w:rsidRPr="00997A9C">
        <w:rPr>
          <w:b w:val="0"/>
          <w:bCs w:val="0"/>
          <w:sz w:val="24"/>
        </w:rPr>
        <w:t>3.</w:t>
      </w:r>
      <w:r w:rsidR="00656D85" w:rsidRPr="00997A9C">
        <w:rPr>
          <w:b w:val="0"/>
          <w:bCs w:val="0"/>
          <w:sz w:val="24"/>
        </w:rPr>
        <w:t> </w:t>
      </w:r>
      <w:r w:rsidRPr="00997A9C">
        <w:rPr>
          <w:b w:val="0"/>
          <w:bCs w:val="0"/>
          <w:sz w:val="24"/>
        </w:rPr>
        <w:t>Vides izglītību,</w:t>
      </w:r>
      <w:r w:rsidRPr="00997A9C">
        <w:rPr>
          <w:b w:val="0"/>
          <w:sz w:val="24"/>
        </w:rPr>
        <w:t xml:space="preserve"> izglītību darba vides drošības un valsts aizsardzības jomā</w:t>
      </w:r>
      <w:r w:rsidRPr="00997A9C">
        <w:rPr>
          <w:b w:val="0"/>
          <w:bCs w:val="0"/>
          <w:sz w:val="24"/>
        </w:rPr>
        <w:t xml:space="preserve"> var integrēt citos mācību priekšmetos</w:t>
      </w:r>
      <w:r w:rsidR="003D1633" w:rsidRPr="00997A9C">
        <w:rPr>
          <w:b w:val="0"/>
          <w:bCs w:val="0"/>
          <w:sz w:val="24"/>
        </w:rPr>
        <w:t>.</w:t>
      </w:r>
      <w:r w:rsidR="00D65E20" w:rsidRPr="00997A9C">
        <w:rPr>
          <w:b w:val="0"/>
          <w:bCs w:val="0"/>
          <w:sz w:val="24"/>
        </w:rPr>
        <w:t>"</w:t>
      </w:r>
      <w:r w:rsidR="00656D85" w:rsidRPr="00997A9C">
        <w:rPr>
          <w:b w:val="0"/>
          <w:bCs w:val="0"/>
          <w:sz w:val="24"/>
        </w:rPr>
        <w:t>;</w:t>
      </w:r>
    </w:p>
    <w:p w14:paraId="7E3701AD" w14:textId="77777777" w:rsidR="009B086C" w:rsidRPr="00997A9C" w:rsidRDefault="009B086C" w:rsidP="009B086C">
      <w:pPr>
        <w:pStyle w:val="BodyTextIndent"/>
        <w:spacing w:after="0"/>
        <w:jc w:val="both"/>
        <w:rPr>
          <w:b w:val="0"/>
          <w:bCs w:val="0"/>
          <w:sz w:val="24"/>
        </w:rPr>
      </w:pPr>
    </w:p>
    <w:p w14:paraId="7E3701AE" w14:textId="704CC5D8" w:rsidR="009B086C" w:rsidRDefault="00FC4251" w:rsidP="00FC4251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2DA">
        <w:rPr>
          <w:sz w:val="28"/>
          <w:szCs w:val="28"/>
        </w:rPr>
        <w:t>1.</w:t>
      </w:r>
      <w:r w:rsidR="006161B1">
        <w:rPr>
          <w:sz w:val="28"/>
          <w:szCs w:val="28"/>
        </w:rPr>
        <w:t>8</w:t>
      </w:r>
      <w:r w:rsidR="009B086C">
        <w:rPr>
          <w:sz w:val="28"/>
          <w:szCs w:val="28"/>
        </w:rPr>
        <w:t>.</w:t>
      </w:r>
      <w:r w:rsidR="00FE02DA">
        <w:rPr>
          <w:sz w:val="28"/>
          <w:szCs w:val="28"/>
        </w:rPr>
        <w:t xml:space="preserve"> </w:t>
      </w:r>
      <w:r w:rsidR="00656D85">
        <w:rPr>
          <w:sz w:val="28"/>
          <w:szCs w:val="28"/>
        </w:rPr>
        <w:t>i</w:t>
      </w:r>
      <w:r w:rsidR="009B086C" w:rsidRPr="008724F6">
        <w:rPr>
          <w:sz w:val="28"/>
          <w:szCs w:val="28"/>
        </w:rPr>
        <w:t xml:space="preserve">zteikt </w:t>
      </w:r>
      <w:r w:rsidR="009B086C">
        <w:rPr>
          <w:sz w:val="28"/>
          <w:szCs w:val="28"/>
        </w:rPr>
        <w:t>3</w:t>
      </w:r>
      <w:r w:rsidR="00D65E20">
        <w:rPr>
          <w:sz w:val="28"/>
          <w:szCs w:val="28"/>
        </w:rPr>
        <w:t>.</w:t>
      </w:r>
      <w:r w:rsidR="00656D85">
        <w:rPr>
          <w:sz w:val="28"/>
          <w:szCs w:val="28"/>
        </w:rPr>
        <w:t> </w:t>
      </w:r>
      <w:r w:rsidR="00D65E20">
        <w:rPr>
          <w:sz w:val="28"/>
          <w:szCs w:val="28"/>
        </w:rPr>
        <w:t>p</w:t>
      </w:r>
      <w:r w:rsidR="009B086C" w:rsidRPr="008724F6">
        <w:rPr>
          <w:sz w:val="28"/>
          <w:szCs w:val="28"/>
        </w:rPr>
        <w:t>ielikuma 3</w:t>
      </w:r>
      <w:r w:rsidR="00D65E20">
        <w:rPr>
          <w:sz w:val="28"/>
          <w:szCs w:val="28"/>
        </w:rPr>
        <w:t>.</w:t>
      </w:r>
      <w:r w:rsidR="00656D85">
        <w:rPr>
          <w:sz w:val="28"/>
          <w:szCs w:val="28"/>
        </w:rPr>
        <w:t> </w:t>
      </w:r>
      <w:r w:rsidR="00D65E20">
        <w:rPr>
          <w:sz w:val="28"/>
          <w:szCs w:val="28"/>
        </w:rPr>
        <w:t>t</w:t>
      </w:r>
      <w:r w:rsidR="009B086C" w:rsidRPr="008724F6">
        <w:rPr>
          <w:sz w:val="28"/>
          <w:szCs w:val="28"/>
        </w:rPr>
        <w:t xml:space="preserve">abulu </w:t>
      </w:r>
      <w:r w:rsidR="00FC37CE">
        <w:rPr>
          <w:sz w:val="28"/>
          <w:szCs w:val="28"/>
        </w:rPr>
        <w:t xml:space="preserve">un piezīmes </w:t>
      </w:r>
      <w:r w:rsidR="009B086C" w:rsidRPr="008724F6">
        <w:rPr>
          <w:sz w:val="28"/>
          <w:szCs w:val="28"/>
        </w:rPr>
        <w:t>šādā redakcijā:</w:t>
      </w:r>
    </w:p>
    <w:p w14:paraId="2682A898" w14:textId="77777777" w:rsidR="00763886" w:rsidRPr="008724F6" w:rsidRDefault="00763886" w:rsidP="00FC4251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E3701AF" w14:textId="537B32E2" w:rsidR="009B086C" w:rsidRPr="00E62CC8" w:rsidRDefault="00D65E20" w:rsidP="009B086C">
      <w:pPr>
        <w:pStyle w:val="BodyTextIndent"/>
        <w:spacing w:after="0"/>
        <w:jc w:val="right"/>
        <w:rPr>
          <w:b w:val="0"/>
          <w:bCs w:val="0"/>
          <w:sz w:val="24"/>
        </w:rPr>
      </w:pPr>
      <w:r w:rsidRPr="00E62CC8">
        <w:rPr>
          <w:b w:val="0"/>
          <w:sz w:val="24"/>
        </w:rPr>
        <w:t>"</w:t>
      </w:r>
      <w:r w:rsidR="009B086C" w:rsidRPr="00E62CC8">
        <w:rPr>
          <w:b w:val="0"/>
          <w:bCs w:val="0"/>
          <w:sz w:val="24"/>
        </w:rPr>
        <w:t>3</w:t>
      </w:r>
      <w:r w:rsidRPr="00E62CC8">
        <w:rPr>
          <w:b w:val="0"/>
          <w:bCs w:val="0"/>
          <w:sz w:val="24"/>
        </w:rPr>
        <w:t>.</w:t>
      </w:r>
      <w:r w:rsidR="00656D85" w:rsidRPr="00E62CC8">
        <w:rPr>
          <w:b w:val="0"/>
          <w:bCs w:val="0"/>
          <w:sz w:val="24"/>
        </w:rPr>
        <w:t> </w:t>
      </w:r>
      <w:r w:rsidRPr="00E62CC8">
        <w:rPr>
          <w:b w:val="0"/>
          <w:bCs w:val="0"/>
          <w:sz w:val="24"/>
        </w:rPr>
        <w:t>t</w:t>
      </w:r>
      <w:r w:rsidR="009B086C" w:rsidRPr="00E62CC8">
        <w:rPr>
          <w:b w:val="0"/>
          <w:bCs w:val="0"/>
          <w:sz w:val="24"/>
        </w:rPr>
        <w:t>abula</w:t>
      </w:r>
    </w:p>
    <w:p w14:paraId="7E3701B0" w14:textId="77777777" w:rsidR="009B086C" w:rsidRDefault="009B086C" w:rsidP="00EE151F">
      <w:pPr>
        <w:pStyle w:val="BodyTextIndent"/>
        <w:spacing w:after="0"/>
        <w:ind w:firstLine="0"/>
        <w:rPr>
          <w:bCs w:val="0"/>
          <w:sz w:val="24"/>
        </w:rPr>
      </w:pPr>
      <w:r w:rsidRPr="00E62CC8">
        <w:rPr>
          <w:bCs w:val="0"/>
          <w:sz w:val="24"/>
        </w:rPr>
        <w:t>Teorijas sadalījums</w:t>
      </w:r>
    </w:p>
    <w:p w14:paraId="68889A21" w14:textId="77777777" w:rsidR="00E62CC8" w:rsidRPr="00E62CC8" w:rsidRDefault="00E62CC8" w:rsidP="009B086C">
      <w:pPr>
        <w:pStyle w:val="BodyTextIndent"/>
        <w:spacing w:after="0"/>
        <w:rPr>
          <w:b w:val="0"/>
          <w:bCs w:val="0"/>
          <w:sz w:val="24"/>
        </w:rPr>
      </w:pPr>
    </w:p>
    <w:tbl>
      <w:tblPr>
        <w:tblStyle w:val="TableGrid"/>
        <w:tblpPr w:leftFromText="180" w:rightFromText="180" w:vertAnchor="text" w:tblpX="3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285"/>
        <w:gridCol w:w="2393"/>
      </w:tblGrid>
      <w:tr w:rsidR="009B086C" w:rsidRPr="00E62CC8" w14:paraId="7E3701B2" w14:textId="77777777" w:rsidTr="00E15A92">
        <w:tc>
          <w:tcPr>
            <w:tcW w:w="8755" w:type="dxa"/>
            <w:gridSpan w:val="4"/>
          </w:tcPr>
          <w:p w14:paraId="7E3701B1" w14:textId="1D99CA87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  <w:r w:rsidRPr="00E62CC8">
              <w:t>Teorija – kopā 100</w:t>
            </w:r>
            <w:r w:rsidR="00656D85" w:rsidRPr="00E62CC8">
              <w:t> </w:t>
            </w:r>
            <w:r w:rsidRPr="00E62CC8">
              <w:t>%</w:t>
            </w:r>
          </w:p>
        </w:tc>
      </w:tr>
      <w:tr w:rsidR="009B086C" w:rsidRPr="00E62CC8" w14:paraId="7E3701B5" w14:textId="77777777" w:rsidTr="00E15A92">
        <w:tc>
          <w:tcPr>
            <w:tcW w:w="6362" w:type="dxa"/>
            <w:gridSpan w:val="3"/>
          </w:tcPr>
          <w:p w14:paraId="7E3701B3" w14:textId="2FFB56BD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  <w:r w:rsidRPr="00E62CC8">
              <w:t>Vispārizglītojošie mācību priekšmeti – kopā 60</w:t>
            </w:r>
            <w:r w:rsidR="00656D85" w:rsidRPr="00E62CC8">
              <w:t> </w:t>
            </w:r>
            <w:r w:rsidRPr="00E62CC8">
              <w:t>%</w:t>
            </w:r>
          </w:p>
        </w:tc>
        <w:tc>
          <w:tcPr>
            <w:tcW w:w="2393" w:type="dxa"/>
          </w:tcPr>
          <w:p w14:paraId="7E3701B4" w14:textId="79A84B39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Profesionālie mācību priekšmeti ‒</w:t>
            </w:r>
            <w:r w:rsidR="00656D85" w:rsidRPr="00E62CC8">
              <w:t xml:space="preserve"> </w:t>
            </w:r>
            <w:r w:rsidRPr="00E62CC8">
              <w:t>40</w:t>
            </w:r>
            <w:r w:rsidR="00656D85" w:rsidRPr="00E62CC8">
              <w:t> </w:t>
            </w:r>
            <w:r w:rsidRPr="00E62CC8">
              <w:t>%</w:t>
            </w:r>
          </w:p>
        </w:tc>
      </w:tr>
      <w:tr w:rsidR="009B086C" w:rsidRPr="00E62CC8" w14:paraId="7E3701B8" w14:textId="77777777" w:rsidTr="00E15A92">
        <w:tc>
          <w:tcPr>
            <w:tcW w:w="6362" w:type="dxa"/>
            <w:gridSpan w:val="3"/>
          </w:tcPr>
          <w:p w14:paraId="7E3701B6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center"/>
            </w:pPr>
            <w:r w:rsidRPr="00E62CC8">
              <w:t>Humanitārais virziens</w:t>
            </w:r>
          </w:p>
        </w:tc>
        <w:tc>
          <w:tcPr>
            <w:tcW w:w="2393" w:type="dxa"/>
            <w:vMerge w:val="restart"/>
          </w:tcPr>
          <w:p w14:paraId="7E3701B7" w14:textId="6E75CFDC" w:rsidR="009B086C" w:rsidRPr="00E62CC8" w:rsidRDefault="007B653C" w:rsidP="00656D85">
            <w:pPr>
              <w:pStyle w:val="NormalWeb"/>
              <w:spacing w:before="0" w:beforeAutospacing="0" w:after="0" w:afterAutospacing="0"/>
            </w:pPr>
            <w:r w:rsidRPr="00E62CC8">
              <w:t>Sabiedrības un cilvēka drošība</w:t>
            </w:r>
            <w:r w:rsidR="00BC2BDA" w:rsidRPr="00E62CC8">
              <w:t xml:space="preserve"> </w:t>
            </w:r>
            <w:r w:rsidR="008A75DB" w:rsidRPr="00E62CC8">
              <w:t>(10</w:t>
            </w:r>
            <w:r w:rsidR="00E62CC8">
              <w:t> </w:t>
            </w:r>
            <w:r w:rsidR="00BC2BDA" w:rsidRPr="00E62CC8">
              <w:t>%)</w:t>
            </w:r>
          </w:p>
        </w:tc>
      </w:tr>
      <w:tr w:rsidR="009B086C" w:rsidRPr="00E62CC8" w14:paraId="7E3701BB" w14:textId="77777777" w:rsidTr="00E15A92">
        <w:tc>
          <w:tcPr>
            <w:tcW w:w="6362" w:type="dxa"/>
            <w:gridSpan w:val="3"/>
          </w:tcPr>
          <w:p w14:paraId="7E3701B9" w14:textId="38B427C1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  <w:r w:rsidRPr="00E62CC8">
              <w:t>Izglītošanas jomas – kopā 100</w:t>
            </w:r>
            <w:r w:rsidR="00E62CC8">
              <w:t> </w:t>
            </w:r>
            <w:r w:rsidRPr="00E62CC8">
              <w:t>%</w:t>
            </w:r>
          </w:p>
        </w:tc>
        <w:tc>
          <w:tcPr>
            <w:tcW w:w="2393" w:type="dxa"/>
            <w:vMerge/>
          </w:tcPr>
          <w:p w14:paraId="7E3701BA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B086C" w:rsidRPr="00E62CC8" w14:paraId="7E3701C0" w14:textId="77777777" w:rsidTr="00E15A92">
        <w:tc>
          <w:tcPr>
            <w:tcW w:w="1951" w:type="dxa"/>
          </w:tcPr>
          <w:p w14:paraId="7E3701BC" w14:textId="385BF2A6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  <w:r w:rsidRPr="00E62CC8">
              <w:t>45</w:t>
            </w:r>
            <w:r w:rsidR="00656D85" w:rsidRPr="00E62CC8">
              <w:t> </w:t>
            </w:r>
            <w:r w:rsidRPr="00E62CC8">
              <w:t>%</w:t>
            </w:r>
          </w:p>
        </w:tc>
        <w:tc>
          <w:tcPr>
            <w:tcW w:w="2126" w:type="dxa"/>
          </w:tcPr>
          <w:p w14:paraId="7E3701BD" w14:textId="3A78AF62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  <w:r w:rsidRPr="00E62CC8">
              <w:t>33</w:t>
            </w:r>
            <w:r w:rsidR="00656D85" w:rsidRPr="00E62CC8">
              <w:t> </w:t>
            </w:r>
            <w:r w:rsidRPr="00E62CC8">
              <w:t>%</w:t>
            </w:r>
          </w:p>
        </w:tc>
        <w:tc>
          <w:tcPr>
            <w:tcW w:w="2285" w:type="dxa"/>
          </w:tcPr>
          <w:p w14:paraId="7E3701BE" w14:textId="42ED1DB7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  <w:r w:rsidRPr="00E62CC8">
              <w:t>22</w:t>
            </w:r>
            <w:r w:rsidR="00656D85" w:rsidRPr="00E62CC8">
              <w:t> </w:t>
            </w:r>
            <w:r w:rsidRPr="00E62CC8">
              <w:t>%</w:t>
            </w:r>
          </w:p>
        </w:tc>
        <w:tc>
          <w:tcPr>
            <w:tcW w:w="2393" w:type="dxa"/>
            <w:vMerge/>
          </w:tcPr>
          <w:p w14:paraId="7E3701BF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B086C" w:rsidRPr="00E62CC8" w14:paraId="7E3701C5" w14:textId="77777777" w:rsidTr="00E15A92">
        <w:tc>
          <w:tcPr>
            <w:tcW w:w="1951" w:type="dxa"/>
          </w:tcPr>
          <w:p w14:paraId="7E3701C1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valodas un komunikatīvās zinības</w:t>
            </w:r>
          </w:p>
        </w:tc>
        <w:tc>
          <w:tcPr>
            <w:tcW w:w="2126" w:type="dxa"/>
          </w:tcPr>
          <w:p w14:paraId="7E3701C2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matemātika, dabas zinības un tehniskās zinības</w:t>
            </w:r>
          </w:p>
        </w:tc>
        <w:tc>
          <w:tcPr>
            <w:tcW w:w="2285" w:type="dxa"/>
          </w:tcPr>
          <w:p w14:paraId="7E3701C3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sociālās zinības un kultūrizglītība</w:t>
            </w:r>
          </w:p>
        </w:tc>
        <w:tc>
          <w:tcPr>
            <w:tcW w:w="2393" w:type="dxa"/>
            <w:vMerge/>
          </w:tcPr>
          <w:p w14:paraId="7E3701C4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B086C" w:rsidRPr="00E62CC8" w14:paraId="7E3701C8" w14:textId="77777777" w:rsidTr="00E15A92">
        <w:tc>
          <w:tcPr>
            <w:tcW w:w="6362" w:type="dxa"/>
            <w:gridSpan w:val="3"/>
          </w:tcPr>
          <w:p w14:paraId="7E3701C6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center"/>
            </w:pPr>
            <w:r w:rsidRPr="00E62CC8">
              <w:t>Mācību priekšmeti</w:t>
            </w:r>
          </w:p>
        </w:tc>
        <w:tc>
          <w:tcPr>
            <w:tcW w:w="2393" w:type="dxa"/>
            <w:vMerge/>
          </w:tcPr>
          <w:p w14:paraId="7E3701C7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B086C" w:rsidRPr="00E62CC8" w14:paraId="7E3701CD" w14:textId="77777777" w:rsidTr="00E15A92">
        <w:tc>
          <w:tcPr>
            <w:tcW w:w="1951" w:type="dxa"/>
          </w:tcPr>
          <w:p w14:paraId="7E3701C9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latviešu valoda</w:t>
            </w:r>
          </w:p>
        </w:tc>
        <w:tc>
          <w:tcPr>
            <w:tcW w:w="2126" w:type="dxa"/>
          </w:tcPr>
          <w:p w14:paraId="7E3701CA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matemātika</w:t>
            </w:r>
          </w:p>
        </w:tc>
        <w:tc>
          <w:tcPr>
            <w:tcW w:w="2285" w:type="dxa"/>
          </w:tcPr>
          <w:p w14:paraId="7E3701CB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Latvijas un pasaules vēsture</w:t>
            </w:r>
          </w:p>
        </w:tc>
        <w:tc>
          <w:tcPr>
            <w:tcW w:w="2393" w:type="dxa"/>
            <w:vMerge/>
          </w:tcPr>
          <w:p w14:paraId="7E3701CC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B086C" w:rsidRPr="00E62CC8" w14:paraId="7E3701D2" w14:textId="77777777" w:rsidTr="00E15A92">
        <w:tc>
          <w:tcPr>
            <w:tcW w:w="1951" w:type="dxa"/>
          </w:tcPr>
          <w:p w14:paraId="7E3701CE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pirmā svešvaloda</w:t>
            </w:r>
          </w:p>
        </w:tc>
        <w:tc>
          <w:tcPr>
            <w:tcW w:w="2126" w:type="dxa"/>
          </w:tcPr>
          <w:p w14:paraId="7E3701CF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dabaszinības</w:t>
            </w:r>
          </w:p>
        </w:tc>
        <w:tc>
          <w:tcPr>
            <w:tcW w:w="2285" w:type="dxa"/>
          </w:tcPr>
          <w:p w14:paraId="7E3701D0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literatūra</w:t>
            </w:r>
          </w:p>
        </w:tc>
        <w:tc>
          <w:tcPr>
            <w:tcW w:w="2393" w:type="dxa"/>
            <w:vMerge/>
          </w:tcPr>
          <w:p w14:paraId="7E3701D1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B086C" w:rsidRPr="00E62CC8" w14:paraId="7E3701D7" w14:textId="77777777" w:rsidTr="00E15A92">
        <w:tc>
          <w:tcPr>
            <w:tcW w:w="1951" w:type="dxa"/>
          </w:tcPr>
          <w:p w14:paraId="7E3701D3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otrā svešvaloda</w:t>
            </w:r>
          </w:p>
        </w:tc>
        <w:tc>
          <w:tcPr>
            <w:tcW w:w="2126" w:type="dxa"/>
          </w:tcPr>
          <w:p w14:paraId="7E3701D4" w14:textId="77777777" w:rsidR="009B086C" w:rsidRPr="00E62CC8" w:rsidRDefault="008E68C6" w:rsidP="00656D85">
            <w:pPr>
              <w:pStyle w:val="NormalWeb"/>
              <w:spacing w:before="0" w:beforeAutospacing="0" w:after="0" w:afterAutospacing="0"/>
            </w:pPr>
            <w:r w:rsidRPr="00E62CC8">
              <w:t>izvēles mācību priekšmeti</w:t>
            </w:r>
          </w:p>
        </w:tc>
        <w:tc>
          <w:tcPr>
            <w:tcW w:w="2285" w:type="dxa"/>
          </w:tcPr>
          <w:p w14:paraId="7E3701D5" w14:textId="77777777" w:rsidR="009B086C" w:rsidRPr="00E62CC8" w:rsidRDefault="008E68C6" w:rsidP="00656D85">
            <w:pPr>
              <w:pStyle w:val="NormalWeb"/>
              <w:spacing w:before="0" w:beforeAutospacing="0" w:after="0" w:afterAutospacing="0"/>
            </w:pPr>
            <w:r w:rsidRPr="00E62CC8">
              <w:t>izvēles mācību priekšmeti</w:t>
            </w:r>
          </w:p>
        </w:tc>
        <w:tc>
          <w:tcPr>
            <w:tcW w:w="2393" w:type="dxa"/>
            <w:vMerge/>
          </w:tcPr>
          <w:p w14:paraId="7E3701D6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B086C" w:rsidRPr="00E62CC8" w14:paraId="7E3701DC" w14:textId="77777777" w:rsidTr="00E15A92">
        <w:tc>
          <w:tcPr>
            <w:tcW w:w="1951" w:type="dxa"/>
          </w:tcPr>
          <w:p w14:paraId="7E3701D8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izvēles mācību priekšmeti</w:t>
            </w:r>
          </w:p>
        </w:tc>
        <w:tc>
          <w:tcPr>
            <w:tcW w:w="2126" w:type="dxa"/>
          </w:tcPr>
          <w:p w14:paraId="7E3701D9" w14:textId="391DE85E" w:rsidR="009B086C" w:rsidRPr="00E62CC8" w:rsidRDefault="00E62CC8" w:rsidP="00656D85">
            <w:pPr>
              <w:pStyle w:val="NormalWeb"/>
              <w:spacing w:before="0" w:beforeAutospacing="0" w:after="0" w:afterAutospacing="0"/>
            </w:pPr>
            <w:r w:rsidRPr="00E62CC8">
              <w:t>–</w:t>
            </w:r>
          </w:p>
        </w:tc>
        <w:tc>
          <w:tcPr>
            <w:tcW w:w="2285" w:type="dxa"/>
          </w:tcPr>
          <w:p w14:paraId="7E3701DA" w14:textId="74D49DA3" w:rsidR="009B086C" w:rsidRPr="00E62CC8" w:rsidRDefault="00E62CC8" w:rsidP="00656D85">
            <w:pPr>
              <w:pStyle w:val="NormalWeb"/>
              <w:spacing w:before="0" w:beforeAutospacing="0" w:after="0" w:afterAutospacing="0"/>
            </w:pPr>
            <w:r w:rsidRPr="00E62CC8">
              <w:t>–</w:t>
            </w:r>
          </w:p>
        </w:tc>
        <w:tc>
          <w:tcPr>
            <w:tcW w:w="2393" w:type="dxa"/>
            <w:vMerge/>
          </w:tcPr>
          <w:p w14:paraId="7E3701DB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14:paraId="5209B8EF" w14:textId="77777777" w:rsidR="00E62CC8" w:rsidRDefault="00E62CC8">
      <w:r>
        <w:br w:type="page"/>
      </w:r>
    </w:p>
    <w:tbl>
      <w:tblPr>
        <w:tblStyle w:val="TableGrid"/>
        <w:tblpPr w:leftFromText="180" w:rightFromText="180" w:vertAnchor="text" w:tblpX="3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285"/>
        <w:gridCol w:w="2393"/>
      </w:tblGrid>
      <w:tr w:rsidR="009B086C" w:rsidRPr="00E62CC8" w14:paraId="7E3701DF" w14:textId="77777777" w:rsidTr="00E15A92">
        <w:tc>
          <w:tcPr>
            <w:tcW w:w="6362" w:type="dxa"/>
            <w:gridSpan w:val="3"/>
          </w:tcPr>
          <w:p w14:paraId="7E3701DD" w14:textId="7C4DDC4F" w:rsidR="009B086C" w:rsidRPr="00E62CC8" w:rsidRDefault="009B086C" w:rsidP="00E15A92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E62CC8">
              <w:lastRenderedPageBreak/>
              <w:t>Tehniskais virziens</w:t>
            </w:r>
          </w:p>
        </w:tc>
        <w:tc>
          <w:tcPr>
            <w:tcW w:w="2393" w:type="dxa"/>
            <w:vMerge w:val="restart"/>
          </w:tcPr>
          <w:p w14:paraId="7E3701DE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B086C" w:rsidRPr="00E62CC8" w14:paraId="7E3701E2" w14:textId="77777777" w:rsidTr="00E15A92">
        <w:tc>
          <w:tcPr>
            <w:tcW w:w="6362" w:type="dxa"/>
            <w:gridSpan w:val="3"/>
          </w:tcPr>
          <w:p w14:paraId="7E3701E0" w14:textId="58745E61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  <w:r w:rsidRPr="00E62CC8">
              <w:t>Izglītošanas jomas –</w:t>
            </w:r>
            <w:r w:rsidR="00E62CC8">
              <w:t xml:space="preserve"> </w:t>
            </w:r>
            <w:r w:rsidRPr="00E62CC8">
              <w:t>kopā 100</w:t>
            </w:r>
            <w:r w:rsidR="00E62CC8">
              <w:t> </w:t>
            </w:r>
            <w:r w:rsidRPr="00E62CC8">
              <w:t>%</w:t>
            </w:r>
          </w:p>
        </w:tc>
        <w:tc>
          <w:tcPr>
            <w:tcW w:w="2393" w:type="dxa"/>
            <w:vMerge/>
          </w:tcPr>
          <w:p w14:paraId="7E3701E1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B086C" w:rsidRPr="00E62CC8" w14:paraId="7E3701E7" w14:textId="77777777" w:rsidTr="00E15A92">
        <w:tc>
          <w:tcPr>
            <w:tcW w:w="2093" w:type="dxa"/>
          </w:tcPr>
          <w:p w14:paraId="7E3701E3" w14:textId="03559DB0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  <w:r w:rsidRPr="00E62CC8">
              <w:t>33</w:t>
            </w:r>
            <w:r w:rsidR="00E62CC8">
              <w:t> </w:t>
            </w:r>
            <w:r w:rsidRPr="00E62CC8">
              <w:t>%</w:t>
            </w:r>
          </w:p>
        </w:tc>
        <w:tc>
          <w:tcPr>
            <w:tcW w:w="1984" w:type="dxa"/>
          </w:tcPr>
          <w:p w14:paraId="7E3701E4" w14:textId="068F1260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  <w:r w:rsidRPr="00E62CC8">
              <w:t>45</w:t>
            </w:r>
            <w:r w:rsidR="00E62CC8">
              <w:t> </w:t>
            </w:r>
            <w:r w:rsidRPr="00E62CC8">
              <w:t>%</w:t>
            </w:r>
          </w:p>
        </w:tc>
        <w:tc>
          <w:tcPr>
            <w:tcW w:w="2285" w:type="dxa"/>
          </w:tcPr>
          <w:p w14:paraId="7E3701E5" w14:textId="39C0B183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  <w:r w:rsidRPr="00E62CC8">
              <w:t>22</w:t>
            </w:r>
            <w:r w:rsidR="00E62CC8">
              <w:t> </w:t>
            </w:r>
            <w:r w:rsidRPr="00E62CC8">
              <w:t>%</w:t>
            </w:r>
          </w:p>
        </w:tc>
        <w:tc>
          <w:tcPr>
            <w:tcW w:w="2393" w:type="dxa"/>
            <w:vMerge/>
          </w:tcPr>
          <w:p w14:paraId="7E3701E6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B086C" w:rsidRPr="00E62CC8" w14:paraId="7E3701EC" w14:textId="77777777" w:rsidTr="00E15A92">
        <w:tc>
          <w:tcPr>
            <w:tcW w:w="2093" w:type="dxa"/>
          </w:tcPr>
          <w:p w14:paraId="7E3701E8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valodas un komunikatīvās zinības</w:t>
            </w:r>
          </w:p>
        </w:tc>
        <w:tc>
          <w:tcPr>
            <w:tcW w:w="1984" w:type="dxa"/>
          </w:tcPr>
          <w:p w14:paraId="7E3701E9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matemātika, dabas zinības un tehniskās zinības</w:t>
            </w:r>
          </w:p>
        </w:tc>
        <w:tc>
          <w:tcPr>
            <w:tcW w:w="2285" w:type="dxa"/>
          </w:tcPr>
          <w:p w14:paraId="7E3701EA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sociālās zinības un kultūrizglītība</w:t>
            </w:r>
          </w:p>
        </w:tc>
        <w:tc>
          <w:tcPr>
            <w:tcW w:w="2393" w:type="dxa"/>
            <w:vMerge/>
          </w:tcPr>
          <w:p w14:paraId="7E3701EB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B086C" w:rsidRPr="00E62CC8" w14:paraId="7E3701EF" w14:textId="77777777" w:rsidTr="00E15A92">
        <w:tc>
          <w:tcPr>
            <w:tcW w:w="6362" w:type="dxa"/>
            <w:gridSpan w:val="3"/>
          </w:tcPr>
          <w:p w14:paraId="7E3701ED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center"/>
            </w:pPr>
            <w:r w:rsidRPr="00E62CC8">
              <w:t>Mācību priekšmeti</w:t>
            </w:r>
          </w:p>
        </w:tc>
        <w:tc>
          <w:tcPr>
            <w:tcW w:w="2393" w:type="dxa"/>
            <w:vMerge/>
          </w:tcPr>
          <w:p w14:paraId="7E3701EE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B086C" w:rsidRPr="00E62CC8" w14:paraId="7E3701F4" w14:textId="77777777" w:rsidTr="00E15A92">
        <w:tc>
          <w:tcPr>
            <w:tcW w:w="2093" w:type="dxa"/>
          </w:tcPr>
          <w:p w14:paraId="7E3701F0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latviešu valoda</w:t>
            </w:r>
          </w:p>
        </w:tc>
        <w:tc>
          <w:tcPr>
            <w:tcW w:w="1984" w:type="dxa"/>
          </w:tcPr>
          <w:p w14:paraId="7E3701F1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matemātika</w:t>
            </w:r>
          </w:p>
        </w:tc>
        <w:tc>
          <w:tcPr>
            <w:tcW w:w="2285" w:type="dxa"/>
          </w:tcPr>
          <w:p w14:paraId="7E3701F2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Latvijas un pasaules vēsture</w:t>
            </w:r>
          </w:p>
        </w:tc>
        <w:tc>
          <w:tcPr>
            <w:tcW w:w="2393" w:type="dxa"/>
            <w:vMerge/>
          </w:tcPr>
          <w:p w14:paraId="7E3701F3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B086C" w:rsidRPr="00E62CC8" w14:paraId="7E3701F9" w14:textId="77777777" w:rsidTr="00E15A92">
        <w:tc>
          <w:tcPr>
            <w:tcW w:w="2093" w:type="dxa"/>
          </w:tcPr>
          <w:p w14:paraId="7E3701F5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pirmā svešvaloda</w:t>
            </w:r>
          </w:p>
        </w:tc>
        <w:tc>
          <w:tcPr>
            <w:tcW w:w="1984" w:type="dxa"/>
          </w:tcPr>
          <w:p w14:paraId="7E3701F6" w14:textId="77777777" w:rsidR="009B086C" w:rsidRPr="00E62CC8" w:rsidRDefault="00FD039B" w:rsidP="00656D8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E62CC8">
              <w:rPr>
                <w:color w:val="000000" w:themeColor="text1"/>
              </w:rPr>
              <w:t>f</w:t>
            </w:r>
            <w:r w:rsidR="009B086C" w:rsidRPr="00E62CC8">
              <w:rPr>
                <w:color w:val="000000" w:themeColor="text1"/>
              </w:rPr>
              <w:t>izika</w:t>
            </w:r>
            <w:r w:rsidR="003E41AF" w:rsidRPr="00E62CC8">
              <w:rPr>
                <w:color w:val="000000" w:themeColor="text1"/>
              </w:rPr>
              <w:t xml:space="preserve"> vai ķīmija</w:t>
            </w:r>
          </w:p>
        </w:tc>
        <w:tc>
          <w:tcPr>
            <w:tcW w:w="2285" w:type="dxa"/>
          </w:tcPr>
          <w:p w14:paraId="7E3701F7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literatūra</w:t>
            </w:r>
          </w:p>
        </w:tc>
        <w:tc>
          <w:tcPr>
            <w:tcW w:w="2393" w:type="dxa"/>
            <w:vMerge/>
          </w:tcPr>
          <w:p w14:paraId="7E3701F8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B086C" w:rsidRPr="00E62CC8" w14:paraId="7E3701FE" w14:textId="77777777" w:rsidTr="00E15A92">
        <w:tc>
          <w:tcPr>
            <w:tcW w:w="2093" w:type="dxa"/>
          </w:tcPr>
          <w:p w14:paraId="7E3701FA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otrā svešvaloda</w:t>
            </w:r>
          </w:p>
        </w:tc>
        <w:tc>
          <w:tcPr>
            <w:tcW w:w="1984" w:type="dxa"/>
          </w:tcPr>
          <w:p w14:paraId="7E3701FB" w14:textId="6E979E7F" w:rsidR="009B086C" w:rsidRPr="00E62CC8" w:rsidRDefault="00E62CC8" w:rsidP="00656D85">
            <w:pPr>
              <w:pStyle w:val="NormalWeb"/>
              <w:spacing w:before="0" w:beforeAutospacing="0" w:after="0" w:afterAutospacing="0"/>
            </w:pPr>
            <w:r w:rsidRPr="00E62CC8">
              <w:t>–</w:t>
            </w:r>
          </w:p>
        </w:tc>
        <w:tc>
          <w:tcPr>
            <w:tcW w:w="2285" w:type="dxa"/>
          </w:tcPr>
          <w:p w14:paraId="7E3701FC" w14:textId="5D3C15BF" w:rsidR="009B086C" w:rsidRPr="00E62CC8" w:rsidRDefault="00E62CC8" w:rsidP="00656D85">
            <w:pPr>
              <w:pStyle w:val="NormalWeb"/>
              <w:spacing w:before="0" w:beforeAutospacing="0" w:after="0" w:afterAutospacing="0"/>
            </w:pPr>
            <w:r w:rsidRPr="00E62CC8">
              <w:t>–</w:t>
            </w:r>
          </w:p>
        </w:tc>
        <w:tc>
          <w:tcPr>
            <w:tcW w:w="2393" w:type="dxa"/>
            <w:vMerge/>
          </w:tcPr>
          <w:p w14:paraId="7E3701FD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B086C" w:rsidRPr="00E62CC8" w14:paraId="7E370203" w14:textId="77777777" w:rsidTr="00E15A92">
        <w:tc>
          <w:tcPr>
            <w:tcW w:w="2093" w:type="dxa"/>
          </w:tcPr>
          <w:p w14:paraId="7E3701FF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izvēles mācību priekšmeti</w:t>
            </w:r>
          </w:p>
        </w:tc>
        <w:tc>
          <w:tcPr>
            <w:tcW w:w="1984" w:type="dxa"/>
          </w:tcPr>
          <w:p w14:paraId="7E370200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izvēles mācību priekšmeti</w:t>
            </w:r>
          </w:p>
        </w:tc>
        <w:tc>
          <w:tcPr>
            <w:tcW w:w="2285" w:type="dxa"/>
          </w:tcPr>
          <w:p w14:paraId="7E370201" w14:textId="77777777" w:rsidR="009B086C" w:rsidRPr="00E62CC8" w:rsidRDefault="009B086C" w:rsidP="00656D85">
            <w:pPr>
              <w:pStyle w:val="NormalWeb"/>
              <w:spacing w:before="0" w:beforeAutospacing="0" w:after="0" w:afterAutospacing="0"/>
            </w:pPr>
            <w:r w:rsidRPr="00E62CC8">
              <w:t>izvēles mācību priekšmeti</w:t>
            </w:r>
          </w:p>
        </w:tc>
        <w:tc>
          <w:tcPr>
            <w:tcW w:w="2393" w:type="dxa"/>
            <w:vMerge/>
          </w:tcPr>
          <w:p w14:paraId="7E370202" w14:textId="77777777" w:rsidR="009B086C" w:rsidRPr="00E62CC8" w:rsidRDefault="009B086C" w:rsidP="00E15A92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14:paraId="7E370204" w14:textId="77777777" w:rsidR="00502303" w:rsidRPr="00E62CC8" w:rsidRDefault="00502303" w:rsidP="009B086C">
      <w:pPr>
        <w:pStyle w:val="BodyTextIndent"/>
        <w:tabs>
          <w:tab w:val="clear" w:pos="6804"/>
          <w:tab w:val="left" w:pos="6379"/>
        </w:tabs>
        <w:spacing w:after="0"/>
        <w:jc w:val="both"/>
        <w:rPr>
          <w:b w:val="0"/>
          <w:bCs w:val="0"/>
          <w:sz w:val="24"/>
        </w:rPr>
      </w:pPr>
    </w:p>
    <w:p w14:paraId="7E370205" w14:textId="77777777" w:rsidR="009B086C" w:rsidRPr="00E62CC8" w:rsidRDefault="00BF0406" w:rsidP="00BF0406">
      <w:pPr>
        <w:pStyle w:val="BodyTextIndent"/>
        <w:tabs>
          <w:tab w:val="clear" w:pos="6804"/>
        </w:tabs>
        <w:spacing w:after="0"/>
        <w:ind w:firstLine="0"/>
        <w:jc w:val="both"/>
        <w:rPr>
          <w:b w:val="0"/>
          <w:bCs w:val="0"/>
          <w:sz w:val="24"/>
        </w:rPr>
      </w:pPr>
      <w:r w:rsidRPr="00E62CC8">
        <w:rPr>
          <w:b w:val="0"/>
          <w:bCs w:val="0"/>
          <w:sz w:val="24"/>
        </w:rPr>
        <w:tab/>
      </w:r>
      <w:r w:rsidR="009B086C" w:rsidRPr="00E62CC8">
        <w:rPr>
          <w:b w:val="0"/>
          <w:bCs w:val="0"/>
          <w:sz w:val="24"/>
        </w:rPr>
        <w:t>Piezīmes.</w:t>
      </w:r>
    </w:p>
    <w:p w14:paraId="7E370206" w14:textId="5B2C61FB" w:rsidR="009B086C" w:rsidRPr="00E62CC8" w:rsidRDefault="009B086C" w:rsidP="00656D85">
      <w:pPr>
        <w:pStyle w:val="BodyTextIndent"/>
        <w:tabs>
          <w:tab w:val="clear" w:pos="6804"/>
          <w:tab w:val="left" w:pos="284"/>
          <w:tab w:val="left" w:pos="6379"/>
        </w:tabs>
        <w:spacing w:after="0"/>
        <w:jc w:val="both"/>
        <w:rPr>
          <w:b w:val="0"/>
          <w:bCs w:val="0"/>
          <w:sz w:val="24"/>
        </w:rPr>
      </w:pPr>
      <w:r w:rsidRPr="00E62CC8">
        <w:rPr>
          <w:b w:val="0"/>
          <w:bCs w:val="0"/>
          <w:sz w:val="24"/>
        </w:rPr>
        <w:t>1.</w:t>
      </w:r>
      <w:r w:rsidR="00656D85" w:rsidRPr="00E62CC8">
        <w:rPr>
          <w:b w:val="0"/>
          <w:bCs w:val="0"/>
          <w:sz w:val="24"/>
        </w:rPr>
        <w:t> </w:t>
      </w:r>
      <w:r w:rsidRPr="00E62CC8">
        <w:rPr>
          <w:b w:val="0"/>
          <w:bCs w:val="0"/>
          <w:sz w:val="24"/>
        </w:rPr>
        <w:t>Pieļaujamā atkāpe – trīs procenti.</w:t>
      </w:r>
    </w:p>
    <w:p w14:paraId="7E370207" w14:textId="0AE03026" w:rsidR="009B086C" w:rsidRPr="00E62CC8" w:rsidRDefault="009B086C" w:rsidP="00656D85">
      <w:pPr>
        <w:pStyle w:val="BodyTextIndent"/>
        <w:tabs>
          <w:tab w:val="clear" w:pos="6804"/>
          <w:tab w:val="left" w:pos="284"/>
          <w:tab w:val="left" w:pos="6379"/>
        </w:tabs>
        <w:spacing w:after="0"/>
        <w:jc w:val="both"/>
        <w:rPr>
          <w:b w:val="0"/>
          <w:bCs w:val="0"/>
          <w:sz w:val="24"/>
        </w:rPr>
      </w:pPr>
      <w:r w:rsidRPr="00E62CC8">
        <w:rPr>
          <w:b w:val="0"/>
          <w:bCs w:val="0"/>
          <w:sz w:val="24"/>
        </w:rPr>
        <w:t>2.</w:t>
      </w:r>
      <w:r w:rsidR="00656D85" w:rsidRPr="00E62CC8">
        <w:rPr>
          <w:b w:val="0"/>
          <w:bCs w:val="0"/>
          <w:sz w:val="24"/>
        </w:rPr>
        <w:t> </w:t>
      </w:r>
      <w:r w:rsidRPr="00E62CC8">
        <w:rPr>
          <w:b w:val="0"/>
          <w:bCs w:val="0"/>
          <w:sz w:val="24"/>
        </w:rPr>
        <w:t>Izglītības programmās, kuras uzsāk pēc pamatizglītības ieguves no 17</w:t>
      </w:r>
      <w:r w:rsidR="00E62CC8">
        <w:rPr>
          <w:b w:val="0"/>
          <w:bCs w:val="0"/>
          <w:sz w:val="24"/>
        </w:rPr>
        <w:t> </w:t>
      </w:r>
      <w:r w:rsidRPr="00E62CC8">
        <w:rPr>
          <w:b w:val="0"/>
          <w:bCs w:val="0"/>
          <w:sz w:val="24"/>
        </w:rPr>
        <w:t>gadu vecuma un kurās mācību ilgums ir viens gads vai kurās iepriekš apgūta vidējā izglītība, teoriju veido p</w:t>
      </w:r>
      <w:r w:rsidR="0082196A" w:rsidRPr="00E62CC8">
        <w:rPr>
          <w:b w:val="0"/>
          <w:bCs w:val="0"/>
          <w:sz w:val="24"/>
        </w:rPr>
        <w:t>rofesionāl</w:t>
      </w:r>
      <w:r w:rsidR="00FC37CE">
        <w:rPr>
          <w:b w:val="0"/>
          <w:bCs w:val="0"/>
          <w:sz w:val="24"/>
        </w:rPr>
        <w:t>ie</w:t>
      </w:r>
      <w:r w:rsidR="0082196A" w:rsidRPr="00E62CC8">
        <w:rPr>
          <w:b w:val="0"/>
          <w:bCs w:val="0"/>
          <w:sz w:val="24"/>
        </w:rPr>
        <w:t xml:space="preserve"> mācību priekšmeti.</w:t>
      </w:r>
    </w:p>
    <w:p w14:paraId="7E370208" w14:textId="2D04F8A9" w:rsidR="003D12A7" w:rsidRPr="00E62CC8" w:rsidRDefault="00005F58" w:rsidP="00656D85">
      <w:pPr>
        <w:pStyle w:val="BodyTextIndent"/>
        <w:tabs>
          <w:tab w:val="clear" w:pos="6804"/>
          <w:tab w:val="left" w:pos="284"/>
          <w:tab w:val="left" w:pos="6379"/>
        </w:tabs>
        <w:spacing w:after="0"/>
        <w:jc w:val="both"/>
        <w:rPr>
          <w:b w:val="0"/>
          <w:bCs w:val="0"/>
          <w:sz w:val="24"/>
        </w:rPr>
      </w:pPr>
      <w:r w:rsidRPr="00E62CC8">
        <w:rPr>
          <w:b w:val="0"/>
          <w:bCs w:val="0"/>
          <w:sz w:val="24"/>
        </w:rPr>
        <w:t>3.</w:t>
      </w:r>
      <w:r w:rsidR="00656D85" w:rsidRPr="00E62CC8">
        <w:rPr>
          <w:b w:val="0"/>
          <w:bCs w:val="0"/>
          <w:sz w:val="24"/>
        </w:rPr>
        <w:t> </w:t>
      </w:r>
      <w:r w:rsidR="003D12A7" w:rsidRPr="00E62CC8">
        <w:rPr>
          <w:b w:val="0"/>
          <w:bCs w:val="0"/>
          <w:sz w:val="24"/>
        </w:rPr>
        <w:t xml:space="preserve">Mācību kursa </w:t>
      </w:r>
      <w:r w:rsidR="00D65E20" w:rsidRPr="00E62CC8">
        <w:rPr>
          <w:b w:val="0"/>
          <w:bCs w:val="0"/>
          <w:sz w:val="24"/>
        </w:rPr>
        <w:t>"</w:t>
      </w:r>
      <w:r w:rsidR="003D12A7" w:rsidRPr="00E62CC8">
        <w:rPr>
          <w:b w:val="0"/>
          <w:bCs w:val="0"/>
          <w:sz w:val="24"/>
        </w:rPr>
        <w:t>Sabiedrības un cilvēka drošība</w:t>
      </w:r>
      <w:r w:rsidR="00D65E20" w:rsidRPr="00E62CC8">
        <w:rPr>
          <w:b w:val="0"/>
          <w:bCs w:val="0"/>
          <w:sz w:val="24"/>
        </w:rPr>
        <w:t>"</w:t>
      </w:r>
      <w:r w:rsidR="003D12A7" w:rsidRPr="00E62CC8">
        <w:rPr>
          <w:b w:val="0"/>
          <w:bCs w:val="0"/>
          <w:sz w:val="24"/>
        </w:rPr>
        <w:t xml:space="preserve"> veselības izglītības satura apguvei noteikt 20 mācību stundas, neieskaitot saturu, kas integrēts citos mācību priekšmetos.</w:t>
      </w:r>
    </w:p>
    <w:p w14:paraId="7E370209" w14:textId="478B1A62" w:rsidR="00C7534F" w:rsidRPr="00E62CC8" w:rsidRDefault="00C7534F" w:rsidP="00656D85">
      <w:pPr>
        <w:pStyle w:val="BodyTextIndent"/>
        <w:tabs>
          <w:tab w:val="clear" w:pos="6804"/>
          <w:tab w:val="left" w:pos="284"/>
          <w:tab w:val="left" w:pos="6379"/>
        </w:tabs>
        <w:spacing w:after="0"/>
        <w:jc w:val="both"/>
        <w:rPr>
          <w:b w:val="0"/>
          <w:bCs w:val="0"/>
          <w:sz w:val="24"/>
        </w:rPr>
      </w:pPr>
      <w:r w:rsidRPr="00E62CC8">
        <w:rPr>
          <w:b w:val="0"/>
          <w:bCs w:val="0"/>
          <w:sz w:val="24"/>
        </w:rPr>
        <w:t>4.</w:t>
      </w:r>
      <w:r w:rsidR="00656D85" w:rsidRPr="00E62CC8">
        <w:rPr>
          <w:b w:val="0"/>
          <w:bCs w:val="0"/>
          <w:sz w:val="24"/>
        </w:rPr>
        <w:t> </w:t>
      </w:r>
      <w:r w:rsidRPr="00E62CC8">
        <w:rPr>
          <w:b w:val="0"/>
          <w:bCs w:val="0"/>
          <w:sz w:val="24"/>
        </w:rPr>
        <w:t>Vides izglītību,</w:t>
      </w:r>
      <w:r w:rsidRPr="00E62CC8">
        <w:rPr>
          <w:b w:val="0"/>
          <w:sz w:val="24"/>
        </w:rPr>
        <w:t xml:space="preserve"> izglītību darba vides drošības un valsts aizsardzības jomā</w:t>
      </w:r>
      <w:r w:rsidRPr="00E62CC8">
        <w:rPr>
          <w:b w:val="0"/>
          <w:bCs w:val="0"/>
          <w:sz w:val="24"/>
        </w:rPr>
        <w:t xml:space="preserve"> var integrēt citos mācību priekšmetos.</w:t>
      </w:r>
      <w:r w:rsidR="00D65E20" w:rsidRPr="00E62CC8">
        <w:rPr>
          <w:b w:val="0"/>
          <w:bCs w:val="0"/>
          <w:sz w:val="24"/>
        </w:rPr>
        <w:t>"</w:t>
      </w:r>
    </w:p>
    <w:p w14:paraId="7E37020A" w14:textId="77777777" w:rsidR="009B086C" w:rsidRPr="009B086C" w:rsidRDefault="009B086C" w:rsidP="00BF0406">
      <w:pPr>
        <w:pStyle w:val="BodyTextIndent"/>
        <w:spacing w:after="0"/>
        <w:ind w:firstLine="0"/>
        <w:jc w:val="both"/>
        <w:rPr>
          <w:b w:val="0"/>
          <w:bCs w:val="0"/>
        </w:rPr>
      </w:pPr>
    </w:p>
    <w:p w14:paraId="7E37020B" w14:textId="4DC43C65" w:rsidR="00A27006" w:rsidRDefault="00FC4251" w:rsidP="00FC4251">
      <w:pPr>
        <w:pStyle w:val="BodyTextIndent2"/>
        <w:tabs>
          <w:tab w:val="left" w:pos="851"/>
        </w:tabs>
        <w:ind w:firstLine="0"/>
      </w:pPr>
      <w:r>
        <w:tab/>
      </w:r>
      <w:r w:rsidR="00FE02DA" w:rsidRPr="00D34184">
        <w:t>2</w:t>
      </w:r>
      <w:r w:rsidR="00D65E20">
        <w:t>.</w:t>
      </w:r>
      <w:r w:rsidR="00656D85">
        <w:t> N</w:t>
      </w:r>
      <w:r w:rsidR="002237C3">
        <w:t>oteikumi</w:t>
      </w:r>
      <w:r w:rsidR="004314F3" w:rsidRPr="00D34184">
        <w:t xml:space="preserve"> stājas spēkā </w:t>
      </w:r>
      <w:r w:rsidR="003D0A90" w:rsidRPr="00D34184">
        <w:t>2016</w:t>
      </w:r>
      <w:r w:rsidR="00D65E20">
        <w:t>.</w:t>
      </w:r>
      <w:r w:rsidR="00656D85">
        <w:t> </w:t>
      </w:r>
      <w:r w:rsidR="00D65E20">
        <w:t>g</w:t>
      </w:r>
      <w:r w:rsidR="003D0A90" w:rsidRPr="00D34184">
        <w:t>ada 1</w:t>
      </w:r>
      <w:r w:rsidR="00D65E20">
        <w:t>.</w:t>
      </w:r>
      <w:r w:rsidR="00656D85">
        <w:t> </w:t>
      </w:r>
      <w:r w:rsidR="00D65E20">
        <w:t>s</w:t>
      </w:r>
      <w:r w:rsidR="003D0A90" w:rsidRPr="00D34184">
        <w:t>eptembrī</w:t>
      </w:r>
      <w:r w:rsidR="00656D85">
        <w:t>,</w:t>
      </w:r>
      <w:r w:rsidR="003D0A90" w:rsidRPr="00D34184">
        <w:t xml:space="preserve"> un </w:t>
      </w:r>
      <w:r w:rsidR="00656D85">
        <w:t xml:space="preserve">tie </w:t>
      </w:r>
      <w:r w:rsidR="003D0A90" w:rsidRPr="00D34184">
        <w:t>attiecin</w:t>
      </w:r>
      <w:r w:rsidR="008368CF" w:rsidRPr="00D34184">
        <w:t>āmi</w:t>
      </w:r>
      <w:r w:rsidR="003D0A90" w:rsidRPr="00D34184">
        <w:t xml:space="preserve"> </w:t>
      </w:r>
      <w:r w:rsidR="00060A81">
        <w:t xml:space="preserve">uz </w:t>
      </w:r>
      <w:r w:rsidR="00FC6FCB" w:rsidRPr="004138DD">
        <w:t>izglītojamiem</w:t>
      </w:r>
      <w:r w:rsidR="003D0A90" w:rsidRPr="00D34184">
        <w:t>, kuri</w:t>
      </w:r>
      <w:r w:rsidR="00B90429" w:rsidRPr="00D34184">
        <w:t xml:space="preserve"> uzsāk mācības 1</w:t>
      </w:r>
      <w:r w:rsidR="00D65E20">
        <w:t>.</w:t>
      </w:r>
      <w:r w:rsidR="00656D85">
        <w:t> </w:t>
      </w:r>
      <w:r w:rsidR="00D65E20">
        <w:t>k</w:t>
      </w:r>
      <w:r w:rsidR="00B90429" w:rsidRPr="00D34184">
        <w:t>ursā</w:t>
      </w:r>
      <w:r w:rsidR="003D0A90" w:rsidRPr="00D34184">
        <w:t>.</w:t>
      </w:r>
      <w:r w:rsidR="00C330AB">
        <w:t xml:space="preserve"> </w:t>
      </w:r>
      <w:r w:rsidR="006E1CCD">
        <w:t>Izglītojamiem</w:t>
      </w:r>
      <w:r w:rsidR="00C330AB" w:rsidRPr="006E1CCD">
        <w:t>, k</w:t>
      </w:r>
      <w:r w:rsidR="00E62CC8">
        <w:t>uri</w:t>
      </w:r>
      <w:r w:rsidR="00C330AB" w:rsidRPr="006E1CCD">
        <w:t xml:space="preserve"> turpina mācības 2.</w:t>
      </w:r>
      <w:r w:rsidR="00656D85">
        <w:t xml:space="preserve"> kursā </w:t>
      </w:r>
      <w:r w:rsidR="00C330AB" w:rsidRPr="006E1CCD">
        <w:t xml:space="preserve">un turpmākos kursos, piemēro regulējumu, kas bija spēkā līdz šo </w:t>
      </w:r>
      <w:r w:rsidR="00CA68E0">
        <w:t>noteikum</w:t>
      </w:r>
      <w:r w:rsidR="00C330AB" w:rsidRPr="006E1CCD">
        <w:t>u spēkā stāšanās dienai.</w:t>
      </w:r>
    </w:p>
    <w:p w14:paraId="7E37020C" w14:textId="77777777" w:rsidR="00A32D43" w:rsidRDefault="00A32D43" w:rsidP="00FE02DA">
      <w:pPr>
        <w:pStyle w:val="BodyTextIndent2"/>
      </w:pPr>
    </w:p>
    <w:p w14:paraId="093E89AA" w14:textId="77777777" w:rsidR="00D65E20" w:rsidRDefault="00D65E20" w:rsidP="00FE02DA">
      <w:pPr>
        <w:pStyle w:val="BodyTextIndent2"/>
      </w:pPr>
    </w:p>
    <w:p w14:paraId="3F3401F8" w14:textId="77777777" w:rsidR="00D65E20" w:rsidRPr="00D34184" w:rsidRDefault="00D65E20" w:rsidP="00FE02DA">
      <w:pPr>
        <w:pStyle w:val="BodyTextIndent2"/>
      </w:pPr>
    </w:p>
    <w:p w14:paraId="7E37020E" w14:textId="259E055E" w:rsidR="00073BEE" w:rsidRDefault="005B0C0A" w:rsidP="00656D85">
      <w:pPr>
        <w:pStyle w:val="BodyTextIndent"/>
        <w:tabs>
          <w:tab w:val="clear" w:pos="6804"/>
          <w:tab w:val="left" w:pos="6663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Ministru prezident</w:t>
      </w:r>
      <w:r w:rsidR="00CA68E0">
        <w:rPr>
          <w:b w:val="0"/>
          <w:bCs w:val="0"/>
        </w:rPr>
        <w:t>s</w:t>
      </w:r>
      <w:r>
        <w:rPr>
          <w:b w:val="0"/>
          <w:bCs w:val="0"/>
        </w:rPr>
        <w:tab/>
      </w:r>
      <w:r w:rsidR="00CA68E0">
        <w:rPr>
          <w:b w:val="0"/>
          <w:bCs w:val="0"/>
        </w:rPr>
        <w:t>Māris Kučinskis</w:t>
      </w:r>
    </w:p>
    <w:p w14:paraId="7E37020F" w14:textId="77777777" w:rsidR="0079133E" w:rsidRDefault="0079133E" w:rsidP="00656D85">
      <w:pPr>
        <w:pStyle w:val="BodyTextIndent"/>
        <w:tabs>
          <w:tab w:val="left" w:pos="6663"/>
        </w:tabs>
        <w:spacing w:after="0"/>
        <w:jc w:val="both"/>
        <w:rPr>
          <w:b w:val="0"/>
          <w:bCs w:val="0"/>
        </w:rPr>
      </w:pPr>
    </w:p>
    <w:p w14:paraId="7E370210" w14:textId="77777777" w:rsidR="00E0377D" w:rsidRDefault="00E0377D" w:rsidP="00656D85">
      <w:pPr>
        <w:pStyle w:val="BodyTextIndent"/>
        <w:tabs>
          <w:tab w:val="left" w:pos="6663"/>
        </w:tabs>
        <w:spacing w:after="0"/>
        <w:jc w:val="both"/>
        <w:rPr>
          <w:b w:val="0"/>
          <w:bCs w:val="0"/>
        </w:rPr>
      </w:pPr>
    </w:p>
    <w:p w14:paraId="7D8AA755" w14:textId="77777777" w:rsidR="00763886" w:rsidRDefault="00763886" w:rsidP="00656D85">
      <w:pPr>
        <w:pStyle w:val="BodyTextIndent"/>
        <w:tabs>
          <w:tab w:val="left" w:pos="6663"/>
        </w:tabs>
        <w:spacing w:after="0"/>
        <w:jc w:val="both"/>
        <w:rPr>
          <w:b w:val="0"/>
          <w:bCs w:val="0"/>
        </w:rPr>
      </w:pPr>
    </w:p>
    <w:p w14:paraId="7E370241" w14:textId="73D26013" w:rsidR="006D72BA" w:rsidRPr="006D72BA" w:rsidRDefault="00777951" w:rsidP="00656D85">
      <w:pPr>
        <w:pStyle w:val="BodyTextIndent"/>
        <w:tabs>
          <w:tab w:val="clear" w:pos="6804"/>
          <w:tab w:val="left" w:pos="6663"/>
        </w:tabs>
        <w:spacing w:after="0"/>
        <w:jc w:val="both"/>
        <w:rPr>
          <w:sz w:val="20"/>
          <w:lang w:eastAsia="lv-LV"/>
        </w:rPr>
      </w:pPr>
      <w:r>
        <w:rPr>
          <w:b w:val="0"/>
          <w:bCs w:val="0"/>
        </w:rPr>
        <w:t>Izglītī</w:t>
      </w:r>
      <w:r w:rsidR="00CA68E0">
        <w:rPr>
          <w:b w:val="0"/>
          <w:bCs w:val="0"/>
        </w:rPr>
        <w:t>bas un zinātnes ministrs</w:t>
      </w:r>
      <w:r w:rsidR="005B0C0A">
        <w:rPr>
          <w:b w:val="0"/>
          <w:bCs w:val="0"/>
        </w:rPr>
        <w:tab/>
      </w:r>
      <w:r w:rsidR="00CA68E0">
        <w:rPr>
          <w:b w:val="0"/>
          <w:bCs w:val="0"/>
        </w:rPr>
        <w:t>Kārlis Šadurskis</w:t>
      </w:r>
    </w:p>
    <w:sectPr w:rsidR="006D72BA" w:rsidRPr="006D72BA" w:rsidSect="00D65E2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70247" w14:textId="77777777" w:rsidR="00876F8E" w:rsidRDefault="00876F8E">
      <w:r>
        <w:separator/>
      </w:r>
    </w:p>
  </w:endnote>
  <w:endnote w:type="continuationSeparator" w:id="0">
    <w:p w14:paraId="7E370248" w14:textId="77777777" w:rsidR="00876F8E" w:rsidRDefault="0087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3E12D" w14:textId="414CBEA6" w:rsidR="00D65E20" w:rsidRPr="00D65E20" w:rsidRDefault="00D65E20">
    <w:pPr>
      <w:pStyle w:val="Footer"/>
      <w:rPr>
        <w:sz w:val="16"/>
      </w:rPr>
    </w:pPr>
    <w:r w:rsidRPr="00D65E20">
      <w:rPr>
        <w:sz w:val="16"/>
      </w:rPr>
      <w:t>N2934_5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8108B" w14:textId="5DCF6A2E" w:rsidR="00D65E20" w:rsidRPr="00D65E20" w:rsidRDefault="00D65E20">
    <w:pPr>
      <w:pStyle w:val="Footer"/>
      <w:rPr>
        <w:sz w:val="16"/>
      </w:rPr>
    </w:pPr>
    <w:r w:rsidRPr="00D65E20">
      <w:rPr>
        <w:sz w:val="16"/>
      </w:rPr>
      <w:t>N2934_5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70245" w14:textId="77777777" w:rsidR="00876F8E" w:rsidRDefault="00876F8E">
      <w:r>
        <w:separator/>
      </w:r>
    </w:p>
  </w:footnote>
  <w:footnote w:type="continuationSeparator" w:id="0">
    <w:p w14:paraId="7E370246" w14:textId="77777777" w:rsidR="00876F8E" w:rsidRDefault="0087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70249" w14:textId="77777777"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37024A" w14:textId="77777777" w:rsidR="002A5C30" w:rsidRDefault="002A5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7024B" w14:textId="77777777"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583">
      <w:rPr>
        <w:rStyle w:val="PageNumber"/>
        <w:noProof/>
      </w:rPr>
      <w:t>4</w:t>
    </w:r>
    <w:r>
      <w:rPr>
        <w:rStyle w:val="PageNumber"/>
      </w:rPr>
      <w:fldChar w:fldCharType="end"/>
    </w:r>
  </w:p>
  <w:p w14:paraId="7E37024C" w14:textId="77777777" w:rsidR="002A5C30" w:rsidRDefault="002A5C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10E39" w14:textId="3B5A36FD" w:rsidR="00D65E20" w:rsidRDefault="00D65E20">
    <w:pPr>
      <w:pStyle w:val="Header"/>
    </w:pPr>
  </w:p>
  <w:p w14:paraId="0EFC4D39" w14:textId="11933B3E" w:rsidR="00D65E20" w:rsidRDefault="00D65E20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EB3BB7A" wp14:editId="37A35F7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F94"/>
    <w:multiLevelType w:val="hybridMultilevel"/>
    <w:tmpl w:val="89865C18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36A"/>
    <w:multiLevelType w:val="hybridMultilevel"/>
    <w:tmpl w:val="4E8A7E2E"/>
    <w:lvl w:ilvl="0" w:tplc="A4469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E311B"/>
    <w:multiLevelType w:val="hybridMultilevel"/>
    <w:tmpl w:val="07325890"/>
    <w:lvl w:ilvl="0" w:tplc="4D8EB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22C07"/>
    <w:multiLevelType w:val="hybridMultilevel"/>
    <w:tmpl w:val="72D014D6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43491"/>
    <w:multiLevelType w:val="hybridMultilevel"/>
    <w:tmpl w:val="61E65176"/>
    <w:lvl w:ilvl="0" w:tplc="36BE81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CA4EC0"/>
    <w:multiLevelType w:val="hybridMultilevel"/>
    <w:tmpl w:val="B86EF0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842D0"/>
    <w:multiLevelType w:val="hybridMultilevel"/>
    <w:tmpl w:val="C65E8C38"/>
    <w:lvl w:ilvl="0" w:tplc="35F0A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720D42"/>
    <w:multiLevelType w:val="hybridMultilevel"/>
    <w:tmpl w:val="D1D6B7A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367E"/>
    <w:multiLevelType w:val="hybridMultilevel"/>
    <w:tmpl w:val="C18CD140"/>
    <w:lvl w:ilvl="0" w:tplc="B57A8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E0A04"/>
    <w:multiLevelType w:val="hybridMultilevel"/>
    <w:tmpl w:val="AB08CF64"/>
    <w:lvl w:ilvl="0" w:tplc="96F81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B10D91"/>
    <w:multiLevelType w:val="hybridMultilevel"/>
    <w:tmpl w:val="4F109F3C"/>
    <w:lvl w:ilvl="0" w:tplc="876CD19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D56EAC"/>
    <w:multiLevelType w:val="hybridMultilevel"/>
    <w:tmpl w:val="54325BB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837D6"/>
    <w:multiLevelType w:val="hybridMultilevel"/>
    <w:tmpl w:val="B48E31F0"/>
    <w:lvl w:ilvl="0" w:tplc="2DC07F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6D"/>
    <w:rsid w:val="00005F58"/>
    <w:rsid w:val="00014ECE"/>
    <w:rsid w:val="0001510F"/>
    <w:rsid w:val="00016458"/>
    <w:rsid w:val="00020D20"/>
    <w:rsid w:val="00020D7C"/>
    <w:rsid w:val="0002726D"/>
    <w:rsid w:val="0003043D"/>
    <w:rsid w:val="0003345D"/>
    <w:rsid w:val="00035829"/>
    <w:rsid w:val="00044BDD"/>
    <w:rsid w:val="0004574D"/>
    <w:rsid w:val="00045BE2"/>
    <w:rsid w:val="00047662"/>
    <w:rsid w:val="000479C7"/>
    <w:rsid w:val="00060A81"/>
    <w:rsid w:val="00065988"/>
    <w:rsid w:val="0007086B"/>
    <w:rsid w:val="00073BEE"/>
    <w:rsid w:val="000752CA"/>
    <w:rsid w:val="00091E52"/>
    <w:rsid w:val="00095C02"/>
    <w:rsid w:val="000B094B"/>
    <w:rsid w:val="000B5630"/>
    <w:rsid w:val="000D11DA"/>
    <w:rsid w:val="000D3294"/>
    <w:rsid w:val="000E302F"/>
    <w:rsid w:val="000E3A15"/>
    <w:rsid w:val="000F4FC6"/>
    <w:rsid w:val="000F6769"/>
    <w:rsid w:val="00107C91"/>
    <w:rsid w:val="00107DF6"/>
    <w:rsid w:val="0011729E"/>
    <w:rsid w:val="00117A6C"/>
    <w:rsid w:val="001313E0"/>
    <w:rsid w:val="0014646D"/>
    <w:rsid w:val="0016018B"/>
    <w:rsid w:val="001621D2"/>
    <w:rsid w:val="00165802"/>
    <w:rsid w:val="00166F8C"/>
    <w:rsid w:val="00177CA0"/>
    <w:rsid w:val="001A31B5"/>
    <w:rsid w:val="001A4287"/>
    <w:rsid w:val="001B54EB"/>
    <w:rsid w:val="001C53D1"/>
    <w:rsid w:val="001C61AC"/>
    <w:rsid w:val="001D02A7"/>
    <w:rsid w:val="001D5112"/>
    <w:rsid w:val="001D732F"/>
    <w:rsid w:val="001E3466"/>
    <w:rsid w:val="001E42A4"/>
    <w:rsid w:val="001E4AF9"/>
    <w:rsid w:val="001F0E85"/>
    <w:rsid w:val="001F4AF3"/>
    <w:rsid w:val="001F7602"/>
    <w:rsid w:val="00201D97"/>
    <w:rsid w:val="00203CDC"/>
    <w:rsid w:val="00204657"/>
    <w:rsid w:val="00211C14"/>
    <w:rsid w:val="00223095"/>
    <w:rsid w:val="002237C3"/>
    <w:rsid w:val="00225E89"/>
    <w:rsid w:val="00227FC3"/>
    <w:rsid w:val="00233FAD"/>
    <w:rsid w:val="00234960"/>
    <w:rsid w:val="00235068"/>
    <w:rsid w:val="00237F39"/>
    <w:rsid w:val="00241780"/>
    <w:rsid w:val="0024461B"/>
    <w:rsid w:val="00244F32"/>
    <w:rsid w:val="002463F9"/>
    <w:rsid w:val="002477AE"/>
    <w:rsid w:val="00250CB3"/>
    <w:rsid w:val="002514FF"/>
    <w:rsid w:val="00254D53"/>
    <w:rsid w:val="00255CAF"/>
    <w:rsid w:val="0027052E"/>
    <w:rsid w:val="00270AB2"/>
    <w:rsid w:val="00292B4F"/>
    <w:rsid w:val="00294891"/>
    <w:rsid w:val="00295E8B"/>
    <w:rsid w:val="002A0FBC"/>
    <w:rsid w:val="002A2B99"/>
    <w:rsid w:val="002A33AC"/>
    <w:rsid w:val="002A5C30"/>
    <w:rsid w:val="002B15B8"/>
    <w:rsid w:val="002B61AF"/>
    <w:rsid w:val="002B7463"/>
    <w:rsid w:val="002C2418"/>
    <w:rsid w:val="002C3E02"/>
    <w:rsid w:val="002C478C"/>
    <w:rsid w:val="002C624C"/>
    <w:rsid w:val="002C70A1"/>
    <w:rsid w:val="002D131D"/>
    <w:rsid w:val="002D38F5"/>
    <w:rsid w:val="002D4C21"/>
    <w:rsid w:val="002D6985"/>
    <w:rsid w:val="002E3FED"/>
    <w:rsid w:val="002E58B2"/>
    <w:rsid w:val="002F1535"/>
    <w:rsid w:val="002F403C"/>
    <w:rsid w:val="002F4278"/>
    <w:rsid w:val="00310EFF"/>
    <w:rsid w:val="003163ED"/>
    <w:rsid w:val="00324AE0"/>
    <w:rsid w:val="00335857"/>
    <w:rsid w:val="00351B8C"/>
    <w:rsid w:val="00353E66"/>
    <w:rsid w:val="0035469F"/>
    <w:rsid w:val="00361D02"/>
    <w:rsid w:val="00364D1B"/>
    <w:rsid w:val="00366DDB"/>
    <w:rsid w:val="00367D17"/>
    <w:rsid w:val="003745B5"/>
    <w:rsid w:val="003756BB"/>
    <w:rsid w:val="00375F62"/>
    <w:rsid w:val="00377E74"/>
    <w:rsid w:val="00384BFD"/>
    <w:rsid w:val="00394C75"/>
    <w:rsid w:val="003966A2"/>
    <w:rsid w:val="003A01DC"/>
    <w:rsid w:val="003A18F4"/>
    <w:rsid w:val="003A294F"/>
    <w:rsid w:val="003A5825"/>
    <w:rsid w:val="003A6302"/>
    <w:rsid w:val="003A64CE"/>
    <w:rsid w:val="003B2EF9"/>
    <w:rsid w:val="003B689B"/>
    <w:rsid w:val="003B6DD3"/>
    <w:rsid w:val="003C12B8"/>
    <w:rsid w:val="003C3A6D"/>
    <w:rsid w:val="003C3D61"/>
    <w:rsid w:val="003C5FBC"/>
    <w:rsid w:val="003D0A90"/>
    <w:rsid w:val="003D12A7"/>
    <w:rsid w:val="003D1633"/>
    <w:rsid w:val="003D45F3"/>
    <w:rsid w:val="003D7ABA"/>
    <w:rsid w:val="003E0104"/>
    <w:rsid w:val="003E1327"/>
    <w:rsid w:val="003E41AF"/>
    <w:rsid w:val="003E4D22"/>
    <w:rsid w:val="003E6E5F"/>
    <w:rsid w:val="003E7F70"/>
    <w:rsid w:val="003F74D7"/>
    <w:rsid w:val="00400753"/>
    <w:rsid w:val="00403554"/>
    <w:rsid w:val="00403B21"/>
    <w:rsid w:val="00412F45"/>
    <w:rsid w:val="00416A5B"/>
    <w:rsid w:val="00417AFE"/>
    <w:rsid w:val="004312AA"/>
    <w:rsid w:val="004314F3"/>
    <w:rsid w:val="00434066"/>
    <w:rsid w:val="00447418"/>
    <w:rsid w:val="0045452A"/>
    <w:rsid w:val="00455808"/>
    <w:rsid w:val="00456683"/>
    <w:rsid w:val="00460019"/>
    <w:rsid w:val="0046058B"/>
    <w:rsid w:val="00463522"/>
    <w:rsid w:val="00466E0B"/>
    <w:rsid w:val="00471C9B"/>
    <w:rsid w:val="00477541"/>
    <w:rsid w:val="00477D22"/>
    <w:rsid w:val="00480F8D"/>
    <w:rsid w:val="0048258E"/>
    <w:rsid w:val="0049263C"/>
    <w:rsid w:val="00496E06"/>
    <w:rsid w:val="004978EA"/>
    <w:rsid w:val="004A0C7B"/>
    <w:rsid w:val="004A2DB9"/>
    <w:rsid w:val="004A4E15"/>
    <w:rsid w:val="004A6B2B"/>
    <w:rsid w:val="004B001B"/>
    <w:rsid w:val="004B08B3"/>
    <w:rsid w:val="004B4891"/>
    <w:rsid w:val="004B4A8A"/>
    <w:rsid w:val="004B70C2"/>
    <w:rsid w:val="004C0AC8"/>
    <w:rsid w:val="004C1E23"/>
    <w:rsid w:val="004C3C1E"/>
    <w:rsid w:val="004D4305"/>
    <w:rsid w:val="004E2831"/>
    <w:rsid w:val="004E31DD"/>
    <w:rsid w:val="004E4918"/>
    <w:rsid w:val="004F23E2"/>
    <w:rsid w:val="004F7CFE"/>
    <w:rsid w:val="00501EBA"/>
    <w:rsid w:val="00502303"/>
    <w:rsid w:val="0050632C"/>
    <w:rsid w:val="00507CA8"/>
    <w:rsid w:val="005131C5"/>
    <w:rsid w:val="00522DEB"/>
    <w:rsid w:val="00523D9B"/>
    <w:rsid w:val="005275F4"/>
    <w:rsid w:val="00531945"/>
    <w:rsid w:val="00535D5E"/>
    <w:rsid w:val="00541DD3"/>
    <w:rsid w:val="00544C21"/>
    <w:rsid w:val="00547D49"/>
    <w:rsid w:val="00553CDA"/>
    <w:rsid w:val="005649FE"/>
    <w:rsid w:val="00565AA0"/>
    <w:rsid w:val="00566C75"/>
    <w:rsid w:val="00574719"/>
    <w:rsid w:val="00587011"/>
    <w:rsid w:val="00595BA9"/>
    <w:rsid w:val="005961EB"/>
    <w:rsid w:val="005A3D45"/>
    <w:rsid w:val="005B0A80"/>
    <w:rsid w:val="005B0C0A"/>
    <w:rsid w:val="005B755A"/>
    <w:rsid w:val="005C0B58"/>
    <w:rsid w:val="005C7FCA"/>
    <w:rsid w:val="005D0247"/>
    <w:rsid w:val="005D428B"/>
    <w:rsid w:val="005D4617"/>
    <w:rsid w:val="005E66D3"/>
    <w:rsid w:val="005E67C1"/>
    <w:rsid w:val="005E6AB1"/>
    <w:rsid w:val="005F71AB"/>
    <w:rsid w:val="00610F0F"/>
    <w:rsid w:val="00613F35"/>
    <w:rsid w:val="006161B1"/>
    <w:rsid w:val="00627359"/>
    <w:rsid w:val="00631539"/>
    <w:rsid w:val="00636E8A"/>
    <w:rsid w:val="00644B6D"/>
    <w:rsid w:val="00647740"/>
    <w:rsid w:val="00652EFB"/>
    <w:rsid w:val="00656D85"/>
    <w:rsid w:val="00657E9F"/>
    <w:rsid w:val="00667F59"/>
    <w:rsid w:val="00677696"/>
    <w:rsid w:val="00683FE3"/>
    <w:rsid w:val="006955AD"/>
    <w:rsid w:val="006B1159"/>
    <w:rsid w:val="006C1EF3"/>
    <w:rsid w:val="006C3E29"/>
    <w:rsid w:val="006C65A8"/>
    <w:rsid w:val="006D41EC"/>
    <w:rsid w:val="006D72BA"/>
    <w:rsid w:val="006D7443"/>
    <w:rsid w:val="006E1CCD"/>
    <w:rsid w:val="006E4E3A"/>
    <w:rsid w:val="006F2357"/>
    <w:rsid w:val="006F739E"/>
    <w:rsid w:val="007107DA"/>
    <w:rsid w:val="00720DEF"/>
    <w:rsid w:val="00726167"/>
    <w:rsid w:val="00727385"/>
    <w:rsid w:val="00732801"/>
    <w:rsid w:val="0073642D"/>
    <w:rsid w:val="00745CE7"/>
    <w:rsid w:val="00751255"/>
    <w:rsid w:val="007560ED"/>
    <w:rsid w:val="0076167E"/>
    <w:rsid w:val="0076178D"/>
    <w:rsid w:val="00763886"/>
    <w:rsid w:val="0076391D"/>
    <w:rsid w:val="00767F72"/>
    <w:rsid w:val="00773FDD"/>
    <w:rsid w:val="00777951"/>
    <w:rsid w:val="00780484"/>
    <w:rsid w:val="0078206A"/>
    <w:rsid w:val="00786328"/>
    <w:rsid w:val="00790208"/>
    <w:rsid w:val="0079133E"/>
    <w:rsid w:val="007A0F42"/>
    <w:rsid w:val="007B173F"/>
    <w:rsid w:val="007B653C"/>
    <w:rsid w:val="007B675D"/>
    <w:rsid w:val="007B6F10"/>
    <w:rsid w:val="007B7483"/>
    <w:rsid w:val="007D1607"/>
    <w:rsid w:val="007D316B"/>
    <w:rsid w:val="007D5705"/>
    <w:rsid w:val="007E420F"/>
    <w:rsid w:val="007E4675"/>
    <w:rsid w:val="007E778E"/>
    <w:rsid w:val="007F2712"/>
    <w:rsid w:val="007F30F9"/>
    <w:rsid w:val="007F497A"/>
    <w:rsid w:val="00804ED0"/>
    <w:rsid w:val="00815A52"/>
    <w:rsid w:val="008210D6"/>
    <w:rsid w:val="0082196A"/>
    <w:rsid w:val="00826097"/>
    <w:rsid w:val="008368CF"/>
    <w:rsid w:val="00840A3F"/>
    <w:rsid w:val="00845672"/>
    <w:rsid w:val="0086126C"/>
    <w:rsid w:val="00861C62"/>
    <w:rsid w:val="00862631"/>
    <w:rsid w:val="00862CF9"/>
    <w:rsid w:val="00866D5B"/>
    <w:rsid w:val="008724F6"/>
    <w:rsid w:val="00876267"/>
    <w:rsid w:val="00876F8E"/>
    <w:rsid w:val="0088170B"/>
    <w:rsid w:val="008855A4"/>
    <w:rsid w:val="008903A0"/>
    <w:rsid w:val="00890A4E"/>
    <w:rsid w:val="00890F81"/>
    <w:rsid w:val="0089200C"/>
    <w:rsid w:val="00894CEE"/>
    <w:rsid w:val="008A1A6A"/>
    <w:rsid w:val="008A1ACE"/>
    <w:rsid w:val="008A4DEC"/>
    <w:rsid w:val="008A5DC1"/>
    <w:rsid w:val="008A6B1C"/>
    <w:rsid w:val="008A74E4"/>
    <w:rsid w:val="008A75DB"/>
    <w:rsid w:val="008A7CB4"/>
    <w:rsid w:val="008B3E43"/>
    <w:rsid w:val="008B452E"/>
    <w:rsid w:val="008B5E6D"/>
    <w:rsid w:val="008C061E"/>
    <w:rsid w:val="008C468D"/>
    <w:rsid w:val="008C78E9"/>
    <w:rsid w:val="008D55F3"/>
    <w:rsid w:val="008D601A"/>
    <w:rsid w:val="008E68C6"/>
    <w:rsid w:val="008F35FC"/>
    <w:rsid w:val="008F5AF5"/>
    <w:rsid w:val="009007E4"/>
    <w:rsid w:val="009040CB"/>
    <w:rsid w:val="009130F4"/>
    <w:rsid w:val="009140D6"/>
    <w:rsid w:val="009217F2"/>
    <w:rsid w:val="009369CC"/>
    <w:rsid w:val="00940805"/>
    <w:rsid w:val="0094322E"/>
    <w:rsid w:val="00943A5C"/>
    <w:rsid w:val="0094662D"/>
    <w:rsid w:val="009543A8"/>
    <w:rsid w:val="00957D98"/>
    <w:rsid w:val="00960CE7"/>
    <w:rsid w:val="00965309"/>
    <w:rsid w:val="0098067A"/>
    <w:rsid w:val="00981D30"/>
    <w:rsid w:val="00997A9C"/>
    <w:rsid w:val="00997F4E"/>
    <w:rsid w:val="009A3283"/>
    <w:rsid w:val="009B086C"/>
    <w:rsid w:val="009B5D68"/>
    <w:rsid w:val="009B6D90"/>
    <w:rsid w:val="009C1D2A"/>
    <w:rsid w:val="009C2019"/>
    <w:rsid w:val="009C4884"/>
    <w:rsid w:val="009C5C1A"/>
    <w:rsid w:val="009C6E7F"/>
    <w:rsid w:val="009D2536"/>
    <w:rsid w:val="009D2566"/>
    <w:rsid w:val="009D4BA7"/>
    <w:rsid w:val="009D7424"/>
    <w:rsid w:val="009E0557"/>
    <w:rsid w:val="009E1752"/>
    <w:rsid w:val="009E4FF0"/>
    <w:rsid w:val="009F2316"/>
    <w:rsid w:val="009F2920"/>
    <w:rsid w:val="009F3351"/>
    <w:rsid w:val="00A03AE4"/>
    <w:rsid w:val="00A201F3"/>
    <w:rsid w:val="00A2034F"/>
    <w:rsid w:val="00A23142"/>
    <w:rsid w:val="00A25A5A"/>
    <w:rsid w:val="00A27006"/>
    <w:rsid w:val="00A32D43"/>
    <w:rsid w:val="00A33E23"/>
    <w:rsid w:val="00A34091"/>
    <w:rsid w:val="00A369EA"/>
    <w:rsid w:val="00A51B54"/>
    <w:rsid w:val="00A55105"/>
    <w:rsid w:val="00A62B84"/>
    <w:rsid w:val="00A64586"/>
    <w:rsid w:val="00A675BE"/>
    <w:rsid w:val="00A71B3F"/>
    <w:rsid w:val="00A7492C"/>
    <w:rsid w:val="00A82DB6"/>
    <w:rsid w:val="00A863B1"/>
    <w:rsid w:val="00AA0E06"/>
    <w:rsid w:val="00AA3C38"/>
    <w:rsid w:val="00AB19A8"/>
    <w:rsid w:val="00AC02DD"/>
    <w:rsid w:val="00AD1B46"/>
    <w:rsid w:val="00AD4AE1"/>
    <w:rsid w:val="00AD5049"/>
    <w:rsid w:val="00AE4663"/>
    <w:rsid w:val="00AF067C"/>
    <w:rsid w:val="00AF0F0E"/>
    <w:rsid w:val="00AF67A1"/>
    <w:rsid w:val="00AF6AC8"/>
    <w:rsid w:val="00B0079B"/>
    <w:rsid w:val="00B007C1"/>
    <w:rsid w:val="00B05DE4"/>
    <w:rsid w:val="00B158BC"/>
    <w:rsid w:val="00B1690C"/>
    <w:rsid w:val="00B20156"/>
    <w:rsid w:val="00B2258E"/>
    <w:rsid w:val="00B26515"/>
    <w:rsid w:val="00B30016"/>
    <w:rsid w:val="00B45220"/>
    <w:rsid w:val="00B608BC"/>
    <w:rsid w:val="00B62D59"/>
    <w:rsid w:val="00B63F84"/>
    <w:rsid w:val="00B65D85"/>
    <w:rsid w:val="00B76731"/>
    <w:rsid w:val="00B81A53"/>
    <w:rsid w:val="00B8529A"/>
    <w:rsid w:val="00B86F4D"/>
    <w:rsid w:val="00B90429"/>
    <w:rsid w:val="00B90F77"/>
    <w:rsid w:val="00B9363F"/>
    <w:rsid w:val="00BA20A7"/>
    <w:rsid w:val="00BA7E3E"/>
    <w:rsid w:val="00BB2313"/>
    <w:rsid w:val="00BB4755"/>
    <w:rsid w:val="00BC1712"/>
    <w:rsid w:val="00BC2BDA"/>
    <w:rsid w:val="00BD38DC"/>
    <w:rsid w:val="00BD4525"/>
    <w:rsid w:val="00BD4FA2"/>
    <w:rsid w:val="00BD57D3"/>
    <w:rsid w:val="00BE09B5"/>
    <w:rsid w:val="00BE1647"/>
    <w:rsid w:val="00BF0406"/>
    <w:rsid w:val="00BF63CC"/>
    <w:rsid w:val="00C02550"/>
    <w:rsid w:val="00C02C59"/>
    <w:rsid w:val="00C06F8A"/>
    <w:rsid w:val="00C134C8"/>
    <w:rsid w:val="00C2088C"/>
    <w:rsid w:val="00C327B9"/>
    <w:rsid w:val="00C330AB"/>
    <w:rsid w:val="00C34036"/>
    <w:rsid w:val="00C343FC"/>
    <w:rsid w:val="00C3697F"/>
    <w:rsid w:val="00C41FBD"/>
    <w:rsid w:val="00C44076"/>
    <w:rsid w:val="00C47162"/>
    <w:rsid w:val="00C471F1"/>
    <w:rsid w:val="00C51DE0"/>
    <w:rsid w:val="00C522A0"/>
    <w:rsid w:val="00C531A4"/>
    <w:rsid w:val="00C55F8A"/>
    <w:rsid w:val="00C6217F"/>
    <w:rsid w:val="00C7534F"/>
    <w:rsid w:val="00C9106D"/>
    <w:rsid w:val="00C9169D"/>
    <w:rsid w:val="00C94D7D"/>
    <w:rsid w:val="00C971B3"/>
    <w:rsid w:val="00CA3F86"/>
    <w:rsid w:val="00CA4F3F"/>
    <w:rsid w:val="00CA68E0"/>
    <w:rsid w:val="00CC5C58"/>
    <w:rsid w:val="00CD0FAD"/>
    <w:rsid w:val="00CD329B"/>
    <w:rsid w:val="00CE2B9D"/>
    <w:rsid w:val="00CF33AB"/>
    <w:rsid w:val="00CF65FF"/>
    <w:rsid w:val="00D02DC5"/>
    <w:rsid w:val="00D12FBD"/>
    <w:rsid w:val="00D1645F"/>
    <w:rsid w:val="00D173DE"/>
    <w:rsid w:val="00D253C6"/>
    <w:rsid w:val="00D25D38"/>
    <w:rsid w:val="00D27454"/>
    <w:rsid w:val="00D27A65"/>
    <w:rsid w:val="00D34184"/>
    <w:rsid w:val="00D428B6"/>
    <w:rsid w:val="00D43DC6"/>
    <w:rsid w:val="00D51583"/>
    <w:rsid w:val="00D61E31"/>
    <w:rsid w:val="00D63186"/>
    <w:rsid w:val="00D642A4"/>
    <w:rsid w:val="00D65E20"/>
    <w:rsid w:val="00D67504"/>
    <w:rsid w:val="00D94AD4"/>
    <w:rsid w:val="00DA6688"/>
    <w:rsid w:val="00DB6B27"/>
    <w:rsid w:val="00DB799E"/>
    <w:rsid w:val="00DC26DE"/>
    <w:rsid w:val="00DC2EAA"/>
    <w:rsid w:val="00DC5E37"/>
    <w:rsid w:val="00DC6C5B"/>
    <w:rsid w:val="00DD26C9"/>
    <w:rsid w:val="00DE0E5F"/>
    <w:rsid w:val="00DE5A27"/>
    <w:rsid w:val="00DF17F1"/>
    <w:rsid w:val="00DF4BE9"/>
    <w:rsid w:val="00E0377D"/>
    <w:rsid w:val="00E0539A"/>
    <w:rsid w:val="00E060C5"/>
    <w:rsid w:val="00E100BF"/>
    <w:rsid w:val="00E15A92"/>
    <w:rsid w:val="00E171E6"/>
    <w:rsid w:val="00E2600A"/>
    <w:rsid w:val="00E315A4"/>
    <w:rsid w:val="00E321D9"/>
    <w:rsid w:val="00E368D0"/>
    <w:rsid w:val="00E43A4F"/>
    <w:rsid w:val="00E509F5"/>
    <w:rsid w:val="00E56894"/>
    <w:rsid w:val="00E62A8C"/>
    <w:rsid w:val="00E62CC8"/>
    <w:rsid w:val="00E706AF"/>
    <w:rsid w:val="00E86E72"/>
    <w:rsid w:val="00EA103A"/>
    <w:rsid w:val="00EA50C3"/>
    <w:rsid w:val="00EA64CB"/>
    <w:rsid w:val="00EB0D76"/>
    <w:rsid w:val="00EB346D"/>
    <w:rsid w:val="00EC190F"/>
    <w:rsid w:val="00ED2B73"/>
    <w:rsid w:val="00ED44BE"/>
    <w:rsid w:val="00EE151F"/>
    <w:rsid w:val="00EE7369"/>
    <w:rsid w:val="00EF58F6"/>
    <w:rsid w:val="00EF71E3"/>
    <w:rsid w:val="00EF722C"/>
    <w:rsid w:val="00EF7943"/>
    <w:rsid w:val="00EF7B9B"/>
    <w:rsid w:val="00F00851"/>
    <w:rsid w:val="00F04BC1"/>
    <w:rsid w:val="00F13ED3"/>
    <w:rsid w:val="00F17C68"/>
    <w:rsid w:val="00F20AD9"/>
    <w:rsid w:val="00F235A2"/>
    <w:rsid w:val="00F23C8B"/>
    <w:rsid w:val="00F25881"/>
    <w:rsid w:val="00F27193"/>
    <w:rsid w:val="00F32C1F"/>
    <w:rsid w:val="00F34E14"/>
    <w:rsid w:val="00F43AAF"/>
    <w:rsid w:val="00F53273"/>
    <w:rsid w:val="00F64DEC"/>
    <w:rsid w:val="00F674E2"/>
    <w:rsid w:val="00F82BAF"/>
    <w:rsid w:val="00F83920"/>
    <w:rsid w:val="00F85191"/>
    <w:rsid w:val="00F87815"/>
    <w:rsid w:val="00F97551"/>
    <w:rsid w:val="00FA77B6"/>
    <w:rsid w:val="00FB6F79"/>
    <w:rsid w:val="00FC37CE"/>
    <w:rsid w:val="00FC4251"/>
    <w:rsid w:val="00FC6FCB"/>
    <w:rsid w:val="00FD039B"/>
    <w:rsid w:val="00FD2531"/>
    <w:rsid w:val="00FD79B2"/>
    <w:rsid w:val="00FE02DA"/>
    <w:rsid w:val="00FE20B4"/>
    <w:rsid w:val="00FE2EF3"/>
    <w:rsid w:val="00FE52BB"/>
    <w:rsid w:val="00FE5E17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37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  <w:style w:type="paragraph" w:customStyle="1" w:styleId="tv2132">
    <w:name w:val="tv2132"/>
    <w:basedOn w:val="Normal"/>
    <w:rsid w:val="00FB6F79"/>
    <w:pPr>
      <w:spacing w:line="360" w:lineRule="auto"/>
      <w:ind w:firstLine="300"/>
    </w:pPr>
    <w:rPr>
      <w:color w:val="414142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8B4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25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  <w:style w:type="paragraph" w:customStyle="1" w:styleId="tv2132">
    <w:name w:val="tv2132"/>
    <w:basedOn w:val="Normal"/>
    <w:rsid w:val="00FB6F79"/>
    <w:pPr>
      <w:spacing w:line="360" w:lineRule="auto"/>
      <w:ind w:firstLine="300"/>
    </w:pPr>
    <w:rPr>
      <w:color w:val="414142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8B4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25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33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E253-C48D-4580-B78B-A57154E8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788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2000.gada 27.jūnija noteikumos Nr.211 „Noteikumi par valsts profesionālās vidējās izglītības standartu un valsts arodizglītības standartu”””</vt:lpstr>
    </vt:vector>
  </TitlesOfParts>
  <Manager>Valsts izglītības satura centrs</Manager>
  <Company>Izglītības un zinātnes ministrija</Company>
  <LinksUpToDate>false</LinksUpToDate>
  <CharactersWithSpaces>6121</CharactersWithSpaces>
  <SharedDoc>false</SharedDoc>
  <HLinks>
    <vt:vector size="6" baseType="variant">
      <vt:variant>
        <vt:i4>6619205</vt:i4>
      </vt:variant>
      <vt:variant>
        <vt:i4>0</vt:i4>
      </vt:variant>
      <vt:variant>
        <vt:i4>0</vt:i4>
      </vt:variant>
      <vt:variant>
        <vt:i4>5</vt:i4>
      </vt:variant>
      <vt:variant>
        <vt:lpwstr>mailto:sarmite.valaine@visc.gov.lv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2000.gada 27.jūnija noteikumos Nr.211 „Noteikumi par valsts profesionālās vidējās izglītības standartu un valsts arodizglītības standartu”””</dc:title>
  <dc:subject>Noteikumu projekts</dc:subject>
  <dc:creator>sarmite.valaine@visc.gov.lv</dc:creator>
  <dc:description>S.Valaine
67503753, sarmite.valaine@visc.gov.lv</dc:description>
  <cp:lastModifiedBy>Leontīne Babkina</cp:lastModifiedBy>
  <cp:revision>126</cp:revision>
  <cp:lastPrinted>2016-02-29T12:09:00Z</cp:lastPrinted>
  <dcterms:created xsi:type="dcterms:W3CDTF">2015-09-02T12:30:00Z</dcterms:created>
  <dcterms:modified xsi:type="dcterms:W3CDTF">2016-03-10T06:47:00Z</dcterms:modified>
</cp:coreProperties>
</file>