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823CB3" w:rsidRDefault="00D32E3B" w:rsidP="00B65C59">
      <w:pPr>
        <w:spacing w:after="0" w:line="240" w:lineRule="auto"/>
        <w:outlineLvl w:val="3"/>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p>
    <w:p w14:paraId="44A3619F" w14:textId="77777777" w:rsidR="004A505F" w:rsidRPr="00823CB3" w:rsidRDefault="004A505F" w:rsidP="005C42B1">
      <w:pPr>
        <w:spacing w:after="0" w:line="240" w:lineRule="auto"/>
        <w:jc w:val="center"/>
        <w:outlineLvl w:val="3"/>
        <w:rPr>
          <w:rFonts w:ascii="Times New Roman" w:eastAsia="Times New Roman" w:hAnsi="Times New Roman"/>
          <w:b/>
          <w:bCs/>
          <w:sz w:val="26"/>
          <w:szCs w:val="26"/>
          <w:lang w:eastAsia="lv-LV"/>
        </w:rPr>
      </w:pPr>
    </w:p>
    <w:p w14:paraId="759CAE06" w14:textId="6AF76393" w:rsidR="007C5781" w:rsidRPr="00823CB3" w:rsidRDefault="00C05444" w:rsidP="00D954F7">
      <w:pPr>
        <w:jc w:val="center"/>
        <w:rPr>
          <w:rFonts w:ascii="Times New Roman" w:hAnsi="Times New Roman"/>
          <w:b/>
          <w:sz w:val="26"/>
          <w:szCs w:val="26"/>
        </w:rPr>
      </w:pPr>
      <w:r w:rsidRPr="00823CB3">
        <w:rPr>
          <w:rFonts w:ascii="Times New Roman" w:eastAsia="Times New Roman" w:hAnsi="Times New Roman"/>
          <w:b/>
          <w:bCs/>
          <w:sz w:val="26"/>
          <w:szCs w:val="26"/>
          <w:lang w:eastAsia="lv-LV"/>
        </w:rPr>
        <w:t xml:space="preserve">Ministru kabineta noteikumu projekta </w:t>
      </w:r>
      <w:r w:rsidR="00F30FEF" w:rsidRPr="00F30FEF">
        <w:rPr>
          <w:rFonts w:ascii="Times New Roman" w:hAnsi="Times New Roman"/>
          <w:b/>
          <w:sz w:val="26"/>
          <w:szCs w:val="26"/>
        </w:rPr>
        <w:t>“</w:t>
      </w:r>
      <w:r w:rsidR="00D954F7" w:rsidRPr="00823CB3">
        <w:rPr>
          <w:rFonts w:ascii="Times New Roman" w:hAnsi="Times New Roman"/>
          <w:b/>
          <w:bCs/>
          <w:sz w:val="26"/>
          <w:szCs w:val="26"/>
        </w:rPr>
        <w:t xml:space="preserve">Grozījumi </w:t>
      </w:r>
      <w:r w:rsidR="00D954F7" w:rsidRPr="00823CB3">
        <w:rPr>
          <w:rFonts w:ascii="Times New Roman" w:hAnsi="Times New Roman"/>
          <w:b/>
          <w:sz w:val="26"/>
          <w:szCs w:val="26"/>
        </w:rPr>
        <w:t>Ministru kabineta 2003.gada 10.jūnija noteikumos Nr.298</w:t>
      </w:r>
      <w:r w:rsidR="00F30FEF">
        <w:rPr>
          <w:rFonts w:ascii="Times New Roman" w:hAnsi="Times New Roman"/>
          <w:b/>
          <w:sz w:val="26"/>
          <w:szCs w:val="26"/>
        </w:rPr>
        <w:t xml:space="preserve"> </w:t>
      </w:r>
      <w:r w:rsidR="00F30FEF" w:rsidRPr="00F30FEF">
        <w:rPr>
          <w:rFonts w:ascii="Times New Roman" w:hAnsi="Times New Roman"/>
          <w:b/>
          <w:sz w:val="26"/>
          <w:szCs w:val="26"/>
        </w:rPr>
        <w:t>“</w:t>
      </w:r>
      <w:r w:rsidR="00D954F7" w:rsidRPr="00823CB3">
        <w:rPr>
          <w:rFonts w:ascii="Times New Roman" w:hAnsi="Times New Roman"/>
          <w:b/>
          <w:sz w:val="26"/>
          <w:szCs w:val="26"/>
        </w:rPr>
        <w:t>Kārtība, kādā pretendents sedz izdevumus, kas saistīti ar persona</w:t>
      </w:r>
      <w:r w:rsidR="00BC273D" w:rsidRPr="00823CB3">
        <w:rPr>
          <w:rFonts w:ascii="Times New Roman" w:hAnsi="Times New Roman"/>
          <w:b/>
          <w:sz w:val="26"/>
          <w:szCs w:val="26"/>
        </w:rPr>
        <w:t>s</w:t>
      </w:r>
      <w:r w:rsidR="00D954F7" w:rsidRPr="00823CB3">
        <w:rPr>
          <w:rFonts w:ascii="Times New Roman" w:hAnsi="Times New Roman"/>
          <w:b/>
          <w:sz w:val="26"/>
          <w:szCs w:val="26"/>
        </w:rPr>
        <w:t xml:space="preserve"> profesionālās kvalifikācijas atzīšanu</w:t>
      </w:r>
      <w:bookmarkEnd w:id="0"/>
      <w:bookmarkEnd w:id="1"/>
      <w:r w:rsidR="00F30FEF">
        <w:rPr>
          <w:rFonts w:ascii="Times New Roman" w:hAnsi="Times New Roman"/>
          <w:b/>
          <w:sz w:val="26"/>
          <w:szCs w:val="26"/>
        </w:rPr>
        <w:t>””</w:t>
      </w:r>
      <w:r w:rsidRPr="00823CB3">
        <w:rPr>
          <w:rFonts w:ascii="Times New Roman" w:hAnsi="Times New Roman"/>
          <w:b/>
          <w:sz w:val="26"/>
          <w:szCs w:val="26"/>
        </w:rPr>
        <w:t xml:space="preserve"> sākotnējās ietekmes novērtējuma ziņojums (anotācija)</w:t>
      </w:r>
      <w:bookmarkEnd w:id="2"/>
      <w:bookmarkEnd w:id="3"/>
    </w:p>
    <w:p w14:paraId="527F531C" w14:textId="77777777" w:rsidR="005C42B1" w:rsidRPr="00823CB3" w:rsidRDefault="005C42B1" w:rsidP="005C42B1">
      <w:pPr>
        <w:spacing w:after="0" w:line="240" w:lineRule="auto"/>
        <w:jc w:val="center"/>
        <w:outlineLvl w:val="3"/>
        <w:rPr>
          <w:rFonts w:ascii="Times New Roman" w:eastAsia="Times New Roman" w:hAnsi="Times New Roman"/>
          <w:b/>
          <w:bCs/>
          <w:sz w:val="26"/>
          <w:szCs w:val="26"/>
          <w:lang w:eastAsia="lv-LV"/>
        </w:rPr>
      </w:pPr>
    </w:p>
    <w:tbl>
      <w:tblPr>
        <w:tblW w:w="521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3"/>
        <w:gridCol w:w="1317"/>
        <w:gridCol w:w="6968"/>
      </w:tblGrid>
      <w:tr w:rsidR="00812271" w:rsidRPr="00823CB3" w14:paraId="2E5C4833" w14:textId="77777777" w:rsidTr="000908E6">
        <w:trPr>
          <w:tblCellSpacing w:w="15" w:type="dxa"/>
        </w:trPr>
        <w:tc>
          <w:tcPr>
            <w:tcW w:w="4965"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823CB3" w:rsidRDefault="00392D00" w:rsidP="005C42B1">
            <w:pPr>
              <w:spacing w:after="0" w:line="240" w:lineRule="auto"/>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I. Tiesību akta projekta izstrādes nepieciešamība</w:t>
            </w:r>
          </w:p>
        </w:tc>
      </w:tr>
      <w:tr w:rsidR="00812271" w:rsidRPr="00DA3ED2" w14:paraId="48059241" w14:textId="77777777" w:rsidTr="000908E6">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254A913D" w14:textId="77777777" w:rsidR="00392D00" w:rsidRPr="00DA3ED2" w:rsidRDefault="00392D00" w:rsidP="005C42B1">
            <w:pPr>
              <w:spacing w:after="0" w:line="240" w:lineRule="auto"/>
              <w:rPr>
                <w:rFonts w:ascii="Times New Roman" w:eastAsia="Times New Roman" w:hAnsi="Times New Roman"/>
                <w:sz w:val="24"/>
                <w:szCs w:val="24"/>
                <w:lang w:eastAsia="lv-LV"/>
              </w:rPr>
            </w:pPr>
            <w:r w:rsidRPr="00DA3ED2">
              <w:rPr>
                <w:rFonts w:ascii="Times New Roman" w:eastAsia="Times New Roman" w:hAnsi="Times New Roman"/>
                <w:sz w:val="24"/>
                <w:szCs w:val="24"/>
                <w:lang w:eastAsia="lv-LV"/>
              </w:rPr>
              <w:t>1.</w:t>
            </w:r>
          </w:p>
        </w:tc>
        <w:tc>
          <w:tcPr>
            <w:tcW w:w="750" w:type="pct"/>
            <w:tcBorders>
              <w:top w:val="outset" w:sz="6" w:space="0" w:color="auto"/>
              <w:left w:val="outset" w:sz="6" w:space="0" w:color="auto"/>
              <w:bottom w:val="outset" w:sz="6" w:space="0" w:color="auto"/>
              <w:right w:val="outset" w:sz="6" w:space="0" w:color="auto"/>
            </w:tcBorders>
            <w:hideMark/>
          </w:tcPr>
          <w:p w14:paraId="38B29A4A" w14:textId="77777777" w:rsidR="00392D00" w:rsidRPr="00DA3ED2" w:rsidRDefault="00392D00" w:rsidP="005C42B1">
            <w:pPr>
              <w:spacing w:after="0" w:line="240" w:lineRule="auto"/>
              <w:rPr>
                <w:rFonts w:ascii="Times New Roman" w:eastAsia="Times New Roman" w:hAnsi="Times New Roman"/>
                <w:sz w:val="24"/>
                <w:szCs w:val="24"/>
                <w:lang w:eastAsia="lv-LV"/>
              </w:rPr>
            </w:pPr>
            <w:r w:rsidRPr="00DA3ED2">
              <w:rPr>
                <w:rFonts w:ascii="Times New Roman" w:eastAsia="Times New Roman" w:hAnsi="Times New Roman"/>
                <w:sz w:val="24"/>
                <w:szCs w:val="24"/>
                <w:lang w:eastAsia="lv-LV"/>
              </w:rPr>
              <w:t>Pamatojums</w:t>
            </w:r>
          </w:p>
        </w:tc>
        <w:tc>
          <w:tcPr>
            <w:tcW w:w="4001" w:type="pct"/>
            <w:tcBorders>
              <w:top w:val="outset" w:sz="6" w:space="0" w:color="auto"/>
              <w:left w:val="outset" w:sz="6" w:space="0" w:color="auto"/>
              <w:bottom w:val="outset" w:sz="6" w:space="0" w:color="auto"/>
              <w:right w:val="outset" w:sz="6" w:space="0" w:color="auto"/>
            </w:tcBorders>
            <w:hideMark/>
          </w:tcPr>
          <w:p w14:paraId="36D5ED83" w14:textId="7A16635A" w:rsidR="00392D00" w:rsidRPr="00DA3ED2" w:rsidRDefault="007147BE" w:rsidP="00F30FEF">
            <w:pPr>
              <w:spacing w:after="0" w:line="240" w:lineRule="auto"/>
              <w:jc w:val="both"/>
              <w:rPr>
                <w:rFonts w:ascii="Times New Roman" w:eastAsia="Times New Roman" w:hAnsi="Times New Roman"/>
                <w:sz w:val="24"/>
                <w:szCs w:val="24"/>
                <w:lang w:eastAsia="lv-LV"/>
              </w:rPr>
            </w:pPr>
            <w:r w:rsidRPr="00DA3ED2">
              <w:rPr>
                <w:rFonts w:ascii="Times New Roman" w:eastAsia="Times New Roman" w:hAnsi="Times New Roman"/>
                <w:bCs/>
                <w:sz w:val="24"/>
                <w:szCs w:val="24"/>
                <w:lang w:eastAsia="lv-LV"/>
              </w:rPr>
              <w:t>Izglītības un zinātnes ministrija</w:t>
            </w:r>
            <w:r w:rsidR="00FC68B2" w:rsidRPr="00DA3ED2">
              <w:rPr>
                <w:rFonts w:ascii="Times New Roman" w:eastAsia="Times New Roman" w:hAnsi="Times New Roman"/>
                <w:bCs/>
                <w:sz w:val="24"/>
                <w:szCs w:val="24"/>
                <w:lang w:eastAsia="lv-LV"/>
              </w:rPr>
              <w:t xml:space="preserve"> (turpmāk – ministrija)</w:t>
            </w:r>
            <w:r w:rsidR="000814D2" w:rsidRPr="00DA3ED2">
              <w:rPr>
                <w:rFonts w:ascii="Times New Roman" w:eastAsia="Times New Roman" w:hAnsi="Times New Roman"/>
                <w:bCs/>
                <w:sz w:val="24"/>
                <w:szCs w:val="24"/>
                <w:lang w:eastAsia="lv-LV"/>
              </w:rPr>
              <w:t xml:space="preserve"> ir</w:t>
            </w:r>
            <w:r w:rsidRPr="00DA3ED2">
              <w:rPr>
                <w:rFonts w:ascii="Times New Roman" w:eastAsia="Times New Roman" w:hAnsi="Times New Roman"/>
                <w:bCs/>
                <w:sz w:val="24"/>
                <w:szCs w:val="24"/>
                <w:lang w:eastAsia="lv-LV"/>
              </w:rPr>
              <w:t xml:space="preserve"> sagatavojusi </w:t>
            </w:r>
            <w:r w:rsidR="002D0EB1" w:rsidRPr="00DA3ED2">
              <w:rPr>
                <w:rFonts w:ascii="Times New Roman" w:eastAsia="Times New Roman" w:hAnsi="Times New Roman"/>
                <w:bCs/>
                <w:sz w:val="24"/>
                <w:szCs w:val="24"/>
                <w:lang w:eastAsia="lv-LV"/>
              </w:rPr>
              <w:t>Mini</w:t>
            </w:r>
            <w:r w:rsidRPr="00DA3ED2">
              <w:rPr>
                <w:rFonts w:ascii="Times New Roman" w:eastAsia="Times New Roman" w:hAnsi="Times New Roman"/>
                <w:bCs/>
                <w:sz w:val="24"/>
                <w:szCs w:val="24"/>
                <w:lang w:eastAsia="lv-LV"/>
              </w:rPr>
              <w:t>stru kabineta noteikumu projektu</w:t>
            </w:r>
            <w:r w:rsidR="002D0EB1" w:rsidRPr="00DA3ED2">
              <w:rPr>
                <w:rFonts w:ascii="Times New Roman" w:eastAsia="Times New Roman" w:hAnsi="Times New Roman"/>
                <w:bCs/>
                <w:sz w:val="24"/>
                <w:szCs w:val="24"/>
                <w:lang w:eastAsia="lv-LV"/>
              </w:rPr>
              <w:t xml:space="preserve"> </w:t>
            </w:r>
            <w:r w:rsidR="00F30FEF" w:rsidRPr="00DA3ED2">
              <w:rPr>
                <w:rFonts w:ascii="Times New Roman" w:hAnsi="Times New Roman"/>
                <w:b/>
                <w:sz w:val="24"/>
                <w:szCs w:val="24"/>
              </w:rPr>
              <w:t>“</w:t>
            </w:r>
            <w:r w:rsidR="00133A9A" w:rsidRPr="00DA3ED2">
              <w:rPr>
                <w:rFonts w:ascii="Times New Roman" w:hAnsi="Times New Roman"/>
                <w:bCs/>
                <w:sz w:val="24"/>
                <w:szCs w:val="24"/>
              </w:rPr>
              <w:t xml:space="preserve">Grozījumi </w:t>
            </w:r>
            <w:r w:rsidR="00133A9A" w:rsidRPr="00DA3ED2">
              <w:rPr>
                <w:rFonts w:ascii="Times New Roman" w:hAnsi="Times New Roman"/>
                <w:sz w:val="24"/>
                <w:szCs w:val="24"/>
              </w:rPr>
              <w:t xml:space="preserve">Ministru kabineta 2003.gada 10.jūnija noteikumos Nr.298 </w:t>
            </w:r>
            <w:r w:rsidR="00FB436D" w:rsidRPr="00DA3ED2">
              <w:rPr>
                <w:rFonts w:ascii="Times New Roman" w:hAnsi="Times New Roman"/>
                <w:sz w:val="24"/>
                <w:szCs w:val="24"/>
              </w:rPr>
              <w:t>“</w:t>
            </w:r>
            <w:r w:rsidR="00133A9A" w:rsidRPr="00DA3ED2">
              <w:rPr>
                <w:rFonts w:ascii="Times New Roman" w:hAnsi="Times New Roman"/>
                <w:sz w:val="24"/>
                <w:szCs w:val="24"/>
              </w:rPr>
              <w:t>Kārtība, kādā pretendents sedz izdevumus, kas saistīti ar persona</w:t>
            </w:r>
            <w:r w:rsidR="00BC273D" w:rsidRPr="00DA3ED2">
              <w:rPr>
                <w:rFonts w:ascii="Times New Roman" w:hAnsi="Times New Roman"/>
                <w:sz w:val="24"/>
                <w:szCs w:val="24"/>
              </w:rPr>
              <w:t>s</w:t>
            </w:r>
            <w:r w:rsidR="00133A9A" w:rsidRPr="00DA3ED2">
              <w:rPr>
                <w:rFonts w:ascii="Times New Roman" w:hAnsi="Times New Roman"/>
                <w:sz w:val="24"/>
                <w:szCs w:val="24"/>
              </w:rPr>
              <w:t xml:space="preserve"> profesionālās kvalifikācijas atzīšanu</w:t>
            </w:r>
            <w:r w:rsidR="00F30FEF" w:rsidRPr="00DA3ED2">
              <w:rPr>
                <w:rFonts w:ascii="Times New Roman" w:hAnsi="Times New Roman"/>
                <w:b/>
                <w:sz w:val="24"/>
                <w:szCs w:val="24"/>
              </w:rPr>
              <w:t>””</w:t>
            </w:r>
            <w:r w:rsidR="002D0EB1" w:rsidRPr="00DA3ED2">
              <w:rPr>
                <w:rFonts w:ascii="Times New Roman" w:hAnsi="Times New Roman"/>
                <w:sz w:val="24"/>
                <w:szCs w:val="24"/>
              </w:rPr>
              <w:t xml:space="preserve"> (turpmāk –</w:t>
            </w:r>
            <w:r w:rsidR="00A54BE6" w:rsidRPr="00DA3ED2">
              <w:rPr>
                <w:rFonts w:ascii="Times New Roman" w:hAnsi="Times New Roman"/>
                <w:sz w:val="24"/>
                <w:szCs w:val="24"/>
              </w:rPr>
              <w:t xml:space="preserve"> </w:t>
            </w:r>
            <w:r w:rsidR="002D0EB1" w:rsidRPr="00DA3ED2">
              <w:rPr>
                <w:rFonts w:ascii="Times New Roman" w:hAnsi="Times New Roman"/>
                <w:sz w:val="24"/>
                <w:szCs w:val="24"/>
              </w:rPr>
              <w:t xml:space="preserve">projekts) atbilstoši </w:t>
            </w:r>
            <w:r w:rsidR="00133A9A" w:rsidRPr="00DA3ED2">
              <w:rPr>
                <w:rFonts w:ascii="Times New Roman" w:hAnsi="Times New Roman"/>
                <w:sz w:val="24"/>
                <w:szCs w:val="24"/>
              </w:rPr>
              <w:t>Ministru kabineta 2015.gada 18.augusta sēdē dotajam uzdevumam (prot.Nr.40, 30§, 5.punkts)</w:t>
            </w:r>
            <w:r w:rsidR="002D0EB1" w:rsidRPr="00DA3ED2">
              <w:rPr>
                <w:rFonts w:ascii="Times New Roman" w:hAnsi="Times New Roman"/>
                <w:sz w:val="24"/>
                <w:szCs w:val="24"/>
              </w:rPr>
              <w:t>.</w:t>
            </w:r>
          </w:p>
        </w:tc>
      </w:tr>
      <w:tr w:rsidR="00812271" w:rsidRPr="00DA3ED2" w14:paraId="47891B61" w14:textId="77777777" w:rsidTr="000908E6">
        <w:trPr>
          <w:trHeight w:val="1075"/>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18C8B563" w14:textId="77777777" w:rsidR="00392D00" w:rsidRPr="00DA3ED2" w:rsidRDefault="00392D00" w:rsidP="005C42B1">
            <w:pPr>
              <w:spacing w:after="0" w:line="240" w:lineRule="auto"/>
              <w:rPr>
                <w:rFonts w:ascii="Times New Roman" w:eastAsia="Times New Roman" w:hAnsi="Times New Roman"/>
                <w:sz w:val="24"/>
                <w:szCs w:val="24"/>
                <w:lang w:eastAsia="lv-LV"/>
              </w:rPr>
            </w:pPr>
            <w:r w:rsidRPr="00DA3ED2">
              <w:rPr>
                <w:rFonts w:ascii="Times New Roman" w:eastAsia="Times New Roman" w:hAnsi="Times New Roman"/>
                <w:sz w:val="24"/>
                <w:szCs w:val="24"/>
                <w:lang w:eastAsia="lv-LV"/>
              </w:rPr>
              <w:t>2.</w:t>
            </w:r>
          </w:p>
        </w:tc>
        <w:tc>
          <w:tcPr>
            <w:tcW w:w="750" w:type="pct"/>
            <w:tcBorders>
              <w:top w:val="outset" w:sz="6" w:space="0" w:color="auto"/>
              <w:left w:val="outset" w:sz="6" w:space="0" w:color="auto"/>
              <w:bottom w:val="outset" w:sz="6" w:space="0" w:color="auto"/>
              <w:right w:val="outset" w:sz="6" w:space="0" w:color="auto"/>
            </w:tcBorders>
            <w:hideMark/>
          </w:tcPr>
          <w:p w14:paraId="66E34E69" w14:textId="77777777" w:rsidR="00B72734" w:rsidRPr="00DA3ED2" w:rsidRDefault="00812271" w:rsidP="00322FF1">
            <w:pPr>
              <w:spacing w:after="0" w:line="240" w:lineRule="auto"/>
              <w:jc w:val="both"/>
              <w:rPr>
                <w:rFonts w:ascii="Times New Roman" w:eastAsia="Times New Roman" w:hAnsi="Times New Roman"/>
                <w:sz w:val="24"/>
                <w:szCs w:val="24"/>
                <w:lang w:eastAsia="lv-LV"/>
              </w:rPr>
            </w:pPr>
            <w:r w:rsidRPr="00DA3ED2">
              <w:rPr>
                <w:rFonts w:ascii="Times New Roman" w:hAnsi="Times New Roman"/>
                <w:sz w:val="24"/>
                <w:szCs w:val="24"/>
              </w:rPr>
              <w:t>Pašreizējā situācija un problēmas, kuru risināšanai tiesību akta projekts izstrādāts, tiesiskā regulējuma mērķis un būtība</w:t>
            </w:r>
          </w:p>
          <w:p w14:paraId="3943FBDE" w14:textId="77777777" w:rsidR="00B72734" w:rsidRPr="00DA3ED2" w:rsidRDefault="00B72734" w:rsidP="00B72734">
            <w:pPr>
              <w:rPr>
                <w:rFonts w:ascii="Times New Roman" w:eastAsia="Times New Roman" w:hAnsi="Times New Roman"/>
                <w:sz w:val="24"/>
                <w:szCs w:val="24"/>
                <w:lang w:eastAsia="lv-LV"/>
              </w:rPr>
            </w:pPr>
          </w:p>
          <w:p w14:paraId="002258CE" w14:textId="77777777" w:rsidR="00B72734" w:rsidRPr="00DA3ED2" w:rsidRDefault="00B72734" w:rsidP="00B72734">
            <w:pPr>
              <w:rPr>
                <w:rFonts w:ascii="Times New Roman" w:eastAsia="Times New Roman" w:hAnsi="Times New Roman"/>
                <w:sz w:val="24"/>
                <w:szCs w:val="24"/>
                <w:lang w:eastAsia="lv-LV"/>
              </w:rPr>
            </w:pPr>
          </w:p>
          <w:p w14:paraId="40B5928E" w14:textId="77777777" w:rsidR="00B72734" w:rsidRPr="00DA3ED2" w:rsidRDefault="00B72734" w:rsidP="00B72734">
            <w:pPr>
              <w:rPr>
                <w:rFonts w:ascii="Times New Roman" w:eastAsia="Times New Roman" w:hAnsi="Times New Roman"/>
                <w:sz w:val="24"/>
                <w:szCs w:val="24"/>
                <w:lang w:eastAsia="lv-LV"/>
              </w:rPr>
            </w:pPr>
          </w:p>
          <w:p w14:paraId="10C42283" w14:textId="77777777" w:rsidR="00B72734" w:rsidRPr="00DA3ED2" w:rsidRDefault="00B72734" w:rsidP="00B72734">
            <w:pPr>
              <w:rPr>
                <w:rFonts w:ascii="Times New Roman" w:eastAsia="Times New Roman" w:hAnsi="Times New Roman"/>
                <w:sz w:val="24"/>
                <w:szCs w:val="24"/>
                <w:lang w:eastAsia="lv-LV"/>
              </w:rPr>
            </w:pPr>
          </w:p>
          <w:p w14:paraId="4F6CC40B" w14:textId="77777777" w:rsidR="00B72734" w:rsidRPr="00DA3ED2" w:rsidRDefault="00B72734" w:rsidP="00B72734">
            <w:pPr>
              <w:rPr>
                <w:rFonts w:ascii="Times New Roman" w:eastAsia="Times New Roman" w:hAnsi="Times New Roman"/>
                <w:sz w:val="24"/>
                <w:szCs w:val="24"/>
                <w:lang w:eastAsia="lv-LV"/>
              </w:rPr>
            </w:pPr>
          </w:p>
          <w:p w14:paraId="1AA9CCA4" w14:textId="77777777" w:rsidR="00B72734" w:rsidRPr="00DA3ED2" w:rsidRDefault="00B72734" w:rsidP="00B72734">
            <w:pPr>
              <w:rPr>
                <w:rFonts w:ascii="Times New Roman" w:eastAsia="Times New Roman" w:hAnsi="Times New Roman"/>
                <w:sz w:val="24"/>
                <w:szCs w:val="24"/>
                <w:lang w:eastAsia="lv-LV"/>
              </w:rPr>
            </w:pPr>
          </w:p>
          <w:p w14:paraId="7F1C5F9B" w14:textId="77777777" w:rsidR="00392D00" w:rsidRPr="00DA3ED2" w:rsidRDefault="00392D00" w:rsidP="00B72734">
            <w:pPr>
              <w:jc w:val="center"/>
              <w:rPr>
                <w:rFonts w:ascii="Times New Roman" w:eastAsia="Times New Roman" w:hAnsi="Times New Roman"/>
                <w:sz w:val="24"/>
                <w:szCs w:val="24"/>
                <w:lang w:eastAsia="lv-LV"/>
              </w:rPr>
            </w:pPr>
          </w:p>
        </w:tc>
        <w:tc>
          <w:tcPr>
            <w:tcW w:w="4001" w:type="pct"/>
            <w:tcBorders>
              <w:top w:val="outset" w:sz="6" w:space="0" w:color="auto"/>
              <w:left w:val="outset" w:sz="6" w:space="0" w:color="auto"/>
              <w:bottom w:val="outset" w:sz="6" w:space="0" w:color="auto"/>
              <w:right w:val="outset" w:sz="6" w:space="0" w:color="auto"/>
            </w:tcBorders>
            <w:hideMark/>
          </w:tcPr>
          <w:p w14:paraId="202E4B1B" w14:textId="06E7FC73" w:rsidR="00D637DE" w:rsidRPr="00DA3ED2" w:rsidRDefault="003F7C3A" w:rsidP="00396EBE">
            <w:pPr>
              <w:spacing w:after="0" w:line="240" w:lineRule="auto"/>
              <w:jc w:val="both"/>
              <w:rPr>
                <w:rFonts w:ascii="Times New Roman" w:hAnsi="Times New Roman"/>
                <w:sz w:val="24"/>
                <w:szCs w:val="24"/>
              </w:rPr>
            </w:pPr>
            <w:r w:rsidRPr="00DA3ED2">
              <w:rPr>
                <w:rFonts w:ascii="Times New Roman" w:hAnsi="Times New Roman"/>
                <w:sz w:val="24"/>
                <w:szCs w:val="24"/>
              </w:rPr>
              <w:t>Ministru kabineta 2003.gada 10.jūnija note</w:t>
            </w:r>
            <w:r w:rsidR="00D637DE" w:rsidRPr="00DA3ED2">
              <w:rPr>
                <w:rFonts w:ascii="Times New Roman" w:hAnsi="Times New Roman"/>
                <w:sz w:val="24"/>
                <w:szCs w:val="24"/>
              </w:rPr>
              <w:t>ikumos</w:t>
            </w:r>
            <w:r w:rsidRPr="00DA3ED2">
              <w:rPr>
                <w:rFonts w:ascii="Times New Roman" w:hAnsi="Times New Roman"/>
                <w:sz w:val="24"/>
                <w:szCs w:val="24"/>
              </w:rPr>
              <w:t xml:space="preserve"> Nr.298 “Kārtība, kādā pretendents sedz izdevumus, kas saistīti ar personas profesionālās kvalifikācijas atzīšanu” (turpmāk – noteikumi Nr.298) </w:t>
            </w:r>
            <w:r w:rsidR="00D637DE" w:rsidRPr="00DA3ED2">
              <w:rPr>
                <w:rFonts w:ascii="Times New Roman" w:hAnsi="Times New Roman"/>
                <w:sz w:val="24"/>
                <w:szCs w:val="24"/>
              </w:rPr>
              <w:t xml:space="preserve">ir noteikts samaksas apmērs par profesionālās kvalifikācijas atzīšanu. </w:t>
            </w:r>
          </w:p>
          <w:p w14:paraId="257355DF" w14:textId="6C4095BB" w:rsidR="00D637DE" w:rsidRPr="00DA3ED2" w:rsidRDefault="00D637DE" w:rsidP="00D637DE">
            <w:pPr>
              <w:spacing w:after="0" w:line="240" w:lineRule="auto"/>
              <w:jc w:val="both"/>
              <w:rPr>
                <w:rFonts w:ascii="Times New Roman" w:eastAsia="Times New Roman" w:hAnsi="Times New Roman"/>
                <w:bCs/>
                <w:sz w:val="24"/>
                <w:szCs w:val="24"/>
                <w:lang w:eastAsia="lv-LV"/>
              </w:rPr>
            </w:pPr>
            <w:r w:rsidRPr="00DA3ED2">
              <w:rPr>
                <w:rFonts w:ascii="Times New Roman" w:eastAsia="Times New Roman" w:hAnsi="Times New Roman"/>
                <w:bCs/>
                <w:sz w:val="24"/>
                <w:szCs w:val="24"/>
                <w:lang w:eastAsia="lv-LV"/>
              </w:rPr>
              <w:t xml:space="preserve">Ministru kabineta </w:t>
            </w:r>
            <w:r w:rsidRPr="00DA3ED2">
              <w:rPr>
                <w:rFonts w:ascii="Times New Roman" w:eastAsia="Times New Roman" w:hAnsi="Times New Roman"/>
                <w:sz w:val="24"/>
                <w:szCs w:val="24"/>
                <w:lang w:eastAsia="lv-LV"/>
              </w:rPr>
              <w:t xml:space="preserve">2005.gada 19.jūlija </w:t>
            </w:r>
            <w:r w:rsidR="00B37E9C" w:rsidRPr="00DA3ED2">
              <w:rPr>
                <w:rFonts w:ascii="Times New Roman" w:eastAsia="Times New Roman" w:hAnsi="Times New Roman"/>
                <w:bCs/>
                <w:sz w:val="24"/>
                <w:szCs w:val="24"/>
                <w:lang w:eastAsia="lv-LV"/>
              </w:rPr>
              <w:t>noteikumi</w:t>
            </w:r>
            <w:r w:rsidRPr="00DA3ED2">
              <w:rPr>
                <w:rFonts w:ascii="Times New Roman" w:eastAsia="Times New Roman" w:hAnsi="Times New Roman"/>
                <w:bCs/>
                <w:sz w:val="24"/>
                <w:szCs w:val="24"/>
                <w:lang w:eastAsia="lv-LV"/>
              </w:rPr>
              <w:t xml:space="preserve"> Nr.525</w:t>
            </w:r>
            <w:r w:rsidRPr="00DA3ED2">
              <w:rPr>
                <w:rFonts w:ascii="Times New Roman" w:eastAsia="Times New Roman" w:hAnsi="Times New Roman"/>
                <w:sz w:val="24"/>
                <w:szCs w:val="24"/>
                <w:lang w:eastAsia="lv-LV"/>
              </w:rPr>
              <w:t xml:space="preserve"> “</w:t>
            </w:r>
            <w:r w:rsidRPr="00DA3ED2">
              <w:rPr>
                <w:rFonts w:ascii="Times New Roman" w:eastAsia="Times New Roman" w:hAnsi="Times New Roman"/>
                <w:bCs/>
                <w:sz w:val="24"/>
                <w:szCs w:val="24"/>
                <w:lang w:eastAsia="lv-LV"/>
              </w:rPr>
              <w:t>Kārtība profesionālās kvalifikācijas atzīšanai pastāvīgai profesionālajai darbībai Latvijas Republikā” (turpmāk – noteikumi Nr.525) nosaka, ka profesionālās kvalifikācijas atzīšanas procesā ir iesai</w:t>
            </w:r>
            <w:r w:rsidR="00DD6AAC" w:rsidRPr="00DA3ED2">
              <w:rPr>
                <w:rFonts w:ascii="Times New Roman" w:eastAsia="Times New Roman" w:hAnsi="Times New Roman"/>
                <w:bCs/>
                <w:sz w:val="24"/>
                <w:szCs w:val="24"/>
                <w:lang w:eastAsia="lv-LV"/>
              </w:rPr>
              <w:t>stītas informācijas institūcija</w:t>
            </w:r>
            <w:r w:rsidR="00B37E9C" w:rsidRPr="00DA3ED2">
              <w:rPr>
                <w:rFonts w:ascii="Times New Roman" w:eastAsia="Times New Roman" w:hAnsi="Times New Roman"/>
                <w:bCs/>
                <w:sz w:val="24"/>
                <w:szCs w:val="24"/>
                <w:lang w:eastAsia="lv-LV"/>
              </w:rPr>
              <w:t xml:space="preserve"> un</w:t>
            </w:r>
            <w:r w:rsidR="00DD6AAC" w:rsidRPr="00DA3ED2">
              <w:rPr>
                <w:rFonts w:ascii="Times New Roman" w:eastAsia="Times New Roman" w:hAnsi="Times New Roman"/>
                <w:bCs/>
                <w:sz w:val="24"/>
                <w:szCs w:val="24"/>
                <w:lang w:eastAsia="lv-LV"/>
              </w:rPr>
              <w:t xml:space="preserve"> institūcija</w:t>
            </w:r>
            <w:r w:rsidRPr="00DA3ED2">
              <w:rPr>
                <w:rFonts w:ascii="Times New Roman" w:eastAsia="Times New Roman" w:hAnsi="Times New Roman"/>
                <w:bCs/>
                <w:sz w:val="24"/>
                <w:szCs w:val="24"/>
                <w:lang w:eastAsia="lv-LV"/>
              </w:rPr>
              <w:t>, kas izsniedz profesionālās kvalifikācijas atzī</w:t>
            </w:r>
            <w:r w:rsidR="00DD6AAC" w:rsidRPr="00DA3ED2">
              <w:rPr>
                <w:rFonts w:ascii="Times New Roman" w:eastAsia="Times New Roman" w:hAnsi="Times New Roman"/>
                <w:bCs/>
                <w:sz w:val="24"/>
                <w:szCs w:val="24"/>
                <w:lang w:eastAsia="lv-LV"/>
              </w:rPr>
              <w:t>šanas apliecības reglamentētajā profesijā</w:t>
            </w:r>
            <w:r w:rsidR="00B37E9C" w:rsidRPr="00DA3ED2">
              <w:rPr>
                <w:rFonts w:ascii="Times New Roman" w:eastAsia="Times New Roman" w:hAnsi="Times New Roman"/>
                <w:bCs/>
                <w:sz w:val="24"/>
                <w:szCs w:val="24"/>
                <w:lang w:eastAsia="lv-LV"/>
              </w:rPr>
              <w:t xml:space="preserve"> (turpmāk −</w:t>
            </w:r>
            <w:r w:rsidRPr="00DA3ED2">
              <w:rPr>
                <w:rFonts w:ascii="Times New Roman" w:eastAsia="Times New Roman" w:hAnsi="Times New Roman"/>
                <w:bCs/>
                <w:sz w:val="24"/>
                <w:szCs w:val="24"/>
                <w:lang w:eastAsia="lv-LV"/>
              </w:rPr>
              <w:t xml:space="preserve"> </w:t>
            </w:r>
            <w:r w:rsidR="001E4E25" w:rsidRPr="00DA3ED2">
              <w:rPr>
                <w:rFonts w:ascii="Times New Roman" w:hAnsi="Times New Roman"/>
                <w:sz w:val="24"/>
                <w:szCs w:val="24"/>
              </w:rPr>
              <w:t>i</w:t>
            </w:r>
            <w:r w:rsidRPr="00DA3ED2">
              <w:rPr>
                <w:rFonts w:ascii="Times New Roman" w:hAnsi="Times New Roman"/>
                <w:sz w:val="24"/>
                <w:szCs w:val="24"/>
              </w:rPr>
              <w:t xml:space="preserve">nstitūcija, kas izsniedz atzīšanas apliecības), </w:t>
            </w:r>
            <w:r w:rsidR="00DD6AAC" w:rsidRPr="00DA3ED2">
              <w:rPr>
                <w:rFonts w:ascii="Times New Roman" w:hAnsi="Times New Roman"/>
                <w:sz w:val="24"/>
                <w:szCs w:val="24"/>
              </w:rPr>
              <w:t>tādēļ</w:t>
            </w:r>
            <w:r w:rsidRPr="00DA3ED2">
              <w:rPr>
                <w:rFonts w:ascii="Times New Roman" w:hAnsi="Times New Roman"/>
                <w:sz w:val="24"/>
                <w:szCs w:val="24"/>
              </w:rPr>
              <w:t xml:space="preserve"> profesionālās kvalifikācijas atzīšanas pretendenta veiktā samaksa </w:t>
            </w:r>
            <w:r w:rsidR="00DD6AAC" w:rsidRPr="00DA3ED2">
              <w:rPr>
                <w:rFonts w:ascii="Times New Roman" w:hAnsi="Times New Roman"/>
                <w:sz w:val="24"/>
                <w:szCs w:val="24"/>
              </w:rPr>
              <w:t xml:space="preserve">tiek </w:t>
            </w:r>
            <w:r w:rsidRPr="00DA3ED2">
              <w:rPr>
                <w:rFonts w:ascii="Times New Roman" w:hAnsi="Times New Roman"/>
                <w:sz w:val="24"/>
                <w:szCs w:val="24"/>
              </w:rPr>
              <w:t>sadal</w:t>
            </w:r>
            <w:r w:rsidR="00DD6AAC" w:rsidRPr="00DA3ED2">
              <w:rPr>
                <w:rFonts w:ascii="Times New Roman" w:hAnsi="Times New Roman"/>
                <w:sz w:val="24"/>
                <w:szCs w:val="24"/>
              </w:rPr>
              <w:t>īta</w:t>
            </w:r>
            <w:r w:rsidRPr="00DA3ED2">
              <w:rPr>
                <w:rFonts w:ascii="Times New Roman" w:hAnsi="Times New Roman"/>
                <w:sz w:val="24"/>
                <w:szCs w:val="24"/>
              </w:rPr>
              <w:t xml:space="preserve"> starp abām minētajām institūcijām.</w:t>
            </w:r>
            <w:r w:rsidRPr="00DA3ED2">
              <w:rPr>
                <w:rFonts w:ascii="Times New Roman" w:eastAsia="Times New Roman" w:hAnsi="Times New Roman"/>
                <w:bCs/>
                <w:sz w:val="24"/>
                <w:szCs w:val="24"/>
                <w:lang w:eastAsia="lv-LV"/>
              </w:rPr>
              <w:t xml:space="preserve"> </w:t>
            </w:r>
          </w:p>
          <w:p w14:paraId="390B055B" w14:textId="0EE84C95" w:rsidR="00D637DE" w:rsidRPr="00DA3ED2" w:rsidRDefault="00D637DE" w:rsidP="00D637DE">
            <w:pPr>
              <w:spacing w:after="0" w:line="240" w:lineRule="auto"/>
              <w:jc w:val="both"/>
              <w:rPr>
                <w:rFonts w:ascii="Times New Roman" w:hAnsi="Times New Roman"/>
                <w:bCs/>
                <w:sz w:val="24"/>
                <w:szCs w:val="24"/>
              </w:rPr>
            </w:pPr>
            <w:r w:rsidRPr="00DA3ED2">
              <w:rPr>
                <w:rFonts w:ascii="Times New Roman" w:hAnsi="Times New Roman"/>
                <w:bCs/>
                <w:sz w:val="24"/>
                <w:szCs w:val="24"/>
              </w:rPr>
              <w:t>Informācijas institūcija, izskatot profesionālās kvalifikācijas atzīšanas pieteikumu (turpmāk – pieteikumu)</w:t>
            </w:r>
            <w:r w:rsidR="001E4E25" w:rsidRPr="00DA3ED2">
              <w:rPr>
                <w:rFonts w:ascii="Times New Roman" w:hAnsi="Times New Roman"/>
                <w:bCs/>
                <w:sz w:val="24"/>
                <w:szCs w:val="24"/>
              </w:rPr>
              <w:t xml:space="preserve">, </w:t>
            </w:r>
            <w:r w:rsidRPr="00DA3ED2">
              <w:rPr>
                <w:rFonts w:ascii="Times New Roman" w:hAnsi="Times New Roman"/>
                <w:sz w:val="24"/>
                <w:szCs w:val="24"/>
              </w:rPr>
              <w:t xml:space="preserve">veic </w:t>
            </w:r>
            <w:r w:rsidR="006C2FA7" w:rsidRPr="00DA3ED2">
              <w:rPr>
                <w:rFonts w:ascii="Times New Roman" w:hAnsi="Times New Roman"/>
                <w:sz w:val="24"/>
                <w:szCs w:val="24"/>
              </w:rPr>
              <w:t xml:space="preserve">šādas galvenās </w:t>
            </w:r>
            <w:r w:rsidRPr="00DA3ED2">
              <w:rPr>
                <w:rFonts w:ascii="Times New Roman" w:hAnsi="Times New Roman"/>
                <w:sz w:val="24"/>
                <w:szCs w:val="24"/>
              </w:rPr>
              <w:t xml:space="preserve">darbības, kas noteiktas </w:t>
            </w:r>
            <w:r w:rsidRPr="00DA3ED2">
              <w:rPr>
                <w:rFonts w:ascii="Times New Roman" w:eastAsia="Times New Roman" w:hAnsi="Times New Roman"/>
                <w:bCs/>
                <w:sz w:val="24"/>
                <w:szCs w:val="24"/>
                <w:lang w:eastAsia="lv-LV"/>
              </w:rPr>
              <w:t>noteikumu Nr.525 5., 6., 7., 8., 9.punktā</w:t>
            </w:r>
            <w:r w:rsidRPr="00DA3ED2">
              <w:rPr>
                <w:rFonts w:ascii="Times New Roman" w:hAnsi="Times New Roman"/>
                <w:bCs/>
                <w:sz w:val="24"/>
                <w:szCs w:val="24"/>
              </w:rPr>
              <w:t xml:space="preserve">: </w:t>
            </w:r>
          </w:p>
          <w:p w14:paraId="76D94402" w14:textId="77777777"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bCs/>
                <w:sz w:val="24"/>
                <w:szCs w:val="24"/>
              </w:rPr>
              <w:t>1) pieteikuma</w:t>
            </w:r>
            <w:r w:rsidRPr="00DA3ED2">
              <w:rPr>
                <w:rFonts w:ascii="Times New Roman" w:hAnsi="Times New Roman"/>
                <w:sz w:val="24"/>
                <w:szCs w:val="24"/>
              </w:rPr>
              <w:t xml:space="preserve"> un tam pievienoto dokumentu sākotnējā pārbaude ar mērķi pārliecināties, ka pretendents ir iesniedzis pilnīgi aizpildītu pieteikumu un visus nepieciešamos dokumentus;</w:t>
            </w:r>
          </w:p>
          <w:p w14:paraId="0812EA4E" w14:textId="77777777"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sz w:val="24"/>
                <w:szCs w:val="24"/>
              </w:rPr>
              <w:t>2) ja pieteikums nav aizpildīts pilnībā vai nav iesniegti visi nepieciešamie dokumenti profesionālās kvalifikācijas atzīšanai, vai pretendenta iesniegtajiem dokumentiem ir nepieciešams tulkojums valsts valodā, informē pretendentu par konstatētajiem un novēršamajiem trūkumiem un atkārtoti pieņem un izskata trūkstošos dokumentus;</w:t>
            </w:r>
          </w:p>
          <w:p w14:paraId="58B36343" w14:textId="2690C309"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sz w:val="24"/>
                <w:szCs w:val="24"/>
              </w:rPr>
              <w:t xml:space="preserve">3) veic iesniegto personu apliecinošo un izglītības dokumentu autentiskuma pārbaudi un to apstiprina. </w:t>
            </w:r>
            <w:r w:rsidR="00DD6AAC" w:rsidRPr="00DA3ED2">
              <w:rPr>
                <w:rFonts w:ascii="Times New Roman" w:hAnsi="Times New Roman"/>
                <w:sz w:val="24"/>
                <w:szCs w:val="24"/>
              </w:rPr>
              <w:t>Piemēram, i</w:t>
            </w:r>
            <w:r w:rsidRPr="00DA3ED2">
              <w:rPr>
                <w:rFonts w:ascii="Times New Roman" w:hAnsi="Times New Roman"/>
                <w:sz w:val="24"/>
                <w:szCs w:val="24"/>
              </w:rPr>
              <w:t xml:space="preserve">zglītības dokumentu autentiskuma pārbaudei </w:t>
            </w:r>
            <w:r w:rsidR="00DD6AAC" w:rsidRPr="00DA3ED2">
              <w:rPr>
                <w:rFonts w:ascii="Times New Roman" w:hAnsi="Times New Roman"/>
                <w:sz w:val="24"/>
                <w:szCs w:val="24"/>
              </w:rPr>
              <w:t>Akadēmiskās informācijas centrs</w:t>
            </w:r>
            <w:r w:rsidRPr="00DA3ED2">
              <w:rPr>
                <w:rFonts w:ascii="Times New Roman" w:hAnsi="Times New Roman"/>
                <w:sz w:val="24"/>
                <w:szCs w:val="24"/>
              </w:rPr>
              <w:t xml:space="preserve"> salīdzina dokumenta attēlu ar diplomu paraugu datu bāzē iekļautajiem dokumentiem, kā arī, nepieciešamības gadījumā sazinās ar izglītības dokumentus izsniegušajām izglītības iestādēm, Ārstniecības personu, Farmaceitu un farmaceitu asistentu reģistriem, Iedzīvotāju reģistru;</w:t>
            </w:r>
          </w:p>
          <w:p w14:paraId="74F3F2A1" w14:textId="65284ADF"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sz w:val="24"/>
                <w:szCs w:val="24"/>
              </w:rPr>
              <w:lastRenderedPageBreak/>
              <w:t>4) salīdzina profesionālās kvalifikācijas atzīšanas pretendenta iesniegtajos izglītības un profesionālās kvalifikācijas dokumentos apliecinātās izglītības un praktiskās apmācības ilgumu ar Latvijas Republikā noteiktajām prasībām profesionālās kvalifikācijas iegūšanai attiecīgajā reglamentētajā profesijā;</w:t>
            </w:r>
          </w:p>
          <w:p w14:paraId="4DAFFCE7" w14:textId="77777777"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sz w:val="24"/>
                <w:szCs w:val="24"/>
              </w:rPr>
              <w:t xml:space="preserve">5) lai noskaidrotu izglītības vai kvalifikācijas dokumentu autentiskumu, vai ir radušās neskaidrības par izglītības līmeni vai pretendenta tiesībām strādāt mītnes valstī, sazinās ar mītnes valsts vai </w:t>
            </w:r>
            <w:proofErr w:type="spellStart"/>
            <w:r w:rsidRPr="00DA3ED2">
              <w:rPr>
                <w:rFonts w:ascii="Times New Roman" w:hAnsi="Times New Roman"/>
                <w:sz w:val="24"/>
                <w:szCs w:val="24"/>
              </w:rPr>
              <w:t>izsniedzējvalsts</w:t>
            </w:r>
            <w:proofErr w:type="spellEnd"/>
            <w:r w:rsidRPr="00DA3ED2">
              <w:rPr>
                <w:rFonts w:ascii="Times New Roman" w:hAnsi="Times New Roman"/>
                <w:sz w:val="24"/>
                <w:szCs w:val="24"/>
              </w:rPr>
              <w:t xml:space="preserve"> atbilstošajām institūcijām;</w:t>
            </w:r>
          </w:p>
          <w:p w14:paraId="738611D7" w14:textId="77777777" w:rsidR="00D637DE"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sz w:val="24"/>
                <w:szCs w:val="24"/>
              </w:rPr>
              <w:t xml:space="preserve">6) pārbaudes rezultātus apkopo izziņā un to reizē ar pretendenta pieteikumu un tam pievienotajiem dokumentiem </w:t>
            </w:r>
            <w:proofErr w:type="spellStart"/>
            <w:r w:rsidRPr="00DA3ED2">
              <w:rPr>
                <w:rFonts w:ascii="Times New Roman" w:hAnsi="Times New Roman"/>
                <w:sz w:val="24"/>
                <w:szCs w:val="24"/>
              </w:rPr>
              <w:t>pārsūta</w:t>
            </w:r>
            <w:proofErr w:type="spellEnd"/>
            <w:r w:rsidRPr="00DA3ED2">
              <w:rPr>
                <w:rFonts w:ascii="Times New Roman" w:hAnsi="Times New Roman"/>
                <w:sz w:val="24"/>
                <w:szCs w:val="24"/>
              </w:rPr>
              <w:t xml:space="preserve"> izskatīšanai un lēmuma pieņemšanai institūcijai, kas izsniedz atzīšanas apliecības attiecīgajā reglamentētajā profesijā.</w:t>
            </w:r>
          </w:p>
          <w:p w14:paraId="796762D5" w14:textId="77777777" w:rsidR="00D637DE" w:rsidRPr="00DA3ED2" w:rsidRDefault="00D637DE" w:rsidP="00D637DE">
            <w:pPr>
              <w:spacing w:after="0" w:line="240" w:lineRule="auto"/>
              <w:jc w:val="both"/>
              <w:rPr>
                <w:rFonts w:ascii="Times New Roman" w:hAnsi="Times New Roman"/>
                <w:sz w:val="24"/>
                <w:szCs w:val="24"/>
              </w:rPr>
            </w:pPr>
          </w:p>
          <w:p w14:paraId="7E0C1D5E" w14:textId="43D2AC02" w:rsidR="004F2157" w:rsidRPr="00DA3ED2" w:rsidRDefault="00D637DE" w:rsidP="00D637DE">
            <w:pPr>
              <w:spacing w:after="0" w:line="240" w:lineRule="auto"/>
              <w:jc w:val="both"/>
              <w:rPr>
                <w:rFonts w:ascii="Times New Roman" w:hAnsi="Times New Roman"/>
                <w:sz w:val="24"/>
                <w:szCs w:val="24"/>
              </w:rPr>
            </w:pPr>
            <w:r w:rsidRPr="00DA3ED2">
              <w:rPr>
                <w:rFonts w:ascii="Times New Roman" w:hAnsi="Times New Roman"/>
                <w:bCs/>
                <w:sz w:val="24"/>
                <w:szCs w:val="24"/>
              </w:rPr>
              <w:t xml:space="preserve">      </w:t>
            </w:r>
            <w:r w:rsidRPr="00DA3ED2">
              <w:rPr>
                <w:rFonts w:ascii="Times New Roman" w:hAnsi="Times New Roman"/>
                <w:sz w:val="24"/>
                <w:szCs w:val="24"/>
              </w:rPr>
              <w:t xml:space="preserve">Institūcija, kas izsniedz atzīšanas apliecības, izskatot pieteikumu, veic darbības, kas noteiktas </w:t>
            </w:r>
            <w:r w:rsidRPr="00DA3ED2">
              <w:rPr>
                <w:rFonts w:ascii="Times New Roman" w:eastAsia="Times New Roman" w:hAnsi="Times New Roman"/>
                <w:bCs/>
                <w:sz w:val="24"/>
                <w:szCs w:val="24"/>
                <w:lang w:eastAsia="lv-LV"/>
              </w:rPr>
              <w:t>noteikumu Nr.525 11., 12., 16., 17., 18., 19.punktā, proti, tiek veikta pārbaude, vai pretendenta pieteikumam pievienotie dokumenti apliecina iegūtās izglītības un profesionālās pieredzes atbilstību Latvijas Republikā konkrētajai reglamentētajai profesijai izvirzītajām pras</w:t>
            </w:r>
            <w:r w:rsidR="00DD6AAC" w:rsidRPr="00DA3ED2">
              <w:rPr>
                <w:rFonts w:ascii="Times New Roman" w:eastAsia="Times New Roman" w:hAnsi="Times New Roman"/>
                <w:bCs/>
                <w:sz w:val="24"/>
                <w:szCs w:val="24"/>
                <w:lang w:eastAsia="lv-LV"/>
              </w:rPr>
              <w:t>ībām. Piemēram, fizioterapeitam</w:t>
            </w:r>
            <w:r w:rsidRPr="00DA3ED2">
              <w:rPr>
                <w:rFonts w:ascii="Times New Roman" w:eastAsia="Times New Roman" w:hAnsi="Times New Roman"/>
                <w:bCs/>
                <w:sz w:val="24"/>
                <w:szCs w:val="24"/>
                <w:lang w:eastAsia="lv-LV"/>
              </w:rPr>
              <w:t xml:space="preserve"> saskaņā ar Ministru kabineta </w:t>
            </w:r>
            <w:r w:rsidRPr="00DA3ED2">
              <w:rPr>
                <w:rFonts w:ascii="Times New Roman" w:eastAsia="Times New Roman" w:hAnsi="Times New Roman"/>
                <w:sz w:val="24"/>
                <w:szCs w:val="24"/>
                <w:lang w:eastAsia="lv-LV"/>
              </w:rPr>
              <w:t xml:space="preserve">2009.gada 24.marta </w:t>
            </w:r>
            <w:r w:rsidRPr="00DA3ED2">
              <w:rPr>
                <w:rFonts w:ascii="Times New Roman" w:eastAsia="Times New Roman" w:hAnsi="Times New Roman"/>
                <w:bCs/>
                <w:sz w:val="24"/>
                <w:szCs w:val="24"/>
                <w:lang w:eastAsia="lv-LV"/>
              </w:rPr>
              <w:t>noteikumu Nr.268</w:t>
            </w:r>
            <w:r w:rsidRPr="00DA3ED2">
              <w:rPr>
                <w:rFonts w:ascii="Times New Roman" w:eastAsia="Times New Roman" w:hAnsi="Times New Roman"/>
                <w:sz w:val="24"/>
                <w:szCs w:val="24"/>
                <w:lang w:eastAsia="lv-LV"/>
              </w:rPr>
              <w:t xml:space="preserve"> </w:t>
            </w:r>
            <w:r w:rsidRPr="00DA3ED2">
              <w:rPr>
                <w:rFonts w:ascii="Times New Roman" w:eastAsia="Times New Roman" w:hAnsi="Times New Roman"/>
                <w:bCs/>
                <w:sz w:val="24"/>
                <w:szCs w:val="24"/>
                <w:lang w:eastAsia="lv-LV"/>
              </w:rPr>
              <w:t xml:space="preserve">“Noteikumi par ārstniecības personu un studējošo, kuri apgūst pirmā vai otrā līmeņa profesionālās augstākās medicīniskās izglītības programmas, kompetenci ārstniecībā un šo personu teorētisko un praktisko zināšanu apjomu” </w:t>
            </w:r>
            <w:r w:rsidRPr="00DA3ED2">
              <w:rPr>
                <w:rFonts w:ascii="Times New Roman" w:eastAsia="Times New Roman" w:hAnsi="Times New Roman"/>
                <w:sz w:val="24"/>
                <w:szCs w:val="24"/>
                <w:lang w:eastAsia="lv-LV"/>
              </w:rPr>
              <w:t xml:space="preserve">473.punktu, ir jābūt </w:t>
            </w:r>
            <w:r w:rsidRPr="00DA3ED2">
              <w:rPr>
                <w:rFonts w:ascii="Times New Roman" w:hAnsi="Times New Roman"/>
                <w:sz w:val="24"/>
                <w:szCs w:val="24"/>
              </w:rPr>
              <w:t xml:space="preserve">bakalaura grādam veselības aprūpē ar kvalifikāciju fizioterapijā, kas nozīmē, ka ir jābūt apgūtai studiju programmai vismaz 160 kredītpunktu (240 ECTS) apjomā, un ekspertiem ir jāveic </w:t>
            </w:r>
            <w:proofErr w:type="spellStart"/>
            <w:r w:rsidRPr="00DA3ED2">
              <w:rPr>
                <w:rFonts w:ascii="Times New Roman" w:hAnsi="Times New Roman"/>
                <w:sz w:val="24"/>
                <w:szCs w:val="24"/>
              </w:rPr>
              <w:t>izvērtējums</w:t>
            </w:r>
            <w:proofErr w:type="spellEnd"/>
            <w:r w:rsidRPr="00DA3ED2">
              <w:rPr>
                <w:rFonts w:ascii="Times New Roman" w:hAnsi="Times New Roman"/>
                <w:sz w:val="24"/>
                <w:szCs w:val="24"/>
              </w:rPr>
              <w:t>, vai apgūtie studiju rezultāti nodrošina fizioterapeita profesionālajai darbībai nepieciešamās zināšanas, prasmes un kompetences. Ņemot vērā, ka 1 kredītpunkts atbilst 40 stundu ilgam studiju laikam, darba apjoms ir ļoti liels, proti, jāizvērtē 6400 stundu laikā apgūtu studiju saturs. Nepieciešamības gadījumā profesionālās kvalifikācijas atzīšanas pretendentam ir jānosaka papildus prasības, kas var būt noteikta satura studiju kursu apguve, gan arī adaptācijas periods (noteikta termiņa darbs reglamentētajā profesijā sertificēta speciālista uzraudzībā). Kā ir atzīts Eiropas Vienotā tirgus stratēģijā, prasības reglamentācijai profesijām dažādās Eiropas valstīs ievērojami atšķiras</w:t>
            </w:r>
            <w:r w:rsidRPr="00DA3ED2">
              <w:rPr>
                <w:rStyle w:val="FootnoteReference"/>
                <w:rFonts w:ascii="Times New Roman" w:hAnsi="Times New Roman"/>
                <w:sz w:val="24"/>
                <w:szCs w:val="24"/>
              </w:rPr>
              <w:footnoteReference w:id="1"/>
            </w:r>
            <w:r w:rsidRPr="00DA3ED2">
              <w:rPr>
                <w:rFonts w:ascii="Times New Roman" w:hAnsi="Times New Roman"/>
                <w:sz w:val="24"/>
                <w:szCs w:val="24"/>
              </w:rPr>
              <w:t>,</w:t>
            </w:r>
            <w:r w:rsidR="00F3312C" w:rsidRPr="00DA3ED2">
              <w:rPr>
                <w:rFonts w:ascii="Times New Roman" w:hAnsi="Times New Roman"/>
                <w:sz w:val="24"/>
                <w:szCs w:val="24"/>
              </w:rPr>
              <w:t xml:space="preserve"> līdz ar to ievērojamas atšķirības ir arī dalībvalstīs iegūtās izglītības saturā,</w:t>
            </w:r>
            <w:r w:rsidRPr="00DA3ED2">
              <w:rPr>
                <w:rFonts w:ascii="Times New Roman" w:hAnsi="Times New Roman"/>
                <w:sz w:val="24"/>
                <w:szCs w:val="24"/>
              </w:rPr>
              <w:t xml:space="preserve"> tādēļ katrs gadījums ir individuāls un prasa augstu ekspertu kompetenci korekta salīdzinājuma veikšanai ar mērķi aizsargāt </w:t>
            </w:r>
            <w:r w:rsidR="00371D2F" w:rsidRPr="00DA3ED2">
              <w:rPr>
                <w:rFonts w:ascii="Times New Roman" w:hAnsi="Times New Roman"/>
                <w:sz w:val="24"/>
                <w:szCs w:val="24"/>
              </w:rPr>
              <w:t xml:space="preserve">Latvijas </w:t>
            </w:r>
            <w:r w:rsidRPr="00DA3ED2">
              <w:rPr>
                <w:rFonts w:ascii="Times New Roman" w:hAnsi="Times New Roman"/>
                <w:sz w:val="24"/>
                <w:szCs w:val="24"/>
              </w:rPr>
              <w:t>pacientu</w:t>
            </w:r>
            <w:r w:rsidR="00371D2F" w:rsidRPr="00DA3ED2">
              <w:rPr>
                <w:rFonts w:ascii="Times New Roman" w:hAnsi="Times New Roman"/>
                <w:sz w:val="24"/>
                <w:szCs w:val="24"/>
              </w:rPr>
              <w:t xml:space="preserve"> un citu pakalpojumu saņēmēju</w:t>
            </w:r>
            <w:r w:rsidRPr="00DA3ED2">
              <w:rPr>
                <w:rFonts w:ascii="Times New Roman" w:hAnsi="Times New Roman"/>
                <w:sz w:val="24"/>
                <w:szCs w:val="24"/>
              </w:rPr>
              <w:t xml:space="preserve"> intereses un nepieļautu iespēju, ka speciālisti ar neatbilstošu profesionālo kvalifikāciju var iegūt tiesības veikt profesionālo darbību reglamentētajās profesijās. </w:t>
            </w:r>
          </w:p>
          <w:p w14:paraId="0E477DCB" w14:textId="3DF4AED6" w:rsidR="00D637DE" w:rsidRPr="00DA3ED2" w:rsidRDefault="004F2157" w:rsidP="00D637DE">
            <w:pPr>
              <w:spacing w:after="0" w:line="240" w:lineRule="auto"/>
              <w:jc w:val="both"/>
              <w:rPr>
                <w:rFonts w:ascii="Times New Roman" w:eastAsia="Times New Roman" w:hAnsi="Times New Roman"/>
                <w:sz w:val="24"/>
                <w:szCs w:val="24"/>
                <w:lang w:eastAsia="lv-LV"/>
              </w:rPr>
            </w:pPr>
            <w:r w:rsidRPr="00DA3ED2">
              <w:rPr>
                <w:rFonts w:ascii="Times New Roman" w:hAnsi="Times New Roman"/>
                <w:sz w:val="24"/>
                <w:szCs w:val="24"/>
              </w:rPr>
              <w:t xml:space="preserve">Saskaņā ar likuma “Par reglamentētajām profesijām un profesionālās kvalifikācijas atzīšanu” 58.panta pirmo daļu,  institūcija, kas izsniedz </w:t>
            </w:r>
            <w:r w:rsidRPr="00DA3ED2">
              <w:rPr>
                <w:rFonts w:ascii="Times New Roman" w:hAnsi="Times New Roman"/>
                <w:sz w:val="24"/>
                <w:szCs w:val="24"/>
              </w:rPr>
              <w:lastRenderedPageBreak/>
              <w:t>atzīšanas apliecības, var pieņemt arī lēmumu atteikt profesionālās kvalifikācijas atzīšanu</w:t>
            </w:r>
            <w:r w:rsidR="00FD443F" w:rsidRPr="00DA3ED2">
              <w:rPr>
                <w:rFonts w:ascii="Times New Roman" w:hAnsi="Times New Roman"/>
                <w:sz w:val="24"/>
                <w:szCs w:val="24"/>
              </w:rPr>
              <w:t>, tomēr arī šajā gadījumā šīs institūcijas izdevumu apjoms ir līdzvērtīgs, jo veiktas ir tās pašas darbības</w:t>
            </w:r>
            <w:r w:rsidR="004B4D3F" w:rsidRPr="00DA3ED2">
              <w:rPr>
                <w:rFonts w:ascii="Times New Roman" w:hAnsi="Times New Roman"/>
                <w:sz w:val="24"/>
                <w:szCs w:val="24"/>
              </w:rPr>
              <w:t xml:space="preserve"> pieteikuma </w:t>
            </w:r>
            <w:proofErr w:type="spellStart"/>
            <w:r w:rsidR="004B4D3F" w:rsidRPr="00DA3ED2">
              <w:rPr>
                <w:rFonts w:ascii="Times New Roman" w:hAnsi="Times New Roman"/>
                <w:sz w:val="24"/>
                <w:szCs w:val="24"/>
              </w:rPr>
              <w:t>izvērtējumā</w:t>
            </w:r>
            <w:proofErr w:type="spellEnd"/>
            <w:r w:rsidR="00FD443F" w:rsidRPr="00DA3ED2">
              <w:rPr>
                <w:rFonts w:ascii="Times New Roman" w:hAnsi="Times New Roman"/>
                <w:sz w:val="24"/>
                <w:szCs w:val="24"/>
              </w:rPr>
              <w:t xml:space="preserve">. </w:t>
            </w:r>
          </w:p>
          <w:p w14:paraId="020FF3DD" w14:textId="77777777" w:rsidR="00D637DE" w:rsidRPr="00DA3ED2" w:rsidRDefault="00D637DE" w:rsidP="00396EBE">
            <w:pPr>
              <w:spacing w:after="0" w:line="240" w:lineRule="auto"/>
              <w:jc w:val="both"/>
              <w:rPr>
                <w:rFonts w:ascii="Times New Roman" w:hAnsi="Times New Roman"/>
                <w:bCs/>
                <w:sz w:val="24"/>
                <w:szCs w:val="24"/>
              </w:rPr>
            </w:pPr>
          </w:p>
          <w:p w14:paraId="561FF2B1" w14:textId="169213D7" w:rsidR="00396EBE" w:rsidRPr="00DA3ED2" w:rsidRDefault="00EA4CB5" w:rsidP="00396EBE">
            <w:pPr>
              <w:spacing w:after="0" w:line="240" w:lineRule="auto"/>
              <w:jc w:val="both"/>
              <w:rPr>
                <w:rFonts w:ascii="Times New Roman" w:hAnsi="Times New Roman"/>
                <w:bCs/>
                <w:sz w:val="24"/>
                <w:szCs w:val="24"/>
              </w:rPr>
            </w:pPr>
            <w:r w:rsidRPr="00DA3ED2">
              <w:rPr>
                <w:rFonts w:ascii="Times New Roman" w:hAnsi="Times New Roman"/>
                <w:bCs/>
                <w:sz w:val="24"/>
                <w:szCs w:val="24"/>
              </w:rPr>
              <w:t>Projekta mērķis ir aktualizēt</w:t>
            </w:r>
            <w:r w:rsidR="003F7C3A" w:rsidRPr="00DA3ED2">
              <w:rPr>
                <w:rFonts w:ascii="Times New Roman" w:hAnsi="Times New Roman"/>
                <w:bCs/>
                <w:sz w:val="24"/>
                <w:szCs w:val="24"/>
              </w:rPr>
              <w:t xml:space="preserve"> </w:t>
            </w:r>
            <w:r w:rsidR="003F7C3A" w:rsidRPr="00DA3ED2">
              <w:rPr>
                <w:rFonts w:ascii="Times New Roman" w:hAnsi="Times New Roman"/>
                <w:sz w:val="24"/>
                <w:szCs w:val="24"/>
              </w:rPr>
              <w:t>noteikumus Nr.298</w:t>
            </w:r>
            <w:r w:rsidRPr="00DA3ED2">
              <w:rPr>
                <w:rFonts w:ascii="Times New Roman" w:hAnsi="Times New Roman"/>
                <w:bCs/>
                <w:sz w:val="24"/>
                <w:szCs w:val="24"/>
              </w:rPr>
              <w:t xml:space="preserve"> </w:t>
            </w:r>
            <w:r w:rsidRPr="00DA3ED2">
              <w:rPr>
                <w:rFonts w:ascii="Times New Roman" w:hAnsi="Times New Roman"/>
                <w:sz w:val="24"/>
                <w:szCs w:val="24"/>
              </w:rPr>
              <w:t>atbilstoši mūsdienu sociāli ekonomiskajai situācijai</w:t>
            </w:r>
            <w:r w:rsidR="0013546A" w:rsidRPr="00DA3ED2">
              <w:rPr>
                <w:rFonts w:ascii="Times New Roman" w:hAnsi="Times New Roman"/>
                <w:sz w:val="24"/>
                <w:szCs w:val="24"/>
              </w:rPr>
              <w:t>, kuru raksturo pieaugoša darbaspēka starptautiskā mobilitāte</w:t>
            </w:r>
            <w:r w:rsidR="003B0A3C" w:rsidRPr="00DA3ED2">
              <w:rPr>
                <w:rFonts w:ascii="Times New Roman" w:hAnsi="Times New Roman"/>
                <w:sz w:val="24"/>
                <w:szCs w:val="24"/>
              </w:rPr>
              <w:t>.</w:t>
            </w:r>
            <w:r w:rsidR="00FD4859" w:rsidRPr="00DA3ED2">
              <w:rPr>
                <w:rFonts w:ascii="Times New Roman" w:hAnsi="Times New Roman"/>
                <w:sz w:val="24"/>
                <w:szCs w:val="24"/>
              </w:rPr>
              <w:t xml:space="preserve"> </w:t>
            </w:r>
            <w:r w:rsidR="004713DD" w:rsidRPr="00DA3ED2">
              <w:rPr>
                <w:rFonts w:ascii="Times New Roman" w:hAnsi="Times New Roman"/>
                <w:bCs/>
                <w:sz w:val="24"/>
                <w:szCs w:val="24"/>
              </w:rPr>
              <w:t xml:space="preserve">Projekts </w:t>
            </w:r>
            <w:r w:rsidR="00074501" w:rsidRPr="00DA3ED2">
              <w:rPr>
                <w:rFonts w:ascii="Times New Roman" w:hAnsi="Times New Roman"/>
                <w:bCs/>
                <w:sz w:val="24"/>
                <w:szCs w:val="24"/>
              </w:rPr>
              <w:t xml:space="preserve">veicinās </w:t>
            </w:r>
            <w:r w:rsidR="00074501" w:rsidRPr="00DA3ED2">
              <w:rPr>
                <w:rFonts w:ascii="Times New Roman" w:hAnsi="Times New Roman"/>
                <w:sz w:val="24"/>
                <w:szCs w:val="24"/>
              </w:rPr>
              <w:t>profesionālās kvalifikācijas atzīšanas pakalpojumu augstas kvalitātes ilgtspēju, jo informācijas institūcijām</w:t>
            </w:r>
            <w:r w:rsidR="00B07F4B" w:rsidRPr="00DA3ED2">
              <w:rPr>
                <w:rFonts w:ascii="Times New Roman" w:hAnsi="Times New Roman"/>
                <w:sz w:val="24"/>
                <w:szCs w:val="24"/>
              </w:rPr>
              <w:t xml:space="preserve"> un institūcijām, kas izsniedz atzīšanas apliecības</w:t>
            </w:r>
            <w:r w:rsidR="00DD6AAC" w:rsidRPr="00DA3ED2">
              <w:rPr>
                <w:rFonts w:ascii="Times New Roman" w:hAnsi="Times New Roman"/>
                <w:sz w:val="24"/>
                <w:szCs w:val="24"/>
              </w:rPr>
              <w:t>,</w:t>
            </w:r>
            <w:r w:rsidR="00074501" w:rsidRPr="00DA3ED2">
              <w:rPr>
                <w:rFonts w:ascii="Times New Roman" w:hAnsi="Times New Roman"/>
                <w:sz w:val="24"/>
                <w:szCs w:val="24"/>
              </w:rPr>
              <w:t xml:space="preserve"> </w:t>
            </w:r>
            <w:r w:rsidR="003B0A3C" w:rsidRPr="00DA3ED2">
              <w:rPr>
                <w:rFonts w:ascii="Times New Roman" w:hAnsi="Times New Roman"/>
                <w:sz w:val="24"/>
                <w:szCs w:val="24"/>
              </w:rPr>
              <w:t>tiks stiprināta profesionālā</w:t>
            </w:r>
            <w:r w:rsidR="004147DE" w:rsidRPr="00DA3ED2">
              <w:rPr>
                <w:rFonts w:ascii="Times New Roman" w:hAnsi="Times New Roman"/>
                <w:sz w:val="24"/>
                <w:szCs w:val="24"/>
              </w:rPr>
              <w:t xml:space="preserve"> un administrat</w:t>
            </w:r>
            <w:r w:rsidR="000A271A" w:rsidRPr="00DA3ED2">
              <w:rPr>
                <w:rFonts w:ascii="Times New Roman" w:hAnsi="Times New Roman"/>
                <w:sz w:val="24"/>
                <w:szCs w:val="24"/>
              </w:rPr>
              <w:t>īvā</w:t>
            </w:r>
            <w:r w:rsidR="003B0A3C" w:rsidRPr="00DA3ED2">
              <w:rPr>
                <w:rFonts w:ascii="Times New Roman" w:hAnsi="Times New Roman"/>
                <w:sz w:val="24"/>
                <w:szCs w:val="24"/>
              </w:rPr>
              <w:t xml:space="preserve"> kapacitāte</w:t>
            </w:r>
            <w:r w:rsidR="007161C1" w:rsidRPr="00DA3ED2">
              <w:rPr>
                <w:rFonts w:ascii="Times New Roman" w:hAnsi="Times New Roman"/>
                <w:sz w:val="24"/>
                <w:szCs w:val="24"/>
              </w:rPr>
              <w:t>.</w:t>
            </w:r>
            <w:r w:rsidR="0013546A" w:rsidRPr="00DA3ED2">
              <w:rPr>
                <w:rFonts w:ascii="Times New Roman" w:hAnsi="Times New Roman"/>
                <w:sz w:val="24"/>
                <w:szCs w:val="24"/>
              </w:rPr>
              <w:t xml:space="preserve"> </w:t>
            </w:r>
            <w:r w:rsidR="00DC5F8B" w:rsidRPr="00DA3ED2">
              <w:rPr>
                <w:rFonts w:ascii="Times New Roman" w:hAnsi="Times New Roman"/>
                <w:sz w:val="24"/>
                <w:szCs w:val="24"/>
              </w:rPr>
              <w:t xml:space="preserve">Profesionālās kvalifikācijas atzīšanas pakalpojumiem raksturīgs kopumā pieaugums gan kvantitatīvos, gan kvalitatīvos rādītājos, jo pieaug gan gadījumu skaits, gan to </w:t>
            </w:r>
            <w:r w:rsidR="003B0A3C" w:rsidRPr="00DA3ED2">
              <w:rPr>
                <w:rFonts w:ascii="Times New Roman" w:hAnsi="Times New Roman"/>
                <w:sz w:val="24"/>
                <w:szCs w:val="24"/>
              </w:rPr>
              <w:t xml:space="preserve">komplicētība, </w:t>
            </w:r>
            <w:r w:rsidR="00DC5F8B" w:rsidRPr="00DA3ED2">
              <w:rPr>
                <w:rFonts w:ascii="Times New Roman" w:hAnsi="Times New Roman"/>
                <w:sz w:val="24"/>
                <w:szCs w:val="24"/>
              </w:rPr>
              <w:t>piemēram, pretendentu iegūtā izglītība un profesionālā pieredze</w:t>
            </w:r>
            <w:r w:rsidR="00F470C3" w:rsidRPr="00DA3ED2">
              <w:rPr>
                <w:rFonts w:ascii="Times New Roman" w:hAnsi="Times New Roman"/>
                <w:sz w:val="24"/>
                <w:szCs w:val="24"/>
              </w:rPr>
              <w:t xml:space="preserve"> arvien biežāk</w:t>
            </w:r>
            <w:r w:rsidR="00DC5F8B" w:rsidRPr="00DA3ED2">
              <w:rPr>
                <w:rFonts w:ascii="Times New Roman" w:hAnsi="Times New Roman"/>
                <w:sz w:val="24"/>
                <w:szCs w:val="24"/>
              </w:rPr>
              <w:t xml:space="preserve"> ir iegūta vairākās valstīs un tādēļ profesionālās kvalifikācijas ekspertam ir jāpārzina dažādas izglītības un reglamentēto profesiju sistēmas, kas prasa augstu komp</w:t>
            </w:r>
            <w:r w:rsidR="003B0A3C" w:rsidRPr="00DA3ED2">
              <w:rPr>
                <w:rFonts w:ascii="Times New Roman" w:hAnsi="Times New Roman"/>
                <w:sz w:val="24"/>
                <w:szCs w:val="24"/>
              </w:rPr>
              <w:t>etenci</w:t>
            </w:r>
            <w:r w:rsidR="00DC5F8B" w:rsidRPr="00DA3ED2">
              <w:rPr>
                <w:rFonts w:ascii="Times New Roman" w:hAnsi="Times New Roman"/>
                <w:sz w:val="24"/>
                <w:szCs w:val="24"/>
              </w:rPr>
              <w:t>.</w:t>
            </w:r>
          </w:p>
          <w:p w14:paraId="3EAD5232" w14:textId="77777777" w:rsidR="00CD70CC" w:rsidRPr="00DA3ED2" w:rsidRDefault="00CD70CC" w:rsidP="00396EBE">
            <w:pPr>
              <w:spacing w:after="0" w:line="240" w:lineRule="auto"/>
              <w:jc w:val="both"/>
              <w:rPr>
                <w:rFonts w:ascii="Times New Roman" w:hAnsi="Times New Roman"/>
                <w:bCs/>
                <w:sz w:val="24"/>
                <w:szCs w:val="24"/>
              </w:rPr>
            </w:pPr>
          </w:p>
          <w:p w14:paraId="5A166FC0" w14:textId="72B983D9" w:rsidR="00B550BB" w:rsidRPr="00DA3ED2" w:rsidRDefault="00B550BB" w:rsidP="00B550BB">
            <w:pPr>
              <w:spacing w:after="0" w:line="240" w:lineRule="auto"/>
              <w:jc w:val="both"/>
              <w:rPr>
                <w:rFonts w:ascii="Times New Roman" w:hAnsi="Times New Roman"/>
                <w:bCs/>
                <w:sz w:val="24"/>
                <w:szCs w:val="24"/>
              </w:rPr>
            </w:pPr>
            <w:r w:rsidRPr="00DA3ED2">
              <w:rPr>
                <w:rFonts w:ascii="Times New Roman" w:hAnsi="Times New Roman"/>
                <w:bCs/>
                <w:sz w:val="24"/>
                <w:szCs w:val="24"/>
              </w:rPr>
              <w:t>Salīdzinot ar citām Eiropas valstīm</w:t>
            </w:r>
            <w:r w:rsidR="000814D2" w:rsidRPr="00DA3ED2">
              <w:rPr>
                <w:rFonts w:ascii="Times New Roman" w:hAnsi="Times New Roman"/>
                <w:bCs/>
                <w:sz w:val="24"/>
                <w:szCs w:val="24"/>
              </w:rPr>
              <w:t>,</w:t>
            </w:r>
            <w:r w:rsidRPr="00DA3ED2">
              <w:rPr>
                <w:rFonts w:ascii="Times New Roman" w:hAnsi="Times New Roman"/>
                <w:bCs/>
                <w:sz w:val="24"/>
                <w:szCs w:val="24"/>
              </w:rPr>
              <w:t xml:space="preserve"> projektā noteiktās profesionālās kvalifikācijas atzīšanas maksas apmērs 200</w:t>
            </w:r>
            <w:r w:rsidR="00A071CB" w:rsidRPr="00DA3ED2">
              <w:rPr>
                <w:rFonts w:ascii="Times New Roman" w:hAnsi="Times New Roman"/>
                <w:bCs/>
                <w:sz w:val="24"/>
                <w:szCs w:val="24"/>
              </w:rPr>
              <w:t xml:space="preserve"> </w:t>
            </w:r>
            <w:proofErr w:type="spellStart"/>
            <w:r w:rsidR="00A071CB" w:rsidRPr="00DA3ED2">
              <w:rPr>
                <w:rFonts w:ascii="Times New Roman" w:hAnsi="Times New Roman"/>
                <w:bCs/>
                <w:i/>
                <w:sz w:val="24"/>
                <w:szCs w:val="24"/>
              </w:rPr>
              <w:t>euro</w:t>
            </w:r>
            <w:proofErr w:type="spellEnd"/>
            <w:r w:rsidR="00CD70CC" w:rsidRPr="00DA3ED2">
              <w:rPr>
                <w:rFonts w:ascii="Times New Roman" w:hAnsi="Times New Roman"/>
                <w:bCs/>
                <w:sz w:val="24"/>
                <w:szCs w:val="24"/>
              </w:rPr>
              <w:t xml:space="preserve"> </w:t>
            </w:r>
            <w:r w:rsidRPr="00DA3ED2">
              <w:rPr>
                <w:rFonts w:ascii="Times New Roman" w:hAnsi="Times New Roman"/>
                <w:bCs/>
                <w:sz w:val="24"/>
                <w:szCs w:val="24"/>
              </w:rPr>
              <w:t>ir vērtējams kā vidējs rādītājs</w:t>
            </w:r>
            <w:r w:rsidR="00605858" w:rsidRPr="00DA3ED2">
              <w:rPr>
                <w:rFonts w:ascii="Times New Roman" w:hAnsi="Times New Roman"/>
                <w:bCs/>
                <w:sz w:val="24"/>
                <w:szCs w:val="24"/>
              </w:rPr>
              <w:t>. T</w:t>
            </w:r>
            <w:r w:rsidRPr="00DA3ED2">
              <w:rPr>
                <w:rFonts w:ascii="Times New Roman" w:hAnsi="Times New Roman"/>
                <w:bCs/>
                <w:sz w:val="24"/>
                <w:szCs w:val="24"/>
              </w:rPr>
              <w:t>as nevar radīt draudus citu valstu profesionā</w:t>
            </w:r>
            <w:r w:rsidR="00605858" w:rsidRPr="00DA3ED2">
              <w:rPr>
                <w:rFonts w:ascii="Times New Roman" w:hAnsi="Times New Roman"/>
                <w:bCs/>
                <w:sz w:val="24"/>
                <w:szCs w:val="24"/>
              </w:rPr>
              <w:t>ļ</w:t>
            </w:r>
            <w:r w:rsidRPr="00DA3ED2">
              <w:rPr>
                <w:rFonts w:ascii="Times New Roman" w:hAnsi="Times New Roman"/>
                <w:bCs/>
                <w:sz w:val="24"/>
                <w:szCs w:val="24"/>
              </w:rPr>
              <w:t xml:space="preserve">u </w:t>
            </w:r>
            <w:r w:rsidR="000814D2" w:rsidRPr="00DA3ED2">
              <w:rPr>
                <w:rFonts w:ascii="Times New Roman" w:hAnsi="Times New Roman"/>
                <w:bCs/>
                <w:sz w:val="24"/>
                <w:szCs w:val="24"/>
              </w:rPr>
              <w:t xml:space="preserve">ieinteresētībai </w:t>
            </w:r>
            <w:r w:rsidRPr="00DA3ED2">
              <w:rPr>
                <w:rFonts w:ascii="Times New Roman" w:hAnsi="Times New Roman"/>
                <w:bCs/>
                <w:sz w:val="24"/>
                <w:szCs w:val="24"/>
              </w:rPr>
              <w:t>iegūt profesionālās kvalifikācijas atzīšanu Latvijā profesionālās kvalifikācijas atzīšanas augst</w:t>
            </w:r>
            <w:r w:rsidR="00D45491" w:rsidRPr="00DA3ED2">
              <w:rPr>
                <w:rFonts w:ascii="Times New Roman" w:hAnsi="Times New Roman"/>
                <w:bCs/>
                <w:sz w:val="24"/>
                <w:szCs w:val="24"/>
              </w:rPr>
              <w:t>o</w:t>
            </w:r>
            <w:r w:rsidRPr="00DA3ED2">
              <w:rPr>
                <w:rFonts w:ascii="Times New Roman" w:hAnsi="Times New Roman"/>
                <w:bCs/>
                <w:sz w:val="24"/>
                <w:szCs w:val="24"/>
              </w:rPr>
              <w:t xml:space="preserve"> izmaksu dēļ. Salīdzinājumam 1.tabulā ir sniegta informācija no Eiropas Komisijas Reglamentēto profesiju datu bāzes fizioterapeita profesijas profesionālās kvalifikācijas atzīšanas izmaksām dažādās Eiropas valstīs. </w:t>
            </w:r>
          </w:p>
          <w:p w14:paraId="29CA0014" w14:textId="77777777" w:rsidR="00B550BB" w:rsidRPr="00DA3ED2" w:rsidRDefault="00B550BB" w:rsidP="00B550BB">
            <w:pPr>
              <w:spacing w:after="0" w:line="240" w:lineRule="auto"/>
              <w:jc w:val="both"/>
              <w:rPr>
                <w:rFonts w:ascii="Times New Roman" w:hAnsi="Times New Roman"/>
                <w:bCs/>
                <w:sz w:val="24"/>
                <w:szCs w:val="24"/>
              </w:rPr>
            </w:pPr>
          </w:p>
          <w:p w14:paraId="4571C540" w14:textId="77777777" w:rsidR="00B550BB" w:rsidRPr="00DA3ED2" w:rsidRDefault="00B550BB" w:rsidP="00B550BB">
            <w:pPr>
              <w:spacing w:after="0" w:line="240" w:lineRule="auto"/>
              <w:jc w:val="right"/>
              <w:rPr>
                <w:rFonts w:ascii="Times New Roman" w:hAnsi="Times New Roman"/>
                <w:bCs/>
                <w:i/>
                <w:sz w:val="24"/>
                <w:szCs w:val="24"/>
              </w:rPr>
            </w:pPr>
            <w:r w:rsidRPr="00DA3ED2">
              <w:rPr>
                <w:rFonts w:ascii="Times New Roman" w:hAnsi="Times New Roman"/>
                <w:bCs/>
                <w:i/>
                <w:sz w:val="24"/>
                <w:szCs w:val="24"/>
              </w:rPr>
              <w:t>1.tabula</w:t>
            </w:r>
          </w:p>
          <w:p w14:paraId="38A8F4C1" w14:textId="6AFF32F7" w:rsidR="00B550BB" w:rsidRPr="00DA3ED2" w:rsidRDefault="00B550BB" w:rsidP="00B550BB">
            <w:pPr>
              <w:spacing w:after="0" w:line="240" w:lineRule="auto"/>
              <w:jc w:val="center"/>
              <w:rPr>
                <w:rFonts w:ascii="Times New Roman" w:hAnsi="Times New Roman"/>
                <w:bCs/>
                <w:sz w:val="24"/>
                <w:szCs w:val="24"/>
              </w:rPr>
            </w:pPr>
            <w:r w:rsidRPr="00DA3ED2">
              <w:rPr>
                <w:rFonts w:ascii="Times New Roman" w:hAnsi="Times New Roman"/>
                <w:b/>
                <w:bCs/>
                <w:sz w:val="24"/>
                <w:szCs w:val="24"/>
              </w:rPr>
              <w:t>Maksa par profesionālās kvalifikācijas atzīšanu fizioterapeita profesijā</w:t>
            </w:r>
            <w:r w:rsidR="00CB68F1" w:rsidRPr="00DA3ED2">
              <w:rPr>
                <w:rFonts w:ascii="Times New Roman" w:hAnsi="Times New Roman"/>
                <w:b/>
                <w:bCs/>
                <w:sz w:val="24"/>
                <w:szCs w:val="24"/>
              </w:rPr>
              <w:t xml:space="preserve"> Eiropas valstīs, 2015.gada dati</w:t>
            </w:r>
            <w:r w:rsidR="008A3B73" w:rsidRPr="00DA3ED2">
              <w:rPr>
                <w:rStyle w:val="FootnoteReference"/>
                <w:rFonts w:ascii="Times New Roman" w:hAnsi="Times New Roman"/>
                <w:bCs/>
                <w:sz w:val="24"/>
                <w:szCs w:val="24"/>
              </w:rPr>
              <w:footnoteReference w:id="2"/>
            </w:r>
          </w:p>
          <w:tbl>
            <w:tblPr>
              <w:tblW w:w="6185" w:type="dxa"/>
              <w:tblLayout w:type="fixed"/>
              <w:tblLook w:val="04A0" w:firstRow="1" w:lastRow="0" w:firstColumn="1" w:lastColumn="0" w:noHBand="0" w:noVBand="1"/>
            </w:tblPr>
            <w:tblGrid>
              <w:gridCol w:w="1884"/>
              <w:gridCol w:w="4301"/>
            </w:tblGrid>
            <w:tr w:rsidR="00B550BB" w:rsidRPr="00DA3ED2" w14:paraId="7D0179F4" w14:textId="77777777" w:rsidTr="00746D7A">
              <w:trPr>
                <w:trHeight w:val="412"/>
              </w:trPr>
              <w:tc>
                <w:tcPr>
                  <w:tcW w:w="18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2550C"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Īrija</w:t>
                  </w:r>
                </w:p>
              </w:tc>
              <w:tc>
                <w:tcPr>
                  <w:tcW w:w="4301" w:type="dxa"/>
                  <w:tcBorders>
                    <w:top w:val="single" w:sz="8" w:space="0" w:color="auto"/>
                    <w:left w:val="nil"/>
                    <w:bottom w:val="single" w:sz="8" w:space="0" w:color="auto"/>
                    <w:right w:val="single" w:sz="8" w:space="0" w:color="auto"/>
                  </w:tcBorders>
                  <w:shd w:val="clear" w:color="auto" w:fill="auto"/>
                  <w:vAlign w:val="center"/>
                  <w:hideMark/>
                </w:tcPr>
                <w:p w14:paraId="6E458B64"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500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381C04A7" w14:textId="77777777" w:rsidTr="00746D7A">
              <w:trPr>
                <w:trHeight w:val="403"/>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CB084F2"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Austrija</w:t>
                  </w:r>
                </w:p>
              </w:tc>
              <w:tc>
                <w:tcPr>
                  <w:tcW w:w="4301" w:type="dxa"/>
                  <w:tcBorders>
                    <w:top w:val="nil"/>
                    <w:left w:val="nil"/>
                    <w:bottom w:val="single" w:sz="8" w:space="0" w:color="auto"/>
                    <w:right w:val="single" w:sz="8" w:space="0" w:color="auto"/>
                  </w:tcBorders>
                  <w:shd w:val="clear" w:color="auto" w:fill="auto"/>
                  <w:vAlign w:val="center"/>
                  <w:hideMark/>
                </w:tcPr>
                <w:p w14:paraId="5AE902C4"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350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21B83278" w14:textId="77777777" w:rsidTr="00746D7A">
              <w:trPr>
                <w:trHeight w:val="33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25EB4047"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Kipra</w:t>
                  </w:r>
                </w:p>
              </w:tc>
              <w:tc>
                <w:tcPr>
                  <w:tcW w:w="4301" w:type="dxa"/>
                  <w:tcBorders>
                    <w:top w:val="nil"/>
                    <w:left w:val="nil"/>
                    <w:bottom w:val="single" w:sz="8" w:space="0" w:color="auto"/>
                    <w:right w:val="single" w:sz="8" w:space="0" w:color="auto"/>
                  </w:tcBorders>
                  <w:shd w:val="clear" w:color="auto" w:fill="auto"/>
                  <w:vAlign w:val="center"/>
                  <w:hideMark/>
                </w:tcPr>
                <w:p w14:paraId="4D0DB3D1"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50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60CA189E" w14:textId="77777777" w:rsidTr="00746D7A">
              <w:trPr>
                <w:trHeight w:val="33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274DB65"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Islande</w:t>
                  </w:r>
                </w:p>
              </w:tc>
              <w:tc>
                <w:tcPr>
                  <w:tcW w:w="4301" w:type="dxa"/>
                  <w:tcBorders>
                    <w:top w:val="nil"/>
                    <w:left w:val="nil"/>
                    <w:bottom w:val="single" w:sz="8" w:space="0" w:color="auto"/>
                    <w:right w:val="single" w:sz="8" w:space="0" w:color="auto"/>
                  </w:tcBorders>
                  <w:shd w:val="clear" w:color="auto" w:fill="auto"/>
                  <w:vAlign w:val="center"/>
                  <w:hideMark/>
                </w:tcPr>
                <w:p w14:paraId="48117534"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53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43903CC5" w14:textId="77777777" w:rsidTr="00746D7A">
              <w:trPr>
                <w:trHeight w:val="322"/>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41F3F3D"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Luksemburga</w:t>
                  </w:r>
                </w:p>
              </w:tc>
              <w:tc>
                <w:tcPr>
                  <w:tcW w:w="4301" w:type="dxa"/>
                  <w:tcBorders>
                    <w:top w:val="nil"/>
                    <w:left w:val="nil"/>
                    <w:bottom w:val="single" w:sz="8" w:space="0" w:color="auto"/>
                    <w:right w:val="single" w:sz="8" w:space="0" w:color="auto"/>
                  </w:tcBorders>
                  <w:shd w:val="clear" w:color="auto" w:fill="auto"/>
                  <w:vAlign w:val="center"/>
                  <w:hideMark/>
                </w:tcPr>
                <w:p w14:paraId="7DC9D8D4"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Bezmaksas</w:t>
                  </w:r>
                </w:p>
              </w:tc>
            </w:tr>
            <w:tr w:rsidR="00B550BB" w:rsidRPr="00DA3ED2" w14:paraId="4776B65E" w14:textId="77777777" w:rsidTr="00746D7A">
              <w:trPr>
                <w:trHeight w:val="269"/>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F781FDF"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Norvēģija</w:t>
                  </w:r>
                </w:p>
              </w:tc>
              <w:tc>
                <w:tcPr>
                  <w:tcW w:w="4301" w:type="dxa"/>
                  <w:tcBorders>
                    <w:top w:val="nil"/>
                    <w:left w:val="nil"/>
                    <w:bottom w:val="single" w:sz="8" w:space="0" w:color="auto"/>
                    <w:right w:val="single" w:sz="8" w:space="0" w:color="auto"/>
                  </w:tcBorders>
                  <w:shd w:val="clear" w:color="auto" w:fill="auto"/>
                  <w:vAlign w:val="center"/>
                  <w:hideMark/>
                </w:tcPr>
                <w:p w14:paraId="0E6B5A5F"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110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4AA844B2" w14:textId="77777777" w:rsidTr="00746D7A">
              <w:trPr>
                <w:trHeight w:val="388"/>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03F1568"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Spānija</w:t>
                  </w:r>
                </w:p>
              </w:tc>
              <w:tc>
                <w:tcPr>
                  <w:tcW w:w="4301" w:type="dxa"/>
                  <w:tcBorders>
                    <w:top w:val="nil"/>
                    <w:left w:val="nil"/>
                    <w:bottom w:val="single" w:sz="8" w:space="0" w:color="auto"/>
                    <w:right w:val="single" w:sz="8" w:space="0" w:color="auto"/>
                  </w:tcBorders>
                  <w:shd w:val="clear" w:color="auto" w:fill="auto"/>
                  <w:vAlign w:val="center"/>
                  <w:hideMark/>
                </w:tcPr>
                <w:p w14:paraId="7F2507C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Bezmaksas</w:t>
                  </w:r>
                </w:p>
              </w:tc>
            </w:tr>
            <w:tr w:rsidR="00B550BB" w:rsidRPr="00DA3ED2" w14:paraId="148393F8" w14:textId="77777777" w:rsidTr="00746D7A">
              <w:trPr>
                <w:trHeight w:val="26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4602D9E"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Lielbritānija</w:t>
                  </w:r>
                </w:p>
              </w:tc>
              <w:tc>
                <w:tcPr>
                  <w:tcW w:w="4301" w:type="dxa"/>
                  <w:tcBorders>
                    <w:top w:val="nil"/>
                    <w:left w:val="nil"/>
                    <w:bottom w:val="single" w:sz="8" w:space="0" w:color="auto"/>
                    <w:right w:val="single" w:sz="8" w:space="0" w:color="auto"/>
                  </w:tcBorders>
                  <w:shd w:val="clear" w:color="auto" w:fill="auto"/>
                  <w:vAlign w:val="center"/>
                  <w:hideMark/>
                </w:tcPr>
                <w:p w14:paraId="68C2CEC7"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420 Britu mārciņas</w:t>
                  </w:r>
                </w:p>
              </w:tc>
            </w:tr>
            <w:tr w:rsidR="00B550BB" w:rsidRPr="00DA3ED2" w14:paraId="6561E685" w14:textId="77777777" w:rsidTr="00746D7A">
              <w:trPr>
                <w:trHeight w:val="33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16D0453F"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Beļģija</w:t>
                  </w:r>
                </w:p>
              </w:tc>
              <w:tc>
                <w:tcPr>
                  <w:tcW w:w="4301" w:type="dxa"/>
                  <w:tcBorders>
                    <w:top w:val="nil"/>
                    <w:left w:val="nil"/>
                    <w:bottom w:val="single" w:sz="8" w:space="0" w:color="auto"/>
                    <w:right w:val="single" w:sz="8" w:space="0" w:color="auto"/>
                  </w:tcBorders>
                  <w:shd w:val="clear" w:color="auto" w:fill="auto"/>
                  <w:vAlign w:val="center"/>
                  <w:hideMark/>
                </w:tcPr>
                <w:p w14:paraId="4EFD458C"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Bezmaksas</w:t>
                  </w:r>
                </w:p>
              </w:tc>
            </w:tr>
            <w:tr w:rsidR="00B550BB" w:rsidRPr="00DA3ED2" w14:paraId="275B0254" w14:textId="77777777" w:rsidTr="00746D7A">
              <w:trPr>
                <w:trHeight w:val="33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77D5744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Čehija</w:t>
                  </w:r>
                </w:p>
              </w:tc>
              <w:tc>
                <w:tcPr>
                  <w:tcW w:w="4301" w:type="dxa"/>
                  <w:tcBorders>
                    <w:top w:val="nil"/>
                    <w:left w:val="nil"/>
                    <w:bottom w:val="single" w:sz="8" w:space="0" w:color="auto"/>
                    <w:right w:val="single" w:sz="8" w:space="0" w:color="auto"/>
                  </w:tcBorders>
                  <w:shd w:val="clear" w:color="auto" w:fill="auto"/>
                  <w:vAlign w:val="center"/>
                  <w:hideMark/>
                </w:tcPr>
                <w:p w14:paraId="52DA9A37"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80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60E7286C" w14:textId="77777777" w:rsidTr="00746D7A">
              <w:trPr>
                <w:trHeight w:val="337"/>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9751BE4"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Somija </w:t>
                  </w:r>
                </w:p>
              </w:tc>
              <w:tc>
                <w:tcPr>
                  <w:tcW w:w="4301" w:type="dxa"/>
                  <w:tcBorders>
                    <w:top w:val="nil"/>
                    <w:left w:val="nil"/>
                    <w:bottom w:val="single" w:sz="8" w:space="0" w:color="auto"/>
                    <w:right w:val="single" w:sz="8" w:space="0" w:color="auto"/>
                  </w:tcBorders>
                  <w:shd w:val="clear" w:color="auto" w:fill="auto"/>
                  <w:vAlign w:val="center"/>
                  <w:hideMark/>
                </w:tcPr>
                <w:p w14:paraId="4CBBEFB1"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400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59B08E4E" w14:textId="77777777" w:rsidTr="00746D7A">
              <w:trPr>
                <w:trHeight w:val="257"/>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1F06B03F"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lastRenderedPageBreak/>
                    <w:t>Grieķija</w:t>
                  </w:r>
                </w:p>
              </w:tc>
              <w:tc>
                <w:tcPr>
                  <w:tcW w:w="4301" w:type="dxa"/>
                  <w:tcBorders>
                    <w:top w:val="nil"/>
                    <w:left w:val="nil"/>
                    <w:bottom w:val="single" w:sz="8" w:space="0" w:color="auto"/>
                    <w:right w:val="single" w:sz="8" w:space="0" w:color="auto"/>
                  </w:tcBorders>
                  <w:shd w:val="clear" w:color="auto" w:fill="auto"/>
                  <w:vAlign w:val="center"/>
                  <w:hideMark/>
                </w:tcPr>
                <w:p w14:paraId="5EA421C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100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7D10F0AC" w14:textId="77777777" w:rsidTr="00746D7A">
              <w:trPr>
                <w:trHeight w:val="404"/>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65503D52"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Lihtenšteina</w:t>
                  </w:r>
                </w:p>
              </w:tc>
              <w:tc>
                <w:tcPr>
                  <w:tcW w:w="4301" w:type="dxa"/>
                  <w:tcBorders>
                    <w:top w:val="nil"/>
                    <w:left w:val="nil"/>
                    <w:bottom w:val="single" w:sz="8" w:space="0" w:color="auto"/>
                    <w:right w:val="single" w:sz="8" w:space="0" w:color="auto"/>
                  </w:tcBorders>
                  <w:shd w:val="clear" w:color="auto" w:fill="auto"/>
                  <w:vAlign w:val="center"/>
                  <w:hideMark/>
                </w:tcPr>
                <w:p w14:paraId="524D5DB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val="en" w:eastAsia="lv-LV"/>
                    </w:rPr>
                    <w:t xml:space="preserve">800 – 1000 </w:t>
                  </w:r>
                  <w:proofErr w:type="spellStart"/>
                  <w:r w:rsidRPr="00DA3ED2">
                    <w:rPr>
                      <w:rFonts w:ascii="Times New Roman" w:eastAsia="Times New Roman" w:hAnsi="Times New Roman"/>
                      <w:color w:val="000000"/>
                      <w:sz w:val="24"/>
                      <w:szCs w:val="24"/>
                      <w:lang w:val="en" w:eastAsia="lv-LV"/>
                    </w:rPr>
                    <w:t>Šveices</w:t>
                  </w:r>
                  <w:proofErr w:type="spellEnd"/>
                  <w:r w:rsidRPr="00DA3ED2">
                    <w:rPr>
                      <w:rFonts w:ascii="Times New Roman" w:eastAsia="Times New Roman" w:hAnsi="Times New Roman"/>
                      <w:color w:val="000000"/>
                      <w:sz w:val="24"/>
                      <w:szCs w:val="24"/>
                      <w:lang w:val="en" w:eastAsia="lv-LV"/>
                    </w:rPr>
                    <w:t xml:space="preserve"> </w:t>
                  </w:r>
                  <w:proofErr w:type="spellStart"/>
                  <w:r w:rsidRPr="00DA3ED2">
                    <w:rPr>
                      <w:rFonts w:ascii="Times New Roman" w:eastAsia="Times New Roman" w:hAnsi="Times New Roman"/>
                      <w:color w:val="000000"/>
                      <w:sz w:val="24"/>
                      <w:szCs w:val="24"/>
                      <w:lang w:val="en" w:eastAsia="lv-LV"/>
                    </w:rPr>
                    <w:t>franki</w:t>
                  </w:r>
                  <w:proofErr w:type="spellEnd"/>
                </w:p>
              </w:tc>
            </w:tr>
            <w:tr w:rsidR="00B550BB" w:rsidRPr="00DA3ED2" w14:paraId="4F275524" w14:textId="77777777" w:rsidTr="00746D7A">
              <w:trPr>
                <w:trHeight w:val="262"/>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DEDE35C"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Polija</w:t>
                  </w:r>
                </w:p>
              </w:tc>
              <w:tc>
                <w:tcPr>
                  <w:tcW w:w="4301" w:type="dxa"/>
                  <w:tcBorders>
                    <w:top w:val="nil"/>
                    <w:left w:val="nil"/>
                    <w:bottom w:val="single" w:sz="8" w:space="0" w:color="auto"/>
                    <w:right w:val="single" w:sz="8" w:space="0" w:color="auto"/>
                  </w:tcBorders>
                  <w:shd w:val="clear" w:color="auto" w:fill="auto"/>
                  <w:vAlign w:val="center"/>
                  <w:hideMark/>
                </w:tcPr>
                <w:p w14:paraId="7A37F10C"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val="en" w:eastAsia="lv-LV"/>
                    </w:rPr>
                    <w:t xml:space="preserve">523 </w:t>
                  </w:r>
                  <w:proofErr w:type="spellStart"/>
                  <w:r w:rsidRPr="00DA3ED2">
                    <w:rPr>
                      <w:rFonts w:ascii="Times New Roman" w:eastAsia="Times New Roman" w:hAnsi="Times New Roman"/>
                      <w:bCs/>
                      <w:color w:val="000000"/>
                      <w:sz w:val="24"/>
                      <w:szCs w:val="24"/>
                      <w:lang w:val="en" w:eastAsia="lv-LV"/>
                    </w:rPr>
                    <w:t>Polijas</w:t>
                  </w:r>
                  <w:proofErr w:type="spellEnd"/>
                  <w:r w:rsidRPr="00DA3ED2">
                    <w:rPr>
                      <w:rFonts w:ascii="Times New Roman" w:eastAsia="Times New Roman" w:hAnsi="Times New Roman"/>
                      <w:bCs/>
                      <w:color w:val="000000"/>
                      <w:sz w:val="24"/>
                      <w:szCs w:val="24"/>
                      <w:lang w:val="en" w:eastAsia="lv-LV"/>
                    </w:rPr>
                    <w:t xml:space="preserve"> </w:t>
                  </w:r>
                  <w:proofErr w:type="spellStart"/>
                  <w:r w:rsidRPr="00DA3ED2">
                    <w:rPr>
                      <w:rFonts w:ascii="Times New Roman" w:eastAsia="Times New Roman" w:hAnsi="Times New Roman"/>
                      <w:bCs/>
                      <w:color w:val="000000"/>
                      <w:sz w:val="24"/>
                      <w:szCs w:val="24"/>
                      <w:lang w:val="en" w:eastAsia="lv-LV"/>
                    </w:rPr>
                    <w:t>zloti</w:t>
                  </w:r>
                  <w:proofErr w:type="spellEnd"/>
                </w:p>
              </w:tc>
            </w:tr>
            <w:tr w:rsidR="00B550BB" w:rsidRPr="00DA3ED2" w14:paraId="6F03FF72" w14:textId="77777777" w:rsidTr="00746D7A">
              <w:trPr>
                <w:trHeight w:val="273"/>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32FA229E"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Zviedrija</w:t>
                  </w:r>
                </w:p>
              </w:tc>
              <w:tc>
                <w:tcPr>
                  <w:tcW w:w="4301" w:type="dxa"/>
                  <w:tcBorders>
                    <w:top w:val="nil"/>
                    <w:left w:val="nil"/>
                    <w:bottom w:val="single" w:sz="8" w:space="0" w:color="auto"/>
                    <w:right w:val="single" w:sz="8" w:space="0" w:color="auto"/>
                  </w:tcBorders>
                  <w:shd w:val="clear" w:color="auto" w:fill="auto"/>
                  <w:vAlign w:val="center"/>
                  <w:hideMark/>
                </w:tcPr>
                <w:p w14:paraId="410EC763"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proofErr w:type="spellStart"/>
                  <w:r w:rsidRPr="00DA3ED2">
                    <w:rPr>
                      <w:rFonts w:ascii="Times New Roman" w:eastAsia="Times New Roman" w:hAnsi="Times New Roman"/>
                      <w:bCs/>
                      <w:color w:val="000000"/>
                      <w:sz w:val="24"/>
                      <w:szCs w:val="24"/>
                      <w:lang w:val="en" w:eastAsia="lv-LV"/>
                    </w:rPr>
                    <w:t>Bezmaksas</w:t>
                  </w:r>
                  <w:proofErr w:type="spellEnd"/>
                </w:p>
              </w:tc>
            </w:tr>
            <w:tr w:rsidR="00B550BB" w:rsidRPr="00DA3ED2" w14:paraId="49777E32" w14:textId="77777777" w:rsidTr="00746D7A">
              <w:trPr>
                <w:trHeight w:val="378"/>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76BBA7E"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Bulgārija</w:t>
                  </w:r>
                </w:p>
              </w:tc>
              <w:tc>
                <w:tcPr>
                  <w:tcW w:w="4301" w:type="dxa"/>
                  <w:tcBorders>
                    <w:top w:val="nil"/>
                    <w:left w:val="nil"/>
                    <w:bottom w:val="single" w:sz="8" w:space="0" w:color="auto"/>
                    <w:right w:val="single" w:sz="8" w:space="0" w:color="auto"/>
                  </w:tcBorders>
                  <w:shd w:val="clear" w:color="auto" w:fill="auto"/>
                  <w:vAlign w:val="center"/>
                  <w:hideMark/>
                </w:tcPr>
                <w:p w14:paraId="4ADE33D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val="en" w:eastAsia="lv-LV"/>
                    </w:rPr>
                    <w:t xml:space="preserve">130 </w:t>
                  </w:r>
                  <w:r w:rsidRPr="00DA3ED2">
                    <w:rPr>
                      <w:rFonts w:ascii="Times New Roman" w:eastAsia="Times New Roman" w:hAnsi="Times New Roman"/>
                      <w:i/>
                      <w:iCs/>
                      <w:color w:val="000000"/>
                      <w:sz w:val="24"/>
                      <w:szCs w:val="24"/>
                      <w:lang w:val="en" w:eastAsia="lv-LV"/>
                    </w:rPr>
                    <w:t>euro</w:t>
                  </w:r>
                </w:p>
              </w:tc>
            </w:tr>
            <w:tr w:rsidR="00B550BB" w:rsidRPr="00DA3ED2" w14:paraId="030A6FF1" w14:textId="77777777" w:rsidTr="00746D7A">
              <w:trPr>
                <w:trHeight w:val="463"/>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08311BC2"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Dānija</w:t>
                  </w:r>
                </w:p>
              </w:tc>
              <w:tc>
                <w:tcPr>
                  <w:tcW w:w="4301" w:type="dxa"/>
                  <w:tcBorders>
                    <w:top w:val="nil"/>
                    <w:left w:val="nil"/>
                    <w:bottom w:val="single" w:sz="8" w:space="0" w:color="auto"/>
                    <w:right w:val="single" w:sz="8" w:space="0" w:color="auto"/>
                  </w:tcBorders>
                  <w:shd w:val="clear" w:color="auto" w:fill="auto"/>
                  <w:vAlign w:val="center"/>
                  <w:hideMark/>
                </w:tcPr>
                <w:p w14:paraId="5F02A1EA"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313 Dānijas kronas (jāmaksā tikai pozitīva lēmuma gadījumā)</w:t>
                  </w:r>
                </w:p>
              </w:tc>
            </w:tr>
            <w:tr w:rsidR="00B550BB" w:rsidRPr="00DA3ED2" w14:paraId="2E8FB7BE" w14:textId="77777777" w:rsidTr="00746D7A">
              <w:trPr>
                <w:trHeight w:val="335"/>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2753389"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Francija</w:t>
                  </w:r>
                </w:p>
              </w:tc>
              <w:tc>
                <w:tcPr>
                  <w:tcW w:w="4301" w:type="dxa"/>
                  <w:tcBorders>
                    <w:top w:val="nil"/>
                    <w:left w:val="nil"/>
                    <w:bottom w:val="single" w:sz="8" w:space="0" w:color="auto"/>
                    <w:right w:val="single" w:sz="8" w:space="0" w:color="auto"/>
                  </w:tcBorders>
                  <w:shd w:val="clear" w:color="auto" w:fill="auto"/>
                  <w:vAlign w:val="center"/>
                  <w:hideMark/>
                </w:tcPr>
                <w:p w14:paraId="2546F773"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Bezmaksas</w:t>
                  </w:r>
                </w:p>
              </w:tc>
            </w:tr>
            <w:tr w:rsidR="00B550BB" w:rsidRPr="00DA3ED2" w14:paraId="2D39BB5E" w14:textId="77777777" w:rsidTr="00746D7A">
              <w:trPr>
                <w:trHeight w:val="18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5A88BA01"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Ungārija</w:t>
                  </w:r>
                </w:p>
              </w:tc>
              <w:tc>
                <w:tcPr>
                  <w:tcW w:w="4301" w:type="dxa"/>
                  <w:tcBorders>
                    <w:top w:val="nil"/>
                    <w:left w:val="nil"/>
                    <w:bottom w:val="single" w:sz="8" w:space="0" w:color="auto"/>
                    <w:right w:val="single" w:sz="8" w:space="0" w:color="auto"/>
                  </w:tcBorders>
                  <w:shd w:val="clear" w:color="auto" w:fill="auto"/>
                  <w:vAlign w:val="center"/>
                  <w:hideMark/>
                </w:tcPr>
                <w:p w14:paraId="4A54AB3A"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 xml:space="preserve">250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3C8B9465" w14:textId="77777777" w:rsidTr="00746D7A">
              <w:trPr>
                <w:trHeight w:val="311"/>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1AD5E330"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 xml:space="preserve">Lietuva </w:t>
                  </w:r>
                </w:p>
              </w:tc>
              <w:tc>
                <w:tcPr>
                  <w:tcW w:w="4301" w:type="dxa"/>
                  <w:tcBorders>
                    <w:top w:val="nil"/>
                    <w:left w:val="nil"/>
                    <w:bottom w:val="single" w:sz="8" w:space="0" w:color="auto"/>
                    <w:right w:val="single" w:sz="8" w:space="0" w:color="auto"/>
                  </w:tcBorders>
                  <w:shd w:val="clear" w:color="auto" w:fill="auto"/>
                  <w:vAlign w:val="center"/>
                  <w:hideMark/>
                </w:tcPr>
                <w:p w14:paraId="1A795A58"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Bezmaksas</w:t>
                  </w:r>
                </w:p>
              </w:tc>
            </w:tr>
            <w:tr w:rsidR="00B550BB" w:rsidRPr="00DA3ED2" w14:paraId="6871D3FC" w14:textId="77777777" w:rsidTr="00746D7A">
              <w:trPr>
                <w:trHeight w:val="26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51C8C9E5"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Nīderlande</w:t>
                  </w:r>
                </w:p>
              </w:tc>
              <w:tc>
                <w:tcPr>
                  <w:tcW w:w="4301" w:type="dxa"/>
                  <w:tcBorders>
                    <w:top w:val="nil"/>
                    <w:left w:val="nil"/>
                    <w:bottom w:val="single" w:sz="8" w:space="0" w:color="auto"/>
                    <w:right w:val="single" w:sz="8" w:space="0" w:color="auto"/>
                  </w:tcBorders>
                  <w:shd w:val="clear" w:color="auto" w:fill="auto"/>
                  <w:vAlign w:val="center"/>
                  <w:hideMark/>
                </w:tcPr>
                <w:p w14:paraId="1EF642EA"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 xml:space="preserve">80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3FF8BE37" w14:textId="77777777" w:rsidTr="00746D7A">
              <w:trPr>
                <w:trHeight w:val="33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71DE6799"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Portugāle</w:t>
                  </w:r>
                </w:p>
              </w:tc>
              <w:tc>
                <w:tcPr>
                  <w:tcW w:w="4301" w:type="dxa"/>
                  <w:tcBorders>
                    <w:top w:val="nil"/>
                    <w:left w:val="nil"/>
                    <w:bottom w:val="single" w:sz="8" w:space="0" w:color="auto"/>
                    <w:right w:val="single" w:sz="8" w:space="0" w:color="auto"/>
                  </w:tcBorders>
                  <w:shd w:val="clear" w:color="auto" w:fill="auto"/>
                  <w:vAlign w:val="center"/>
                  <w:hideMark/>
                </w:tcPr>
                <w:p w14:paraId="7C395EDA"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 xml:space="preserve">50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7AA93892" w14:textId="77777777" w:rsidTr="00746D7A">
              <w:trPr>
                <w:trHeight w:val="330"/>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4A628E9"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Slovēnija</w:t>
                  </w:r>
                </w:p>
              </w:tc>
              <w:tc>
                <w:tcPr>
                  <w:tcW w:w="4301" w:type="dxa"/>
                  <w:tcBorders>
                    <w:top w:val="nil"/>
                    <w:left w:val="nil"/>
                    <w:bottom w:val="single" w:sz="8" w:space="0" w:color="auto"/>
                    <w:right w:val="single" w:sz="8" w:space="0" w:color="auto"/>
                  </w:tcBorders>
                  <w:shd w:val="clear" w:color="auto" w:fill="auto"/>
                  <w:vAlign w:val="center"/>
                  <w:hideMark/>
                </w:tcPr>
                <w:p w14:paraId="357C3FD2"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bCs/>
                      <w:color w:val="000000"/>
                      <w:sz w:val="24"/>
                      <w:szCs w:val="24"/>
                      <w:lang w:eastAsia="lv-LV"/>
                    </w:rPr>
                    <w:t xml:space="preserve">50 </w:t>
                  </w:r>
                  <w:proofErr w:type="spellStart"/>
                  <w:r w:rsidRPr="00DA3ED2">
                    <w:rPr>
                      <w:rFonts w:ascii="Times New Roman" w:eastAsia="Times New Roman" w:hAnsi="Times New Roman"/>
                      <w:i/>
                      <w:iCs/>
                      <w:color w:val="000000"/>
                      <w:sz w:val="24"/>
                      <w:szCs w:val="24"/>
                      <w:lang w:eastAsia="lv-LV"/>
                    </w:rPr>
                    <w:t>euro</w:t>
                  </w:r>
                  <w:proofErr w:type="spellEnd"/>
                </w:p>
              </w:tc>
            </w:tr>
            <w:tr w:rsidR="00B550BB" w:rsidRPr="00DA3ED2" w14:paraId="5AE67692" w14:textId="77777777" w:rsidTr="00746D7A">
              <w:trPr>
                <w:trHeight w:val="246"/>
              </w:trPr>
              <w:tc>
                <w:tcPr>
                  <w:tcW w:w="1884" w:type="dxa"/>
                  <w:tcBorders>
                    <w:top w:val="nil"/>
                    <w:left w:val="single" w:sz="8" w:space="0" w:color="auto"/>
                    <w:bottom w:val="single" w:sz="8" w:space="0" w:color="auto"/>
                    <w:right w:val="single" w:sz="8" w:space="0" w:color="auto"/>
                  </w:tcBorders>
                  <w:shd w:val="clear" w:color="auto" w:fill="auto"/>
                  <w:vAlign w:val="center"/>
                  <w:hideMark/>
                </w:tcPr>
                <w:p w14:paraId="48EC3EB6"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Šveice</w:t>
                  </w:r>
                </w:p>
              </w:tc>
              <w:tc>
                <w:tcPr>
                  <w:tcW w:w="4301" w:type="dxa"/>
                  <w:tcBorders>
                    <w:top w:val="nil"/>
                    <w:left w:val="nil"/>
                    <w:bottom w:val="single" w:sz="8" w:space="0" w:color="auto"/>
                    <w:right w:val="single" w:sz="8" w:space="0" w:color="auto"/>
                  </w:tcBorders>
                  <w:shd w:val="clear" w:color="auto" w:fill="auto"/>
                  <w:vAlign w:val="center"/>
                  <w:hideMark/>
                </w:tcPr>
                <w:p w14:paraId="2A2EA7C2" w14:textId="77777777" w:rsidR="00B550BB" w:rsidRPr="00DA3ED2" w:rsidRDefault="00B550BB" w:rsidP="00B550BB">
                  <w:pPr>
                    <w:spacing w:after="0" w:line="240" w:lineRule="auto"/>
                    <w:rPr>
                      <w:rFonts w:ascii="Times New Roman" w:eastAsia="Times New Roman" w:hAnsi="Times New Roman"/>
                      <w:color w:val="000000"/>
                      <w:sz w:val="24"/>
                      <w:szCs w:val="24"/>
                      <w:lang w:eastAsia="lv-LV"/>
                    </w:rPr>
                  </w:pPr>
                  <w:r w:rsidRPr="00DA3ED2">
                    <w:rPr>
                      <w:rFonts w:ascii="Times New Roman" w:eastAsia="Times New Roman" w:hAnsi="Times New Roman"/>
                      <w:color w:val="000000"/>
                      <w:sz w:val="24"/>
                      <w:szCs w:val="24"/>
                      <w:lang w:eastAsia="lv-LV"/>
                    </w:rPr>
                    <w:t>410 – 780</w:t>
                  </w:r>
                  <w:r w:rsidRPr="00DA3ED2">
                    <w:rPr>
                      <w:rFonts w:ascii="Times New Roman" w:eastAsia="Times New Roman" w:hAnsi="Times New Roman"/>
                      <w:i/>
                      <w:iCs/>
                      <w:color w:val="000000"/>
                      <w:sz w:val="24"/>
                      <w:szCs w:val="24"/>
                      <w:lang w:eastAsia="lv-LV"/>
                    </w:rPr>
                    <w:t xml:space="preserve"> </w:t>
                  </w:r>
                  <w:proofErr w:type="spellStart"/>
                  <w:r w:rsidRPr="00DA3ED2">
                    <w:rPr>
                      <w:rFonts w:ascii="Times New Roman" w:eastAsia="Times New Roman" w:hAnsi="Times New Roman"/>
                      <w:i/>
                      <w:iCs/>
                      <w:color w:val="000000"/>
                      <w:sz w:val="24"/>
                      <w:szCs w:val="24"/>
                      <w:lang w:eastAsia="lv-LV"/>
                    </w:rPr>
                    <w:t>euro</w:t>
                  </w:r>
                  <w:proofErr w:type="spellEnd"/>
                </w:p>
              </w:tc>
            </w:tr>
          </w:tbl>
          <w:p w14:paraId="565FA89D" w14:textId="77777777" w:rsidR="00B550BB" w:rsidRPr="00DA3ED2" w:rsidRDefault="00B550BB" w:rsidP="00B550BB">
            <w:pPr>
              <w:spacing w:after="0" w:line="240" w:lineRule="auto"/>
              <w:jc w:val="both"/>
              <w:rPr>
                <w:rFonts w:ascii="Times New Roman" w:hAnsi="Times New Roman"/>
                <w:bCs/>
                <w:sz w:val="24"/>
                <w:szCs w:val="24"/>
              </w:rPr>
            </w:pPr>
          </w:p>
          <w:p w14:paraId="091D37BB" w14:textId="2517B17B" w:rsidR="00355F35" w:rsidRPr="00DA3ED2" w:rsidRDefault="00355F35" w:rsidP="00355F35">
            <w:pPr>
              <w:spacing w:after="0" w:line="240" w:lineRule="auto"/>
              <w:jc w:val="both"/>
              <w:rPr>
                <w:rFonts w:ascii="Times New Roman" w:hAnsi="Times New Roman"/>
                <w:sz w:val="24"/>
                <w:szCs w:val="24"/>
              </w:rPr>
            </w:pPr>
            <w:r w:rsidRPr="00DA3ED2">
              <w:rPr>
                <w:rFonts w:ascii="Times New Roman" w:hAnsi="Times New Roman"/>
                <w:sz w:val="24"/>
                <w:szCs w:val="24"/>
              </w:rPr>
              <w:t xml:space="preserve">Projekts paredz profesionālās kvalifikācijas atzīšanas pakalpojuma izmaksas no šī pakalpojuma ņēmēja puses palielināt no 56,90 </w:t>
            </w:r>
            <w:proofErr w:type="spellStart"/>
            <w:r w:rsidRPr="00DA3ED2">
              <w:rPr>
                <w:rFonts w:ascii="Times New Roman" w:hAnsi="Times New Roman"/>
                <w:i/>
                <w:sz w:val="24"/>
                <w:szCs w:val="24"/>
              </w:rPr>
              <w:t>euro</w:t>
            </w:r>
            <w:proofErr w:type="spellEnd"/>
            <w:r w:rsidRPr="00DA3ED2">
              <w:rPr>
                <w:rFonts w:ascii="Times New Roman" w:hAnsi="Times New Roman"/>
                <w:i/>
                <w:sz w:val="24"/>
                <w:szCs w:val="24"/>
              </w:rPr>
              <w:t xml:space="preserve"> </w:t>
            </w:r>
            <w:r w:rsidRPr="00DA3ED2">
              <w:rPr>
                <w:rFonts w:ascii="Times New Roman" w:hAnsi="Times New Roman"/>
                <w:sz w:val="24"/>
                <w:szCs w:val="24"/>
              </w:rPr>
              <w:t xml:space="preserve">līdz 200 </w:t>
            </w:r>
            <w:proofErr w:type="spellStart"/>
            <w:r w:rsidRPr="00DA3ED2">
              <w:rPr>
                <w:rFonts w:ascii="Times New Roman" w:hAnsi="Times New Roman"/>
                <w:i/>
                <w:sz w:val="24"/>
                <w:szCs w:val="24"/>
              </w:rPr>
              <w:t>euro</w:t>
            </w:r>
            <w:proofErr w:type="spellEnd"/>
            <w:r w:rsidRPr="00DA3ED2">
              <w:rPr>
                <w:rFonts w:ascii="Times New Roman" w:hAnsi="Times New Roman"/>
                <w:sz w:val="24"/>
                <w:szCs w:val="24"/>
              </w:rPr>
              <w:t xml:space="preserve"> jeb 3,5 reizes</w:t>
            </w:r>
            <w:r w:rsidRPr="00DA3ED2">
              <w:rPr>
                <w:rFonts w:ascii="Times New Roman" w:hAnsi="Times New Roman"/>
                <w:i/>
                <w:sz w:val="24"/>
                <w:szCs w:val="24"/>
              </w:rPr>
              <w:t>.</w:t>
            </w:r>
            <w:r w:rsidRPr="00DA3ED2">
              <w:rPr>
                <w:rFonts w:ascii="Times New Roman" w:hAnsi="Times New Roman"/>
                <w:sz w:val="24"/>
                <w:szCs w:val="24"/>
              </w:rPr>
              <w:t xml:space="preserve"> Šī pieauguma pamatojums ir profesionālās kvalifikācijas atzīšanas pakalpojuma pašizmaksas pieaugums laika posmā no 2003.gada, kad ir pieņemti noteikumi</w:t>
            </w:r>
            <w:r w:rsidR="001156D9" w:rsidRPr="00DA3ED2">
              <w:rPr>
                <w:rFonts w:ascii="Times New Roman" w:hAnsi="Times New Roman"/>
                <w:sz w:val="24"/>
                <w:szCs w:val="24"/>
              </w:rPr>
              <w:t xml:space="preserve"> Nr.298</w:t>
            </w:r>
            <w:r w:rsidR="00D45EF1" w:rsidRPr="00DA3ED2">
              <w:rPr>
                <w:rFonts w:ascii="Times New Roman" w:hAnsi="Times New Roman"/>
                <w:sz w:val="24"/>
                <w:szCs w:val="24"/>
              </w:rPr>
              <w:t>, līdz 2016</w:t>
            </w:r>
            <w:r w:rsidRPr="00DA3ED2">
              <w:rPr>
                <w:rFonts w:ascii="Times New Roman" w:hAnsi="Times New Roman"/>
                <w:sz w:val="24"/>
                <w:szCs w:val="24"/>
              </w:rPr>
              <w:t>.gadam</w:t>
            </w:r>
            <w:r w:rsidRPr="00DA3ED2">
              <w:rPr>
                <w:rStyle w:val="FootnoteReference"/>
                <w:rFonts w:ascii="Times New Roman" w:hAnsi="Times New Roman"/>
                <w:sz w:val="24"/>
                <w:szCs w:val="24"/>
              </w:rPr>
              <w:footnoteReference w:id="3"/>
            </w:r>
            <w:r w:rsidRPr="00DA3ED2">
              <w:rPr>
                <w:rFonts w:ascii="Times New Roman" w:hAnsi="Times New Roman"/>
                <w:sz w:val="24"/>
                <w:szCs w:val="24"/>
              </w:rPr>
              <w:t xml:space="preserve"> (skat.</w:t>
            </w:r>
            <w:r w:rsidR="001156D9" w:rsidRPr="00DA3ED2">
              <w:rPr>
                <w:rFonts w:ascii="Times New Roman" w:hAnsi="Times New Roman"/>
                <w:sz w:val="24"/>
                <w:szCs w:val="24"/>
              </w:rPr>
              <w:t>2</w:t>
            </w:r>
            <w:r w:rsidRPr="00DA3ED2">
              <w:rPr>
                <w:rFonts w:ascii="Times New Roman" w:hAnsi="Times New Roman"/>
                <w:sz w:val="24"/>
                <w:szCs w:val="24"/>
              </w:rPr>
              <w:t>.tabulu). Minēto izmaksu pieaugumu veido šādas izmaiņas:</w:t>
            </w:r>
          </w:p>
          <w:p w14:paraId="40EFBD7A" w14:textId="77777777" w:rsidR="00355F35" w:rsidRPr="00DA3ED2" w:rsidRDefault="00355F35" w:rsidP="00355F35">
            <w:pPr>
              <w:pStyle w:val="ListParagraph"/>
              <w:numPr>
                <w:ilvl w:val="0"/>
                <w:numId w:val="3"/>
              </w:numPr>
              <w:spacing w:after="0" w:line="240" w:lineRule="auto"/>
              <w:jc w:val="both"/>
              <w:rPr>
                <w:rFonts w:ascii="Times New Roman" w:hAnsi="Times New Roman"/>
                <w:sz w:val="24"/>
                <w:szCs w:val="24"/>
              </w:rPr>
            </w:pPr>
            <w:r w:rsidRPr="00DA3ED2">
              <w:rPr>
                <w:rFonts w:ascii="Times New Roman" w:hAnsi="Times New Roman"/>
                <w:sz w:val="24"/>
                <w:szCs w:val="24"/>
              </w:rPr>
              <w:t xml:space="preserve">ekspertu darba atalgojuma palielinājums. Strādājošo mēneša vidējā darba samaksa sabiedriskajā sektorā ir pieaugusi no 285 </w:t>
            </w:r>
            <w:proofErr w:type="spellStart"/>
            <w:r w:rsidRPr="00DA3ED2">
              <w:rPr>
                <w:rFonts w:ascii="Times New Roman" w:hAnsi="Times New Roman"/>
                <w:i/>
                <w:sz w:val="24"/>
                <w:szCs w:val="24"/>
              </w:rPr>
              <w:t>euro</w:t>
            </w:r>
            <w:proofErr w:type="spellEnd"/>
            <w:r w:rsidRPr="00DA3ED2">
              <w:rPr>
                <w:rFonts w:ascii="Times New Roman" w:hAnsi="Times New Roman"/>
                <w:sz w:val="24"/>
                <w:szCs w:val="24"/>
              </w:rPr>
              <w:t xml:space="preserve"> (2002.) līdz 813 </w:t>
            </w:r>
            <w:proofErr w:type="spellStart"/>
            <w:r w:rsidRPr="00DA3ED2">
              <w:rPr>
                <w:rFonts w:ascii="Times New Roman" w:hAnsi="Times New Roman"/>
                <w:i/>
                <w:sz w:val="24"/>
                <w:szCs w:val="24"/>
              </w:rPr>
              <w:t>euro</w:t>
            </w:r>
            <w:proofErr w:type="spellEnd"/>
            <w:r w:rsidRPr="00DA3ED2">
              <w:rPr>
                <w:rFonts w:ascii="Times New Roman" w:hAnsi="Times New Roman"/>
                <w:sz w:val="24"/>
                <w:szCs w:val="24"/>
              </w:rPr>
              <w:t xml:space="preserve"> (2014.) jeb 2,85 reizes</w:t>
            </w:r>
            <w:r w:rsidRPr="00DA3ED2">
              <w:rPr>
                <w:rStyle w:val="FootnoteReference"/>
                <w:rFonts w:ascii="Times New Roman" w:hAnsi="Times New Roman"/>
                <w:sz w:val="24"/>
                <w:szCs w:val="24"/>
              </w:rPr>
              <w:footnoteReference w:id="4"/>
            </w:r>
            <w:r w:rsidRPr="00DA3ED2">
              <w:rPr>
                <w:rFonts w:ascii="Times New Roman" w:hAnsi="Times New Roman"/>
                <w:sz w:val="24"/>
                <w:szCs w:val="24"/>
              </w:rPr>
              <w:t xml:space="preserve">. Attiecīgi ekspertu darba atalgojums ir pieaudzis no 2,95 </w:t>
            </w:r>
            <w:proofErr w:type="spellStart"/>
            <w:r w:rsidRPr="00DA3ED2">
              <w:rPr>
                <w:rFonts w:ascii="Times New Roman" w:hAnsi="Times New Roman"/>
                <w:i/>
                <w:sz w:val="24"/>
                <w:szCs w:val="24"/>
              </w:rPr>
              <w:t>euro</w:t>
            </w:r>
            <w:proofErr w:type="spellEnd"/>
            <w:r w:rsidRPr="00DA3ED2">
              <w:rPr>
                <w:rFonts w:ascii="Times New Roman" w:hAnsi="Times New Roman"/>
                <w:sz w:val="24"/>
                <w:szCs w:val="24"/>
              </w:rPr>
              <w:t xml:space="preserve"> / stundā līdz 8, 43 </w:t>
            </w:r>
            <w:proofErr w:type="spellStart"/>
            <w:r w:rsidRPr="00DA3ED2">
              <w:rPr>
                <w:rFonts w:ascii="Times New Roman" w:hAnsi="Times New Roman"/>
                <w:i/>
                <w:sz w:val="24"/>
                <w:szCs w:val="24"/>
              </w:rPr>
              <w:t>euro</w:t>
            </w:r>
            <w:proofErr w:type="spellEnd"/>
            <w:r w:rsidRPr="00DA3ED2">
              <w:rPr>
                <w:rFonts w:ascii="Times New Roman" w:hAnsi="Times New Roman"/>
                <w:sz w:val="24"/>
                <w:szCs w:val="24"/>
              </w:rPr>
              <w:t xml:space="preserve"> / stundā, kas par 8 stundu darbu veido </w:t>
            </w:r>
            <w:r w:rsidRPr="00DA3ED2">
              <w:rPr>
                <w:rFonts w:ascii="Times New Roman" w:hAnsi="Times New Roman"/>
                <w:sz w:val="24"/>
                <w:szCs w:val="24"/>
                <w:lang w:val="lv-LV"/>
              </w:rPr>
              <w:t xml:space="preserve">kopējo </w:t>
            </w:r>
            <w:r w:rsidRPr="00DA3ED2">
              <w:rPr>
                <w:rFonts w:ascii="Times New Roman" w:hAnsi="Times New Roman"/>
                <w:sz w:val="24"/>
                <w:szCs w:val="24"/>
              </w:rPr>
              <w:t xml:space="preserve">izmaksu pieaugumu no 23,60 līdz 67,44 </w:t>
            </w:r>
            <w:proofErr w:type="spellStart"/>
            <w:r w:rsidRPr="00DA3ED2">
              <w:rPr>
                <w:rFonts w:ascii="Times New Roman" w:hAnsi="Times New Roman"/>
                <w:i/>
                <w:sz w:val="24"/>
                <w:szCs w:val="24"/>
              </w:rPr>
              <w:t>euro</w:t>
            </w:r>
            <w:proofErr w:type="spellEnd"/>
            <w:r w:rsidRPr="00DA3ED2">
              <w:rPr>
                <w:rFonts w:ascii="Times New Roman" w:hAnsi="Times New Roman"/>
                <w:i/>
                <w:sz w:val="24"/>
                <w:szCs w:val="24"/>
              </w:rPr>
              <w:t>.</w:t>
            </w:r>
            <w:r w:rsidRPr="00DA3ED2">
              <w:rPr>
                <w:rFonts w:ascii="Times New Roman" w:hAnsi="Times New Roman"/>
                <w:sz w:val="24"/>
                <w:szCs w:val="24"/>
              </w:rPr>
              <w:t xml:space="preserve"> </w:t>
            </w:r>
          </w:p>
          <w:p w14:paraId="4844C22B" w14:textId="4344FE4E" w:rsidR="00355F35" w:rsidRPr="00DA3ED2" w:rsidRDefault="004B4D3F" w:rsidP="00355F35">
            <w:pPr>
              <w:pStyle w:val="ListParagraph"/>
              <w:numPr>
                <w:ilvl w:val="0"/>
                <w:numId w:val="3"/>
              </w:numPr>
              <w:spacing w:after="0" w:line="240" w:lineRule="auto"/>
              <w:jc w:val="both"/>
              <w:rPr>
                <w:rFonts w:ascii="Times New Roman" w:hAnsi="Times New Roman"/>
                <w:sz w:val="24"/>
                <w:szCs w:val="24"/>
              </w:rPr>
            </w:pPr>
            <w:r w:rsidRPr="00DA3ED2">
              <w:rPr>
                <w:rFonts w:ascii="Times New Roman" w:hAnsi="Times New Roman"/>
                <w:sz w:val="24"/>
                <w:szCs w:val="24"/>
                <w:lang w:val="lv-LV"/>
              </w:rPr>
              <w:t xml:space="preserve">Gan informācijas institūcijas, gan institūcijas, kas izsniedz </w:t>
            </w:r>
            <w:r w:rsidR="001409D3" w:rsidRPr="00DA3ED2">
              <w:rPr>
                <w:rFonts w:ascii="Times New Roman" w:hAnsi="Times New Roman"/>
                <w:sz w:val="24"/>
                <w:szCs w:val="24"/>
                <w:lang w:val="lv-LV"/>
              </w:rPr>
              <w:t>atzīšanas</w:t>
            </w:r>
            <w:r w:rsidRPr="00DA3ED2">
              <w:rPr>
                <w:rFonts w:ascii="Times New Roman" w:hAnsi="Times New Roman"/>
                <w:sz w:val="24"/>
                <w:szCs w:val="24"/>
                <w:lang w:val="lv-LV"/>
              </w:rPr>
              <w:t xml:space="preserve"> apliecības </w:t>
            </w:r>
            <w:r w:rsidR="00355F35" w:rsidRPr="00DA3ED2">
              <w:rPr>
                <w:rFonts w:ascii="Times New Roman" w:hAnsi="Times New Roman"/>
                <w:sz w:val="24"/>
                <w:szCs w:val="24"/>
              </w:rPr>
              <w:t xml:space="preserve"> darb</w:t>
            </w:r>
            <w:r w:rsidR="001409D3" w:rsidRPr="00DA3ED2">
              <w:rPr>
                <w:rFonts w:ascii="Times New Roman" w:hAnsi="Times New Roman"/>
                <w:sz w:val="24"/>
                <w:szCs w:val="24"/>
                <w:lang w:val="lv-LV"/>
              </w:rPr>
              <w:t>ības</w:t>
            </w:r>
            <w:r w:rsidR="00355F35" w:rsidRPr="00DA3ED2">
              <w:rPr>
                <w:rFonts w:ascii="Times New Roman" w:hAnsi="Times New Roman"/>
                <w:sz w:val="24"/>
                <w:szCs w:val="24"/>
              </w:rPr>
              <w:t xml:space="preserve"> organizācijas izdevumi</w:t>
            </w:r>
            <w:r w:rsidR="00355F35" w:rsidRPr="00DA3ED2">
              <w:rPr>
                <w:rFonts w:ascii="Times New Roman" w:hAnsi="Times New Roman"/>
                <w:sz w:val="24"/>
                <w:szCs w:val="24"/>
                <w:lang w:val="lv-LV"/>
              </w:rPr>
              <w:t xml:space="preserve"> ir palielinājušies sakarā </w:t>
            </w:r>
            <w:r w:rsidR="007F24FD" w:rsidRPr="00DA3ED2">
              <w:rPr>
                <w:rFonts w:ascii="Times New Roman" w:hAnsi="Times New Roman"/>
                <w:sz w:val="24"/>
                <w:szCs w:val="24"/>
                <w:lang w:val="lv-LV"/>
              </w:rPr>
              <w:t xml:space="preserve">ar </w:t>
            </w:r>
            <w:r w:rsidR="00355F35" w:rsidRPr="00DA3ED2">
              <w:rPr>
                <w:rFonts w:ascii="Times New Roman" w:hAnsi="Times New Roman"/>
                <w:sz w:val="24"/>
                <w:szCs w:val="24"/>
                <w:lang w:val="lv-LV"/>
              </w:rPr>
              <w:t>vispārēju preč</w:t>
            </w:r>
            <w:r w:rsidR="007849BB" w:rsidRPr="00DA3ED2">
              <w:rPr>
                <w:rFonts w:ascii="Times New Roman" w:hAnsi="Times New Roman"/>
                <w:sz w:val="24"/>
                <w:szCs w:val="24"/>
                <w:lang w:val="lv-LV"/>
              </w:rPr>
              <w:t xml:space="preserve">u un pakalpojumu cenu pieaugumu, </w:t>
            </w:r>
            <w:r w:rsidR="00355F35" w:rsidRPr="00DA3ED2">
              <w:rPr>
                <w:rFonts w:ascii="Times New Roman" w:hAnsi="Times New Roman"/>
                <w:sz w:val="24"/>
                <w:szCs w:val="24"/>
                <w:lang w:val="lv-LV"/>
              </w:rPr>
              <w:t>piemēr</w:t>
            </w:r>
            <w:r w:rsidR="007849BB" w:rsidRPr="00DA3ED2">
              <w:rPr>
                <w:rFonts w:ascii="Times New Roman" w:hAnsi="Times New Roman"/>
                <w:sz w:val="24"/>
                <w:szCs w:val="24"/>
                <w:lang w:val="lv-LV"/>
              </w:rPr>
              <w:t>am,</w:t>
            </w:r>
            <w:r w:rsidR="00355F35" w:rsidRPr="00DA3ED2">
              <w:rPr>
                <w:rFonts w:ascii="Times New Roman" w:hAnsi="Times New Roman"/>
                <w:sz w:val="24"/>
                <w:szCs w:val="24"/>
                <w:lang w:val="lv-LV"/>
              </w:rPr>
              <w:t xml:space="preserve"> </w:t>
            </w:r>
            <w:proofErr w:type="spellStart"/>
            <w:r w:rsidR="00355F35" w:rsidRPr="00DA3ED2">
              <w:rPr>
                <w:rFonts w:ascii="Times New Roman" w:hAnsi="Times New Roman"/>
                <w:sz w:val="24"/>
                <w:szCs w:val="24"/>
                <w:lang w:val="lv-LV"/>
              </w:rPr>
              <w:t>ektroenerģijas</w:t>
            </w:r>
            <w:proofErr w:type="spellEnd"/>
            <w:r w:rsidR="00355F35" w:rsidRPr="00DA3ED2">
              <w:rPr>
                <w:rFonts w:ascii="Times New Roman" w:hAnsi="Times New Roman"/>
                <w:sz w:val="24"/>
                <w:szCs w:val="24"/>
                <w:lang w:val="lv-LV"/>
              </w:rPr>
              <w:t xml:space="preserve"> cen</w:t>
            </w:r>
            <w:r w:rsidR="007849BB" w:rsidRPr="00DA3ED2">
              <w:rPr>
                <w:rFonts w:ascii="Times New Roman" w:hAnsi="Times New Roman"/>
                <w:sz w:val="24"/>
                <w:szCs w:val="24"/>
                <w:lang w:val="lv-LV"/>
              </w:rPr>
              <w:t>a</w:t>
            </w:r>
            <w:r w:rsidR="00355F35" w:rsidRPr="00DA3ED2">
              <w:rPr>
                <w:rFonts w:ascii="Times New Roman" w:hAnsi="Times New Roman"/>
                <w:sz w:val="24"/>
                <w:szCs w:val="24"/>
                <w:lang w:val="lv-LV"/>
              </w:rPr>
              <w:t xml:space="preserve"> par 100 </w:t>
            </w:r>
            <w:proofErr w:type="spellStart"/>
            <w:r w:rsidR="00355F35" w:rsidRPr="00DA3ED2">
              <w:rPr>
                <w:rFonts w:ascii="Times New Roman" w:hAnsi="Times New Roman"/>
                <w:sz w:val="24"/>
                <w:szCs w:val="24"/>
                <w:lang w:val="lv-LV"/>
              </w:rPr>
              <w:t>kWh</w:t>
            </w:r>
            <w:proofErr w:type="spellEnd"/>
            <w:r w:rsidR="00355F35" w:rsidRPr="00DA3ED2">
              <w:rPr>
                <w:rFonts w:ascii="Times New Roman" w:hAnsi="Times New Roman"/>
                <w:sz w:val="24"/>
                <w:szCs w:val="24"/>
                <w:lang w:val="lv-LV"/>
              </w:rPr>
              <w:t xml:space="preserve"> pieaugusi no 5,55 </w:t>
            </w:r>
            <w:proofErr w:type="spellStart"/>
            <w:r w:rsidR="00355F35" w:rsidRPr="00DA3ED2">
              <w:rPr>
                <w:rFonts w:ascii="Times New Roman" w:hAnsi="Times New Roman"/>
                <w:i/>
                <w:sz w:val="24"/>
                <w:szCs w:val="24"/>
                <w:lang w:val="lv-LV"/>
              </w:rPr>
              <w:t>euro</w:t>
            </w:r>
            <w:proofErr w:type="spellEnd"/>
            <w:r w:rsidR="00355F35" w:rsidRPr="00DA3ED2">
              <w:rPr>
                <w:rFonts w:ascii="Times New Roman" w:hAnsi="Times New Roman"/>
                <w:sz w:val="24"/>
                <w:szCs w:val="24"/>
                <w:lang w:val="lv-LV"/>
              </w:rPr>
              <w:t xml:space="preserve"> (2002.) līdz 13,28 </w:t>
            </w:r>
            <w:proofErr w:type="spellStart"/>
            <w:r w:rsidR="00355F35" w:rsidRPr="00DA3ED2">
              <w:rPr>
                <w:rFonts w:ascii="Times New Roman" w:hAnsi="Times New Roman"/>
                <w:i/>
                <w:sz w:val="24"/>
                <w:szCs w:val="24"/>
                <w:lang w:val="lv-LV"/>
              </w:rPr>
              <w:t>euro</w:t>
            </w:r>
            <w:proofErr w:type="spellEnd"/>
            <w:r w:rsidR="00355F35" w:rsidRPr="00DA3ED2">
              <w:rPr>
                <w:rFonts w:ascii="Times New Roman" w:hAnsi="Times New Roman"/>
                <w:sz w:val="24"/>
                <w:szCs w:val="24"/>
                <w:lang w:val="lv-LV"/>
              </w:rPr>
              <w:t xml:space="preserve"> (2014.)</w:t>
            </w:r>
            <w:r w:rsidR="00487765" w:rsidRPr="00DA3ED2">
              <w:rPr>
                <w:rStyle w:val="FootnoteReference"/>
                <w:rFonts w:ascii="Times New Roman" w:hAnsi="Times New Roman"/>
                <w:sz w:val="24"/>
                <w:szCs w:val="24"/>
                <w:lang w:val="lv-LV"/>
              </w:rPr>
              <w:footnoteReference w:id="5"/>
            </w:r>
            <w:r w:rsidR="00355F35" w:rsidRPr="00DA3ED2">
              <w:rPr>
                <w:rFonts w:ascii="Times New Roman" w:hAnsi="Times New Roman"/>
                <w:sz w:val="24"/>
                <w:szCs w:val="24"/>
                <w:lang w:val="lv-LV"/>
              </w:rPr>
              <w:t>.</w:t>
            </w:r>
            <w:r w:rsidR="0038607C" w:rsidRPr="00DA3ED2">
              <w:rPr>
                <w:rFonts w:ascii="Times New Roman" w:hAnsi="Times New Roman"/>
                <w:sz w:val="24"/>
                <w:szCs w:val="24"/>
                <w:lang w:val="lv-LV"/>
              </w:rPr>
              <w:t xml:space="preserve"> </w:t>
            </w:r>
            <w:r w:rsidR="00355F35" w:rsidRPr="00DA3ED2">
              <w:rPr>
                <w:rFonts w:ascii="Times New Roman" w:hAnsi="Times New Roman"/>
                <w:sz w:val="24"/>
                <w:szCs w:val="24"/>
                <w:lang w:val="lv-LV"/>
              </w:rPr>
              <w:t>Izmaksu pieaugumu veido arī institūcijas administratīvā personāla, piemēram, grāmatvežu darba atalgojuma pieaugums</w:t>
            </w:r>
            <w:r w:rsidR="004B0F25" w:rsidRPr="00DA3ED2">
              <w:rPr>
                <w:rFonts w:ascii="Times New Roman" w:hAnsi="Times New Roman"/>
                <w:sz w:val="24"/>
                <w:szCs w:val="24"/>
                <w:lang w:val="lv-LV"/>
              </w:rPr>
              <w:t>, kur</w:t>
            </w:r>
            <w:r w:rsidR="00563933" w:rsidRPr="00DA3ED2">
              <w:rPr>
                <w:rFonts w:ascii="Times New Roman" w:hAnsi="Times New Roman"/>
                <w:sz w:val="24"/>
                <w:szCs w:val="24"/>
                <w:lang w:val="lv-LV"/>
              </w:rPr>
              <w:t>a</w:t>
            </w:r>
            <w:r w:rsidR="004B0F25" w:rsidRPr="00DA3ED2">
              <w:rPr>
                <w:rFonts w:ascii="Times New Roman" w:hAnsi="Times New Roman"/>
                <w:sz w:val="24"/>
                <w:szCs w:val="24"/>
                <w:lang w:val="lv-LV"/>
              </w:rPr>
              <w:t xml:space="preserve"> </w:t>
            </w:r>
            <w:r w:rsidR="00563933" w:rsidRPr="00DA3ED2">
              <w:rPr>
                <w:rFonts w:ascii="Times New Roman" w:hAnsi="Times New Roman"/>
                <w:sz w:val="24"/>
                <w:szCs w:val="24"/>
                <w:lang w:val="lv-LV"/>
              </w:rPr>
              <w:t>apmēru</w:t>
            </w:r>
            <w:r w:rsidR="004B0F25" w:rsidRPr="00DA3ED2">
              <w:rPr>
                <w:rFonts w:ascii="Times New Roman" w:hAnsi="Times New Roman"/>
                <w:sz w:val="24"/>
                <w:szCs w:val="24"/>
                <w:lang w:val="lv-LV"/>
              </w:rPr>
              <w:t xml:space="preserve"> raksturo līdzīga samēra kāpums, kā iepriekš minētais ek</w:t>
            </w:r>
            <w:r w:rsidR="00A42294" w:rsidRPr="00DA3ED2">
              <w:rPr>
                <w:rFonts w:ascii="Times New Roman" w:hAnsi="Times New Roman"/>
                <w:sz w:val="24"/>
                <w:szCs w:val="24"/>
                <w:lang w:val="lv-LV"/>
              </w:rPr>
              <w:t>s</w:t>
            </w:r>
            <w:r w:rsidR="004B0F25" w:rsidRPr="00DA3ED2">
              <w:rPr>
                <w:rFonts w:ascii="Times New Roman" w:hAnsi="Times New Roman"/>
                <w:sz w:val="24"/>
                <w:szCs w:val="24"/>
                <w:lang w:val="lv-LV"/>
              </w:rPr>
              <w:t xml:space="preserve">pertu darba atalgojuma </w:t>
            </w:r>
            <w:r w:rsidR="00494082" w:rsidRPr="00DA3ED2">
              <w:rPr>
                <w:rFonts w:ascii="Times New Roman" w:hAnsi="Times New Roman"/>
                <w:sz w:val="24"/>
                <w:szCs w:val="24"/>
                <w:lang w:val="lv-LV"/>
              </w:rPr>
              <w:t>paaugstinājums</w:t>
            </w:r>
            <w:r w:rsidR="00355F35" w:rsidRPr="00DA3ED2">
              <w:rPr>
                <w:rFonts w:ascii="Times New Roman" w:hAnsi="Times New Roman"/>
                <w:sz w:val="24"/>
                <w:szCs w:val="24"/>
                <w:lang w:val="lv-LV"/>
              </w:rPr>
              <w:t>.</w:t>
            </w:r>
          </w:p>
          <w:p w14:paraId="10D9C517" w14:textId="1844175C" w:rsidR="00355F35" w:rsidRPr="00DA3ED2" w:rsidRDefault="00355F35" w:rsidP="00355F35">
            <w:pPr>
              <w:pStyle w:val="ListParagraph"/>
              <w:numPr>
                <w:ilvl w:val="0"/>
                <w:numId w:val="3"/>
              </w:numPr>
              <w:spacing w:after="0" w:line="240" w:lineRule="auto"/>
              <w:jc w:val="both"/>
              <w:rPr>
                <w:rFonts w:ascii="Times New Roman" w:hAnsi="Times New Roman"/>
                <w:sz w:val="24"/>
                <w:szCs w:val="24"/>
              </w:rPr>
            </w:pPr>
            <w:r w:rsidRPr="00DA3ED2">
              <w:rPr>
                <w:rFonts w:ascii="Times New Roman" w:hAnsi="Times New Roman"/>
                <w:sz w:val="24"/>
                <w:szCs w:val="24"/>
                <w:lang w:val="lv-LV"/>
              </w:rPr>
              <w:t xml:space="preserve">Starptautiskās darbības paplašināšanās. </w:t>
            </w:r>
            <w:r w:rsidR="00A42294" w:rsidRPr="00DA3ED2">
              <w:rPr>
                <w:rFonts w:ascii="Times New Roman" w:hAnsi="Times New Roman"/>
                <w:sz w:val="24"/>
                <w:szCs w:val="24"/>
              </w:rPr>
              <w:t>Eiropas Parlamenta un Padomes 2005.gada 7.septembra</w:t>
            </w:r>
            <w:r w:rsidR="00A42294" w:rsidRPr="00DA3ED2">
              <w:rPr>
                <w:rFonts w:ascii="Times New Roman" w:hAnsi="Times New Roman"/>
                <w:bCs/>
                <w:sz w:val="24"/>
                <w:szCs w:val="24"/>
              </w:rPr>
              <w:t xml:space="preserve"> Direktīvas 2005/36/EK par profesionālo kvalifikāciju atzīšanu (turpmāk - direktīva)</w:t>
            </w:r>
            <w:r w:rsidRPr="00DA3ED2">
              <w:rPr>
                <w:rFonts w:ascii="Times New Roman" w:hAnsi="Times New Roman"/>
                <w:bCs/>
                <w:sz w:val="24"/>
                <w:szCs w:val="24"/>
                <w:lang w:val="lv-LV"/>
              </w:rPr>
              <w:t xml:space="preserve"> </w:t>
            </w:r>
            <w:r w:rsidRPr="00DA3ED2">
              <w:rPr>
                <w:rFonts w:ascii="Times New Roman" w:hAnsi="Times New Roman"/>
                <w:bCs/>
                <w:sz w:val="24"/>
                <w:szCs w:val="24"/>
                <w:lang w:val="lv-LV"/>
              </w:rPr>
              <w:lastRenderedPageBreak/>
              <w:t xml:space="preserve">56.pants ir noteicis pienākumu pastāvīgai sadarbībai starp Eiropas savienības dalībvalstu un Eiropas Ekonomikas zonas valstu kompetentajām institūcijām, kas ietver arī regulārus ārvalstu komandējumus. Līdz ar </w:t>
            </w:r>
            <w:r w:rsidRPr="00DA3ED2">
              <w:rPr>
                <w:rFonts w:ascii="Times New Roman" w:hAnsi="Times New Roman"/>
                <w:sz w:val="24"/>
                <w:szCs w:val="24"/>
              </w:rPr>
              <w:t xml:space="preserve">Eiropas Parlamenta un Padomes </w:t>
            </w:r>
            <w:r w:rsidRPr="00DA3ED2">
              <w:rPr>
                <w:rFonts w:ascii="Times New Roman" w:hAnsi="Times New Roman"/>
                <w:bCs/>
                <w:color w:val="000000"/>
                <w:sz w:val="24"/>
                <w:szCs w:val="24"/>
              </w:rPr>
              <w:t>2013.gada 20.novembra</w:t>
            </w:r>
            <w:r w:rsidRPr="00DA3ED2">
              <w:rPr>
                <w:rFonts w:ascii="Times New Roman" w:hAnsi="Times New Roman"/>
                <w:sz w:val="24"/>
                <w:szCs w:val="24"/>
              </w:rPr>
              <w:t xml:space="preserve"> Direktīvas Nr.</w:t>
            </w:r>
            <w:r w:rsidRPr="00DA3ED2">
              <w:rPr>
                <w:rFonts w:ascii="Times New Roman" w:hAnsi="Times New Roman"/>
                <w:bCs/>
                <w:sz w:val="24"/>
                <w:szCs w:val="24"/>
              </w:rPr>
              <w:t>2013/55/ES, ar ko groza Direktīvu 2005/36/EK par profesionālo kvalifikāciju atzīšanu un Regulu (ES) Nr.1024/2012 par administratīvo sadarbību, izmantojot Iekšējā tirgus informācijas sistēmu (IMI regulu) (dokuments attiecas uz EEZ)</w:t>
            </w:r>
            <w:r w:rsidRPr="00DA3ED2">
              <w:rPr>
                <w:rFonts w:ascii="Times New Roman" w:hAnsi="Times New Roman"/>
                <w:bCs/>
                <w:sz w:val="24"/>
                <w:szCs w:val="24"/>
                <w:lang w:val="lv-LV"/>
              </w:rPr>
              <w:t xml:space="preserve"> pieņemšanu, starptautiskā sadarbība paplašināsies un aktivizēsies, tādēļ</w:t>
            </w:r>
            <w:r w:rsidR="00204B97" w:rsidRPr="00DA3ED2">
              <w:rPr>
                <w:rFonts w:ascii="Times New Roman" w:hAnsi="Times New Roman"/>
                <w:bCs/>
                <w:sz w:val="24"/>
                <w:szCs w:val="24"/>
                <w:lang w:val="lv-LV"/>
              </w:rPr>
              <w:t xml:space="preserve"> gan informācijas institūcijām, gan institūcijām, kas izsniedz </w:t>
            </w:r>
            <w:r w:rsidR="001409D3" w:rsidRPr="00DA3ED2">
              <w:rPr>
                <w:rFonts w:ascii="Times New Roman" w:hAnsi="Times New Roman"/>
                <w:bCs/>
                <w:sz w:val="24"/>
                <w:szCs w:val="24"/>
                <w:lang w:val="lv-LV"/>
              </w:rPr>
              <w:t>atzīšanas</w:t>
            </w:r>
            <w:r w:rsidR="00204B97" w:rsidRPr="00DA3ED2">
              <w:rPr>
                <w:rFonts w:ascii="Times New Roman" w:hAnsi="Times New Roman"/>
                <w:bCs/>
                <w:sz w:val="24"/>
                <w:szCs w:val="24"/>
                <w:lang w:val="lv-LV"/>
              </w:rPr>
              <w:t xml:space="preserve"> apliecības,</w:t>
            </w:r>
            <w:r w:rsidRPr="00DA3ED2">
              <w:rPr>
                <w:rFonts w:ascii="Times New Roman" w:hAnsi="Times New Roman"/>
                <w:bCs/>
                <w:sz w:val="24"/>
                <w:szCs w:val="24"/>
                <w:lang w:val="lv-LV"/>
              </w:rPr>
              <w:t xml:space="preserve"> nepieciešami līdzekļi dalībai starptautiskās apmācībās, semināros, konferencēs, tādējādi nostiprinot institūcij</w:t>
            </w:r>
            <w:r w:rsidR="001409D3" w:rsidRPr="00DA3ED2">
              <w:rPr>
                <w:rFonts w:ascii="Times New Roman" w:hAnsi="Times New Roman"/>
                <w:bCs/>
                <w:sz w:val="24"/>
                <w:szCs w:val="24"/>
                <w:lang w:val="lv-LV"/>
              </w:rPr>
              <w:t>u</w:t>
            </w:r>
            <w:r w:rsidRPr="00DA3ED2">
              <w:rPr>
                <w:rFonts w:ascii="Times New Roman" w:hAnsi="Times New Roman"/>
                <w:bCs/>
                <w:sz w:val="24"/>
                <w:szCs w:val="24"/>
                <w:lang w:val="lv-LV"/>
              </w:rPr>
              <w:t xml:space="preserve"> profesionālo kapacitāti un izaugsmi. </w:t>
            </w:r>
          </w:p>
          <w:p w14:paraId="39708407" w14:textId="77777777" w:rsidR="00034659" w:rsidRPr="00DA3ED2" w:rsidRDefault="00034659" w:rsidP="00975CB2">
            <w:pPr>
              <w:tabs>
                <w:tab w:val="left" w:pos="7371"/>
              </w:tabs>
              <w:spacing w:after="0" w:line="240" w:lineRule="auto"/>
              <w:jc w:val="both"/>
              <w:rPr>
                <w:rFonts w:ascii="Times New Roman" w:eastAsia="Times New Roman" w:hAnsi="Times New Roman"/>
                <w:sz w:val="24"/>
                <w:szCs w:val="24"/>
                <w:lang w:eastAsia="lv-LV"/>
              </w:rPr>
            </w:pPr>
          </w:p>
          <w:p w14:paraId="7E7449AE" w14:textId="77777777" w:rsidR="00975CB2" w:rsidRPr="00DA3ED2" w:rsidRDefault="00975CB2" w:rsidP="00975CB2">
            <w:pPr>
              <w:tabs>
                <w:tab w:val="left" w:pos="7371"/>
              </w:tabs>
              <w:spacing w:after="0" w:line="240" w:lineRule="auto"/>
              <w:jc w:val="both"/>
              <w:rPr>
                <w:rFonts w:ascii="Times New Roman" w:eastAsia="Times New Roman" w:hAnsi="Times New Roman"/>
                <w:sz w:val="24"/>
                <w:szCs w:val="24"/>
                <w:lang w:eastAsia="lv-LV"/>
              </w:rPr>
            </w:pPr>
            <w:r w:rsidRPr="00DA3ED2">
              <w:rPr>
                <w:rFonts w:ascii="Times New Roman" w:eastAsia="Times New Roman" w:hAnsi="Times New Roman"/>
                <w:sz w:val="24"/>
                <w:szCs w:val="24"/>
                <w:lang w:eastAsia="lv-LV"/>
              </w:rPr>
              <w:t xml:space="preserve">Samaksas par profesionālās kvalifikācijas atzīšanu aprēķinam izmantota </w:t>
            </w:r>
            <w:r w:rsidRPr="00DA3ED2">
              <w:rPr>
                <w:rFonts w:ascii="Times New Roman" w:hAnsi="Times New Roman"/>
                <w:bCs/>
                <w:sz w:val="24"/>
                <w:szCs w:val="24"/>
              </w:rPr>
              <w:t xml:space="preserve">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noteiktā metodika, tika izvērtēti tiešie izdevumi un netiešās izmaksas, kuru aprēķins ir atspoguļots 2.tabulā. </w:t>
            </w:r>
          </w:p>
          <w:p w14:paraId="36A32579" w14:textId="77777777" w:rsidR="00975CB2" w:rsidRPr="00DA3ED2" w:rsidRDefault="00975CB2" w:rsidP="00975CB2">
            <w:pPr>
              <w:spacing w:after="0" w:line="240" w:lineRule="auto"/>
              <w:jc w:val="both"/>
              <w:rPr>
                <w:rFonts w:ascii="Times New Roman" w:hAnsi="Times New Roman"/>
                <w:sz w:val="24"/>
                <w:szCs w:val="24"/>
              </w:rPr>
            </w:pPr>
          </w:p>
          <w:p w14:paraId="2BE847F4" w14:textId="5781AA40" w:rsidR="00355F35" w:rsidRPr="00DA3ED2" w:rsidRDefault="001156D9" w:rsidP="00746D7A">
            <w:pPr>
              <w:spacing w:after="0" w:line="240" w:lineRule="auto"/>
              <w:jc w:val="right"/>
              <w:rPr>
                <w:rFonts w:ascii="Times New Roman" w:hAnsi="Times New Roman"/>
                <w:b/>
                <w:i/>
                <w:sz w:val="24"/>
                <w:szCs w:val="24"/>
              </w:rPr>
            </w:pPr>
            <w:r w:rsidRPr="00DA3ED2">
              <w:rPr>
                <w:rFonts w:ascii="Times New Roman" w:hAnsi="Times New Roman"/>
                <w:i/>
                <w:sz w:val="24"/>
                <w:szCs w:val="24"/>
              </w:rPr>
              <w:t>2</w:t>
            </w:r>
            <w:r w:rsidR="00355F35" w:rsidRPr="00DA3ED2">
              <w:rPr>
                <w:rFonts w:ascii="Times New Roman" w:hAnsi="Times New Roman"/>
                <w:b/>
                <w:i/>
                <w:sz w:val="24"/>
                <w:szCs w:val="24"/>
              </w:rPr>
              <w:t>.</w:t>
            </w:r>
            <w:r w:rsidR="00355F35" w:rsidRPr="00DA3ED2">
              <w:rPr>
                <w:rFonts w:ascii="Times New Roman" w:hAnsi="Times New Roman"/>
                <w:i/>
                <w:sz w:val="24"/>
                <w:szCs w:val="24"/>
                <w:lang w:eastAsia="x-none"/>
              </w:rPr>
              <w:t>tabula</w:t>
            </w:r>
          </w:p>
          <w:p w14:paraId="77F305E5" w14:textId="484DE8CA" w:rsidR="0032115E" w:rsidRPr="00DA3ED2" w:rsidRDefault="0032115E" w:rsidP="001156D9">
            <w:pPr>
              <w:spacing w:after="0" w:line="240" w:lineRule="auto"/>
              <w:jc w:val="center"/>
              <w:rPr>
                <w:rFonts w:ascii="Times New Roman" w:hAnsi="Times New Roman"/>
                <w:b/>
                <w:sz w:val="24"/>
                <w:szCs w:val="24"/>
              </w:rPr>
            </w:pPr>
            <w:r w:rsidRPr="00DA3ED2">
              <w:rPr>
                <w:rFonts w:ascii="Times New Roman" w:hAnsi="Times New Roman"/>
                <w:b/>
                <w:sz w:val="24"/>
                <w:szCs w:val="24"/>
              </w:rPr>
              <w:t xml:space="preserve">Informācijas institūcijas izmaksu aprēķins </w:t>
            </w:r>
            <w:r w:rsidR="00922065" w:rsidRPr="00DA3ED2">
              <w:rPr>
                <w:rFonts w:ascii="Times New Roman" w:hAnsi="Times New Roman"/>
                <w:b/>
                <w:sz w:val="24"/>
                <w:szCs w:val="24"/>
              </w:rPr>
              <w:t xml:space="preserve">pieteikuma </w:t>
            </w:r>
            <w:proofErr w:type="spellStart"/>
            <w:r w:rsidR="00922065" w:rsidRPr="00DA3ED2">
              <w:rPr>
                <w:rFonts w:ascii="Times New Roman" w:hAnsi="Times New Roman"/>
                <w:b/>
                <w:sz w:val="24"/>
                <w:szCs w:val="24"/>
              </w:rPr>
              <w:t>izvērtējumam</w:t>
            </w:r>
            <w:proofErr w:type="spellEnd"/>
          </w:p>
          <w:p w14:paraId="41361535" w14:textId="77777777" w:rsidR="0032115E" w:rsidRPr="00DA3ED2" w:rsidRDefault="0032115E" w:rsidP="0032115E">
            <w:pPr>
              <w:spacing w:after="0" w:line="240" w:lineRule="auto"/>
              <w:jc w:val="center"/>
              <w:rPr>
                <w:rFonts w:ascii="Times New Roman" w:hAnsi="Times New Roman"/>
                <w:sz w:val="24"/>
                <w:szCs w:val="24"/>
              </w:rPr>
            </w:pPr>
          </w:p>
          <w:p w14:paraId="52D86533" w14:textId="77777777" w:rsidR="0032115E" w:rsidRPr="00DA3ED2" w:rsidRDefault="0032115E" w:rsidP="0032115E">
            <w:pPr>
              <w:spacing w:after="0" w:line="240" w:lineRule="auto"/>
              <w:rPr>
                <w:rFonts w:ascii="Times New Roman" w:hAnsi="Times New Roman"/>
                <w:b/>
                <w:sz w:val="24"/>
                <w:szCs w:val="24"/>
              </w:rPr>
            </w:pPr>
            <w:r w:rsidRPr="00DA3ED2">
              <w:rPr>
                <w:rFonts w:ascii="Times New Roman" w:hAnsi="Times New Roman"/>
                <w:b/>
                <w:sz w:val="24"/>
                <w:szCs w:val="24"/>
              </w:rPr>
              <w:t>Tiešās izmaksas</w:t>
            </w:r>
          </w:p>
          <w:tbl>
            <w:tblPr>
              <w:tblStyle w:val="TableGrid"/>
              <w:tblW w:w="6819" w:type="dxa"/>
              <w:tblLayout w:type="fixed"/>
              <w:tblLook w:val="04A0" w:firstRow="1" w:lastRow="0" w:firstColumn="1" w:lastColumn="0" w:noHBand="0" w:noVBand="1"/>
            </w:tblPr>
            <w:tblGrid>
              <w:gridCol w:w="1291"/>
              <w:gridCol w:w="1134"/>
              <w:gridCol w:w="926"/>
              <w:gridCol w:w="992"/>
              <w:gridCol w:w="992"/>
              <w:gridCol w:w="1484"/>
            </w:tblGrid>
            <w:tr w:rsidR="007B02E9" w:rsidRPr="00DA3ED2" w14:paraId="596A4E73" w14:textId="534AC30E" w:rsidTr="000908E6">
              <w:tc>
                <w:tcPr>
                  <w:tcW w:w="1291" w:type="dxa"/>
                </w:tcPr>
                <w:p w14:paraId="52AF324A" w14:textId="77777777" w:rsidR="007B02E9" w:rsidRPr="00DA3ED2" w:rsidRDefault="007B02E9" w:rsidP="00F21574">
                  <w:pPr>
                    <w:spacing w:after="0" w:line="240" w:lineRule="auto"/>
                    <w:rPr>
                      <w:rFonts w:ascii="Times New Roman" w:hAnsi="Times New Roman"/>
                      <w:i/>
                    </w:rPr>
                  </w:pPr>
                  <w:r w:rsidRPr="00DA3ED2">
                    <w:rPr>
                      <w:rFonts w:ascii="Times New Roman" w:hAnsi="Times New Roman"/>
                      <w:i/>
                    </w:rPr>
                    <w:t>Rādītājs un mērvienība</w:t>
                  </w:r>
                </w:p>
              </w:tc>
              <w:tc>
                <w:tcPr>
                  <w:tcW w:w="1134" w:type="dxa"/>
                </w:tcPr>
                <w:p w14:paraId="262915C7" w14:textId="77777777" w:rsidR="007B02E9" w:rsidRPr="00DA3ED2" w:rsidRDefault="007B02E9" w:rsidP="00F21574">
                  <w:pPr>
                    <w:spacing w:after="0" w:line="240" w:lineRule="auto"/>
                    <w:rPr>
                      <w:rFonts w:ascii="Times New Roman" w:hAnsi="Times New Roman"/>
                      <w:i/>
                    </w:rPr>
                  </w:pPr>
                  <w:r w:rsidRPr="00DA3ED2">
                    <w:rPr>
                      <w:rFonts w:ascii="Times New Roman" w:hAnsi="Times New Roman"/>
                      <w:i/>
                    </w:rPr>
                    <w:t>Izmaksas</w:t>
                  </w:r>
                </w:p>
                <w:p w14:paraId="1135456B" w14:textId="0DAE06BB" w:rsidR="007B02E9" w:rsidRPr="00DA3ED2" w:rsidRDefault="007B02E9" w:rsidP="00F21574">
                  <w:pPr>
                    <w:spacing w:after="0" w:line="240" w:lineRule="auto"/>
                    <w:rPr>
                      <w:rFonts w:ascii="Times New Roman" w:hAnsi="Times New Roman"/>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c>
                <w:tcPr>
                  <w:tcW w:w="926" w:type="dxa"/>
                </w:tcPr>
                <w:p w14:paraId="0BD90667" w14:textId="2293E86B" w:rsidR="007B02E9" w:rsidRPr="00DA3ED2" w:rsidRDefault="007B02E9" w:rsidP="00F21574">
                  <w:pPr>
                    <w:spacing w:after="0" w:line="240" w:lineRule="auto"/>
                    <w:rPr>
                      <w:rFonts w:ascii="Times New Roman" w:hAnsi="Times New Roman"/>
                      <w:i/>
                    </w:rPr>
                  </w:pPr>
                  <w:proofErr w:type="spellStart"/>
                  <w:r w:rsidRPr="00DA3ED2">
                    <w:rPr>
                      <w:rFonts w:ascii="Times New Roman" w:hAnsi="Times New Roman"/>
                      <w:i/>
                    </w:rPr>
                    <w:t>Izmak</w:t>
                  </w:r>
                  <w:r w:rsidR="000908E6" w:rsidRPr="00DA3ED2">
                    <w:rPr>
                      <w:rFonts w:ascii="Times New Roman" w:hAnsi="Times New Roman"/>
                      <w:i/>
                    </w:rPr>
                    <w:t>-</w:t>
                  </w:r>
                  <w:r w:rsidRPr="00DA3ED2">
                    <w:rPr>
                      <w:rFonts w:ascii="Times New Roman" w:hAnsi="Times New Roman"/>
                      <w:i/>
                    </w:rPr>
                    <w:t>sas</w:t>
                  </w:r>
                  <w:proofErr w:type="spellEnd"/>
                </w:p>
                <w:p w14:paraId="784605D9" w14:textId="1CA9598D" w:rsidR="007B02E9" w:rsidRPr="00DA3ED2" w:rsidRDefault="007B02E9" w:rsidP="00F21574">
                  <w:pPr>
                    <w:spacing w:after="0" w:line="240" w:lineRule="auto"/>
                    <w:rPr>
                      <w:rFonts w:ascii="Times New Roman" w:hAnsi="Times New Roman"/>
                      <w:i/>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(2002.)</w:t>
                  </w:r>
                </w:p>
              </w:tc>
              <w:tc>
                <w:tcPr>
                  <w:tcW w:w="992" w:type="dxa"/>
                </w:tcPr>
                <w:p w14:paraId="43B4D058" w14:textId="039070EB" w:rsidR="007B02E9" w:rsidRPr="00DA3ED2" w:rsidRDefault="007B02E9" w:rsidP="00F21574">
                  <w:pPr>
                    <w:spacing w:after="0" w:line="240" w:lineRule="auto"/>
                    <w:rPr>
                      <w:rFonts w:ascii="Times New Roman" w:hAnsi="Times New Roman"/>
                      <w:i/>
                    </w:rPr>
                  </w:pPr>
                  <w:r w:rsidRPr="00DA3ED2">
                    <w:rPr>
                      <w:rFonts w:ascii="Times New Roman" w:hAnsi="Times New Roman"/>
                      <w:i/>
                    </w:rPr>
                    <w:t xml:space="preserve">Plānotais laika </w:t>
                  </w:r>
                  <w:proofErr w:type="spellStart"/>
                  <w:r w:rsidRPr="00DA3ED2">
                    <w:rPr>
                      <w:rFonts w:ascii="Times New Roman" w:hAnsi="Times New Roman"/>
                      <w:i/>
                    </w:rPr>
                    <w:t>ieguldī</w:t>
                  </w:r>
                  <w:proofErr w:type="spellEnd"/>
                  <w:r w:rsidR="000908E6" w:rsidRPr="00DA3ED2">
                    <w:rPr>
                      <w:rFonts w:ascii="Times New Roman" w:hAnsi="Times New Roman"/>
                      <w:i/>
                    </w:rPr>
                    <w:t>-</w:t>
                  </w:r>
                  <w:r w:rsidRPr="00DA3ED2">
                    <w:rPr>
                      <w:rFonts w:ascii="Times New Roman" w:hAnsi="Times New Roman"/>
                      <w:i/>
                    </w:rPr>
                    <w:t>jums pakal</w:t>
                  </w:r>
                  <w:r w:rsidR="004B72DA" w:rsidRPr="00DA3ED2">
                    <w:rPr>
                      <w:rFonts w:ascii="Times New Roman" w:hAnsi="Times New Roman"/>
                      <w:i/>
                    </w:rPr>
                    <w:t>-</w:t>
                  </w:r>
                  <w:proofErr w:type="spellStart"/>
                  <w:r w:rsidRPr="00DA3ED2">
                    <w:rPr>
                      <w:rFonts w:ascii="Times New Roman" w:hAnsi="Times New Roman"/>
                      <w:i/>
                    </w:rPr>
                    <w:t>pojuma</w:t>
                  </w:r>
                  <w:proofErr w:type="spellEnd"/>
                  <w:r w:rsidRPr="00DA3ED2">
                    <w:rPr>
                      <w:rFonts w:ascii="Times New Roman" w:hAnsi="Times New Roman"/>
                      <w:i/>
                    </w:rPr>
                    <w:t xml:space="preserve"> snieg</w:t>
                  </w:r>
                  <w:r w:rsidR="004B72DA" w:rsidRPr="00DA3ED2">
                    <w:rPr>
                      <w:rFonts w:ascii="Times New Roman" w:hAnsi="Times New Roman"/>
                      <w:i/>
                    </w:rPr>
                    <w:t>-</w:t>
                  </w:r>
                  <w:proofErr w:type="spellStart"/>
                  <w:r w:rsidRPr="00DA3ED2">
                    <w:rPr>
                      <w:rFonts w:ascii="Times New Roman" w:hAnsi="Times New Roman"/>
                      <w:i/>
                    </w:rPr>
                    <w:t>šanai</w:t>
                  </w:r>
                  <w:proofErr w:type="spellEnd"/>
                  <w:r w:rsidRPr="00DA3ED2">
                    <w:rPr>
                      <w:rFonts w:ascii="Times New Roman" w:hAnsi="Times New Roman"/>
                      <w:i/>
                    </w:rPr>
                    <w:t xml:space="preserve"> (h)</w:t>
                  </w:r>
                </w:p>
              </w:tc>
              <w:tc>
                <w:tcPr>
                  <w:tcW w:w="992" w:type="dxa"/>
                </w:tcPr>
                <w:p w14:paraId="0AA99BD6" w14:textId="1B14AF29" w:rsidR="007B02E9" w:rsidRPr="00DA3ED2" w:rsidRDefault="007B02E9" w:rsidP="00F21574">
                  <w:pPr>
                    <w:spacing w:after="0" w:line="240" w:lineRule="auto"/>
                    <w:rPr>
                      <w:rFonts w:ascii="Times New Roman" w:hAnsi="Times New Roman"/>
                      <w:i/>
                    </w:rPr>
                  </w:pPr>
                  <w:r w:rsidRPr="00DA3ED2">
                    <w:rPr>
                      <w:rFonts w:ascii="Times New Roman" w:hAnsi="Times New Roman"/>
                      <w:i/>
                    </w:rPr>
                    <w:t>Izmaksu apjoms gadā maksas pakalpo</w:t>
                  </w:r>
                  <w:r w:rsidR="000908E6" w:rsidRPr="00DA3ED2">
                    <w:rPr>
                      <w:rFonts w:ascii="Times New Roman" w:hAnsi="Times New Roman"/>
                      <w:i/>
                    </w:rPr>
                    <w:t>-</w:t>
                  </w:r>
                  <w:r w:rsidRPr="00DA3ED2">
                    <w:rPr>
                      <w:rFonts w:ascii="Times New Roman" w:hAnsi="Times New Roman"/>
                      <w:i/>
                    </w:rPr>
                    <w:t xml:space="preserve">juma veida </w:t>
                  </w:r>
                  <w:proofErr w:type="spellStart"/>
                  <w:r w:rsidRPr="00DA3ED2">
                    <w:rPr>
                      <w:rFonts w:ascii="Times New Roman" w:hAnsi="Times New Roman"/>
                      <w:i/>
                    </w:rPr>
                    <w:t>nodroši</w:t>
                  </w:r>
                  <w:r w:rsidR="000908E6" w:rsidRPr="00DA3ED2">
                    <w:rPr>
                      <w:rFonts w:ascii="Times New Roman" w:hAnsi="Times New Roman"/>
                      <w:i/>
                    </w:rPr>
                    <w:t>-</w:t>
                  </w:r>
                  <w:r w:rsidRPr="00DA3ED2">
                    <w:rPr>
                      <w:rFonts w:ascii="Times New Roman" w:hAnsi="Times New Roman"/>
                      <w:i/>
                    </w:rPr>
                    <w:t>nāšanai</w:t>
                  </w:r>
                  <w:proofErr w:type="spellEnd"/>
                  <w:r w:rsidRPr="00DA3ED2">
                    <w:rPr>
                      <w:rFonts w:ascii="Times New Roman" w:hAnsi="Times New Roman"/>
                      <w:i/>
                    </w:rPr>
                    <w:t xml:space="preserve"> </w:t>
                  </w:r>
                </w:p>
                <w:p w14:paraId="27CC0862" w14:textId="426352B5" w:rsidR="007B02E9" w:rsidRPr="00DA3ED2" w:rsidRDefault="007B02E9" w:rsidP="00F21574">
                  <w:pPr>
                    <w:spacing w:after="0" w:line="240" w:lineRule="auto"/>
                    <w:rPr>
                      <w:rFonts w:ascii="Times New Roman" w:hAnsi="Times New Roman"/>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c>
                <w:tcPr>
                  <w:tcW w:w="1484" w:type="dxa"/>
                </w:tcPr>
                <w:p w14:paraId="5F01F326" w14:textId="77777777" w:rsidR="007B02E9" w:rsidRPr="00DA3ED2" w:rsidRDefault="007B02E9" w:rsidP="00F21574">
                  <w:pPr>
                    <w:spacing w:after="0" w:line="240" w:lineRule="auto"/>
                    <w:rPr>
                      <w:rFonts w:ascii="Times New Roman" w:hAnsi="Times New Roman"/>
                      <w:i/>
                    </w:rPr>
                  </w:pPr>
                  <w:r w:rsidRPr="00DA3ED2">
                    <w:rPr>
                      <w:rFonts w:ascii="Times New Roman" w:hAnsi="Times New Roman"/>
                      <w:i/>
                    </w:rPr>
                    <w:t xml:space="preserve">Izmaksu </w:t>
                  </w:r>
                </w:p>
                <w:p w14:paraId="76EAE21B" w14:textId="42F03D4C" w:rsidR="007B02E9" w:rsidRPr="00DA3ED2" w:rsidRDefault="007B02E9" w:rsidP="00F21574">
                  <w:pPr>
                    <w:spacing w:after="0" w:line="240" w:lineRule="auto"/>
                    <w:rPr>
                      <w:rFonts w:ascii="Times New Roman" w:hAnsi="Times New Roman"/>
                      <w:i/>
                    </w:rPr>
                  </w:pPr>
                  <w:r w:rsidRPr="00DA3ED2">
                    <w:rPr>
                      <w:rFonts w:ascii="Times New Roman" w:hAnsi="Times New Roman"/>
                      <w:i/>
                    </w:rPr>
                    <w:t xml:space="preserve">apjoms gadā maksas pakalpojuma veida nodrošināšanai </w:t>
                  </w:r>
                </w:p>
                <w:p w14:paraId="217FC6BA" w14:textId="77EBBE86" w:rsidR="007B02E9" w:rsidRPr="00DA3ED2" w:rsidRDefault="007B02E9" w:rsidP="000E6D09">
                  <w:pPr>
                    <w:spacing w:after="0" w:line="240" w:lineRule="auto"/>
                    <w:jc w:val="both"/>
                    <w:rPr>
                      <w:rFonts w:ascii="Times New Roman" w:hAnsi="Times New Roman"/>
                      <w:i/>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(2002.)</w:t>
                  </w:r>
                </w:p>
              </w:tc>
            </w:tr>
            <w:tr w:rsidR="007B02E9" w:rsidRPr="00DA3ED2" w14:paraId="0977E950" w14:textId="4002CEEE" w:rsidTr="000908E6">
              <w:tc>
                <w:tcPr>
                  <w:tcW w:w="1291" w:type="dxa"/>
                </w:tcPr>
                <w:p w14:paraId="5E506A1E" w14:textId="77777777" w:rsidR="007B02E9" w:rsidRPr="00DA3ED2" w:rsidRDefault="007B02E9" w:rsidP="00F21574">
                  <w:pPr>
                    <w:spacing w:after="0" w:line="240" w:lineRule="auto"/>
                    <w:jc w:val="center"/>
                    <w:rPr>
                      <w:rFonts w:ascii="Times New Roman" w:hAnsi="Times New Roman"/>
                    </w:rPr>
                  </w:pPr>
                  <w:r w:rsidRPr="00DA3ED2">
                    <w:rPr>
                      <w:rFonts w:ascii="Times New Roman" w:hAnsi="Times New Roman"/>
                    </w:rPr>
                    <w:t>Profesionālās kvalifikācijas atzīšanas eksperta atalgojums</w:t>
                  </w:r>
                </w:p>
              </w:tc>
              <w:tc>
                <w:tcPr>
                  <w:tcW w:w="1134" w:type="dxa"/>
                </w:tcPr>
                <w:p w14:paraId="4E03E0A8" w14:textId="77777777" w:rsidR="007B02E9" w:rsidRPr="00DA3ED2" w:rsidRDefault="007B02E9" w:rsidP="00F21574">
                  <w:pPr>
                    <w:spacing w:after="0" w:line="240" w:lineRule="auto"/>
                    <w:jc w:val="center"/>
                    <w:rPr>
                      <w:rFonts w:ascii="Times New Roman" w:hAnsi="Times New Roman"/>
                    </w:rPr>
                  </w:pPr>
                  <w:r w:rsidRPr="00DA3ED2">
                    <w:rPr>
                      <w:rFonts w:ascii="Times New Roman" w:hAnsi="Times New Roman"/>
                    </w:rPr>
                    <w:t>8,43</w:t>
                  </w:r>
                </w:p>
              </w:tc>
              <w:tc>
                <w:tcPr>
                  <w:tcW w:w="926" w:type="dxa"/>
                </w:tcPr>
                <w:p w14:paraId="16541C5D" w14:textId="27DD297A" w:rsidR="007B02E9" w:rsidRPr="00DA3ED2" w:rsidRDefault="007B02E9" w:rsidP="00F21574">
                  <w:pPr>
                    <w:spacing w:after="0" w:line="240" w:lineRule="auto"/>
                    <w:jc w:val="center"/>
                    <w:rPr>
                      <w:rFonts w:ascii="Times New Roman" w:hAnsi="Times New Roman"/>
                    </w:rPr>
                  </w:pPr>
                  <w:r w:rsidRPr="00DA3ED2">
                    <w:rPr>
                      <w:rFonts w:ascii="Times New Roman" w:hAnsi="Times New Roman"/>
                    </w:rPr>
                    <w:t>2,95</w:t>
                  </w:r>
                </w:p>
              </w:tc>
              <w:tc>
                <w:tcPr>
                  <w:tcW w:w="992" w:type="dxa"/>
                </w:tcPr>
                <w:p w14:paraId="05CE6C1E" w14:textId="315B4ADF" w:rsidR="007B02E9" w:rsidRPr="00DA3ED2" w:rsidRDefault="007B02E9" w:rsidP="00F21574">
                  <w:pPr>
                    <w:spacing w:after="0" w:line="240" w:lineRule="auto"/>
                    <w:jc w:val="center"/>
                    <w:rPr>
                      <w:rFonts w:ascii="Times New Roman" w:hAnsi="Times New Roman"/>
                    </w:rPr>
                  </w:pPr>
                  <w:r w:rsidRPr="00DA3ED2">
                    <w:rPr>
                      <w:rFonts w:ascii="Times New Roman" w:hAnsi="Times New Roman"/>
                    </w:rPr>
                    <w:t>8</w:t>
                  </w:r>
                </w:p>
              </w:tc>
              <w:tc>
                <w:tcPr>
                  <w:tcW w:w="992" w:type="dxa"/>
                </w:tcPr>
                <w:p w14:paraId="5B1681A1" w14:textId="77777777" w:rsidR="007B02E9" w:rsidRPr="00DA3ED2" w:rsidRDefault="007B02E9" w:rsidP="00F21574">
                  <w:pPr>
                    <w:spacing w:after="0" w:line="240" w:lineRule="auto"/>
                    <w:jc w:val="center"/>
                    <w:rPr>
                      <w:rFonts w:ascii="Times New Roman" w:hAnsi="Times New Roman"/>
                    </w:rPr>
                  </w:pPr>
                  <w:r w:rsidRPr="00DA3ED2">
                    <w:rPr>
                      <w:rFonts w:ascii="Times New Roman" w:hAnsi="Times New Roman"/>
                    </w:rPr>
                    <w:t>67,44</w:t>
                  </w:r>
                </w:p>
              </w:tc>
              <w:tc>
                <w:tcPr>
                  <w:tcW w:w="1484" w:type="dxa"/>
                </w:tcPr>
                <w:p w14:paraId="5B18BB4A" w14:textId="54AE8017" w:rsidR="007B02E9" w:rsidRPr="00DA3ED2" w:rsidRDefault="007B02E9" w:rsidP="000E6D09">
                  <w:pPr>
                    <w:spacing w:after="0" w:line="240" w:lineRule="auto"/>
                    <w:rPr>
                      <w:rFonts w:ascii="Times New Roman" w:hAnsi="Times New Roman"/>
                    </w:rPr>
                  </w:pPr>
                  <w:r w:rsidRPr="00DA3ED2">
                    <w:rPr>
                      <w:rFonts w:ascii="Times New Roman" w:hAnsi="Times New Roman"/>
                    </w:rPr>
                    <w:t>23,60</w:t>
                  </w:r>
                </w:p>
              </w:tc>
            </w:tr>
          </w:tbl>
          <w:p w14:paraId="583E6426" w14:textId="77777777" w:rsidR="0032115E" w:rsidRPr="00DA3ED2" w:rsidRDefault="0032115E" w:rsidP="0032115E">
            <w:pPr>
              <w:spacing w:after="0" w:line="240" w:lineRule="auto"/>
              <w:rPr>
                <w:rFonts w:ascii="Times New Roman" w:hAnsi="Times New Roman"/>
                <w:sz w:val="24"/>
                <w:szCs w:val="24"/>
              </w:rPr>
            </w:pPr>
          </w:p>
          <w:p w14:paraId="6C94E795" w14:textId="77777777" w:rsidR="0032115E" w:rsidRPr="00DA3ED2" w:rsidRDefault="0032115E" w:rsidP="0032115E">
            <w:pPr>
              <w:spacing w:after="0" w:line="240" w:lineRule="auto"/>
              <w:rPr>
                <w:rFonts w:ascii="Times New Roman" w:hAnsi="Times New Roman"/>
                <w:b/>
                <w:sz w:val="24"/>
                <w:szCs w:val="24"/>
              </w:rPr>
            </w:pPr>
            <w:r w:rsidRPr="00DA3ED2">
              <w:rPr>
                <w:rFonts w:ascii="Times New Roman" w:hAnsi="Times New Roman"/>
                <w:b/>
                <w:sz w:val="24"/>
                <w:szCs w:val="24"/>
              </w:rPr>
              <w:t>Netiešās izmaksas</w:t>
            </w:r>
          </w:p>
          <w:tbl>
            <w:tblPr>
              <w:tblStyle w:val="TableGrid"/>
              <w:tblW w:w="6874" w:type="dxa"/>
              <w:tblLayout w:type="fixed"/>
              <w:tblLook w:val="04A0" w:firstRow="1" w:lastRow="0" w:firstColumn="1" w:lastColumn="0" w:noHBand="0" w:noVBand="1"/>
            </w:tblPr>
            <w:tblGrid>
              <w:gridCol w:w="3029"/>
              <w:gridCol w:w="1570"/>
              <w:gridCol w:w="2275"/>
            </w:tblGrid>
            <w:tr w:rsidR="007B02E9" w:rsidRPr="00DA3ED2" w14:paraId="29937485" w14:textId="1B1C12CC" w:rsidTr="00746D7A">
              <w:tc>
                <w:tcPr>
                  <w:tcW w:w="3029" w:type="dxa"/>
                </w:tcPr>
                <w:p w14:paraId="278540E8" w14:textId="77777777" w:rsidR="007B02E9" w:rsidRPr="00DA3ED2" w:rsidRDefault="007B02E9" w:rsidP="007B02E9">
                  <w:pPr>
                    <w:spacing w:after="0" w:line="240" w:lineRule="auto"/>
                    <w:rPr>
                      <w:rFonts w:ascii="Times New Roman" w:hAnsi="Times New Roman"/>
                      <w:i/>
                    </w:rPr>
                  </w:pPr>
                  <w:r w:rsidRPr="00DA3ED2">
                    <w:rPr>
                      <w:rFonts w:ascii="Times New Roman" w:hAnsi="Times New Roman"/>
                      <w:i/>
                    </w:rPr>
                    <w:t>Rādītājs un mērvienība</w:t>
                  </w:r>
                </w:p>
              </w:tc>
              <w:tc>
                <w:tcPr>
                  <w:tcW w:w="1570" w:type="dxa"/>
                </w:tcPr>
                <w:p w14:paraId="3E17CED6" w14:textId="77777777" w:rsidR="007B02E9" w:rsidRPr="00DA3ED2" w:rsidRDefault="007B02E9" w:rsidP="007B02E9">
                  <w:pPr>
                    <w:spacing w:after="0" w:line="240" w:lineRule="auto"/>
                    <w:rPr>
                      <w:rFonts w:ascii="Times New Roman" w:hAnsi="Times New Roman"/>
                      <w:i/>
                    </w:rPr>
                  </w:pPr>
                  <w:r w:rsidRPr="00DA3ED2">
                    <w:rPr>
                      <w:rFonts w:ascii="Times New Roman" w:hAnsi="Times New Roman"/>
                      <w:i/>
                    </w:rPr>
                    <w:t>Izmaksas</w:t>
                  </w:r>
                </w:p>
                <w:p w14:paraId="3266B751" w14:textId="5E9EC1A9" w:rsidR="007B02E9" w:rsidRPr="00DA3ED2" w:rsidRDefault="007B02E9" w:rsidP="007B02E9">
                  <w:pPr>
                    <w:spacing w:after="0" w:line="240" w:lineRule="auto"/>
                    <w:rPr>
                      <w:rFonts w:ascii="Times New Roman" w:hAnsi="Times New Roman"/>
                    </w:rPr>
                  </w:pPr>
                  <w:proofErr w:type="spellStart"/>
                  <w:r w:rsidRPr="00DA3ED2">
                    <w:rPr>
                      <w:rFonts w:ascii="Times New Roman" w:hAnsi="Times New Roman"/>
                      <w:i/>
                    </w:rPr>
                    <w:lastRenderedPageBreak/>
                    <w:t>euro</w:t>
                  </w:r>
                  <w:proofErr w:type="spellEnd"/>
                  <w:r w:rsidRPr="00DA3ED2">
                    <w:rPr>
                      <w:rFonts w:ascii="Times New Roman" w:hAnsi="Times New Roman"/>
                      <w:i/>
                    </w:rPr>
                    <w:t xml:space="preserve"> </w:t>
                  </w:r>
                  <w:r w:rsidRPr="00DA3ED2">
                    <w:rPr>
                      <w:rFonts w:ascii="Times New Roman" w:hAnsi="Times New Roman"/>
                    </w:rPr>
                    <w:t>(2014.)</w:t>
                  </w:r>
                </w:p>
              </w:tc>
              <w:tc>
                <w:tcPr>
                  <w:tcW w:w="2275" w:type="dxa"/>
                </w:tcPr>
                <w:p w14:paraId="0730A8E7" w14:textId="77777777" w:rsidR="007B02E9" w:rsidRPr="00DA3ED2" w:rsidRDefault="007B02E9" w:rsidP="007B02E9">
                  <w:pPr>
                    <w:spacing w:after="0" w:line="240" w:lineRule="auto"/>
                    <w:rPr>
                      <w:rFonts w:ascii="Times New Roman" w:hAnsi="Times New Roman"/>
                      <w:i/>
                    </w:rPr>
                  </w:pPr>
                  <w:r w:rsidRPr="00DA3ED2">
                    <w:rPr>
                      <w:rFonts w:ascii="Times New Roman" w:hAnsi="Times New Roman"/>
                      <w:i/>
                    </w:rPr>
                    <w:lastRenderedPageBreak/>
                    <w:t>Izmaksas</w:t>
                  </w:r>
                </w:p>
                <w:p w14:paraId="1F09EF0F" w14:textId="4368406B" w:rsidR="007B02E9" w:rsidRPr="00DA3ED2" w:rsidRDefault="007B02E9" w:rsidP="007B02E9">
                  <w:pPr>
                    <w:spacing w:after="0" w:line="240" w:lineRule="auto"/>
                    <w:rPr>
                      <w:rFonts w:ascii="Times New Roman" w:hAnsi="Times New Roman"/>
                    </w:rPr>
                  </w:pPr>
                  <w:proofErr w:type="spellStart"/>
                  <w:r w:rsidRPr="00DA3ED2">
                    <w:rPr>
                      <w:rFonts w:ascii="Times New Roman" w:hAnsi="Times New Roman"/>
                      <w:i/>
                    </w:rPr>
                    <w:lastRenderedPageBreak/>
                    <w:t>euro</w:t>
                  </w:r>
                  <w:proofErr w:type="spellEnd"/>
                  <w:r w:rsidRPr="00DA3ED2">
                    <w:rPr>
                      <w:rFonts w:ascii="Times New Roman" w:hAnsi="Times New Roman"/>
                      <w:i/>
                    </w:rPr>
                    <w:t xml:space="preserve"> </w:t>
                  </w:r>
                  <w:r w:rsidRPr="00DA3ED2">
                    <w:rPr>
                      <w:rFonts w:ascii="Times New Roman" w:hAnsi="Times New Roman"/>
                    </w:rPr>
                    <w:t>(2002.)</w:t>
                  </w:r>
                </w:p>
              </w:tc>
            </w:tr>
            <w:tr w:rsidR="007B02E9" w:rsidRPr="00DA3ED2" w14:paraId="07280ACB" w14:textId="5B24C8D9" w:rsidTr="00746D7A">
              <w:tc>
                <w:tcPr>
                  <w:tcW w:w="3029" w:type="dxa"/>
                </w:tcPr>
                <w:p w14:paraId="18E9E0D8" w14:textId="77777777" w:rsidR="007B02E9" w:rsidRPr="00DA3ED2" w:rsidRDefault="007B02E9" w:rsidP="007B02E9">
                  <w:pPr>
                    <w:spacing w:after="0" w:line="240" w:lineRule="auto"/>
                    <w:rPr>
                      <w:rFonts w:ascii="Times New Roman" w:hAnsi="Times New Roman"/>
                    </w:rPr>
                  </w:pPr>
                  <w:r w:rsidRPr="00DA3ED2">
                    <w:rPr>
                      <w:rFonts w:ascii="Times New Roman" w:hAnsi="Times New Roman"/>
                    </w:rPr>
                    <w:lastRenderedPageBreak/>
                    <w:t>Sekretāres – lietvedes darba apmaksa (komunikācijas ar klientu, korespondences sagatavošana, dokumentu plūsmas pārvaldīšana)</w:t>
                  </w:r>
                </w:p>
              </w:tc>
              <w:tc>
                <w:tcPr>
                  <w:tcW w:w="1570" w:type="dxa"/>
                </w:tcPr>
                <w:p w14:paraId="60CC6378" w14:textId="77777777" w:rsidR="007B02E9" w:rsidRPr="00DA3ED2" w:rsidRDefault="007B02E9" w:rsidP="007B02E9">
                  <w:pPr>
                    <w:spacing w:after="0" w:line="240" w:lineRule="auto"/>
                    <w:rPr>
                      <w:rFonts w:ascii="Times New Roman" w:hAnsi="Times New Roman"/>
                    </w:rPr>
                  </w:pPr>
                  <w:r w:rsidRPr="00DA3ED2">
                    <w:rPr>
                      <w:rFonts w:ascii="Times New Roman" w:hAnsi="Times New Roman"/>
                    </w:rPr>
                    <w:t xml:space="preserve">5,57 </w:t>
                  </w:r>
                  <w:proofErr w:type="spellStart"/>
                  <w:r w:rsidRPr="00DA3ED2">
                    <w:rPr>
                      <w:rFonts w:ascii="Times New Roman" w:hAnsi="Times New Roman"/>
                      <w:i/>
                    </w:rPr>
                    <w:t>euro</w:t>
                  </w:r>
                  <w:proofErr w:type="spellEnd"/>
                  <w:r w:rsidRPr="00DA3ED2" w:rsidDel="009C7ABE">
                    <w:rPr>
                      <w:rFonts w:ascii="Times New Roman" w:hAnsi="Times New Roman"/>
                    </w:rPr>
                    <w:t xml:space="preserve"> </w:t>
                  </w:r>
                  <w:r w:rsidRPr="00DA3ED2">
                    <w:rPr>
                      <w:rFonts w:ascii="Times New Roman" w:hAnsi="Times New Roman"/>
                    </w:rPr>
                    <w:t>/stundā * 0,5 stundas</w:t>
                  </w:r>
                </w:p>
                <w:p w14:paraId="5F637FBB" w14:textId="1C10E084" w:rsidR="007B02E9" w:rsidRPr="00DA3ED2" w:rsidRDefault="007B02E9" w:rsidP="007B02E9">
                  <w:pPr>
                    <w:spacing w:after="0" w:line="240" w:lineRule="auto"/>
                    <w:rPr>
                      <w:rFonts w:ascii="Times New Roman" w:hAnsi="Times New Roman"/>
                    </w:rPr>
                  </w:pPr>
                  <w:r w:rsidRPr="00DA3ED2">
                    <w:rPr>
                      <w:rFonts w:ascii="Times New Roman" w:hAnsi="Times New Roman"/>
                    </w:rPr>
                    <w:t xml:space="preserve"> = 2,79 </w:t>
                  </w:r>
                </w:p>
              </w:tc>
              <w:tc>
                <w:tcPr>
                  <w:tcW w:w="2275" w:type="dxa"/>
                </w:tcPr>
                <w:p w14:paraId="69749609" w14:textId="61D0D759" w:rsidR="007B02E9" w:rsidRPr="00DA3ED2" w:rsidRDefault="007B02E9" w:rsidP="007B02E9">
                  <w:pPr>
                    <w:spacing w:after="0" w:line="240" w:lineRule="auto"/>
                    <w:rPr>
                      <w:rFonts w:ascii="Times New Roman" w:hAnsi="Times New Roman"/>
                    </w:rPr>
                  </w:pPr>
                  <w:r w:rsidRPr="00DA3ED2">
                    <w:rPr>
                      <w:rFonts w:ascii="Times New Roman" w:hAnsi="Times New Roman"/>
                    </w:rPr>
                    <w:t xml:space="preserve">1,96 </w:t>
                  </w:r>
                  <w:proofErr w:type="spellStart"/>
                  <w:r w:rsidRPr="00DA3ED2">
                    <w:rPr>
                      <w:rFonts w:ascii="Times New Roman" w:hAnsi="Times New Roman"/>
                      <w:i/>
                    </w:rPr>
                    <w:t>euro</w:t>
                  </w:r>
                  <w:proofErr w:type="spellEnd"/>
                  <w:r w:rsidRPr="00DA3ED2" w:rsidDel="009C7ABE">
                    <w:rPr>
                      <w:rFonts w:ascii="Times New Roman" w:hAnsi="Times New Roman"/>
                    </w:rPr>
                    <w:t xml:space="preserve"> </w:t>
                  </w:r>
                  <w:r w:rsidRPr="00DA3ED2">
                    <w:rPr>
                      <w:rFonts w:ascii="Times New Roman" w:hAnsi="Times New Roman"/>
                    </w:rPr>
                    <w:t>/stundā * 0,5 stundas</w:t>
                  </w:r>
                </w:p>
                <w:p w14:paraId="2D3A01BA" w14:textId="1C110866" w:rsidR="007B02E9" w:rsidRPr="00DA3ED2" w:rsidRDefault="007B02E9" w:rsidP="004B72DA">
                  <w:pPr>
                    <w:spacing w:after="0" w:line="240" w:lineRule="auto"/>
                    <w:rPr>
                      <w:rFonts w:ascii="Times New Roman" w:hAnsi="Times New Roman"/>
                    </w:rPr>
                  </w:pPr>
                  <w:r w:rsidRPr="00DA3ED2">
                    <w:rPr>
                      <w:rFonts w:ascii="Times New Roman" w:hAnsi="Times New Roman"/>
                    </w:rPr>
                    <w:t xml:space="preserve"> = </w:t>
                  </w:r>
                  <w:r w:rsidR="004B72DA" w:rsidRPr="00DA3ED2">
                    <w:rPr>
                      <w:rFonts w:ascii="Times New Roman" w:hAnsi="Times New Roman"/>
                    </w:rPr>
                    <w:t>0,98</w:t>
                  </w:r>
                  <w:r w:rsidRPr="00DA3ED2">
                    <w:rPr>
                      <w:rFonts w:ascii="Times New Roman" w:hAnsi="Times New Roman"/>
                    </w:rPr>
                    <w:t xml:space="preserve"> </w:t>
                  </w:r>
                </w:p>
              </w:tc>
            </w:tr>
            <w:tr w:rsidR="007B02E9" w:rsidRPr="00DA3ED2" w14:paraId="0B867E1D" w14:textId="25610EB2" w:rsidTr="00746D7A">
              <w:tc>
                <w:tcPr>
                  <w:tcW w:w="3029" w:type="dxa"/>
                </w:tcPr>
                <w:p w14:paraId="2632C9C4" w14:textId="77777777" w:rsidR="007B02E9" w:rsidRPr="00DA3ED2" w:rsidRDefault="007B02E9" w:rsidP="007B02E9">
                  <w:pPr>
                    <w:spacing w:after="0" w:line="240" w:lineRule="auto"/>
                    <w:jc w:val="both"/>
                    <w:rPr>
                      <w:rFonts w:ascii="Times New Roman" w:hAnsi="Times New Roman"/>
                    </w:rPr>
                  </w:pPr>
                  <w:r w:rsidRPr="00DA3ED2">
                    <w:rPr>
                      <w:rFonts w:ascii="Times New Roman" w:hAnsi="Times New Roman"/>
                    </w:rPr>
                    <w:t xml:space="preserve">Profesionālās kvalifikācijas atzīšanas pakalpojuma sniegšanas institūcijas darba organizācijas izdevumi papildus tiešajām ar profesionālās kvalifikācijas atzīšanas dokumentu ekspertīzi un izziņas sagatavošanu saistītajām izmaksām. </w:t>
                  </w:r>
                </w:p>
                <w:p w14:paraId="05732AA4" w14:textId="7BC258B9" w:rsidR="007B02E9" w:rsidRPr="00DA3ED2" w:rsidRDefault="007B02E9" w:rsidP="007B02E9">
                  <w:pPr>
                    <w:spacing w:after="0" w:line="240" w:lineRule="auto"/>
                    <w:jc w:val="both"/>
                    <w:rPr>
                      <w:rFonts w:ascii="Times New Roman" w:hAnsi="Times New Roman"/>
                    </w:rPr>
                  </w:pPr>
                  <w:r w:rsidRPr="00DA3ED2">
                    <w:rPr>
                      <w:rFonts w:ascii="Times New Roman" w:hAnsi="Times New Roman"/>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w:t>
                  </w:r>
                  <w:r w:rsidR="00066F6E" w:rsidRPr="00DA3ED2">
                    <w:rPr>
                      <w:rFonts w:ascii="Times New Roman" w:hAnsi="Times New Roman"/>
                    </w:rPr>
                    <w:t>, kā arī izdevumi, kas saistīti ar institūcijas darbību, piemēram, grāmatvedības funkcijas, pārskatu gatavošana.</w:t>
                  </w:r>
                </w:p>
              </w:tc>
              <w:tc>
                <w:tcPr>
                  <w:tcW w:w="1570" w:type="dxa"/>
                </w:tcPr>
                <w:p w14:paraId="2E377F2A" w14:textId="77777777" w:rsidR="007B02E9" w:rsidRPr="00DA3ED2" w:rsidRDefault="007B02E9" w:rsidP="007B02E9">
                  <w:pPr>
                    <w:spacing w:after="0" w:line="240" w:lineRule="auto"/>
                    <w:rPr>
                      <w:rFonts w:ascii="Times New Roman" w:hAnsi="Times New Roman"/>
                      <w:bCs/>
                    </w:rPr>
                  </w:pPr>
                  <w:r w:rsidRPr="00DA3ED2">
                    <w:rPr>
                      <w:rFonts w:ascii="Times New Roman" w:hAnsi="Times New Roman"/>
                      <w:bCs/>
                    </w:rPr>
                    <w:t>19,77</w:t>
                  </w:r>
                </w:p>
                <w:p w14:paraId="221640D5" w14:textId="77777777" w:rsidR="007B02E9" w:rsidRPr="00DA3ED2" w:rsidRDefault="007B02E9" w:rsidP="007B02E9">
                  <w:pPr>
                    <w:spacing w:after="0" w:line="240" w:lineRule="auto"/>
                    <w:rPr>
                      <w:rFonts w:ascii="Times New Roman" w:hAnsi="Times New Roman"/>
                      <w:bCs/>
                    </w:rPr>
                  </w:pPr>
                </w:p>
                <w:p w14:paraId="4AC1E54C" w14:textId="77777777" w:rsidR="007B02E9" w:rsidRPr="00DA3ED2" w:rsidRDefault="007B02E9" w:rsidP="007B02E9">
                  <w:pPr>
                    <w:spacing w:after="0" w:line="240" w:lineRule="auto"/>
                    <w:rPr>
                      <w:rFonts w:ascii="Times New Roman" w:hAnsi="Times New Roman"/>
                    </w:rPr>
                  </w:pPr>
                </w:p>
              </w:tc>
              <w:tc>
                <w:tcPr>
                  <w:tcW w:w="2275" w:type="dxa"/>
                </w:tcPr>
                <w:p w14:paraId="570A2EB3" w14:textId="65550C82" w:rsidR="007B02E9" w:rsidRPr="00DA3ED2" w:rsidRDefault="00A8486E" w:rsidP="007B02E9">
                  <w:pPr>
                    <w:spacing w:after="0" w:line="240" w:lineRule="auto"/>
                    <w:rPr>
                      <w:rFonts w:ascii="Times New Roman" w:hAnsi="Times New Roman"/>
                      <w:bCs/>
                    </w:rPr>
                  </w:pPr>
                  <w:r w:rsidRPr="00DA3ED2">
                    <w:rPr>
                      <w:rFonts w:ascii="Times New Roman" w:hAnsi="Times New Roman"/>
                      <w:bCs/>
                    </w:rPr>
                    <w:t>2,87</w:t>
                  </w:r>
                </w:p>
                <w:p w14:paraId="3CAE7AFE" w14:textId="77777777" w:rsidR="007B02E9" w:rsidRPr="00DA3ED2" w:rsidRDefault="007B02E9" w:rsidP="007B02E9">
                  <w:pPr>
                    <w:spacing w:after="0" w:line="240" w:lineRule="auto"/>
                    <w:rPr>
                      <w:rFonts w:ascii="Times New Roman" w:hAnsi="Times New Roman"/>
                      <w:bCs/>
                    </w:rPr>
                  </w:pPr>
                </w:p>
                <w:p w14:paraId="177D7924" w14:textId="77777777" w:rsidR="007B02E9" w:rsidRPr="00DA3ED2" w:rsidRDefault="007B02E9" w:rsidP="007B02E9">
                  <w:pPr>
                    <w:spacing w:after="0" w:line="240" w:lineRule="auto"/>
                    <w:rPr>
                      <w:rFonts w:ascii="Times New Roman" w:hAnsi="Times New Roman"/>
                      <w:bCs/>
                    </w:rPr>
                  </w:pPr>
                </w:p>
              </w:tc>
            </w:tr>
            <w:tr w:rsidR="007B02E9" w:rsidRPr="00DA3ED2" w14:paraId="342DB63A" w14:textId="439D0F94" w:rsidTr="00746D7A">
              <w:tc>
                <w:tcPr>
                  <w:tcW w:w="3029" w:type="dxa"/>
                </w:tcPr>
                <w:p w14:paraId="41A0C86C" w14:textId="77777777" w:rsidR="007B02E9" w:rsidRPr="00DA3ED2" w:rsidRDefault="007B02E9" w:rsidP="007B02E9">
                  <w:pPr>
                    <w:spacing w:after="0" w:line="240" w:lineRule="auto"/>
                    <w:jc w:val="both"/>
                    <w:rPr>
                      <w:rFonts w:ascii="Times New Roman" w:hAnsi="Times New Roman"/>
                    </w:rPr>
                  </w:pPr>
                  <w:r w:rsidRPr="00DA3ED2">
                    <w:rPr>
                      <w:rFonts w:ascii="Times New Roman" w:hAnsi="Times New Roman"/>
                    </w:rPr>
                    <w:t>Institūcijas darbinieku kompetences paaugstināšana apmācībās, kā arī ar līdzdalību starptautiskajās profesionālās kvalifikācijas atzīšanas sanāksmēs, kursos, u.c. pasākumos, profesionālas literatūras iegāde.</w:t>
                  </w:r>
                </w:p>
              </w:tc>
              <w:tc>
                <w:tcPr>
                  <w:tcW w:w="1570" w:type="dxa"/>
                </w:tcPr>
                <w:p w14:paraId="50359F51" w14:textId="77777777" w:rsidR="007B02E9" w:rsidRPr="00DA3ED2" w:rsidRDefault="007B02E9" w:rsidP="007B02E9">
                  <w:pPr>
                    <w:spacing w:after="0" w:line="240" w:lineRule="auto"/>
                    <w:rPr>
                      <w:rFonts w:ascii="Times New Roman" w:hAnsi="Times New Roman"/>
                      <w:bCs/>
                    </w:rPr>
                  </w:pPr>
                  <w:r w:rsidRPr="00DA3ED2">
                    <w:rPr>
                      <w:rFonts w:ascii="Times New Roman" w:hAnsi="Times New Roman"/>
                      <w:bCs/>
                    </w:rPr>
                    <w:t>10,00</w:t>
                  </w:r>
                </w:p>
              </w:tc>
              <w:tc>
                <w:tcPr>
                  <w:tcW w:w="2275" w:type="dxa"/>
                </w:tcPr>
                <w:p w14:paraId="7B6B6EC3" w14:textId="0ACDB411" w:rsidR="007B02E9" w:rsidRPr="00DA3ED2" w:rsidRDefault="00A8486E" w:rsidP="007B02E9">
                  <w:pPr>
                    <w:spacing w:after="0" w:line="240" w:lineRule="auto"/>
                    <w:rPr>
                      <w:rFonts w:ascii="Times New Roman" w:hAnsi="Times New Roman"/>
                      <w:bCs/>
                    </w:rPr>
                  </w:pPr>
                  <w:r w:rsidRPr="00DA3ED2">
                    <w:rPr>
                      <w:rFonts w:ascii="Times New Roman" w:hAnsi="Times New Roman"/>
                      <w:bCs/>
                    </w:rPr>
                    <w:t>1,00</w:t>
                  </w:r>
                </w:p>
              </w:tc>
            </w:tr>
            <w:tr w:rsidR="007B02E9" w:rsidRPr="00DA3ED2" w14:paraId="076121C3" w14:textId="63853269" w:rsidTr="00746D7A">
              <w:tc>
                <w:tcPr>
                  <w:tcW w:w="3029" w:type="dxa"/>
                </w:tcPr>
                <w:p w14:paraId="58B493B4" w14:textId="77777777" w:rsidR="007B02E9" w:rsidRPr="00DA3ED2" w:rsidRDefault="007B02E9" w:rsidP="007B02E9">
                  <w:pPr>
                    <w:spacing w:after="0" w:line="240" w:lineRule="auto"/>
                    <w:jc w:val="both"/>
                    <w:rPr>
                      <w:rFonts w:ascii="Times New Roman" w:hAnsi="Times New Roman"/>
                    </w:rPr>
                  </w:pPr>
                  <w:r w:rsidRPr="00DA3ED2">
                    <w:rPr>
                      <w:rFonts w:ascii="Times New Roman" w:hAnsi="Times New Roman"/>
                    </w:rPr>
                    <w:t>Kopā</w:t>
                  </w:r>
                </w:p>
              </w:tc>
              <w:tc>
                <w:tcPr>
                  <w:tcW w:w="1570" w:type="dxa"/>
                </w:tcPr>
                <w:p w14:paraId="229348EB" w14:textId="77777777" w:rsidR="007B02E9" w:rsidRPr="00DA3ED2" w:rsidRDefault="007B02E9" w:rsidP="007B02E9">
                  <w:pPr>
                    <w:spacing w:after="0" w:line="240" w:lineRule="auto"/>
                    <w:rPr>
                      <w:rFonts w:ascii="Times New Roman" w:hAnsi="Times New Roman"/>
                      <w:bCs/>
                    </w:rPr>
                  </w:pPr>
                  <w:r w:rsidRPr="00DA3ED2">
                    <w:rPr>
                      <w:rFonts w:ascii="Times New Roman" w:hAnsi="Times New Roman"/>
                      <w:bCs/>
                    </w:rPr>
                    <w:t>32,56</w:t>
                  </w:r>
                </w:p>
              </w:tc>
              <w:tc>
                <w:tcPr>
                  <w:tcW w:w="2275" w:type="dxa"/>
                </w:tcPr>
                <w:p w14:paraId="07EBE4DA" w14:textId="60A3905B" w:rsidR="007B02E9" w:rsidRPr="00DA3ED2" w:rsidRDefault="005F0690" w:rsidP="007B02E9">
                  <w:pPr>
                    <w:spacing w:after="0" w:line="240" w:lineRule="auto"/>
                    <w:rPr>
                      <w:rFonts w:ascii="Times New Roman" w:hAnsi="Times New Roman"/>
                      <w:bCs/>
                    </w:rPr>
                  </w:pPr>
                  <w:r w:rsidRPr="00DA3ED2">
                    <w:rPr>
                      <w:rFonts w:ascii="Times New Roman" w:hAnsi="Times New Roman"/>
                      <w:bCs/>
                    </w:rPr>
                    <w:t>4,85</w:t>
                  </w:r>
                </w:p>
              </w:tc>
            </w:tr>
          </w:tbl>
          <w:p w14:paraId="2A75B0F5" w14:textId="77777777" w:rsidR="005E6E9D" w:rsidRPr="00DA3ED2" w:rsidRDefault="005E6E9D" w:rsidP="0032115E">
            <w:pPr>
              <w:spacing w:after="0" w:line="240" w:lineRule="auto"/>
              <w:rPr>
                <w:rFonts w:ascii="Times New Roman" w:hAnsi="Times New Roman"/>
                <w:b/>
                <w:sz w:val="24"/>
                <w:szCs w:val="24"/>
              </w:rPr>
            </w:pPr>
          </w:p>
          <w:p w14:paraId="5199DE7E" w14:textId="77777777" w:rsidR="0032115E" w:rsidRPr="00DA3ED2" w:rsidRDefault="0032115E" w:rsidP="0032115E">
            <w:pPr>
              <w:spacing w:after="0" w:line="240" w:lineRule="auto"/>
              <w:rPr>
                <w:rFonts w:ascii="Times New Roman" w:hAnsi="Times New Roman"/>
                <w:b/>
                <w:sz w:val="24"/>
                <w:szCs w:val="24"/>
              </w:rPr>
            </w:pPr>
            <w:r w:rsidRPr="00DA3ED2">
              <w:rPr>
                <w:rFonts w:ascii="Times New Roman" w:hAnsi="Times New Roman"/>
                <w:b/>
                <w:sz w:val="24"/>
                <w:szCs w:val="24"/>
              </w:rPr>
              <w:t>Kopsavilkums</w:t>
            </w:r>
          </w:p>
          <w:tbl>
            <w:tblPr>
              <w:tblStyle w:val="TableGrid"/>
              <w:tblW w:w="0" w:type="auto"/>
              <w:tblLayout w:type="fixed"/>
              <w:tblLook w:val="04A0" w:firstRow="1" w:lastRow="0" w:firstColumn="1" w:lastColumn="0" w:noHBand="0" w:noVBand="1"/>
            </w:tblPr>
            <w:tblGrid>
              <w:gridCol w:w="2167"/>
              <w:gridCol w:w="1984"/>
              <w:gridCol w:w="1984"/>
            </w:tblGrid>
            <w:tr w:rsidR="00F21574" w:rsidRPr="00DA3ED2" w14:paraId="2C0DC648" w14:textId="0849893F" w:rsidTr="00746D7A">
              <w:tc>
                <w:tcPr>
                  <w:tcW w:w="2167" w:type="dxa"/>
                </w:tcPr>
                <w:p w14:paraId="16F97A31" w14:textId="77777777" w:rsidR="00F21574" w:rsidRPr="00DA3ED2" w:rsidRDefault="00F21574" w:rsidP="0032115E">
                  <w:pPr>
                    <w:spacing w:after="0" w:line="240" w:lineRule="auto"/>
                    <w:rPr>
                      <w:rFonts w:ascii="Times New Roman" w:hAnsi="Times New Roman"/>
                      <w:i/>
                    </w:rPr>
                  </w:pPr>
                  <w:r w:rsidRPr="00DA3ED2">
                    <w:rPr>
                      <w:rFonts w:ascii="Times New Roman" w:hAnsi="Times New Roman"/>
                      <w:i/>
                    </w:rPr>
                    <w:t>Izmaksu grupa</w:t>
                  </w:r>
                </w:p>
              </w:tc>
              <w:tc>
                <w:tcPr>
                  <w:tcW w:w="1984" w:type="dxa"/>
                </w:tcPr>
                <w:p w14:paraId="7BD16B49" w14:textId="7D79DDB3" w:rsidR="00F21574" w:rsidRPr="00DA3ED2" w:rsidRDefault="00F21574" w:rsidP="0032115E">
                  <w:pPr>
                    <w:spacing w:after="0" w:line="240" w:lineRule="auto"/>
                    <w:rPr>
                      <w:rFonts w:ascii="Times New Roman" w:hAnsi="Times New Roman"/>
                    </w:rPr>
                  </w:pPr>
                  <w:r w:rsidRPr="00DA3ED2">
                    <w:rPr>
                      <w:rFonts w:ascii="Times New Roman" w:hAnsi="Times New Roman"/>
                      <w:i/>
                    </w:rPr>
                    <w:t xml:space="preserve">Izmaksas </w:t>
                  </w: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c>
                <w:tcPr>
                  <w:tcW w:w="1984" w:type="dxa"/>
                </w:tcPr>
                <w:p w14:paraId="0822F79A" w14:textId="006F9325" w:rsidR="00F21574" w:rsidRPr="00DA3ED2" w:rsidRDefault="00F21574" w:rsidP="0032115E">
                  <w:pPr>
                    <w:spacing w:after="0" w:line="240" w:lineRule="auto"/>
                    <w:rPr>
                      <w:rFonts w:ascii="Times New Roman" w:hAnsi="Times New Roman"/>
                      <w:i/>
                    </w:rPr>
                  </w:pPr>
                  <w:r w:rsidRPr="00DA3ED2">
                    <w:rPr>
                      <w:rFonts w:ascii="Times New Roman" w:hAnsi="Times New Roman"/>
                      <w:i/>
                    </w:rPr>
                    <w:t xml:space="preserve">Izmaksas </w:t>
                  </w: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(2002.)</w:t>
                  </w:r>
                </w:p>
              </w:tc>
            </w:tr>
            <w:tr w:rsidR="00F21574" w:rsidRPr="00DA3ED2" w14:paraId="2CECC28F" w14:textId="40818DE3" w:rsidTr="00746D7A">
              <w:tc>
                <w:tcPr>
                  <w:tcW w:w="2167" w:type="dxa"/>
                </w:tcPr>
                <w:p w14:paraId="277C8E40"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Tiešās izmaksas</w:t>
                  </w:r>
                </w:p>
              </w:tc>
              <w:tc>
                <w:tcPr>
                  <w:tcW w:w="1984" w:type="dxa"/>
                </w:tcPr>
                <w:p w14:paraId="7069FBC6"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67,44</w:t>
                  </w:r>
                </w:p>
              </w:tc>
              <w:tc>
                <w:tcPr>
                  <w:tcW w:w="1984" w:type="dxa"/>
                </w:tcPr>
                <w:p w14:paraId="452D071F" w14:textId="1734C3E1" w:rsidR="00F21574" w:rsidRPr="00DA3ED2" w:rsidRDefault="00F32794" w:rsidP="0032115E">
                  <w:pPr>
                    <w:spacing w:after="0" w:line="240" w:lineRule="auto"/>
                    <w:rPr>
                      <w:rFonts w:ascii="Times New Roman" w:hAnsi="Times New Roman"/>
                    </w:rPr>
                  </w:pPr>
                  <w:r w:rsidRPr="00DA3ED2">
                    <w:rPr>
                      <w:rFonts w:ascii="Times New Roman" w:hAnsi="Times New Roman"/>
                    </w:rPr>
                    <w:t>23,60</w:t>
                  </w:r>
                </w:p>
              </w:tc>
            </w:tr>
            <w:tr w:rsidR="00F21574" w:rsidRPr="00DA3ED2" w14:paraId="2B85BAA6" w14:textId="6B76F8F1" w:rsidTr="00746D7A">
              <w:tc>
                <w:tcPr>
                  <w:tcW w:w="2167" w:type="dxa"/>
                </w:tcPr>
                <w:p w14:paraId="11F0A385"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 xml:space="preserve">Netiešās izmaksas </w:t>
                  </w:r>
                </w:p>
              </w:tc>
              <w:tc>
                <w:tcPr>
                  <w:tcW w:w="1984" w:type="dxa"/>
                </w:tcPr>
                <w:p w14:paraId="57BDE84D"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32,56</w:t>
                  </w:r>
                </w:p>
              </w:tc>
              <w:tc>
                <w:tcPr>
                  <w:tcW w:w="1984" w:type="dxa"/>
                </w:tcPr>
                <w:p w14:paraId="4E3916BB" w14:textId="5E4B4030" w:rsidR="00F21574" w:rsidRPr="00DA3ED2" w:rsidRDefault="00F32794" w:rsidP="0032115E">
                  <w:pPr>
                    <w:spacing w:after="0" w:line="240" w:lineRule="auto"/>
                    <w:rPr>
                      <w:rFonts w:ascii="Times New Roman" w:hAnsi="Times New Roman"/>
                    </w:rPr>
                  </w:pPr>
                  <w:r w:rsidRPr="00DA3ED2">
                    <w:rPr>
                      <w:rFonts w:ascii="Times New Roman" w:hAnsi="Times New Roman"/>
                    </w:rPr>
                    <w:t>4,85</w:t>
                  </w:r>
                </w:p>
              </w:tc>
            </w:tr>
            <w:tr w:rsidR="00F21574" w:rsidRPr="00DA3ED2" w14:paraId="077A1ED0" w14:textId="7F29F466" w:rsidTr="00746D7A">
              <w:tc>
                <w:tcPr>
                  <w:tcW w:w="2167" w:type="dxa"/>
                </w:tcPr>
                <w:p w14:paraId="445642A1"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Kopā</w:t>
                  </w:r>
                </w:p>
              </w:tc>
              <w:tc>
                <w:tcPr>
                  <w:tcW w:w="1984" w:type="dxa"/>
                </w:tcPr>
                <w:p w14:paraId="3C46E98A" w14:textId="77777777" w:rsidR="00F21574" w:rsidRPr="00DA3ED2" w:rsidRDefault="00F21574" w:rsidP="0032115E">
                  <w:pPr>
                    <w:spacing w:after="0" w:line="240" w:lineRule="auto"/>
                    <w:rPr>
                      <w:rFonts w:ascii="Times New Roman" w:hAnsi="Times New Roman"/>
                    </w:rPr>
                  </w:pPr>
                  <w:r w:rsidRPr="00DA3ED2">
                    <w:rPr>
                      <w:rFonts w:ascii="Times New Roman" w:hAnsi="Times New Roman"/>
                    </w:rPr>
                    <w:t>100,00</w:t>
                  </w:r>
                </w:p>
              </w:tc>
              <w:tc>
                <w:tcPr>
                  <w:tcW w:w="1984" w:type="dxa"/>
                </w:tcPr>
                <w:p w14:paraId="0791DF8D" w14:textId="07EA6D26" w:rsidR="00F21574" w:rsidRPr="00DA3ED2" w:rsidRDefault="00F32794" w:rsidP="0032115E">
                  <w:pPr>
                    <w:spacing w:after="0" w:line="240" w:lineRule="auto"/>
                    <w:rPr>
                      <w:rFonts w:ascii="Times New Roman" w:hAnsi="Times New Roman"/>
                    </w:rPr>
                  </w:pPr>
                  <w:r w:rsidRPr="00DA3ED2">
                    <w:rPr>
                      <w:rFonts w:ascii="Times New Roman" w:hAnsi="Times New Roman"/>
                    </w:rPr>
                    <w:t>28,45</w:t>
                  </w:r>
                </w:p>
              </w:tc>
            </w:tr>
          </w:tbl>
          <w:p w14:paraId="273C52E9" w14:textId="77777777" w:rsidR="00605858" w:rsidRPr="00DA3ED2" w:rsidRDefault="00605858" w:rsidP="00D21BAD">
            <w:pPr>
              <w:spacing w:after="0" w:line="240" w:lineRule="auto"/>
              <w:jc w:val="both"/>
              <w:rPr>
                <w:rFonts w:ascii="Times New Roman" w:hAnsi="Times New Roman"/>
                <w:bCs/>
                <w:sz w:val="24"/>
                <w:szCs w:val="24"/>
              </w:rPr>
            </w:pPr>
          </w:p>
          <w:p w14:paraId="504577B4" w14:textId="6B297D1A" w:rsidR="00034659" w:rsidRPr="00DA3ED2" w:rsidRDefault="004B4D3F" w:rsidP="00034659">
            <w:pPr>
              <w:spacing w:after="0" w:line="240" w:lineRule="auto"/>
              <w:jc w:val="right"/>
              <w:rPr>
                <w:rFonts w:ascii="Times New Roman" w:hAnsi="Times New Roman"/>
                <w:b/>
                <w:i/>
                <w:sz w:val="24"/>
                <w:szCs w:val="24"/>
              </w:rPr>
            </w:pPr>
            <w:r w:rsidRPr="00DA3ED2">
              <w:rPr>
                <w:rFonts w:ascii="Times New Roman" w:hAnsi="Times New Roman"/>
                <w:i/>
                <w:sz w:val="24"/>
                <w:szCs w:val="24"/>
              </w:rPr>
              <w:t>3</w:t>
            </w:r>
            <w:r w:rsidR="00034659" w:rsidRPr="00DA3ED2">
              <w:rPr>
                <w:rFonts w:ascii="Times New Roman" w:hAnsi="Times New Roman"/>
                <w:i/>
                <w:sz w:val="24"/>
                <w:szCs w:val="24"/>
              </w:rPr>
              <w:t>.</w:t>
            </w:r>
            <w:r w:rsidR="00034659" w:rsidRPr="00DA3ED2">
              <w:rPr>
                <w:rFonts w:ascii="Times New Roman" w:hAnsi="Times New Roman"/>
                <w:i/>
                <w:sz w:val="24"/>
                <w:szCs w:val="24"/>
                <w:lang w:eastAsia="x-none"/>
              </w:rPr>
              <w:t>tabula</w:t>
            </w:r>
          </w:p>
          <w:p w14:paraId="140E2409" w14:textId="3FA20057" w:rsidR="00034659" w:rsidRPr="00DA3ED2" w:rsidRDefault="00034659" w:rsidP="00034659">
            <w:pPr>
              <w:spacing w:after="0" w:line="240" w:lineRule="auto"/>
              <w:jc w:val="center"/>
              <w:rPr>
                <w:rFonts w:ascii="Times New Roman" w:hAnsi="Times New Roman"/>
                <w:b/>
                <w:sz w:val="24"/>
                <w:szCs w:val="24"/>
              </w:rPr>
            </w:pPr>
            <w:r w:rsidRPr="00DA3ED2">
              <w:rPr>
                <w:rFonts w:ascii="Times New Roman" w:hAnsi="Times New Roman"/>
                <w:b/>
                <w:sz w:val="24"/>
                <w:szCs w:val="24"/>
              </w:rPr>
              <w:t>Institūcijas, kas izsniedz atzīšanas apliecības</w:t>
            </w:r>
            <w:r w:rsidR="005E6E9D" w:rsidRPr="00DA3ED2">
              <w:rPr>
                <w:rFonts w:ascii="Times New Roman" w:hAnsi="Times New Roman"/>
                <w:b/>
                <w:sz w:val="24"/>
                <w:szCs w:val="24"/>
              </w:rPr>
              <w:t>,</w:t>
            </w:r>
            <w:r w:rsidRPr="00DA3ED2">
              <w:rPr>
                <w:rFonts w:ascii="Times New Roman" w:hAnsi="Times New Roman"/>
                <w:b/>
                <w:sz w:val="24"/>
                <w:szCs w:val="24"/>
              </w:rPr>
              <w:t xml:space="preserve"> izmaksu aprēķins </w:t>
            </w:r>
            <w:r w:rsidR="004715DA" w:rsidRPr="00DA3ED2">
              <w:rPr>
                <w:rFonts w:ascii="Times New Roman" w:hAnsi="Times New Roman"/>
                <w:b/>
                <w:sz w:val="24"/>
                <w:szCs w:val="24"/>
              </w:rPr>
              <w:t xml:space="preserve">pieteikuma </w:t>
            </w:r>
            <w:proofErr w:type="spellStart"/>
            <w:r w:rsidR="004715DA" w:rsidRPr="00DA3ED2">
              <w:rPr>
                <w:rFonts w:ascii="Times New Roman" w:hAnsi="Times New Roman"/>
                <w:b/>
                <w:sz w:val="24"/>
                <w:szCs w:val="24"/>
              </w:rPr>
              <w:t>izvērtējumam</w:t>
            </w:r>
            <w:proofErr w:type="spellEnd"/>
            <w:r w:rsidR="004715DA" w:rsidRPr="00DA3ED2">
              <w:rPr>
                <w:rFonts w:ascii="Times New Roman" w:hAnsi="Times New Roman"/>
                <w:b/>
                <w:sz w:val="24"/>
                <w:szCs w:val="24"/>
              </w:rPr>
              <w:t xml:space="preserve"> </w:t>
            </w:r>
          </w:p>
          <w:p w14:paraId="7D893978" w14:textId="77777777" w:rsidR="00034659" w:rsidRPr="00DA3ED2" w:rsidRDefault="00034659" w:rsidP="00034659">
            <w:pPr>
              <w:spacing w:after="0" w:line="240" w:lineRule="auto"/>
              <w:jc w:val="center"/>
              <w:rPr>
                <w:rFonts w:ascii="Times New Roman" w:hAnsi="Times New Roman"/>
                <w:sz w:val="24"/>
                <w:szCs w:val="24"/>
              </w:rPr>
            </w:pPr>
          </w:p>
          <w:p w14:paraId="146EA662" w14:textId="79E0EAF3" w:rsidR="00034659" w:rsidRPr="00DA3ED2" w:rsidRDefault="004B4D3F" w:rsidP="00034659">
            <w:pPr>
              <w:spacing w:after="0" w:line="240" w:lineRule="auto"/>
              <w:rPr>
                <w:rFonts w:ascii="Times New Roman" w:hAnsi="Times New Roman"/>
                <w:b/>
                <w:sz w:val="24"/>
                <w:szCs w:val="24"/>
              </w:rPr>
            </w:pPr>
            <w:r w:rsidRPr="00DA3ED2">
              <w:rPr>
                <w:rFonts w:ascii="Times New Roman" w:hAnsi="Times New Roman"/>
                <w:b/>
                <w:sz w:val="24"/>
                <w:szCs w:val="24"/>
              </w:rPr>
              <w:t>3</w:t>
            </w:r>
            <w:r w:rsidR="00034659" w:rsidRPr="00DA3ED2">
              <w:rPr>
                <w:rFonts w:ascii="Times New Roman" w:hAnsi="Times New Roman"/>
                <w:b/>
                <w:sz w:val="24"/>
                <w:szCs w:val="24"/>
              </w:rPr>
              <w:t>.1. tabula Tiešās izmaksas</w:t>
            </w:r>
          </w:p>
          <w:tbl>
            <w:tblPr>
              <w:tblStyle w:val="TableGrid"/>
              <w:tblW w:w="6819" w:type="dxa"/>
              <w:tblLayout w:type="fixed"/>
              <w:tblLook w:val="04A0" w:firstRow="1" w:lastRow="0" w:firstColumn="1" w:lastColumn="0" w:noHBand="0" w:noVBand="1"/>
            </w:tblPr>
            <w:tblGrid>
              <w:gridCol w:w="1413"/>
              <w:gridCol w:w="1058"/>
              <w:gridCol w:w="1058"/>
              <w:gridCol w:w="1077"/>
              <w:gridCol w:w="986"/>
              <w:gridCol w:w="1227"/>
            </w:tblGrid>
            <w:tr w:rsidR="00C27AC5" w:rsidRPr="00DA3ED2" w14:paraId="7C72044F" w14:textId="77777777" w:rsidTr="000908E6">
              <w:tc>
                <w:tcPr>
                  <w:tcW w:w="1413" w:type="dxa"/>
                </w:tcPr>
                <w:p w14:paraId="0C8088D6" w14:textId="77777777" w:rsidR="00C27AC5" w:rsidRPr="00DA3ED2" w:rsidRDefault="00C27AC5" w:rsidP="00C27AC5">
                  <w:pPr>
                    <w:spacing w:after="0" w:line="240" w:lineRule="auto"/>
                    <w:rPr>
                      <w:rFonts w:ascii="Times New Roman" w:hAnsi="Times New Roman"/>
                      <w:i/>
                    </w:rPr>
                  </w:pPr>
                  <w:r w:rsidRPr="00DA3ED2">
                    <w:rPr>
                      <w:rFonts w:ascii="Times New Roman" w:hAnsi="Times New Roman"/>
                      <w:i/>
                    </w:rPr>
                    <w:lastRenderedPageBreak/>
                    <w:t>Rādītājs un mērvienība</w:t>
                  </w:r>
                </w:p>
              </w:tc>
              <w:tc>
                <w:tcPr>
                  <w:tcW w:w="1058" w:type="dxa"/>
                </w:tcPr>
                <w:p w14:paraId="3A0E3D1A" w14:textId="77777777" w:rsidR="00C27AC5" w:rsidRPr="00DA3ED2" w:rsidRDefault="00C27AC5" w:rsidP="00C27AC5">
                  <w:pPr>
                    <w:spacing w:after="0" w:line="240" w:lineRule="auto"/>
                    <w:rPr>
                      <w:rFonts w:ascii="Times New Roman" w:hAnsi="Times New Roman"/>
                      <w:i/>
                    </w:rPr>
                  </w:pPr>
                  <w:r w:rsidRPr="00DA3ED2">
                    <w:rPr>
                      <w:rFonts w:ascii="Times New Roman" w:hAnsi="Times New Roman"/>
                      <w:i/>
                    </w:rPr>
                    <w:t>Izmaksas</w:t>
                  </w:r>
                </w:p>
                <w:p w14:paraId="4F4AF399" w14:textId="77777777" w:rsidR="00C27AC5" w:rsidRPr="00DA3ED2" w:rsidRDefault="00C27AC5" w:rsidP="00C27AC5">
                  <w:pPr>
                    <w:spacing w:after="0" w:line="240" w:lineRule="auto"/>
                    <w:rPr>
                      <w:rFonts w:ascii="Times New Roman" w:hAnsi="Times New Roman"/>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c>
                <w:tcPr>
                  <w:tcW w:w="1058" w:type="dxa"/>
                </w:tcPr>
                <w:p w14:paraId="097016AB" w14:textId="77777777" w:rsidR="00C27AC5" w:rsidRPr="00DA3ED2" w:rsidRDefault="00C27AC5" w:rsidP="00C27AC5">
                  <w:pPr>
                    <w:spacing w:after="0" w:line="240" w:lineRule="auto"/>
                    <w:rPr>
                      <w:rFonts w:ascii="Times New Roman" w:hAnsi="Times New Roman"/>
                      <w:i/>
                    </w:rPr>
                  </w:pPr>
                  <w:r w:rsidRPr="00DA3ED2">
                    <w:rPr>
                      <w:rFonts w:ascii="Times New Roman" w:hAnsi="Times New Roman"/>
                      <w:i/>
                    </w:rPr>
                    <w:t>Izmaksas</w:t>
                  </w:r>
                </w:p>
                <w:p w14:paraId="2C2248AF" w14:textId="77777777" w:rsidR="00C27AC5" w:rsidRPr="00DA3ED2" w:rsidRDefault="00C27AC5" w:rsidP="00C27AC5">
                  <w:pPr>
                    <w:spacing w:after="0" w:line="240" w:lineRule="auto"/>
                    <w:rPr>
                      <w:rFonts w:ascii="Times New Roman" w:hAnsi="Times New Roman"/>
                      <w:i/>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(2002.)</w:t>
                  </w:r>
                </w:p>
              </w:tc>
              <w:tc>
                <w:tcPr>
                  <w:tcW w:w="1077" w:type="dxa"/>
                </w:tcPr>
                <w:p w14:paraId="3A4B1BA5" w14:textId="5748A39D" w:rsidR="00C27AC5" w:rsidRPr="00DA3ED2" w:rsidRDefault="00C27AC5" w:rsidP="00C27AC5">
                  <w:pPr>
                    <w:spacing w:after="0" w:line="240" w:lineRule="auto"/>
                    <w:rPr>
                      <w:rFonts w:ascii="Times New Roman" w:hAnsi="Times New Roman"/>
                      <w:i/>
                    </w:rPr>
                  </w:pPr>
                  <w:r w:rsidRPr="00DA3ED2">
                    <w:rPr>
                      <w:rFonts w:ascii="Times New Roman" w:hAnsi="Times New Roman"/>
                      <w:i/>
                    </w:rPr>
                    <w:t xml:space="preserve">Plānotais laika </w:t>
                  </w:r>
                  <w:proofErr w:type="spellStart"/>
                  <w:r w:rsidRPr="00DA3ED2">
                    <w:rPr>
                      <w:rFonts w:ascii="Times New Roman" w:hAnsi="Times New Roman"/>
                      <w:i/>
                    </w:rPr>
                    <w:t>ieguldī</w:t>
                  </w:r>
                  <w:proofErr w:type="spellEnd"/>
                  <w:r w:rsidR="000908E6" w:rsidRPr="00DA3ED2">
                    <w:rPr>
                      <w:rFonts w:ascii="Times New Roman" w:hAnsi="Times New Roman"/>
                      <w:i/>
                    </w:rPr>
                    <w:t>-</w:t>
                  </w:r>
                  <w:r w:rsidRPr="00DA3ED2">
                    <w:rPr>
                      <w:rFonts w:ascii="Times New Roman" w:hAnsi="Times New Roman"/>
                      <w:i/>
                    </w:rPr>
                    <w:t>jums pakal-</w:t>
                  </w:r>
                  <w:proofErr w:type="spellStart"/>
                  <w:r w:rsidRPr="00DA3ED2">
                    <w:rPr>
                      <w:rFonts w:ascii="Times New Roman" w:hAnsi="Times New Roman"/>
                      <w:i/>
                    </w:rPr>
                    <w:t>pojuma</w:t>
                  </w:r>
                  <w:proofErr w:type="spellEnd"/>
                  <w:r w:rsidRPr="00DA3ED2">
                    <w:rPr>
                      <w:rFonts w:ascii="Times New Roman" w:hAnsi="Times New Roman"/>
                      <w:i/>
                    </w:rPr>
                    <w:t xml:space="preserve"> snieg-</w:t>
                  </w:r>
                  <w:proofErr w:type="spellStart"/>
                  <w:r w:rsidRPr="00DA3ED2">
                    <w:rPr>
                      <w:rFonts w:ascii="Times New Roman" w:hAnsi="Times New Roman"/>
                      <w:i/>
                    </w:rPr>
                    <w:t>šanai</w:t>
                  </w:r>
                  <w:proofErr w:type="spellEnd"/>
                  <w:r w:rsidRPr="00DA3ED2">
                    <w:rPr>
                      <w:rFonts w:ascii="Times New Roman" w:hAnsi="Times New Roman"/>
                      <w:i/>
                    </w:rPr>
                    <w:t xml:space="preserve"> (h)</w:t>
                  </w:r>
                </w:p>
              </w:tc>
              <w:tc>
                <w:tcPr>
                  <w:tcW w:w="986" w:type="dxa"/>
                </w:tcPr>
                <w:p w14:paraId="6E705A03" w14:textId="124D7191" w:rsidR="00C27AC5" w:rsidRPr="00DA3ED2" w:rsidRDefault="00C27AC5" w:rsidP="00C27AC5">
                  <w:pPr>
                    <w:spacing w:after="0" w:line="240" w:lineRule="auto"/>
                    <w:rPr>
                      <w:rFonts w:ascii="Times New Roman" w:hAnsi="Times New Roman"/>
                      <w:i/>
                    </w:rPr>
                  </w:pPr>
                  <w:r w:rsidRPr="00DA3ED2">
                    <w:rPr>
                      <w:rFonts w:ascii="Times New Roman" w:hAnsi="Times New Roman"/>
                      <w:i/>
                    </w:rPr>
                    <w:t>Izmaksu apjoms gadā maksas pakalpo</w:t>
                  </w:r>
                  <w:r w:rsidR="000908E6" w:rsidRPr="00DA3ED2">
                    <w:rPr>
                      <w:rFonts w:ascii="Times New Roman" w:hAnsi="Times New Roman"/>
                      <w:i/>
                    </w:rPr>
                    <w:t>-</w:t>
                  </w:r>
                  <w:r w:rsidRPr="00DA3ED2">
                    <w:rPr>
                      <w:rFonts w:ascii="Times New Roman" w:hAnsi="Times New Roman"/>
                      <w:i/>
                    </w:rPr>
                    <w:t xml:space="preserve">juma veida </w:t>
                  </w:r>
                  <w:proofErr w:type="spellStart"/>
                  <w:r w:rsidRPr="00DA3ED2">
                    <w:rPr>
                      <w:rFonts w:ascii="Times New Roman" w:hAnsi="Times New Roman"/>
                      <w:i/>
                    </w:rPr>
                    <w:t>nodroši</w:t>
                  </w:r>
                  <w:r w:rsidR="000908E6" w:rsidRPr="00DA3ED2">
                    <w:rPr>
                      <w:rFonts w:ascii="Times New Roman" w:hAnsi="Times New Roman"/>
                      <w:i/>
                    </w:rPr>
                    <w:t>-</w:t>
                  </w:r>
                  <w:r w:rsidRPr="00DA3ED2">
                    <w:rPr>
                      <w:rFonts w:ascii="Times New Roman" w:hAnsi="Times New Roman"/>
                      <w:i/>
                    </w:rPr>
                    <w:t>nāšanai</w:t>
                  </w:r>
                  <w:proofErr w:type="spellEnd"/>
                  <w:r w:rsidRPr="00DA3ED2">
                    <w:rPr>
                      <w:rFonts w:ascii="Times New Roman" w:hAnsi="Times New Roman"/>
                      <w:i/>
                    </w:rPr>
                    <w:t xml:space="preserve"> </w:t>
                  </w:r>
                </w:p>
                <w:p w14:paraId="673A1375" w14:textId="77777777" w:rsidR="00C27AC5" w:rsidRPr="00DA3ED2" w:rsidRDefault="00C27AC5" w:rsidP="00C27AC5">
                  <w:pPr>
                    <w:spacing w:after="0" w:line="240" w:lineRule="auto"/>
                    <w:rPr>
                      <w:rFonts w:ascii="Times New Roman" w:hAnsi="Times New Roman"/>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c>
                <w:tcPr>
                  <w:tcW w:w="1227" w:type="dxa"/>
                </w:tcPr>
                <w:p w14:paraId="3A095EC6" w14:textId="77777777" w:rsidR="00C27AC5" w:rsidRPr="00DA3ED2" w:rsidRDefault="00C27AC5" w:rsidP="00C27AC5">
                  <w:pPr>
                    <w:spacing w:after="0" w:line="240" w:lineRule="auto"/>
                    <w:rPr>
                      <w:rFonts w:ascii="Times New Roman" w:hAnsi="Times New Roman"/>
                      <w:i/>
                    </w:rPr>
                  </w:pPr>
                  <w:r w:rsidRPr="00DA3ED2">
                    <w:rPr>
                      <w:rFonts w:ascii="Times New Roman" w:hAnsi="Times New Roman"/>
                      <w:i/>
                    </w:rPr>
                    <w:t xml:space="preserve">Izmaksu </w:t>
                  </w:r>
                </w:p>
                <w:p w14:paraId="1485A1A8" w14:textId="6C853FF3" w:rsidR="00C27AC5" w:rsidRPr="00DA3ED2" w:rsidRDefault="00C27AC5" w:rsidP="00C27AC5">
                  <w:pPr>
                    <w:spacing w:after="0" w:line="240" w:lineRule="auto"/>
                    <w:rPr>
                      <w:rFonts w:ascii="Times New Roman" w:hAnsi="Times New Roman"/>
                      <w:i/>
                    </w:rPr>
                  </w:pPr>
                  <w:r w:rsidRPr="00DA3ED2">
                    <w:rPr>
                      <w:rFonts w:ascii="Times New Roman" w:hAnsi="Times New Roman"/>
                      <w:i/>
                    </w:rPr>
                    <w:t>apjoms gadā maksas pakalpo</w:t>
                  </w:r>
                  <w:r w:rsidR="000908E6" w:rsidRPr="00DA3ED2">
                    <w:rPr>
                      <w:rFonts w:ascii="Times New Roman" w:hAnsi="Times New Roman"/>
                      <w:i/>
                    </w:rPr>
                    <w:t>-</w:t>
                  </w:r>
                  <w:r w:rsidRPr="00DA3ED2">
                    <w:rPr>
                      <w:rFonts w:ascii="Times New Roman" w:hAnsi="Times New Roman"/>
                      <w:i/>
                    </w:rPr>
                    <w:t xml:space="preserve">juma veida </w:t>
                  </w:r>
                  <w:proofErr w:type="spellStart"/>
                  <w:r w:rsidRPr="00DA3ED2">
                    <w:rPr>
                      <w:rFonts w:ascii="Times New Roman" w:hAnsi="Times New Roman"/>
                      <w:i/>
                    </w:rPr>
                    <w:t>nodroši</w:t>
                  </w:r>
                  <w:r w:rsidR="000908E6" w:rsidRPr="00DA3ED2">
                    <w:rPr>
                      <w:rFonts w:ascii="Times New Roman" w:hAnsi="Times New Roman"/>
                      <w:i/>
                    </w:rPr>
                    <w:t>-</w:t>
                  </w:r>
                  <w:r w:rsidRPr="00DA3ED2">
                    <w:rPr>
                      <w:rFonts w:ascii="Times New Roman" w:hAnsi="Times New Roman"/>
                      <w:i/>
                    </w:rPr>
                    <w:t>nāšanai</w:t>
                  </w:r>
                  <w:proofErr w:type="spellEnd"/>
                  <w:r w:rsidRPr="00DA3ED2">
                    <w:rPr>
                      <w:rFonts w:ascii="Times New Roman" w:hAnsi="Times New Roman"/>
                      <w:i/>
                    </w:rPr>
                    <w:t xml:space="preserve"> </w:t>
                  </w:r>
                </w:p>
                <w:p w14:paraId="659767B2" w14:textId="77777777" w:rsidR="00C27AC5" w:rsidRPr="00DA3ED2" w:rsidRDefault="00C27AC5" w:rsidP="00C27AC5">
                  <w:pPr>
                    <w:spacing w:after="0" w:line="240" w:lineRule="auto"/>
                    <w:jc w:val="both"/>
                    <w:rPr>
                      <w:rFonts w:ascii="Times New Roman" w:hAnsi="Times New Roman"/>
                      <w:i/>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(2002.)</w:t>
                  </w:r>
                </w:p>
              </w:tc>
            </w:tr>
            <w:tr w:rsidR="00C27AC5" w:rsidRPr="00DA3ED2" w14:paraId="03149A99" w14:textId="77777777" w:rsidTr="000908E6">
              <w:tc>
                <w:tcPr>
                  <w:tcW w:w="1413" w:type="dxa"/>
                </w:tcPr>
                <w:p w14:paraId="3D1C3313" w14:textId="77777777" w:rsidR="00C27AC5" w:rsidRPr="00DA3ED2" w:rsidRDefault="00C27AC5" w:rsidP="00C27AC5">
                  <w:pPr>
                    <w:spacing w:after="0" w:line="240" w:lineRule="auto"/>
                    <w:jc w:val="center"/>
                    <w:rPr>
                      <w:rFonts w:ascii="Times New Roman" w:hAnsi="Times New Roman"/>
                    </w:rPr>
                  </w:pPr>
                  <w:r w:rsidRPr="00DA3ED2">
                    <w:rPr>
                      <w:rFonts w:ascii="Times New Roman" w:hAnsi="Times New Roman"/>
                    </w:rPr>
                    <w:t>Profesionālās kvalifikācijas atzīšanas eksperta atalgojums</w:t>
                  </w:r>
                </w:p>
              </w:tc>
              <w:tc>
                <w:tcPr>
                  <w:tcW w:w="1058" w:type="dxa"/>
                </w:tcPr>
                <w:p w14:paraId="7DE03AC9" w14:textId="77777777" w:rsidR="00C27AC5" w:rsidRPr="00DA3ED2" w:rsidRDefault="00C27AC5" w:rsidP="00C27AC5">
                  <w:pPr>
                    <w:spacing w:after="0" w:line="240" w:lineRule="auto"/>
                    <w:jc w:val="center"/>
                    <w:rPr>
                      <w:rFonts w:ascii="Times New Roman" w:hAnsi="Times New Roman"/>
                    </w:rPr>
                  </w:pPr>
                  <w:r w:rsidRPr="00DA3ED2">
                    <w:rPr>
                      <w:rFonts w:ascii="Times New Roman" w:hAnsi="Times New Roman"/>
                    </w:rPr>
                    <w:t>8,43</w:t>
                  </w:r>
                </w:p>
              </w:tc>
              <w:tc>
                <w:tcPr>
                  <w:tcW w:w="1058" w:type="dxa"/>
                </w:tcPr>
                <w:p w14:paraId="1E3C3DE3" w14:textId="77777777" w:rsidR="00C27AC5" w:rsidRPr="00DA3ED2" w:rsidRDefault="00C27AC5" w:rsidP="00C27AC5">
                  <w:pPr>
                    <w:spacing w:after="0" w:line="240" w:lineRule="auto"/>
                    <w:jc w:val="center"/>
                    <w:rPr>
                      <w:rFonts w:ascii="Times New Roman" w:hAnsi="Times New Roman"/>
                    </w:rPr>
                  </w:pPr>
                  <w:r w:rsidRPr="00DA3ED2">
                    <w:rPr>
                      <w:rFonts w:ascii="Times New Roman" w:hAnsi="Times New Roman"/>
                    </w:rPr>
                    <w:t>2,95</w:t>
                  </w:r>
                </w:p>
              </w:tc>
              <w:tc>
                <w:tcPr>
                  <w:tcW w:w="1077" w:type="dxa"/>
                </w:tcPr>
                <w:p w14:paraId="081EF387" w14:textId="77777777" w:rsidR="00C27AC5" w:rsidRPr="00DA3ED2" w:rsidRDefault="00C27AC5" w:rsidP="00C27AC5">
                  <w:pPr>
                    <w:spacing w:after="0" w:line="240" w:lineRule="auto"/>
                    <w:jc w:val="center"/>
                    <w:rPr>
                      <w:rFonts w:ascii="Times New Roman" w:hAnsi="Times New Roman"/>
                    </w:rPr>
                  </w:pPr>
                  <w:r w:rsidRPr="00DA3ED2">
                    <w:rPr>
                      <w:rFonts w:ascii="Times New Roman" w:hAnsi="Times New Roman"/>
                    </w:rPr>
                    <w:t>8</w:t>
                  </w:r>
                </w:p>
              </w:tc>
              <w:tc>
                <w:tcPr>
                  <w:tcW w:w="986" w:type="dxa"/>
                </w:tcPr>
                <w:p w14:paraId="26712F27" w14:textId="77777777" w:rsidR="00C27AC5" w:rsidRPr="00DA3ED2" w:rsidRDefault="00C27AC5" w:rsidP="00C27AC5">
                  <w:pPr>
                    <w:spacing w:after="0" w:line="240" w:lineRule="auto"/>
                    <w:jc w:val="center"/>
                    <w:rPr>
                      <w:rFonts w:ascii="Times New Roman" w:hAnsi="Times New Roman"/>
                    </w:rPr>
                  </w:pPr>
                  <w:r w:rsidRPr="00DA3ED2">
                    <w:rPr>
                      <w:rFonts w:ascii="Times New Roman" w:hAnsi="Times New Roman"/>
                    </w:rPr>
                    <w:t>67,44</w:t>
                  </w:r>
                </w:p>
              </w:tc>
              <w:tc>
                <w:tcPr>
                  <w:tcW w:w="1227" w:type="dxa"/>
                </w:tcPr>
                <w:p w14:paraId="5F2AABFB" w14:textId="77777777" w:rsidR="00C27AC5" w:rsidRPr="00DA3ED2" w:rsidRDefault="00C27AC5" w:rsidP="00C27AC5">
                  <w:pPr>
                    <w:spacing w:after="0" w:line="240" w:lineRule="auto"/>
                    <w:rPr>
                      <w:rFonts w:ascii="Times New Roman" w:hAnsi="Times New Roman"/>
                    </w:rPr>
                  </w:pPr>
                  <w:r w:rsidRPr="00DA3ED2">
                    <w:rPr>
                      <w:rFonts w:ascii="Times New Roman" w:hAnsi="Times New Roman"/>
                    </w:rPr>
                    <w:t>23,60</w:t>
                  </w:r>
                </w:p>
              </w:tc>
            </w:tr>
          </w:tbl>
          <w:p w14:paraId="45ED4F10" w14:textId="77777777" w:rsidR="00034659" w:rsidRPr="00DA3ED2" w:rsidRDefault="00034659" w:rsidP="00034659">
            <w:pPr>
              <w:spacing w:after="0" w:line="240" w:lineRule="auto"/>
              <w:rPr>
                <w:rFonts w:ascii="Times New Roman" w:hAnsi="Times New Roman"/>
                <w:b/>
                <w:sz w:val="24"/>
                <w:szCs w:val="24"/>
              </w:rPr>
            </w:pPr>
          </w:p>
          <w:p w14:paraId="3BFEEDA2" w14:textId="230C4055" w:rsidR="00034659" w:rsidRPr="00DA3ED2" w:rsidRDefault="004B4D3F" w:rsidP="00034659">
            <w:pPr>
              <w:spacing w:after="0" w:line="240" w:lineRule="auto"/>
              <w:rPr>
                <w:rFonts w:ascii="Times New Roman" w:hAnsi="Times New Roman"/>
                <w:b/>
                <w:sz w:val="24"/>
                <w:szCs w:val="24"/>
              </w:rPr>
            </w:pPr>
            <w:r w:rsidRPr="00DA3ED2">
              <w:rPr>
                <w:rFonts w:ascii="Times New Roman" w:hAnsi="Times New Roman"/>
                <w:b/>
                <w:sz w:val="24"/>
                <w:szCs w:val="24"/>
              </w:rPr>
              <w:t>3</w:t>
            </w:r>
            <w:r w:rsidR="00034659" w:rsidRPr="00DA3ED2">
              <w:rPr>
                <w:rFonts w:ascii="Times New Roman" w:hAnsi="Times New Roman"/>
                <w:b/>
                <w:sz w:val="24"/>
                <w:szCs w:val="24"/>
              </w:rPr>
              <w:t>.2. tabula Netiešās izmaksas</w:t>
            </w:r>
          </w:p>
          <w:tbl>
            <w:tblPr>
              <w:tblStyle w:val="TableGrid"/>
              <w:tblW w:w="6237" w:type="dxa"/>
              <w:tblInd w:w="56" w:type="dxa"/>
              <w:tblLayout w:type="fixed"/>
              <w:tblLook w:val="04A0" w:firstRow="1" w:lastRow="0" w:firstColumn="1" w:lastColumn="0" w:noHBand="0" w:noVBand="1"/>
            </w:tblPr>
            <w:tblGrid>
              <w:gridCol w:w="4394"/>
              <w:gridCol w:w="1843"/>
            </w:tblGrid>
            <w:tr w:rsidR="00034659" w:rsidRPr="00DA3ED2" w14:paraId="43613C51" w14:textId="77777777" w:rsidTr="00F82F8C">
              <w:tc>
                <w:tcPr>
                  <w:tcW w:w="4394" w:type="dxa"/>
                </w:tcPr>
                <w:p w14:paraId="3DEF2B01" w14:textId="77777777" w:rsidR="00034659" w:rsidRPr="00DA3ED2" w:rsidRDefault="00034659" w:rsidP="00034659">
                  <w:pPr>
                    <w:spacing w:after="0" w:line="240" w:lineRule="auto"/>
                    <w:rPr>
                      <w:rFonts w:ascii="Times New Roman" w:hAnsi="Times New Roman"/>
                      <w:i/>
                    </w:rPr>
                  </w:pPr>
                  <w:r w:rsidRPr="00DA3ED2">
                    <w:rPr>
                      <w:rFonts w:ascii="Times New Roman" w:hAnsi="Times New Roman"/>
                      <w:i/>
                    </w:rPr>
                    <w:t>Rādītājs un mērvienība</w:t>
                  </w:r>
                </w:p>
              </w:tc>
              <w:tc>
                <w:tcPr>
                  <w:tcW w:w="1843" w:type="dxa"/>
                </w:tcPr>
                <w:p w14:paraId="1B51A653" w14:textId="77777777" w:rsidR="00034659" w:rsidRPr="00DA3ED2" w:rsidRDefault="00034659" w:rsidP="00034659">
                  <w:pPr>
                    <w:spacing w:after="0" w:line="240" w:lineRule="auto"/>
                    <w:rPr>
                      <w:rFonts w:ascii="Times New Roman" w:hAnsi="Times New Roman"/>
                      <w:i/>
                    </w:rPr>
                  </w:pPr>
                  <w:r w:rsidRPr="00DA3ED2">
                    <w:rPr>
                      <w:rFonts w:ascii="Times New Roman" w:hAnsi="Times New Roman"/>
                      <w:i/>
                    </w:rPr>
                    <w:t>Izmaksas</w:t>
                  </w:r>
                </w:p>
                <w:p w14:paraId="26667347" w14:textId="77777777" w:rsidR="00034659" w:rsidRPr="00DA3ED2" w:rsidRDefault="00034659" w:rsidP="00034659">
                  <w:pPr>
                    <w:spacing w:after="0" w:line="240" w:lineRule="auto"/>
                    <w:rPr>
                      <w:rFonts w:ascii="Times New Roman" w:hAnsi="Times New Roman"/>
                    </w:rPr>
                  </w:pP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r>
            <w:tr w:rsidR="00034659" w:rsidRPr="00DA3ED2" w14:paraId="7ADD22FE" w14:textId="77777777" w:rsidTr="00F82F8C">
              <w:tc>
                <w:tcPr>
                  <w:tcW w:w="4394" w:type="dxa"/>
                </w:tcPr>
                <w:p w14:paraId="0453BAE2"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Sekretāres – lietvedes darba apmaksa (komunikācijas ar klientu, korespondences sagatavošana, dokumentu plūsmas pārvaldīšana)</w:t>
                  </w:r>
                </w:p>
              </w:tc>
              <w:tc>
                <w:tcPr>
                  <w:tcW w:w="1843" w:type="dxa"/>
                </w:tcPr>
                <w:p w14:paraId="1B352035"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 xml:space="preserve">5,57 </w:t>
                  </w:r>
                  <w:proofErr w:type="spellStart"/>
                  <w:r w:rsidRPr="00DA3ED2">
                    <w:rPr>
                      <w:rFonts w:ascii="Times New Roman" w:hAnsi="Times New Roman"/>
                      <w:i/>
                    </w:rPr>
                    <w:t>euro</w:t>
                  </w:r>
                  <w:proofErr w:type="spellEnd"/>
                  <w:r w:rsidRPr="00DA3ED2" w:rsidDel="009C7ABE">
                    <w:rPr>
                      <w:rFonts w:ascii="Times New Roman" w:hAnsi="Times New Roman"/>
                    </w:rPr>
                    <w:t xml:space="preserve"> </w:t>
                  </w:r>
                  <w:r w:rsidRPr="00DA3ED2">
                    <w:rPr>
                      <w:rFonts w:ascii="Times New Roman" w:hAnsi="Times New Roman"/>
                    </w:rPr>
                    <w:t>/stundā * 0,5 stundas</w:t>
                  </w:r>
                </w:p>
                <w:p w14:paraId="60215C41"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 xml:space="preserve"> = 2,79 </w:t>
                  </w:r>
                </w:p>
              </w:tc>
            </w:tr>
            <w:tr w:rsidR="00034659" w:rsidRPr="00DA3ED2" w14:paraId="693B76F8" w14:textId="77777777" w:rsidTr="00F82F8C">
              <w:tc>
                <w:tcPr>
                  <w:tcW w:w="4394" w:type="dxa"/>
                </w:tcPr>
                <w:p w14:paraId="1094745F" w14:textId="77777777" w:rsidR="00034659" w:rsidRPr="00DA3ED2" w:rsidRDefault="00034659" w:rsidP="00034659">
                  <w:pPr>
                    <w:spacing w:after="0" w:line="240" w:lineRule="auto"/>
                    <w:jc w:val="both"/>
                    <w:rPr>
                      <w:rFonts w:ascii="Times New Roman" w:hAnsi="Times New Roman"/>
                    </w:rPr>
                  </w:pPr>
                  <w:r w:rsidRPr="00DA3ED2">
                    <w:rPr>
                      <w:rFonts w:ascii="Times New Roman" w:hAnsi="Times New Roman"/>
                    </w:rPr>
                    <w:t xml:space="preserve">Institūcijas, kas izsniedz atzīšanas apliecības darba organizācijas izdevumi papildus tiešajām ar profesionālās kvalifikācijas atzīšanas dokumentu ekspertīzi un izziņas sagatavošanu saistītajām izmaksām. </w:t>
                  </w:r>
                </w:p>
                <w:p w14:paraId="2A410AFF" w14:textId="77777777" w:rsidR="00034659" w:rsidRPr="00DA3ED2" w:rsidRDefault="00034659" w:rsidP="00034659">
                  <w:pPr>
                    <w:spacing w:after="0" w:line="240" w:lineRule="auto"/>
                    <w:jc w:val="both"/>
                    <w:rPr>
                      <w:rFonts w:ascii="Times New Roman" w:hAnsi="Times New Roman"/>
                    </w:rPr>
                  </w:pPr>
                  <w:r w:rsidRPr="00DA3ED2">
                    <w:rPr>
                      <w:rFonts w:ascii="Times New Roman" w:hAnsi="Times New Roman"/>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14:paraId="1C4FB21B" w14:textId="77777777" w:rsidR="00034659" w:rsidRPr="00DA3ED2" w:rsidRDefault="00034659" w:rsidP="00034659">
                  <w:pPr>
                    <w:spacing w:after="0" w:line="240" w:lineRule="auto"/>
                    <w:rPr>
                      <w:rFonts w:ascii="Times New Roman" w:hAnsi="Times New Roman"/>
                      <w:bCs/>
                    </w:rPr>
                  </w:pPr>
                  <w:r w:rsidRPr="00DA3ED2">
                    <w:rPr>
                      <w:rFonts w:ascii="Times New Roman" w:hAnsi="Times New Roman"/>
                      <w:bCs/>
                    </w:rPr>
                    <w:t>19,77</w:t>
                  </w:r>
                </w:p>
                <w:p w14:paraId="387064A4" w14:textId="77777777" w:rsidR="00034659" w:rsidRPr="00DA3ED2" w:rsidRDefault="00034659" w:rsidP="00034659">
                  <w:pPr>
                    <w:spacing w:after="0" w:line="240" w:lineRule="auto"/>
                    <w:rPr>
                      <w:rFonts w:ascii="Times New Roman" w:hAnsi="Times New Roman"/>
                      <w:bCs/>
                    </w:rPr>
                  </w:pPr>
                </w:p>
                <w:p w14:paraId="4AD1AF36" w14:textId="77777777" w:rsidR="00034659" w:rsidRPr="00DA3ED2" w:rsidRDefault="00034659" w:rsidP="00034659">
                  <w:pPr>
                    <w:spacing w:after="0" w:line="240" w:lineRule="auto"/>
                    <w:rPr>
                      <w:rFonts w:ascii="Times New Roman" w:hAnsi="Times New Roman"/>
                    </w:rPr>
                  </w:pPr>
                </w:p>
              </w:tc>
            </w:tr>
            <w:tr w:rsidR="00034659" w:rsidRPr="00DA3ED2" w14:paraId="3A98D563" w14:textId="77777777" w:rsidTr="00F82F8C">
              <w:tc>
                <w:tcPr>
                  <w:tcW w:w="4394" w:type="dxa"/>
                </w:tcPr>
                <w:p w14:paraId="294FE575" w14:textId="77777777" w:rsidR="00034659" w:rsidRPr="00DA3ED2" w:rsidRDefault="00034659" w:rsidP="00034659">
                  <w:pPr>
                    <w:spacing w:after="0" w:line="240" w:lineRule="auto"/>
                    <w:jc w:val="both"/>
                    <w:rPr>
                      <w:rFonts w:ascii="Times New Roman" w:hAnsi="Times New Roman"/>
                      <w:sz w:val="24"/>
                      <w:szCs w:val="24"/>
                    </w:rPr>
                  </w:pPr>
                  <w:r w:rsidRPr="00DA3ED2">
                    <w:rPr>
                      <w:rFonts w:ascii="Times New Roman" w:hAnsi="Times New Roman"/>
                      <w:sz w:val="24"/>
                      <w:szCs w:val="24"/>
                    </w:rPr>
                    <w:t>Institūcijas, kas izsniedz atzīšanas apliecības darbinieku kompetences paaugstināšana apmācībās, kā arī ar līdzdalību starptautiskajās profesionālās kvalifikācijas atzīšanas sanāksmēs, kursos, u.c. pasākumos, profesionālas literatūras iegāde.</w:t>
                  </w:r>
                </w:p>
              </w:tc>
              <w:tc>
                <w:tcPr>
                  <w:tcW w:w="1843" w:type="dxa"/>
                </w:tcPr>
                <w:p w14:paraId="7922796A" w14:textId="77777777" w:rsidR="00034659" w:rsidRPr="00DA3ED2" w:rsidRDefault="00034659" w:rsidP="00034659">
                  <w:pPr>
                    <w:spacing w:after="0" w:line="240" w:lineRule="auto"/>
                    <w:rPr>
                      <w:rFonts w:ascii="Times New Roman" w:hAnsi="Times New Roman"/>
                      <w:bCs/>
                      <w:sz w:val="24"/>
                      <w:szCs w:val="24"/>
                    </w:rPr>
                  </w:pPr>
                  <w:r w:rsidRPr="00DA3ED2">
                    <w:rPr>
                      <w:rFonts w:ascii="Times New Roman" w:hAnsi="Times New Roman"/>
                      <w:bCs/>
                      <w:sz w:val="24"/>
                      <w:szCs w:val="24"/>
                    </w:rPr>
                    <w:t>10,00</w:t>
                  </w:r>
                </w:p>
              </w:tc>
            </w:tr>
            <w:tr w:rsidR="00034659" w:rsidRPr="00DA3ED2" w14:paraId="5073EBDE" w14:textId="77777777" w:rsidTr="00F82F8C">
              <w:tc>
                <w:tcPr>
                  <w:tcW w:w="4394" w:type="dxa"/>
                </w:tcPr>
                <w:p w14:paraId="143F16CD" w14:textId="77777777" w:rsidR="00034659" w:rsidRPr="00DA3ED2" w:rsidRDefault="00034659" w:rsidP="00034659">
                  <w:pPr>
                    <w:spacing w:after="0" w:line="240" w:lineRule="auto"/>
                    <w:jc w:val="both"/>
                    <w:rPr>
                      <w:rFonts w:ascii="Times New Roman" w:hAnsi="Times New Roman"/>
                      <w:sz w:val="24"/>
                      <w:szCs w:val="24"/>
                    </w:rPr>
                  </w:pPr>
                  <w:r w:rsidRPr="00DA3ED2">
                    <w:rPr>
                      <w:rFonts w:ascii="Times New Roman" w:hAnsi="Times New Roman"/>
                      <w:sz w:val="24"/>
                      <w:szCs w:val="24"/>
                    </w:rPr>
                    <w:t>Kopā</w:t>
                  </w:r>
                </w:p>
              </w:tc>
              <w:tc>
                <w:tcPr>
                  <w:tcW w:w="1843" w:type="dxa"/>
                </w:tcPr>
                <w:p w14:paraId="535A7629" w14:textId="77777777" w:rsidR="00034659" w:rsidRPr="00DA3ED2" w:rsidRDefault="00034659" w:rsidP="00034659">
                  <w:pPr>
                    <w:spacing w:after="0" w:line="240" w:lineRule="auto"/>
                    <w:rPr>
                      <w:rFonts w:ascii="Times New Roman" w:hAnsi="Times New Roman"/>
                      <w:bCs/>
                      <w:sz w:val="24"/>
                      <w:szCs w:val="24"/>
                    </w:rPr>
                  </w:pPr>
                  <w:r w:rsidRPr="00DA3ED2">
                    <w:rPr>
                      <w:rFonts w:ascii="Times New Roman" w:hAnsi="Times New Roman"/>
                      <w:bCs/>
                      <w:sz w:val="24"/>
                      <w:szCs w:val="24"/>
                    </w:rPr>
                    <w:t>32,56</w:t>
                  </w:r>
                </w:p>
              </w:tc>
            </w:tr>
          </w:tbl>
          <w:p w14:paraId="0A2C8FD9" w14:textId="77777777" w:rsidR="00034659" w:rsidRPr="00DA3ED2" w:rsidRDefault="00034659" w:rsidP="00034659">
            <w:pPr>
              <w:spacing w:after="0" w:line="240" w:lineRule="auto"/>
              <w:rPr>
                <w:rFonts w:ascii="Times New Roman" w:hAnsi="Times New Roman"/>
                <w:sz w:val="24"/>
                <w:szCs w:val="24"/>
              </w:rPr>
            </w:pPr>
          </w:p>
          <w:p w14:paraId="6A973665" w14:textId="0A747D9F" w:rsidR="00034659" w:rsidRPr="00DA3ED2" w:rsidRDefault="004B4D3F" w:rsidP="00034659">
            <w:pPr>
              <w:spacing w:after="0" w:line="240" w:lineRule="auto"/>
              <w:rPr>
                <w:rFonts w:ascii="Times New Roman" w:hAnsi="Times New Roman"/>
                <w:b/>
                <w:sz w:val="24"/>
                <w:szCs w:val="24"/>
              </w:rPr>
            </w:pPr>
            <w:r w:rsidRPr="00DA3ED2">
              <w:rPr>
                <w:rFonts w:ascii="Times New Roman" w:hAnsi="Times New Roman"/>
                <w:b/>
                <w:sz w:val="24"/>
                <w:szCs w:val="24"/>
              </w:rPr>
              <w:t>3</w:t>
            </w:r>
            <w:r w:rsidR="00034659" w:rsidRPr="00DA3ED2">
              <w:rPr>
                <w:rFonts w:ascii="Times New Roman" w:hAnsi="Times New Roman"/>
                <w:b/>
                <w:sz w:val="24"/>
                <w:szCs w:val="24"/>
              </w:rPr>
              <w:t>.3. tabula Kopsavilkums</w:t>
            </w:r>
          </w:p>
          <w:tbl>
            <w:tblPr>
              <w:tblStyle w:val="TableGrid"/>
              <w:tblW w:w="0" w:type="auto"/>
              <w:tblLayout w:type="fixed"/>
              <w:tblLook w:val="04A0" w:firstRow="1" w:lastRow="0" w:firstColumn="1" w:lastColumn="0" w:noHBand="0" w:noVBand="1"/>
            </w:tblPr>
            <w:tblGrid>
              <w:gridCol w:w="2167"/>
              <w:gridCol w:w="1984"/>
            </w:tblGrid>
            <w:tr w:rsidR="00034659" w:rsidRPr="00DA3ED2" w14:paraId="53322A27" w14:textId="77777777" w:rsidTr="00F82F8C">
              <w:tc>
                <w:tcPr>
                  <w:tcW w:w="2167" w:type="dxa"/>
                </w:tcPr>
                <w:p w14:paraId="460EB43B" w14:textId="77777777" w:rsidR="00034659" w:rsidRPr="00DA3ED2" w:rsidRDefault="00034659" w:rsidP="00034659">
                  <w:pPr>
                    <w:spacing w:after="0" w:line="240" w:lineRule="auto"/>
                    <w:rPr>
                      <w:rFonts w:ascii="Times New Roman" w:hAnsi="Times New Roman"/>
                      <w:i/>
                    </w:rPr>
                  </w:pPr>
                  <w:r w:rsidRPr="00DA3ED2">
                    <w:rPr>
                      <w:rFonts w:ascii="Times New Roman" w:hAnsi="Times New Roman"/>
                      <w:i/>
                    </w:rPr>
                    <w:t>Izmaksu grupa</w:t>
                  </w:r>
                </w:p>
              </w:tc>
              <w:tc>
                <w:tcPr>
                  <w:tcW w:w="1984" w:type="dxa"/>
                </w:tcPr>
                <w:p w14:paraId="3D2518B8" w14:textId="77777777" w:rsidR="00034659" w:rsidRPr="00DA3ED2" w:rsidRDefault="00034659" w:rsidP="00034659">
                  <w:pPr>
                    <w:spacing w:after="0" w:line="240" w:lineRule="auto"/>
                    <w:rPr>
                      <w:rFonts w:ascii="Times New Roman" w:hAnsi="Times New Roman"/>
                    </w:rPr>
                  </w:pPr>
                  <w:r w:rsidRPr="00DA3ED2">
                    <w:rPr>
                      <w:rFonts w:ascii="Times New Roman" w:hAnsi="Times New Roman"/>
                      <w:i/>
                    </w:rPr>
                    <w:t xml:space="preserve">Izmaksas </w:t>
                  </w:r>
                  <w:proofErr w:type="spellStart"/>
                  <w:r w:rsidRPr="00DA3ED2">
                    <w:rPr>
                      <w:rFonts w:ascii="Times New Roman" w:hAnsi="Times New Roman"/>
                      <w:i/>
                    </w:rPr>
                    <w:t>euro</w:t>
                  </w:r>
                  <w:proofErr w:type="spellEnd"/>
                  <w:r w:rsidRPr="00DA3ED2">
                    <w:rPr>
                      <w:rFonts w:ascii="Times New Roman" w:hAnsi="Times New Roman"/>
                      <w:i/>
                    </w:rPr>
                    <w:t xml:space="preserve"> </w:t>
                  </w:r>
                  <w:r w:rsidRPr="00DA3ED2">
                    <w:rPr>
                      <w:rFonts w:ascii="Times New Roman" w:hAnsi="Times New Roman"/>
                    </w:rPr>
                    <w:t>(2014.)</w:t>
                  </w:r>
                </w:p>
              </w:tc>
            </w:tr>
            <w:tr w:rsidR="00034659" w:rsidRPr="00DA3ED2" w14:paraId="03D089D3" w14:textId="77777777" w:rsidTr="00F82F8C">
              <w:tc>
                <w:tcPr>
                  <w:tcW w:w="2167" w:type="dxa"/>
                </w:tcPr>
                <w:p w14:paraId="4687F5CE"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Tiešās izmaksas</w:t>
                  </w:r>
                </w:p>
              </w:tc>
              <w:tc>
                <w:tcPr>
                  <w:tcW w:w="1984" w:type="dxa"/>
                </w:tcPr>
                <w:p w14:paraId="68EDBF4B"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67,44</w:t>
                  </w:r>
                </w:p>
              </w:tc>
            </w:tr>
            <w:tr w:rsidR="00034659" w:rsidRPr="00DA3ED2" w14:paraId="255C98B0" w14:textId="77777777" w:rsidTr="00F82F8C">
              <w:tc>
                <w:tcPr>
                  <w:tcW w:w="2167" w:type="dxa"/>
                </w:tcPr>
                <w:p w14:paraId="72441481"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lastRenderedPageBreak/>
                    <w:t xml:space="preserve">Netiešās izmaksas </w:t>
                  </w:r>
                </w:p>
              </w:tc>
              <w:tc>
                <w:tcPr>
                  <w:tcW w:w="1984" w:type="dxa"/>
                </w:tcPr>
                <w:p w14:paraId="38D38330"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32,56</w:t>
                  </w:r>
                </w:p>
              </w:tc>
            </w:tr>
            <w:tr w:rsidR="00034659" w:rsidRPr="00DA3ED2" w14:paraId="5E20C51B" w14:textId="77777777" w:rsidTr="00F82F8C">
              <w:tc>
                <w:tcPr>
                  <w:tcW w:w="2167" w:type="dxa"/>
                </w:tcPr>
                <w:p w14:paraId="6C5A6004"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Kopā</w:t>
                  </w:r>
                </w:p>
              </w:tc>
              <w:tc>
                <w:tcPr>
                  <w:tcW w:w="1984" w:type="dxa"/>
                </w:tcPr>
                <w:p w14:paraId="62226F9D" w14:textId="77777777" w:rsidR="00034659" w:rsidRPr="00DA3ED2" w:rsidRDefault="00034659" w:rsidP="00034659">
                  <w:pPr>
                    <w:spacing w:after="0" w:line="240" w:lineRule="auto"/>
                    <w:rPr>
                      <w:rFonts w:ascii="Times New Roman" w:hAnsi="Times New Roman"/>
                    </w:rPr>
                  </w:pPr>
                  <w:r w:rsidRPr="00DA3ED2">
                    <w:rPr>
                      <w:rFonts w:ascii="Times New Roman" w:hAnsi="Times New Roman"/>
                    </w:rPr>
                    <w:t>100,00</w:t>
                  </w:r>
                </w:p>
              </w:tc>
            </w:tr>
          </w:tbl>
          <w:p w14:paraId="1FDD8CA9" w14:textId="77777777" w:rsidR="00F16EE4" w:rsidRPr="00DA3ED2" w:rsidRDefault="00F16EE4" w:rsidP="00D9500E">
            <w:pPr>
              <w:spacing w:after="0" w:line="240" w:lineRule="auto"/>
              <w:jc w:val="both"/>
              <w:rPr>
                <w:rFonts w:ascii="Times New Roman" w:hAnsi="Times New Roman"/>
                <w:bCs/>
                <w:sz w:val="24"/>
                <w:szCs w:val="24"/>
              </w:rPr>
            </w:pPr>
            <w:r w:rsidRPr="00DA3ED2">
              <w:rPr>
                <w:rFonts w:ascii="Times New Roman" w:hAnsi="Times New Roman"/>
                <w:bCs/>
                <w:sz w:val="24"/>
                <w:szCs w:val="24"/>
              </w:rPr>
              <w:t xml:space="preserve"> </w:t>
            </w:r>
          </w:p>
          <w:p w14:paraId="137D433C" w14:textId="5F705AD9" w:rsidR="001A7DB4" w:rsidRPr="00DA3ED2" w:rsidRDefault="001A7DB4" w:rsidP="00D9500E">
            <w:pPr>
              <w:spacing w:after="0" w:line="240" w:lineRule="auto"/>
              <w:jc w:val="both"/>
              <w:rPr>
                <w:rFonts w:ascii="Times New Roman" w:hAnsi="Times New Roman"/>
                <w:bCs/>
                <w:sz w:val="24"/>
                <w:szCs w:val="24"/>
              </w:rPr>
            </w:pPr>
            <w:r w:rsidRPr="00DA3ED2">
              <w:rPr>
                <w:rFonts w:ascii="Times New Roman" w:hAnsi="Times New Roman"/>
                <w:bCs/>
                <w:sz w:val="24"/>
                <w:szCs w:val="24"/>
              </w:rPr>
              <w:t xml:space="preserve">Paaugstinātā samaksa par profesionālās kvalifikācijas atzīšanu tiks piemērota tiem pieteikumiem, kuri iesniegti pēc šo noteikumu stāšanās spēkā. </w:t>
            </w:r>
            <w:bookmarkStart w:id="4" w:name="_GoBack"/>
            <w:bookmarkEnd w:id="4"/>
          </w:p>
        </w:tc>
      </w:tr>
      <w:tr w:rsidR="00812271" w:rsidRPr="00823CB3" w14:paraId="7F7EC0F0" w14:textId="77777777" w:rsidTr="000908E6">
        <w:trPr>
          <w:tblCellSpacing w:w="15" w:type="dxa"/>
        </w:trPr>
        <w:tc>
          <w:tcPr>
            <w:tcW w:w="179" w:type="pct"/>
            <w:tcBorders>
              <w:top w:val="outset" w:sz="6" w:space="0" w:color="auto"/>
              <w:left w:val="outset" w:sz="6" w:space="0" w:color="auto"/>
              <w:bottom w:val="outset" w:sz="6" w:space="0" w:color="auto"/>
              <w:right w:val="outset" w:sz="6" w:space="0" w:color="auto"/>
            </w:tcBorders>
          </w:tcPr>
          <w:p w14:paraId="71EC361F" w14:textId="30A7B2E4"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750" w:type="pct"/>
            <w:tcBorders>
              <w:top w:val="outset" w:sz="6" w:space="0" w:color="auto"/>
              <w:left w:val="outset" w:sz="6" w:space="0" w:color="auto"/>
              <w:bottom w:val="outset" w:sz="6" w:space="0" w:color="auto"/>
              <w:right w:val="outset" w:sz="6" w:space="0" w:color="auto"/>
            </w:tcBorders>
          </w:tcPr>
          <w:p w14:paraId="0DE533F5"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izstrādē iesaistītās institūcijas</w:t>
            </w:r>
          </w:p>
        </w:tc>
        <w:tc>
          <w:tcPr>
            <w:tcW w:w="4001" w:type="pct"/>
            <w:tcBorders>
              <w:top w:val="outset" w:sz="6" w:space="0" w:color="auto"/>
              <w:left w:val="outset" w:sz="6" w:space="0" w:color="auto"/>
              <w:bottom w:val="outset" w:sz="6" w:space="0" w:color="auto"/>
              <w:right w:val="outset" w:sz="6" w:space="0" w:color="auto"/>
            </w:tcBorders>
          </w:tcPr>
          <w:p w14:paraId="2D06F8AD" w14:textId="5ACCC66E" w:rsidR="00392D00" w:rsidRPr="00823CB3" w:rsidRDefault="000E6D09" w:rsidP="0000403E">
            <w:pPr>
              <w:spacing w:after="0" w:line="240" w:lineRule="auto"/>
              <w:rPr>
                <w:rFonts w:ascii="Times New Roman" w:eastAsia="Times New Roman" w:hAnsi="Times New Roman"/>
                <w:sz w:val="26"/>
                <w:szCs w:val="26"/>
                <w:lang w:eastAsia="lv-LV"/>
              </w:rPr>
            </w:pPr>
            <w:r>
              <w:rPr>
                <w:rFonts w:ascii="Times New Roman" w:eastAsia="Times New Roman" w:hAnsi="Times New Roman"/>
                <w:bCs/>
                <w:sz w:val="26"/>
                <w:szCs w:val="26"/>
                <w:lang w:eastAsia="lv-LV"/>
              </w:rPr>
              <w:t>M</w:t>
            </w:r>
            <w:r w:rsidR="00711F3E" w:rsidRPr="00823CB3">
              <w:rPr>
                <w:rFonts w:ascii="Times New Roman" w:eastAsia="Times New Roman" w:hAnsi="Times New Roman"/>
                <w:bCs/>
                <w:sz w:val="26"/>
                <w:szCs w:val="26"/>
                <w:lang w:eastAsia="lv-LV"/>
              </w:rPr>
              <w:t>inistrija, Akadēmiskās informācijas centrs</w:t>
            </w:r>
            <w:r w:rsidR="00984E48">
              <w:rPr>
                <w:rFonts w:ascii="Times New Roman" w:eastAsia="Times New Roman" w:hAnsi="Times New Roman"/>
                <w:bCs/>
                <w:sz w:val="26"/>
                <w:szCs w:val="26"/>
                <w:lang w:eastAsia="lv-LV"/>
              </w:rPr>
              <w:t>.</w:t>
            </w:r>
          </w:p>
        </w:tc>
      </w:tr>
      <w:tr w:rsidR="00812271" w:rsidRPr="00823CB3" w14:paraId="175958CA" w14:textId="77777777" w:rsidTr="000908E6">
        <w:trPr>
          <w:tblCellSpacing w:w="15" w:type="dxa"/>
        </w:trPr>
        <w:tc>
          <w:tcPr>
            <w:tcW w:w="179" w:type="pct"/>
            <w:tcBorders>
              <w:top w:val="outset" w:sz="6" w:space="0" w:color="auto"/>
              <w:left w:val="outset" w:sz="6" w:space="0" w:color="auto"/>
              <w:bottom w:val="outset" w:sz="6" w:space="0" w:color="auto"/>
              <w:right w:val="outset" w:sz="6" w:space="0" w:color="auto"/>
            </w:tcBorders>
          </w:tcPr>
          <w:p w14:paraId="3CBCAAF4"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750" w:type="pct"/>
            <w:tcBorders>
              <w:top w:val="outset" w:sz="6" w:space="0" w:color="auto"/>
              <w:left w:val="outset" w:sz="6" w:space="0" w:color="auto"/>
              <w:bottom w:val="outset" w:sz="6" w:space="0" w:color="auto"/>
              <w:right w:val="outset" w:sz="6" w:space="0" w:color="auto"/>
            </w:tcBorders>
          </w:tcPr>
          <w:p w14:paraId="2CF71E8B"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4001" w:type="pct"/>
            <w:tcBorders>
              <w:top w:val="outset" w:sz="6" w:space="0" w:color="auto"/>
              <w:left w:val="outset" w:sz="6" w:space="0" w:color="auto"/>
              <w:bottom w:val="outset" w:sz="6" w:space="0" w:color="auto"/>
              <w:right w:val="outset" w:sz="6" w:space="0" w:color="auto"/>
            </w:tcBorders>
          </w:tcPr>
          <w:p w14:paraId="1F5B946A" w14:textId="559F93A7" w:rsidR="00577216" w:rsidRPr="00823CB3" w:rsidRDefault="00626958" w:rsidP="00985459">
            <w:pPr>
              <w:spacing w:after="0" w:line="240" w:lineRule="auto"/>
              <w:jc w:val="both"/>
              <w:rPr>
                <w:rFonts w:ascii="Times New Roman" w:eastAsia="Times New Roman" w:hAnsi="Times New Roman"/>
                <w:sz w:val="26"/>
                <w:szCs w:val="26"/>
                <w:lang w:eastAsia="lv-LV"/>
              </w:rPr>
            </w:pPr>
            <w:r w:rsidRPr="00A33851">
              <w:rPr>
                <w:rFonts w:ascii="Times New Roman" w:eastAsia="Times New Roman" w:hAnsi="Times New Roman"/>
                <w:sz w:val="26"/>
                <w:szCs w:val="26"/>
                <w:lang w:eastAsia="lv-LV"/>
              </w:rPr>
              <w:t>Saskaņā ar direktīvā noteikto prasību regulāri ir jāapkopo statistiskā informācija par profesionālās kvalifikācijas atzīšanas gadījumiem, kā arī jāanalizē visas profesionālās kvalifikācijas atzīšanas sistēmas efektivitāte, līdz ar to projekta ietekme</w:t>
            </w:r>
            <w:r w:rsidR="0061423E">
              <w:rPr>
                <w:rFonts w:ascii="Times New Roman" w:eastAsia="Times New Roman" w:hAnsi="Times New Roman"/>
                <w:sz w:val="26"/>
                <w:szCs w:val="26"/>
                <w:lang w:eastAsia="lv-LV"/>
              </w:rPr>
              <w:t xml:space="preserve"> uz profesionālās kvalifikācijas atzīšanas gadījumu skaitu</w:t>
            </w:r>
            <w:r w:rsidRPr="00A33851">
              <w:rPr>
                <w:rFonts w:ascii="Times New Roman" w:eastAsia="Times New Roman" w:hAnsi="Times New Roman"/>
                <w:sz w:val="26"/>
                <w:szCs w:val="26"/>
                <w:lang w:eastAsia="lv-LV"/>
              </w:rPr>
              <w:t xml:space="preserve"> tiks analizēta un novērtēta.</w:t>
            </w:r>
          </w:p>
        </w:tc>
      </w:tr>
    </w:tbl>
    <w:p w14:paraId="3EF7D496" w14:textId="77777777" w:rsidR="004A505F" w:rsidRPr="00823CB3" w:rsidRDefault="004A505F" w:rsidP="004A505F">
      <w:pPr>
        <w:spacing w:after="0" w:line="360" w:lineRule="auto"/>
        <w:rPr>
          <w:rFonts w:ascii="Times New Roman" w:hAnsi="Times New Roman"/>
          <w:i/>
          <w:sz w:val="26"/>
          <w:szCs w:val="26"/>
        </w:rPr>
      </w:pP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388"/>
        <w:gridCol w:w="1588"/>
        <w:gridCol w:w="6640"/>
      </w:tblGrid>
      <w:tr w:rsidR="003460E1" w:rsidRPr="00823CB3" w14:paraId="653FAB39" w14:textId="77777777" w:rsidTr="001919B5">
        <w:trPr>
          <w:trHeight w:val="555"/>
          <w:tblCellSpacing w:w="15" w:type="dxa"/>
        </w:trPr>
        <w:tc>
          <w:tcPr>
            <w:tcW w:w="4969" w:type="pct"/>
            <w:gridSpan w:val="4"/>
            <w:tcBorders>
              <w:top w:val="single" w:sz="4" w:space="0" w:color="auto"/>
              <w:left w:val="single" w:sz="4" w:space="0" w:color="auto"/>
              <w:bottom w:val="single" w:sz="4" w:space="0" w:color="auto"/>
              <w:right w:val="single" w:sz="4" w:space="0" w:color="auto"/>
            </w:tcBorders>
            <w:vAlign w:val="center"/>
            <w:hideMark/>
          </w:tcPr>
          <w:p w14:paraId="4D58DDBE" w14:textId="77777777" w:rsidR="003460E1" w:rsidRPr="00823CB3" w:rsidRDefault="003460E1" w:rsidP="00436672">
            <w:pPr>
              <w:spacing w:after="0" w:line="240" w:lineRule="auto"/>
              <w:ind w:firstLine="300"/>
              <w:jc w:val="both"/>
              <w:rPr>
                <w:rFonts w:ascii="Times New Roman" w:hAnsi="Times New Roman"/>
                <w:b/>
                <w:bCs/>
                <w:sz w:val="26"/>
                <w:szCs w:val="26"/>
                <w:lang w:eastAsia="lv-LV"/>
              </w:rPr>
            </w:pPr>
            <w:r w:rsidRPr="00823CB3">
              <w:rPr>
                <w:rFonts w:ascii="Times New Roman" w:hAnsi="Times New Roman"/>
                <w:b/>
                <w:bCs/>
                <w:sz w:val="26"/>
                <w:szCs w:val="26"/>
                <w:lang w:eastAsia="lv-LV"/>
              </w:rPr>
              <w:t>II. Tiesību akta projekta ietekme uz sabiedrību, tautsaimniecības attīstību un administratīvo slogu</w:t>
            </w:r>
          </w:p>
        </w:tc>
      </w:tr>
      <w:tr w:rsidR="003460E1" w:rsidRPr="00823CB3" w14:paraId="3BC746F8" w14:textId="77777777" w:rsidTr="001919B5">
        <w:trPr>
          <w:trHeight w:val="465"/>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56988472"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1.</w:t>
            </w:r>
          </w:p>
        </w:tc>
        <w:tc>
          <w:tcPr>
            <w:tcW w:w="909" w:type="pct"/>
            <w:tcBorders>
              <w:top w:val="single" w:sz="4" w:space="0" w:color="auto"/>
              <w:left w:val="single" w:sz="4" w:space="0" w:color="auto"/>
              <w:bottom w:val="single" w:sz="4" w:space="0" w:color="auto"/>
              <w:right w:val="single" w:sz="4" w:space="0" w:color="auto"/>
            </w:tcBorders>
            <w:hideMark/>
          </w:tcPr>
          <w:p w14:paraId="341DE1FB"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 xml:space="preserve">Sabiedrības </w:t>
            </w:r>
            <w:proofErr w:type="spellStart"/>
            <w:r w:rsidRPr="00823CB3">
              <w:rPr>
                <w:rFonts w:ascii="Times New Roman" w:hAnsi="Times New Roman"/>
                <w:sz w:val="26"/>
                <w:szCs w:val="26"/>
                <w:lang w:eastAsia="lv-LV"/>
              </w:rPr>
              <w:t>mērķgrupas</w:t>
            </w:r>
            <w:proofErr w:type="spellEnd"/>
            <w:r w:rsidRPr="00823CB3">
              <w:rPr>
                <w:rFonts w:ascii="Times New Roman" w:hAnsi="Times New Roman"/>
                <w:sz w:val="26"/>
                <w:szCs w:val="26"/>
                <w:lang w:eastAsia="lv-LV"/>
              </w:rPr>
              <w:t>, kuras tiesiskais regulējums ietekmē vai varētu ietekmēt</w:t>
            </w:r>
          </w:p>
        </w:tc>
        <w:tc>
          <w:tcPr>
            <w:tcW w:w="3818" w:type="pct"/>
            <w:tcBorders>
              <w:top w:val="single" w:sz="4" w:space="0" w:color="auto"/>
              <w:left w:val="single" w:sz="4" w:space="0" w:color="auto"/>
              <w:bottom w:val="single" w:sz="4" w:space="0" w:color="auto"/>
              <w:right w:val="single" w:sz="4" w:space="0" w:color="auto"/>
            </w:tcBorders>
            <w:hideMark/>
          </w:tcPr>
          <w:p w14:paraId="7973287B" w14:textId="559A58E4" w:rsidR="003460E1" w:rsidRPr="00A33851" w:rsidRDefault="00F80C33" w:rsidP="00436672">
            <w:pPr>
              <w:pStyle w:val="ListParagraph"/>
              <w:tabs>
                <w:tab w:val="left" w:pos="220"/>
              </w:tabs>
              <w:spacing w:after="0" w:line="240" w:lineRule="auto"/>
              <w:ind w:left="0"/>
              <w:jc w:val="both"/>
              <w:rPr>
                <w:rFonts w:ascii="Times New Roman" w:hAnsi="Times New Roman"/>
                <w:sz w:val="26"/>
                <w:szCs w:val="26"/>
                <w:lang w:val="lv-LV" w:eastAsia="en-US"/>
              </w:rPr>
            </w:pPr>
            <w:r w:rsidRPr="00A33851">
              <w:rPr>
                <w:rFonts w:ascii="Times New Roman" w:hAnsi="Times New Roman"/>
                <w:sz w:val="26"/>
                <w:szCs w:val="26"/>
                <w:lang w:val="lv-LV" w:eastAsia="en-US"/>
              </w:rPr>
              <w:t xml:space="preserve">Projektā </w:t>
            </w:r>
            <w:r w:rsidR="003460E1" w:rsidRPr="00A33851">
              <w:rPr>
                <w:rFonts w:ascii="Times New Roman" w:hAnsi="Times New Roman"/>
                <w:sz w:val="26"/>
                <w:szCs w:val="26"/>
                <w:lang w:val="lv-LV" w:eastAsia="en-US"/>
              </w:rPr>
              <w:t xml:space="preserve">noteiktais attieksies uz: </w:t>
            </w:r>
          </w:p>
          <w:p w14:paraId="56CF206C" w14:textId="7885CB5B" w:rsidR="003460E1" w:rsidRPr="00A33851" w:rsidRDefault="002F12C1" w:rsidP="00436672">
            <w:pPr>
              <w:pStyle w:val="ListParagraph"/>
              <w:tabs>
                <w:tab w:val="left" w:pos="220"/>
              </w:tabs>
              <w:spacing w:after="0" w:line="240" w:lineRule="auto"/>
              <w:ind w:left="0"/>
              <w:jc w:val="both"/>
              <w:rPr>
                <w:rFonts w:ascii="Times New Roman" w:hAnsi="Times New Roman"/>
                <w:sz w:val="26"/>
                <w:szCs w:val="26"/>
                <w:lang w:val="lv-LV" w:eastAsia="en-US"/>
              </w:rPr>
            </w:pPr>
            <w:r w:rsidRPr="00A33851">
              <w:rPr>
                <w:rFonts w:ascii="Times New Roman" w:hAnsi="Times New Roman"/>
                <w:sz w:val="26"/>
                <w:szCs w:val="26"/>
                <w:lang w:val="lv-LV" w:eastAsia="en-US"/>
              </w:rPr>
              <w:t>1</w:t>
            </w:r>
            <w:r w:rsidR="003460E1" w:rsidRPr="00A33851">
              <w:rPr>
                <w:rFonts w:ascii="Times New Roman" w:hAnsi="Times New Roman"/>
                <w:sz w:val="26"/>
                <w:szCs w:val="26"/>
                <w:lang w:val="lv-LV" w:eastAsia="en-US"/>
              </w:rPr>
              <w:t xml:space="preserve">) personām, kurām Latvijas Republikā atzīst </w:t>
            </w:r>
            <w:r w:rsidR="003460E1" w:rsidRPr="00A33851">
              <w:rPr>
                <w:rFonts w:ascii="Times New Roman" w:hAnsi="Times New Roman"/>
                <w:iCs/>
                <w:sz w:val="26"/>
                <w:szCs w:val="26"/>
                <w:lang w:val="lv-LV" w:eastAsia="en-US"/>
              </w:rPr>
              <w:t>profesionālo kvalifikāciju;</w:t>
            </w:r>
          </w:p>
          <w:p w14:paraId="631BB07D" w14:textId="202AB8E2" w:rsidR="003460E1" w:rsidRPr="00A33851" w:rsidRDefault="002F12C1" w:rsidP="00436672">
            <w:pPr>
              <w:pStyle w:val="ListParagraph"/>
              <w:tabs>
                <w:tab w:val="left" w:pos="220"/>
              </w:tabs>
              <w:spacing w:after="0" w:line="240" w:lineRule="auto"/>
              <w:ind w:left="0"/>
              <w:jc w:val="both"/>
              <w:rPr>
                <w:rFonts w:ascii="Times New Roman" w:hAnsi="Times New Roman"/>
                <w:sz w:val="26"/>
                <w:szCs w:val="26"/>
                <w:lang w:val="lv-LV" w:eastAsia="en-US"/>
              </w:rPr>
            </w:pPr>
            <w:r w:rsidRPr="00A33851">
              <w:rPr>
                <w:rFonts w:ascii="Times New Roman" w:hAnsi="Times New Roman"/>
                <w:sz w:val="26"/>
                <w:szCs w:val="26"/>
                <w:lang w:val="lv-LV" w:eastAsia="en-US"/>
              </w:rPr>
              <w:t>2</w:t>
            </w:r>
            <w:r w:rsidR="003460E1" w:rsidRPr="00A33851">
              <w:rPr>
                <w:rFonts w:ascii="Times New Roman" w:hAnsi="Times New Roman"/>
                <w:sz w:val="26"/>
                <w:szCs w:val="26"/>
                <w:lang w:val="lv-LV" w:eastAsia="en-US"/>
              </w:rPr>
              <w:t xml:space="preserve">) </w:t>
            </w:r>
            <w:r w:rsidR="003409A7" w:rsidRPr="00A33851">
              <w:rPr>
                <w:rFonts w:ascii="Times New Roman" w:hAnsi="Times New Roman"/>
                <w:sz w:val="26"/>
                <w:szCs w:val="26"/>
                <w:lang w:val="lv-LV" w:eastAsia="en-US"/>
              </w:rPr>
              <w:t>informācijas institūcijām un institūcijām, kas izsniedz atzīšanas apliecības.</w:t>
            </w:r>
            <w:r w:rsidR="003460E1" w:rsidRPr="00A33851">
              <w:rPr>
                <w:rFonts w:ascii="Times New Roman" w:hAnsi="Times New Roman"/>
                <w:sz w:val="26"/>
                <w:szCs w:val="26"/>
                <w:lang w:val="lv-LV" w:eastAsia="en-US"/>
              </w:rPr>
              <w:t xml:space="preserve"> </w:t>
            </w:r>
          </w:p>
          <w:p w14:paraId="384EA2C6" w14:textId="1D5112C6" w:rsidR="003460E1" w:rsidRPr="00823CB3" w:rsidRDefault="003460E1" w:rsidP="00436672">
            <w:pPr>
              <w:tabs>
                <w:tab w:val="left" w:pos="220"/>
              </w:tabs>
              <w:spacing w:after="0" w:line="240" w:lineRule="auto"/>
              <w:jc w:val="both"/>
              <w:rPr>
                <w:rFonts w:ascii="Times New Roman" w:hAnsi="Times New Roman"/>
                <w:color w:val="215868" w:themeColor="accent5" w:themeShade="80"/>
                <w:sz w:val="26"/>
                <w:szCs w:val="26"/>
                <w:lang w:eastAsia="lv-LV"/>
              </w:rPr>
            </w:pPr>
          </w:p>
        </w:tc>
      </w:tr>
      <w:tr w:rsidR="003460E1" w:rsidRPr="00823CB3" w14:paraId="199FFF5C" w14:textId="77777777" w:rsidTr="001919B5">
        <w:trPr>
          <w:trHeight w:val="510"/>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66FA650B"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2.</w:t>
            </w:r>
          </w:p>
        </w:tc>
        <w:tc>
          <w:tcPr>
            <w:tcW w:w="909" w:type="pct"/>
            <w:tcBorders>
              <w:top w:val="single" w:sz="4" w:space="0" w:color="auto"/>
              <w:left w:val="single" w:sz="4" w:space="0" w:color="auto"/>
              <w:bottom w:val="single" w:sz="4" w:space="0" w:color="auto"/>
              <w:right w:val="single" w:sz="4" w:space="0" w:color="auto"/>
            </w:tcBorders>
            <w:hideMark/>
          </w:tcPr>
          <w:p w14:paraId="2F0345BE" w14:textId="77777777" w:rsidR="003460E1" w:rsidRPr="00823CB3" w:rsidRDefault="003460E1" w:rsidP="00937CF5">
            <w:pPr>
              <w:spacing w:after="0" w:line="240" w:lineRule="auto"/>
              <w:rPr>
                <w:rFonts w:ascii="Times New Roman" w:hAnsi="Times New Roman"/>
                <w:sz w:val="26"/>
                <w:szCs w:val="26"/>
                <w:lang w:eastAsia="lv-LV"/>
              </w:rPr>
            </w:pPr>
            <w:r w:rsidRPr="00823CB3">
              <w:rPr>
                <w:rFonts w:ascii="Times New Roman" w:hAnsi="Times New Roman"/>
                <w:sz w:val="26"/>
                <w:szCs w:val="26"/>
                <w:lang w:eastAsia="lv-LV"/>
              </w:rPr>
              <w:t>Tiesiskā regulējuma ietekme uz tautsaimniecību un administratīvo slogu</w:t>
            </w:r>
          </w:p>
        </w:tc>
        <w:tc>
          <w:tcPr>
            <w:tcW w:w="3818" w:type="pct"/>
            <w:tcBorders>
              <w:top w:val="single" w:sz="4" w:space="0" w:color="auto"/>
              <w:left w:val="single" w:sz="4" w:space="0" w:color="auto"/>
              <w:bottom w:val="single" w:sz="4" w:space="0" w:color="auto"/>
              <w:right w:val="single" w:sz="4" w:space="0" w:color="auto"/>
            </w:tcBorders>
          </w:tcPr>
          <w:p w14:paraId="3A120980" w14:textId="44C82C77" w:rsidR="00CB4722" w:rsidRPr="00A33851" w:rsidRDefault="002A4D5C" w:rsidP="00CB4722">
            <w:pPr>
              <w:tabs>
                <w:tab w:val="left" w:pos="7371"/>
              </w:tabs>
              <w:spacing w:after="0" w:line="240" w:lineRule="auto"/>
              <w:jc w:val="both"/>
              <w:rPr>
                <w:rFonts w:ascii="Times New Roman" w:eastAsia="Times New Roman" w:hAnsi="Times New Roman"/>
                <w:sz w:val="26"/>
                <w:szCs w:val="26"/>
                <w:lang w:eastAsia="lv-LV"/>
              </w:rPr>
            </w:pPr>
            <w:r w:rsidRPr="00A33851">
              <w:rPr>
                <w:rFonts w:ascii="Times New Roman" w:eastAsia="Times New Roman" w:hAnsi="Times New Roman"/>
                <w:sz w:val="26"/>
                <w:szCs w:val="26"/>
                <w:lang w:eastAsia="lv-LV"/>
              </w:rPr>
              <w:t>Projekta tiesiskā regulējuma finansiālā ietekme attieksies uz personām, kuras vēlas atzīt profesionālo kvalifikāciju</w:t>
            </w:r>
            <w:r w:rsidR="005012A5" w:rsidRPr="00A33851">
              <w:rPr>
                <w:rFonts w:ascii="Times New Roman" w:eastAsia="Times New Roman" w:hAnsi="Times New Roman"/>
                <w:sz w:val="26"/>
                <w:szCs w:val="26"/>
                <w:lang w:eastAsia="lv-LV"/>
              </w:rPr>
              <w:t xml:space="preserve"> </w:t>
            </w:r>
            <w:r w:rsidR="008E2DC4">
              <w:rPr>
                <w:rFonts w:ascii="Times New Roman" w:eastAsia="Times New Roman" w:hAnsi="Times New Roman"/>
                <w:sz w:val="26"/>
                <w:szCs w:val="26"/>
                <w:lang w:eastAsia="lv-LV"/>
              </w:rPr>
              <w:t xml:space="preserve">pastāvīgai </w:t>
            </w:r>
            <w:r w:rsidR="005012A5" w:rsidRPr="00A33851">
              <w:rPr>
                <w:rFonts w:ascii="Times New Roman" w:eastAsia="Times New Roman" w:hAnsi="Times New Roman"/>
                <w:sz w:val="26"/>
                <w:szCs w:val="26"/>
                <w:lang w:eastAsia="lv-LV"/>
              </w:rPr>
              <w:t>profesionāla</w:t>
            </w:r>
            <w:r w:rsidR="008E2DC4">
              <w:rPr>
                <w:rFonts w:ascii="Times New Roman" w:eastAsia="Times New Roman" w:hAnsi="Times New Roman"/>
                <w:sz w:val="26"/>
                <w:szCs w:val="26"/>
                <w:lang w:eastAsia="lv-LV"/>
              </w:rPr>
              <w:t>ja</w:t>
            </w:r>
            <w:r w:rsidR="005012A5" w:rsidRPr="00A33851">
              <w:rPr>
                <w:rFonts w:ascii="Times New Roman" w:eastAsia="Times New Roman" w:hAnsi="Times New Roman"/>
                <w:sz w:val="26"/>
                <w:szCs w:val="26"/>
                <w:lang w:eastAsia="lv-LV"/>
              </w:rPr>
              <w:t>i darbībai Latvijas Republikā reglamentētā profesijā</w:t>
            </w:r>
            <w:r w:rsidRPr="00A33851">
              <w:rPr>
                <w:rFonts w:ascii="Times New Roman" w:eastAsia="Times New Roman" w:hAnsi="Times New Roman"/>
                <w:sz w:val="26"/>
                <w:szCs w:val="26"/>
                <w:lang w:eastAsia="lv-LV"/>
              </w:rPr>
              <w:t xml:space="preserve">. </w:t>
            </w:r>
          </w:p>
          <w:p w14:paraId="2B23351F" w14:textId="251AA307" w:rsidR="00F35989" w:rsidRPr="00A33851" w:rsidRDefault="00F35989" w:rsidP="00CB4722">
            <w:pPr>
              <w:tabs>
                <w:tab w:val="left" w:pos="7371"/>
              </w:tabs>
              <w:spacing w:after="0" w:line="240" w:lineRule="auto"/>
              <w:jc w:val="both"/>
              <w:rPr>
                <w:rFonts w:ascii="Times New Roman" w:eastAsia="Times New Roman" w:hAnsi="Times New Roman"/>
                <w:sz w:val="26"/>
                <w:szCs w:val="26"/>
                <w:lang w:eastAsia="lv-LV"/>
              </w:rPr>
            </w:pPr>
            <w:r w:rsidRPr="00A33851">
              <w:rPr>
                <w:rFonts w:ascii="Times New Roman" w:eastAsia="Times New Roman" w:hAnsi="Times New Roman"/>
                <w:sz w:val="26"/>
                <w:szCs w:val="26"/>
                <w:lang w:eastAsia="lv-LV"/>
              </w:rPr>
              <w:t xml:space="preserve">Akadēmiskās informācijas centrs </w:t>
            </w:r>
            <w:r w:rsidR="00D6049C">
              <w:rPr>
                <w:rFonts w:ascii="Times New Roman" w:eastAsia="Times New Roman" w:hAnsi="Times New Roman"/>
                <w:sz w:val="26"/>
                <w:szCs w:val="26"/>
                <w:lang w:eastAsia="lv-LV"/>
              </w:rPr>
              <w:t>ir</w:t>
            </w:r>
            <w:r w:rsidR="00D6049C" w:rsidRPr="00A33851">
              <w:rPr>
                <w:rFonts w:ascii="Times New Roman" w:eastAsia="Times New Roman" w:hAnsi="Times New Roman"/>
                <w:sz w:val="26"/>
                <w:szCs w:val="26"/>
                <w:lang w:eastAsia="lv-LV"/>
              </w:rPr>
              <w:t xml:space="preserve"> </w:t>
            </w:r>
            <w:r w:rsidRPr="00A33851">
              <w:rPr>
                <w:rFonts w:ascii="Times New Roman" w:eastAsia="Times New Roman" w:hAnsi="Times New Roman"/>
                <w:sz w:val="26"/>
                <w:szCs w:val="26"/>
                <w:lang w:eastAsia="lv-LV"/>
              </w:rPr>
              <w:t>informācijas iestāde lielākajā daļā reg</w:t>
            </w:r>
            <w:r w:rsidR="00663B48">
              <w:rPr>
                <w:rFonts w:ascii="Times New Roman" w:eastAsia="Times New Roman" w:hAnsi="Times New Roman"/>
                <w:sz w:val="26"/>
                <w:szCs w:val="26"/>
                <w:lang w:eastAsia="lv-LV"/>
              </w:rPr>
              <w:t>lamentēto profesiju</w:t>
            </w:r>
            <w:r w:rsidRPr="00A33851">
              <w:rPr>
                <w:rFonts w:ascii="Times New Roman" w:eastAsia="Times New Roman" w:hAnsi="Times New Roman"/>
                <w:sz w:val="26"/>
                <w:szCs w:val="26"/>
                <w:lang w:eastAsia="lv-LV"/>
              </w:rPr>
              <w:t xml:space="preserve"> </w:t>
            </w:r>
            <w:r w:rsidR="00D6049C">
              <w:rPr>
                <w:rFonts w:ascii="Times New Roman" w:eastAsia="Times New Roman" w:hAnsi="Times New Roman"/>
                <w:sz w:val="26"/>
                <w:szCs w:val="26"/>
                <w:lang w:eastAsia="lv-LV"/>
              </w:rPr>
              <w:t>un tas</w:t>
            </w:r>
            <w:r w:rsidR="00D6049C" w:rsidRPr="00A33851">
              <w:rPr>
                <w:rFonts w:ascii="Times New Roman" w:eastAsia="Times New Roman" w:hAnsi="Times New Roman"/>
                <w:sz w:val="26"/>
                <w:szCs w:val="26"/>
                <w:lang w:eastAsia="lv-LV"/>
              </w:rPr>
              <w:t xml:space="preserve"> </w:t>
            </w:r>
            <w:r w:rsidRPr="00A33851">
              <w:rPr>
                <w:rFonts w:ascii="Times New Roman" w:eastAsia="Times New Roman" w:hAnsi="Times New Roman"/>
                <w:sz w:val="26"/>
                <w:szCs w:val="26"/>
                <w:lang w:eastAsia="lv-LV"/>
              </w:rPr>
              <w:t>izsniedz</w:t>
            </w:r>
            <w:r w:rsidR="00D21BAD">
              <w:rPr>
                <w:rFonts w:ascii="Times New Roman" w:eastAsia="Times New Roman" w:hAnsi="Times New Roman"/>
                <w:sz w:val="26"/>
                <w:szCs w:val="26"/>
                <w:lang w:eastAsia="lv-LV"/>
              </w:rPr>
              <w:t xml:space="preserve"> izziņas</w:t>
            </w:r>
            <w:r w:rsidRPr="00A33851">
              <w:rPr>
                <w:rFonts w:ascii="Times New Roman" w:eastAsia="Times New Roman" w:hAnsi="Times New Roman"/>
                <w:sz w:val="26"/>
                <w:szCs w:val="26"/>
                <w:lang w:eastAsia="lv-LV"/>
              </w:rPr>
              <w:t xml:space="preserve"> profesionālās kvalifikācijas atzīšan</w:t>
            </w:r>
            <w:r w:rsidR="00D21BAD">
              <w:rPr>
                <w:rFonts w:ascii="Times New Roman" w:eastAsia="Times New Roman" w:hAnsi="Times New Roman"/>
                <w:sz w:val="26"/>
                <w:szCs w:val="26"/>
                <w:lang w:eastAsia="lv-LV"/>
              </w:rPr>
              <w:t xml:space="preserve">ai saskaņā ar </w:t>
            </w:r>
            <w:r w:rsidR="00663B48">
              <w:rPr>
                <w:rFonts w:ascii="Times New Roman" w:eastAsia="Times New Roman" w:hAnsi="Times New Roman"/>
                <w:sz w:val="26"/>
                <w:szCs w:val="26"/>
                <w:lang w:eastAsia="lv-LV"/>
              </w:rPr>
              <w:t>noteikumos Nr.</w:t>
            </w:r>
            <w:r w:rsidR="00D21BAD">
              <w:rPr>
                <w:rFonts w:ascii="Times New Roman" w:eastAsia="Times New Roman" w:hAnsi="Times New Roman"/>
                <w:sz w:val="26"/>
                <w:szCs w:val="26"/>
                <w:lang w:eastAsia="lv-LV"/>
              </w:rPr>
              <w:t>525 noteikto kārtību</w:t>
            </w:r>
            <w:r w:rsidR="00D6049C">
              <w:rPr>
                <w:rFonts w:ascii="Times New Roman" w:eastAsia="Times New Roman" w:hAnsi="Times New Roman"/>
                <w:sz w:val="26"/>
                <w:szCs w:val="26"/>
                <w:lang w:eastAsia="lv-LV"/>
              </w:rPr>
              <w:t>.</w:t>
            </w:r>
            <w:r w:rsidR="00D6049C" w:rsidRPr="00A33851">
              <w:rPr>
                <w:rFonts w:ascii="Times New Roman" w:eastAsia="Times New Roman" w:hAnsi="Times New Roman"/>
                <w:sz w:val="26"/>
                <w:szCs w:val="26"/>
                <w:lang w:eastAsia="lv-LV"/>
              </w:rPr>
              <w:t xml:space="preserve"> </w:t>
            </w:r>
            <w:r w:rsidRPr="00A33851">
              <w:rPr>
                <w:rFonts w:ascii="Times New Roman" w:eastAsia="Times New Roman" w:hAnsi="Times New Roman"/>
                <w:sz w:val="26"/>
                <w:szCs w:val="26"/>
                <w:lang w:eastAsia="lv-LV"/>
              </w:rPr>
              <w:t>201</w:t>
            </w:r>
            <w:r w:rsidR="005F3FEB">
              <w:rPr>
                <w:rFonts w:ascii="Times New Roman" w:eastAsia="Times New Roman" w:hAnsi="Times New Roman"/>
                <w:sz w:val="26"/>
                <w:szCs w:val="26"/>
                <w:lang w:eastAsia="lv-LV"/>
              </w:rPr>
              <w:t>5</w:t>
            </w:r>
            <w:r w:rsidRPr="00A33851">
              <w:rPr>
                <w:rFonts w:ascii="Times New Roman" w:eastAsia="Times New Roman" w:hAnsi="Times New Roman"/>
                <w:sz w:val="26"/>
                <w:szCs w:val="26"/>
                <w:lang w:eastAsia="lv-LV"/>
              </w:rPr>
              <w:t xml:space="preserve">.gadā </w:t>
            </w:r>
            <w:r w:rsidR="00D6049C">
              <w:rPr>
                <w:rFonts w:ascii="Times New Roman" w:eastAsia="Times New Roman" w:hAnsi="Times New Roman"/>
                <w:sz w:val="26"/>
                <w:szCs w:val="26"/>
                <w:lang w:eastAsia="lv-LV"/>
              </w:rPr>
              <w:t xml:space="preserve">Akadēmiskās informācijas centrs </w:t>
            </w:r>
            <w:r w:rsidRPr="00A33851">
              <w:rPr>
                <w:rFonts w:ascii="Times New Roman" w:eastAsia="Times New Roman" w:hAnsi="Times New Roman"/>
                <w:sz w:val="26"/>
                <w:szCs w:val="26"/>
                <w:lang w:eastAsia="lv-LV"/>
              </w:rPr>
              <w:t xml:space="preserve">ir izsniedzis </w:t>
            </w:r>
            <w:r w:rsidR="005F3FEB">
              <w:rPr>
                <w:rFonts w:ascii="Times New Roman" w:eastAsia="Times New Roman" w:hAnsi="Times New Roman"/>
                <w:sz w:val="26"/>
                <w:szCs w:val="26"/>
                <w:lang w:eastAsia="lv-LV"/>
              </w:rPr>
              <w:t>104</w:t>
            </w:r>
            <w:r w:rsidRPr="00A33851">
              <w:rPr>
                <w:rFonts w:ascii="Times New Roman" w:eastAsia="Times New Roman" w:hAnsi="Times New Roman"/>
                <w:sz w:val="26"/>
                <w:szCs w:val="26"/>
                <w:lang w:eastAsia="lv-LV"/>
              </w:rPr>
              <w:t xml:space="preserve"> izziņas par pretendenta izglītības un profesionālās pieredzes atbilst</w:t>
            </w:r>
            <w:r w:rsidR="00731E6C" w:rsidRPr="00A33851">
              <w:rPr>
                <w:rFonts w:ascii="Times New Roman" w:eastAsia="Times New Roman" w:hAnsi="Times New Roman"/>
                <w:sz w:val="26"/>
                <w:szCs w:val="26"/>
                <w:lang w:eastAsia="lv-LV"/>
              </w:rPr>
              <w:t>ību Latvijas R</w:t>
            </w:r>
            <w:r w:rsidRPr="00A33851">
              <w:rPr>
                <w:rFonts w:ascii="Times New Roman" w:eastAsia="Times New Roman" w:hAnsi="Times New Roman"/>
                <w:sz w:val="26"/>
                <w:szCs w:val="26"/>
                <w:lang w:eastAsia="lv-LV"/>
              </w:rPr>
              <w:t>epublikā noteiktajām prasībām.</w:t>
            </w:r>
            <w:r w:rsidR="003F2409" w:rsidRPr="00A33851">
              <w:rPr>
                <w:rFonts w:ascii="Times New Roman" w:eastAsia="Times New Roman" w:hAnsi="Times New Roman"/>
                <w:sz w:val="26"/>
                <w:szCs w:val="26"/>
                <w:lang w:eastAsia="lv-LV"/>
              </w:rPr>
              <w:t xml:space="preserve"> Šis skaits ir svārstīgs, </w:t>
            </w:r>
            <w:r w:rsidR="00D6049C">
              <w:rPr>
                <w:rFonts w:ascii="Times New Roman" w:eastAsia="Times New Roman" w:hAnsi="Times New Roman"/>
                <w:sz w:val="26"/>
                <w:szCs w:val="26"/>
                <w:lang w:eastAsia="lv-LV"/>
              </w:rPr>
              <w:t xml:space="preserve">bet kopumā </w:t>
            </w:r>
            <w:r w:rsidR="003F2409" w:rsidRPr="00A33851">
              <w:rPr>
                <w:rFonts w:ascii="Times New Roman" w:eastAsia="Times New Roman" w:hAnsi="Times New Roman"/>
                <w:sz w:val="26"/>
                <w:szCs w:val="26"/>
                <w:lang w:eastAsia="lv-LV"/>
              </w:rPr>
              <w:t>ar pieaugošu tendenci (2010.g</w:t>
            </w:r>
            <w:r w:rsidR="00D6049C">
              <w:rPr>
                <w:rFonts w:ascii="Times New Roman" w:eastAsia="Times New Roman" w:hAnsi="Times New Roman"/>
                <w:sz w:val="26"/>
                <w:szCs w:val="26"/>
                <w:lang w:eastAsia="lv-LV"/>
              </w:rPr>
              <w:t>adā</w:t>
            </w:r>
            <w:r w:rsidR="003F2409" w:rsidRPr="00A33851">
              <w:rPr>
                <w:rFonts w:ascii="Times New Roman" w:eastAsia="Times New Roman" w:hAnsi="Times New Roman"/>
                <w:sz w:val="26"/>
                <w:szCs w:val="26"/>
                <w:lang w:eastAsia="lv-LV"/>
              </w:rPr>
              <w:t xml:space="preserve"> – 48, 2011.g</w:t>
            </w:r>
            <w:r w:rsidR="00D6049C">
              <w:rPr>
                <w:rFonts w:ascii="Times New Roman" w:eastAsia="Times New Roman" w:hAnsi="Times New Roman"/>
                <w:sz w:val="26"/>
                <w:szCs w:val="26"/>
                <w:lang w:eastAsia="lv-LV"/>
              </w:rPr>
              <w:t>adā</w:t>
            </w:r>
            <w:r w:rsidR="003F2409" w:rsidRPr="00A33851">
              <w:rPr>
                <w:rFonts w:ascii="Times New Roman" w:eastAsia="Times New Roman" w:hAnsi="Times New Roman"/>
                <w:sz w:val="26"/>
                <w:szCs w:val="26"/>
                <w:lang w:eastAsia="lv-LV"/>
              </w:rPr>
              <w:t xml:space="preserve"> -</w:t>
            </w:r>
            <w:r w:rsidR="00C97BE1">
              <w:rPr>
                <w:rFonts w:ascii="Times New Roman" w:eastAsia="Times New Roman" w:hAnsi="Times New Roman"/>
                <w:sz w:val="26"/>
                <w:szCs w:val="26"/>
                <w:lang w:eastAsia="lv-LV"/>
              </w:rPr>
              <w:t xml:space="preserve"> </w:t>
            </w:r>
            <w:r w:rsidR="003F2409" w:rsidRPr="00A33851">
              <w:rPr>
                <w:rFonts w:ascii="Times New Roman" w:eastAsia="Times New Roman" w:hAnsi="Times New Roman"/>
                <w:sz w:val="26"/>
                <w:szCs w:val="26"/>
                <w:lang w:eastAsia="lv-LV"/>
              </w:rPr>
              <w:t>62, 2012.</w:t>
            </w:r>
            <w:r w:rsidR="00D6049C">
              <w:rPr>
                <w:rFonts w:ascii="Times New Roman" w:eastAsia="Times New Roman" w:hAnsi="Times New Roman"/>
                <w:sz w:val="26"/>
                <w:szCs w:val="26"/>
                <w:lang w:eastAsia="lv-LV"/>
              </w:rPr>
              <w:t>gadā</w:t>
            </w:r>
            <w:r w:rsidR="003F2409" w:rsidRPr="00A33851">
              <w:rPr>
                <w:rFonts w:ascii="Times New Roman" w:eastAsia="Times New Roman" w:hAnsi="Times New Roman"/>
                <w:sz w:val="26"/>
                <w:szCs w:val="26"/>
                <w:lang w:eastAsia="lv-LV"/>
              </w:rPr>
              <w:t xml:space="preserve"> – 98, 2013.g</w:t>
            </w:r>
            <w:r w:rsidR="00D6049C">
              <w:rPr>
                <w:rFonts w:ascii="Times New Roman" w:eastAsia="Times New Roman" w:hAnsi="Times New Roman"/>
                <w:sz w:val="26"/>
                <w:szCs w:val="26"/>
                <w:lang w:eastAsia="lv-LV"/>
              </w:rPr>
              <w:t>adā</w:t>
            </w:r>
            <w:r w:rsidR="003F2409" w:rsidRPr="00A33851">
              <w:rPr>
                <w:rFonts w:ascii="Times New Roman" w:eastAsia="Times New Roman" w:hAnsi="Times New Roman"/>
                <w:sz w:val="26"/>
                <w:szCs w:val="26"/>
                <w:lang w:eastAsia="lv-LV"/>
              </w:rPr>
              <w:t xml:space="preserve"> – 69</w:t>
            </w:r>
            <w:r w:rsidR="005F3FEB">
              <w:rPr>
                <w:rFonts w:ascii="Times New Roman" w:eastAsia="Times New Roman" w:hAnsi="Times New Roman"/>
                <w:sz w:val="26"/>
                <w:szCs w:val="26"/>
                <w:lang w:eastAsia="lv-LV"/>
              </w:rPr>
              <w:t>, 2014.gadā - 98</w:t>
            </w:r>
            <w:r w:rsidR="003F2409" w:rsidRPr="00A33851">
              <w:rPr>
                <w:rFonts w:ascii="Times New Roman" w:eastAsia="Times New Roman" w:hAnsi="Times New Roman"/>
                <w:sz w:val="26"/>
                <w:szCs w:val="26"/>
                <w:lang w:eastAsia="lv-LV"/>
              </w:rPr>
              <w:t>).</w:t>
            </w:r>
            <w:r w:rsidR="00635523" w:rsidRPr="00A33851">
              <w:rPr>
                <w:rFonts w:ascii="Times New Roman" w:eastAsia="Times New Roman" w:hAnsi="Times New Roman"/>
                <w:sz w:val="26"/>
                <w:szCs w:val="26"/>
                <w:lang w:eastAsia="lv-LV"/>
              </w:rPr>
              <w:t xml:space="preserve"> </w:t>
            </w:r>
            <w:r w:rsidR="00731E6C" w:rsidRPr="00A33851">
              <w:rPr>
                <w:rFonts w:ascii="Times New Roman" w:eastAsia="Times New Roman" w:hAnsi="Times New Roman"/>
                <w:sz w:val="26"/>
                <w:szCs w:val="26"/>
                <w:lang w:eastAsia="lv-LV"/>
              </w:rPr>
              <w:t>No tā secināms, ka</w:t>
            </w:r>
            <w:r w:rsidR="001E7945" w:rsidRPr="00A33851">
              <w:rPr>
                <w:rFonts w:ascii="Times New Roman" w:eastAsia="Times New Roman" w:hAnsi="Times New Roman"/>
                <w:sz w:val="26"/>
                <w:szCs w:val="26"/>
                <w:lang w:eastAsia="lv-LV"/>
              </w:rPr>
              <w:t>, saglab</w:t>
            </w:r>
            <w:r w:rsidR="003F2409" w:rsidRPr="00A33851">
              <w:rPr>
                <w:rFonts w:ascii="Times New Roman" w:eastAsia="Times New Roman" w:hAnsi="Times New Roman"/>
                <w:sz w:val="26"/>
                <w:szCs w:val="26"/>
                <w:lang w:eastAsia="lv-LV"/>
              </w:rPr>
              <w:t>ājoties</w:t>
            </w:r>
            <w:r w:rsidR="00D6049C">
              <w:rPr>
                <w:rFonts w:ascii="Times New Roman" w:eastAsia="Times New Roman" w:hAnsi="Times New Roman"/>
                <w:sz w:val="26"/>
                <w:szCs w:val="26"/>
                <w:lang w:eastAsia="lv-LV"/>
              </w:rPr>
              <w:t xml:space="preserve"> līdzšinējai</w:t>
            </w:r>
            <w:r w:rsidR="003F2409" w:rsidRPr="00A33851">
              <w:rPr>
                <w:rFonts w:ascii="Times New Roman" w:eastAsia="Times New Roman" w:hAnsi="Times New Roman"/>
                <w:sz w:val="26"/>
                <w:szCs w:val="26"/>
                <w:lang w:eastAsia="lv-LV"/>
              </w:rPr>
              <w:t xml:space="preserve"> profesionālās kvalifikācijas atzīšanas </w:t>
            </w:r>
            <w:r w:rsidR="003F2409" w:rsidRPr="00A33851">
              <w:rPr>
                <w:rFonts w:ascii="Times New Roman" w:eastAsia="Times New Roman" w:hAnsi="Times New Roman"/>
                <w:sz w:val="26"/>
                <w:szCs w:val="26"/>
                <w:lang w:eastAsia="lv-LV"/>
              </w:rPr>
              <w:lastRenderedPageBreak/>
              <w:t>dinamikai</w:t>
            </w:r>
            <w:r w:rsidR="001E7945" w:rsidRPr="00A33851">
              <w:rPr>
                <w:rFonts w:ascii="Times New Roman" w:eastAsia="Times New Roman" w:hAnsi="Times New Roman"/>
                <w:sz w:val="26"/>
                <w:szCs w:val="26"/>
                <w:lang w:eastAsia="lv-LV"/>
              </w:rPr>
              <w:t>,</w:t>
            </w:r>
            <w:r w:rsidR="00731E6C" w:rsidRPr="00A33851">
              <w:rPr>
                <w:rFonts w:ascii="Times New Roman" w:eastAsia="Times New Roman" w:hAnsi="Times New Roman"/>
                <w:sz w:val="26"/>
                <w:szCs w:val="26"/>
                <w:lang w:eastAsia="lv-LV"/>
              </w:rPr>
              <w:t xml:space="preserve"> projekta regulējums attieksies uz apmēram 100 personām gadā.</w:t>
            </w:r>
          </w:p>
          <w:p w14:paraId="1FF1C85B" w14:textId="19BB50BE" w:rsidR="003460E1" w:rsidRPr="00A33851" w:rsidRDefault="003460E1" w:rsidP="00EF6DB9">
            <w:pPr>
              <w:tabs>
                <w:tab w:val="left" w:pos="7371"/>
              </w:tabs>
              <w:spacing w:after="0" w:line="240" w:lineRule="auto"/>
              <w:jc w:val="both"/>
              <w:rPr>
                <w:rFonts w:ascii="Times New Roman" w:hAnsi="Times New Roman"/>
                <w:sz w:val="26"/>
                <w:szCs w:val="26"/>
              </w:rPr>
            </w:pPr>
          </w:p>
        </w:tc>
      </w:tr>
      <w:tr w:rsidR="003460E1" w:rsidRPr="00823CB3" w14:paraId="3F89A8EA" w14:textId="77777777" w:rsidTr="001919B5">
        <w:trPr>
          <w:gridBefore w:val="1"/>
          <w:wBefore w:w="3" w:type="pct"/>
          <w:trHeight w:val="510"/>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2A143E05"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lastRenderedPageBreak/>
              <w:t>3.</w:t>
            </w:r>
          </w:p>
        </w:tc>
        <w:tc>
          <w:tcPr>
            <w:tcW w:w="909" w:type="pct"/>
            <w:tcBorders>
              <w:top w:val="single" w:sz="4" w:space="0" w:color="auto"/>
              <w:left w:val="single" w:sz="4" w:space="0" w:color="auto"/>
              <w:bottom w:val="single" w:sz="4" w:space="0" w:color="auto"/>
              <w:right w:val="single" w:sz="4" w:space="0" w:color="auto"/>
            </w:tcBorders>
            <w:hideMark/>
          </w:tcPr>
          <w:p w14:paraId="659C183C"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Administratīvo izmaksu monetārs novērtējums</w:t>
            </w:r>
          </w:p>
        </w:tc>
        <w:tc>
          <w:tcPr>
            <w:tcW w:w="3818" w:type="pct"/>
            <w:tcBorders>
              <w:top w:val="single" w:sz="4" w:space="0" w:color="auto"/>
              <w:left w:val="single" w:sz="4" w:space="0" w:color="auto"/>
              <w:bottom w:val="single" w:sz="4" w:space="0" w:color="auto"/>
              <w:right w:val="single" w:sz="4" w:space="0" w:color="auto"/>
            </w:tcBorders>
          </w:tcPr>
          <w:p w14:paraId="11E955B5" w14:textId="4F5419D0" w:rsidR="003460E1" w:rsidRPr="00823CB3" w:rsidRDefault="00DB59E6" w:rsidP="00F80C33">
            <w:pPr>
              <w:spacing w:after="0" w:line="240" w:lineRule="auto"/>
              <w:jc w:val="both"/>
              <w:rPr>
                <w:rFonts w:ascii="Times New Roman" w:hAnsi="Times New Roman"/>
                <w:color w:val="215868" w:themeColor="accent5" w:themeShade="80"/>
                <w:sz w:val="26"/>
                <w:szCs w:val="26"/>
                <w:lang w:eastAsia="lv-LV"/>
              </w:rPr>
            </w:pPr>
            <w:r w:rsidRPr="00EF6DB9">
              <w:rPr>
                <w:rFonts w:ascii="Times New Roman" w:hAnsi="Times New Roman"/>
                <w:sz w:val="26"/>
                <w:szCs w:val="26"/>
                <w:lang w:eastAsia="lv-LV"/>
              </w:rPr>
              <w:t>Projekts šo jomu neskar.</w:t>
            </w:r>
          </w:p>
        </w:tc>
      </w:tr>
      <w:tr w:rsidR="003460E1" w:rsidRPr="00823CB3" w14:paraId="3E65A493" w14:textId="77777777" w:rsidTr="001919B5">
        <w:trPr>
          <w:gridBefore w:val="1"/>
          <w:wBefore w:w="3" w:type="pct"/>
          <w:trHeight w:val="345"/>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1F2200A3"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4.</w:t>
            </w:r>
          </w:p>
        </w:tc>
        <w:tc>
          <w:tcPr>
            <w:tcW w:w="909" w:type="pct"/>
            <w:tcBorders>
              <w:top w:val="single" w:sz="4" w:space="0" w:color="auto"/>
              <w:left w:val="single" w:sz="4" w:space="0" w:color="auto"/>
              <w:bottom w:val="single" w:sz="4" w:space="0" w:color="auto"/>
              <w:right w:val="single" w:sz="4" w:space="0" w:color="auto"/>
            </w:tcBorders>
            <w:hideMark/>
          </w:tcPr>
          <w:p w14:paraId="767F28B4"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Cita informācija</w:t>
            </w:r>
          </w:p>
        </w:tc>
        <w:tc>
          <w:tcPr>
            <w:tcW w:w="3818" w:type="pct"/>
            <w:tcBorders>
              <w:top w:val="single" w:sz="4" w:space="0" w:color="auto"/>
              <w:left w:val="single" w:sz="4" w:space="0" w:color="auto"/>
              <w:bottom w:val="single" w:sz="4" w:space="0" w:color="auto"/>
              <w:right w:val="single" w:sz="4" w:space="0" w:color="auto"/>
            </w:tcBorders>
          </w:tcPr>
          <w:p w14:paraId="16FE8CA0" w14:textId="17C0B513" w:rsidR="003460E1" w:rsidRPr="00823CB3" w:rsidRDefault="00EF6DB9" w:rsidP="00436672">
            <w:pPr>
              <w:spacing w:after="0" w:line="240" w:lineRule="auto"/>
              <w:jc w:val="both"/>
              <w:rPr>
                <w:rFonts w:ascii="Times New Roman" w:hAnsi="Times New Roman"/>
                <w:color w:val="215868" w:themeColor="accent5" w:themeShade="80"/>
                <w:sz w:val="26"/>
                <w:szCs w:val="26"/>
              </w:rPr>
            </w:pPr>
            <w:r w:rsidRPr="00EF6DB9">
              <w:rPr>
                <w:rFonts w:ascii="Times New Roman" w:hAnsi="Times New Roman"/>
                <w:sz w:val="26"/>
                <w:szCs w:val="26"/>
              </w:rPr>
              <w:t xml:space="preserve">Nav. </w:t>
            </w:r>
          </w:p>
        </w:tc>
      </w:tr>
    </w:tbl>
    <w:p w14:paraId="0CA1CF34" w14:textId="77777777" w:rsidR="003460E1" w:rsidRPr="00823CB3" w:rsidRDefault="003460E1" w:rsidP="004A505F">
      <w:pPr>
        <w:spacing w:after="0" w:line="360" w:lineRule="auto"/>
        <w:rPr>
          <w:rFonts w:ascii="Times New Roman" w:hAnsi="Times New Roman"/>
          <w:i/>
          <w:sz w:val="26"/>
          <w:szCs w:val="26"/>
        </w:rPr>
      </w:pPr>
    </w:p>
    <w:p w14:paraId="43C8E263" w14:textId="77777777" w:rsidR="003460E1" w:rsidRPr="00823CB3" w:rsidRDefault="003460E1"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812271" w:rsidRPr="00823CB3" w14:paraId="16EDB388" w14:textId="77777777" w:rsidTr="00564A6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823CB3" w:rsidRDefault="00812271" w:rsidP="00564A6E">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 Sabiedrības līdzdalība un komunikācijas aktivitātes</w:t>
            </w:r>
          </w:p>
        </w:tc>
      </w:tr>
      <w:tr w:rsidR="00812271" w:rsidRPr="00823CB3" w14:paraId="47F69F25"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80D24CD"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B498F62"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000E8450" w14:textId="7E32F8FC" w:rsidR="00812271" w:rsidRPr="00823CB3" w:rsidRDefault="00E5434E" w:rsidP="00E5434E">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Informācijas institūcijas</w:t>
            </w:r>
            <w:r w:rsidR="00E73ABF">
              <w:rPr>
                <w:rFonts w:ascii="Times New Roman" w:eastAsia="Times New Roman" w:hAnsi="Times New Roman"/>
                <w:sz w:val="26"/>
                <w:szCs w:val="26"/>
                <w:lang w:eastAsia="lv-LV"/>
              </w:rPr>
              <w:t xml:space="preserve"> un </w:t>
            </w:r>
            <w:r>
              <w:rPr>
                <w:rFonts w:ascii="Times New Roman" w:eastAsia="Times New Roman" w:hAnsi="Times New Roman"/>
                <w:sz w:val="26"/>
                <w:szCs w:val="26"/>
                <w:lang w:eastAsia="lv-LV"/>
              </w:rPr>
              <w:t>institūcijas</w:t>
            </w:r>
            <w:r w:rsidR="00E73ABF">
              <w:rPr>
                <w:rFonts w:ascii="Times New Roman" w:eastAsia="Times New Roman" w:hAnsi="Times New Roman"/>
                <w:sz w:val="26"/>
                <w:szCs w:val="26"/>
                <w:lang w:eastAsia="lv-LV"/>
              </w:rPr>
              <w:t>, kas izsniedz atzīšanas apliecības</w:t>
            </w:r>
            <w:r w:rsidR="00CF2671">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tiks informētas par  pieņemtajiem noteikumiem un tas tiks publicēts ministrijas, Akadēmiskā informācijas centra mājas lapā vietnē par  reglamentētajām profesijām un profesionālo kvalifikāciju atzīšanu, kā arī vietnē www.latvija.lv</w:t>
            </w:r>
            <w:r w:rsidR="00577EBE">
              <w:rPr>
                <w:rFonts w:ascii="Times New Roman" w:eastAsia="Times New Roman" w:hAnsi="Times New Roman"/>
                <w:sz w:val="26"/>
                <w:szCs w:val="26"/>
                <w:lang w:eastAsia="lv-LV"/>
              </w:rPr>
              <w:t xml:space="preserve"> </w:t>
            </w:r>
            <w:r w:rsidR="00CF2671">
              <w:rPr>
                <w:rFonts w:ascii="Times New Roman" w:eastAsia="Times New Roman" w:hAnsi="Times New Roman"/>
                <w:sz w:val="26"/>
                <w:szCs w:val="26"/>
                <w:lang w:eastAsia="lv-LV"/>
              </w:rPr>
              <w:t xml:space="preserve">nekavējoties pēc tā </w:t>
            </w:r>
            <w:r>
              <w:rPr>
                <w:rFonts w:ascii="Times New Roman" w:eastAsia="Times New Roman" w:hAnsi="Times New Roman"/>
                <w:sz w:val="26"/>
                <w:szCs w:val="26"/>
                <w:lang w:eastAsia="lv-LV"/>
              </w:rPr>
              <w:t>pieņemšanas Ministru kabinetā</w:t>
            </w:r>
            <w:r w:rsidR="00E73ABF">
              <w:rPr>
                <w:rFonts w:ascii="Times New Roman" w:eastAsia="Times New Roman" w:hAnsi="Times New Roman"/>
                <w:sz w:val="26"/>
                <w:szCs w:val="26"/>
                <w:lang w:eastAsia="lv-LV"/>
              </w:rPr>
              <w:t xml:space="preserve">. </w:t>
            </w:r>
          </w:p>
        </w:tc>
      </w:tr>
      <w:tr w:rsidR="00812271" w:rsidRPr="00823CB3" w14:paraId="6BF6DEE4"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441D1E"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F1DE4BC"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18DCDC29" w14:textId="0A4C7818" w:rsidR="00812271" w:rsidRPr="00823CB3" w:rsidRDefault="00577EBE" w:rsidP="00564A6E">
            <w:pPr>
              <w:spacing w:after="0" w:line="240" w:lineRule="auto"/>
              <w:rPr>
                <w:rFonts w:ascii="Times New Roman" w:eastAsia="Times New Roman" w:hAnsi="Times New Roman"/>
                <w:sz w:val="26"/>
                <w:szCs w:val="26"/>
                <w:lang w:eastAsia="lv-LV"/>
              </w:rPr>
            </w:pPr>
            <w:r>
              <w:rPr>
                <w:rFonts w:ascii="Times New Roman" w:hAnsi="Times New Roman"/>
                <w:sz w:val="26"/>
                <w:szCs w:val="26"/>
              </w:rPr>
              <w:t>Projekta izstrādes laikā notikušas konsultācijas ar Akadēmiskās informācijas centru</w:t>
            </w:r>
            <w:r w:rsidR="003463AA">
              <w:rPr>
                <w:rFonts w:ascii="Times New Roman" w:hAnsi="Times New Roman"/>
                <w:sz w:val="26"/>
                <w:szCs w:val="26"/>
              </w:rPr>
              <w:t xml:space="preserve"> un citām informācijas institūcijām un institūcijām, kas izsniedz atzīšanas apliecības, izsūtot projektu e-pastā</w:t>
            </w:r>
            <w:r>
              <w:rPr>
                <w:rFonts w:ascii="Times New Roman" w:hAnsi="Times New Roman"/>
                <w:sz w:val="26"/>
                <w:szCs w:val="26"/>
              </w:rPr>
              <w:t>.</w:t>
            </w:r>
          </w:p>
        </w:tc>
      </w:tr>
      <w:tr w:rsidR="00812271" w:rsidRPr="00823CB3" w14:paraId="5B9989C0"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8D1D466"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24CE4BC3"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548B354E" w14:textId="6E57D1EA" w:rsidR="00E638AD" w:rsidRPr="00480477" w:rsidRDefault="004B72F1" w:rsidP="00564A6E">
            <w:pPr>
              <w:spacing w:after="0" w:line="240" w:lineRule="auto"/>
              <w:rPr>
                <w:rFonts w:ascii="Times New Roman" w:eastAsia="Times New Roman" w:hAnsi="Times New Roman"/>
                <w:sz w:val="26"/>
                <w:szCs w:val="26"/>
              </w:rPr>
            </w:pPr>
            <w:r w:rsidRPr="00336F0F">
              <w:rPr>
                <w:rFonts w:ascii="Times New Roman" w:hAnsi="Times New Roman"/>
                <w:sz w:val="26"/>
                <w:szCs w:val="26"/>
              </w:rPr>
              <w:t>Akadēmiskā informācijas centra sniegtā informācija ir ņemta vērā, izstrādājot projektu.</w:t>
            </w:r>
            <w:r w:rsidR="003463AA" w:rsidRPr="00480477">
              <w:rPr>
                <w:rFonts w:ascii="Times New Roman" w:hAnsi="Times New Roman"/>
                <w:sz w:val="26"/>
                <w:szCs w:val="26"/>
              </w:rPr>
              <w:t xml:space="preserve"> Projekta tālāku virzību ir atbalstījusi Latvijas Farmaceitu biedrība, Dabas aizsardzības pārvalde, Latvijas Mērnieku biedrība</w:t>
            </w:r>
            <w:r w:rsidR="00E638AD" w:rsidRPr="00480477">
              <w:rPr>
                <w:rFonts w:ascii="Times New Roman" w:hAnsi="Times New Roman"/>
                <w:sz w:val="26"/>
                <w:szCs w:val="26"/>
              </w:rPr>
              <w:t xml:space="preserve">, </w:t>
            </w:r>
            <w:r w:rsidR="00E638AD" w:rsidRPr="00480477">
              <w:rPr>
                <w:rFonts w:ascii="Times New Roman" w:eastAsia="Times New Roman" w:hAnsi="Times New Roman"/>
                <w:sz w:val="26"/>
                <w:szCs w:val="26"/>
              </w:rPr>
              <w:t>Valsts aģentūra „Civilās aviācijas aģentūra”, VAS “Latvijas Jūras administrācija” Jūrnieku reģistrs</w:t>
            </w:r>
            <w:r w:rsidR="00336F0F" w:rsidRPr="00480477">
              <w:rPr>
                <w:rFonts w:ascii="Times New Roman" w:eastAsia="Times New Roman" w:hAnsi="Times New Roman"/>
                <w:sz w:val="26"/>
                <w:szCs w:val="26"/>
              </w:rPr>
              <w:t xml:space="preserve">, </w:t>
            </w:r>
          </w:p>
          <w:p w14:paraId="193D3150" w14:textId="20CF074A" w:rsidR="00812271" w:rsidRPr="00823CB3" w:rsidRDefault="00E638AD" w:rsidP="00564A6E">
            <w:pPr>
              <w:spacing w:after="0" w:line="240" w:lineRule="auto"/>
              <w:rPr>
                <w:rFonts w:ascii="Times New Roman" w:eastAsia="Times New Roman" w:hAnsi="Times New Roman"/>
                <w:sz w:val="26"/>
                <w:szCs w:val="26"/>
                <w:lang w:eastAsia="lv-LV"/>
              </w:rPr>
            </w:pPr>
            <w:r w:rsidRPr="00480477">
              <w:rPr>
                <w:rFonts w:ascii="Times New Roman" w:eastAsia="Times New Roman" w:hAnsi="Times New Roman"/>
                <w:sz w:val="26"/>
                <w:szCs w:val="26"/>
              </w:rPr>
              <w:t>Latvijas  Brīvo  arodbiedrību  savienības, Veselības inspekcija</w:t>
            </w:r>
            <w:r w:rsidR="00FE44EB">
              <w:rPr>
                <w:rFonts w:ascii="Times New Roman" w:eastAsia="Times New Roman" w:hAnsi="Times New Roman"/>
                <w:sz w:val="26"/>
                <w:szCs w:val="26"/>
              </w:rPr>
              <w:t>.</w:t>
            </w:r>
            <w:r>
              <w:rPr>
                <w:rFonts w:ascii="Times New Roman" w:eastAsia="Times New Roman" w:hAnsi="Times New Roman"/>
                <w:sz w:val="28"/>
                <w:szCs w:val="28"/>
              </w:rPr>
              <w:t xml:space="preserve"> </w:t>
            </w:r>
            <w:r w:rsidR="003463AA">
              <w:rPr>
                <w:rFonts w:ascii="Times New Roman" w:hAnsi="Times New Roman"/>
                <w:sz w:val="26"/>
                <w:szCs w:val="26"/>
              </w:rPr>
              <w:t xml:space="preserve"> </w:t>
            </w:r>
          </w:p>
        </w:tc>
      </w:tr>
      <w:tr w:rsidR="00812271" w:rsidRPr="00823CB3" w14:paraId="48CF7382"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C4673BA"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25D26C68"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14959059" w14:textId="77777777" w:rsidR="00812271" w:rsidRPr="00823CB3" w:rsidRDefault="00812271" w:rsidP="00564A6E">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A64254E" w14:textId="77777777" w:rsidR="004A505F" w:rsidRPr="00823CB3"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812271" w:rsidRPr="00823CB3"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823CB3"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lastRenderedPageBreak/>
              <w:t>VII. Tiesību akta projekta izpildes nodrošināšana un tās ietekme uz institūcijām</w:t>
            </w:r>
          </w:p>
        </w:tc>
      </w:tr>
      <w:tr w:rsidR="00812271" w:rsidRPr="00823CB3"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6637270" w14:textId="70EB3124" w:rsidR="00C96AD3" w:rsidRPr="00823CB3" w:rsidRDefault="00930796" w:rsidP="00336F0F">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Informācijas institūcijās un institūcijas, kas izsniedz atzīšanas apliecības.</w:t>
            </w:r>
          </w:p>
        </w:tc>
      </w:tr>
      <w:tr w:rsidR="00812271" w:rsidRPr="00823CB3" w14:paraId="28D8C2E0"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823CB3" w:rsidRDefault="00C96AD3" w:rsidP="00C96AD3">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DA89E96" w14:textId="77777777" w:rsidR="00C96AD3" w:rsidRPr="00823CB3" w:rsidRDefault="008D3E7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w:t>
            </w:r>
            <w:r w:rsidR="00C96AD3" w:rsidRPr="00823CB3">
              <w:rPr>
                <w:rFonts w:ascii="Times New Roman" w:hAnsi="Times New Roman"/>
                <w:sz w:val="26"/>
                <w:szCs w:val="26"/>
              </w:rPr>
              <w:t>rojekts šo jomu neskar.</w:t>
            </w:r>
          </w:p>
        </w:tc>
      </w:tr>
      <w:tr w:rsidR="00812271" w:rsidRPr="00823CB3"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823CB3"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EC3D8E3" w14:textId="77777777" w:rsidR="004A505F" w:rsidRPr="00823CB3" w:rsidRDefault="004A505F" w:rsidP="005C42B1">
      <w:pPr>
        <w:spacing w:after="0" w:line="240" w:lineRule="auto"/>
        <w:rPr>
          <w:rFonts w:ascii="Times New Roman" w:eastAsia="Times New Roman" w:hAnsi="Times New Roman"/>
          <w:sz w:val="26"/>
          <w:szCs w:val="26"/>
          <w:lang w:eastAsia="lv-LV"/>
        </w:rPr>
      </w:pPr>
    </w:p>
    <w:p w14:paraId="19CBBC07" w14:textId="11AB4724" w:rsidR="007C5781" w:rsidRPr="00823CB3" w:rsidRDefault="00812271" w:rsidP="005C42B1">
      <w:pPr>
        <w:autoSpaceDE w:val="0"/>
        <w:autoSpaceDN w:val="0"/>
        <w:adjustRightInd w:val="0"/>
        <w:spacing w:after="0" w:line="240" w:lineRule="auto"/>
        <w:rPr>
          <w:rFonts w:ascii="Times New Roman" w:hAnsi="Times New Roman"/>
          <w:sz w:val="26"/>
          <w:szCs w:val="26"/>
        </w:rPr>
      </w:pPr>
      <w:r w:rsidRPr="00823CB3">
        <w:rPr>
          <w:rFonts w:ascii="Times New Roman" w:hAnsi="Times New Roman"/>
          <w:i/>
          <w:sz w:val="26"/>
          <w:szCs w:val="26"/>
        </w:rPr>
        <w:t xml:space="preserve">Anotācijas III, IV, V sadaļa - </w:t>
      </w:r>
      <w:r w:rsidR="00BB24B4" w:rsidRPr="00823CB3">
        <w:rPr>
          <w:rFonts w:ascii="Times New Roman" w:eastAsia="Times New Roman" w:hAnsi="Times New Roman"/>
          <w:i/>
          <w:sz w:val="26"/>
          <w:szCs w:val="26"/>
          <w:lang w:eastAsia="lv-LV"/>
        </w:rPr>
        <w:t xml:space="preserve">noteikumu </w:t>
      </w:r>
      <w:r w:rsidRPr="00823CB3">
        <w:rPr>
          <w:rFonts w:ascii="Times New Roman" w:eastAsia="Times New Roman" w:hAnsi="Times New Roman"/>
          <w:i/>
          <w:sz w:val="26"/>
          <w:szCs w:val="26"/>
          <w:lang w:eastAsia="lv-LV"/>
        </w:rPr>
        <w:t>projekts šīs jomas neskar</w:t>
      </w:r>
      <w:r w:rsidRPr="00823CB3">
        <w:rPr>
          <w:rFonts w:ascii="Times New Roman" w:eastAsia="Times New Roman" w:hAnsi="Times New Roman"/>
          <w:sz w:val="26"/>
          <w:szCs w:val="26"/>
          <w:lang w:eastAsia="lv-LV"/>
        </w:rPr>
        <w:t>.</w:t>
      </w:r>
    </w:p>
    <w:p w14:paraId="21D7ACC2" w14:textId="77777777" w:rsidR="004A505F" w:rsidRPr="00823CB3" w:rsidRDefault="004A505F" w:rsidP="005C42B1">
      <w:pPr>
        <w:autoSpaceDE w:val="0"/>
        <w:autoSpaceDN w:val="0"/>
        <w:adjustRightInd w:val="0"/>
        <w:spacing w:after="0" w:line="240" w:lineRule="auto"/>
        <w:rPr>
          <w:rFonts w:ascii="Times New Roman" w:hAnsi="Times New Roman"/>
          <w:sz w:val="26"/>
          <w:szCs w:val="26"/>
        </w:rPr>
      </w:pPr>
    </w:p>
    <w:p w14:paraId="79224C61" w14:textId="77777777" w:rsidR="00F31126" w:rsidRPr="00823CB3" w:rsidRDefault="00A76C0A" w:rsidP="00F31126">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I</w:t>
      </w:r>
      <w:r w:rsidR="00F31126" w:rsidRPr="00823CB3">
        <w:rPr>
          <w:rFonts w:ascii="Times New Roman" w:eastAsia="Times New Roman" w:hAnsi="Times New Roman"/>
          <w:sz w:val="26"/>
          <w:szCs w:val="26"/>
          <w:lang w:eastAsia="lv-LV"/>
        </w:rPr>
        <w:t>zglītības un zinātne</w:t>
      </w:r>
      <w:r w:rsidRPr="00823CB3">
        <w:rPr>
          <w:rFonts w:ascii="Times New Roman" w:eastAsia="Times New Roman" w:hAnsi="Times New Roman"/>
          <w:sz w:val="26"/>
          <w:szCs w:val="26"/>
          <w:lang w:eastAsia="lv-LV"/>
        </w:rPr>
        <w:t>s ministre</w:t>
      </w:r>
      <w:r w:rsidRPr="00823CB3">
        <w:rPr>
          <w:rFonts w:ascii="Times New Roman" w:eastAsia="Times New Roman" w:hAnsi="Times New Roman"/>
          <w:sz w:val="26"/>
          <w:szCs w:val="26"/>
          <w:lang w:eastAsia="lv-LV"/>
        </w:rPr>
        <w:tab/>
      </w:r>
      <w:r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 xml:space="preserve"> </w:t>
      </w:r>
      <w:r w:rsidR="00F31126"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ab/>
        <w:t xml:space="preserve">    </w:t>
      </w:r>
      <w:r w:rsidR="00F31126" w:rsidRPr="00823CB3">
        <w:rPr>
          <w:rFonts w:ascii="Times New Roman" w:eastAsia="Times New Roman" w:hAnsi="Times New Roman"/>
          <w:sz w:val="26"/>
          <w:szCs w:val="26"/>
          <w:lang w:eastAsia="lv-LV"/>
        </w:rPr>
        <w:tab/>
      </w:r>
      <w:r w:rsidRPr="00823CB3">
        <w:rPr>
          <w:rFonts w:ascii="Times New Roman" w:eastAsia="Times New Roman" w:hAnsi="Times New Roman"/>
          <w:sz w:val="26"/>
          <w:szCs w:val="26"/>
          <w:lang w:eastAsia="lv-LV"/>
        </w:rPr>
        <w:t>Mārīte Seile</w:t>
      </w:r>
    </w:p>
    <w:p w14:paraId="6A0B4BB1" w14:textId="77777777" w:rsidR="004A505F" w:rsidRPr="00823CB3" w:rsidRDefault="004A505F" w:rsidP="00012B57">
      <w:pPr>
        <w:spacing w:after="0" w:line="240" w:lineRule="auto"/>
        <w:jc w:val="both"/>
        <w:rPr>
          <w:rFonts w:ascii="Times New Roman" w:eastAsia="Times New Roman" w:hAnsi="Times New Roman"/>
          <w:sz w:val="26"/>
          <w:szCs w:val="26"/>
          <w:lang w:eastAsia="lv-LV"/>
        </w:rPr>
      </w:pPr>
    </w:p>
    <w:p w14:paraId="21D59E03" w14:textId="77777777" w:rsidR="00A76C0A" w:rsidRPr="00823CB3" w:rsidRDefault="00A76C0A" w:rsidP="00012B57">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Vizē:</w:t>
      </w:r>
    </w:p>
    <w:p w14:paraId="4FC60801" w14:textId="3F6470C9" w:rsidR="00012B57" w:rsidRPr="00823CB3" w:rsidRDefault="006C5F23" w:rsidP="006C5F23">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bCs/>
          <w:kern w:val="32"/>
          <w:sz w:val="26"/>
          <w:szCs w:val="26"/>
          <w:lang w:eastAsia="lv-LV"/>
        </w:rPr>
        <w:t>Valsts sekretāre</w:t>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t>Līga Lejiņa</w:t>
      </w:r>
    </w:p>
    <w:p w14:paraId="1FD2F788" w14:textId="77777777" w:rsidR="00FC7EFA" w:rsidRPr="001919B5" w:rsidRDefault="00FC7EFA" w:rsidP="00F31126">
      <w:pPr>
        <w:autoSpaceDE w:val="0"/>
        <w:autoSpaceDN w:val="0"/>
        <w:adjustRightInd w:val="0"/>
        <w:rPr>
          <w:rFonts w:ascii="Times New Roman" w:hAnsi="Times New Roman"/>
          <w:sz w:val="20"/>
          <w:szCs w:val="20"/>
        </w:rPr>
      </w:pP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p>
    <w:p w14:paraId="7B6ED593" w14:textId="6DCBA358" w:rsidR="00012B57" w:rsidRPr="00584CDC" w:rsidRDefault="00833766" w:rsidP="00012B57">
      <w:pPr>
        <w:spacing w:after="0" w:line="240" w:lineRule="auto"/>
        <w:jc w:val="both"/>
        <w:rPr>
          <w:rFonts w:ascii="Times New Roman" w:eastAsia="Times New Roman" w:hAnsi="Times New Roman"/>
          <w:sz w:val="18"/>
          <w:szCs w:val="18"/>
          <w:lang w:eastAsia="lv-LV"/>
        </w:rPr>
      </w:pPr>
      <w:r w:rsidRPr="00584CDC">
        <w:rPr>
          <w:rFonts w:ascii="Times New Roman" w:eastAsia="Times New Roman" w:hAnsi="Times New Roman"/>
          <w:sz w:val="18"/>
          <w:szCs w:val="18"/>
          <w:lang w:eastAsia="lv-LV"/>
        </w:rPr>
        <w:t>01.02</w:t>
      </w:r>
      <w:r w:rsidR="00336F0F" w:rsidRPr="00584CDC">
        <w:rPr>
          <w:rFonts w:ascii="Times New Roman" w:eastAsia="Times New Roman" w:hAnsi="Times New Roman"/>
          <w:sz w:val="18"/>
          <w:szCs w:val="18"/>
          <w:lang w:eastAsia="lv-LV"/>
        </w:rPr>
        <w:t>.2016.</w:t>
      </w:r>
    </w:p>
    <w:p w14:paraId="660458F1" w14:textId="1A9969BD" w:rsidR="00012B57" w:rsidRPr="00584CDC" w:rsidRDefault="00336F0F" w:rsidP="00012B57">
      <w:pPr>
        <w:spacing w:after="0" w:line="240" w:lineRule="auto"/>
        <w:jc w:val="both"/>
        <w:rPr>
          <w:rFonts w:ascii="Times New Roman" w:eastAsia="Times New Roman" w:hAnsi="Times New Roman"/>
          <w:sz w:val="18"/>
          <w:szCs w:val="18"/>
          <w:lang w:eastAsia="lv-LV"/>
        </w:rPr>
      </w:pPr>
      <w:r w:rsidRPr="00584CDC">
        <w:rPr>
          <w:rFonts w:ascii="Times New Roman" w:eastAsia="Times New Roman" w:hAnsi="Times New Roman"/>
          <w:sz w:val="18"/>
          <w:szCs w:val="18"/>
          <w:lang w:eastAsia="lv-LV"/>
        </w:rPr>
        <w:t>21</w:t>
      </w:r>
      <w:r w:rsidR="00584CDC" w:rsidRPr="00584CDC">
        <w:rPr>
          <w:rFonts w:ascii="Times New Roman" w:eastAsia="Times New Roman" w:hAnsi="Times New Roman"/>
          <w:sz w:val="18"/>
          <w:szCs w:val="18"/>
          <w:lang w:eastAsia="lv-LV"/>
        </w:rPr>
        <w:t>3</w:t>
      </w:r>
      <w:r w:rsidR="0010699A">
        <w:rPr>
          <w:rFonts w:ascii="Times New Roman" w:eastAsia="Times New Roman" w:hAnsi="Times New Roman"/>
          <w:sz w:val="18"/>
          <w:szCs w:val="18"/>
          <w:lang w:eastAsia="lv-LV"/>
        </w:rPr>
        <w:t>4</w:t>
      </w:r>
    </w:p>
    <w:p w14:paraId="4FD50F29" w14:textId="657D3CDF" w:rsidR="00FC7EFA" w:rsidRPr="00584CDC" w:rsidRDefault="00DB397F" w:rsidP="00A76C0A">
      <w:pPr>
        <w:spacing w:after="0" w:line="240" w:lineRule="auto"/>
        <w:jc w:val="both"/>
        <w:rPr>
          <w:rFonts w:ascii="Times New Roman" w:eastAsia="Times New Roman" w:hAnsi="Times New Roman"/>
          <w:sz w:val="18"/>
          <w:szCs w:val="18"/>
          <w:lang w:eastAsia="lv-LV"/>
        </w:rPr>
      </w:pPr>
      <w:proofErr w:type="spellStart"/>
      <w:r w:rsidRPr="00584CDC">
        <w:rPr>
          <w:rFonts w:ascii="Times New Roman" w:eastAsia="Times New Roman" w:hAnsi="Times New Roman"/>
          <w:sz w:val="18"/>
          <w:szCs w:val="18"/>
          <w:lang w:eastAsia="lv-LV"/>
        </w:rPr>
        <w:t>I.Stūre</w:t>
      </w:r>
      <w:proofErr w:type="spellEnd"/>
      <w:r w:rsidRPr="00584CDC">
        <w:rPr>
          <w:rFonts w:ascii="Times New Roman" w:eastAsia="Times New Roman" w:hAnsi="Times New Roman"/>
          <w:sz w:val="18"/>
          <w:szCs w:val="18"/>
          <w:lang w:eastAsia="lv-LV"/>
        </w:rPr>
        <w:t>, 67047899</w:t>
      </w:r>
    </w:p>
    <w:p w14:paraId="22A350A6" w14:textId="52C6D24E" w:rsidR="00A76C0A" w:rsidRPr="00584CDC" w:rsidRDefault="00DB397F" w:rsidP="00584CDC">
      <w:pPr>
        <w:spacing w:after="0" w:line="240" w:lineRule="auto"/>
        <w:jc w:val="both"/>
        <w:rPr>
          <w:rFonts w:ascii="Times New Roman" w:eastAsia="Times New Roman" w:hAnsi="Times New Roman"/>
          <w:sz w:val="18"/>
          <w:szCs w:val="18"/>
          <w:lang w:eastAsia="lv-LV"/>
        </w:rPr>
      </w:pPr>
      <w:r w:rsidRPr="00584CDC">
        <w:rPr>
          <w:rFonts w:ascii="Times New Roman" w:eastAsia="Times New Roman" w:hAnsi="Times New Roman"/>
          <w:sz w:val="18"/>
          <w:szCs w:val="18"/>
          <w:lang w:eastAsia="lv-LV"/>
        </w:rPr>
        <w:t>Inese.Sture</w:t>
      </w:r>
      <w:r w:rsidR="00A76C0A" w:rsidRPr="00584CDC">
        <w:rPr>
          <w:rFonts w:ascii="Times New Roman" w:eastAsia="Times New Roman" w:hAnsi="Times New Roman"/>
          <w:sz w:val="18"/>
          <w:szCs w:val="18"/>
          <w:lang w:eastAsia="lv-LV"/>
        </w:rPr>
        <w:t>@izm.gov.lv</w:t>
      </w:r>
    </w:p>
    <w:sectPr w:rsidR="00A76C0A" w:rsidRPr="00584CDC" w:rsidSect="000908E6">
      <w:headerReference w:type="default" r:id="rId8"/>
      <w:footerReference w:type="default" r:id="rId9"/>
      <w:footerReference w:type="first" r:id="rId10"/>
      <w:pgSz w:w="11906" w:h="16838" w:code="9"/>
      <w:pgMar w:top="1440" w:right="1800" w:bottom="1440" w:left="1800"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B779" w14:textId="77777777" w:rsidR="000E548C" w:rsidRDefault="000E548C" w:rsidP="004A53C8">
      <w:pPr>
        <w:spacing w:after="0" w:line="240" w:lineRule="auto"/>
      </w:pPr>
      <w:r>
        <w:separator/>
      </w:r>
    </w:p>
  </w:endnote>
  <w:endnote w:type="continuationSeparator" w:id="0">
    <w:p w14:paraId="7AE07FE9" w14:textId="77777777" w:rsidR="000E548C" w:rsidRDefault="000E548C"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93DE" w14:textId="5CA5CCF1" w:rsidR="00D954F7" w:rsidRPr="00D954F7" w:rsidRDefault="00D954F7" w:rsidP="00D954F7">
    <w:pPr>
      <w:jc w:val="both"/>
      <w:rPr>
        <w:rFonts w:ascii="Times New Roman" w:hAnsi="Times New Roman"/>
        <w:sz w:val="20"/>
        <w:szCs w:val="20"/>
      </w:rPr>
    </w:pPr>
    <w:r w:rsidRPr="00D954F7">
      <w:rPr>
        <w:rFonts w:ascii="Times New Roman" w:hAnsi="Times New Roman"/>
        <w:sz w:val="20"/>
        <w:szCs w:val="20"/>
      </w:rPr>
      <w:t>IZManot_</w:t>
    </w:r>
    <w:r w:rsidR="004D1A5A">
      <w:rPr>
        <w:rFonts w:ascii="Times New Roman" w:hAnsi="Times New Roman"/>
        <w:sz w:val="20"/>
        <w:szCs w:val="20"/>
      </w:rPr>
      <w:t>010216</w:t>
    </w:r>
    <w:r w:rsidRPr="00D954F7">
      <w:rPr>
        <w:rFonts w:ascii="Times New Roman" w:hAnsi="Times New Roman"/>
        <w:sz w:val="20"/>
        <w:szCs w:val="20"/>
      </w:rPr>
      <w:t xml:space="preserve">_profkvalizd; </w:t>
    </w:r>
    <w:r w:rsidRPr="00D954F7">
      <w:rPr>
        <w:rFonts w:ascii="Times New Roman" w:eastAsia="Times New Roman" w:hAnsi="Times New Roman"/>
        <w:bCs/>
        <w:sz w:val="20"/>
        <w:szCs w:val="20"/>
        <w:lang w:eastAsia="lv-LV"/>
      </w:rPr>
      <w:t>Ministru kabineta noteikumu projekta „</w:t>
    </w:r>
    <w:r w:rsidRPr="00D954F7">
      <w:rPr>
        <w:rFonts w:ascii="Times New Roman" w:hAnsi="Times New Roman"/>
        <w:bCs/>
        <w:sz w:val="20"/>
        <w:szCs w:val="20"/>
      </w:rPr>
      <w:t xml:space="preserve">Grozījumi </w:t>
    </w:r>
    <w:r w:rsidRPr="00D954F7">
      <w:rPr>
        <w:rFonts w:ascii="Times New Roman" w:hAnsi="Times New Roman"/>
        <w:sz w:val="20"/>
        <w:szCs w:val="20"/>
      </w:rPr>
      <w:t>Ministru kabineta 2003.gada 10.jūnija noteikumos Nr.298 "Kārtība, kādā pretendents sedz izdevumus, kas saistīti ar persona</w:t>
    </w:r>
    <w:r w:rsidR="00BC273D">
      <w:rPr>
        <w:rFonts w:ascii="Times New Roman" w:hAnsi="Times New Roman"/>
        <w:sz w:val="20"/>
        <w:szCs w:val="20"/>
      </w:rPr>
      <w:t>s</w:t>
    </w:r>
    <w:r w:rsidRPr="00D954F7">
      <w:rPr>
        <w:rFonts w:ascii="Times New Roman" w:hAnsi="Times New Roman"/>
        <w:sz w:val="20"/>
        <w:szCs w:val="20"/>
      </w:rPr>
      <w:t xml:space="preserve"> profesionālās kvalifikācijas atzīšanu"” sākotnējās ietekmes novērtējuma ziņojums (anotācija)</w:t>
    </w:r>
  </w:p>
  <w:p w14:paraId="4AB0836B" w14:textId="77777777"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103C" w14:textId="1A3ED62B" w:rsidR="00D954F7" w:rsidRPr="00D954F7" w:rsidRDefault="00ED5836" w:rsidP="00D954F7">
    <w:pPr>
      <w:jc w:val="both"/>
      <w:rPr>
        <w:rFonts w:ascii="Times New Roman" w:hAnsi="Times New Roman"/>
        <w:sz w:val="20"/>
        <w:szCs w:val="20"/>
      </w:rPr>
    </w:pPr>
    <w:r w:rsidRPr="00ED5836">
      <w:rPr>
        <w:rFonts w:ascii="Times New Roman" w:hAnsi="Times New Roman"/>
        <w:sz w:val="20"/>
        <w:szCs w:val="20"/>
      </w:rPr>
      <w:t>IZManot_</w:t>
    </w:r>
    <w:r w:rsidR="004D1A5A">
      <w:rPr>
        <w:rFonts w:ascii="Times New Roman" w:hAnsi="Times New Roman"/>
        <w:sz w:val="20"/>
        <w:szCs w:val="20"/>
      </w:rPr>
      <w:t>0102</w:t>
    </w:r>
    <w:r w:rsidRPr="00ED5836">
      <w:rPr>
        <w:rFonts w:ascii="Times New Roman" w:hAnsi="Times New Roman"/>
        <w:sz w:val="20"/>
        <w:szCs w:val="20"/>
      </w:rPr>
      <w:t>16_profkvalizd</w:t>
    </w:r>
    <w:r w:rsidR="00F4546D" w:rsidRPr="00D954F7">
      <w:rPr>
        <w:rFonts w:ascii="Times New Roman" w:hAnsi="Times New Roman"/>
        <w:sz w:val="20"/>
        <w:szCs w:val="20"/>
      </w:rPr>
      <w:t xml:space="preserve">; </w:t>
    </w:r>
    <w:r w:rsidR="00D954F7" w:rsidRPr="00D954F7">
      <w:rPr>
        <w:rFonts w:ascii="Times New Roman" w:eastAsia="Times New Roman" w:hAnsi="Times New Roman"/>
        <w:bCs/>
        <w:sz w:val="20"/>
        <w:szCs w:val="20"/>
        <w:lang w:eastAsia="lv-LV"/>
      </w:rPr>
      <w:t>Ministru kabineta noteikumu projekta „</w:t>
    </w:r>
    <w:r w:rsidR="00D954F7" w:rsidRPr="00D954F7">
      <w:rPr>
        <w:rFonts w:ascii="Times New Roman" w:hAnsi="Times New Roman"/>
        <w:bCs/>
        <w:sz w:val="20"/>
        <w:szCs w:val="20"/>
      </w:rPr>
      <w:t xml:space="preserve">Grozījumi </w:t>
    </w:r>
    <w:r w:rsidR="00D954F7" w:rsidRPr="00D954F7">
      <w:rPr>
        <w:rFonts w:ascii="Times New Roman" w:hAnsi="Times New Roman"/>
        <w:sz w:val="20"/>
        <w:szCs w:val="20"/>
      </w:rPr>
      <w:t>Ministru kabineta 2003.gada 10.jūnija noteikumos Nr.298 "Kārtība, kādā pretendents sedz izdevumus, kas saistīti ar persona</w:t>
    </w:r>
    <w:r w:rsidR="00BC273D">
      <w:rPr>
        <w:rFonts w:ascii="Times New Roman" w:hAnsi="Times New Roman"/>
        <w:sz w:val="20"/>
        <w:szCs w:val="20"/>
      </w:rPr>
      <w:t>s</w:t>
    </w:r>
    <w:r w:rsidR="00D954F7" w:rsidRPr="00D954F7">
      <w:rPr>
        <w:rFonts w:ascii="Times New Roman" w:hAnsi="Times New Roman"/>
        <w:sz w:val="20"/>
        <w:szCs w:val="20"/>
      </w:rPr>
      <w:t xml:space="preserve"> profesionālās kvalifikācijas atzīšanu"” sākotnējās ietekmes novērtējuma ziņojums (anotācija)</w:t>
    </w:r>
  </w:p>
  <w:p w14:paraId="6FA2B6BF" w14:textId="5866D311" w:rsidR="00F4546D" w:rsidRPr="002865DB" w:rsidRDefault="00F4546D" w:rsidP="00F4546D">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2284" w14:textId="77777777" w:rsidR="000E548C" w:rsidRDefault="000E548C" w:rsidP="004A53C8">
      <w:pPr>
        <w:spacing w:after="0" w:line="240" w:lineRule="auto"/>
      </w:pPr>
      <w:r>
        <w:separator/>
      </w:r>
    </w:p>
  </w:footnote>
  <w:footnote w:type="continuationSeparator" w:id="0">
    <w:p w14:paraId="6E1B326C" w14:textId="77777777" w:rsidR="000E548C" w:rsidRDefault="000E548C" w:rsidP="004A53C8">
      <w:pPr>
        <w:spacing w:after="0" w:line="240" w:lineRule="auto"/>
      </w:pPr>
      <w:r>
        <w:continuationSeparator/>
      </w:r>
    </w:p>
  </w:footnote>
  <w:footnote w:id="1">
    <w:p w14:paraId="67B18453" w14:textId="77777777" w:rsidR="00D637DE" w:rsidRDefault="00D637DE" w:rsidP="00D637DE">
      <w:pPr>
        <w:pStyle w:val="FootnoteText"/>
      </w:pPr>
      <w:r>
        <w:rPr>
          <w:rStyle w:val="FootnoteReference"/>
        </w:rPr>
        <w:footnoteRef/>
      </w:r>
      <w:r>
        <w:t xml:space="preserve"> </w:t>
      </w:r>
      <w:hyperlink r:id="rId1" w:history="1">
        <w:r w:rsidRPr="00275DD1">
          <w:rPr>
            <w:rStyle w:val="Hyperlink"/>
          </w:rPr>
          <w:t>http://ec.europa.eu/growth/single-market/index_en.htm</w:t>
        </w:r>
      </w:hyperlink>
      <w:r>
        <w:t>, 32. lpp.</w:t>
      </w:r>
    </w:p>
  </w:footnote>
  <w:footnote w:id="2">
    <w:p w14:paraId="1F558FC0" w14:textId="2C8FCA24" w:rsidR="008A3B73" w:rsidRPr="007F24FD" w:rsidRDefault="008A3B73" w:rsidP="007F24FD">
      <w:pPr>
        <w:jc w:val="both"/>
        <w:rPr>
          <w:rFonts w:ascii="Times New Roman" w:hAnsi="Times New Roman"/>
        </w:rPr>
      </w:pPr>
      <w:r w:rsidRPr="00275EF2">
        <w:rPr>
          <w:rStyle w:val="FootnoteReference"/>
          <w:rFonts w:ascii="Times New Roman" w:hAnsi="Times New Roman"/>
        </w:rPr>
        <w:footnoteRef/>
      </w:r>
      <w:r w:rsidRPr="00275EF2">
        <w:rPr>
          <w:rFonts w:ascii="Times New Roman" w:hAnsi="Times New Roman"/>
        </w:rPr>
        <w:t xml:space="preserve"> </w:t>
      </w:r>
      <w:r w:rsidRPr="00275EF2">
        <w:rPr>
          <w:rFonts w:ascii="Times New Roman" w:hAnsi="Times New Roman"/>
        </w:rPr>
        <w:t>http://europa.eu/youreurope/citizens/work/professional-qualifications/recognition-of-professional-qualifications/index_en.htm#!lightbox-uid-0</w:t>
      </w:r>
    </w:p>
  </w:footnote>
  <w:footnote w:id="3">
    <w:p w14:paraId="0D6AB230" w14:textId="4561D166" w:rsidR="00355F35" w:rsidRPr="002159FB" w:rsidRDefault="00355F35" w:rsidP="00355F35">
      <w:pPr>
        <w:pStyle w:val="FootnoteText"/>
        <w:rPr>
          <w:rFonts w:ascii="Times New Roman" w:hAnsi="Times New Roman"/>
        </w:rPr>
      </w:pPr>
      <w:r w:rsidRPr="002159FB">
        <w:rPr>
          <w:rStyle w:val="FootnoteReference"/>
          <w:rFonts w:ascii="Times New Roman" w:hAnsi="Times New Roman"/>
        </w:rPr>
        <w:footnoteRef/>
      </w:r>
      <w:r w:rsidRPr="002159FB">
        <w:rPr>
          <w:rFonts w:ascii="Times New Roman" w:hAnsi="Times New Roman"/>
        </w:rPr>
        <w:t xml:space="preserve"> </w:t>
      </w:r>
      <w:r w:rsidRPr="002159FB">
        <w:rPr>
          <w:rFonts w:ascii="Times New Roman" w:hAnsi="Times New Roman"/>
        </w:rPr>
        <w:t>Pieejamie statistiskie dat</w:t>
      </w:r>
      <w:r w:rsidR="00F57CA8">
        <w:rPr>
          <w:rFonts w:ascii="Times New Roman" w:hAnsi="Times New Roman"/>
        </w:rPr>
        <w:t xml:space="preserve">i ir par </w:t>
      </w:r>
      <w:r w:rsidRPr="002159FB">
        <w:rPr>
          <w:rFonts w:ascii="Times New Roman" w:hAnsi="Times New Roman"/>
        </w:rPr>
        <w:t>2002.gadu un 2014.gadu.</w:t>
      </w:r>
    </w:p>
  </w:footnote>
  <w:footnote w:id="4">
    <w:p w14:paraId="5142A311" w14:textId="77777777" w:rsidR="00355F35" w:rsidRPr="002159FB" w:rsidRDefault="00355F35" w:rsidP="00355F35">
      <w:pPr>
        <w:pStyle w:val="FootnoteText"/>
        <w:rPr>
          <w:rFonts w:ascii="Times New Roman" w:hAnsi="Times New Roman"/>
        </w:rPr>
      </w:pPr>
      <w:r w:rsidRPr="002159FB">
        <w:rPr>
          <w:rStyle w:val="FootnoteReference"/>
          <w:rFonts w:ascii="Times New Roman" w:hAnsi="Times New Roman"/>
        </w:rPr>
        <w:footnoteRef/>
      </w:r>
      <w:r w:rsidRPr="002159FB">
        <w:rPr>
          <w:rFonts w:ascii="Times New Roman" w:hAnsi="Times New Roman"/>
        </w:rPr>
        <w:t>http://data.csb.gov.lv/pxweb/lv/Sociala/Sociala__ikgad__dsamaksa/DS0010_euro.px/table/tableViewLayout1/?rxid=cdcb978c-22b0-416a-aacc-aa650d3e2ce0</w:t>
      </w:r>
    </w:p>
  </w:footnote>
  <w:footnote w:id="5">
    <w:p w14:paraId="52FBBDFF" w14:textId="77777777" w:rsidR="00487765" w:rsidRDefault="00487765" w:rsidP="00487765">
      <w:pPr>
        <w:pStyle w:val="FootnoteText"/>
      </w:pPr>
      <w:r>
        <w:rPr>
          <w:rStyle w:val="FootnoteReference"/>
        </w:rPr>
        <w:footnoteRef/>
      </w:r>
      <w:r>
        <w:t xml:space="preserve"> </w:t>
      </w:r>
      <w:r w:rsidRPr="00B44EA5">
        <w:t>http://data.csb.gov.lv/pxweb/lv/ekfin/ekfin__ikgad__PCI/PC0030_euro.px/?rxid=cdcb978c-22b0-416a-aacc-aa650d3e2ce0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DA3ED2">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C1C63"/>
    <w:multiLevelType w:val="hybridMultilevel"/>
    <w:tmpl w:val="406016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DDF"/>
    <w:rsid w:val="0000403E"/>
    <w:rsid w:val="00004B8E"/>
    <w:rsid w:val="00005D6D"/>
    <w:rsid w:val="00012B57"/>
    <w:rsid w:val="0001406B"/>
    <w:rsid w:val="000140A6"/>
    <w:rsid w:val="000163D3"/>
    <w:rsid w:val="00034659"/>
    <w:rsid w:val="00057E77"/>
    <w:rsid w:val="00064A14"/>
    <w:rsid w:val="00066969"/>
    <w:rsid w:val="0006697F"/>
    <w:rsid w:val="00066F6E"/>
    <w:rsid w:val="00067E76"/>
    <w:rsid w:val="00074501"/>
    <w:rsid w:val="000746F0"/>
    <w:rsid w:val="0008115D"/>
    <w:rsid w:val="000814D2"/>
    <w:rsid w:val="00083BF0"/>
    <w:rsid w:val="00085722"/>
    <w:rsid w:val="0008700C"/>
    <w:rsid w:val="000908E6"/>
    <w:rsid w:val="00091E19"/>
    <w:rsid w:val="00094D6E"/>
    <w:rsid w:val="0009669B"/>
    <w:rsid w:val="000A271A"/>
    <w:rsid w:val="000C0CAE"/>
    <w:rsid w:val="000C5B35"/>
    <w:rsid w:val="000E399A"/>
    <w:rsid w:val="000E40CB"/>
    <w:rsid w:val="000E548C"/>
    <w:rsid w:val="000E6D09"/>
    <w:rsid w:val="000F47DB"/>
    <w:rsid w:val="000F597B"/>
    <w:rsid w:val="00101B63"/>
    <w:rsid w:val="0010699A"/>
    <w:rsid w:val="001156D9"/>
    <w:rsid w:val="001168B0"/>
    <w:rsid w:val="00121135"/>
    <w:rsid w:val="00133A9A"/>
    <w:rsid w:val="0013546A"/>
    <w:rsid w:val="00137F9E"/>
    <w:rsid w:val="001409D3"/>
    <w:rsid w:val="00140D9F"/>
    <w:rsid w:val="00145690"/>
    <w:rsid w:val="001539B3"/>
    <w:rsid w:val="001568D1"/>
    <w:rsid w:val="00162AD0"/>
    <w:rsid w:val="001675BD"/>
    <w:rsid w:val="00187108"/>
    <w:rsid w:val="001916C0"/>
    <w:rsid w:val="001919B5"/>
    <w:rsid w:val="00196D09"/>
    <w:rsid w:val="001A03F5"/>
    <w:rsid w:val="001A08CA"/>
    <w:rsid w:val="001A23A6"/>
    <w:rsid w:val="001A7DB4"/>
    <w:rsid w:val="001B2B20"/>
    <w:rsid w:val="001B3F80"/>
    <w:rsid w:val="001D5D6F"/>
    <w:rsid w:val="001E3A52"/>
    <w:rsid w:val="001E4E25"/>
    <w:rsid w:val="001E7945"/>
    <w:rsid w:val="001F23CB"/>
    <w:rsid w:val="00201805"/>
    <w:rsid w:val="00204189"/>
    <w:rsid w:val="00204B97"/>
    <w:rsid w:val="002172EA"/>
    <w:rsid w:val="00226265"/>
    <w:rsid w:val="00250073"/>
    <w:rsid w:val="0025296C"/>
    <w:rsid w:val="002560B1"/>
    <w:rsid w:val="00260CAD"/>
    <w:rsid w:val="00271D6F"/>
    <w:rsid w:val="00272847"/>
    <w:rsid w:val="00275B3C"/>
    <w:rsid w:val="002817E2"/>
    <w:rsid w:val="002865DB"/>
    <w:rsid w:val="002901D5"/>
    <w:rsid w:val="002A4D5C"/>
    <w:rsid w:val="002B1A24"/>
    <w:rsid w:val="002C425B"/>
    <w:rsid w:val="002D0EB1"/>
    <w:rsid w:val="002D4DF0"/>
    <w:rsid w:val="002F12C1"/>
    <w:rsid w:val="002F6E57"/>
    <w:rsid w:val="002F6EBF"/>
    <w:rsid w:val="00304E39"/>
    <w:rsid w:val="0030592D"/>
    <w:rsid w:val="003076ED"/>
    <w:rsid w:val="00307EF6"/>
    <w:rsid w:val="003138F6"/>
    <w:rsid w:val="00313C26"/>
    <w:rsid w:val="0032115E"/>
    <w:rsid w:val="00322FF1"/>
    <w:rsid w:val="00323E04"/>
    <w:rsid w:val="0033149E"/>
    <w:rsid w:val="00336F0F"/>
    <w:rsid w:val="003409A7"/>
    <w:rsid w:val="003460E1"/>
    <w:rsid w:val="003463AA"/>
    <w:rsid w:val="00350E80"/>
    <w:rsid w:val="00354158"/>
    <w:rsid w:val="00355F35"/>
    <w:rsid w:val="00371D2F"/>
    <w:rsid w:val="003751A3"/>
    <w:rsid w:val="0038607C"/>
    <w:rsid w:val="003861B5"/>
    <w:rsid w:val="00392D00"/>
    <w:rsid w:val="00394620"/>
    <w:rsid w:val="00396EBE"/>
    <w:rsid w:val="003A6BFF"/>
    <w:rsid w:val="003B0459"/>
    <w:rsid w:val="003B0A3C"/>
    <w:rsid w:val="003C590F"/>
    <w:rsid w:val="003D05A2"/>
    <w:rsid w:val="003D5881"/>
    <w:rsid w:val="003E12C5"/>
    <w:rsid w:val="003F2409"/>
    <w:rsid w:val="003F7C3A"/>
    <w:rsid w:val="00400B50"/>
    <w:rsid w:val="004147DE"/>
    <w:rsid w:val="004150E1"/>
    <w:rsid w:val="00425A6D"/>
    <w:rsid w:val="00433FB5"/>
    <w:rsid w:val="004358D3"/>
    <w:rsid w:val="00450A5C"/>
    <w:rsid w:val="00454A2A"/>
    <w:rsid w:val="004612C1"/>
    <w:rsid w:val="00470A88"/>
    <w:rsid w:val="004713DD"/>
    <w:rsid w:val="004715DA"/>
    <w:rsid w:val="0047221D"/>
    <w:rsid w:val="0047435F"/>
    <w:rsid w:val="00480477"/>
    <w:rsid w:val="00481E13"/>
    <w:rsid w:val="00482C68"/>
    <w:rsid w:val="00487765"/>
    <w:rsid w:val="00494082"/>
    <w:rsid w:val="004A16FD"/>
    <w:rsid w:val="004A3823"/>
    <w:rsid w:val="004A405A"/>
    <w:rsid w:val="004A505F"/>
    <w:rsid w:val="004A53C8"/>
    <w:rsid w:val="004A549F"/>
    <w:rsid w:val="004A6E95"/>
    <w:rsid w:val="004A719C"/>
    <w:rsid w:val="004B0F25"/>
    <w:rsid w:val="004B3319"/>
    <w:rsid w:val="004B4D3F"/>
    <w:rsid w:val="004B623D"/>
    <w:rsid w:val="004B72DA"/>
    <w:rsid w:val="004B72F1"/>
    <w:rsid w:val="004C31BB"/>
    <w:rsid w:val="004C4E93"/>
    <w:rsid w:val="004D1A5A"/>
    <w:rsid w:val="004D3CA0"/>
    <w:rsid w:val="004D6490"/>
    <w:rsid w:val="004E520A"/>
    <w:rsid w:val="004F2157"/>
    <w:rsid w:val="004F40F7"/>
    <w:rsid w:val="005012A5"/>
    <w:rsid w:val="00506F10"/>
    <w:rsid w:val="00512F1C"/>
    <w:rsid w:val="00517034"/>
    <w:rsid w:val="00531930"/>
    <w:rsid w:val="00532A75"/>
    <w:rsid w:val="0054015A"/>
    <w:rsid w:val="00540DC8"/>
    <w:rsid w:val="00551B92"/>
    <w:rsid w:val="005551D1"/>
    <w:rsid w:val="00561B38"/>
    <w:rsid w:val="00563933"/>
    <w:rsid w:val="005749B4"/>
    <w:rsid w:val="00577216"/>
    <w:rsid w:val="00577EBE"/>
    <w:rsid w:val="00584120"/>
    <w:rsid w:val="00584CDC"/>
    <w:rsid w:val="005925F2"/>
    <w:rsid w:val="005A1C65"/>
    <w:rsid w:val="005B237A"/>
    <w:rsid w:val="005B3E75"/>
    <w:rsid w:val="005B3F33"/>
    <w:rsid w:val="005C2289"/>
    <w:rsid w:val="005C3F18"/>
    <w:rsid w:val="005C42B1"/>
    <w:rsid w:val="005C4E27"/>
    <w:rsid w:val="005D56D4"/>
    <w:rsid w:val="005E6E9D"/>
    <w:rsid w:val="005F0690"/>
    <w:rsid w:val="005F3FEB"/>
    <w:rsid w:val="005F5ADA"/>
    <w:rsid w:val="00605858"/>
    <w:rsid w:val="00613DAC"/>
    <w:rsid w:val="0061423E"/>
    <w:rsid w:val="00617C45"/>
    <w:rsid w:val="00617C8E"/>
    <w:rsid w:val="00626958"/>
    <w:rsid w:val="00631529"/>
    <w:rsid w:val="00631DD7"/>
    <w:rsid w:val="00634BA3"/>
    <w:rsid w:val="00635523"/>
    <w:rsid w:val="00647270"/>
    <w:rsid w:val="0065161F"/>
    <w:rsid w:val="006531A5"/>
    <w:rsid w:val="00661B34"/>
    <w:rsid w:val="00663985"/>
    <w:rsid w:val="00663B48"/>
    <w:rsid w:val="00665D01"/>
    <w:rsid w:val="006825C0"/>
    <w:rsid w:val="00694633"/>
    <w:rsid w:val="006A3B0A"/>
    <w:rsid w:val="006A671F"/>
    <w:rsid w:val="006A7BD2"/>
    <w:rsid w:val="006B5EB9"/>
    <w:rsid w:val="006C2FA7"/>
    <w:rsid w:val="006C5F23"/>
    <w:rsid w:val="006F11ED"/>
    <w:rsid w:val="006F3CAE"/>
    <w:rsid w:val="00702234"/>
    <w:rsid w:val="00705565"/>
    <w:rsid w:val="007058CE"/>
    <w:rsid w:val="0071082B"/>
    <w:rsid w:val="00711F3E"/>
    <w:rsid w:val="00713986"/>
    <w:rsid w:val="007147BE"/>
    <w:rsid w:val="007161C1"/>
    <w:rsid w:val="007248FB"/>
    <w:rsid w:val="00731E6C"/>
    <w:rsid w:val="00733C8C"/>
    <w:rsid w:val="007418A6"/>
    <w:rsid w:val="0074653E"/>
    <w:rsid w:val="00746D7A"/>
    <w:rsid w:val="00753132"/>
    <w:rsid w:val="00763606"/>
    <w:rsid w:val="00767AC1"/>
    <w:rsid w:val="00771AE0"/>
    <w:rsid w:val="00773158"/>
    <w:rsid w:val="00773C6A"/>
    <w:rsid w:val="00781A81"/>
    <w:rsid w:val="007849BB"/>
    <w:rsid w:val="00787C61"/>
    <w:rsid w:val="007973E0"/>
    <w:rsid w:val="007A0535"/>
    <w:rsid w:val="007A5D0E"/>
    <w:rsid w:val="007B02E9"/>
    <w:rsid w:val="007B07F6"/>
    <w:rsid w:val="007B1499"/>
    <w:rsid w:val="007B25E2"/>
    <w:rsid w:val="007B2775"/>
    <w:rsid w:val="007C4012"/>
    <w:rsid w:val="007C447D"/>
    <w:rsid w:val="007C50F1"/>
    <w:rsid w:val="007C5781"/>
    <w:rsid w:val="007E2AED"/>
    <w:rsid w:val="007E7C9E"/>
    <w:rsid w:val="007F24FD"/>
    <w:rsid w:val="00800369"/>
    <w:rsid w:val="00812271"/>
    <w:rsid w:val="008126B4"/>
    <w:rsid w:val="00816BD1"/>
    <w:rsid w:val="0082002F"/>
    <w:rsid w:val="00823CB3"/>
    <w:rsid w:val="00833766"/>
    <w:rsid w:val="00833E9A"/>
    <w:rsid w:val="00835064"/>
    <w:rsid w:val="00840CFA"/>
    <w:rsid w:val="00857EFA"/>
    <w:rsid w:val="00863303"/>
    <w:rsid w:val="00872CFE"/>
    <w:rsid w:val="008750A2"/>
    <w:rsid w:val="0087656E"/>
    <w:rsid w:val="008A3B73"/>
    <w:rsid w:val="008A4784"/>
    <w:rsid w:val="008A7596"/>
    <w:rsid w:val="008B4FFB"/>
    <w:rsid w:val="008C0B91"/>
    <w:rsid w:val="008C2BFF"/>
    <w:rsid w:val="008C2F6A"/>
    <w:rsid w:val="008D37A4"/>
    <w:rsid w:val="008D3E73"/>
    <w:rsid w:val="008D61A2"/>
    <w:rsid w:val="008E2DC4"/>
    <w:rsid w:val="008E3BA2"/>
    <w:rsid w:val="008F0B46"/>
    <w:rsid w:val="008F36AC"/>
    <w:rsid w:val="009006A8"/>
    <w:rsid w:val="0090667B"/>
    <w:rsid w:val="00916CD2"/>
    <w:rsid w:val="00922065"/>
    <w:rsid w:val="00930796"/>
    <w:rsid w:val="00930A74"/>
    <w:rsid w:val="00933A0D"/>
    <w:rsid w:val="0093566F"/>
    <w:rsid w:val="00937CF5"/>
    <w:rsid w:val="00944BE5"/>
    <w:rsid w:val="00944E05"/>
    <w:rsid w:val="00946764"/>
    <w:rsid w:val="00947123"/>
    <w:rsid w:val="00951637"/>
    <w:rsid w:val="00951E78"/>
    <w:rsid w:val="00961829"/>
    <w:rsid w:val="009625C1"/>
    <w:rsid w:val="009636D0"/>
    <w:rsid w:val="009675F2"/>
    <w:rsid w:val="009705CA"/>
    <w:rsid w:val="00971FE2"/>
    <w:rsid w:val="00973AB7"/>
    <w:rsid w:val="00975CB2"/>
    <w:rsid w:val="0098126F"/>
    <w:rsid w:val="00984E48"/>
    <w:rsid w:val="00985459"/>
    <w:rsid w:val="00990EC6"/>
    <w:rsid w:val="009B0744"/>
    <w:rsid w:val="009B3D7E"/>
    <w:rsid w:val="009D3EA9"/>
    <w:rsid w:val="009E0243"/>
    <w:rsid w:val="009E2695"/>
    <w:rsid w:val="009E3113"/>
    <w:rsid w:val="009E4133"/>
    <w:rsid w:val="009F6089"/>
    <w:rsid w:val="00A071CB"/>
    <w:rsid w:val="00A11171"/>
    <w:rsid w:val="00A13AAD"/>
    <w:rsid w:val="00A26DC3"/>
    <w:rsid w:val="00A272D5"/>
    <w:rsid w:val="00A325FA"/>
    <w:rsid w:val="00A33851"/>
    <w:rsid w:val="00A415D2"/>
    <w:rsid w:val="00A42294"/>
    <w:rsid w:val="00A4504C"/>
    <w:rsid w:val="00A54545"/>
    <w:rsid w:val="00A54BE6"/>
    <w:rsid w:val="00A6532E"/>
    <w:rsid w:val="00A7350D"/>
    <w:rsid w:val="00A76C0A"/>
    <w:rsid w:val="00A8486E"/>
    <w:rsid w:val="00A87395"/>
    <w:rsid w:val="00A917AF"/>
    <w:rsid w:val="00AA3E1C"/>
    <w:rsid w:val="00AC20F9"/>
    <w:rsid w:val="00AC418E"/>
    <w:rsid w:val="00AC62B2"/>
    <w:rsid w:val="00AD32A3"/>
    <w:rsid w:val="00AD4FD5"/>
    <w:rsid w:val="00AE506E"/>
    <w:rsid w:val="00AE560C"/>
    <w:rsid w:val="00AF7504"/>
    <w:rsid w:val="00B01379"/>
    <w:rsid w:val="00B07F4B"/>
    <w:rsid w:val="00B10218"/>
    <w:rsid w:val="00B14A4E"/>
    <w:rsid w:val="00B21F14"/>
    <w:rsid w:val="00B2312C"/>
    <w:rsid w:val="00B232E9"/>
    <w:rsid w:val="00B2641B"/>
    <w:rsid w:val="00B31D70"/>
    <w:rsid w:val="00B37E9C"/>
    <w:rsid w:val="00B44EA5"/>
    <w:rsid w:val="00B4613D"/>
    <w:rsid w:val="00B47243"/>
    <w:rsid w:val="00B50A34"/>
    <w:rsid w:val="00B54568"/>
    <w:rsid w:val="00B54C9C"/>
    <w:rsid w:val="00B54E5E"/>
    <w:rsid w:val="00B550BB"/>
    <w:rsid w:val="00B65C59"/>
    <w:rsid w:val="00B65CC4"/>
    <w:rsid w:val="00B6774E"/>
    <w:rsid w:val="00B72734"/>
    <w:rsid w:val="00B73480"/>
    <w:rsid w:val="00B91E30"/>
    <w:rsid w:val="00B97DF5"/>
    <w:rsid w:val="00BB10ED"/>
    <w:rsid w:val="00BB24B4"/>
    <w:rsid w:val="00BC273D"/>
    <w:rsid w:val="00BD1C23"/>
    <w:rsid w:val="00C02C2B"/>
    <w:rsid w:val="00C05444"/>
    <w:rsid w:val="00C06E4F"/>
    <w:rsid w:val="00C07AFE"/>
    <w:rsid w:val="00C1270E"/>
    <w:rsid w:val="00C2080D"/>
    <w:rsid w:val="00C21978"/>
    <w:rsid w:val="00C25ED6"/>
    <w:rsid w:val="00C27AC5"/>
    <w:rsid w:val="00C30748"/>
    <w:rsid w:val="00C30AA0"/>
    <w:rsid w:val="00C3373E"/>
    <w:rsid w:val="00C359D8"/>
    <w:rsid w:val="00C40E50"/>
    <w:rsid w:val="00C41CAB"/>
    <w:rsid w:val="00C51360"/>
    <w:rsid w:val="00C54C95"/>
    <w:rsid w:val="00C56A53"/>
    <w:rsid w:val="00C64748"/>
    <w:rsid w:val="00C676BF"/>
    <w:rsid w:val="00C73E71"/>
    <w:rsid w:val="00C74642"/>
    <w:rsid w:val="00C76A5D"/>
    <w:rsid w:val="00C77A99"/>
    <w:rsid w:val="00C95874"/>
    <w:rsid w:val="00C96AD3"/>
    <w:rsid w:val="00C97BE1"/>
    <w:rsid w:val="00CB4722"/>
    <w:rsid w:val="00CB68F1"/>
    <w:rsid w:val="00CC063E"/>
    <w:rsid w:val="00CD4A1C"/>
    <w:rsid w:val="00CD70CC"/>
    <w:rsid w:val="00CF1208"/>
    <w:rsid w:val="00CF2671"/>
    <w:rsid w:val="00D0561E"/>
    <w:rsid w:val="00D169F6"/>
    <w:rsid w:val="00D21BAD"/>
    <w:rsid w:val="00D23B0E"/>
    <w:rsid w:val="00D32E3B"/>
    <w:rsid w:val="00D346D0"/>
    <w:rsid w:val="00D4528F"/>
    <w:rsid w:val="00D45491"/>
    <w:rsid w:val="00D45EF1"/>
    <w:rsid w:val="00D55BB7"/>
    <w:rsid w:val="00D6049C"/>
    <w:rsid w:val="00D637DE"/>
    <w:rsid w:val="00D7234C"/>
    <w:rsid w:val="00D80173"/>
    <w:rsid w:val="00D86E70"/>
    <w:rsid w:val="00D947A5"/>
    <w:rsid w:val="00D9500E"/>
    <w:rsid w:val="00D954F7"/>
    <w:rsid w:val="00D95F93"/>
    <w:rsid w:val="00D96AA6"/>
    <w:rsid w:val="00DA16A8"/>
    <w:rsid w:val="00DA3ED2"/>
    <w:rsid w:val="00DB30BA"/>
    <w:rsid w:val="00DB3160"/>
    <w:rsid w:val="00DB397F"/>
    <w:rsid w:val="00DB475F"/>
    <w:rsid w:val="00DB59E6"/>
    <w:rsid w:val="00DC5F8B"/>
    <w:rsid w:val="00DC6380"/>
    <w:rsid w:val="00DC6BAF"/>
    <w:rsid w:val="00DD6AAC"/>
    <w:rsid w:val="00DE582E"/>
    <w:rsid w:val="00DF0C25"/>
    <w:rsid w:val="00DF12C5"/>
    <w:rsid w:val="00DF53C3"/>
    <w:rsid w:val="00E01393"/>
    <w:rsid w:val="00E01786"/>
    <w:rsid w:val="00E05857"/>
    <w:rsid w:val="00E14DB0"/>
    <w:rsid w:val="00E16634"/>
    <w:rsid w:val="00E223F6"/>
    <w:rsid w:val="00E22F0E"/>
    <w:rsid w:val="00E30404"/>
    <w:rsid w:val="00E32858"/>
    <w:rsid w:val="00E43EE6"/>
    <w:rsid w:val="00E44DD5"/>
    <w:rsid w:val="00E47554"/>
    <w:rsid w:val="00E521AB"/>
    <w:rsid w:val="00E5434E"/>
    <w:rsid w:val="00E638AD"/>
    <w:rsid w:val="00E67DE9"/>
    <w:rsid w:val="00E72680"/>
    <w:rsid w:val="00E73ABF"/>
    <w:rsid w:val="00E8589E"/>
    <w:rsid w:val="00E90688"/>
    <w:rsid w:val="00EA2144"/>
    <w:rsid w:val="00EA4CB5"/>
    <w:rsid w:val="00EA6CD0"/>
    <w:rsid w:val="00EB23DE"/>
    <w:rsid w:val="00EB38B0"/>
    <w:rsid w:val="00EB4EB5"/>
    <w:rsid w:val="00EB510C"/>
    <w:rsid w:val="00EC08CE"/>
    <w:rsid w:val="00EC1F0E"/>
    <w:rsid w:val="00EC2AEA"/>
    <w:rsid w:val="00EC418C"/>
    <w:rsid w:val="00ED5836"/>
    <w:rsid w:val="00ED666D"/>
    <w:rsid w:val="00EF16F5"/>
    <w:rsid w:val="00EF5512"/>
    <w:rsid w:val="00EF6B62"/>
    <w:rsid w:val="00EF6DB9"/>
    <w:rsid w:val="00F16EE4"/>
    <w:rsid w:val="00F17C81"/>
    <w:rsid w:val="00F21574"/>
    <w:rsid w:val="00F259FB"/>
    <w:rsid w:val="00F30FEF"/>
    <w:rsid w:val="00F31126"/>
    <w:rsid w:val="00F32794"/>
    <w:rsid w:val="00F3312C"/>
    <w:rsid w:val="00F35989"/>
    <w:rsid w:val="00F4260E"/>
    <w:rsid w:val="00F4546D"/>
    <w:rsid w:val="00F45C3D"/>
    <w:rsid w:val="00F470C3"/>
    <w:rsid w:val="00F476E5"/>
    <w:rsid w:val="00F57CA8"/>
    <w:rsid w:val="00F61F26"/>
    <w:rsid w:val="00F66720"/>
    <w:rsid w:val="00F758BA"/>
    <w:rsid w:val="00F80C33"/>
    <w:rsid w:val="00F834B3"/>
    <w:rsid w:val="00F849B1"/>
    <w:rsid w:val="00F92AF7"/>
    <w:rsid w:val="00F93702"/>
    <w:rsid w:val="00F9465B"/>
    <w:rsid w:val="00FB436D"/>
    <w:rsid w:val="00FB7C51"/>
    <w:rsid w:val="00FC4FD8"/>
    <w:rsid w:val="00FC6626"/>
    <w:rsid w:val="00FC68B2"/>
    <w:rsid w:val="00FC7EFA"/>
    <w:rsid w:val="00FD443F"/>
    <w:rsid w:val="00FD4859"/>
    <w:rsid w:val="00FE08D2"/>
    <w:rsid w:val="00FE44EB"/>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character" w:customStyle="1" w:styleId="ListParagraphChar">
    <w:name w:val="List Paragraph Char"/>
    <w:link w:val="ListParagraph"/>
    <w:uiPriority w:val="34"/>
    <w:locked/>
    <w:rsid w:val="003460E1"/>
    <w:rPr>
      <w:lang w:val="x-none" w:eastAsia="x-none"/>
    </w:rPr>
  </w:style>
  <w:style w:type="paragraph" w:styleId="ListParagraph">
    <w:name w:val="List Paragraph"/>
    <w:basedOn w:val="Normal"/>
    <w:link w:val="ListParagraphChar"/>
    <w:uiPriority w:val="34"/>
    <w:qFormat/>
    <w:rsid w:val="003460E1"/>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3460E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460E1"/>
    <w:rPr>
      <w:rFonts w:eastAsia="Times New Roman"/>
      <w:lang w:val="lv-LV"/>
    </w:rPr>
  </w:style>
  <w:style w:type="character" w:styleId="FootnoteReference">
    <w:name w:val="footnote reference"/>
    <w:basedOn w:val="DefaultParagraphFont"/>
    <w:uiPriority w:val="99"/>
    <w:semiHidden/>
    <w:unhideWhenUsed/>
    <w:rsid w:val="003460E1"/>
    <w:rPr>
      <w:vertAlign w:val="superscript"/>
    </w:rPr>
  </w:style>
  <w:style w:type="character" w:styleId="Strong">
    <w:name w:val="Strong"/>
    <w:basedOn w:val="DefaultParagraphFont"/>
    <w:uiPriority w:val="22"/>
    <w:qFormat/>
    <w:rsid w:val="004B623D"/>
    <w:rPr>
      <w:b/>
      <w:bCs/>
    </w:rPr>
  </w:style>
  <w:style w:type="table" w:styleId="TableGrid">
    <w:name w:val="Table Grid"/>
    <w:basedOn w:val="TableNormal"/>
    <w:uiPriority w:val="39"/>
    <w:rsid w:val="0032115E"/>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1728">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514005408">
      <w:bodyDiv w:val="1"/>
      <w:marLeft w:val="0"/>
      <w:marRight w:val="0"/>
      <w:marTop w:val="0"/>
      <w:marBottom w:val="0"/>
      <w:divBdr>
        <w:top w:val="none" w:sz="0" w:space="0" w:color="auto"/>
        <w:left w:val="none" w:sz="0" w:space="0" w:color="auto"/>
        <w:bottom w:val="none" w:sz="0" w:space="0" w:color="auto"/>
        <w:right w:val="none" w:sz="0" w:space="0" w:color="auto"/>
      </w:divBdr>
    </w:div>
    <w:div w:id="134748762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822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ingle-mark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7F69-B158-4910-BAC4-5798F92A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11605</Words>
  <Characters>6615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10.jūnija noteikumos Nr.298 „Kārtība, kādā pretendents sedz izdevumus, kas saistīti ar personas profesionālās kvalifikācijas atzīšanu”” sākotnējās ietekmes novērtējuma ziņojums (a</vt:lpstr>
    </vt:vector>
  </TitlesOfParts>
  <Company>IZM</Company>
  <LinksUpToDate>false</LinksUpToDate>
  <CharactersWithSpaces>18184</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10.jūnija noteikumos Nr.298 „Kārtība, kādā pretendents sedz izdevumus, kas saistīti ar personas profesionālās kvalifikācijas atzīšanu”” sākotnējās ietekmes novērtējuma ziņojums (anotācija)</dc:title>
  <dc:subject>Noteikumu projekta anotācija</dc:subject>
  <dc:creator>Inese Stūre</dc:creator>
  <cp:keywords/>
  <dc:description>tel.:67047899; e-pasts: Inese.Sture@izm.gov.lv</dc:description>
  <cp:lastModifiedBy>Inese Stūre</cp:lastModifiedBy>
  <cp:revision>4</cp:revision>
  <cp:lastPrinted>2016-01-20T12:14:00Z</cp:lastPrinted>
  <dcterms:created xsi:type="dcterms:W3CDTF">2016-02-05T08:37:00Z</dcterms:created>
  <dcterms:modified xsi:type="dcterms:W3CDTF">2016-02-05T08:46:00Z</dcterms:modified>
</cp:coreProperties>
</file>