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BD" w:rsidRPr="00611589" w:rsidRDefault="008F32BD" w:rsidP="0017538A">
      <w:pPr>
        <w:spacing w:after="0" w:line="240" w:lineRule="auto"/>
        <w:jc w:val="center"/>
        <w:rPr>
          <w:rFonts w:ascii="Times New Roman" w:hAnsi="Times New Roman" w:cs="Times New Roman"/>
          <w:b/>
          <w:color w:val="000000" w:themeColor="text1"/>
          <w:sz w:val="36"/>
          <w:szCs w:val="36"/>
        </w:rPr>
      </w:pPr>
      <w:bookmarkStart w:id="0" w:name="_GoBack"/>
      <w:bookmarkEnd w:id="0"/>
    </w:p>
    <w:p w:rsidR="008F32BD" w:rsidRPr="00611589" w:rsidRDefault="008F32BD" w:rsidP="0017538A">
      <w:pPr>
        <w:spacing w:after="0" w:line="240" w:lineRule="auto"/>
        <w:jc w:val="center"/>
        <w:rPr>
          <w:rFonts w:ascii="Times New Roman" w:hAnsi="Times New Roman" w:cs="Times New Roman"/>
          <w:b/>
          <w:color w:val="000000" w:themeColor="text1"/>
          <w:sz w:val="36"/>
          <w:szCs w:val="36"/>
        </w:rPr>
      </w:pPr>
    </w:p>
    <w:p w:rsidR="008F32BD" w:rsidRPr="00611589" w:rsidRDefault="00556B03" w:rsidP="0017538A">
      <w:pPr>
        <w:spacing w:after="0" w:line="240" w:lineRule="auto"/>
        <w:jc w:val="center"/>
        <w:rPr>
          <w:rFonts w:ascii="Times New Roman" w:hAnsi="Times New Roman" w:cs="Times New Roman"/>
          <w:b/>
          <w:sz w:val="36"/>
          <w:szCs w:val="36"/>
        </w:rPr>
      </w:pPr>
      <w:r w:rsidRPr="00611589">
        <w:rPr>
          <w:rFonts w:ascii="Times New Roman" w:hAnsi="Times New Roman" w:cs="Times New Roman"/>
          <w:b/>
          <w:noProof/>
          <w:color w:val="000000" w:themeColor="text1"/>
          <w:sz w:val="36"/>
          <w:szCs w:val="36"/>
          <w:lang w:eastAsia="lv-LV"/>
        </w:rPr>
        <w:drawing>
          <wp:anchor distT="0" distB="0" distL="114300" distR="114300" simplePos="0" relativeHeight="251658240" behindDoc="0" locked="0" layoutInCell="1" allowOverlap="1" wp14:anchorId="025119AC" wp14:editId="7C528478">
            <wp:simplePos x="0" y="0"/>
            <wp:positionH relativeFrom="column">
              <wp:posOffset>2059940</wp:posOffset>
            </wp:positionH>
            <wp:positionV relativeFrom="paragraph">
              <wp:posOffset>81280</wp:posOffset>
            </wp:positionV>
            <wp:extent cx="1319530" cy="15081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B_LOGO_bw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530" cy="1508125"/>
                    </a:xfrm>
                    <a:prstGeom prst="rect">
                      <a:avLst/>
                    </a:prstGeom>
                  </pic:spPr>
                </pic:pic>
              </a:graphicData>
            </a:graphic>
            <wp14:sizeRelH relativeFrom="page">
              <wp14:pctWidth>0</wp14:pctWidth>
            </wp14:sizeRelH>
            <wp14:sizeRelV relativeFrom="page">
              <wp14:pctHeight>0</wp14:pctHeight>
            </wp14:sizeRelV>
          </wp:anchor>
        </w:drawing>
      </w: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4F7B23" w:rsidRDefault="008F32BD" w:rsidP="008F32BD">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p>
    <w:p w:rsidR="00556B03" w:rsidRPr="00556B03" w:rsidRDefault="00556B03" w:rsidP="00556B03"/>
    <w:p w:rsidR="00556B03" w:rsidRPr="00556B03" w:rsidRDefault="00556B03" w:rsidP="00556B03"/>
    <w:p w:rsidR="00556B03" w:rsidRPr="00556B03" w:rsidRDefault="00556B03" w:rsidP="00556B03"/>
    <w:p w:rsidR="00556B03" w:rsidRPr="00556B03" w:rsidRDefault="00556B03" w:rsidP="00556B03"/>
    <w:p w:rsidR="00556B03" w:rsidRPr="00556B03" w:rsidRDefault="00556B03" w:rsidP="00556B03"/>
    <w:p w:rsidR="008F32BD" w:rsidRPr="009412D1" w:rsidRDefault="00556B03" w:rsidP="00556B03">
      <w:pPr>
        <w:pStyle w:val="Title"/>
      </w:pPr>
      <w:r>
        <w:t>I</w:t>
      </w:r>
      <w:r w:rsidR="008F32BD" w:rsidRPr="009412D1">
        <w:t>nformatīvais ziņojums</w:t>
      </w:r>
    </w:p>
    <w:p w:rsidR="005C72CE" w:rsidRDefault="005C72CE" w:rsidP="005C72CE">
      <w:pPr>
        <w:jc w:val="center"/>
        <w:rPr>
          <w:rFonts w:ascii="Times New Roman" w:hAnsi="Times New Roman" w:cs="Times New Roman"/>
          <w:b/>
          <w:sz w:val="30"/>
          <w:szCs w:val="30"/>
        </w:rPr>
      </w:pPr>
    </w:p>
    <w:p w:rsidR="005C72CE" w:rsidRPr="005C72CE" w:rsidRDefault="005C72CE" w:rsidP="005C72CE">
      <w:pPr>
        <w:jc w:val="center"/>
        <w:rPr>
          <w:rFonts w:ascii="Times New Roman" w:hAnsi="Times New Roman" w:cs="Times New Roman"/>
          <w:b/>
          <w:sz w:val="36"/>
          <w:szCs w:val="36"/>
        </w:rPr>
      </w:pPr>
    </w:p>
    <w:p w:rsidR="008F32BD" w:rsidRPr="005C72CE" w:rsidRDefault="008F32BD" w:rsidP="005C72CE">
      <w:pPr>
        <w:jc w:val="center"/>
        <w:rPr>
          <w:rFonts w:ascii="Times New Roman" w:hAnsi="Times New Roman" w:cs="Times New Roman"/>
          <w:b/>
          <w:sz w:val="36"/>
          <w:szCs w:val="36"/>
        </w:rPr>
      </w:pPr>
      <w:r w:rsidRPr="005C72CE">
        <w:rPr>
          <w:rFonts w:ascii="Times New Roman" w:hAnsi="Times New Roman" w:cs="Times New Roman"/>
          <w:b/>
          <w:sz w:val="36"/>
          <w:szCs w:val="36"/>
        </w:rPr>
        <w:t>«Par Korupcijas novēršanas un apkarošanas biroja</w:t>
      </w:r>
    </w:p>
    <w:p w:rsidR="008F32BD" w:rsidRPr="005C72CE" w:rsidRDefault="00254D0E" w:rsidP="005C72CE">
      <w:pPr>
        <w:jc w:val="center"/>
        <w:rPr>
          <w:rFonts w:ascii="Times New Roman" w:hAnsi="Times New Roman" w:cs="Times New Roman"/>
          <w:b/>
          <w:sz w:val="36"/>
          <w:szCs w:val="36"/>
        </w:rPr>
      </w:pPr>
      <w:r w:rsidRPr="005C72CE">
        <w:rPr>
          <w:rFonts w:ascii="Times New Roman" w:hAnsi="Times New Roman" w:cs="Times New Roman"/>
          <w:b/>
          <w:sz w:val="36"/>
          <w:szCs w:val="36"/>
        </w:rPr>
        <w:t>darbību no 201</w:t>
      </w:r>
      <w:r w:rsidR="00EB70D6" w:rsidRPr="005C72CE">
        <w:rPr>
          <w:rFonts w:ascii="Times New Roman" w:hAnsi="Times New Roman" w:cs="Times New Roman"/>
          <w:b/>
          <w:sz w:val="36"/>
          <w:szCs w:val="36"/>
        </w:rPr>
        <w:t>5</w:t>
      </w:r>
      <w:r w:rsidRPr="005C72CE">
        <w:rPr>
          <w:rFonts w:ascii="Times New Roman" w:hAnsi="Times New Roman" w:cs="Times New Roman"/>
          <w:b/>
          <w:sz w:val="36"/>
          <w:szCs w:val="36"/>
        </w:rPr>
        <w:t>.gada 1.</w:t>
      </w:r>
      <w:r w:rsidR="0058410B" w:rsidRPr="005C72CE">
        <w:rPr>
          <w:rFonts w:ascii="Times New Roman" w:hAnsi="Times New Roman" w:cs="Times New Roman"/>
          <w:b/>
          <w:sz w:val="36"/>
          <w:szCs w:val="36"/>
        </w:rPr>
        <w:t>jūlija</w:t>
      </w:r>
      <w:r w:rsidR="001C08BB" w:rsidRPr="005C72CE">
        <w:rPr>
          <w:rFonts w:ascii="Times New Roman" w:hAnsi="Times New Roman" w:cs="Times New Roman"/>
          <w:b/>
          <w:sz w:val="36"/>
          <w:szCs w:val="36"/>
        </w:rPr>
        <w:t xml:space="preserve"> līdz </w:t>
      </w:r>
      <w:r w:rsidR="0058410B" w:rsidRPr="005C72CE">
        <w:rPr>
          <w:rFonts w:ascii="Times New Roman" w:hAnsi="Times New Roman" w:cs="Times New Roman"/>
          <w:b/>
          <w:sz w:val="36"/>
          <w:szCs w:val="36"/>
        </w:rPr>
        <w:t xml:space="preserve">31.decembrim </w:t>
      </w:r>
      <w:r w:rsidR="008F32BD" w:rsidRPr="005C72CE">
        <w:rPr>
          <w:rFonts w:ascii="Times New Roman" w:hAnsi="Times New Roman" w:cs="Times New Roman"/>
          <w:b/>
          <w:sz w:val="36"/>
          <w:szCs w:val="36"/>
        </w:rPr>
        <w:t>»</w:t>
      </w:r>
    </w:p>
    <w:p w:rsidR="008F32BD" w:rsidRPr="009412D1" w:rsidRDefault="008F32BD" w:rsidP="008F32BD">
      <w:pPr>
        <w:spacing w:after="0" w:line="240" w:lineRule="auto"/>
        <w:rPr>
          <w:rFonts w:ascii="Times New Roman" w:hAnsi="Times New Roman" w:cs="Times New Roman"/>
          <w:b/>
          <w:sz w:val="32"/>
          <w:szCs w:val="32"/>
        </w:rPr>
      </w:pPr>
      <w:r w:rsidRPr="009412D1">
        <w:rPr>
          <w:rFonts w:ascii="Times New Roman" w:hAnsi="Times New Roman" w:cs="Times New Roman"/>
          <w:b/>
          <w:sz w:val="32"/>
          <w:szCs w:val="32"/>
        </w:rPr>
        <w:br w:type="page"/>
      </w:r>
    </w:p>
    <w:p w:rsidR="007D40A9" w:rsidRPr="001A3428" w:rsidRDefault="007D40A9" w:rsidP="00752EF4">
      <w:pPr>
        <w:pStyle w:val="Title"/>
        <w:rPr>
          <w:rFonts w:ascii="Times New Roman" w:hAnsi="Times New Roman"/>
        </w:rPr>
      </w:pPr>
      <w:r w:rsidRPr="001A3428">
        <w:rPr>
          <w:rFonts w:ascii="Times New Roman" w:hAnsi="Times New Roman"/>
        </w:rPr>
        <w:lastRenderedPageBreak/>
        <w:t xml:space="preserve">Vispārīga informācija </w:t>
      </w:r>
    </w:p>
    <w:p w:rsidR="0082587B" w:rsidRPr="007F12DB" w:rsidRDefault="008F32BD" w:rsidP="006A4302">
      <w:pPr>
        <w:pStyle w:val="Default"/>
        <w:ind w:firstLine="720"/>
        <w:jc w:val="both"/>
        <w:rPr>
          <w:color w:val="auto"/>
          <w:sz w:val="28"/>
          <w:szCs w:val="28"/>
        </w:rPr>
      </w:pPr>
      <w:r w:rsidRPr="007F12DB">
        <w:rPr>
          <w:color w:val="auto"/>
          <w:sz w:val="28"/>
          <w:szCs w:val="28"/>
        </w:rPr>
        <w:t xml:space="preserve">Informatīvais ziņojums par Korupcijas novēršanas un apkarošanas biroja (turpmāk – Birojs) darbību </w:t>
      </w:r>
      <w:r w:rsidRPr="007F12DB">
        <w:rPr>
          <w:bCs/>
          <w:color w:val="auto"/>
          <w:sz w:val="28"/>
          <w:szCs w:val="28"/>
        </w:rPr>
        <w:t>no 201</w:t>
      </w:r>
      <w:r w:rsidR="00EB70D6" w:rsidRPr="007F12DB">
        <w:rPr>
          <w:bCs/>
          <w:color w:val="auto"/>
          <w:sz w:val="28"/>
          <w:szCs w:val="28"/>
        </w:rPr>
        <w:t>5</w:t>
      </w:r>
      <w:r w:rsidRPr="007F12DB">
        <w:rPr>
          <w:bCs/>
          <w:color w:val="auto"/>
          <w:sz w:val="28"/>
          <w:szCs w:val="28"/>
        </w:rPr>
        <w:t xml:space="preserve">.gada </w:t>
      </w:r>
      <w:r w:rsidR="00412BC7" w:rsidRPr="007F12DB">
        <w:rPr>
          <w:bCs/>
          <w:color w:val="auto"/>
          <w:sz w:val="28"/>
          <w:szCs w:val="28"/>
        </w:rPr>
        <w:t>1.</w:t>
      </w:r>
      <w:r w:rsidR="0058410B" w:rsidRPr="007F12DB">
        <w:rPr>
          <w:bCs/>
          <w:color w:val="auto"/>
          <w:sz w:val="28"/>
          <w:szCs w:val="28"/>
        </w:rPr>
        <w:t>jūlija</w:t>
      </w:r>
      <w:r w:rsidR="00EB70D6" w:rsidRPr="007F12DB">
        <w:rPr>
          <w:bCs/>
          <w:color w:val="auto"/>
          <w:sz w:val="28"/>
          <w:szCs w:val="28"/>
        </w:rPr>
        <w:t xml:space="preserve"> līdz</w:t>
      </w:r>
      <w:r w:rsidRPr="007F12DB">
        <w:rPr>
          <w:bCs/>
          <w:color w:val="auto"/>
          <w:sz w:val="28"/>
          <w:szCs w:val="28"/>
        </w:rPr>
        <w:t xml:space="preserve"> </w:t>
      </w:r>
      <w:r w:rsidR="0058410B" w:rsidRPr="007F12DB">
        <w:rPr>
          <w:bCs/>
          <w:color w:val="auto"/>
          <w:sz w:val="28"/>
          <w:szCs w:val="28"/>
        </w:rPr>
        <w:t>31.decembrim</w:t>
      </w:r>
      <w:r w:rsidR="003022CD" w:rsidRPr="007F12DB">
        <w:rPr>
          <w:bCs/>
          <w:color w:val="auto"/>
          <w:sz w:val="28"/>
          <w:szCs w:val="28"/>
        </w:rPr>
        <w:t xml:space="preserve"> </w:t>
      </w:r>
      <w:r w:rsidRPr="007F12DB">
        <w:rPr>
          <w:color w:val="auto"/>
          <w:sz w:val="28"/>
          <w:szCs w:val="28"/>
        </w:rPr>
        <w:t>sagatavots iesniegšanai</w:t>
      </w:r>
      <w:r w:rsidR="008B4A69" w:rsidRPr="007F12DB">
        <w:rPr>
          <w:color w:val="auto"/>
          <w:sz w:val="28"/>
          <w:szCs w:val="28"/>
        </w:rPr>
        <w:t xml:space="preserve"> </w:t>
      </w:r>
      <w:r w:rsidRPr="007F12DB">
        <w:rPr>
          <w:color w:val="auto"/>
          <w:sz w:val="28"/>
          <w:szCs w:val="28"/>
        </w:rPr>
        <w:t>Ministru kabinetā un Saeimā saskaņā ar Korupcijas novēršanas un apkarošanas biroja likuma 4.panta trešās daļas 14.punktu.</w:t>
      </w:r>
      <w:r w:rsidR="00F758F0" w:rsidRPr="007F12DB">
        <w:rPr>
          <w:color w:val="auto"/>
          <w:sz w:val="28"/>
          <w:szCs w:val="28"/>
        </w:rPr>
        <w:t xml:space="preserve"> </w:t>
      </w:r>
    </w:p>
    <w:p w:rsidR="00113355" w:rsidRPr="007F12DB" w:rsidRDefault="007C782E" w:rsidP="00E422EB">
      <w:pPr>
        <w:pStyle w:val="Default"/>
        <w:ind w:firstLine="720"/>
        <w:jc w:val="both"/>
        <w:rPr>
          <w:sz w:val="28"/>
          <w:szCs w:val="28"/>
        </w:rPr>
      </w:pPr>
      <w:r w:rsidRPr="007F12DB">
        <w:rPr>
          <w:sz w:val="28"/>
          <w:szCs w:val="28"/>
        </w:rPr>
        <w:t xml:space="preserve">Pārskata periodā </w:t>
      </w:r>
      <w:r w:rsidR="0082587B" w:rsidRPr="007F12DB">
        <w:rPr>
          <w:sz w:val="28"/>
          <w:szCs w:val="28"/>
        </w:rPr>
        <w:t>Biroja lietvedībā</w:t>
      </w:r>
      <w:r w:rsidR="00E422EB" w:rsidRPr="007F12DB">
        <w:rPr>
          <w:sz w:val="28"/>
          <w:szCs w:val="28"/>
        </w:rPr>
        <w:t xml:space="preserve"> kopā</w:t>
      </w:r>
      <w:r w:rsidR="0082587B" w:rsidRPr="007F12DB">
        <w:rPr>
          <w:sz w:val="28"/>
          <w:szCs w:val="28"/>
        </w:rPr>
        <w:t xml:space="preserve"> saņemt</w:t>
      </w:r>
      <w:r w:rsidR="004D2552" w:rsidRPr="007F12DB">
        <w:rPr>
          <w:sz w:val="28"/>
          <w:szCs w:val="28"/>
        </w:rPr>
        <w:t>i</w:t>
      </w:r>
      <w:r w:rsidR="00E422EB" w:rsidRPr="007F12DB">
        <w:rPr>
          <w:sz w:val="28"/>
          <w:szCs w:val="28"/>
        </w:rPr>
        <w:t xml:space="preserve"> </w:t>
      </w:r>
      <w:r w:rsidR="005522F0" w:rsidRPr="007F12DB">
        <w:rPr>
          <w:sz w:val="28"/>
          <w:szCs w:val="28"/>
        </w:rPr>
        <w:t>735</w:t>
      </w:r>
      <w:r w:rsidR="00E422EB" w:rsidRPr="007F12DB">
        <w:rPr>
          <w:sz w:val="28"/>
          <w:szCs w:val="28"/>
        </w:rPr>
        <w:t xml:space="preserve"> </w:t>
      </w:r>
      <w:r w:rsidR="00C86DF0">
        <w:rPr>
          <w:sz w:val="28"/>
          <w:szCs w:val="28"/>
        </w:rPr>
        <w:t xml:space="preserve">privātpersonu </w:t>
      </w:r>
      <w:r w:rsidR="00E422EB" w:rsidRPr="007F12DB">
        <w:rPr>
          <w:sz w:val="28"/>
          <w:szCs w:val="28"/>
        </w:rPr>
        <w:t xml:space="preserve">iesniegumi, no kuriem </w:t>
      </w:r>
      <w:r w:rsidR="005522F0" w:rsidRPr="007F12DB">
        <w:rPr>
          <w:sz w:val="28"/>
          <w:szCs w:val="28"/>
        </w:rPr>
        <w:t>663</w:t>
      </w:r>
      <w:r w:rsidR="00E422EB" w:rsidRPr="007F12DB">
        <w:rPr>
          <w:sz w:val="28"/>
          <w:szCs w:val="28"/>
        </w:rPr>
        <w:t> iesniegumi no fiziskām personām</w:t>
      </w:r>
      <w:r w:rsidR="00C86DF0">
        <w:rPr>
          <w:sz w:val="28"/>
          <w:szCs w:val="28"/>
        </w:rPr>
        <w:t xml:space="preserve"> (tai skaitā anonīmi)</w:t>
      </w:r>
      <w:r w:rsidR="00E422EB" w:rsidRPr="007F12DB">
        <w:rPr>
          <w:sz w:val="28"/>
          <w:szCs w:val="28"/>
        </w:rPr>
        <w:t xml:space="preserve"> un </w:t>
      </w:r>
      <w:r w:rsidR="005522F0" w:rsidRPr="007F12DB">
        <w:rPr>
          <w:sz w:val="28"/>
          <w:szCs w:val="28"/>
        </w:rPr>
        <w:t>72</w:t>
      </w:r>
      <w:r w:rsidR="0082587B" w:rsidRPr="007F12DB">
        <w:rPr>
          <w:sz w:val="28"/>
          <w:szCs w:val="28"/>
        </w:rPr>
        <w:t xml:space="preserve"> iesniegumi no juridiskām personām. </w:t>
      </w:r>
      <w:r w:rsidR="00F758F0" w:rsidRPr="007F12DB">
        <w:rPr>
          <w:color w:val="auto"/>
          <w:sz w:val="28"/>
          <w:szCs w:val="28"/>
        </w:rPr>
        <w:t>201</w:t>
      </w:r>
      <w:r w:rsidR="003C2032" w:rsidRPr="007F12DB">
        <w:rPr>
          <w:color w:val="auto"/>
          <w:sz w:val="28"/>
          <w:szCs w:val="28"/>
        </w:rPr>
        <w:t>5</w:t>
      </w:r>
      <w:r w:rsidR="00F758F0" w:rsidRPr="007F12DB">
        <w:rPr>
          <w:color w:val="auto"/>
          <w:sz w:val="28"/>
          <w:szCs w:val="28"/>
        </w:rPr>
        <w:t xml:space="preserve">.gada </w:t>
      </w:r>
      <w:r w:rsidR="00C86DF0">
        <w:rPr>
          <w:color w:val="auto"/>
          <w:sz w:val="28"/>
          <w:szCs w:val="28"/>
        </w:rPr>
        <w:t>otrajā</w:t>
      </w:r>
      <w:r w:rsidR="00F758F0" w:rsidRPr="007F12DB">
        <w:rPr>
          <w:color w:val="auto"/>
          <w:sz w:val="28"/>
          <w:szCs w:val="28"/>
        </w:rPr>
        <w:t xml:space="preserve"> pusgadā Biroja Ziņojumu centrā ir pieņemti un uzklausīti </w:t>
      </w:r>
      <w:r w:rsidR="003C2032" w:rsidRPr="007F12DB">
        <w:rPr>
          <w:color w:val="auto"/>
          <w:sz w:val="28"/>
          <w:szCs w:val="28"/>
        </w:rPr>
        <w:t>55</w:t>
      </w:r>
      <w:r w:rsidR="00F758F0" w:rsidRPr="007F12DB">
        <w:rPr>
          <w:color w:val="auto"/>
          <w:sz w:val="28"/>
          <w:szCs w:val="28"/>
        </w:rPr>
        <w:t xml:space="preserve"> apmeklētāji</w:t>
      </w:r>
      <w:r w:rsidR="003C2032" w:rsidRPr="007F12DB">
        <w:rPr>
          <w:color w:val="auto"/>
          <w:sz w:val="28"/>
          <w:szCs w:val="28"/>
        </w:rPr>
        <w:t>.</w:t>
      </w:r>
      <w:r w:rsidR="00CB58D2" w:rsidRPr="007F12DB">
        <w:rPr>
          <w:color w:val="auto"/>
          <w:sz w:val="28"/>
          <w:szCs w:val="28"/>
        </w:rPr>
        <w:t xml:space="preserve"> </w:t>
      </w:r>
      <w:r w:rsidR="001B0E8A" w:rsidRPr="007F12DB">
        <w:rPr>
          <w:sz w:val="28"/>
          <w:szCs w:val="28"/>
        </w:rPr>
        <w:t>Birojā saņemto iesniegumu un pieņemto apmeklētāju skaits atspoguļots 1.attēlā.</w:t>
      </w:r>
      <w:r w:rsidR="00FD4D92" w:rsidRPr="007F12DB">
        <w:rPr>
          <w:sz w:val="28"/>
          <w:szCs w:val="28"/>
        </w:rPr>
        <w:t xml:space="preserve"> 2015.gadā uz Biroja Ziņojumu centra bezmaksas tālruni saņemti </w:t>
      </w:r>
      <w:r w:rsidR="00281DDB" w:rsidRPr="007F12DB">
        <w:rPr>
          <w:sz w:val="28"/>
          <w:szCs w:val="28"/>
        </w:rPr>
        <w:t xml:space="preserve">3272 zvani. </w:t>
      </w:r>
    </w:p>
    <w:p w:rsidR="004D2552" w:rsidRPr="007F12DB" w:rsidRDefault="004D2552" w:rsidP="004D2552">
      <w:pPr>
        <w:pStyle w:val="NoSpacing"/>
        <w:ind w:firstLine="720"/>
        <w:jc w:val="both"/>
        <w:rPr>
          <w:rFonts w:ascii="Times New Roman" w:hAnsi="Times New Roman" w:cs="Times New Roman"/>
          <w:sz w:val="28"/>
          <w:szCs w:val="28"/>
        </w:rPr>
      </w:pPr>
      <w:r w:rsidRPr="007F12DB">
        <w:rPr>
          <w:rFonts w:ascii="Times New Roman" w:hAnsi="Times New Roman" w:cs="Times New Roman"/>
          <w:sz w:val="28"/>
          <w:szCs w:val="28"/>
        </w:rPr>
        <w:t xml:space="preserve">2015.gada </w:t>
      </w:r>
      <w:r w:rsidR="002A5D00" w:rsidRPr="007F12DB">
        <w:rPr>
          <w:rFonts w:ascii="Times New Roman" w:hAnsi="Times New Roman" w:cs="Times New Roman"/>
          <w:sz w:val="28"/>
          <w:szCs w:val="28"/>
        </w:rPr>
        <w:t xml:space="preserve">31.decembrī </w:t>
      </w:r>
      <w:r w:rsidRPr="007F12DB">
        <w:rPr>
          <w:rFonts w:ascii="Times New Roman" w:hAnsi="Times New Roman" w:cs="Times New Roman"/>
          <w:sz w:val="28"/>
          <w:szCs w:val="28"/>
        </w:rPr>
        <w:t>Birojā strādāja 14</w:t>
      </w:r>
      <w:r w:rsidR="002A5D00" w:rsidRPr="007F12DB">
        <w:rPr>
          <w:rFonts w:ascii="Times New Roman" w:hAnsi="Times New Roman" w:cs="Times New Roman"/>
          <w:sz w:val="28"/>
          <w:szCs w:val="28"/>
        </w:rPr>
        <w:t>3</w:t>
      </w:r>
      <w:r w:rsidRPr="007F12DB">
        <w:rPr>
          <w:rFonts w:ascii="Times New Roman" w:hAnsi="Times New Roman" w:cs="Times New Roman"/>
          <w:bCs/>
          <w:sz w:val="28"/>
          <w:szCs w:val="28"/>
        </w:rPr>
        <w:t xml:space="preserve"> darbinieki</w:t>
      </w:r>
      <w:r w:rsidRPr="007F12DB">
        <w:rPr>
          <w:rFonts w:ascii="Times New Roman" w:hAnsi="Times New Roman" w:cs="Times New Roman"/>
          <w:sz w:val="28"/>
          <w:szCs w:val="28"/>
        </w:rPr>
        <w:t xml:space="preserve">. Pārskata periodā darbā pieņemti 3 darbinieki, savukārt darba tiesiskās attiecības ir izbeigtas ar </w:t>
      </w:r>
      <w:r w:rsidR="002A5D00" w:rsidRPr="007F12DB">
        <w:rPr>
          <w:rFonts w:ascii="Times New Roman" w:hAnsi="Times New Roman" w:cs="Times New Roman"/>
          <w:sz w:val="28"/>
          <w:szCs w:val="28"/>
        </w:rPr>
        <w:t>5</w:t>
      </w:r>
      <w:r w:rsidRPr="007F12DB">
        <w:rPr>
          <w:rFonts w:ascii="Times New Roman" w:hAnsi="Times New Roman" w:cs="Times New Roman"/>
          <w:sz w:val="28"/>
          <w:szCs w:val="28"/>
        </w:rPr>
        <w:t xml:space="preserve"> darbiniekiem. </w:t>
      </w:r>
    </w:p>
    <w:p w:rsidR="003305EF" w:rsidRPr="007F12DB" w:rsidRDefault="004D2552" w:rsidP="004D2552">
      <w:pPr>
        <w:pStyle w:val="NoSpacing"/>
        <w:ind w:firstLine="720"/>
        <w:jc w:val="both"/>
        <w:rPr>
          <w:rFonts w:ascii="Times New Roman" w:hAnsi="Times New Roman" w:cs="Times New Roman"/>
          <w:sz w:val="28"/>
          <w:szCs w:val="28"/>
        </w:rPr>
      </w:pPr>
      <w:r w:rsidRPr="007F12DB">
        <w:rPr>
          <w:rFonts w:ascii="Times New Roman" w:hAnsi="Times New Roman" w:cs="Times New Roman"/>
          <w:sz w:val="28"/>
          <w:szCs w:val="28"/>
        </w:rPr>
        <w:t xml:space="preserve">2015.gada </w:t>
      </w:r>
      <w:r w:rsidR="002A5D00" w:rsidRPr="007F12DB">
        <w:rPr>
          <w:rFonts w:ascii="Times New Roman" w:hAnsi="Times New Roman" w:cs="Times New Roman"/>
          <w:sz w:val="28"/>
          <w:szCs w:val="28"/>
        </w:rPr>
        <w:t>otrajā</w:t>
      </w:r>
      <w:r w:rsidRPr="007F12DB">
        <w:rPr>
          <w:rFonts w:ascii="Times New Roman" w:hAnsi="Times New Roman" w:cs="Times New Roman"/>
          <w:sz w:val="28"/>
          <w:szCs w:val="28"/>
        </w:rPr>
        <w:t xml:space="preserve"> pusgadā Birojam piešķirtais valsts budžeta finansējums bija</w:t>
      </w:r>
      <w:r w:rsidR="003305EF" w:rsidRPr="007F12DB">
        <w:rPr>
          <w:rFonts w:ascii="Times New Roman" w:hAnsi="Times New Roman" w:cs="Times New Roman"/>
          <w:sz w:val="28"/>
          <w:szCs w:val="28"/>
        </w:rPr>
        <w:t xml:space="preserve"> 2 370 618 EUR,  papildus tam Birojs piesaistīja ārvalstu finanšu palīdzību 410 428 EUR apmērā. </w:t>
      </w:r>
    </w:p>
    <w:p w:rsidR="003305EF" w:rsidRDefault="003305EF" w:rsidP="004D2552">
      <w:pPr>
        <w:pStyle w:val="NoSpacing"/>
        <w:ind w:firstLine="720"/>
        <w:jc w:val="both"/>
        <w:rPr>
          <w:rFonts w:ascii="Times New Roman" w:hAnsi="Times New Roman" w:cs="Times New Roman"/>
          <w:sz w:val="28"/>
          <w:szCs w:val="28"/>
        </w:rPr>
      </w:pPr>
    </w:p>
    <w:p w:rsidR="00546ADA" w:rsidRDefault="00546ADA" w:rsidP="004D2552">
      <w:pPr>
        <w:pStyle w:val="NoSpacing"/>
        <w:ind w:firstLine="720"/>
        <w:jc w:val="both"/>
        <w:rPr>
          <w:rFonts w:ascii="Times New Roman" w:hAnsi="Times New Roman" w:cs="Times New Roman"/>
          <w:sz w:val="28"/>
          <w:szCs w:val="28"/>
        </w:rPr>
      </w:pPr>
      <w:r>
        <w:rPr>
          <w:noProof/>
          <w:lang w:eastAsia="lv-LV"/>
        </w:rPr>
        <w:drawing>
          <wp:inline distT="0" distB="0" distL="0" distR="0" wp14:anchorId="76F03BDB" wp14:editId="793532BF">
            <wp:extent cx="5486400" cy="3474720"/>
            <wp:effectExtent l="0" t="0" r="1905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621D" w:rsidRDefault="00D6621D" w:rsidP="00D6621D">
      <w:pPr>
        <w:pStyle w:val="NormalWeb"/>
        <w:spacing w:before="0" w:beforeAutospacing="0" w:after="0" w:afterAutospacing="0"/>
        <w:jc w:val="both"/>
        <w:rPr>
          <w:i/>
          <w:sz w:val="28"/>
          <w:szCs w:val="28"/>
          <w:lang w:val="lv-LV"/>
        </w:rPr>
      </w:pPr>
      <w:bookmarkStart w:id="1" w:name="_Toc282617329"/>
      <w:r w:rsidRPr="00752EF4">
        <w:rPr>
          <w:i/>
          <w:sz w:val="28"/>
          <w:szCs w:val="28"/>
          <w:lang w:val="lv-LV"/>
        </w:rPr>
        <w:t>1.attēls. Saņemtie iesniegumi</w:t>
      </w:r>
      <w:r w:rsidR="00546ADA">
        <w:rPr>
          <w:i/>
          <w:sz w:val="28"/>
          <w:szCs w:val="28"/>
          <w:lang w:val="lv-LV"/>
        </w:rPr>
        <w:t xml:space="preserve"> un</w:t>
      </w:r>
      <w:r>
        <w:rPr>
          <w:i/>
          <w:sz w:val="28"/>
          <w:szCs w:val="28"/>
          <w:lang w:val="lv-LV"/>
        </w:rPr>
        <w:t xml:space="preserve"> pieņemtie apmeklētāji.</w:t>
      </w: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556B03" w:rsidRDefault="00556B03" w:rsidP="00D6621D">
      <w:pPr>
        <w:pStyle w:val="NormalWeb"/>
        <w:spacing w:before="0" w:beforeAutospacing="0" w:after="0" w:afterAutospacing="0"/>
        <w:jc w:val="both"/>
        <w:rPr>
          <w:i/>
          <w:sz w:val="28"/>
          <w:szCs w:val="28"/>
          <w:lang w:val="lv-LV"/>
        </w:rPr>
      </w:pPr>
    </w:p>
    <w:p w:rsidR="008F32BD" w:rsidRPr="00752EF4" w:rsidRDefault="00752EF4" w:rsidP="00752EF4">
      <w:pPr>
        <w:pStyle w:val="Title"/>
        <w:rPr>
          <w:rFonts w:ascii="Times New Roman" w:hAnsi="Times New Roman"/>
        </w:rPr>
      </w:pPr>
      <w:r w:rsidRPr="00752EF4">
        <w:rPr>
          <w:rFonts w:ascii="Times New Roman" w:hAnsi="Times New Roman"/>
        </w:rPr>
        <w:lastRenderedPageBreak/>
        <w:t xml:space="preserve">1. </w:t>
      </w:r>
      <w:r w:rsidR="008F32BD" w:rsidRPr="00752EF4">
        <w:rPr>
          <w:rFonts w:ascii="Times New Roman" w:hAnsi="Times New Roman"/>
        </w:rPr>
        <w:t>Korupcijas novēršan</w:t>
      </w:r>
      <w:bookmarkEnd w:id="1"/>
      <w:r w:rsidR="008F32BD" w:rsidRPr="00752EF4">
        <w:rPr>
          <w:rFonts w:ascii="Times New Roman" w:hAnsi="Times New Roman"/>
        </w:rPr>
        <w:t>a</w:t>
      </w:r>
    </w:p>
    <w:p w:rsidR="00CF0F74" w:rsidRPr="00752EF4" w:rsidRDefault="00CF0F74" w:rsidP="00752EF4">
      <w:pPr>
        <w:autoSpaceDE w:val="0"/>
        <w:autoSpaceDN w:val="0"/>
        <w:adjustRightInd w:val="0"/>
        <w:spacing w:after="120" w:line="240" w:lineRule="auto"/>
        <w:jc w:val="center"/>
        <w:rPr>
          <w:rStyle w:val="Strong"/>
          <w:rFonts w:ascii="Times New Roman" w:hAnsi="Times New Roman" w:cs="Times New Roman"/>
          <w:sz w:val="28"/>
          <w:szCs w:val="28"/>
        </w:rPr>
      </w:pPr>
      <w:bookmarkStart w:id="2" w:name="_Toc282617327"/>
      <w:r w:rsidRPr="00752EF4">
        <w:rPr>
          <w:rStyle w:val="Strong"/>
          <w:rFonts w:ascii="Times New Roman" w:hAnsi="Times New Roman" w:cs="Times New Roman"/>
          <w:sz w:val="28"/>
          <w:szCs w:val="28"/>
        </w:rPr>
        <w:t xml:space="preserve">1.1. </w:t>
      </w:r>
      <w:r w:rsidR="008F32BD" w:rsidRPr="00752EF4">
        <w:rPr>
          <w:rStyle w:val="Strong"/>
          <w:rFonts w:ascii="Times New Roman" w:hAnsi="Times New Roman" w:cs="Times New Roman"/>
          <w:sz w:val="28"/>
          <w:szCs w:val="28"/>
        </w:rPr>
        <w:t>Pretkorupcijas politikas koordinēšana</w:t>
      </w:r>
      <w:bookmarkEnd w:id="2"/>
      <w:r w:rsidR="001809DB" w:rsidRPr="00752EF4">
        <w:rPr>
          <w:rStyle w:val="Strong"/>
          <w:rFonts w:ascii="Times New Roman" w:hAnsi="Times New Roman" w:cs="Times New Roman"/>
          <w:sz w:val="28"/>
          <w:szCs w:val="28"/>
        </w:rPr>
        <w:t>,</w:t>
      </w:r>
    </w:p>
    <w:p w:rsidR="008F32BD" w:rsidRPr="00752EF4" w:rsidRDefault="008F32BD" w:rsidP="00752EF4">
      <w:pPr>
        <w:autoSpaceDE w:val="0"/>
        <w:autoSpaceDN w:val="0"/>
        <w:adjustRightInd w:val="0"/>
        <w:spacing w:after="120" w:line="240" w:lineRule="auto"/>
        <w:jc w:val="center"/>
        <w:rPr>
          <w:rStyle w:val="Strong"/>
          <w:rFonts w:ascii="Times New Roman" w:hAnsi="Times New Roman" w:cs="Times New Roman"/>
          <w:sz w:val="28"/>
          <w:szCs w:val="28"/>
        </w:rPr>
      </w:pPr>
      <w:r w:rsidRPr="00752EF4">
        <w:rPr>
          <w:rStyle w:val="Strong"/>
          <w:rFonts w:ascii="Times New Roman" w:hAnsi="Times New Roman" w:cs="Times New Roman"/>
          <w:sz w:val="28"/>
          <w:szCs w:val="28"/>
        </w:rPr>
        <w:t>normatīvo aktu projektu izstrāde</w:t>
      </w:r>
      <w:r w:rsidR="001809DB" w:rsidRPr="00752EF4">
        <w:rPr>
          <w:rStyle w:val="Strong"/>
          <w:rFonts w:ascii="Times New Roman" w:hAnsi="Times New Roman" w:cs="Times New Roman"/>
          <w:sz w:val="28"/>
          <w:szCs w:val="28"/>
        </w:rPr>
        <w:t xml:space="preserve"> un korupcijas risku analīze </w:t>
      </w:r>
    </w:p>
    <w:p w:rsidR="002A5D00" w:rsidRDefault="002A5D00" w:rsidP="00752EF4">
      <w:pPr>
        <w:spacing w:after="0" w:line="240" w:lineRule="auto"/>
        <w:ind w:firstLine="720"/>
        <w:jc w:val="both"/>
        <w:rPr>
          <w:rFonts w:ascii="Times New Roman" w:hAnsi="Times New Roman" w:cs="Times New Roman"/>
          <w:sz w:val="28"/>
          <w:szCs w:val="28"/>
        </w:rPr>
      </w:pPr>
    </w:p>
    <w:p w:rsidR="002A5D00" w:rsidRPr="002A5D00" w:rsidRDefault="002A5D00" w:rsidP="002A5D00">
      <w:pPr>
        <w:spacing w:after="0" w:line="240" w:lineRule="auto"/>
        <w:ind w:firstLine="720"/>
        <w:jc w:val="both"/>
        <w:rPr>
          <w:rFonts w:ascii="Times New Roman" w:hAnsi="Times New Roman" w:cs="Times New Roman"/>
          <w:sz w:val="28"/>
          <w:szCs w:val="28"/>
        </w:rPr>
      </w:pPr>
      <w:r w:rsidRPr="002A5D00">
        <w:rPr>
          <w:rFonts w:ascii="Times New Roman" w:hAnsi="Times New Roman" w:cs="Times New Roman"/>
          <w:sz w:val="28"/>
          <w:szCs w:val="28"/>
        </w:rPr>
        <w:t xml:space="preserve">2015.gada 16.jūlijā ar Ministru kabineta rīkojumu Nr.393 tika apstiprinātas Korupcijas novēršanas un apkarošanas pamatnostādnes 2015.-2020.gadam. Vidējā termiņa attīstības plānošanas dokumentā izvirzītās korupcijas un krāpšanas novēršanas un apkarošanas politikas prioritātes galvenokārt ir balstītas uz labas pārvaldības, iekšējās kontroles un efektīvas cilvēkresursu vadības uzlabošanu publiskas personas institūcijās. </w:t>
      </w:r>
    </w:p>
    <w:p w:rsidR="002A5D00" w:rsidRPr="002A5D00" w:rsidRDefault="002A5D00" w:rsidP="002A5D00">
      <w:pPr>
        <w:spacing w:after="0" w:line="240" w:lineRule="auto"/>
        <w:ind w:firstLine="720"/>
        <w:jc w:val="both"/>
        <w:rPr>
          <w:rFonts w:ascii="Times New Roman" w:hAnsi="Times New Roman" w:cs="Times New Roman"/>
          <w:sz w:val="28"/>
          <w:szCs w:val="28"/>
        </w:rPr>
      </w:pPr>
      <w:r w:rsidRPr="002A5D00">
        <w:rPr>
          <w:rFonts w:ascii="Times New Roman" w:hAnsi="Times New Roman" w:cs="Times New Roman"/>
          <w:sz w:val="28"/>
          <w:szCs w:val="28"/>
        </w:rPr>
        <w:t xml:space="preserve">Pārskata periodā </w:t>
      </w:r>
      <w:r w:rsidR="000664D2">
        <w:rPr>
          <w:rFonts w:ascii="Times New Roman" w:hAnsi="Times New Roman" w:cs="Times New Roman"/>
          <w:sz w:val="28"/>
          <w:szCs w:val="28"/>
        </w:rPr>
        <w:t>turpināts</w:t>
      </w:r>
      <w:r w:rsidRPr="002A5D00">
        <w:rPr>
          <w:rFonts w:ascii="Times New Roman" w:hAnsi="Times New Roman" w:cs="Times New Roman"/>
          <w:sz w:val="28"/>
          <w:szCs w:val="28"/>
        </w:rPr>
        <w:t xml:space="preserve"> darbs pie informatīvā ziņojuma “Par iekšējās pretkorupcijas kontroles sistēmas novērtējumu publiskas personas institūcijās”. Informatīvais ziņojums atspoguļos</w:t>
      </w:r>
      <w:r w:rsidR="000664D2">
        <w:rPr>
          <w:rFonts w:ascii="Times New Roman" w:hAnsi="Times New Roman" w:cs="Times New Roman"/>
          <w:sz w:val="28"/>
          <w:szCs w:val="28"/>
        </w:rPr>
        <w:t xml:space="preserve"> apkopoto informāciju par</w:t>
      </w:r>
      <w:r w:rsidRPr="002A5D00">
        <w:rPr>
          <w:rFonts w:ascii="Times New Roman" w:hAnsi="Times New Roman" w:cs="Times New Roman"/>
          <w:sz w:val="28"/>
          <w:szCs w:val="28"/>
        </w:rPr>
        <w:t xml:space="preserve"> institūciju iekšējās pretkorupcijas kontroles sistēmas novērtējumu, balstoties uz kuru tiks sniegti priekšlikumi Ministru kabineta noteikumu projekta izstrādei par iekšējās kontroles sistēmas pamatprasībām korupcijas un interešu konflikta riska novēršanai publiskas personas institūcijās.</w:t>
      </w:r>
    </w:p>
    <w:p w:rsidR="002A5D00" w:rsidRPr="002A5D00" w:rsidRDefault="002A5D00" w:rsidP="002A5D00">
      <w:pPr>
        <w:spacing w:after="0" w:line="240" w:lineRule="auto"/>
        <w:ind w:firstLine="720"/>
        <w:jc w:val="both"/>
        <w:rPr>
          <w:rFonts w:ascii="Times New Roman" w:hAnsi="Times New Roman" w:cs="Times New Roman"/>
          <w:sz w:val="28"/>
          <w:szCs w:val="28"/>
        </w:rPr>
      </w:pPr>
      <w:r w:rsidRPr="002A5D00">
        <w:rPr>
          <w:rFonts w:ascii="Times New Roman" w:hAnsi="Times New Roman" w:cs="Times New Roman"/>
          <w:sz w:val="28"/>
          <w:szCs w:val="28"/>
        </w:rPr>
        <w:t>201</w:t>
      </w:r>
      <w:r w:rsidR="001A3428">
        <w:rPr>
          <w:rFonts w:ascii="Times New Roman" w:hAnsi="Times New Roman" w:cs="Times New Roman"/>
          <w:sz w:val="28"/>
          <w:szCs w:val="28"/>
        </w:rPr>
        <w:t>5.gada otrajā pusgadā sagatavoti 50 atzinumi</w:t>
      </w:r>
      <w:r w:rsidRPr="002A5D00">
        <w:rPr>
          <w:rFonts w:ascii="Times New Roman" w:hAnsi="Times New Roman" w:cs="Times New Roman"/>
          <w:sz w:val="28"/>
          <w:szCs w:val="28"/>
        </w:rPr>
        <w:t xml:space="preserve"> par Latvijas tiesību aktu un politikas plānošanas dokumentu projektiem nolūkā izskaust tajos korupciju un interešu konfliktu veicinošas normas, izsakot 65 iebildumus un 21 priekšlikumu, tai skaitā par: </w:t>
      </w:r>
    </w:p>
    <w:p w:rsidR="002A5D00" w:rsidRPr="001A3428" w:rsidRDefault="001A3428" w:rsidP="001A3428">
      <w:pPr>
        <w:pStyle w:val="ListParagraph"/>
        <w:numPr>
          <w:ilvl w:val="0"/>
          <w:numId w:val="33"/>
        </w:numPr>
        <w:spacing w:after="0" w:line="240" w:lineRule="auto"/>
        <w:jc w:val="both"/>
        <w:rPr>
          <w:rFonts w:ascii="Times New Roman" w:hAnsi="Times New Roman" w:cs="Times New Roman"/>
          <w:sz w:val="28"/>
          <w:szCs w:val="28"/>
        </w:rPr>
      </w:pPr>
      <w:r w:rsidRPr="001A3428">
        <w:rPr>
          <w:rFonts w:ascii="Times New Roman" w:hAnsi="Times New Roman" w:cs="Times New Roman"/>
          <w:sz w:val="28"/>
          <w:szCs w:val="28"/>
        </w:rPr>
        <w:t>noteikumu projektu “</w:t>
      </w:r>
      <w:r w:rsidR="002A5D00" w:rsidRPr="001A3428">
        <w:rPr>
          <w:rFonts w:ascii="Times New Roman" w:hAnsi="Times New Roman" w:cs="Times New Roman"/>
          <w:sz w:val="28"/>
          <w:szCs w:val="28"/>
        </w:rPr>
        <w:t>Kārtība, kādā nominē kandidātus valdes un padomes locekļu amatiem kapitālsabiedrībās, kurās valstij kā dalībniekam (akcionāram) ir tiesības izvirzīt valdes vai padomes locekļus, un valdes locekļus valsts kapitālsabiedrī</w:t>
      </w:r>
      <w:r w:rsidRPr="001A3428">
        <w:rPr>
          <w:rFonts w:ascii="Times New Roman" w:hAnsi="Times New Roman" w:cs="Times New Roman"/>
          <w:sz w:val="28"/>
          <w:szCs w:val="28"/>
        </w:rPr>
        <w:t xml:space="preserve">bās, kurās ir izveidota padome”; </w:t>
      </w:r>
    </w:p>
    <w:p w:rsidR="002A5D00" w:rsidRPr="001A3428" w:rsidRDefault="001A3428" w:rsidP="001A3428">
      <w:pPr>
        <w:pStyle w:val="ListParagraph"/>
        <w:numPr>
          <w:ilvl w:val="0"/>
          <w:numId w:val="33"/>
        </w:numPr>
        <w:spacing w:after="0" w:line="240" w:lineRule="auto"/>
        <w:jc w:val="both"/>
        <w:rPr>
          <w:rFonts w:ascii="Times New Roman" w:hAnsi="Times New Roman" w:cs="Times New Roman"/>
          <w:sz w:val="28"/>
          <w:szCs w:val="28"/>
        </w:rPr>
      </w:pPr>
      <w:r w:rsidRPr="001A3428">
        <w:rPr>
          <w:rFonts w:ascii="Times New Roman" w:hAnsi="Times New Roman" w:cs="Times New Roman"/>
          <w:sz w:val="28"/>
          <w:szCs w:val="28"/>
        </w:rPr>
        <w:t>likumprojektu “</w:t>
      </w:r>
      <w:r w:rsidR="002A5D00" w:rsidRPr="001A3428">
        <w:rPr>
          <w:rFonts w:ascii="Times New Roman" w:hAnsi="Times New Roman" w:cs="Times New Roman"/>
          <w:sz w:val="28"/>
          <w:szCs w:val="28"/>
        </w:rPr>
        <w:t>Piespiedu dalītā īpašuma tiesisko attiecību privatizētajās daudz</w:t>
      </w:r>
      <w:r w:rsidRPr="001A3428">
        <w:rPr>
          <w:rFonts w:ascii="Times New Roman" w:hAnsi="Times New Roman" w:cs="Times New Roman"/>
          <w:sz w:val="28"/>
          <w:szCs w:val="28"/>
        </w:rPr>
        <w:t>dz</w:t>
      </w:r>
      <w:r w:rsidR="002A5D00" w:rsidRPr="001A3428">
        <w:rPr>
          <w:rFonts w:ascii="Times New Roman" w:hAnsi="Times New Roman" w:cs="Times New Roman"/>
          <w:sz w:val="28"/>
          <w:szCs w:val="28"/>
        </w:rPr>
        <w:t>īvokļu mājās izbeigšana</w:t>
      </w:r>
      <w:r w:rsidRPr="001A3428">
        <w:rPr>
          <w:rFonts w:ascii="Times New Roman" w:hAnsi="Times New Roman" w:cs="Times New Roman"/>
          <w:sz w:val="28"/>
          <w:szCs w:val="28"/>
        </w:rPr>
        <w:t>s likums”</w:t>
      </w:r>
      <w:r w:rsidR="002A5D00" w:rsidRPr="001A3428">
        <w:rPr>
          <w:rFonts w:ascii="Times New Roman" w:hAnsi="Times New Roman" w:cs="Times New Roman"/>
          <w:sz w:val="28"/>
          <w:szCs w:val="28"/>
        </w:rPr>
        <w:t xml:space="preserve">; </w:t>
      </w:r>
    </w:p>
    <w:p w:rsidR="002A5D00" w:rsidRPr="001A3428" w:rsidRDefault="001A3428" w:rsidP="001A3428">
      <w:pPr>
        <w:pStyle w:val="ListParagraph"/>
        <w:numPr>
          <w:ilvl w:val="0"/>
          <w:numId w:val="33"/>
        </w:numPr>
        <w:spacing w:after="0" w:line="240" w:lineRule="auto"/>
        <w:jc w:val="both"/>
        <w:rPr>
          <w:rFonts w:ascii="Times New Roman" w:hAnsi="Times New Roman" w:cs="Times New Roman"/>
          <w:sz w:val="28"/>
          <w:szCs w:val="28"/>
        </w:rPr>
      </w:pPr>
      <w:r w:rsidRPr="001A3428">
        <w:rPr>
          <w:rFonts w:ascii="Times New Roman" w:hAnsi="Times New Roman" w:cs="Times New Roman"/>
          <w:sz w:val="28"/>
          <w:szCs w:val="28"/>
        </w:rPr>
        <w:t>rīkojuma projektu “</w:t>
      </w:r>
      <w:r w:rsidR="002A5D00" w:rsidRPr="001A3428">
        <w:rPr>
          <w:rFonts w:ascii="Times New Roman" w:hAnsi="Times New Roman" w:cs="Times New Roman"/>
          <w:sz w:val="28"/>
          <w:szCs w:val="28"/>
        </w:rPr>
        <w:t>Valsts Zāļu aģentūras reorganizācija;</w:t>
      </w:r>
    </w:p>
    <w:p w:rsidR="002A5D00" w:rsidRPr="001A3428" w:rsidRDefault="001A3428" w:rsidP="001A3428">
      <w:pPr>
        <w:pStyle w:val="ListParagraph"/>
        <w:numPr>
          <w:ilvl w:val="0"/>
          <w:numId w:val="33"/>
        </w:numPr>
        <w:spacing w:after="0" w:line="240" w:lineRule="auto"/>
        <w:jc w:val="both"/>
        <w:rPr>
          <w:rFonts w:ascii="Times New Roman" w:hAnsi="Times New Roman" w:cs="Times New Roman"/>
          <w:sz w:val="28"/>
          <w:szCs w:val="28"/>
        </w:rPr>
      </w:pPr>
      <w:r w:rsidRPr="001A3428">
        <w:rPr>
          <w:rFonts w:ascii="Times New Roman" w:hAnsi="Times New Roman" w:cs="Times New Roman"/>
          <w:sz w:val="28"/>
          <w:szCs w:val="28"/>
        </w:rPr>
        <w:t>likumprojektu “</w:t>
      </w:r>
      <w:r w:rsidR="002A5D00" w:rsidRPr="001A3428">
        <w:rPr>
          <w:rFonts w:ascii="Times New Roman" w:hAnsi="Times New Roman" w:cs="Times New Roman"/>
          <w:sz w:val="28"/>
          <w:szCs w:val="28"/>
        </w:rPr>
        <w:t>Grozījumi Aizsargjoslu likumā</w:t>
      </w:r>
      <w:r w:rsidRPr="001A3428">
        <w:rPr>
          <w:rFonts w:ascii="Times New Roman" w:hAnsi="Times New Roman" w:cs="Times New Roman"/>
          <w:sz w:val="28"/>
          <w:szCs w:val="28"/>
        </w:rPr>
        <w:t>”;</w:t>
      </w:r>
    </w:p>
    <w:p w:rsidR="002A5D00" w:rsidRPr="001A3428" w:rsidRDefault="002A5D00" w:rsidP="001A3428">
      <w:pPr>
        <w:pStyle w:val="ListParagraph"/>
        <w:numPr>
          <w:ilvl w:val="0"/>
          <w:numId w:val="33"/>
        </w:numPr>
        <w:spacing w:after="0" w:line="240" w:lineRule="auto"/>
        <w:jc w:val="both"/>
        <w:rPr>
          <w:rFonts w:ascii="Times New Roman" w:hAnsi="Times New Roman" w:cs="Times New Roman"/>
          <w:sz w:val="28"/>
          <w:szCs w:val="28"/>
        </w:rPr>
      </w:pPr>
      <w:r w:rsidRPr="001A3428">
        <w:rPr>
          <w:rFonts w:ascii="Times New Roman" w:hAnsi="Times New Roman" w:cs="Times New Roman"/>
          <w:sz w:val="28"/>
          <w:szCs w:val="28"/>
        </w:rPr>
        <w:t>noteikumu projektu "Grozījumi Ministru kabineta 2014.ga</w:t>
      </w:r>
      <w:r w:rsidR="001A3428" w:rsidRPr="001A3428">
        <w:rPr>
          <w:rFonts w:ascii="Times New Roman" w:hAnsi="Times New Roman" w:cs="Times New Roman"/>
          <w:sz w:val="28"/>
          <w:szCs w:val="28"/>
        </w:rPr>
        <w:t>da 7.oktobra noteikumos Nr.610 “</w:t>
      </w:r>
      <w:proofErr w:type="spellStart"/>
      <w:r w:rsidRPr="001A3428">
        <w:rPr>
          <w:rFonts w:ascii="Times New Roman" w:hAnsi="Times New Roman" w:cs="Times New Roman"/>
          <w:sz w:val="28"/>
          <w:szCs w:val="28"/>
        </w:rPr>
        <w:t>Būvspeciālistu</w:t>
      </w:r>
      <w:proofErr w:type="spellEnd"/>
      <w:r w:rsidRPr="001A3428">
        <w:rPr>
          <w:rFonts w:ascii="Times New Roman" w:hAnsi="Times New Roman" w:cs="Times New Roman"/>
          <w:sz w:val="28"/>
          <w:szCs w:val="28"/>
        </w:rPr>
        <w:t xml:space="preserve"> kompetences novērtēšanas un patstāvīgās</w:t>
      </w:r>
      <w:r w:rsidR="001A3428" w:rsidRPr="001A3428">
        <w:rPr>
          <w:rFonts w:ascii="Times New Roman" w:hAnsi="Times New Roman" w:cs="Times New Roman"/>
          <w:sz w:val="28"/>
          <w:szCs w:val="28"/>
        </w:rPr>
        <w:t xml:space="preserve"> prakses uzraudzības noteikumi””</w:t>
      </w:r>
      <w:r w:rsidRPr="001A3428">
        <w:rPr>
          <w:rFonts w:ascii="Times New Roman" w:hAnsi="Times New Roman" w:cs="Times New Roman"/>
          <w:sz w:val="28"/>
          <w:szCs w:val="28"/>
        </w:rPr>
        <w:t>.</w:t>
      </w:r>
    </w:p>
    <w:p w:rsidR="002A5D00" w:rsidRPr="002A5D00" w:rsidRDefault="002A5D00" w:rsidP="002A5D00">
      <w:pPr>
        <w:spacing w:after="0" w:line="240" w:lineRule="auto"/>
        <w:ind w:firstLine="720"/>
        <w:jc w:val="both"/>
        <w:rPr>
          <w:rFonts w:ascii="Times New Roman" w:hAnsi="Times New Roman" w:cs="Times New Roman"/>
          <w:sz w:val="28"/>
          <w:szCs w:val="28"/>
        </w:rPr>
      </w:pPr>
      <w:r w:rsidRPr="002A5D00">
        <w:rPr>
          <w:rFonts w:ascii="Times New Roman" w:hAnsi="Times New Roman" w:cs="Times New Roman"/>
          <w:sz w:val="28"/>
          <w:szCs w:val="28"/>
        </w:rPr>
        <w:t xml:space="preserve">Pārskata periodā </w:t>
      </w:r>
      <w:r w:rsidR="001A3428">
        <w:rPr>
          <w:rFonts w:ascii="Times New Roman" w:hAnsi="Times New Roman" w:cs="Times New Roman"/>
          <w:sz w:val="28"/>
          <w:szCs w:val="28"/>
        </w:rPr>
        <w:t>Biroja</w:t>
      </w:r>
      <w:r w:rsidRPr="002A5D00">
        <w:rPr>
          <w:rFonts w:ascii="Times New Roman" w:hAnsi="Times New Roman" w:cs="Times New Roman"/>
          <w:sz w:val="28"/>
          <w:szCs w:val="28"/>
        </w:rPr>
        <w:t xml:space="preserve"> pārstāvji aktīvi piedalījās citu institūciju rīkotajās saskaņošanas sanāksmēs, tai skaitā</w:t>
      </w:r>
      <w:r w:rsidR="001A3428">
        <w:rPr>
          <w:rFonts w:ascii="Times New Roman" w:hAnsi="Times New Roman" w:cs="Times New Roman"/>
          <w:sz w:val="28"/>
          <w:szCs w:val="28"/>
        </w:rPr>
        <w:t xml:space="preserve"> par</w:t>
      </w:r>
      <w:r w:rsidRPr="002A5D00">
        <w:rPr>
          <w:rFonts w:ascii="Times New Roman" w:hAnsi="Times New Roman" w:cs="Times New Roman"/>
          <w:sz w:val="28"/>
          <w:szCs w:val="28"/>
        </w:rPr>
        <w:t xml:space="preserve">: </w:t>
      </w:r>
    </w:p>
    <w:p w:rsidR="002A5D00" w:rsidRPr="001A3428" w:rsidRDefault="002A5D00" w:rsidP="001A3428">
      <w:pPr>
        <w:pStyle w:val="ListParagraph"/>
        <w:numPr>
          <w:ilvl w:val="0"/>
          <w:numId w:val="35"/>
        </w:numPr>
        <w:spacing w:after="0" w:line="240" w:lineRule="auto"/>
        <w:jc w:val="both"/>
        <w:rPr>
          <w:rFonts w:ascii="Times New Roman" w:hAnsi="Times New Roman" w:cs="Times New Roman"/>
          <w:sz w:val="28"/>
          <w:szCs w:val="28"/>
        </w:rPr>
      </w:pPr>
      <w:r w:rsidRPr="001A3428">
        <w:rPr>
          <w:rFonts w:ascii="Times New Roman" w:hAnsi="Times New Roman" w:cs="Times New Roman"/>
          <w:sz w:val="28"/>
          <w:szCs w:val="28"/>
        </w:rPr>
        <w:t>grozījumiem Ministru kabineta 2014.ga</w:t>
      </w:r>
      <w:r w:rsidR="001A3428">
        <w:rPr>
          <w:rFonts w:ascii="Times New Roman" w:hAnsi="Times New Roman" w:cs="Times New Roman"/>
          <w:sz w:val="28"/>
          <w:szCs w:val="28"/>
        </w:rPr>
        <w:t>da 19.augusta noteikumos Nr.500 “Vispārīgie būvnoteikumi”</w:t>
      </w:r>
      <w:r w:rsidRPr="001A3428">
        <w:rPr>
          <w:rFonts w:ascii="Times New Roman" w:hAnsi="Times New Roman" w:cs="Times New Roman"/>
          <w:sz w:val="28"/>
          <w:szCs w:val="28"/>
        </w:rPr>
        <w:t xml:space="preserve">; </w:t>
      </w:r>
    </w:p>
    <w:p w:rsidR="002A5D00" w:rsidRPr="001A3428" w:rsidRDefault="002A5D00" w:rsidP="001A3428">
      <w:pPr>
        <w:pStyle w:val="ListParagraph"/>
        <w:numPr>
          <w:ilvl w:val="0"/>
          <w:numId w:val="35"/>
        </w:numPr>
        <w:spacing w:after="0" w:line="240" w:lineRule="auto"/>
        <w:jc w:val="both"/>
        <w:rPr>
          <w:rFonts w:ascii="Times New Roman" w:hAnsi="Times New Roman" w:cs="Times New Roman"/>
          <w:sz w:val="28"/>
          <w:szCs w:val="28"/>
        </w:rPr>
      </w:pPr>
      <w:r w:rsidRPr="001A3428">
        <w:rPr>
          <w:rFonts w:ascii="Times New Roman" w:hAnsi="Times New Roman" w:cs="Times New Roman"/>
          <w:sz w:val="28"/>
          <w:szCs w:val="28"/>
        </w:rPr>
        <w:t>note</w:t>
      </w:r>
      <w:r w:rsidR="001A3428">
        <w:rPr>
          <w:rFonts w:ascii="Times New Roman" w:hAnsi="Times New Roman" w:cs="Times New Roman"/>
          <w:sz w:val="28"/>
          <w:szCs w:val="28"/>
        </w:rPr>
        <w:t>ikumu projektu “</w:t>
      </w:r>
      <w:r w:rsidRPr="001A3428">
        <w:rPr>
          <w:rFonts w:ascii="Times New Roman" w:hAnsi="Times New Roman" w:cs="Times New Roman"/>
          <w:sz w:val="28"/>
          <w:szCs w:val="28"/>
        </w:rPr>
        <w:t xml:space="preserve">Konstatēto neatbilstību ziņošanas un neatbilstoši veikto izdevumu atgūšanas kārtība Eiropas Savienības struktūrfondu un Kohēzijas fondu ieviešanā 2014. </w:t>
      </w:r>
      <w:r w:rsidR="001A3428">
        <w:rPr>
          <w:rFonts w:ascii="Times New Roman" w:hAnsi="Times New Roman" w:cs="Times New Roman"/>
          <w:sz w:val="28"/>
          <w:szCs w:val="28"/>
        </w:rPr>
        <w:t>- 2020. gada plānošanas periodā”</w:t>
      </w:r>
      <w:r w:rsidRPr="001A3428">
        <w:rPr>
          <w:rFonts w:ascii="Times New Roman" w:hAnsi="Times New Roman" w:cs="Times New Roman"/>
          <w:sz w:val="28"/>
          <w:szCs w:val="28"/>
        </w:rPr>
        <w:t>;</w:t>
      </w:r>
    </w:p>
    <w:p w:rsidR="002A5D00" w:rsidRDefault="001700BB" w:rsidP="001A3428">
      <w:pPr>
        <w:pStyle w:val="ListParagraph"/>
        <w:numPr>
          <w:ilvl w:val="0"/>
          <w:numId w:val="35"/>
        </w:numPr>
        <w:spacing w:after="0" w:line="240" w:lineRule="auto"/>
        <w:jc w:val="both"/>
        <w:rPr>
          <w:rFonts w:ascii="Times New Roman" w:hAnsi="Times New Roman" w:cs="Times New Roman"/>
          <w:sz w:val="28"/>
          <w:szCs w:val="28"/>
        </w:rPr>
      </w:pPr>
      <w:r w:rsidRPr="001A3428">
        <w:rPr>
          <w:rFonts w:ascii="Times New Roman" w:hAnsi="Times New Roman" w:cs="Times New Roman"/>
          <w:sz w:val="28"/>
          <w:szCs w:val="28"/>
        </w:rPr>
        <w:t>grozījumiem Enerģētikas likumā;</w:t>
      </w:r>
    </w:p>
    <w:p w:rsidR="001A3428" w:rsidRPr="001A3428" w:rsidRDefault="001A3428" w:rsidP="001A3428">
      <w:pPr>
        <w:pStyle w:val="ListParagraph"/>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trauksmes cēlēju regulējuma izstrādi;</w:t>
      </w:r>
    </w:p>
    <w:p w:rsidR="001A3428" w:rsidRDefault="001A3428" w:rsidP="001A3428">
      <w:pPr>
        <w:pStyle w:val="ListParagraph"/>
        <w:numPr>
          <w:ilvl w:val="0"/>
          <w:numId w:val="3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grozījumiem </w:t>
      </w:r>
      <w:r w:rsidR="001700BB" w:rsidRPr="001A3428">
        <w:rPr>
          <w:rFonts w:ascii="Times New Roman" w:hAnsi="Times New Roman" w:cs="Times New Roman"/>
          <w:sz w:val="28"/>
          <w:szCs w:val="28"/>
        </w:rPr>
        <w:t>Politisko organizāciju (partiju) finansēšanas likum</w:t>
      </w:r>
      <w:r>
        <w:rPr>
          <w:rFonts w:ascii="Times New Roman" w:hAnsi="Times New Roman" w:cs="Times New Roman"/>
          <w:sz w:val="28"/>
          <w:szCs w:val="28"/>
        </w:rPr>
        <w:t>ā</w:t>
      </w:r>
      <w:r w:rsidR="001700BB" w:rsidRPr="001A3428">
        <w:rPr>
          <w:rFonts w:ascii="Times New Roman" w:hAnsi="Times New Roman" w:cs="Times New Roman"/>
          <w:sz w:val="28"/>
          <w:szCs w:val="28"/>
        </w:rPr>
        <w:t xml:space="preserve">, kuru mērķis </w:t>
      </w:r>
      <w:r>
        <w:rPr>
          <w:rFonts w:ascii="Times New Roman" w:hAnsi="Times New Roman" w:cs="Times New Roman"/>
          <w:sz w:val="28"/>
          <w:szCs w:val="28"/>
        </w:rPr>
        <w:t xml:space="preserve">ir </w:t>
      </w:r>
      <w:r w:rsidR="001700BB" w:rsidRPr="001A3428">
        <w:rPr>
          <w:rFonts w:ascii="Times New Roman" w:hAnsi="Times New Roman" w:cs="Times New Roman"/>
          <w:sz w:val="28"/>
          <w:szCs w:val="28"/>
        </w:rPr>
        <w:t xml:space="preserve">novērst individuālu fizisku personu iespējamu neatļautu </w:t>
      </w:r>
      <w:r w:rsidR="001700BB" w:rsidRPr="001A3428">
        <w:rPr>
          <w:rFonts w:ascii="Times New Roman" w:hAnsi="Times New Roman" w:cs="Times New Roman"/>
          <w:sz w:val="28"/>
          <w:szCs w:val="28"/>
        </w:rPr>
        <w:lastRenderedPageBreak/>
        <w:t>iesaistīšanos ziedošanas starpniecībā politiskajām organizācijām, atvēlot ziedojumam visus savus legāli gūtos (deklarētos) ienākumus, un nodrošināt samērīgus valsts budžeta finansējuma izmaksas politiskajām partijām pārtraukšanas vai apturēšanas noteikumus. Biroja priekšlikumi ir saistīti arī ar Politisko partiju finanšu dat</w:t>
      </w:r>
      <w:r>
        <w:rPr>
          <w:rFonts w:ascii="Times New Roman" w:hAnsi="Times New Roman" w:cs="Times New Roman"/>
          <w:sz w:val="28"/>
          <w:szCs w:val="28"/>
        </w:rPr>
        <w:t>u bāzes modernizācijas iespējām.</w:t>
      </w:r>
    </w:p>
    <w:p w:rsidR="002A5D00" w:rsidRPr="001A3428" w:rsidRDefault="001A3428" w:rsidP="00A04F4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Biroja pārstāvji </w:t>
      </w:r>
      <w:r w:rsidR="002A5D00" w:rsidRPr="001A3428">
        <w:rPr>
          <w:rFonts w:ascii="Times New Roman" w:hAnsi="Times New Roman" w:cs="Times New Roman"/>
          <w:sz w:val="28"/>
          <w:szCs w:val="28"/>
        </w:rPr>
        <w:t xml:space="preserve">nodrošināja </w:t>
      </w:r>
      <w:r>
        <w:rPr>
          <w:rFonts w:ascii="Times New Roman" w:hAnsi="Times New Roman" w:cs="Times New Roman"/>
          <w:sz w:val="28"/>
          <w:szCs w:val="28"/>
        </w:rPr>
        <w:t xml:space="preserve">arī </w:t>
      </w:r>
      <w:r w:rsidR="002A5D00" w:rsidRPr="001A3428">
        <w:rPr>
          <w:rFonts w:ascii="Times New Roman" w:hAnsi="Times New Roman" w:cs="Times New Roman"/>
          <w:sz w:val="28"/>
          <w:szCs w:val="28"/>
        </w:rPr>
        <w:t>aktīvu dalību vairākās Saeimas komisiju sēdē</w:t>
      </w:r>
      <w:r>
        <w:rPr>
          <w:rFonts w:ascii="Times New Roman" w:hAnsi="Times New Roman" w:cs="Times New Roman"/>
          <w:sz w:val="28"/>
          <w:szCs w:val="28"/>
        </w:rPr>
        <w:t>s, piemēram, par likumprojektu “Grozījumi Konkurences likumā”</w:t>
      </w:r>
      <w:r w:rsidR="002A5D00" w:rsidRPr="001A3428">
        <w:rPr>
          <w:rFonts w:ascii="Times New Roman" w:hAnsi="Times New Roman" w:cs="Times New Roman"/>
          <w:sz w:val="28"/>
          <w:szCs w:val="28"/>
        </w:rPr>
        <w:t xml:space="preserve">, par koncepcijā </w:t>
      </w:r>
      <w:r>
        <w:rPr>
          <w:rFonts w:ascii="Times New Roman" w:hAnsi="Times New Roman" w:cs="Times New Roman"/>
          <w:sz w:val="28"/>
          <w:szCs w:val="28"/>
        </w:rPr>
        <w:t>“</w:t>
      </w:r>
      <w:r w:rsidR="002A5D00" w:rsidRPr="001A3428">
        <w:rPr>
          <w:rFonts w:ascii="Times New Roman" w:hAnsi="Times New Roman" w:cs="Times New Roman"/>
          <w:sz w:val="28"/>
          <w:szCs w:val="28"/>
        </w:rPr>
        <w:t>Par korupcijas risku samazināšanu valsts pā</w:t>
      </w:r>
      <w:r>
        <w:rPr>
          <w:rFonts w:ascii="Times New Roman" w:hAnsi="Times New Roman" w:cs="Times New Roman"/>
          <w:sz w:val="28"/>
          <w:szCs w:val="28"/>
        </w:rPr>
        <w:t xml:space="preserve">rvaldes iestādēs un pašvaldībās” </w:t>
      </w:r>
      <w:r w:rsidR="002A5D00" w:rsidRPr="001A3428">
        <w:rPr>
          <w:rFonts w:ascii="Times New Roman" w:hAnsi="Times New Roman" w:cs="Times New Roman"/>
          <w:sz w:val="28"/>
          <w:szCs w:val="28"/>
        </w:rPr>
        <w:t>ietvertā risinājuma 3.variantā minēto uzdevumu īstenošanas gaitu un par likum</w:t>
      </w:r>
      <w:r>
        <w:rPr>
          <w:rFonts w:ascii="Times New Roman" w:hAnsi="Times New Roman" w:cs="Times New Roman"/>
          <w:sz w:val="28"/>
          <w:szCs w:val="28"/>
        </w:rPr>
        <w:t>projektu “</w:t>
      </w:r>
      <w:r w:rsidR="002A5D00" w:rsidRPr="001A3428">
        <w:rPr>
          <w:rFonts w:ascii="Times New Roman" w:hAnsi="Times New Roman" w:cs="Times New Roman"/>
          <w:sz w:val="28"/>
          <w:szCs w:val="28"/>
        </w:rPr>
        <w:t>Grozījums Korupcijas novēršanas un apkarošanas biroja amat</w:t>
      </w:r>
      <w:r>
        <w:rPr>
          <w:rFonts w:ascii="Times New Roman" w:hAnsi="Times New Roman" w:cs="Times New Roman"/>
          <w:sz w:val="28"/>
          <w:szCs w:val="28"/>
        </w:rPr>
        <w:t>personu izdienas pensiju likumā”</w:t>
      </w:r>
      <w:r w:rsidR="002A5D00" w:rsidRPr="001A3428">
        <w:rPr>
          <w:rFonts w:ascii="Times New Roman" w:hAnsi="Times New Roman" w:cs="Times New Roman"/>
          <w:sz w:val="28"/>
          <w:szCs w:val="28"/>
        </w:rPr>
        <w:t>.</w:t>
      </w:r>
    </w:p>
    <w:p w:rsidR="001700BB" w:rsidRDefault="001700BB" w:rsidP="001A3428">
      <w:pPr>
        <w:spacing w:after="0" w:line="240" w:lineRule="auto"/>
        <w:ind w:firstLine="720"/>
        <w:jc w:val="both"/>
        <w:rPr>
          <w:rFonts w:ascii="Times New Roman" w:hAnsi="Times New Roman" w:cs="Times New Roman"/>
          <w:sz w:val="28"/>
          <w:szCs w:val="28"/>
        </w:rPr>
      </w:pPr>
      <w:r w:rsidRPr="001700BB">
        <w:rPr>
          <w:rFonts w:ascii="Times New Roman" w:hAnsi="Times New Roman" w:cs="Times New Roman"/>
          <w:sz w:val="28"/>
          <w:szCs w:val="28"/>
        </w:rPr>
        <w:t>Biroja darba grupas ietvaros saistībā ar Nozaru administratīvo pārkāpumu kodifikācijas ieviešanas sistēmu izstrādāti grozījumi Politisko organizāciju (partiju) finansēšanas likumā, Priekšvēlēšanu aģitācijas likumā un likumā Par tautas nobalsošanu, likumu ierosināšanu un Eiropas pilsoņu iniciatīvu</w:t>
      </w:r>
      <w:r>
        <w:rPr>
          <w:rFonts w:ascii="Times New Roman" w:hAnsi="Times New Roman" w:cs="Times New Roman"/>
          <w:sz w:val="28"/>
          <w:szCs w:val="28"/>
        </w:rPr>
        <w:t>.</w:t>
      </w:r>
    </w:p>
    <w:p w:rsidR="00F51CCB" w:rsidRPr="00F51CCB" w:rsidRDefault="00F51CCB" w:rsidP="00F51C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2015.gada </w:t>
      </w:r>
      <w:r w:rsidRPr="00F51CCB">
        <w:rPr>
          <w:rFonts w:ascii="Times New Roman" w:hAnsi="Times New Roman" w:cs="Times New Roman"/>
          <w:sz w:val="28"/>
          <w:szCs w:val="28"/>
        </w:rPr>
        <w:t xml:space="preserve">oktobrī </w:t>
      </w:r>
      <w:r>
        <w:rPr>
          <w:rFonts w:ascii="Times New Roman" w:hAnsi="Times New Roman" w:cs="Times New Roman"/>
          <w:sz w:val="28"/>
          <w:szCs w:val="28"/>
        </w:rPr>
        <w:t>Biroja priekšnieks</w:t>
      </w:r>
      <w:r w:rsidR="001D2402">
        <w:rPr>
          <w:rFonts w:ascii="Times New Roman" w:hAnsi="Times New Roman" w:cs="Times New Roman"/>
          <w:sz w:val="28"/>
          <w:szCs w:val="28"/>
        </w:rPr>
        <w:t xml:space="preserve"> </w:t>
      </w:r>
      <w:proofErr w:type="spellStart"/>
      <w:r w:rsidR="001D2402">
        <w:rPr>
          <w:rFonts w:ascii="Times New Roman" w:hAnsi="Times New Roman" w:cs="Times New Roman"/>
          <w:sz w:val="28"/>
          <w:szCs w:val="28"/>
        </w:rPr>
        <w:t>J.Streļčenoks</w:t>
      </w:r>
      <w:proofErr w:type="spellEnd"/>
      <w:r w:rsidRPr="00F51CCB">
        <w:rPr>
          <w:rFonts w:ascii="Times New Roman" w:hAnsi="Times New Roman" w:cs="Times New Roman"/>
          <w:sz w:val="28"/>
          <w:szCs w:val="28"/>
        </w:rPr>
        <w:t xml:space="preserve"> un Valsts administrāci</w:t>
      </w:r>
      <w:r>
        <w:rPr>
          <w:rFonts w:ascii="Times New Roman" w:hAnsi="Times New Roman" w:cs="Times New Roman"/>
          <w:sz w:val="28"/>
          <w:szCs w:val="28"/>
        </w:rPr>
        <w:t>jas skolas direktore E.</w:t>
      </w:r>
      <w:r w:rsidRPr="00F51CCB">
        <w:rPr>
          <w:rFonts w:ascii="Times New Roman" w:hAnsi="Times New Roman" w:cs="Times New Roman"/>
          <w:sz w:val="28"/>
          <w:szCs w:val="28"/>
        </w:rPr>
        <w:t>Kalniņa parakstīja sadarbības līgumu valsts pārvaldes iestādēs nodarbināto profesionālās pilnveides pasākumu īstenošanai labāka tiesiskā regulējuma izstrādē korupcijas novēršanas un ēnu ekonomikas mazināšanas jomās.</w:t>
      </w:r>
    </w:p>
    <w:p w:rsidR="00A924A8" w:rsidRPr="00752EF4" w:rsidRDefault="00A924A8" w:rsidP="00752EF4">
      <w:pPr>
        <w:pStyle w:val="ListParagraph"/>
        <w:numPr>
          <w:ilvl w:val="1"/>
          <w:numId w:val="21"/>
        </w:numPr>
        <w:autoSpaceDE w:val="0"/>
        <w:autoSpaceDN w:val="0"/>
        <w:adjustRightInd w:val="0"/>
        <w:spacing w:after="120" w:line="240" w:lineRule="auto"/>
        <w:jc w:val="center"/>
        <w:rPr>
          <w:rStyle w:val="Strong"/>
          <w:rFonts w:ascii="Times New Roman" w:hAnsi="Times New Roman" w:cs="Times New Roman"/>
          <w:sz w:val="28"/>
          <w:szCs w:val="28"/>
        </w:rPr>
      </w:pPr>
      <w:r w:rsidRPr="00752EF4">
        <w:rPr>
          <w:rStyle w:val="Strong"/>
          <w:rFonts w:ascii="Times New Roman" w:hAnsi="Times New Roman" w:cs="Times New Roman"/>
          <w:sz w:val="28"/>
          <w:szCs w:val="28"/>
        </w:rPr>
        <w:t>Starptautiskā sadarbība</w:t>
      </w:r>
    </w:p>
    <w:p w:rsidR="002A5D00" w:rsidRPr="002A5D00" w:rsidRDefault="002A5D00" w:rsidP="002A5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A5D00">
        <w:rPr>
          <w:rFonts w:ascii="Times New Roman" w:hAnsi="Times New Roman" w:cs="Times New Roman"/>
          <w:color w:val="000000" w:themeColor="text1"/>
          <w:sz w:val="28"/>
          <w:szCs w:val="28"/>
        </w:rPr>
        <w:t xml:space="preserve">Pārskata periodā </w:t>
      </w:r>
      <w:r w:rsidR="00546ADA">
        <w:rPr>
          <w:rFonts w:ascii="Times New Roman" w:hAnsi="Times New Roman" w:cs="Times New Roman"/>
          <w:color w:val="000000" w:themeColor="text1"/>
          <w:sz w:val="28"/>
          <w:szCs w:val="28"/>
        </w:rPr>
        <w:t>Biroja</w:t>
      </w:r>
      <w:r w:rsidRPr="002A5D00">
        <w:rPr>
          <w:rFonts w:ascii="Times New Roman" w:hAnsi="Times New Roman" w:cs="Times New Roman"/>
          <w:color w:val="000000" w:themeColor="text1"/>
          <w:sz w:val="28"/>
          <w:szCs w:val="28"/>
        </w:rPr>
        <w:t xml:space="preserve"> pārstāvji piedalījās Ekonomiskās sadarbības un attīstības organizācijas (turpmāk – OECD) </w:t>
      </w:r>
      <w:proofErr w:type="spellStart"/>
      <w:r w:rsidRPr="002A5D00">
        <w:rPr>
          <w:rFonts w:ascii="Times New Roman" w:hAnsi="Times New Roman" w:cs="Times New Roman"/>
          <w:color w:val="000000" w:themeColor="text1"/>
          <w:sz w:val="28"/>
          <w:szCs w:val="28"/>
        </w:rPr>
        <w:t>Pretkukuļošanas</w:t>
      </w:r>
      <w:proofErr w:type="spellEnd"/>
      <w:r w:rsidRPr="002A5D00">
        <w:rPr>
          <w:rFonts w:ascii="Times New Roman" w:hAnsi="Times New Roman" w:cs="Times New Roman"/>
          <w:color w:val="000000" w:themeColor="text1"/>
          <w:sz w:val="28"/>
          <w:szCs w:val="28"/>
        </w:rPr>
        <w:t xml:space="preserve"> darba grupas plenārsēdē, kurā skatīts un pieņemts ziņojums par Latviju, kā arī sanāksmē ar OECD Juridiskā dienesta vadītāju par pievienošanās procesa attīstību. </w:t>
      </w:r>
    </w:p>
    <w:p w:rsidR="002A5D00" w:rsidRPr="002A5D00" w:rsidRDefault="002A5D00" w:rsidP="002A5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A5D00">
        <w:rPr>
          <w:rFonts w:ascii="Times New Roman" w:hAnsi="Times New Roman" w:cs="Times New Roman"/>
          <w:color w:val="000000" w:themeColor="text1"/>
          <w:sz w:val="28"/>
          <w:szCs w:val="28"/>
        </w:rPr>
        <w:t xml:space="preserve">2015.gada otrajā pusgadā sagatavota informācija Ārlietu ministrijas informatīvajam ziņojumam par pievienošanos OECD procesa gaitu, sniegta informācija Ekonomikas ministrijai par OECD rekomendāciju izpildi saistībā ar interešu konflikta novēršanu un Tieslietu ministrijai par OECD </w:t>
      </w:r>
      <w:proofErr w:type="spellStart"/>
      <w:r w:rsidRPr="002A5D00">
        <w:rPr>
          <w:rFonts w:ascii="Times New Roman" w:hAnsi="Times New Roman" w:cs="Times New Roman"/>
          <w:color w:val="000000" w:themeColor="text1"/>
          <w:sz w:val="28"/>
          <w:szCs w:val="28"/>
        </w:rPr>
        <w:t>Pretkukuļošanas</w:t>
      </w:r>
      <w:proofErr w:type="spellEnd"/>
      <w:r w:rsidRPr="002A5D00">
        <w:rPr>
          <w:rFonts w:ascii="Times New Roman" w:hAnsi="Times New Roman" w:cs="Times New Roman"/>
          <w:color w:val="000000" w:themeColor="text1"/>
          <w:sz w:val="28"/>
          <w:szCs w:val="28"/>
        </w:rPr>
        <w:t xml:space="preserve"> darba grupas rekomendāciju izpildes progresu un nosacījumu izpildes gaitu pievienošanās procesā.</w:t>
      </w:r>
    </w:p>
    <w:p w:rsidR="002A5D00" w:rsidRPr="001D2402" w:rsidRDefault="002A5D00" w:rsidP="002A5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A5D00">
        <w:rPr>
          <w:rFonts w:ascii="Times New Roman" w:hAnsi="Times New Roman" w:cs="Times New Roman"/>
          <w:color w:val="000000" w:themeColor="text1"/>
          <w:sz w:val="28"/>
          <w:szCs w:val="28"/>
        </w:rPr>
        <w:t xml:space="preserve">Sagatavots progresa ziņojums Eiropas Padomes Starpvalstu pretkorupcijas grupai (turpmāk – GRECO) par IV kārtas rekomendāciju izpildi par korupcijas novēršanu parlamentā, tiesu varā un prokuratūrā, kā arī sniegta informācija </w:t>
      </w:r>
      <w:r w:rsidRPr="001D2402">
        <w:rPr>
          <w:rFonts w:ascii="Times New Roman" w:hAnsi="Times New Roman" w:cs="Times New Roman"/>
          <w:color w:val="000000" w:themeColor="text1"/>
          <w:sz w:val="28"/>
          <w:szCs w:val="28"/>
        </w:rPr>
        <w:t>Slovēnijas delegācijai GRECO par amatpersonu deklarēšanos.</w:t>
      </w:r>
    </w:p>
    <w:p w:rsidR="002A5D00" w:rsidRPr="002A5D00" w:rsidRDefault="001D2402" w:rsidP="002A5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D2402">
        <w:rPr>
          <w:rFonts w:ascii="Times New Roman" w:hAnsi="Times New Roman" w:cs="Times New Roman"/>
          <w:color w:val="000000" w:themeColor="text1"/>
          <w:sz w:val="28"/>
          <w:szCs w:val="28"/>
        </w:rPr>
        <w:t xml:space="preserve">Regulāri ir sagatavota un nosūtīta informācija ārvalstu institūcijām, tai skaitā Lietuvas Speciālajam izmeklēšanas dienestam, Ungārijas Iekšlietu ministrijai un </w:t>
      </w:r>
      <w:r w:rsidR="002A5D00" w:rsidRPr="001D2402">
        <w:rPr>
          <w:rFonts w:ascii="Times New Roman" w:hAnsi="Times New Roman" w:cs="Times New Roman"/>
          <w:color w:val="000000" w:themeColor="text1"/>
          <w:sz w:val="28"/>
          <w:szCs w:val="28"/>
        </w:rPr>
        <w:t>Rumānijas Pretkorupcijas direktorātam.</w:t>
      </w:r>
    </w:p>
    <w:p w:rsidR="00960C7A" w:rsidRDefault="002A5D00" w:rsidP="002A5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A5D00">
        <w:rPr>
          <w:rFonts w:ascii="Times New Roman" w:hAnsi="Times New Roman" w:cs="Times New Roman"/>
          <w:color w:val="000000" w:themeColor="text1"/>
          <w:sz w:val="28"/>
          <w:szCs w:val="28"/>
        </w:rPr>
        <w:t xml:space="preserve">Pārskata periodā </w:t>
      </w:r>
      <w:r w:rsidR="00960C7A">
        <w:rPr>
          <w:rFonts w:ascii="Times New Roman" w:hAnsi="Times New Roman" w:cs="Times New Roman"/>
          <w:color w:val="000000" w:themeColor="text1"/>
          <w:sz w:val="28"/>
          <w:szCs w:val="28"/>
        </w:rPr>
        <w:t xml:space="preserve">ir </w:t>
      </w:r>
      <w:r w:rsidRPr="002A5D00">
        <w:rPr>
          <w:rFonts w:ascii="Times New Roman" w:hAnsi="Times New Roman" w:cs="Times New Roman"/>
          <w:color w:val="000000" w:themeColor="text1"/>
          <w:sz w:val="28"/>
          <w:szCs w:val="28"/>
        </w:rPr>
        <w:t>sagatavot</w:t>
      </w:r>
      <w:r w:rsidR="00960C7A">
        <w:rPr>
          <w:rFonts w:ascii="Times New Roman" w:hAnsi="Times New Roman" w:cs="Times New Roman"/>
          <w:color w:val="000000" w:themeColor="text1"/>
          <w:sz w:val="28"/>
          <w:szCs w:val="28"/>
        </w:rPr>
        <w:t>i divi</w:t>
      </w:r>
      <w:r w:rsidRPr="002A5D00">
        <w:rPr>
          <w:rFonts w:ascii="Times New Roman" w:hAnsi="Times New Roman" w:cs="Times New Roman"/>
          <w:color w:val="000000" w:themeColor="text1"/>
          <w:sz w:val="28"/>
          <w:szCs w:val="28"/>
        </w:rPr>
        <w:t xml:space="preserve"> projekta pieteikum</w:t>
      </w:r>
      <w:r w:rsidR="00960C7A">
        <w:rPr>
          <w:rFonts w:ascii="Times New Roman" w:hAnsi="Times New Roman" w:cs="Times New Roman"/>
          <w:color w:val="000000" w:themeColor="text1"/>
          <w:sz w:val="28"/>
          <w:szCs w:val="28"/>
        </w:rPr>
        <w:t>i</w:t>
      </w:r>
      <w:r w:rsidRPr="002A5D00">
        <w:rPr>
          <w:rFonts w:ascii="Times New Roman" w:hAnsi="Times New Roman" w:cs="Times New Roman"/>
          <w:color w:val="000000" w:themeColor="text1"/>
          <w:sz w:val="28"/>
          <w:szCs w:val="28"/>
        </w:rPr>
        <w:t xml:space="preserve"> Eiropas Biroja krāpšanas apkarošanai izsludinātajā </w:t>
      </w:r>
      <w:proofErr w:type="spellStart"/>
      <w:r w:rsidR="00960C7A">
        <w:rPr>
          <w:rFonts w:ascii="Times New Roman" w:hAnsi="Times New Roman" w:cs="Times New Roman"/>
          <w:color w:val="000000" w:themeColor="text1"/>
          <w:sz w:val="28"/>
          <w:szCs w:val="28"/>
        </w:rPr>
        <w:t>Hercule</w:t>
      </w:r>
      <w:proofErr w:type="spellEnd"/>
      <w:r w:rsidR="00960C7A">
        <w:rPr>
          <w:rFonts w:ascii="Times New Roman" w:hAnsi="Times New Roman" w:cs="Times New Roman"/>
          <w:color w:val="000000" w:themeColor="text1"/>
          <w:sz w:val="28"/>
          <w:szCs w:val="28"/>
        </w:rPr>
        <w:t xml:space="preserve"> III </w:t>
      </w:r>
      <w:proofErr w:type="spellStart"/>
      <w:r w:rsidR="00960C7A">
        <w:rPr>
          <w:rFonts w:ascii="Times New Roman" w:hAnsi="Times New Roman" w:cs="Times New Roman"/>
          <w:color w:val="000000" w:themeColor="text1"/>
          <w:sz w:val="28"/>
          <w:szCs w:val="28"/>
        </w:rPr>
        <w:t>grantu</w:t>
      </w:r>
      <w:proofErr w:type="spellEnd"/>
      <w:r w:rsidR="00960C7A">
        <w:rPr>
          <w:rFonts w:ascii="Times New Roman" w:hAnsi="Times New Roman" w:cs="Times New Roman"/>
          <w:color w:val="000000" w:themeColor="text1"/>
          <w:sz w:val="28"/>
          <w:szCs w:val="28"/>
        </w:rPr>
        <w:t xml:space="preserve"> programmā – viens par Biroja tehniskās kapacitātes uzlabošanu, savukārt otrs par Biroja darbinieku prasmju pilnveidošanu. </w:t>
      </w:r>
    </w:p>
    <w:p w:rsidR="00960C7A" w:rsidRPr="00F51CCB" w:rsidRDefault="002503A3" w:rsidP="002503A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Pārskata periodā turpināta</w:t>
      </w:r>
      <w:r w:rsidRPr="002503A3">
        <w:rPr>
          <w:rFonts w:ascii="Times New Roman" w:hAnsi="Times New Roman" w:cs="Times New Roman"/>
          <w:color w:val="000000" w:themeColor="text1"/>
          <w:sz w:val="28"/>
          <w:szCs w:val="28"/>
        </w:rPr>
        <w:t xml:space="preserve"> sadarbības līgumā ar Igaunijas Tieslietu ministriju paredzētā projekta „Korupcijas mazināšana: koncentrējoties uz </w:t>
      </w:r>
      <w:r w:rsidRPr="002503A3">
        <w:rPr>
          <w:rFonts w:ascii="Times New Roman" w:hAnsi="Times New Roman" w:cs="Times New Roman"/>
          <w:color w:val="000000" w:themeColor="text1"/>
          <w:sz w:val="28"/>
          <w:szCs w:val="28"/>
        </w:rPr>
        <w:lastRenderedPageBreak/>
        <w:t>korupcijas apkarošanu privātajā sektorā” īstenošana, kas tiek veikta sadarbībā ar Igaunijas, Dānijas</w:t>
      </w:r>
      <w:r>
        <w:rPr>
          <w:rFonts w:ascii="Times New Roman" w:hAnsi="Times New Roman" w:cs="Times New Roman"/>
          <w:color w:val="000000" w:themeColor="text1"/>
          <w:sz w:val="28"/>
          <w:szCs w:val="28"/>
        </w:rPr>
        <w:t xml:space="preserve"> un Spānijas </w:t>
      </w:r>
      <w:proofErr w:type="spellStart"/>
      <w:r>
        <w:rPr>
          <w:rFonts w:ascii="Times New Roman" w:hAnsi="Times New Roman" w:cs="Times New Roman"/>
          <w:color w:val="000000" w:themeColor="text1"/>
          <w:sz w:val="28"/>
          <w:szCs w:val="28"/>
        </w:rPr>
        <w:t>partnerdienestiem</w:t>
      </w:r>
      <w:proofErr w:type="spellEnd"/>
      <w:r>
        <w:rPr>
          <w:rFonts w:ascii="Times New Roman" w:hAnsi="Times New Roman" w:cs="Times New Roman"/>
          <w:color w:val="000000" w:themeColor="text1"/>
          <w:sz w:val="28"/>
          <w:szCs w:val="28"/>
        </w:rPr>
        <w:t>.</w:t>
      </w:r>
    </w:p>
    <w:p w:rsidR="00F51CCB" w:rsidRDefault="00F51CCB" w:rsidP="00F51C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F51CCB">
        <w:rPr>
          <w:rFonts w:ascii="Times New Roman" w:hAnsi="Times New Roman" w:cs="Times New Roman"/>
          <w:color w:val="000000" w:themeColor="text1"/>
          <w:sz w:val="28"/>
          <w:szCs w:val="28"/>
        </w:rPr>
        <w:t xml:space="preserve">2015.gada decembrī </w:t>
      </w:r>
      <w:r w:rsidR="001D2402">
        <w:rPr>
          <w:rFonts w:ascii="Times New Roman" w:hAnsi="Times New Roman" w:cs="Times New Roman"/>
          <w:color w:val="000000" w:themeColor="text1"/>
          <w:sz w:val="28"/>
          <w:szCs w:val="28"/>
        </w:rPr>
        <w:t>tika parakstīts</w:t>
      </w:r>
      <w:r w:rsidRPr="00F51CCB">
        <w:rPr>
          <w:rFonts w:ascii="Times New Roman" w:hAnsi="Times New Roman" w:cs="Times New Roman"/>
          <w:color w:val="000000" w:themeColor="text1"/>
          <w:sz w:val="28"/>
          <w:szCs w:val="28"/>
        </w:rPr>
        <w:t xml:space="preserve"> sadarbības līgumu ar</w:t>
      </w:r>
      <w:r w:rsidR="001D2402">
        <w:rPr>
          <w:rFonts w:ascii="Times New Roman" w:hAnsi="Times New Roman" w:cs="Times New Roman"/>
          <w:color w:val="000000" w:themeColor="text1"/>
          <w:sz w:val="28"/>
          <w:szCs w:val="28"/>
        </w:rPr>
        <w:t xml:space="preserve"> Moldovas Republikas Nacionālo p</w:t>
      </w:r>
      <w:r w:rsidRPr="00F51CCB">
        <w:rPr>
          <w:rFonts w:ascii="Times New Roman" w:hAnsi="Times New Roman" w:cs="Times New Roman"/>
          <w:color w:val="000000" w:themeColor="text1"/>
          <w:sz w:val="28"/>
          <w:szCs w:val="28"/>
        </w:rPr>
        <w:t xml:space="preserve">retkorupcijas centru </w:t>
      </w:r>
      <w:r w:rsidRPr="00F51CCB">
        <w:rPr>
          <w:rFonts w:ascii="Times New Roman" w:eastAsia="Times New Roman" w:hAnsi="Times New Roman" w:cs="Times New Roman"/>
          <w:sz w:val="28"/>
          <w:szCs w:val="28"/>
          <w:lang w:eastAsia="lv-LV"/>
        </w:rPr>
        <w:t>par informācijas un pieredzes apmaiņu korupcijas novēršanā.</w:t>
      </w:r>
      <w:r w:rsidRPr="00F51CCB">
        <w:rPr>
          <w:rFonts w:ascii="Times New Roman" w:hAnsi="Times New Roman" w:cs="Times New Roman"/>
          <w:color w:val="000000" w:themeColor="text1"/>
          <w:sz w:val="28"/>
          <w:szCs w:val="28"/>
        </w:rPr>
        <w:t xml:space="preserve"> L</w:t>
      </w:r>
      <w:r w:rsidRPr="00F51CCB">
        <w:rPr>
          <w:rFonts w:ascii="Times New Roman" w:eastAsia="Times New Roman" w:hAnsi="Times New Roman" w:cs="Times New Roman"/>
          <w:sz w:val="28"/>
          <w:szCs w:val="28"/>
          <w:lang w:eastAsia="lv-LV"/>
        </w:rPr>
        <w:t>īguma mērķis ir panākt ciešāku sadarbību informācijas un pieredzes apmaiņā starp abām valstīm korupcijas novēršanā</w:t>
      </w:r>
      <w:r w:rsidR="001D2402">
        <w:rPr>
          <w:rFonts w:ascii="Times New Roman" w:eastAsia="Times New Roman" w:hAnsi="Times New Roman" w:cs="Times New Roman"/>
          <w:sz w:val="28"/>
          <w:szCs w:val="28"/>
          <w:lang w:eastAsia="lv-LV"/>
        </w:rPr>
        <w:t>.</w:t>
      </w:r>
    </w:p>
    <w:p w:rsidR="00960C7A" w:rsidRPr="00F51CCB" w:rsidRDefault="00960C7A" w:rsidP="00F51CC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lv-LV"/>
        </w:rPr>
        <w:t xml:space="preserve">2015.gada otrajā pusē </w:t>
      </w:r>
      <w:r w:rsidR="000664D2">
        <w:rPr>
          <w:rFonts w:ascii="Times New Roman" w:eastAsia="Times New Roman" w:hAnsi="Times New Roman" w:cs="Times New Roman"/>
          <w:sz w:val="28"/>
          <w:szCs w:val="28"/>
          <w:lang w:eastAsia="lv-LV"/>
        </w:rPr>
        <w:t>tika organizētas</w:t>
      </w:r>
      <w:r>
        <w:rPr>
          <w:rFonts w:ascii="Times New Roman" w:eastAsia="Times New Roman" w:hAnsi="Times New Roman" w:cs="Times New Roman"/>
          <w:sz w:val="28"/>
          <w:szCs w:val="28"/>
          <w:lang w:eastAsia="lv-LV"/>
        </w:rPr>
        <w:t xml:space="preserve"> trīs (Ukrainas, ASV un Jordānijas) ārvalstu viesu delegāciju </w:t>
      </w:r>
      <w:r w:rsidR="000664D2">
        <w:rPr>
          <w:rFonts w:ascii="Times New Roman" w:eastAsia="Times New Roman" w:hAnsi="Times New Roman" w:cs="Times New Roman"/>
          <w:sz w:val="28"/>
          <w:szCs w:val="28"/>
          <w:lang w:eastAsia="lv-LV"/>
        </w:rPr>
        <w:t>vizītes Birojā</w:t>
      </w:r>
      <w:r>
        <w:rPr>
          <w:rFonts w:ascii="Times New Roman" w:eastAsia="Times New Roman" w:hAnsi="Times New Roman" w:cs="Times New Roman"/>
          <w:sz w:val="28"/>
          <w:szCs w:val="28"/>
          <w:lang w:eastAsia="lv-LV"/>
        </w:rPr>
        <w:t xml:space="preserve">, lai </w:t>
      </w:r>
      <w:r w:rsidR="001D2402">
        <w:rPr>
          <w:rFonts w:ascii="Times New Roman" w:eastAsia="Times New Roman" w:hAnsi="Times New Roman" w:cs="Times New Roman"/>
          <w:sz w:val="28"/>
          <w:szCs w:val="28"/>
          <w:lang w:eastAsia="lv-LV"/>
        </w:rPr>
        <w:t>iepazīstinātu ar</w:t>
      </w:r>
      <w:r>
        <w:rPr>
          <w:rFonts w:ascii="Times New Roman" w:eastAsia="Times New Roman" w:hAnsi="Times New Roman" w:cs="Times New Roman"/>
          <w:sz w:val="28"/>
          <w:szCs w:val="28"/>
          <w:lang w:eastAsia="lv-LV"/>
        </w:rPr>
        <w:t xml:space="preserve"> </w:t>
      </w:r>
      <w:r w:rsidRPr="00960C7A">
        <w:rPr>
          <w:rFonts w:ascii="Times New Roman" w:eastAsia="Times New Roman" w:hAnsi="Times New Roman" w:cs="Times New Roman"/>
          <w:sz w:val="28"/>
          <w:szCs w:val="28"/>
          <w:lang w:eastAsia="lv-LV"/>
        </w:rPr>
        <w:t>pieredzi pretkorupcijas politikas plānošanā, valsts amatpersonu izglītošanā un sabiedrības informēšanā, valsts amatpersonu darbības kontrolē un interešu konfliktu novēršanā, kā arī koruptīvu noziedzīgu nodarījumu izmeklēšanā.</w:t>
      </w:r>
    </w:p>
    <w:p w:rsidR="00F51CCB" w:rsidRDefault="005C72CE" w:rsidP="00F51CC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51CCB">
        <w:rPr>
          <w:rFonts w:ascii="Times New Roman" w:hAnsi="Times New Roman" w:cs="Times New Roman"/>
          <w:color w:val="000000" w:themeColor="text1"/>
          <w:sz w:val="28"/>
          <w:szCs w:val="28"/>
        </w:rPr>
        <w:t>Pārskata periodā Birojs uzsāka OECD Konvencijas rekomendāciju</w:t>
      </w:r>
      <w:r w:rsidRPr="005C72CE">
        <w:rPr>
          <w:rFonts w:ascii="Times New Roman" w:hAnsi="Times New Roman" w:cs="Times New Roman"/>
          <w:color w:val="000000" w:themeColor="text1"/>
          <w:sz w:val="28"/>
          <w:szCs w:val="28"/>
        </w:rPr>
        <w:t xml:space="preserve"> ieviešanu, izglītojot par ārvalstu amatpersonu kukuļošanas apkarošanu star</w:t>
      </w:r>
      <w:r w:rsidR="000664D2">
        <w:rPr>
          <w:rFonts w:ascii="Times New Roman" w:hAnsi="Times New Roman" w:cs="Times New Roman"/>
          <w:color w:val="000000" w:themeColor="text1"/>
          <w:sz w:val="28"/>
          <w:szCs w:val="28"/>
        </w:rPr>
        <w:t>ptautiskajos biznesa darījumos</w:t>
      </w:r>
      <w:r w:rsidRPr="005C72CE">
        <w:rPr>
          <w:rFonts w:ascii="Times New Roman" w:hAnsi="Times New Roman" w:cs="Times New Roman"/>
          <w:color w:val="000000" w:themeColor="text1"/>
          <w:sz w:val="28"/>
          <w:szCs w:val="28"/>
        </w:rPr>
        <w:t>, OECD Konvencijas 2009.gada rekomendācijām, iekšējās kontroles lomu un korupcijas risku vadību mazā</w:t>
      </w:r>
      <w:r w:rsidR="000664D2">
        <w:rPr>
          <w:rFonts w:ascii="Times New Roman" w:hAnsi="Times New Roman" w:cs="Times New Roman"/>
          <w:color w:val="000000" w:themeColor="text1"/>
          <w:sz w:val="28"/>
          <w:szCs w:val="28"/>
        </w:rPr>
        <w:t xml:space="preserve"> un vidējā</w:t>
      </w:r>
      <w:r w:rsidRPr="005C72CE">
        <w:rPr>
          <w:rFonts w:ascii="Times New Roman" w:hAnsi="Times New Roman" w:cs="Times New Roman"/>
          <w:color w:val="000000" w:themeColor="text1"/>
          <w:sz w:val="28"/>
          <w:szCs w:val="28"/>
        </w:rPr>
        <w:t xml:space="preserve"> uzņēmumā, juridiskās personas atbildības jautājumiem, OECD Konvencijas ieviešanu un koruptīvu līdzekļu legalizācijas tipoloģiju, grozījumiem Krimināllikumā un Kriminālprocesa likumā</w:t>
      </w:r>
      <w:r w:rsidR="001D2402">
        <w:rPr>
          <w:rFonts w:ascii="Times New Roman" w:hAnsi="Times New Roman" w:cs="Times New Roman"/>
          <w:color w:val="000000" w:themeColor="text1"/>
          <w:sz w:val="28"/>
          <w:szCs w:val="28"/>
        </w:rPr>
        <w:t>.</w:t>
      </w:r>
    </w:p>
    <w:p w:rsidR="009B3ED5" w:rsidRDefault="009B3ED5" w:rsidP="009B3ED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Izpildot vienu no </w:t>
      </w:r>
      <w:r w:rsidRPr="009B3ED5">
        <w:rPr>
          <w:rFonts w:ascii="Times New Roman" w:hAnsi="Times New Roman" w:cs="Times New Roman"/>
          <w:color w:val="000000" w:themeColor="text1"/>
          <w:sz w:val="28"/>
          <w:szCs w:val="28"/>
        </w:rPr>
        <w:t xml:space="preserve">OECD </w:t>
      </w:r>
      <w:proofErr w:type="spellStart"/>
      <w:r w:rsidRPr="009B3ED5">
        <w:rPr>
          <w:rFonts w:ascii="Times New Roman" w:hAnsi="Times New Roman" w:cs="Times New Roman"/>
          <w:color w:val="000000" w:themeColor="text1"/>
          <w:sz w:val="28"/>
          <w:szCs w:val="28"/>
        </w:rPr>
        <w:t>Pretkukuļošanas</w:t>
      </w:r>
      <w:proofErr w:type="spellEnd"/>
      <w:r w:rsidRPr="009B3ED5">
        <w:rPr>
          <w:rFonts w:ascii="Times New Roman" w:hAnsi="Times New Roman" w:cs="Times New Roman"/>
          <w:color w:val="000000" w:themeColor="text1"/>
          <w:sz w:val="28"/>
          <w:szCs w:val="28"/>
        </w:rPr>
        <w:t xml:space="preserve"> darba grupas </w:t>
      </w:r>
      <w:r>
        <w:rPr>
          <w:rFonts w:ascii="Times New Roman" w:hAnsi="Times New Roman" w:cs="Times New Roman"/>
          <w:color w:val="000000" w:themeColor="text1"/>
          <w:sz w:val="28"/>
          <w:szCs w:val="28"/>
        </w:rPr>
        <w:t xml:space="preserve">otrās </w:t>
      </w:r>
      <w:r w:rsidRPr="009B3ED5">
        <w:rPr>
          <w:rFonts w:ascii="Times New Roman" w:hAnsi="Times New Roman" w:cs="Times New Roman"/>
          <w:color w:val="000000" w:themeColor="text1"/>
          <w:sz w:val="28"/>
          <w:szCs w:val="28"/>
        </w:rPr>
        <w:t>fāzes novērtējuma ziņojumā</w:t>
      </w:r>
      <w:r>
        <w:rPr>
          <w:rFonts w:ascii="Times New Roman" w:hAnsi="Times New Roman" w:cs="Times New Roman"/>
          <w:color w:val="000000" w:themeColor="text1"/>
          <w:sz w:val="28"/>
          <w:szCs w:val="28"/>
        </w:rPr>
        <w:t xml:space="preserve"> iekļautajām rekomendācijām</w:t>
      </w:r>
      <w:r w:rsidRPr="009B3ED5">
        <w:rPr>
          <w:rFonts w:ascii="Times New Roman" w:hAnsi="Times New Roman" w:cs="Times New Roman"/>
          <w:color w:val="000000" w:themeColor="text1"/>
          <w:sz w:val="28"/>
          <w:szCs w:val="28"/>
        </w:rPr>
        <w:t xml:space="preserve"> saistībā ar grāmatvedības, ārējā audita un iekšējo kontroli </w:t>
      </w:r>
      <w:r w:rsidR="001D2402">
        <w:rPr>
          <w:rFonts w:ascii="Times New Roman" w:hAnsi="Times New Roman" w:cs="Times New Roman"/>
          <w:color w:val="000000" w:themeColor="text1"/>
          <w:sz w:val="28"/>
          <w:szCs w:val="28"/>
        </w:rPr>
        <w:t xml:space="preserve">uzņēmumos, kā arī, </w:t>
      </w:r>
      <w:r>
        <w:rPr>
          <w:rFonts w:ascii="Times New Roman" w:hAnsi="Times New Roman" w:cs="Times New Roman"/>
          <w:color w:val="000000" w:themeColor="text1"/>
          <w:sz w:val="28"/>
          <w:szCs w:val="28"/>
        </w:rPr>
        <w:t>atzīmējot Starptautisko</w:t>
      </w:r>
      <w:r w:rsidRPr="009B3ED5">
        <w:rPr>
          <w:rFonts w:ascii="Times New Roman" w:hAnsi="Times New Roman" w:cs="Times New Roman"/>
          <w:color w:val="000000" w:themeColor="text1"/>
          <w:sz w:val="28"/>
          <w:szCs w:val="28"/>
        </w:rPr>
        <w:t xml:space="preserve"> pretkorupcijas dien</w:t>
      </w:r>
      <w:r>
        <w:rPr>
          <w:rFonts w:ascii="Times New Roman" w:hAnsi="Times New Roman" w:cs="Times New Roman"/>
          <w:color w:val="000000" w:themeColor="text1"/>
          <w:sz w:val="28"/>
          <w:szCs w:val="28"/>
        </w:rPr>
        <w:t>u, Birojs</w:t>
      </w:r>
      <w:r w:rsidRPr="009B3ED5">
        <w:rPr>
          <w:rFonts w:ascii="Times New Roman" w:hAnsi="Times New Roman" w:cs="Times New Roman"/>
          <w:color w:val="000000" w:themeColor="text1"/>
          <w:sz w:val="28"/>
          <w:szCs w:val="28"/>
        </w:rPr>
        <w:t xml:space="preserve"> rīkoja diskusiju par iekšējās kontroles mehānismiem uzņēmumos, lai veicinātu godprātīgu uzņēmējdarbības vidi Latvijā. Diskusijā piedalījās </w:t>
      </w:r>
      <w:r>
        <w:rPr>
          <w:rFonts w:ascii="Times New Roman" w:hAnsi="Times New Roman" w:cs="Times New Roman"/>
          <w:color w:val="000000" w:themeColor="text1"/>
          <w:sz w:val="28"/>
          <w:szCs w:val="28"/>
        </w:rPr>
        <w:t>vairāk nekā 50 pārstāvji</w:t>
      </w:r>
      <w:r w:rsidRPr="009B3ED5">
        <w:rPr>
          <w:rFonts w:ascii="Times New Roman" w:hAnsi="Times New Roman" w:cs="Times New Roman"/>
          <w:color w:val="000000" w:themeColor="text1"/>
          <w:sz w:val="28"/>
          <w:szCs w:val="28"/>
        </w:rPr>
        <w:t xml:space="preserve"> no uzņēmējus apvienojošām organizācijām, pašvaldību un valsts kapitālsabiedrībām, valsts institūcijām, kā arī privātajiem uzņēmumiem. Pasākuma laikā </w:t>
      </w:r>
      <w:r w:rsidR="001D2402">
        <w:rPr>
          <w:rFonts w:ascii="Times New Roman" w:hAnsi="Times New Roman" w:cs="Times New Roman"/>
          <w:color w:val="000000" w:themeColor="text1"/>
          <w:sz w:val="28"/>
          <w:szCs w:val="28"/>
        </w:rPr>
        <w:t>Birojs</w:t>
      </w:r>
      <w:r w:rsidRPr="009B3ED5">
        <w:rPr>
          <w:rFonts w:ascii="Times New Roman" w:hAnsi="Times New Roman" w:cs="Times New Roman"/>
          <w:color w:val="000000" w:themeColor="text1"/>
          <w:sz w:val="28"/>
          <w:szCs w:val="28"/>
        </w:rPr>
        <w:t xml:space="preserve"> informēja par plānu izstrādāt regulējumu, nosakot iekšējās kontroles pamatprasības, lai novērstu korupcijas un interešu konflikta riskus publiskas personas institūcijās, tādējādi attiecinot regulējumu uz valsts un pašvaldību kapitālsabiedrībām. Mērķis ir panākt tādas iekšējās kontroles sistēmas ieviešanu, kas maksimāli ierobežotu korupcijas rašanos un finanšu līdzekļu izkrāpšanas iespējas, vienlaikus valsts un pašvaldību kapitālsabiedrību pārvaldībai jākļūst par labās prakses piemēru šīs sistēmas ieviešanā.</w:t>
      </w:r>
      <w:r>
        <w:rPr>
          <w:rFonts w:ascii="Times New Roman" w:hAnsi="Times New Roman" w:cs="Times New Roman"/>
          <w:color w:val="000000" w:themeColor="text1"/>
          <w:sz w:val="28"/>
          <w:szCs w:val="28"/>
        </w:rPr>
        <w:t xml:space="preserve"> </w:t>
      </w:r>
    </w:p>
    <w:p w:rsidR="009B3ED5" w:rsidRDefault="00960C7A" w:rsidP="002A5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0C7A">
        <w:rPr>
          <w:rFonts w:ascii="Times New Roman" w:hAnsi="Times New Roman" w:cs="Times New Roman"/>
          <w:color w:val="000000" w:themeColor="text1"/>
          <w:sz w:val="28"/>
          <w:szCs w:val="28"/>
        </w:rPr>
        <w:t xml:space="preserve">2015.gada otrajā pusgadā, atgādinot uzņēmējiem par godprātīgu komerciālo darbību, Birojs ir izstrādājis bukletu un </w:t>
      </w:r>
      <w:proofErr w:type="spellStart"/>
      <w:r w:rsidRPr="00960C7A">
        <w:rPr>
          <w:rFonts w:ascii="Times New Roman" w:hAnsi="Times New Roman" w:cs="Times New Roman"/>
          <w:color w:val="000000" w:themeColor="text1"/>
          <w:sz w:val="28"/>
          <w:szCs w:val="28"/>
        </w:rPr>
        <w:t>infografiku</w:t>
      </w:r>
      <w:proofErr w:type="spellEnd"/>
      <w:r w:rsidRPr="00960C7A">
        <w:rPr>
          <w:rFonts w:ascii="Times New Roman" w:hAnsi="Times New Roman" w:cs="Times New Roman"/>
          <w:color w:val="000000" w:themeColor="text1"/>
          <w:sz w:val="28"/>
          <w:szCs w:val="28"/>
        </w:rPr>
        <w:t>, lai aicinātu uzņēmējus novērtēt korupcijas riskus un ieviest to novēršanas pasākumus, izstrādājot ētikas normas, attīstot iekšējās kontroles un ziņošanas mehānismus, kā arī izglītojot un apmācot darbiniekus, tiek sniegta informācija arī par juridiskajām personām piemērojamajiem piespiedu ietekmēšanas līdzekļiem, ja kukuļošana veikta juridiskas personas interesēs, labā vai tās nepienācīgas pārraudzības vai kontroles rezultātā. Papildus tika sagatavota arī publikācija laikrakstā “Dienas Bizness” par godprātīgu uzņēmējdarbību.</w:t>
      </w:r>
    </w:p>
    <w:p w:rsidR="00960C7A" w:rsidRDefault="00960C7A" w:rsidP="002A5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4B274F" w:rsidRDefault="004B274F" w:rsidP="002A5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4B274F" w:rsidRPr="00A924A8" w:rsidRDefault="004B274F" w:rsidP="002A5D0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761130" w:rsidRPr="00752EF4" w:rsidRDefault="001208B0" w:rsidP="00752EF4">
      <w:pPr>
        <w:pStyle w:val="ListParagraph"/>
        <w:numPr>
          <w:ilvl w:val="1"/>
          <w:numId w:val="28"/>
        </w:numPr>
        <w:autoSpaceDE w:val="0"/>
        <w:autoSpaceDN w:val="0"/>
        <w:adjustRightInd w:val="0"/>
        <w:spacing w:after="120" w:line="240" w:lineRule="auto"/>
        <w:jc w:val="center"/>
        <w:rPr>
          <w:rStyle w:val="Strong"/>
          <w:rFonts w:ascii="Times New Roman" w:hAnsi="Times New Roman" w:cs="Times New Roman"/>
          <w:sz w:val="28"/>
          <w:szCs w:val="28"/>
        </w:rPr>
      </w:pPr>
      <w:bookmarkStart w:id="3" w:name="_Toc282617331"/>
      <w:r w:rsidRPr="00752EF4">
        <w:rPr>
          <w:rStyle w:val="Strong"/>
          <w:rFonts w:ascii="Times New Roman" w:hAnsi="Times New Roman" w:cs="Times New Roman"/>
          <w:sz w:val="28"/>
          <w:szCs w:val="28"/>
        </w:rPr>
        <w:lastRenderedPageBreak/>
        <w:t>I</w:t>
      </w:r>
      <w:r w:rsidR="008F32BD" w:rsidRPr="00752EF4">
        <w:rPr>
          <w:rStyle w:val="Strong"/>
          <w:rFonts w:ascii="Times New Roman" w:hAnsi="Times New Roman" w:cs="Times New Roman"/>
          <w:sz w:val="28"/>
          <w:szCs w:val="28"/>
        </w:rPr>
        <w:t>zglītošana</w:t>
      </w:r>
      <w:bookmarkEnd w:id="3"/>
      <w:r w:rsidRPr="00752EF4">
        <w:rPr>
          <w:rStyle w:val="Strong"/>
          <w:rFonts w:ascii="Times New Roman" w:hAnsi="Times New Roman" w:cs="Times New Roman"/>
          <w:sz w:val="28"/>
          <w:szCs w:val="28"/>
        </w:rPr>
        <w:t xml:space="preserve"> un sabiedrības informēšana </w:t>
      </w:r>
    </w:p>
    <w:p w:rsidR="002A5D00" w:rsidRPr="002A5D00" w:rsidRDefault="002A5D00" w:rsidP="002A5D00">
      <w:pPr>
        <w:pStyle w:val="NoSpacing"/>
        <w:ind w:firstLine="567"/>
        <w:jc w:val="both"/>
        <w:rPr>
          <w:rFonts w:ascii="Times New Roman" w:hAnsi="Times New Roman" w:cs="Times New Roman"/>
          <w:sz w:val="28"/>
          <w:szCs w:val="28"/>
        </w:rPr>
      </w:pPr>
      <w:r w:rsidRPr="002A5D00">
        <w:rPr>
          <w:rFonts w:ascii="Times New Roman" w:hAnsi="Times New Roman" w:cs="Times New Roman"/>
          <w:sz w:val="28"/>
          <w:szCs w:val="28"/>
        </w:rPr>
        <w:t>Pārskata periodā par pretkorupcijas, interešu konflikta novēršanas, publiskās pārvaldes ētikas jautājumiem un politiskās aģitā</w:t>
      </w:r>
      <w:r w:rsidR="00966BA5">
        <w:rPr>
          <w:rFonts w:ascii="Times New Roman" w:hAnsi="Times New Roman" w:cs="Times New Roman"/>
          <w:sz w:val="28"/>
          <w:szCs w:val="28"/>
        </w:rPr>
        <w:t xml:space="preserve">cijas ierobežojumiem organizētas </w:t>
      </w:r>
      <w:r w:rsidRPr="002A5D00">
        <w:rPr>
          <w:rFonts w:ascii="Times New Roman" w:hAnsi="Times New Roman" w:cs="Times New Roman"/>
          <w:sz w:val="28"/>
          <w:szCs w:val="28"/>
        </w:rPr>
        <w:t>49 izglītojošas nodarbības, kopumā aptverot 1863</w:t>
      </w:r>
      <w:r w:rsidR="00966BA5">
        <w:rPr>
          <w:rFonts w:ascii="Times New Roman" w:hAnsi="Times New Roman" w:cs="Times New Roman"/>
          <w:sz w:val="28"/>
          <w:szCs w:val="28"/>
        </w:rPr>
        <w:t xml:space="preserve"> </w:t>
      </w:r>
      <w:r w:rsidRPr="002A5D00">
        <w:rPr>
          <w:rFonts w:ascii="Times New Roman" w:hAnsi="Times New Roman" w:cs="Times New Roman"/>
          <w:sz w:val="28"/>
          <w:szCs w:val="28"/>
        </w:rPr>
        <w:t>personu lielu auditoriju</w:t>
      </w:r>
      <w:r w:rsidR="00966BA5">
        <w:rPr>
          <w:rFonts w:ascii="Times New Roman" w:hAnsi="Times New Roman" w:cs="Times New Roman"/>
          <w:sz w:val="28"/>
          <w:szCs w:val="28"/>
        </w:rPr>
        <w:t>.</w:t>
      </w:r>
      <w:r w:rsidRPr="002A5D00">
        <w:rPr>
          <w:rFonts w:ascii="Times New Roman" w:hAnsi="Times New Roman" w:cs="Times New Roman"/>
          <w:sz w:val="28"/>
          <w:szCs w:val="28"/>
        </w:rPr>
        <w:t xml:space="preserve"> </w:t>
      </w:r>
    </w:p>
    <w:p w:rsidR="002A5D00" w:rsidRPr="002A5D00" w:rsidRDefault="002A5D00" w:rsidP="002A5D00">
      <w:pPr>
        <w:pStyle w:val="NoSpacing"/>
        <w:ind w:firstLine="567"/>
        <w:jc w:val="both"/>
        <w:rPr>
          <w:rFonts w:ascii="Times New Roman" w:hAnsi="Times New Roman" w:cs="Times New Roman"/>
          <w:sz w:val="28"/>
          <w:szCs w:val="28"/>
        </w:rPr>
      </w:pPr>
      <w:r w:rsidRPr="002A5D00">
        <w:rPr>
          <w:rFonts w:ascii="Times New Roman" w:hAnsi="Times New Roman" w:cs="Times New Roman"/>
          <w:sz w:val="28"/>
          <w:szCs w:val="28"/>
        </w:rPr>
        <w:t>Novadīto pasākumu skaits pārskata periodā pēc izglītošanas tēmām:</w:t>
      </w:r>
    </w:p>
    <w:p w:rsidR="002A5D00" w:rsidRPr="002A5D00" w:rsidRDefault="002A5D00" w:rsidP="002A5D00">
      <w:pPr>
        <w:pStyle w:val="NoSpacing"/>
        <w:ind w:firstLine="567"/>
        <w:jc w:val="both"/>
        <w:rPr>
          <w:rFonts w:ascii="Times New Roman" w:hAnsi="Times New Roman" w:cs="Times New Roman"/>
          <w:sz w:val="28"/>
          <w:szCs w:val="28"/>
        </w:rPr>
      </w:pPr>
      <w:r w:rsidRPr="002A5D00">
        <w:rPr>
          <w:rFonts w:ascii="Times New Roman" w:hAnsi="Times New Roman" w:cs="Times New Roman"/>
          <w:sz w:val="28"/>
          <w:szCs w:val="28"/>
        </w:rPr>
        <w:t xml:space="preserve">1) </w:t>
      </w:r>
      <w:r w:rsidR="00966BA5">
        <w:rPr>
          <w:rFonts w:ascii="Times New Roman" w:hAnsi="Times New Roman" w:cs="Times New Roman"/>
          <w:sz w:val="28"/>
          <w:szCs w:val="28"/>
        </w:rPr>
        <w:t xml:space="preserve">13 </w:t>
      </w:r>
      <w:r w:rsidR="006222C1" w:rsidRPr="006222C1">
        <w:rPr>
          <w:rFonts w:ascii="Times New Roman" w:hAnsi="Times New Roman" w:cs="Times New Roman"/>
          <w:sz w:val="28"/>
          <w:szCs w:val="28"/>
        </w:rPr>
        <w:t xml:space="preserve">izglītošanas </w:t>
      </w:r>
      <w:r w:rsidR="00966BA5">
        <w:rPr>
          <w:rFonts w:ascii="Times New Roman" w:hAnsi="Times New Roman" w:cs="Times New Roman"/>
          <w:sz w:val="28"/>
          <w:szCs w:val="28"/>
        </w:rPr>
        <w:t>pasākumi par i</w:t>
      </w:r>
      <w:r w:rsidRPr="002A5D00">
        <w:rPr>
          <w:rFonts w:ascii="Times New Roman" w:hAnsi="Times New Roman" w:cs="Times New Roman"/>
          <w:sz w:val="28"/>
          <w:szCs w:val="28"/>
        </w:rPr>
        <w:t>nterešu konflikta novēršana un publiskās pārvaldes ētik</w:t>
      </w:r>
      <w:r w:rsidR="00966BA5">
        <w:rPr>
          <w:rFonts w:ascii="Times New Roman" w:hAnsi="Times New Roman" w:cs="Times New Roman"/>
          <w:sz w:val="28"/>
          <w:szCs w:val="28"/>
        </w:rPr>
        <w:t>u;</w:t>
      </w:r>
    </w:p>
    <w:p w:rsidR="002A5D00" w:rsidRPr="002A5D00" w:rsidRDefault="002A5D00" w:rsidP="002A5D00">
      <w:pPr>
        <w:pStyle w:val="NoSpacing"/>
        <w:ind w:firstLine="567"/>
        <w:jc w:val="both"/>
        <w:rPr>
          <w:rFonts w:ascii="Times New Roman" w:hAnsi="Times New Roman" w:cs="Times New Roman"/>
          <w:sz w:val="28"/>
          <w:szCs w:val="28"/>
        </w:rPr>
      </w:pPr>
      <w:r w:rsidRPr="002A5D00">
        <w:rPr>
          <w:rFonts w:ascii="Times New Roman" w:hAnsi="Times New Roman" w:cs="Times New Roman"/>
          <w:sz w:val="28"/>
          <w:szCs w:val="28"/>
        </w:rPr>
        <w:t xml:space="preserve">2) </w:t>
      </w:r>
      <w:r w:rsidR="00966BA5">
        <w:rPr>
          <w:rFonts w:ascii="Times New Roman" w:hAnsi="Times New Roman" w:cs="Times New Roman"/>
          <w:sz w:val="28"/>
          <w:szCs w:val="28"/>
        </w:rPr>
        <w:t xml:space="preserve">13 </w:t>
      </w:r>
      <w:r w:rsidR="006222C1" w:rsidRPr="006222C1">
        <w:rPr>
          <w:rFonts w:ascii="Times New Roman" w:hAnsi="Times New Roman" w:cs="Times New Roman"/>
          <w:sz w:val="28"/>
          <w:szCs w:val="28"/>
        </w:rPr>
        <w:t xml:space="preserve">izglītošanas </w:t>
      </w:r>
      <w:r w:rsidR="00966BA5">
        <w:rPr>
          <w:rFonts w:ascii="Times New Roman" w:hAnsi="Times New Roman" w:cs="Times New Roman"/>
          <w:sz w:val="28"/>
          <w:szCs w:val="28"/>
        </w:rPr>
        <w:t>pasākumi par k</w:t>
      </w:r>
      <w:r w:rsidRPr="002A5D00">
        <w:rPr>
          <w:rFonts w:ascii="Times New Roman" w:hAnsi="Times New Roman" w:cs="Times New Roman"/>
          <w:sz w:val="28"/>
          <w:szCs w:val="28"/>
        </w:rPr>
        <w:t>orupcija</w:t>
      </w:r>
      <w:r w:rsidR="00966BA5">
        <w:rPr>
          <w:rFonts w:ascii="Times New Roman" w:hAnsi="Times New Roman" w:cs="Times New Roman"/>
          <w:sz w:val="28"/>
          <w:szCs w:val="28"/>
        </w:rPr>
        <w:t>s izpausmes formām</w:t>
      </w:r>
      <w:r w:rsidRPr="002A5D00">
        <w:rPr>
          <w:rFonts w:ascii="Times New Roman" w:hAnsi="Times New Roman" w:cs="Times New Roman"/>
          <w:sz w:val="28"/>
          <w:szCs w:val="28"/>
        </w:rPr>
        <w:t>, korupcijas un krāpšanas riski</w:t>
      </w:r>
      <w:r w:rsidR="00966BA5">
        <w:rPr>
          <w:rFonts w:ascii="Times New Roman" w:hAnsi="Times New Roman" w:cs="Times New Roman"/>
          <w:sz w:val="28"/>
          <w:szCs w:val="28"/>
        </w:rPr>
        <w:t>em;</w:t>
      </w:r>
    </w:p>
    <w:p w:rsidR="000664D2" w:rsidRDefault="002A5D00" w:rsidP="002A5D00">
      <w:pPr>
        <w:pStyle w:val="NoSpacing"/>
        <w:ind w:firstLine="567"/>
        <w:jc w:val="both"/>
        <w:rPr>
          <w:rFonts w:ascii="Times New Roman" w:hAnsi="Times New Roman" w:cs="Times New Roman"/>
          <w:sz w:val="28"/>
          <w:szCs w:val="28"/>
        </w:rPr>
      </w:pPr>
      <w:r w:rsidRPr="002A5D00">
        <w:rPr>
          <w:rFonts w:ascii="Times New Roman" w:hAnsi="Times New Roman" w:cs="Times New Roman"/>
          <w:sz w:val="28"/>
          <w:szCs w:val="28"/>
        </w:rPr>
        <w:t>3)</w:t>
      </w:r>
      <w:r w:rsidR="000664D2" w:rsidRPr="000664D2">
        <w:rPr>
          <w:rFonts w:ascii="Times New Roman" w:hAnsi="Times New Roman" w:cs="Times New Roman"/>
          <w:sz w:val="28"/>
          <w:szCs w:val="28"/>
        </w:rPr>
        <w:t xml:space="preserve"> četri izglītošanas pasākumi par OECD Konvencijas par ārvalstu amatpersonu kukuļošanas apkarošanu starptautiskajos biznesa darījumos  ieviešanu</w:t>
      </w:r>
      <w:r w:rsidR="000664D2">
        <w:rPr>
          <w:rFonts w:ascii="Times New Roman" w:hAnsi="Times New Roman" w:cs="Times New Roman"/>
          <w:sz w:val="28"/>
          <w:szCs w:val="28"/>
        </w:rPr>
        <w:t>;</w:t>
      </w:r>
    </w:p>
    <w:p w:rsidR="002A5D00" w:rsidRPr="002A5D00" w:rsidRDefault="000664D2" w:rsidP="000664D2">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4)</w:t>
      </w:r>
      <w:r w:rsidR="002A5D00" w:rsidRPr="002A5D00">
        <w:rPr>
          <w:rFonts w:ascii="Times New Roman" w:hAnsi="Times New Roman" w:cs="Times New Roman"/>
          <w:sz w:val="28"/>
          <w:szCs w:val="28"/>
        </w:rPr>
        <w:t xml:space="preserve"> </w:t>
      </w:r>
      <w:r w:rsidR="00966BA5">
        <w:rPr>
          <w:rFonts w:ascii="Times New Roman" w:hAnsi="Times New Roman" w:cs="Times New Roman"/>
          <w:sz w:val="28"/>
          <w:szCs w:val="28"/>
        </w:rPr>
        <w:t>19</w:t>
      </w:r>
      <w:r w:rsidR="006222C1">
        <w:rPr>
          <w:rFonts w:ascii="Times New Roman" w:hAnsi="Times New Roman" w:cs="Times New Roman"/>
          <w:sz w:val="28"/>
          <w:szCs w:val="28"/>
        </w:rPr>
        <w:t xml:space="preserve"> izglītošanas</w:t>
      </w:r>
      <w:r w:rsidR="00966BA5">
        <w:rPr>
          <w:rFonts w:ascii="Times New Roman" w:hAnsi="Times New Roman" w:cs="Times New Roman"/>
          <w:sz w:val="28"/>
          <w:szCs w:val="28"/>
        </w:rPr>
        <w:t xml:space="preserve"> pasākumi par citām tēmām, tai skaitā par lobēšanu</w:t>
      </w:r>
      <w:r w:rsidR="002A5D00" w:rsidRPr="002A5D00">
        <w:rPr>
          <w:rFonts w:ascii="Times New Roman" w:hAnsi="Times New Roman" w:cs="Times New Roman"/>
          <w:sz w:val="28"/>
          <w:szCs w:val="28"/>
        </w:rPr>
        <w:t>, iekšējās kontroles pasākumi</w:t>
      </w:r>
      <w:r w:rsidR="00966BA5">
        <w:rPr>
          <w:rFonts w:ascii="Times New Roman" w:hAnsi="Times New Roman" w:cs="Times New Roman"/>
          <w:sz w:val="28"/>
          <w:szCs w:val="28"/>
        </w:rPr>
        <w:t>em</w:t>
      </w:r>
      <w:r w:rsidR="002A5D00" w:rsidRPr="002A5D00">
        <w:rPr>
          <w:rFonts w:ascii="Times New Roman" w:hAnsi="Times New Roman" w:cs="Times New Roman"/>
          <w:sz w:val="28"/>
          <w:szCs w:val="28"/>
        </w:rPr>
        <w:t>, korupcijas riski</w:t>
      </w:r>
      <w:r w:rsidR="00966BA5">
        <w:rPr>
          <w:rFonts w:ascii="Times New Roman" w:hAnsi="Times New Roman" w:cs="Times New Roman"/>
          <w:sz w:val="28"/>
          <w:szCs w:val="28"/>
        </w:rPr>
        <w:t>em</w:t>
      </w:r>
      <w:r w:rsidR="002A5D00" w:rsidRPr="002A5D00">
        <w:rPr>
          <w:rFonts w:ascii="Times New Roman" w:hAnsi="Times New Roman" w:cs="Times New Roman"/>
          <w:sz w:val="28"/>
          <w:szCs w:val="28"/>
        </w:rPr>
        <w:t xml:space="preserve"> medicīnā, Korupcijas novēršanas un apkarošanas pamatnostādnēs</w:t>
      </w:r>
      <w:r w:rsidR="006222C1">
        <w:rPr>
          <w:rFonts w:ascii="Times New Roman" w:hAnsi="Times New Roman" w:cs="Times New Roman"/>
          <w:sz w:val="28"/>
          <w:szCs w:val="28"/>
        </w:rPr>
        <w:t xml:space="preserve"> 2015.-2020.gadam noteiktajiem</w:t>
      </w:r>
      <w:r w:rsidR="002A5D00" w:rsidRPr="002A5D00">
        <w:rPr>
          <w:rFonts w:ascii="Times New Roman" w:hAnsi="Times New Roman" w:cs="Times New Roman"/>
          <w:sz w:val="28"/>
          <w:szCs w:val="28"/>
        </w:rPr>
        <w:t xml:space="preserve"> uzdevumi publiskas personas institūcijām</w:t>
      </w:r>
      <w:r>
        <w:rPr>
          <w:rFonts w:ascii="Times New Roman" w:hAnsi="Times New Roman" w:cs="Times New Roman"/>
          <w:sz w:val="28"/>
          <w:szCs w:val="28"/>
        </w:rPr>
        <w:t>.</w:t>
      </w:r>
    </w:p>
    <w:p w:rsidR="002A5D00" w:rsidRDefault="002A5D00" w:rsidP="001700BB">
      <w:pPr>
        <w:pStyle w:val="NoSpacing"/>
        <w:ind w:firstLine="567"/>
        <w:jc w:val="both"/>
        <w:rPr>
          <w:rFonts w:ascii="Times New Roman" w:hAnsi="Times New Roman" w:cs="Times New Roman"/>
          <w:sz w:val="28"/>
          <w:szCs w:val="28"/>
        </w:rPr>
      </w:pPr>
      <w:r w:rsidRPr="002A5D00">
        <w:rPr>
          <w:rFonts w:ascii="Times New Roman" w:hAnsi="Times New Roman" w:cs="Times New Roman"/>
          <w:sz w:val="28"/>
          <w:szCs w:val="28"/>
        </w:rPr>
        <w:t>Pārskata periodā izglītotas 1863 persona</w:t>
      </w:r>
      <w:r w:rsidR="001700BB">
        <w:rPr>
          <w:rFonts w:ascii="Times New Roman" w:hAnsi="Times New Roman" w:cs="Times New Roman"/>
          <w:sz w:val="28"/>
          <w:szCs w:val="28"/>
        </w:rPr>
        <w:t xml:space="preserve">s, no kurām: </w:t>
      </w:r>
      <w:r w:rsidRPr="002A5D00">
        <w:rPr>
          <w:rFonts w:ascii="Times New Roman" w:hAnsi="Times New Roman" w:cs="Times New Roman"/>
          <w:sz w:val="28"/>
          <w:szCs w:val="28"/>
        </w:rPr>
        <w:t>1400 valsts amatpersonas (ierēdņi, inspektori, iestāžu vadītāji un viņu vietnieki, iepirkuma komisiju locekļi, pašvaldības deputāti u</w:t>
      </w:r>
      <w:r w:rsidR="000664D2">
        <w:rPr>
          <w:rFonts w:ascii="Times New Roman" w:hAnsi="Times New Roman" w:cs="Times New Roman"/>
          <w:sz w:val="28"/>
          <w:szCs w:val="28"/>
        </w:rPr>
        <w:t>n citi)</w:t>
      </w:r>
      <w:r w:rsidRPr="002A5D00">
        <w:rPr>
          <w:rFonts w:ascii="Times New Roman" w:hAnsi="Times New Roman" w:cs="Times New Roman"/>
          <w:sz w:val="28"/>
          <w:szCs w:val="28"/>
        </w:rPr>
        <w:t xml:space="preserve"> un publiskas personas institūciju darbinieki;</w:t>
      </w:r>
      <w:r w:rsidR="001700BB">
        <w:rPr>
          <w:rFonts w:ascii="Times New Roman" w:hAnsi="Times New Roman" w:cs="Times New Roman"/>
          <w:sz w:val="28"/>
          <w:szCs w:val="28"/>
        </w:rPr>
        <w:t xml:space="preserve"> </w:t>
      </w:r>
      <w:r w:rsidRPr="002A5D00">
        <w:rPr>
          <w:rFonts w:ascii="Times New Roman" w:hAnsi="Times New Roman" w:cs="Times New Roman"/>
          <w:sz w:val="28"/>
          <w:szCs w:val="28"/>
        </w:rPr>
        <w:t>255 jaunieši un studenti (tai skaitā 205 medicīnas st</w:t>
      </w:r>
      <w:r w:rsidR="001700BB">
        <w:rPr>
          <w:rFonts w:ascii="Times New Roman" w:hAnsi="Times New Roman" w:cs="Times New Roman"/>
          <w:sz w:val="28"/>
          <w:szCs w:val="28"/>
        </w:rPr>
        <w:t xml:space="preserve">udenti); </w:t>
      </w:r>
      <w:r w:rsidRPr="002A5D00">
        <w:rPr>
          <w:rFonts w:ascii="Times New Roman" w:hAnsi="Times New Roman" w:cs="Times New Roman"/>
          <w:sz w:val="28"/>
          <w:szCs w:val="28"/>
        </w:rPr>
        <w:t xml:space="preserve">127 </w:t>
      </w:r>
      <w:proofErr w:type="spellStart"/>
      <w:r w:rsidRPr="002A5D00">
        <w:rPr>
          <w:rFonts w:ascii="Times New Roman" w:hAnsi="Times New Roman" w:cs="Times New Roman"/>
          <w:sz w:val="28"/>
          <w:szCs w:val="28"/>
        </w:rPr>
        <w:t>tālākizglītotāji</w:t>
      </w:r>
      <w:proofErr w:type="spellEnd"/>
      <w:r w:rsidRPr="002A5D00">
        <w:rPr>
          <w:rFonts w:ascii="Times New Roman" w:hAnsi="Times New Roman" w:cs="Times New Roman"/>
          <w:sz w:val="28"/>
          <w:szCs w:val="28"/>
        </w:rPr>
        <w:t xml:space="preserve"> pretkorupcijas jautājumos (t</w:t>
      </w:r>
      <w:r w:rsidR="000664D2">
        <w:rPr>
          <w:rFonts w:ascii="Times New Roman" w:hAnsi="Times New Roman" w:cs="Times New Roman"/>
          <w:sz w:val="28"/>
          <w:szCs w:val="28"/>
        </w:rPr>
        <w:t>ai skaitā</w:t>
      </w:r>
      <w:r w:rsidRPr="002A5D00">
        <w:rPr>
          <w:rFonts w:ascii="Times New Roman" w:hAnsi="Times New Roman" w:cs="Times New Roman"/>
          <w:sz w:val="28"/>
          <w:szCs w:val="28"/>
        </w:rPr>
        <w:t xml:space="preserve"> 63 Rīgas pilsētas pašvaldības iestāžu un kapitālsabiedrību amatpersonas, kas atbildīgas par pretkorupcijas pasākumu ieviešanu savās institūcijās);</w:t>
      </w:r>
      <w:r w:rsidR="001700BB">
        <w:rPr>
          <w:rFonts w:ascii="Times New Roman" w:hAnsi="Times New Roman" w:cs="Times New Roman"/>
          <w:sz w:val="28"/>
          <w:szCs w:val="28"/>
        </w:rPr>
        <w:t xml:space="preserve"> </w:t>
      </w:r>
      <w:r w:rsidRPr="002A5D00">
        <w:rPr>
          <w:rFonts w:ascii="Times New Roman" w:hAnsi="Times New Roman" w:cs="Times New Roman"/>
          <w:sz w:val="28"/>
          <w:szCs w:val="28"/>
        </w:rPr>
        <w:t>144 medicīnas darbinieki.</w:t>
      </w:r>
    </w:p>
    <w:p w:rsidR="006222C1" w:rsidRDefault="006222C1" w:rsidP="001700BB">
      <w:pPr>
        <w:pStyle w:val="NoSpacing"/>
        <w:ind w:firstLine="567"/>
        <w:jc w:val="both"/>
        <w:rPr>
          <w:rFonts w:ascii="Times New Roman" w:hAnsi="Times New Roman" w:cs="Times New Roman"/>
          <w:sz w:val="28"/>
          <w:szCs w:val="28"/>
        </w:rPr>
      </w:pPr>
    </w:p>
    <w:p w:rsidR="006222C1" w:rsidRDefault="006222C1" w:rsidP="001700BB">
      <w:pPr>
        <w:pStyle w:val="NoSpacing"/>
        <w:ind w:firstLine="567"/>
        <w:jc w:val="both"/>
        <w:rPr>
          <w:rFonts w:ascii="Times New Roman" w:hAnsi="Times New Roman" w:cs="Times New Roman"/>
          <w:sz w:val="28"/>
          <w:szCs w:val="28"/>
        </w:rPr>
      </w:pPr>
      <w:r>
        <w:rPr>
          <w:noProof/>
          <w:lang w:eastAsia="lv-LV"/>
        </w:rPr>
        <w:drawing>
          <wp:inline distT="0" distB="0" distL="0" distR="0" wp14:anchorId="3194BD6D" wp14:editId="3233D464">
            <wp:extent cx="5486400" cy="3405505"/>
            <wp:effectExtent l="0" t="0" r="1905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22C1" w:rsidRPr="006222C1" w:rsidRDefault="006222C1" w:rsidP="001700BB">
      <w:pPr>
        <w:pStyle w:val="NoSpacing"/>
        <w:ind w:firstLine="567"/>
        <w:jc w:val="both"/>
        <w:rPr>
          <w:rFonts w:ascii="Times New Roman" w:hAnsi="Times New Roman" w:cs="Times New Roman"/>
          <w:i/>
          <w:sz w:val="28"/>
          <w:szCs w:val="28"/>
        </w:rPr>
      </w:pPr>
      <w:r w:rsidRPr="006222C1">
        <w:rPr>
          <w:rFonts w:ascii="Times New Roman" w:hAnsi="Times New Roman" w:cs="Times New Roman"/>
          <w:i/>
          <w:sz w:val="28"/>
          <w:szCs w:val="28"/>
        </w:rPr>
        <w:t>2.attēls. Izglītošanas pasākumi un dalībnieku skaits</w:t>
      </w:r>
    </w:p>
    <w:p w:rsidR="006222C1" w:rsidRDefault="006222C1" w:rsidP="001700BB">
      <w:pPr>
        <w:pStyle w:val="NoSpacing"/>
        <w:ind w:firstLine="567"/>
        <w:jc w:val="both"/>
        <w:rPr>
          <w:rFonts w:ascii="Times New Roman" w:hAnsi="Times New Roman" w:cs="Times New Roman"/>
          <w:sz w:val="28"/>
          <w:szCs w:val="28"/>
        </w:rPr>
      </w:pPr>
    </w:p>
    <w:p w:rsidR="002A5D00" w:rsidRPr="002A5D00" w:rsidRDefault="002A5D00" w:rsidP="002A5D00">
      <w:pPr>
        <w:pStyle w:val="NoSpacing"/>
        <w:ind w:firstLine="567"/>
        <w:jc w:val="both"/>
        <w:rPr>
          <w:rFonts w:ascii="Times New Roman" w:hAnsi="Times New Roman" w:cs="Times New Roman"/>
          <w:sz w:val="28"/>
          <w:szCs w:val="28"/>
        </w:rPr>
      </w:pPr>
      <w:r w:rsidRPr="002A5D00">
        <w:rPr>
          <w:rFonts w:ascii="Times New Roman" w:hAnsi="Times New Roman" w:cs="Times New Roman"/>
          <w:sz w:val="28"/>
          <w:szCs w:val="28"/>
        </w:rPr>
        <w:lastRenderedPageBreak/>
        <w:t xml:space="preserve">2015.gada otrajā pusgadā turpināta pašvaldību amatpersonu un darbinieku izglītošana gan par interešu konflikta novēršanas jautājumiem un korupcijas cēloņiem un sekām, gan </w:t>
      </w:r>
      <w:r w:rsidR="000664D2">
        <w:rPr>
          <w:rFonts w:ascii="Times New Roman" w:hAnsi="Times New Roman" w:cs="Times New Roman"/>
          <w:sz w:val="28"/>
          <w:szCs w:val="28"/>
        </w:rPr>
        <w:t xml:space="preserve">arī </w:t>
      </w:r>
      <w:r w:rsidRPr="002A5D00">
        <w:rPr>
          <w:rFonts w:ascii="Times New Roman" w:hAnsi="Times New Roman" w:cs="Times New Roman"/>
          <w:sz w:val="28"/>
          <w:szCs w:val="28"/>
        </w:rPr>
        <w:t>par korupcijas risku identificēšanu. Analizējot Biroja praksi par amatpersonu saukšanu pie administratīvās atbildības par likuma „Par interešu konflikta novēršanu valsts amatpersonu darbībā” pārkāpumiem, tika secināts, ka lielu daļu pārkāpumu izdara pašvaldību amatpersonas, pieņemot lēmumus interešu ko</w:t>
      </w:r>
      <w:r w:rsidR="006222C1">
        <w:rPr>
          <w:rFonts w:ascii="Times New Roman" w:hAnsi="Times New Roman" w:cs="Times New Roman"/>
          <w:sz w:val="28"/>
          <w:szCs w:val="28"/>
        </w:rPr>
        <w:t>nflikta situācijās, tāpēc 2015.</w:t>
      </w:r>
      <w:r w:rsidRPr="002A5D00">
        <w:rPr>
          <w:rFonts w:ascii="Times New Roman" w:hAnsi="Times New Roman" w:cs="Times New Roman"/>
          <w:sz w:val="28"/>
          <w:szCs w:val="28"/>
        </w:rPr>
        <w:t xml:space="preserve">gadā </w:t>
      </w:r>
      <w:r w:rsidR="000664D2">
        <w:rPr>
          <w:rFonts w:ascii="Times New Roman" w:hAnsi="Times New Roman" w:cs="Times New Roman"/>
          <w:sz w:val="28"/>
          <w:szCs w:val="28"/>
        </w:rPr>
        <w:t>viena</w:t>
      </w:r>
      <w:r w:rsidRPr="002A5D00">
        <w:rPr>
          <w:rFonts w:ascii="Times New Roman" w:hAnsi="Times New Roman" w:cs="Times New Roman"/>
          <w:sz w:val="28"/>
          <w:szCs w:val="28"/>
        </w:rPr>
        <w:t xml:space="preserve"> no prioritārajām jomām bija pašvaldību amatpersonu izglītošan</w:t>
      </w:r>
      <w:r w:rsidR="000664D2">
        <w:rPr>
          <w:rFonts w:ascii="Times New Roman" w:hAnsi="Times New Roman" w:cs="Times New Roman"/>
          <w:sz w:val="28"/>
          <w:szCs w:val="28"/>
        </w:rPr>
        <w:t>a</w:t>
      </w:r>
      <w:r w:rsidRPr="002A5D00">
        <w:rPr>
          <w:rFonts w:ascii="Times New Roman" w:hAnsi="Times New Roman" w:cs="Times New Roman"/>
          <w:sz w:val="28"/>
          <w:szCs w:val="28"/>
        </w:rPr>
        <w:t xml:space="preserve">, tai skaitā, pašvaldību deputātu, iestāžu vadītāju, iepirkumu komisiju </w:t>
      </w:r>
      <w:r w:rsidR="006222C1">
        <w:rPr>
          <w:rFonts w:ascii="Times New Roman" w:hAnsi="Times New Roman" w:cs="Times New Roman"/>
          <w:sz w:val="28"/>
          <w:szCs w:val="28"/>
        </w:rPr>
        <w:t>locekļu izglītošanu.</w:t>
      </w:r>
    </w:p>
    <w:p w:rsidR="002A5D00" w:rsidRPr="002A5D00" w:rsidRDefault="002A5D00" w:rsidP="002A5D00">
      <w:pPr>
        <w:pStyle w:val="NoSpacing"/>
        <w:ind w:firstLine="567"/>
        <w:jc w:val="both"/>
        <w:rPr>
          <w:rFonts w:ascii="Times New Roman" w:hAnsi="Times New Roman" w:cs="Times New Roman"/>
          <w:sz w:val="28"/>
          <w:szCs w:val="28"/>
        </w:rPr>
      </w:pPr>
      <w:r w:rsidRPr="002A5D00">
        <w:rPr>
          <w:rFonts w:ascii="Times New Roman" w:hAnsi="Times New Roman" w:cs="Times New Roman"/>
          <w:sz w:val="28"/>
          <w:szCs w:val="28"/>
        </w:rPr>
        <w:t>Pārskata periodā Birojs turpināja valsts amatpersonu un publisko institūciju darbinieku zināšanu testēšanu par korupcijas un interešu k</w:t>
      </w:r>
      <w:r w:rsidR="005C72CE">
        <w:rPr>
          <w:rFonts w:ascii="Times New Roman" w:hAnsi="Times New Roman" w:cs="Times New Roman"/>
          <w:sz w:val="28"/>
          <w:szCs w:val="28"/>
        </w:rPr>
        <w:t xml:space="preserve">onflikta novēršanas jautājumiem. </w:t>
      </w:r>
      <w:r w:rsidRPr="002A5D00">
        <w:rPr>
          <w:rFonts w:ascii="Times New Roman" w:hAnsi="Times New Roman" w:cs="Times New Roman"/>
          <w:sz w:val="28"/>
          <w:szCs w:val="28"/>
        </w:rPr>
        <w:t xml:space="preserve">Analizējot testēšanas rezultātus, Birojs ir secinājis, ka kopumā amatpersonu zināšanas par interešu konflikta un pretkorupcijas jautājumiem ir vērtējamas kā labas, jo vidēji amatpersonas atbildējušas pareizi uz 86% jautājumu. Mazāk par 60% pareizo atbilžu snieguši tikai 3,5% testēto amatpersonu. Vājākas zināšanas amatpersonām bijušas jautājumos par interešu konflikta identificēšanu dažādās darba situācijās. </w:t>
      </w:r>
      <w:r w:rsidR="006222C1">
        <w:rPr>
          <w:rFonts w:ascii="Times New Roman" w:hAnsi="Times New Roman" w:cs="Times New Roman"/>
          <w:sz w:val="28"/>
          <w:szCs w:val="28"/>
        </w:rPr>
        <w:t>N</w:t>
      </w:r>
      <w:r w:rsidRPr="002A5D00">
        <w:rPr>
          <w:rFonts w:ascii="Times New Roman" w:hAnsi="Times New Roman" w:cs="Times New Roman"/>
          <w:sz w:val="28"/>
          <w:szCs w:val="28"/>
        </w:rPr>
        <w:t>edaudz labākas zināšanas par pretkorupcijas jautājumiem ir valsts sektorā</w:t>
      </w:r>
      <w:r w:rsidR="006222C1">
        <w:rPr>
          <w:rFonts w:ascii="Times New Roman" w:hAnsi="Times New Roman" w:cs="Times New Roman"/>
          <w:sz w:val="28"/>
          <w:szCs w:val="28"/>
        </w:rPr>
        <w:t xml:space="preserve"> nodarbinātajiem</w:t>
      </w:r>
      <w:r w:rsidRPr="002A5D00">
        <w:rPr>
          <w:rFonts w:ascii="Times New Roman" w:hAnsi="Times New Roman" w:cs="Times New Roman"/>
          <w:sz w:val="28"/>
          <w:szCs w:val="28"/>
        </w:rPr>
        <w:t xml:space="preserve">, </w:t>
      </w:r>
      <w:r w:rsidR="006222C1">
        <w:rPr>
          <w:rFonts w:ascii="Times New Roman" w:hAnsi="Times New Roman" w:cs="Times New Roman"/>
          <w:sz w:val="28"/>
          <w:szCs w:val="28"/>
        </w:rPr>
        <w:t>savukārt</w:t>
      </w:r>
      <w:r w:rsidRPr="002A5D00">
        <w:rPr>
          <w:rFonts w:ascii="Times New Roman" w:hAnsi="Times New Roman" w:cs="Times New Roman"/>
          <w:sz w:val="28"/>
          <w:szCs w:val="28"/>
        </w:rPr>
        <w:t xml:space="preserve"> pašvaldībās strādājošajām amatpersonām, turklāt pašvaldību iestāžu vadītājiem un viņu vietniekiem, izpilddirektoriem un pagasta pārvalžu vadītājiem testa rezultāti joprojām ir nedaudz zem vidējā rādītāja – vidēji vadītāji atbildējuši pareizi uz 78% jautājumu (vidēji visu pašvaldību amatpersonu vidū - 84%).  </w:t>
      </w:r>
    </w:p>
    <w:p w:rsidR="002A5D00" w:rsidRPr="002A5D00" w:rsidRDefault="002A5D00" w:rsidP="002A5D00">
      <w:pPr>
        <w:pStyle w:val="NoSpacing"/>
        <w:ind w:firstLine="567"/>
        <w:jc w:val="both"/>
        <w:rPr>
          <w:rFonts w:ascii="Times New Roman" w:hAnsi="Times New Roman" w:cs="Times New Roman"/>
          <w:sz w:val="28"/>
          <w:szCs w:val="28"/>
        </w:rPr>
      </w:pPr>
      <w:r w:rsidRPr="002A5D00">
        <w:rPr>
          <w:rFonts w:ascii="Times New Roman" w:hAnsi="Times New Roman" w:cs="Times New Roman"/>
          <w:sz w:val="28"/>
          <w:szCs w:val="28"/>
        </w:rPr>
        <w:t xml:space="preserve">Pārskata periodā izveidotas Biroja lapas sociālajos tīklos </w:t>
      </w:r>
      <w:r w:rsidR="003305EF">
        <w:rPr>
          <w:rFonts w:ascii="Times New Roman" w:hAnsi="Times New Roman" w:cs="Times New Roman"/>
          <w:sz w:val="28"/>
          <w:szCs w:val="28"/>
        </w:rPr>
        <w:t>f</w:t>
      </w:r>
      <w:r w:rsidRPr="002A5D00">
        <w:rPr>
          <w:rFonts w:ascii="Times New Roman" w:hAnsi="Times New Roman" w:cs="Times New Roman"/>
          <w:sz w:val="28"/>
          <w:szCs w:val="28"/>
        </w:rPr>
        <w:t xml:space="preserve">acebook.com, </w:t>
      </w:r>
      <w:proofErr w:type="spellStart"/>
      <w:r w:rsidR="003305EF">
        <w:rPr>
          <w:rFonts w:ascii="Times New Roman" w:hAnsi="Times New Roman" w:cs="Times New Roman"/>
          <w:sz w:val="28"/>
          <w:szCs w:val="28"/>
        </w:rPr>
        <w:t>d</w:t>
      </w:r>
      <w:r w:rsidRPr="002A5D00">
        <w:rPr>
          <w:rFonts w:ascii="Times New Roman" w:hAnsi="Times New Roman" w:cs="Times New Roman"/>
          <w:sz w:val="28"/>
          <w:szCs w:val="28"/>
        </w:rPr>
        <w:t>raugiem.lv</w:t>
      </w:r>
      <w:proofErr w:type="spellEnd"/>
      <w:r w:rsidRPr="002A5D00">
        <w:rPr>
          <w:rFonts w:ascii="Times New Roman" w:hAnsi="Times New Roman" w:cs="Times New Roman"/>
          <w:sz w:val="28"/>
          <w:szCs w:val="28"/>
        </w:rPr>
        <w:t xml:space="preserve">, </w:t>
      </w:r>
      <w:proofErr w:type="spellStart"/>
      <w:r w:rsidR="003305EF">
        <w:rPr>
          <w:rFonts w:ascii="Times New Roman" w:hAnsi="Times New Roman" w:cs="Times New Roman"/>
          <w:sz w:val="28"/>
          <w:szCs w:val="28"/>
        </w:rPr>
        <w:t>o</w:t>
      </w:r>
      <w:r w:rsidRPr="002A5D00">
        <w:rPr>
          <w:rFonts w:ascii="Times New Roman" w:hAnsi="Times New Roman" w:cs="Times New Roman"/>
          <w:sz w:val="28"/>
          <w:szCs w:val="28"/>
        </w:rPr>
        <w:t>k.ru</w:t>
      </w:r>
      <w:proofErr w:type="spellEnd"/>
      <w:r w:rsidRPr="002A5D00">
        <w:rPr>
          <w:rFonts w:ascii="Times New Roman" w:hAnsi="Times New Roman" w:cs="Times New Roman"/>
          <w:sz w:val="28"/>
          <w:szCs w:val="28"/>
        </w:rPr>
        <w:t xml:space="preserve">. Papildināts un sagatavots drukāšanai buklets par Biroja darbu angļu valodā, aktualizējot informāciju un pievienojot informāciju par 2015.gada </w:t>
      </w:r>
      <w:r w:rsidR="006222C1">
        <w:rPr>
          <w:rFonts w:ascii="Times New Roman" w:hAnsi="Times New Roman" w:cs="Times New Roman"/>
          <w:sz w:val="28"/>
          <w:szCs w:val="28"/>
        </w:rPr>
        <w:t xml:space="preserve">pirmā </w:t>
      </w:r>
      <w:r w:rsidRPr="002A5D00">
        <w:rPr>
          <w:rFonts w:ascii="Times New Roman" w:hAnsi="Times New Roman" w:cs="Times New Roman"/>
          <w:sz w:val="28"/>
          <w:szCs w:val="28"/>
        </w:rPr>
        <w:t>pusgada darba rezultātiem.</w:t>
      </w:r>
    </w:p>
    <w:p w:rsidR="00281DDB" w:rsidRPr="00281DDB" w:rsidRDefault="006222C1" w:rsidP="00281DDB">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2015.gada otrajā pusgadā o</w:t>
      </w:r>
      <w:r w:rsidR="002A5D00" w:rsidRPr="002A5D00">
        <w:rPr>
          <w:rFonts w:ascii="Times New Roman" w:hAnsi="Times New Roman" w:cs="Times New Roman"/>
          <w:sz w:val="28"/>
          <w:szCs w:val="28"/>
        </w:rPr>
        <w:t xml:space="preserve">rganizēts ideju konkurss jauniešiem „Mēs pret korupciju!”, kurā jaunieši aicināti iesūtīt pretkorupcijas zibakcijas idejas. </w:t>
      </w:r>
      <w:r w:rsidR="003305EF">
        <w:rPr>
          <w:rFonts w:ascii="Times New Roman" w:hAnsi="Times New Roman" w:cs="Times New Roman"/>
          <w:sz w:val="28"/>
          <w:szCs w:val="28"/>
        </w:rPr>
        <w:t>Pārskata periodā sabiedrības informēšanai</w:t>
      </w:r>
      <w:r>
        <w:rPr>
          <w:rFonts w:ascii="Times New Roman" w:hAnsi="Times New Roman" w:cs="Times New Roman"/>
          <w:sz w:val="28"/>
          <w:szCs w:val="28"/>
        </w:rPr>
        <w:t xml:space="preserve"> tika rīkota sociālā kampaņa, kuras ietvaros tika</w:t>
      </w:r>
      <w:r w:rsidR="003305EF">
        <w:rPr>
          <w:rFonts w:ascii="Times New Roman" w:hAnsi="Times New Roman" w:cs="Times New Roman"/>
          <w:sz w:val="28"/>
          <w:szCs w:val="28"/>
        </w:rPr>
        <w:t xml:space="preserve"> izgatavots plakāts ar saukli </w:t>
      </w:r>
      <w:r w:rsidR="003305EF" w:rsidRPr="003305EF">
        <w:rPr>
          <w:rFonts w:ascii="Times New Roman" w:hAnsi="Times New Roman" w:cs="Times New Roman"/>
          <w:sz w:val="28"/>
          <w:szCs w:val="28"/>
        </w:rPr>
        <w:t xml:space="preserve">„Nepieļauj!” un </w:t>
      </w:r>
      <w:r w:rsidR="003305EF">
        <w:rPr>
          <w:rFonts w:ascii="Times New Roman" w:hAnsi="Times New Roman" w:cs="Times New Roman"/>
          <w:sz w:val="28"/>
          <w:szCs w:val="28"/>
        </w:rPr>
        <w:t>videokl</w:t>
      </w:r>
      <w:r w:rsidR="00281DDB">
        <w:rPr>
          <w:rFonts w:ascii="Times New Roman" w:hAnsi="Times New Roman" w:cs="Times New Roman"/>
          <w:sz w:val="28"/>
          <w:szCs w:val="28"/>
        </w:rPr>
        <w:t>ips „Sāc ar sevi – nepieļauj!”</w:t>
      </w:r>
      <w:r>
        <w:rPr>
          <w:rFonts w:ascii="Times New Roman" w:hAnsi="Times New Roman" w:cs="Times New Roman"/>
          <w:sz w:val="28"/>
          <w:szCs w:val="28"/>
        </w:rPr>
        <w:t xml:space="preserve">. Kampaņas mērķis ir </w:t>
      </w:r>
      <w:r w:rsidRPr="006222C1">
        <w:rPr>
          <w:rFonts w:ascii="Times New Roman" w:hAnsi="Times New Roman" w:cs="Times New Roman"/>
          <w:sz w:val="28"/>
          <w:szCs w:val="28"/>
        </w:rPr>
        <w:t>aicināt sabiedrību nepieļaut koruptīvas darbības, koruptīvu lēmumu pieņemšanu</w:t>
      </w:r>
      <w:r>
        <w:rPr>
          <w:rFonts w:ascii="Times New Roman" w:hAnsi="Times New Roman" w:cs="Times New Roman"/>
          <w:sz w:val="28"/>
          <w:szCs w:val="28"/>
        </w:rPr>
        <w:t xml:space="preserve">. </w:t>
      </w:r>
      <w:r w:rsidR="00281DDB" w:rsidRPr="00281DDB">
        <w:rPr>
          <w:rFonts w:ascii="Times New Roman" w:hAnsi="Times New Roman" w:cs="Times New Roman"/>
          <w:sz w:val="28"/>
          <w:szCs w:val="28"/>
        </w:rPr>
        <w:t xml:space="preserve">Pārskata periodā tika rīkotas </w:t>
      </w:r>
      <w:r>
        <w:rPr>
          <w:rFonts w:ascii="Times New Roman" w:hAnsi="Times New Roman" w:cs="Times New Roman"/>
          <w:sz w:val="28"/>
          <w:szCs w:val="28"/>
        </w:rPr>
        <w:t xml:space="preserve">arī </w:t>
      </w:r>
      <w:r w:rsidR="00281DDB" w:rsidRPr="00281DDB">
        <w:rPr>
          <w:rFonts w:ascii="Times New Roman" w:hAnsi="Times New Roman" w:cs="Times New Roman"/>
          <w:sz w:val="28"/>
          <w:szCs w:val="28"/>
        </w:rPr>
        <w:t xml:space="preserve">divas Sabiedriski konsultatīvās padomes sēdes, viena informatīvā diena Latgalē. </w:t>
      </w:r>
    </w:p>
    <w:p w:rsidR="00281DDB" w:rsidRDefault="00281DDB" w:rsidP="00281DDB">
      <w:pPr>
        <w:pStyle w:val="NoSpacing"/>
        <w:ind w:firstLine="567"/>
        <w:jc w:val="both"/>
        <w:rPr>
          <w:rFonts w:ascii="Times New Roman" w:hAnsi="Times New Roman" w:cs="Times New Roman"/>
          <w:sz w:val="28"/>
          <w:szCs w:val="28"/>
        </w:rPr>
      </w:pPr>
      <w:r w:rsidRPr="00281DDB">
        <w:rPr>
          <w:rFonts w:ascii="Times New Roman" w:hAnsi="Times New Roman" w:cs="Times New Roman"/>
          <w:sz w:val="28"/>
          <w:szCs w:val="28"/>
        </w:rPr>
        <w:t>Informējot sabiedrību par korupcijas attīstības tendencēm un atklātajiem korupcijas gadījumiem, kā arī par veiktajiem pasākumiem korupcijas novēršanai un apkarošanai, 2015.gada pēdējos sešos mēnešos Biroja amatpersonas ir sagatavojušas un publicējušas 55 paziņojumu</w:t>
      </w:r>
      <w:r w:rsidR="000664D2">
        <w:rPr>
          <w:rFonts w:ascii="Times New Roman" w:hAnsi="Times New Roman" w:cs="Times New Roman"/>
          <w:sz w:val="28"/>
          <w:szCs w:val="28"/>
        </w:rPr>
        <w:t>s plašsaziņas līdzekļiem un 269 </w:t>
      </w:r>
      <w:r w:rsidRPr="00281DDB">
        <w:rPr>
          <w:rFonts w:ascii="Times New Roman" w:hAnsi="Times New Roman" w:cs="Times New Roman"/>
          <w:sz w:val="28"/>
          <w:szCs w:val="28"/>
        </w:rPr>
        <w:t>reizes sniegušas atbildes uz mediju pārstāvju jautājumiem.</w:t>
      </w:r>
    </w:p>
    <w:p w:rsidR="002A5D00" w:rsidRDefault="004B274F" w:rsidP="00761130">
      <w:pPr>
        <w:pStyle w:val="NoSpacing"/>
        <w:ind w:firstLine="567"/>
        <w:jc w:val="both"/>
        <w:rPr>
          <w:rFonts w:ascii="Times New Roman" w:hAnsi="Times New Roman" w:cs="Times New Roman"/>
          <w:sz w:val="28"/>
          <w:szCs w:val="28"/>
        </w:rPr>
      </w:pPr>
      <w:r w:rsidRPr="004B274F">
        <w:rPr>
          <w:rFonts w:ascii="Times New Roman" w:hAnsi="Times New Roman" w:cs="Times New Roman"/>
          <w:sz w:val="28"/>
          <w:szCs w:val="28"/>
        </w:rPr>
        <w:t xml:space="preserve">2015.gada otrajā pusgadā tika veikta socioloģiskā aptauja par sabiedrības attieksmi pret korupciju. Kā liecina pētījuma rezultāti, tad aizvien turpina samazināties to iedzīvotāju skaits, kuri ir veikuši koruptīvas darbības veselības aprūpes sistēmā, saskarsmē ar Ceļu policiju, veicot autotransporta reģistrāciju vai tehnisko apskati, veicot pases apmaiņu vai iegūšanu, kā arī kārtojot uzturēšanās atļaujas vai izsaukumus. Tomēr pētījums arī atklāj, ka par vienu </w:t>
      </w:r>
      <w:r w:rsidRPr="004B274F">
        <w:rPr>
          <w:rFonts w:ascii="Times New Roman" w:hAnsi="Times New Roman" w:cs="Times New Roman"/>
          <w:sz w:val="28"/>
          <w:szCs w:val="28"/>
        </w:rPr>
        <w:lastRenderedPageBreak/>
        <w:t xml:space="preserve">procentpunktu pieaudzis to respondentu skaits, kuri izmantojuši koruptīvas darbības jautājumu kārtošanā tiesā, izmantojot neoficiālus maksājumus, dāvanas vai pazīšanos. </w:t>
      </w:r>
      <w:r w:rsidR="000664D2">
        <w:rPr>
          <w:rFonts w:ascii="Times New Roman" w:hAnsi="Times New Roman" w:cs="Times New Roman"/>
          <w:sz w:val="28"/>
          <w:szCs w:val="28"/>
        </w:rPr>
        <w:t>Savukārt pozitīvi vērtējams tas</w:t>
      </w:r>
      <w:r w:rsidRPr="004B274F">
        <w:rPr>
          <w:rFonts w:ascii="Times New Roman" w:hAnsi="Times New Roman" w:cs="Times New Roman"/>
          <w:sz w:val="28"/>
          <w:szCs w:val="28"/>
        </w:rPr>
        <w:t>, ka samazinājies to iedzīvotāju skaits, kuri veikuši salīdzinoši nopietnākas koruptīvas darbības – devuši kukuļos summas virs 7 EUR vai vērtīgas dāvanas. Kukuļa došanas iespēju valsts amatpersonai pieļāva 22,2% aptaujāto Latvijas iedzīvotāju un tas ir par 7,3% mazāk nekā 2014. gada pētījumā.</w:t>
      </w:r>
    </w:p>
    <w:p w:rsidR="006C1384" w:rsidRPr="00611589" w:rsidRDefault="006C1384" w:rsidP="008373C7">
      <w:pPr>
        <w:spacing w:after="0" w:line="240" w:lineRule="auto"/>
        <w:ind w:firstLine="567"/>
        <w:jc w:val="both"/>
        <w:rPr>
          <w:rFonts w:ascii="Times New Roman" w:hAnsi="Times New Roman" w:cs="Times New Roman"/>
        </w:rPr>
      </w:pPr>
    </w:p>
    <w:p w:rsidR="008F32BD" w:rsidRPr="00752EF4" w:rsidRDefault="008F32BD" w:rsidP="00752EF4">
      <w:pPr>
        <w:pStyle w:val="ListParagraph"/>
        <w:numPr>
          <w:ilvl w:val="1"/>
          <w:numId w:val="28"/>
        </w:numPr>
        <w:autoSpaceDE w:val="0"/>
        <w:autoSpaceDN w:val="0"/>
        <w:adjustRightInd w:val="0"/>
        <w:spacing w:after="120" w:line="240" w:lineRule="auto"/>
        <w:jc w:val="center"/>
        <w:rPr>
          <w:rStyle w:val="Strong"/>
          <w:rFonts w:ascii="Times New Roman" w:hAnsi="Times New Roman" w:cs="Times New Roman"/>
          <w:sz w:val="28"/>
          <w:szCs w:val="28"/>
        </w:rPr>
      </w:pPr>
      <w:r w:rsidRPr="00752EF4">
        <w:rPr>
          <w:rStyle w:val="Strong"/>
          <w:rFonts w:ascii="Times New Roman" w:hAnsi="Times New Roman" w:cs="Times New Roman"/>
          <w:sz w:val="28"/>
          <w:szCs w:val="28"/>
        </w:rPr>
        <w:t>Valsts amatpersonu darbības kontrole</w:t>
      </w:r>
    </w:p>
    <w:p w:rsidR="007C66BE" w:rsidRPr="008F2EE9" w:rsidRDefault="003D70F1" w:rsidP="008F2EE9">
      <w:pPr>
        <w:spacing w:after="0" w:line="240" w:lineRule="auto"/>
        <w:ind w:firstLine="567"/>
        <w:jc w:val="both"/>
        <w:rPr>
          <w:rFonts w:ascii="Times New Roman" w:eastAsia="Times New Roman" w:hAnsi="Times New Roman" w:cs="Times New Roman"/>
          <w:sz w:val="28"/>
          <w:szCs w:val="28"/>
          <w:lang w:eastAsia="lv-LV"/>
        </w:rPr>
      </w:pPr>
      <w:r w:rsidRPr="007F12DB">
        <w:rPr>
          <w:rFonts w:ascii="Times New Roman" w:eastAsia="Times New Roman" w:hAnsi="Times New Roman" w:cs="Times New Roman"/>
          <w:sz w:val="28"/>
          <w:szCs w:val="28"/>
          <w:lang w:eastAsia="lv-LV"/>
        </w:rPr>
        <w:t xml:space="preserve">Lai nodrošinātu valsts amatpersonu darbību sabiedrības interesēs, novēršot jebkuras </w:t>
      </w:r>
      <w:r w:rsidR="007C66BE" w:rsidRPr="007F12DB">
        <w:rPr>
          <w:rFonts w:ascii="Times New Roman" w:eastAsia="Times New Roman" w:hAnsi="Times New Roman" w:cs="Times New Roman"/>
          <w:sz w:val="28"/>
          <w:szCs w:val="28"/>
          <w:lang w:eastAsia="lv-LV"/>
        </w:rPr>
        <w:t xml:space="preserve">valsts </w:t>
      </w:r>
      <w:r w:rsidRPr="007F12DB">
        <w:rPr>
          <w:rFonts w:ascii="Times New Roman" w:eastAsia="Times New Roman" w:hAnsi="Times New Roman" w:cs="Times New Roman"/>
          <w:sz w:val="28"/>
          <w:szCs w:val="28"/>
          <w:lang w:eastAsia="lv-LV"/>
        </w:rPr>
        <w:t xml:space="preserve">amatpersonas, tās radinieku vai darījumu partneru personiskās vai mantiskās ieinteresētības ietekmi uz valsts amatpersonas </w:t>
      </w:r>
      <w:r w:rsidR="007C66BE" w:rsidRPr="007F12DB">
        <w:rPr>
          <w:rFonts w:ascii="Times New Roman" w:eastAsia="Times New Roman" w:hAnsi="Times New Roman" w:cs="Times New Roman"/>
          <w:sz w:val="28"/>
          <w:szCs w:val="28"/>
          <w:lang w:eastAsia="lv-LV"/>
        </w:rPr>
        <w:t>darbību</w:t>
      </w:r>
      <w:r w:rsidRPr="007F12DB">
        <w:rPr>
          <w:rFonts w:ascii="Times New Roman" w:eastAsia="Times New Roman" w:hAnsi="Times New Roman" w:cs="Times New Roman"/>
          <w:sz w:val="28"/>
          <w:szCs w:val="28"/>
          <w:lang w:eastAsia="lv-LV"/>
        </w:rPr>
        <w:t>, Birojs kontrolē</w:t>
      </w:r>
      <w:r w:rsidR="007C66BE" w:rsidRPr="007F12DB">
        <w:rPr>
          <w:rFonts w:ascii="Times New Roman" w:eastAsia="Times New Roman" w:hAnsi="Times New Roman" w:cs="Times New Roman"/>
          <w:sz w:val="28"/>
          <w:szCs w:val="28"/>
          <w:lang w:eastAsia="lv-LV"/>
        </w:rPr>
        <w:t xml:space="preserve"> likuma „Par interešu konflikta novēršanu valsts amatpersonu darbībā” izpildi</w:t>
      </w:r>
      <w:r w:rsidRPr="007F12DB">
        <w:rPr>
          <w:rFonts w:ascii="Times New Roman" w:eastAsia="Times New Roman" w:hAnsi="Times New Roman" w:cs="Times New Roman"/>
          <w:sz w:val="28"/>
          <w:szCs w:val="28"/>
          <w:lang w:eastAsia="lv-LV"/>
        </w:rPr>
        <w:t xml:space="preserve">, kā arī </w:t>
      </w:r>
      <w:r w:rsidR="007C66BE" w:rsidRPr="007F12DB">
        <w:rPr>
          <w:rFonts w:ascii="Times New Roman" w:eastAsia="Times New Roman" w:hAnsi="Times New Roman" w:cs="Times New Roman"/>
          <w:sz w:val="28"/>
          <w:szCs w:val="28"/>
          <w:lang w:eastAsia="lv-LV"/>
        </w:rPr>
        <w:t xml:space="preserve">citos </w:t>
      </w:r>
      <w:r w:rsidRPr="007F12DB">
        <w:rPr>
          <w:rFonts w:ascii="Times New Roman" w:eastAsia="Times New Roman" w:hAnsi="Times New Roman" w:cs="Times New Roman"/>
          <w:sz w:val="28"/>
          <w:szCs w:val="28"/>
          <w:lang w:eastAsia="lv-LV"/>
        </w:rPr>
        <w:t xml:space="preserve">normatīvajos aktos </w:t>
      </w:r>
      <w:r w:rsidR="007C66BE" w:rsidRPr="007F12DB">
        <w:rPr>
          <w:rFonts w:ascii="Times New Roman" w:eastAsia="Times New Roman" w:hAnsi="Times New Roman" w:cs="Times New Roman"/>
          <w:sz w:val="28"/>
          <w:szCs w:val="28"/>
          <w:lang w:eastAsia="lv-LV"/>
        </w:rPr>
        <w:t xml:space="preserve">valsts amatpersonām noteikto </w:t>
      </w:r>
      <w:r w:rsidRPr="007F12DB">
        <w:rPr>
          <w:rFonts w:ascii="Times New Roman" w:eastAsia="Times New Roman" w:hAnsi="Times New Roman" w:cs="Times New Roman"/>
          <w:sz w:val="28"/>
          <w:szCs w:val="28"/>
          <w:lang w:eastAsia="lv-LV"/>
        </w:rPr>
        <w:t>papildu ierobežojumu ievērošanu.</w:t>
      </w:r>
      <w:r w:rsidR="00BF1952" w:rsidRPr="007F12DB">
        <w:rPr>
          <w:rFonts w:ascii="Times New Roman" w:eastAsia="Times New Roman" w:hAnsi="Times New Roman" w:cs="Times New Roman"/>
          <w:sz w:val="28"/>
          <w:szCs w:val="28"/>
          <w:lang w:eastAsia="lv-LV"/>
        </w:rPr>
        <w:t xml:space="preserve"> </w:t>
      </w:r>
      <w:r w:rsidR="008F2EE9" w:rsidRPr="008F2EE9">
        <w:rPr>
          <w:rFonts w:ascii="Times New Roman" w:eastAsia="Times New Roman" w:hAnsi="Times New Roman" w:cs="Times New Roman"/>
          <w:sz w:val="28"/>
          <w:szCs w:val="28"/>
          <w:lang w:eastAsia="lv-LV"/>
        </w:rPr>
        <w:t xml:space="preserve">Izskatot iesniegumus un sūdzības par valsts amatpersonu iespējamo darbību interešu konflikta situācijā, vienlaicīgi </w:t>
      </w:r>
      <w:r w:rsidR="008F2EE9">
        <w:rPr>
          <w:rFonts w:ascii="Times New Roman" w:eastAsia="Times New Roman" w:hAnsi="Times New Roman" w:cs="Times New Roman"/>
          <w:sz w:val="28"/>
          <w:szCs w:val="28"/>
          <w:lang w:eastAsia="lv-LV"/>
        </w:rPr>
        <w:t>tiek</w:t>
      </w:r>
      <w:r w:rsidR="008F2EE9" w:rsidRPr="008F2EE9">
        <w:rPr>
          <w:rFonts w:ascii="Times New Roman" w:eastAsia="Times New Roman" w:hAnsi="Times New Roman" w:cs="Times New Roman"/>
          <w:sz w:val="28"/>
          <w:szCs w:val="28"/>
          <w:lang w:eastAsia="lv-LV"/>
        </w:rPr>
        <w:t xml:space="preserve"> pārbaudīta šo valsts amatpersonu deklarācijās norādītā informācija, lai konstatētu, vai valsts amatpersonas ir ievērojušas likumā “Par interešu konflikta novēršanu valsts amatpersonu darbībā” noteiktos ierobežojumus, aizliegumus un pienākumus.</w:t>
      </w:r>
      <w:r w:rsidR="008F2EE9">
        <w:rPr>
          <w:rFonts w:ascii="Times New Roman" w:eastAsia="Times New Roman" w:hAnsi="Times New Roman" w:cs="Times New Roman"/>
          <w:sz w:val="28"/>
          <w:szCs w:val="28"/>
          <w:lang w:eastAsia="lv-LV"/>
        </w:rPr>
        <w:t xml:space="preserve"> </w:t>
      </w:r>
      <w:r w:rsidR="007C66BE" w:rsidRPr="007F12DB">
        <w:rPr>
          <w:rFonts w:ascii="Times New Roman" w:hAnsi="Times New Roman" w:cs="Times New Roman"/>
          <w:sz w:val="28"/>
          <w:szCs w:val="28"/>
        </w:rPr>
        <w:t xml:space="preserve">Veicot </w:t>
      </w:r>
      <w:r w:rsidR="008F2EE9">
        <w:rPr>
          <w:rFonts w:ascii="Times New Roman" w:hAnsi="Times New Roman" w:cs="Times New Roman"/>
          <w:sz w:val="28"/>
          <w:szCs w:val="28"/>
        </w:rPr>
        <w:t xml:space="preserve">minētās </w:t>
      </w:r>
      <w:r w:rsidR="000664D2">
        <w:rPr>
          <w:rFonts w:ascii="Times New Roman" w:hAnsi="Times New Roman" w:cs="Times New Roman"/>
          <w:sz w:val="28"/>
          <w:szCs w:val="28"/>
        </w:rPr>
        <w:t>funkcijas</w:t>
      </w:r>
      <w:r w:rsidR="007C66BE" w:rsidRPr="007F12DB">
        <w:rPr>
          <w:rFonts w:ascii="Times New Roman" w:hAnsi="Times New Roman" w:cs="Times New Roman"/>
          <w:sz w:val="28"/>
          <w:szCs w:val="28"/>
        </w:rPr>
        <w:t xml:space="preserve">, 2015.gada </w:t>
      </w:r>
      <w:r w:rsidR="0001365F" w:rsidRPr="007F12DB">
        <w:rPr>
          <w:rFonts w:ascii="Times New Roman" w:hAnsi="Times New Roman" w:cs="Times New Roman"/>
          <w:sz w:val="28"/>
          <w:szCs w:val="28"/>
        </w:rPr>
        <w:t>otrajā</w:t>
      </w:r>
      <w:r w:rsidR="007C66BE" w:rsidRPr="007F12DB">
        <w:rPr>
          <w:rFonts w:ascii="Times New Roman" w:hAnsi="Times New Roman" w:cs="Times New Roman"/>
          <w:sz w:val="28"/>
          <w:szCs w:val="28"/>
        </w:rPr>
        <w:t xml:space="preserve"> pusgadā Birojs pabeidza 2</w:t>
      </w:r>
      <w:r w:rsidR="0001365F" w:rsidRPr="007F12DB">
        <w:rPr>
          <w:rFonts w:ascii="Times New Roman" w:hAnsi="Times New Roman" w:cs="Times New Roman"/>
          <w:sz w:val="28"/>
          <w:szCs w:val="28"/>
        </w:rPr>
        <w:t>10</w:t>
      </w:r>
      <w:r w:rsidR="007C66BE" w:rsidRPr="007F12DB">
        <w:rPr>
          <w:rFonts w:ascii="Times New Roman" w:hAnsi="Times New Roman" w:cs="Times New Roman"/>
          <w:sz w:val="28"/>
          <w:szCs w:val="28"/>
        </w:rPr>
        <w:t xml:space="preserve"> pārbaudes (</w:t>
      </w:r>
      <w:r w:rsidR="0001365F" w:rsidRPr="007F12DB">
        <w:rPr>
          <w:rFonts w:ascii="Times New Roman" w:hAnsi="Times New Roman" w:cs="Times New Roman"/>
          <w:sz w:val="28"/>
          <w:szCs w:val="28"/>
        </w:rPr>
        <w:t>2015</w:t>
      </w:r>
      <w:r w:rsidR="007C66BE" w:rsidRPr="007F12DB">
        <w:rPr>
          <w:rFonts w:ascii="Times New Roman" w:hAnsi="Times New Roman" w:cs="Times New Roman"/>
          <w:sz w:val="28"/>
          <w:szCs w:val="28"/>
        </w:rPr>
        <w:t>.gad</w:t>
      </w:r>
      <w:r w:rsidR="0001365F" w:rsidRPr="007F12DB">
        <w:rPr>
          <w:rFonts w:ascii="Times New Roman" w:hAnsi="Times New Roman" w:cs="Times New Roman"/>
          <w:sz w:val="28"/>
          <w:szCs w:val="28"/>
        </w:rPr>
        <w:t>ā kopā</w:t>
      </w:r>
      <w:r w:rsidR="007C66BE" w:rsidRPr="007F12DB">
        <w:rPr>
          <w:rFonts w:ascii="Times New Roman" w:hAnsi="Times New Roman" w:cs="Times New Roman"/>
          <w:sz w:val="28"/>
          <w:szCs w:val="28"/>
        </w:rPr>
        <w:t xml:space="preserve"> – </w:t>
      </w:r>
      <w:r w:rsidR="0001365F" w:rsidRPr="007F12DB">
        <w:rPr>
          <w:rFonts w:ascii="Times New Roman" w:hAnsi="Times New Roman" w:cs="Times New Roman"/>
          <w:sz w:val="28"/>
          <w:szCs w:val="28"/>
        </w:rPr>
        <w:t>436</w:t>
      </w:r>
      <w:r w:rsidR="007C66BE" w:rsidRPr="007F12DB">
        <w:rPr>
          <w:rFonts w:ascii="Times New Roman" w:hAnsi="Times New Roman" w:cs="Times New Roman"/>
          <w:sz w:val="28"/>
          <w:szCs w:val="28"/>
        </w:rPr>
        <w:t xml:space="preserve"> pārbaudes). Veikto pārbaužu ietvaros atbilstoši savai kompetencei Birojs ir izvērtējis </w:t>
      </w:r>
      <w:r w:rsidR="0001365F" w:rsidRPr="007F12DB">
        <w:rPr>
          <w:rFonts w:ascii="Times New Roman" w:hAnsi="Times New Roman" w:cs="Times New Roman"/>
          <w:sz w:val="28"/>
          <w:szCs w:val="28"/>
        </w:rPr>
        <w:t>449</w:t>
      </w:r>
      <w:r w:rsidR="007C66BE" w:rsidRPr="007F12DB">
        <w:rPr>
          <w:rFonts w:ascii="Times New Roman" w:hAnsi="Times New Roman" w:cs="Times New Roman"/>
          <w:sz w:val="28"/>
          <w:szCs w:val="28"/>
        </w:rPr>
        <w:t xml:space="preserve"> amatpersonu darbību, pārbaudot </w:t>
      </w:r>
      <w:r w:rsidR="0001365F" w:rsidRPr="007F12DB">
        <w:rPr>
          <w:rFonts w:ascii="Times New Roman" w:hAnsi="Times New Roman" w:cs="Times New Roman"/>
          <w:sz w:val="28"/>
          <w:szCs w:val="28"/>
        </w:rPr>
        <w:t>516</w:t>
      </w:r>
      <w:r w:rsidR="007C66BE" w:rsidRPr="007F12DB">
        <w:rPr>
          <w:rFonts w:ascii="Times New Roman" w:hAnsi="Times New Roman" w:cs="Times New Roman"/>
          <w:sz w:val="28"/>
          <w:szCs w:val="28"/>
        </w:rPr>
        <w:t xml:space="preserve"> amatpersonu deklarācijas</w:t>
      </w:r>
      <w:r w:rsidR="0001365F" w:rsidRPr="007F12DB">
        <w:rPr>
          <w:rFonts w:ascii="Times New Roman" w:hAnsi="Times New Roman" w:cs="Times New Roman"/>
          <w:sz w:val="28"/>
          <w:szCs w:val="28"/>
        </w:rPr>
        <w:t xml:space="preserve"> (kopā 2015.gadā 948 valsts amatpersonas, pārbaudot 1206 deklarācijas)</w:t>
      </w:r>
      <w:r w:rsidR="007F12DB">
        <w:rPr>
          <w:rFonts w:ascii="Times New Roman" w:hAnsi="Times New Roman" w:cs="Times New Roman"/>
          <w:sz w:val="28"/>
          <w:szCs w:val="28"/>
        </w:rPr>
        <w:t>.</w:t>
      </w:r>
    </w:p>
    <w:p w:rsidR="007C66BE" w:rsidRPr="007F12DB" w:rsidRDefault="003D70F1" w:rsidP="00752EF4">
      <w:pPr>
        <w:spacing w:after="0" w:line="240" w:lineRule="auto"/>
        <w:ind w:firstLine="567"/>
        <w:jc w:val="both"/>
        <w:rPr>
          <w:rFonts w:ascii="Times New Roman" w:hAnsi="Times New Roman" w:cs="Times New Roman"/>
          <w:sz w:val="28"/>
          <w:szCs w:val="28"/>
        </w:rPr>
      </w:pPr>
      <w:r w:rsidRPr="007F12DB">
        <w:rPr>
          <w:rFonts w:ascii="Times New Roman" w:eastAsia="Times New Roman" w:hAnsi="Times New Roman" w:cs="Times New Roman"/>
          <w:sz w:val="28"/>
          <w:szCs w:val="28"/>
          <w:lang w:eastAsia="lv-LV"/>
        </w:rPr>
        <w:t xml:space="preserve">Saistībā ar likumā „Par interešu konflikta novēršanu valsts amatpersonu darbībā” </w:t>
      </w:r>
      <w:r w:rsidR="007C66BE" w:rsidRPr="007F12DB">
        <w:rPr>
          <w:rFonts w:ascii="Times New Roman" w:eastAsia="Times New Roman" w:hAnsi="Times New Roman" w:cs="Times New Roman"/>
          <w:sz w:val="28"/>
          <w:szCs w:val="28"/>
          <w:lang w:eastAsia="lv-LV"/>
        </w:rPr>
        <w:t xml:space="preserve">valsts amatpersonām </w:t>
      </w:r>
      <w:r w:rsidRPr="007F12DB">
        <w:rPr>
          <w:rFonts w:ascii="Times New Roman" w:eastAsia="Times New Roman" w:hAnsi="Times New Roman" w:cs="Times New Roman"/>
          <w:sz w:val="28"/>
          <w:szCs w:val="28"/>
          <w:lang w:eastAsia="lv-LV"/>
        </w:rPr>
        <w:t>not</w:t>
      </w:r>
      <w:r w:rsidR="006E36A4" w:rsidRPr="007F12DB">
        <w:rPr>
          <w:rFonts w:ascii="Times New Roman" w:eastAsia="Times New Roman" w:hAnsi="Times New Roman" w:cs="Times New Roman"/>
          <w:sz w:val="28"/>
          <w:szCs w:val="28"/>
          <w:lang w:eastAsia="lv-LV"/>
        </w:rPr>
        <w:t>eikto ierobežojumu</w:t>
      </w:r>
      <w:r w:rsidR="007C66BE" w:rsidRPr="007F12DB">
        <w:rPr>
          <w:rFonts w:ascii="Times New Roman" w:eastAsia="Times New Roman" w:hAnsi="Times New Roman" w:cs="Times New Roman"/>
          <w:sz w:val="28"/>
          <w:szCs w:val="28"/>
          <w:lang w:eastAsia="lv-LV"/>
        </w:rPr>
        <w:t>, aizliegumu un pienākumu</w:t>
      </w:r>
      <w:r w:rsidR="006E36A4" w:rsidRPr="007F12DB">
        <w:rPr>
          <w:rFonts w:ascii="Times New Roman" w:eastAsia="Times New Roman" w:hAnsi="Times New Roman" w:cs="Times New Roman"/>
          <w:sz w:val="28"/>
          <w:szCs w:val="28"/>
          <w:lang w:eastAsia="lv-LV"/>
        </w:rPr>
        <w:t xml:space="preserve"> neievērošanu, </w:t>
      </w:r>
      <w:r w:rsidR="004568FC" w:rsidRPr="007F12DB">
        <w:rPr>
          <w:rFonts w:ascii="Times New Roman" w:eastAsia="Times New Roman" w:hAnsi="Times New Roman" w:cs="Times New Roman"/>
          <w:sz w:val="28"/>
          <w:szCs w:val="28"/>
          <w:lang w:eastAsia="lv-LV"/>
        </w:rPr>
        <w:t>p</w:t>
      </w:r>
      <w:r w:rsidR="001205CE" w:rsidRPr="007F12DB">
        <w:rPr>
          <w:rFonts w:ascii="Times New Roman" w:hAnsi="Times New Roman" w:cs="Times New Roman"/>
          <w:sz w:val="28"/>
          <w:szCs w:val="28"/>
        </w:rPr>
        <w:t xml:space="preserve">ārskata periodā </w:t>
      </w:r>
      <w:r w:rsidR="0001365F" w:rsidRPr="007F12DB">
        <w:rPr>
          <w:rFonts w:ascii="Times New Roman" w:hAnsi="Times New Roman" w:cs="Times New Roman"/>
          <w:sz w:val="28"/>
          <w:szCs w:val="28"/>
        </w:rPr>
        <w:t>85</w:t>
      </w:r>
      <w:r w:rsidR="007F12DB">
        <w:rPr>
          <w:rFonts w:ascii="Times New Roman" w:hAnsi="Times New Roman" w:cs="Times New Roman"/>
          <w:sz w:val="28"/>
          <w:szCs w:val="28"/>
        </w:rPr>
        <w:t xml:space="preserve"> gadījumos</w:t>
      </w:r>
      <w:r w:rsidR="007C66BE" w:rsidRPr="007F12DB">
        <w:rPr>
          <w:rFonts w:ascii="Times New Roman" w:hAnsi="Times New Roman" w:cs="Times New Roman"/>
          <w:sz w:val="28"/>
          <w:szCs w:val="28"/>
        </w:rPr>
        <w:t xml:space="preserve"> ir uzsākta lietvedība administratīvā pārkāpuma lietā (</w:t>
      </w:r>
      <w:r w:rsidR="0001365F" w:rsidRPr="007F12DB">
        <w:rPr>
          <w:rFonts w:ascii="Times New Roman" w:hAnsi="Times New Roman" w:cs="Times New Roman"/>
          <w:sz w:val="28"/>
          <w:szCs w:val="28"/>
        </w:rPr>
        <w:t>2015.</w:t>
      </w:r>
      <w:r w:rsidR="007C66BE" w:rsidRPr="007F12DB">
        <w:rPr>
          <w:rFonts w:ascii="Times New Roman" w:hAnsi="Times New Roman" w:cs="Times New Roman"/>
          <w:sz w:val="28"/>
          <w:szCs w:val="28"/>
        </w:rPr>
        <w:t>gad</w:t>
      </w:r>
      <w:r w:rsidR="0001365F" w:rsidRPr="007F12DB">
        <w:rPr>
          <w:rFonts w:ascii="Times New Roman" w:hAnsi="Times New Roman" w:cs="Times New Roman"/>
          <w:sz w:val="28"/>
          <w:szCs w:val="28"/>
        </w:rPr>
        <w:t>ā</w:t>
      </w:r>
      <w:r w:rsidR="007C66BE" w:rsidRPr="007F12DB">
        <w:rPr>
          <w:rFonts w:ascii="Times New Roman" w:hAnsi="Times New Roman" w:cs="Times New Roman"/>
          <w:sz w:val="28"/>
          <w:szCs w:val="28"/>
        </w:rPr>
        <w:t xml:space="preserve"> </w:t>
      </w:r>
      <w:r w:rsidR="0001365F" w:rsidRPr="007F12DB">
        <w:rPr>
          <w:rFonts w:ascii="Times New Roman" w:hAnsi="Times New Roman" w:cs="Times New Roman"/>
          <w:sz w:val="28"/>
          <w:szCs w:val="28"/>
        </w:rPr>
        <w:t>kopā</w:t>
      </w:r>
      <w:r w:rsidR="007C66BE" w:rsidRPr="007F12DB">
        <w:rPr>
          <w:rFonts w:ascii="Times New Roman" w:hAnsi="Times New Roman" w:cs="Times New Roman"/>
          <w:sz w:val="28"/>
          <w:szCs w:val="28"/>
        </w:rPr>
        <w:t xml:space="preserve"> – </w:t>
      </w:r>
      <w:r w:rsidR="0001365F" w:rsidRPr="007F12DB">
        <w:rPr>
          <w:rFonts w:ascii="Times New Roman" w:hAnsi="Times New Roman" w:cs="Times New Roman"/>
          <w:sz w:val="28"/>
          <w:szCs w:val="28"/>
        </w:rPr>
        <w:t>217</w:t>
      </w:r>
      <w:r w:rsidR="007C66BE" w:rsidRPr="007F12DB">
        <w:rPr>
          <w:rFonts w:ascii="Times New Roman" w:hAnsi="Times New Roman" w:cs="Times New Roman"/>
          <w:sz w:val="28"/>
          <w:szCs w:val="28"/>
        </w:rPr>
        <w:t xml:space="preserve"> gadījumos).</w:t>
      </w:r>
    </w:p>
    <w:p w:rsidR="002503A3" w:rsidRDefault="007C66BE" w:rsidP="00752EF4">
      <w:pPr>
        <w:spacing w:after="0" w:line="240" w:lineRule="auto"/>
        <w:ind w:firstLine="567"/>
        <w:jc w:val="both"/>
        <w:rPr>
          <w:rFonts w:ascii="Times New Roman" w:hAnsi="Times New Roman" w:cs="Times New Roman"/>
          <w:sz w:val="28"/>
          <w:szCs w:val="28"/>
        </w:rPr>
      </w:pPr>
      <w:r w:rsidRPr="007F12DB">
        <w:rPr>
          <w:rFonts w:ascii="Times New Roman" w:hAnsi="Times New Roman" w:cs="Times New Roman"/>
          <w:sz w:val="28"/>
          <w:szCs w:val="28"/>
        </w:rPr>
        <w:t>Pārskata periodā ir</w:t>
      </w:r>
      <w:r w:rsidR="005A47AC" w:rsidRPr="007F12DB">
        <w:rPr>
          <w:rFonts w:ascii="Times New Roman" w:hAnsi="Times New Roman" w:cs="Times New Roman"/>
          <w:sz w:val="28"/>
          <w:szCs w:val="28"/>
        </w:rPr>
        <w:t xml:space="preserve"> </w:t>
      </w:r>
      <w:r w:rsidR="001205CE" w:rsidRPr="007F12DB">
        <w:rPr>
          <w:rFonts w:ascii="Times New Roman" w:hAnsi="Times New Roman" w:cs="Times New Roman"/>
          <w:sz w:val="28"/>
          <w:szCs w:val="28"/>
        </w:rPr>
        <w:t xml:space="preserve">pieņemti </w:t>
      </w:r>
      <w:r w:rsidR="0001365F" w:rsidRPr="007F12DB">
        <w:rPr>
          <w:rFonts w:ascii="Times New Roman" w:hAnsi="Times New Roman" w:cs="Times New Roman"/>
          <w:sz w:val="28"/>
          <w:szCs w:val="28"/>
        </w:rPr>
        <w:t>134</w:t>
      </w:r>
      <w:r w:rsidR="004568FC" w:rsidRPr="007F12DB">
        <w:rPr>
          <w:rFonts w:ascii="Times New Roman" w:hAnsi="Times New Roman" w:cs="Times New Roman"/>
          <w:sz w:val="28"/>
          <w:szCs w:val="28"/>
        </w:rPr>
        <w:t> </w:t>
      </w:r>
      <w:r w:rsidR="001205CE" w:rsidRPr="007F12DB">
        <w:rPr>
          <w:rFonts w:ascii="Times New Roman" w:hAnsi="Times New Roman" w:cs="Times New Roman"/>
          <w:sz w:val="28"/>
          <w:szCs w:val="28"/>
        </w:rPr>
        <w:t>lēmumi administratīvā pārkāpuma lietā</w:t>
      </w:r>
      <w:r w:rsidR="007F12DB">
        <w:rPr>
          <w:rFonts w:ascii="Times New Roman" w:hAnsi="Times New Roman" w:cs="Times New Roman"/>
          <w:sz w:val="28"/>
          <w:szCs w:val="28"/>
        </w:rPr>
        <w:t>s</w:t>
      </w:r>
      <w:r w:rsidR="009D0284" w:rsidRPr="007F12DB">
        <w:rPr>
          <w:rFonts w:ascii="Times New Roman" w:hAnsi="Times New Roman" w:cs="Times New Roman"/>
          <w:sz w:val="28"/>
          <w:szCs w:val="28"/>
        </w:rPr>
        <w:t xml:space="preserve"> (201</w:t>
      </w:r>
      <w:r w:rsidR="0001365F" w:rsidRPr="007F12DB">
        <w:rPr>
          <w:rFonts w:ascii="Times New Roman" w:hAnsi="Times New Roman" w:cs="Times New Roman"/>
          <w:sz w:val="28"/>
          <w:szCs w:val="28"/>
        </w:rPr>
        <w:t>5</w:t>
      </w:r>
      <w:r w:rsidR="009D0284" w:rsidRPr="007F12DB">
        <w:rPr>
          <w:rFonts w:ascii="Times New Roman" w:hAnsi="Times New Roman" w:cs="Times New Roman"/>
          <w:sz w:val="28"/>
          <w:szCs w:val="28"/>
        </w:rPr>
        <w:t>.gad</w:t>
      </w:r>
      <w:r w:rsidR="0001365F" w:rsidRPr="007F12DB">
        <w:rPr>
          <w:rFonts w:ascii="Times New Roman" w:hAnsi="Times New Roman" w:cs="Times New Roman"/>
          <w:sz w:val="28"/>
          <w:szCs w:val="28"/>
        </w:rPr>
        <w:t>ā</w:t>
      </w:r>
      <w:r w:rsidR="009D0284" w:rsidRPr="007F12DB">
        <w:rPr>
          <w:rFonts w:ascii="Times New Roman" w:hAnsi="Times New Roman" w:cs="Times New Roman"/>
          <w:sz w:val="28"/>
          <w:szCs w:val="28"/>
        </w:rPr>
        <w:t xml:space="preserve"> </w:t>
      </w:r>
      <w:r w:rsidR="0001365F" w:rsidRPr="007F12DB">
        <w:rPr>
          <w:rFonts w:ascii="Times New Roman" w:hAnsi="Times New Roman" w:cs="Times New Roman"/>
          <w:sz w:val="28"/>
          <w:szCs w:val="28"/>
        </w:rPr>
        <w:t>kopā</w:t>
      </w:r>
      <w:r w:rsidR="009D0284" w:rsidRPr="007F12DB">
        <w:rPr>
          <w:rFonts w:ascii="Times New Roman" w:hAnsi="Times New Roman" w:cs="Times New Roman"/>
          <w:sz w:val="28"/>
          <w:szCs w:val="28"/>
        </w:rPr>
        <w:t xml:space="preserve"> </w:t>
      </w:r>
      <w:r w:rsidR="0001365F" w:rsidRPr="007F12DB">
        <w:rPr>
          <w:rFonts w:ascii="Times New Roman" w:hAnsi="Times New Roman" w:cs="Times New Roman"/>
          <w:sz w:val="28"/>
          <w:szCs w:val="28"/>
        </w:rPr>
        <w:t>238</w:t>
      </w:r>
      <w:r w:rsidR="009D0284" w:rsidRPr="007F12DB">
        <w:rPr>
          <w:rFonts w:ascii="Times New Roman" w:hAnsi="Times New Roman" w:cs="Times New Roman"/>
          <w:sz w:val="28"/>
          <w:szCs w:val="28"/>
        </w:rPr>
        <w:t> </w:t>
      </w:r>
      <w:r w:rsidR="009E584C" w:rsidRPr="007F12DB">
        <w:rPr>
          <w:rFonts w:ascii="Times New Roman" w:hAnsi="Times New Roman" w:cs="Times New Roman"/>
          <w:sz w:val="28"/>
          <w:szCs w:val="28"/>
        </w:rPr>
        <w:t>lēmumi</w:t>
      </w:r>
      <w:r w:rsidR="009D0284" w:rsidRPr="007F12DB">
        <w:rPr>
          <w:rFonts w:ascii="Times New Roman" w:hAnsi="Times New Roman" w:cs="Times New Roman"/>
          <w:sz w:val="28"/>
          <w:szCs w:val="28"/>
        </w:rPr>
        <w:t>)</w:t>
      </w:r>
      <w:r w:rsidR="009E584C" w:rsidRPr="007F12DB">
        <w:rPr>
          <w:rFonts w:ascii="Times New Roman" w:hAnsi="Times New Roman" w:cs="Times New Roman"/>
          <w:sz w:val="28"/>
          <w:szCs w:val="28"/>
        </w:rPr>
        <w:t xml:space="preserve">. Ar </w:t>
      </w:r>
      <w:r w:rsidR="001205CE" w:rsidRPr="007F12DB">
        <w:rPr>
          <w:rFonts w:ascii="Times New Roman" w:hAnsi="Times New Roman" w:cs="Times New Roman"/>
          <w:sz w:val="28"/>
          <w:szCs w:val="28"/>
        </w:rPr>
        <w:t xml:space="preserve">naudas sodu </w:t>
      </w:r>
      <w:r w:rsidR="009E584C" w:rsidRPr="007F12DB">
        <w:rPr>
          <w:rFonts w:ascii="Times New Roman" w:hAnsi="Times New Roman" w:cs="Times New Roman"/>
          <w:sz w:val="28"/>
          <w:szCs w:val="28"/>
        </w:rPr>
        <w:t xml:space="preserve">tika </w:t>
      </w:r>
      <w:r w:rsidR="001205CE" w:rsidRPr="007F12DB">
        <w:rPr>
          <w:rFonts w:ascii="Times New Roman" w:hAnsi="Times New Roman" w:cs="Times New Roman"/>
          <w:sz w:val="28"/>
          <w:szCs w:val="28"/>
        </w:rPr>
        <w:t xml:space="preserve">sodītas </w:t>
      </w:r>
      <w:r w:rsidR="00D15AC8" w:rsidRPr="007F12DB">
        <w:rPr>
          <w:rFonts w:ascii="Times New Roman" w:hAnsi="Times New Roman" w:cs="Times New Roman"/>
          <w:sz w:val="28"/>
          <w:szCs w:val="28"/>
        </w:rPr>
        <w:t>83</w:t>
      </w:r>
      <w:r w:rsidR="001205CE" w:rsidRPr="007F12DB">
        <w:rPr>
          <w:rFonts w:ascii="Times New Roman" w:hAnsi="Times New Roman" w:cs="Times New Roman"/>
          <w:sz w:val="28"/>
          <w:szCs w:val="28"/>
        </w:rPr>
        <w:t xml:space="preserve"> valsts amatpersonas par kopējo summu </w:t>
      </w:r>
      <w:r w:rsidR="00D15AC8" w:rsidRPr="007F12DB">
        <w:rPr>
          <w:rFonts w:ascii="Times New Roman" w:hAnsi="Times New Roman" w:cs="Times New Roman"/>
          <w:sz w:val="28"/>
          <w:szCs w:val="28"/>
        </w:rPr>
        <w:t>8785</w:t>
      </w:r>
      <w:r w:rsidR="00D15AC8" w:rsidRPr="007F12DB">
        <w:t xml:space="preserve"> </w:t>
      </w:r>
      <w:r w:rsidR="00D15AC8" w:rsidRPr="007F12DB">
        <w:rPr>
          <w:rFonts w:ascii="Times New Roman" w:hAnsi="Times New Roman" w:cs="Times New Roman"/>
          <w:sz w:val="28"/>
          <w:szCs w:val="28"/>
        </w:rPr>
        <w:t>EUR</w:t>
      </w:r>
      <w:r w:rsidR="001205CE" w:rsidRPr="007F12DB">
        <w:rPr>
          <w:rFonts w:ascii="Times New Roman" w:hAnsi="Times New Roman" w:cs="Times New Roman"/>
          <w:sz w:val="28"/>
          <w:szCs w:val="28"/>
        </w:rPr>
        <w:t xml:space="preserve"> apmērā</w:t>
      </w:r>
      <w:r w:rsidR="00D15AC8" w:rsidRPr="007F12DB">
        <w:rPr>
          <w:rFonts w:ascii="Times New Roman" w:hAnsi="Times New Roman" w:cs="Times New Roman"/>
          <w:sz w:val="28"/>
          <w:szCs w:val="28"/>
        </w:rPr>
        <w:t xml:space="preserve"> (2015.gadā kopā 139 amatpersonas par kopējo summu 14 285 EUR), </w:t>
      </w:r>
      <w:r w:rsidR="001205CE" w:rsidRPr="007F12DB">
        <w:rPr>
          <w:rFonts w:ascii="Times New Roman" w:hAnsi="Times New Roman" w:cs="Times New Roman"/>
          <w:sz w:val="28"/>
          <w:szCs w:val="28"/>
        </w:rPr>
        <w:t xml:space="preserve"> savukārt </w:t>
      </w:r>
      <w:r w:rsidR="00FB0F58" w:rsidRPr="007F12DB">
        <w:rPr>
          <w:rFonts w:ascii="Times New Roman" w:hAnsi="Times New Roman" w:cs="Times New Roman"/>
          <w:sz w:val="28"/>
          <w:szCs w:val="28"/>
        </w:rPr>
        <w:t>44</w:t>
      </w:r>
      <w:r w:rsidR="004568FC" w:rsidRPr="007F12DB">
        <w:rPr>
          <w:rFonts w:ascii="Times New Roman" w:hAnsi="Times New Roman" w:cs="Times New Roman"/>
          <w:sz w:val="28"/>
          <w:szCs w:val="28"/>
        </w:rPr>
        <w:t> </w:t>
      </w:r>
      <w:r w:rsidR="00930E31" w:rsidRPr="007F12DB">
        <w:rPr>
          <w:rFonts w:ascii="Times New Roman" w:hAnsi="Times New Roman" w:cs="Times New Roman"/>
          <w:sz w:val="28"/>
          <w:szCs w:val="28"/>
        </w:rPr>
        <w:t>gadījumos</w:t>
      </w:r>
      <w:r w:rsidR="009E584C" w:rsidRPr="007F12DB">
        <w:rPr>
          <w:rFonts w:ascii="Times New Roman" w:hAnsi="Times New Roman" w:cs="Times New Roman"/>
          <w:sz w:val="28"/>
          <w:szCs w:val="28"/>
        </w:rPr>
        <w:t xml:space="preserve"> </w:t>
      </w:r>
      <w:r w:rsidR="00930E31" w:rsidRPr="007F12DB">
        <w:rPr>
          <w:rFonts w:ascii="Times New Roman" w:hAnsi="Times New Roman" w:cs="Times New Roman"/>
          <w:sz w:val="28"/>
          <w:szCs w:val="28"/>
        </w:rPr>
        <w:t>ziņas par administratīvo pārkāpumu bija pietiekamas, lai Birojs konstatētu, ka izdar</w:t>
      </w:r>
      <w:r w:rsidR="005A47AC" w:rsidRPr="007F12DB">
        <w:rPr>
          <w:rFonts w:ascii="Times New Roman" w:hAnsi="Times New Roman" w:cs="Times New Roman"/>
          <w:sz w:val="28"/>
          <w:szCs w:val="28"/>
        </w:rPr>
        <w:t xml:space="preserve">ītais pārkāpums ir maznozīmīgs, un pieņemtu </w:t>
      </w:r>
      <w:r w:rsidR="00930E31" w:rsidRPr="007F12DB">
        <w:rPr>
          <w:rFonts w:ascii="Times New Roman" w:hAnsi="Times New Roman" w:cs="Times New Roman"/>
          <w:sz w:val="28"/>
          <w:szCs w:val="28"/>
        </w:rPr>
        <w:t xml:space="preserve">lēmumu neuzsākt administratīvā pārkāpuma lietvedību, </w:t>
      </w:r>
      <w:r w:rsidR="002825E2" w:rsidRPr="007F12DB">
        <w:rPr>
          <w:rFonts w:ascii="Times New Roman" w:hAnsi="Times New Roman" w:cs="Times New Roman"/>
          <w:sz w:val="28"/>
          <w:szCs w:val="28"/>
        </w:rPr>
        <w:t>izsakot</w:t>
      </w:r>
      <w:r w:rsidR="00930E31" w:rsidRPr="007F12DB">
        <w:rPr>
          <w:rFonts w:ascii="Times New Roman" w:hAnsi="Times New Roman" w:cs="Times New Roman"/>
          <w:sz w:val="28"/>
          <w:szCs w:val="28"/>
        </w:rPr>
        <w:t xml:space="preserve"> mutvārdu aizrādījumu</w:t>
      </w:r>
      <w:r w:rsidR="001205CE" w:rsidRPr="007F12DB">
        <w:rPr>
          <w:rFonts w:ascii="Times New Roman" w:hAnsi="Times New Roman" w:cs="Times New Roman"/>
          <w:sz w:val="28"/>
          <w:szCs w:val="28"/>
        </w:rPr>
        <w:t xml:space="preserve">. </w:t>
      </w:r>
      <w:r w:rsidR="007F4BB0" w:rsidRPr="007F12DB">
        <w:rPr>
          <w:rFonts w:ascii="Times New Roman" w:hAnsi="Times New Roman" w:cs="Times New Roman"/>
          <w:sz w:val="28"/>
          <w:szCs w:val="28"/>
        </w:rPr>
        <w:t>Pieņemtie lēmumi un uzliktie naudas sodi</w:t>
      </w:r>
      <w:r w:rsidR="00BF1952" w:rsidRPr="007F12DB">
        <w:rPr>
          <w:rFonts w:ascii="Times New Roman" w:hAnsi="Times New Roman" w:cs="Times New Roman"/>
          <w:sz w:val="28"/>
          <w:szCs w:val="28"/>
        </w:rPr>
        <w:t xml:space="preserve"> </w:t>
      </w:r>
      <w:r w:rsidR="000F1000" w:rsidRPr="007F12DB">
        <w:rPr>
          <w:rFonts w:ascii="Times New Roman" w:hAnsi="Times New Roman" w:cs="Times New Roman"/>
          <w:sz w:val="28"/>
          <w:szCs w:val="28"/>
        </w:rPr>
        <w:t>ir atspoguļoti</w:t>
      </w:r>
      <w:r w:rsidR="001A3122" w:rsidRPr="007F12DB">
        <w:rPr>
          <w:rFonts w:ascii="Times New Roman" w:hAnsi="Times New Roman" w:cs="Times New Roman"/>
          <w:sz w:val="28"/>
          <w:szCs w:val="28"/>
        </w:rPr>
        <w:t xml:space="preserve"> </w:t>
      </w:r>
      <w:r w:rsidR="006E36A4" w:rsidRPr="007F12DB">
        <w:rPr>
          <w:rFonts w:ascii="Times New Roman" w:hAnsi="Times New Roman" w:cs="Times New Roman"/>
          <w:sz w:val="28"/>
          <w:szCs w:val="28"/>
        </w:rPr>
        <w:t>3</w:t>
      </w:r>
      <w:r w:rsidR="008537EC" w:rsidRPr="007F12DB">
        <w:rPr>
          <w:rFonts w:ascii="Times New Roman" w:hAnsi="Times New Roman" w:cs="Times New Roman"/>
          <w:sz w:val="28"/>
          <w:szCs w:val="28"/>
        </w:rPr>
        <w:t>.attēlā.</w:t>
      </w:r>
    </w:p>
    <w:p w:rsidR="004B274F" w:rsidRDefault="004B274F" w:rsidP="00752EF4">
      <w:pPr>
        <w:spacing w:after="0" w:line="240" w:lineRule="auto"/>
        <w:ind w:firstLine="567"/>
        <w:jc w:val="both"/>
        <w:rPr>
          <w:rFonts w:ascii="Times New Roman" w:hAnsi="Times New Roman" w:cs="Times New Roman"/>
          <w:sz w:val="28"/>
          <w:szCs w:val="28"/>
        </w:rPr>
      </w:pPr>
      <w:r w:rsidRPr="004B274F">
        <w:rPr>
          <w:rFonts w:ascii="Times New Roman" w:hAnsi="Times New Roman" w:cs="Times New Roman"/>
          <w:sz w:val="28"/>
          <w:szCs w:val="28"/>
        </w:rPr>
        <w:t>2015.gada otrajā pusgadā saskaņā ar likuma „Par interešu konflikta novēršanu valsts amatpersonu darbībā” 30.pantu astoņām personām lūgts atlīdzināt valstij nodarītos zaudējumus par kopējo summu EUR 1375 (2015.gadā kopā 15 amatpersonām, 5641 EUR apmērā). Pamatojoties uz Biroja pieņemtajiem lēmumiem administratīvo pārkāpumu lietās, amatpersonas 2015.gada otrajā pusgadā valsts budžetā ir pārskaitījušas administratīvo naudas sodu kopsummā EUR 7421 (2015.gadā kopā – 14 011 EUR).</w:t>
      </w:r>
    </w:p>
    <w:p w:rsidR="00CB7FE1" w:rsidRPr="007F12DB" w:rsidRDefault="00CB7FE1" w:rsidP="00752EF4">
      <w:pPr>
        <w:spacing w:after="0" w:line="240" w:lineRule="auto"/>
        <w:ind w:firstLine="567"/>
        <w:jc w:val="both"/>
        <w:rPr>
          <w:rFonts w:ascii="Times New Roman" w:hAnsi="Times New Roman" w:cs="Times New Roman"/>
          <w:sz w:val="28"/>
          <w:szCs w:val="28"/>
        </w:rPr>
      </w:pPr>
      <w:r w:rsidRPr="007F12DB">
        <w:rPr>
          <w:noProof/>
          <w:lang w:eastAsia="lv-LV"/>
        </w:rPr>
        <w:lastRenderedPageBreak/>
        <w:drawing>
          <wp:inline distT="0" distB="0" distL="0" distR="0" wp14:anchorId="43568304" wp14:editId="68ED0F9C">
            <wp:extent cx="5486400" cy="3150870"/>
            <wp:effectExtent l="0" t="0" r="1905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2EF4" w:rsidRPr="007F12DB" w:rsidRDefault="00752EF4" w:rsidP="00752EF4">
      <w:pPr>
        <w:spacing w:after="0" w:line="240" w:lineRule="auto"/>
        <w:jc w:val="both"/>
        <w:rPr>
          <w:rFonts w:ascii="Times New Roman" w:hAnsi="Times New Roman" w:cs="Times New Roman"/>
          <w:i/>
          <w:sz w:val="28"/>
          <w:szCs w:val="28"/>
        </w:rPr>
      </w:pPr>
      <w:r w:rsidRPr="007F12DB">
        <w:rPr>
          <w:rFonts w:ascii="Times New Roman" w:hAnsi="Times New Roman" w:cs="Times New Roman"/>
          <w:i/>
          <w:sz w:val="28"/>
          <w:szCs w:val="28"/>
        </w:rPr>
        <w:t xml:space="preserve">3.attēls. Pieņemtie lēmumi un uzliktie naudas sodi </w:t>
      </w:r>
    </w:p>
    <w:p w:rsidR="00615921" w:rsidRPr="007F12DB" w:rsidRDefault="00615921" w:rsidP="00752EF4">
      <w:pPr>
        <w:spacing w:after="0" w:line="240" w:lineRule="auto"/>
        <w:jc w:val="both"/>
        <w:rPr>
          <w:rFonts w:ascii="Times New Roman" w:hAnsi="Times New Roman" w:cs="Times New Roman"/>
          <w:i/>
          <w:sz w:val="28"/>
          <w:szCs w:val="28"/>
        </w:rPr>
      </w:pPr>
    </w:p>
    <w:p w:rsidR="00241104" w:rsidRPr="007F12DB" w:rsidRDefault="007F12DB" w:rsidP="007F12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2015.gadā v</w:t>
      </w:r>
      <w:r w:rsidR="00241104" w:rsidRPr="007F12DB">
        <w:rPr>
          <w:rFonts w:ascii="Times New Roman" w:hAnsi="Times New Roman" w:cs="Times New Roman"/>
          <w:sz w:val="28"/>
          <w:szCs w:val="28"/>
        </w:rPr>
        <w:t>isbiežāk pieļautie likumā „Par interešu konflikta novēršanu valsts amatpersonu darbīb</w:t>
      </w:r>
      <w:r>
        <w:rPr>
          <w:rFonts w:ascii="Times New Roman" w:hAnsi="Times New Roman" w:cs="Times New Roman"/>
          <w:sz w:val="28"/>
          <w:szCs w:val="28"/>
        </w:rPr>
        <w:t>ā” noteikto</w:t>
      </w:r>
      <w:r w:rsidR="00241104" w:rsidRPr="007F12DB">
        <w:rPr>
          <w:rFonts w:ascii="Times New Roman" w:hAnsi="Times New Roman" w:cs="Times New Roman"/>
          <w:sz w:val="28"/>
          <w:szCs w:val="28"/>
        </w:rPr>
        <w:t xml:space="preserve"> ierobežojumu pārkāpumi ir </w:t>
      </w:r>
      <w:r>
        <w:rPr>
          <w:rFonts w:ascii="Times New Roman" w:hAnsi="Times New Roman" w:cs="Times New Roman"/>
          <w:sz w:val="28"/>
          <w:szCs w:val="28"/>
        </w:rPr>
        <w:t>saistībā ar</w:t>
      </w:r>
      <w:r w:rsidR="00241104" w:rsidRPr="007F12DB">
        <w:rPr>
          <w:rFonts w:ascii="Times New Roman" w:hAnsi="Times New Roman" w:cs="Times New Roman"/>
          <w:sz w:val="28"/>
          <w:szCs w:val="28"/>
        </w:rPr>
        <w:t xml:space="preserve"> speciālajiem ierobežojumiem attiecībā uz amatu savie</w:t>
      </w:r>
      <w:r>
        <w:rPr>
          <w:rFonts w:ascii="Times New Roman" w:hAnsi="Times New Roman" w:cs="Times New Roman"/>
          <w:sz w:val="28"/>
          <w:szCs w:val="28"/>
        </w:rPr>
        <w:t>nošanu (31,1%). Vienādi bieži</w:t>
      </w:r>
      <w:r w:rsidR="00241104" w:rsidRPr="007F12DB">
        <w:rPr>
          <w:rFonts w:ascii="Times New Roman" w:hAnsi="Times New Roman" w:cs="Times New Roman"/>
          <w:sz w:val="28"/>
          <w:szCs w:val="28"/>
        </w:rPr>
        <w:t xml:space="preserve"> pieļauti</w:t>
      </w:r>
      <w:r>
        <w:rPr>
          <w:rFonts w:ascii="Times New Roman" w:hAnsi="Times New Roman" w:cs="Times New Roman"/>
          <w:sz w:val="28"/>
          <w:szCs w:val="28"/>
        </w:rPr>
        <w:t xml:space="preserve"> tādu ierobežojumu pārkāpumi, kas saistīti ar ienākumu gūšanu (18,3%)</w:t>
      </w:r>
      <w:r w:rsidR="00241104" w:rsidRPr="007F12DB">
        <w:rPr>
          <w:rFonts w:ascii="Times New Roman" w:hAnsi="Times New Roman" w:cs="Times New Roman"/>
          <w:sz w:val="28"/>
          <w:szCs w:val="28"/>
        </w:rPr>
        <w:t xml:space="preserve"> </w:t>
      </w:r>
      <w:r>
        <w:rPr>
          <w:rFonts w:ascii="Times New Roman" w:hAnsi="Times New Roman" w:cs="Times New Roman"/>
          <w:sz w:val="28"/>
          <w:szCs w:val="28"/>
        </w:rPr>
        <w:t>un rīcību</w:t>
      </w:r>
      <w:r w:rsidR="00241104" w:rsidRPr="007F12DB">
        <w:rPr>
          <w:rFonts w:ascii="Times New Roman" w:hAnsi="Times New Roman" w:cs="Times New Roman"/>
          <w:sz w:val="28"/>
          <w:szCs w:val="28"/>
        </w:rPr>
        <w:t xml:space="preserve"> ar publiskas personas mantu</w:t>
      </w:r>
      <w:r w:rsidR="008F2EE9">
        <w:rPr>
          <w:rFonts w:ascii="Times New Roman" w:hAnsi="Times New Roman" w:cs="Times New Roman"/>
          <w:sz w:val="28"/>
          <w:szCs w:val="28"/>
        </w:rPr>
        <w:t xml:space="preserve"> (18,3%). 22</w:t>
      </w:r>
      <w:r w:rsidR="00241104" w:rsidRPr="007F12DB">
        <w:rPr>
          <w:rFonts w:ascii="Times New Roman" w:hAnsi="Times New Roman" w:cs="Times New Roman"/>
          <w:sz w:val="28"/>
          <w:szCs w:val="28"/>
        </w:rPr>
        <w:t xml:space="preserve"> </w:t>
      </w:r>
      <w:r>
        <w:rPr>
          <w:rFonts w:ascii="Times New Roman" w:hAnsi="Times New Roman" w:cs="Times New Roman"/>
          <w:sz w:val="28"/>
          <w:szCs w:val="28"/>
        </w:rPr>
        <w:t>valsts amatpersonas pieļāvušas pārkāpumus attiecībā uz</w:t>
      </w:r>
      <w:r w:rsidR="00241104" w:rsidRPr="007F12DB">
        <w:rPr>
          <w:rFonts w:ascii="Times New Roman" w:hAnsi="Times New Roman" w:cs="Times New Roman"/>
          <w:sz w:val="28"/>
          <w:szCs w:val="28"/>
        </w:rPr>
        <w:t xml:space="preserve"> ziedojumu pieņemšanu. Daž</w:t>
      </w:r>
      <w:r>
        <w:rPr>
          <w:rFonts w:ascii="Times New Roman" w:hAnsi="Times New Roman" w:cs="Times New Roman"/>
          <w:sz w:val="28"/>
          <w:szCs w:val="28"/>
        </w:rPr>
        <w:t>os</w:t>
      </w:r>
      <w:r w:rsidR="00241104" w:rsidRPr="007F12DB">
        <w:rPr>
          <w:rFonts w:ascii="Times New Roman" w:hAnsi="Times New Roman" w:cs="Times New Roman"/>
          <w:sz w:val="28"/>
          <w:szCs w:val="28"/>
        </w:rPr>
        <w:t xml:space="preserve"> gadījum</w:t>
      </w:r>
      <w:r>
        <w:rPr>
          <w:rFonts w:ascii="Times New Roman" w:hAnsi="Times New Roman" w:cs="Times New Roman"/>
          <w:sz w:val="28"/>
          <w:szCs w:val="28"/>
        </w:rPr>
        <w:t xml:space="preserve">os (4,3%) pieļautie pārkāpumi bijuši saistībā ar </w:t>
      </w:r>
      <w:r w:rsidR="00241104" w:rsidRPr="007F12DB">
        <w:rPr>
          <w:rFonts w:ascii="Times New Roman" w:hAnsi="Times New Roman" w:cs="Times New Roman"/>
          <w:sz w:val="28"/>
          <w:szCs w:val="28"/>
        </w:rPr>
        <w:t>valsts amatpersonas amata savienošanas izpildes kārtību,</w:t>
      </w:r>
      <w:r>
        <w:rPr>
          <w:rFonts w:ascii="Times New Roman" w:hAnsi="Times New Roman" w:cs="Times New Roman"/>
          <w:sz w:val="28"/>
          <w:szCs w:val="28"/>
        </w:rPr>
        <w:t xml:space="preserve"> savukārt pārējie gadījumi (</w:t>
      </w:r>
      <w:r w:rsidR="00241104" w:rsidRPr="007F12DB">
        <w:rPr>
          <w:rFonts w:ascii="Times New Roman" w:hAnsi="Times New Roman" w:cs="Times New Roman"/>
          <w:sz w:val="28"/>
          <w:szCs w:val="28"/>
        </w:rPr>
        <w:t xml:space="preserve">2,6%) </w:t>
      </w:r>
      <w:r>
        <w:rPr>
          <w:rFonts w:ascii="Times New Roman" w:hAnsi="Times New Roman" w:cs="Times New Roman"/>
          <w:sz w:val="28"/>
          <w:szCs w:val="28"/>
        </w:rPr>
        <w:t xml:space="preserve">saistīti ar </w:t>
      </w:r>
      <w:r w:rsidR="00241104" w:rsidRPr="007F12DB">
        <w:rPr>
          <w:rFonts w:ascii="Times New Roman" w:hAnsi="Times New Roman" w:cs="Times New Roman"/>
          <w:sz w:val="28"/>
          <w:szCs w:val="28"/>
        </w:rPr>
        <w:t>atsevišķi</w:t>
      </w:r>
      <w:r>
        <w:rPr>
          <w:rFonts w:ascii="Times New Roman" w:hAnsi="Times New Roman" w:cs="Times New Roman"/>
          <w:sz w:val="28"/>
          <w:szCs w:val="28"/>
        </w:rPr>
        <w:t>em</w:t>
      </w:r>
      <w:r w:rsidR="00241104" w:rsidRPr="007F12DB">
        <w:rPr>
          <w:rFonts w:ascii="Times New Roman" w:hAnsi="Times New Roman" w:cs="Times New Roman"/>
          <w:sz w:val="28"/>
          <w:szCs w:val="28"/>
        </w:rPr>
        <w:t xml:space="preserve"> pārkāpumi</w:t>
      </w:r>
      <w:r>
        <w:rPr>
          <w:rFonts w:ascii="Times New Roman" w:hAnsi="Times New Roman" w:cs="Times New Roman"/>
          <w:sz w:val="28"/>
          <w:szCs w:val="28"/>
        </w:rPr>
        <w:t>em</w:t>
      </w:r>
      <w:r w:rsidR="00241104" w:rsidRPr="007F12DB">
        <w:rPr>
          <w:rFonts w:ascii="Times New Roman" w:hAnsi="Times New Roman" w:cs="Times New Roman"/>
          <w:sz w:val="28"/>
          <w:szCs w:val="28"/>
        </w:rPr>
        <w:t xml:space="preserve"> attiecībā uz komercdarbības ierobežojumiem, informācijas izmantošanas aizliegumu, aizliegumu ietekmēt administratīvo aktu izdošanu un aizliegumu būt par pārstāvi.</w:t>
      </w:r>
    </w:p>
    <w:p w:rsidR="00281DDB" w:rsidRPr="007F12DB" w:rsidRDefault="008F2EE9" w:rsidP="008F2EE9">
      <w:pPr>
        <w:spacing w:after="0" w:line="240" w:lineRule="auto"/>
        <w:ind w:firstLine="567"/>
        <w:jc w:val="both"/>
        <w:rPr>
          <w:rFonts w:ascii="Times New Roman" w:hAnsi="Times New Roman" w:cs="Times New Roman"/>
          <w:sz w:val="28"/>
          <w:szCs w:val="28"/>
        </w:rPr>
      </w:pPr>
      <w:r w:rsidRPr="008F2EE9">
        <w:rPr>
          <w:rFonts w:ascii="Times New Roman" w:hAnsi="Times New Roman" w:cs="Times New Roman"/>
          <w:sz w:val="28"/>
          <w:szCs w:val="28"/>
        </w:rPr>
        <w:t>2015.gada otrajā pusgadā Biroja priekšniekam apstrīdēti 27 Biroja amatpersonu pieņemtie lēmumi administratīvā pārkāpuma lietās attiecībā uz likumā „Par interešu konflikta novēršanu valsts amatpersonu darbībā” noteikto ierobežojumu un aizliegumu neievērošanu.</w:t>
      </w:r>
      <w:r>
        <w:rPr>
          <w:rFonts w:ascii="Times New Roman" w:hAnsi="Times New Roman" w:cs="Times New Roman"/>
          <w:sz w:val="28"/>
          <w:szCs w:val="28"/>
        </w:rPr>
        <w:t xml:space="preserve"> </w:t>
      </w:r>
      <w:r w:rsidR="00281DDB" w:rsidRPr="007F12DB">
        <w:rPr>
          <w:rFonts w:ascii="Times New Roman" w:hAnsi="Times New Roman" w:cs="Times New Roman"/>
          <w:sz w:val="28"/>
          <w:szCs w:val="28"/>
        </w:rPr>
        <w:t>Izskatāmajos gadījumos, izvērtējot minētās sūdzības, Biroja priekšnieks 25 gadījumos atstāja Biroja amatpersonas l</w:t>
      </w:r>
      <w:r w:rsidR="002A00D9">
        <w:rPr>
          <w:rFonts w:ascii="Times New Roman" w:hAnsi="Times New Roman" w:cs="Times New Roman"/>
          <w:sz w:val="28"/>
          <w:szCs w:val="28"/>
        </w:rPr>
        <w:t xml:space="preserve">ēmumus negrozītus, </w:t>
      </w:r>
      <w:r w:rsidR="000664D2">
        <w:rPr>
          <w:rFonts w:ascii="Times New Roman" w:hAnsi="Times New Roman" w:cs="Times New Roman"/>
          <w:sz w:val="28"/>
          <w:szCs w:val="28"/>
        </w:rPr>
        <w:t>vienā</w:t>
      </w:r>
      <w:r w:rsidR="002A00D9">
        <w:rPr>
          <w:rFonts w:ascii="Times New Roman" w:hAnsi="Times New Roman" w:cs="Times New Roman"/>
          <w:sz w:val="28"/>
          <w:szCs w:val="28"/>
        </w:rPr>
        <w:t xml:space="preserve"> gadījumā – lēmums tika grozīts daļā un samazināts</w:t>
      </w:r>
      <w:r w:rsidR="00281DDB" w:rsidRPr="007F12DB">
        <w:rPr>
          <w:rFonts w:ascii="Times New Roman" w:hAnsi="Times New Roman" w:cs="Times New Roman"/>
          <w:sz w:val="28"/>
          <w:szCs w:val="28"/>
        </w:rPr>
        <w:t xml:space="preserve"> naudas soda apmēr</w:t>
      </w:r>
      <w:r w:rsidR="002A00D9">
        <w:rPr>
          <w:rFonts w:ascii="Times New Roman" w:hAnsi="Times New Roman" w:cs="Times New Roman"/>
          <w:sz w:val="28"/>
          <w:szCs w:val="28"/>
        </w:rPr>
        <w:t>s</w:t>
      </w:r>
      <w:r w:rsidR="00281DDB" w:rsidRPr="007F12DB">
        <w:rPr>
          <w:rFonts w:ascii="Times New Roman" w:hAnsi="Times New Roman" w:cs="Times New Roman"/>
          <w:sz w:val="28"/>
          <w:szCs w:val="28"/>
        </w:rPr>
        <w:t>, savukārt vienas lietvedības ietvaros pieņemti divi lēmumi, kuros atteikts izskatīt sūdzību, jo bija nokavēts lēmuma pārsūdzēšanas termiņš.</w:t>
      </w:r>
    </w:p>
    <w:p w:rsidR="00D112C6" w:rsidRPr="007F12DB" w:rsidRDefault="003267A6" w:rsidP="003267A6">
      <w:pPr>
        <w:pStyle w:val="NoSpacing"/>
        <w:ind w:firstLine="567"/>
        <w:jc w:val="both"/>
        <w:rPr>
          <w:rFonts w:ascii="Times New Roman" w:hAnsi="Times New Roman" w:cs="Times New Roman"/>
          <w:sz w:val="28"/>
          <w:szCs w:val="28"/>
        </w:rPr>
      </w:pPr>
      <w:r w:rsidRPr="007F12DB">
        <w:rPr>
          <w:rFonts w:ascii="Times New Roman" w:hAnsi="Times New Roman" w:cs="Times New Roman"/>
          <w:sz w:val="28"/>
          <w:szCs w:val="28"/>
        </w:rPr>
        <w:t xml:space="preserve">Izpildot likumā „Par interešu konflikta novēršanu valsts amatpersonu darbībā” 31.pantā noteikto pienākumu informēt sabiedrību par amatpersonām attiecībā uz kurām ir pieņemti lēmumi administratīvā pārkāpuma lietās, pārskata periodā Biroja </w:t>
      </w:r>
      <w:r w:rsidR="00A85869" w:rsidRPr="007F12DB">
        <w:rPr>
          <w:rFonts w:ascii="Times New Roman" w:hAnsi="Times New Roman" w:cs="Times New Roman"/>
          <w:sz w:val="28"/>
          <w:szCs w:val="28"/>
        </w:rPr>
        <w:t>tīmekļa vietnē</w:t>
      </w:r>
      <w:r w:rsidRPr="007F12DB">
        <w:rPr>
          <w:rFonts w:ascii="Times New Roman" w:hAnsi="Times New Roman" w:cs="Times New Roman"/>
          <w:sz w:val="28"/>
          <w:szCs w:val="28"/>
        </w:rPr>
        <w:t xml:space="preserve"> ir publicēti </w:t>
      </w:r>
      <w:r w:rsidR="00A47BC2" w:rsidRPr="007F12DB">
        <w:rPr>
          <w:rFonts w:ascii="Times New Roman" w:hAnsi="Times New Roman" w:cs="Times New Roman"/>
          <w:sz w:val="28"/>
          <w:szCs w:val="28"/>
        </w:rPr>
        <w:t>36 apraksti par administratīvi sodītajām personām interešu konflikta jomā</w:t>
      </w:r>
      <w:r w:rsidR="00F762CE" w:rsidRPr="007F12DB">
        <w:rPr>
          <w:rFonts w:ascii="Times New Roman" w:hAnsi="Times New Roman" w:cs="Times New Roman"/>
          <w:sz w:val="28"/>
          <w:szCs w:val="28"/>
        </w:rPr>
        <w:t xml:space="preserve">. </w:t>
      </w:r>
      <w:r w:rsidR="00D112C6" w:rsidRPr="007F12DB">
        <w:rPr>
          <w:rFonts w:ascii="Times New Roman" w:hAnsi="Times New Roman" w:cs="Times New Roman"/>
          <w:sz w:val="28"/>
          <w:szCs w:val="28"/>
        </w:rPr>
        <w:t>Savukārt</w:t>
      </w:r>
      <w:r w:rsidRPr="007F12DB">
        <w:rPr>
          <w:rFonts w:ascii="Times New Roman" w:hAnsi="Times New Roman" w:cs="Times New Roman"/>
          <w:sz w:val="28"/>
          <w:szCs w:val="28"/>
        </w:rPr>
        <w:t xml:space="preserve"> par tā</w:t>
      </w:r>
      <w:r w:rsidR="00D112C6" w:rsidRPr="007F12DB">
        <w:rPr>
          <w:rFonts w:ascii="Times New Roman" w:hAnsi="Times New Roman" w:cs="Times New Roman"/>
          <w:sz w:val="28"/>
          <w:szCs w:val="28"/>
        </w:rPr>
        <w:t>diem konstatētajiem pārkāpumiem</w:t>
      </w:r>
      <w:r w:rsidRPr="007F12DB">
        <w:rPr>
          <w:rFonts w:ascii="Times New Roman" w:hAnsi="Times New Roman" w:cs="Times New Roman"/>
          <w:sz w:val="28"/>
          <w:szCs w:val="28"/>
        </w:rPr>
        <w:t xml:space="preserve">, kuri bijuši maznozīmīgi, </w:t>
      </w:r>
      <w:r w:rsidR="00D112C6" w:rsidRPr="007F12DB">
        <w:rPr>
          <w:rFonts w:ascii="Times New Roman" w:hAnsi="Times New Roman" w:cs="Times New Roman"/>
          <w:sz w:val="28"/>
          <w:szCs w:val="28"/>
        </w:rPr>
        <w:t xml:space="preserve">informācija ir apkopota </w:t>
      </w:r>
      <w:r w:rsidR="00A85869" w:rsidRPr="007F12DB">
        <w:rPr>
          <w:rFonts w:ascii="Times New Roman" w:hAnsi="Times New Roman" w:cs="Times New Roman"/>
          <w:sz w:val="28"/>
          <w:szCs w:val="28"/>
        </w:rPr>
        <w:t xml:space="preserve">tabulā </w:t>
      </w:r>
      <w:r w:rsidR="000D15A4" w:rsidRPr="007F12DB">
        <w:rPr>
          <w:rFonts w:ascii="Times New Roman" w:hAnsi="Times New Roman" w:cs="Times New Roman"/>
          <w:sz w:val="28"/>
          <w:szCs w:val="28"/>
        </w:rPr>
        <w:t xml:space="preserve">un </w:t>
      </w:r>
      <w:r w:rsidR="00D112C6" w:rsidRPr="007F12DB">
        <w:rPr>
          <w:rFonts w:ascii="Times New Roman" w:hAnsi="Times New Roman" w:cs="Times New Roman"/>
          <w:sz w:val="28"/>
          <w:szCs w:val="28"/>
        </w:rPr>
        <w:t xml:space="preserve">publicēta Biroja </w:t>
      </w:r>
      <w:r w:rsidR="00A85869" w:rsidRPr="007F12DB">
        <w:rPr>
          <w:rFonts w:ascii="Times New Roman" w:hAnsi="Times New Roman" w:cs="Times New Roman"/>
          <w:sz w:val="28"/>
          <w:szCs w:val="28"/>
        </w:rPr>
        <w:t>tīmekļa vietnē</w:t>
      </w:r>
      <w:r w:rsidR="00D112C6" w:rsidRPr="007F12DB">
        <w:rPr>
          <w:rFonts w:ascii="Times New Roman" w:hAnsi="Times New Roman" w:cs="Times New Roman"/>
          <w:sz w:val="28"/>
          <w:szCs w:val="28"/>
        </w:rPr>
        <w:t xml:space="preserve">, </w:t>
      </w:r>
      <w:r w:rsidR="00A47BC2" w:rsidRPr="007F12DB">
        <w:rPr>
          <w:rFonts w:ascii="Times New Roman" w:hAnsi="Times New Roman" w:cs="Times New Roman"/>
          <w:sz w:val="28"/>
          <w:szCs w:val="28"/>
        </w:rPr>
        <w:t>pārskata periodā tajā izdarīti 64 ieraksti.</w:t>
      </w:r>
    </w:p>
    <w:p w:rsidR="008F32BD" w:rsidRPr="00752EF4" w:rsidRDefault="00752EF4" w:rsidP="00752EF4">
      <w:pPr>
        <w:pStyle w:val="Title"/>
        <w:rPr>
          <w:rFonts w:ascii="Times New Roman" w:hAnsi="Times New Roman"/>
        </w:rPr>
      </w:pPr>
      <w:bookmarkStart w:id="4" w:name="_Toc282617333"/>
      <w:r>
        <w:rPr>
          <w:rFonts w:ascii="Times New Roman" w:hAnsi="Times New Roman"/>
        </w:rPr>
        <w:lastRenderedPageBreak/>
        <w:t xml:space="preserve">2. </w:t>
      </w:r>
      <w:r w:rsidR="008F32BD" w:rsidRPr="00752EF4">
        <w:rPr>
          <w:rFonts w:ascii="Times New Roman" w:hAnsi="Times New Roman"/>
        </w:rPr>
        <w:t>Korupcijas apkarošan</w:t>
      </w:r>
      <w:bookmarkEnd w:id="4"/>
      <w:r w:rsidR="008F32BD" w:rsidRPr="00752EF4">
        <w:rPr>
          <w:rFonts w:ascii="Times New Roman" w:hAnsi="Times New Roman"/>
        </w:rPr>
        <w:t>a</w:t>
      </w:r>
    </w:p>
    <w:p w:rsidR="0085213D" w:rsidRPr="000F6C94" w:rsidRDefault="00AA0E61" w:rsidP="0085213D">
      <w:pPr>
        <w:pStyle w:val="Default"/>
        <w:ind w:firstLine="567"/>
        <w:jc w:val="both"/>
        <w:rPr>
          <w:color w:val="auto"/>
          <w:sz w:val="28"/>
          <w:szCs w:val="28"/>
        </w:rPr>
      </w:pPr>
      <w:r w:rsidRPr="000F6C94">
        <w:rPr>
          <w:color w:val="auto"/>
          <w:sz w:val="28"/>
          <w:szCs w:val="28"/>
        </w:rPr>
        <w:t xml:space="preserve">2015.gada </w:t>
      </w:r>
      <w:r w:rsidR="00760A94" w:rsidRPr="000F6C94">
        <w:rPr>
          <w:color w:val="auto"/>
          <w:sz w:val="28"/>
          <w:szCs w:val="28"/>
        </w:rPr>
        <w:t>otrajā</w:t>
      </w:r>
      <w:r w:rsidRPr="000F6C94">
        <w:rPr>
          <w:color w:val="auto"/>
          <w:sz w:val="28"/>
          <w:szCs w:val="28"/>
        </w:rPr>
        <w:t xml:space="preserve"> pusgadā prokuratūras iestādēm kriminālvajāšanas uzsākšanai nosūtīti </w:t>
      </w:r>
      <w:r w:rsidR="00760A94" w:rsidRPr="000F6C94">
        <w:rPr>
          <w:color w:val="auto"/>
          <w:sz w:val="28"/>
          <w:szCs w:val="28"/>
        </w:rPr>
        <w:t>10</w:t>
      </w:r>
      <w:r w:rsidRPr="000F6C94">
        <w:rPr>
          <w:color w:val="auto"/>
          <w:sz w:val="28"/>
          <w:szCs w:val="28"/>
        </w:rPr>
        <w:t xml:space="preserve"> kriminālprocesi pret </w:t>
      </w:r>
      <w:r w:rsidR="00F5628E" w:rsidRPr="000F6C94">
        <w:rPr>
          <w:color w:val="auto"/>
          <w:sz w:val="28"/>
          <w:szCs w:val="28"/>
        </w:rPr>
        <w:t>1</w:t>
      </w:r>
      <w:r w:rsidR="00760A94" w:rsidRPr="000F6C94">
        <w:rPr>
          <w:color w:val="auto"/>
          <w:sz w:val="28"/>
          <w:szCs w:val="28"/>
        </w:rPr>
        <w:t>8</w:t>
      </w:r>
      <w:r w:rsidR="00F5628E" w:rsidRPr="000F6C94">
        <w:rPr>
          <w:color w:val="auto"/>
          <w:sz w:val="28"/>
          <w:szCs w:val="28"/>
        </w:rPr>
        <w:t xml:space="preserve"> aizdomās turētām personām</w:t>
      </w:r>
      <w:r w:rsidR="001902E5" w:rsidRPr="000F6C94">
        <w:rPr>
          <w:color w:val="auto"/>
          <w:sz w:val="28"/>
          <w:szCs w:val="28"/>
        </w:rPr>
        <w:t xml:space="preserve"> (201</w:t>
      </w:r>
      <w:r w:rsidR="00760A94" w:rsidRPr="000F6C94">
        <w:rPr>
          <w:color w:val="auto"/>
          <w:sz w:val="28"/>
          <w:szCs w:val="28"/>
        </w:rPr>
        <w:t>5</w:t>
      </w:r>
      <w:r w:rsidR="001902E5" w:rsidRPr="000F6C94">
        <w:rPr>
          <w:color w:val="auto"/>
          <w:sz w:val="28"/>
          <w:szCs w:val="28"/>
        </w:rPr>
        <w:t xml:space="preserve">.gada </w:t>
      </w:r>
      <w:r w:rsidR="00760A94" w:rsidRPr="000F6C94">
        <w:rPr>
          <w:color w:val="auto"/>
          <w:sz w:val="28"/>
          <w:szCs w:val="28"/>
        </w:rPr>
        <w:t>kopā</w:t>
      </w:r>
      <w:r w:rsidR="001902E5" w:rsidRPr="000F6C94">
        <w:rPr>
          <w:color w:val="auto"/>
          <w:sz w:val="28"/>
          <w:szCs w:val="28"/>
        </w:rPr>
        <w:t xml:space="preserve"> </w:t>
      </w:r>
      <w:r w:rsidR="00760A94" w:rsidRPr="000F6C94">
        <w:rPr>
          <w:color w:val="auto"/>
          <w:sz w:val="28"/>
          <w:szCs w:val="28"/>
        </w:rPr>
        <w:t>16</w:t>
      </w:r>
      <w:r w:rsidR="001902E5" w:rsidRPr="000F6C94">
        <w:rPr>
          <w:color w:val="auto"/>
          <w:sz w:val="28"/>
          <w:szCs w:val="28"/>
        </w:rPr>
        <w:t xml:space="preserve"> kriminālprocesi pret 3</w:t>
      </w:r>
      <w:r w:rsidR="00760A94" w:rsidRPr="000F6C94">
        <w:rPr>
          <w:color w:val="auto"/>
          <w:sz w:val="28"/>
          <w:szCs w:val="28"/>
        </w:rPr>
        <w:t>3</w:t>
      </w:r>
      <w:r w:rsidR="001902E5" w:rsidRPr="000F6C94">
        <w:rPr>
          <w:color w:val="auto"/>
          <w:sz w:val="28"/>
          <w:szCs w:val="28"/>
        </w:rPr>
        <w:t xml:space="preserve"> personām)</w:t>
      </w:r>
      <w:r w:rsidR="00F5628E" w:rsidRPr="000F6C94">
        <w:rPr>
          <w:color w:val="auto"/>
          <w:sz w:val="28"/>
          <w:szCs w:val="28"/>
        </w:rPr>
        <w:t xml:space="preserve">. </w:t>
      </w:r>
      <w:r w:rsidR="003359D7" w:rsidRPr="000F6C94">
        <w:rPr>
          <w:color w:val="auto"/>
          <w:sz w:val="28"/>
          <w:szCs w:val="28"/>
        </w:rPr>
        <w:t xml:space="preserve">Izmeklējot koruptīvus noziedzīgus nodarījumus, pārskata periodā Birojā tika uzsākti </w:t>
      </w:r>
      <w:r w:rsidR="00760A94" w:rsidRPr="000F6C94">
        <w:rPr>
          <w:color w:val="auto"/>
          <w:sz w:val="28"/>
          <w:szCs w:val="28"/>
        </w:rPr>
        <w:t>14</w:t>
      </w:r>
      <w:r w:rsidR="001902E5" w:rsidRPr="000F6C94">
        <w:rPr>
          <w:color w:val="auto"/>
          <w:sz w:val="28"/>
          <w:szCs w:val="28"/>
        </w:rPr>
        <w:t> </w:t>
      </w:r>
      <w:r w:rsidR="003359D7" w:rsidRPr="000F6C94">
        <w:rPr>
          <w:color w:val="auto"/>
          <w:sz w:val="28"/>
          <w:szCs w:val="28"/>
        </w:rPr>
        <w:t>kriminālprocesi</w:t>
      </w:r>
      <w:r w:rsidR="001902E5" w:rsidRPr="000F6C94">
        <w:rPr>
          <w:color w:val="auto"/>
          <w:sz w:val="28"/>
          <w:szCs w:val="28"/>
        </w:rPr>
        <w:t xml:space="preserve">, </w:t>
      </w:r>
      <w:r w:rsidR="00760A94" w:rsidRPr="000F6C94">
        <w:rPr>
          <w:color w:val="auto"/>
          <w:sz w:val="28"/>
          <w:szCs w:val="28"/>
        </w:rPr>
        <w:t>savukārt 2015.gadā kopā 27 kriminālprocesi</w:t>
      </w:r>
      <w:r w:rsidR="001902E5" w:rsidRPr="000F6C94">
        <w:rPr>
          <w:color w:val="auto"/>
          <w:sz w:val="28"/>
          <w:szCs w:val="28"/>
        </w:rPr>
        <w:t xml:space="preserve">. </w:t>
      </w:r>
      <w:r w:rsidR="0085213D" w:rsidRPr="000F6C94">
        <w:rPr>
          <w:color w:val="auto"/>
          <w:sz w:val="28"/>
          <w:szCs w:val="28"/>
        </w:rPr>
        <w:t xml:space="preserve">Kriminālvajāšanas uzsākšanai nosūtīto kriminālprocesu un Birojā uzsākto kriminālprocesu skaits atspoguļots </w:t>
      </w:r>
      <w:r w:rsidR="00302E33" w:rsidRPr="000F6C94">
        <w:rPr>
          <w:color w:val="auto"/>
          <w:sz w:val="28"/>
          <w:szCs w:val="28"/>
        </w:rPr>
        <w:t>4</w:t>
      </w:r>
      <w:r w:rsidR="0085213D" w:rsidRPr="000F6C94">
        <w:rPr>
          <w:color w:val="auto"/>
          <w:sz w:val="28"/>
          <w:szCs w:val="28"/>
        </w:rPr>
        <w:t xml:space="preserve">.attēlā. </w:t>
      </w:r>
    </w:p>
    <w:p w:rsidR="00DF35A5" w:rsidRPr="000F6C94" w:rsidRDefault="00760A94" w:rsidP="00DF35A5">
      <w:pPr>
        <w:pStyle w:val="Default"/>
        <w:ind w:firstLine="567"/>
        <w:jc w:val="both"/>
        <w:rPr>
          <w:color w:val="auto"/>
          <w:sz w:val="28"/>
          <w:szCs w:val="28"/>
        </w:rPr>
      </w:pPr>
      <w:r w:rsidRPr="000F6C94">
        <w:rPr>
          <w:color w:val="auto"/>
          <w:sz w:val="28"/>
          <w:szCs w:val="28"/>
        </w:rPr>
        <w:t>Pārskata periodā</w:t>
      </w:r>
      <w:r w:rsidR="00DF35A5" w:rsidRPr="000F6C94">
        <w:rPr>
          <w:color w:val="auto"/>
          <w:sz w:val="28"/>
          <w:szCs w:val="28"/>
        </w:rPr>
        <w:t xml:space="preserve"> Biroja amatpersonas izskatīja </w:t>
      </w:r>
      <w:r w:rsidRPr="000F6C94">
        <w:rPr>
          <w:color w:val="auto"/>
          <w:sz w:val="28"/>
          <w:szCs w:val="28"/>
        </w:rPr>
        <w:t>52</w:t>
      </w:r>
      <w:r w:rsidR="00DF35A5" w:rsidRPr="000F6C94">
        <w:rPr>
          <w:color w:val="auto"/>
          <w:sz w:val="28"/>
          <w:szCs w:val="28"/>
        </w:rPr>
        <w:t> personu iesniegumus (</w:t>
      </w:r>
      <w:r w:rsidRPr="000F6C94">
        <w:rPr>
          <w:color w:val="auto"/>
          <w:sz w:val="28"/>
          <w:szCs w:val="28"/>
        </w:rPr>
        <w:t>2015.gadā kop</w:t>
      </w:r>
      <w:r w:rsidR="00DF35A5" w:rsidRPr="000F6C94">
        <w:rPr>
          <w:color w:val="auto"/>
          <w:sz w:val="28"/>
          <w:szCs w:val="28"/>
        </w:rPr>
        <w:t xml:space="preserve">ā – </w:t>
      </w:r>
      <w:r w:rsidRPr="000F6C94">
        <w:rPr>
          <w:color w:val="auto"/>
          <w:sz w:val="28"/>
          <w:szCs w:val="28"/>
        </w:rPr>
        <w:t>126</w:t>
      </w:r>
      <w:r w:rsidR="00DF35A5" w:rsidRPr="000F6C94">
        <w:rPr>
          <w:color w:val="auto"/>
          <w:sz w:val="28"/>
          <w:szCs w:val="28"/>
        </w:rPr>
        <w:t xml:space="preserve"> personu iesniegumus), no kuriem </w:t>
      </w:r>
      <w:r w:rsidRPr="000F6C94">
        <w:rPr>
          <w:color w:val="auto"/>
          <w:sz w:val="28"/>
          <w:szCs w:val="28"/>
        </w:rPr>
        <w:t>35</w:t>
      </w:r>
      <w:r w:rsidR="00DF35A5" w:rsidRPr="000F6C94">
        <w:rPr>
          <w:color w:val="auto"/>
          <w:sz w:val="28"/>
          <w:szCs w:val="28"/>
        </w:rPr>
        <w:t xml:space="preserve"> gadījumos (</w:t>
      </w:r>
      <w:r w:rsidRPr="000F6C94">
        <w:rPr>
          <w:color w:val="auto"/>
          <w:sz w:val="28"/>
          <w:szCs w:val="28"/>
        </w:rPr>
        <w:t xml:space="preserve">2015.gadā kopā </w:t>
      </w:r>
      <w:r w:rsidR="00DF35A5" w:rsidRPr="000F6C94">
        <w:rPr>
          <w:color w:val="auto"/>
          <w:sz w:val="28"/>
          <w:szCs w:val="28"/>
        </w:rPr>
        <w:t xml:space="preserve">– </w:t>
      </w:r>
      <w:r w:rsidRPr="000F6C94">
        <w:rPr>
          <w:color w:val="auto"/>
          <w:sz w:val="28"/>
          <w:szCs w:val="28"/>
        </w:rPr>
        <w:t>100</w:t>
      </w:r>
      <w:r w:rsidR="00DF35A5" w:rsidRPr="000F6C94">
        <w:rPr>
          <w:color w:val="auto"/>
          <w:sz w:val="28"/>
          <w:szCs w:val="28"/>
        </w:rPr>
        <w:t xml:space="preserve"> gadījumos) veica pārbaudes par iespējamu likuma pārkāpumu, izmantojot Biroja likumā noteiktās pilnvaras, kas nav kriminālprocesuālās pilnvaras. </w:t>
      </w:r>
    </w:p>
    <w:p w:rsidR="00760A94" w:rsidRPr="000F6C94" w:rsidRDefault="001902E5" w:rsidP="0085213D">
      <w:pPr>
        <w:pStyle w:val="Default"/>
        <w:ind w:firstLine="567"/>
        <w:jc w:val="both"/>
        <w:rPr>
          <w:color w:val="auto"/>
          <w:sz w:val="28"/>
          <w:szCs w:val="28"/>
        </w:rPr>
      </w:pPr>
      <w:r w:rsidRPr="000F6C94">
        <w:rPr>
          <w:color w:val="auto"/>
          <w:sz w:val="28"/>
          <w:szCs w:val="28"/>
        </w:rPr>
        <w:t xml:space="preserve">No pārskata periodā </w:t>
      </w:r>
      <w:r w:rsidR="00760A94" w:rsidRPr="000F6C94">
        <w:rPr>
          <w:color w:val="auto"/>
          <w:sz w:val="28"/>
          <w:szCs w:val="28"/>
        </w:rPr>
        <w:t xml:space="preserve">14 uzsāktajiem kriminālprocesiem </w:t>
      </w:r>
      <w:r w:rsidR="000F6C94">
        <w:rPr>
          <w:color w:val="auto"/>
          <w:sz w:val="28"/>
          <w:szCs w:val="28"/>
        </w:rPr>
        <w:t>septiņi uzsākti</w:t>
      </w:r>
      <w:r w:rsidR="00760A94" w:rsidRPr="000F6C94">
        <w:rPr>
          <w:color w:val="auto"/>
          <w:sz w:val="28"/>
          <w:szCs w:val="28"/>
        </w:rPr>
        <w:t xml:space="preserve"> pēc iegūtās operatīvās informācijas, </w:t>
      </w:r>
      <w:r w:rsidR="000F6C94">
        <w:rPr>
          <w:color w:val="auto"/>
          <w:sz w:val="28"/>
          <w:szCs w:val="28"/>
        </w:rPr>
        <w:t>divi</w:t>
      </w:r>
      <w:r w:rsidR="00760A94" w:rsidRPr="000F6C94">
        <w:rPr>
          <w:color w:val="auto"/>
          <w:sz w:val="28"/>
          <w:szCs w:val="28"/>
        </w:rPr>
        <w:t xml:space="preserve"> kriminālprocesi uzsākti </w:t>
      </w:r>
      <w:proofErr w:type="spellStart"/>
      <w:r w:rsidR="00760A94" w:rsidRPr="000F6C94">
        <w:rPr>
          <w:color w:val="auto"/>
          <w:sz w:val="28"/>
          <w:szCs w:val="28"/>
        </w:rPr>
        <w:t>resoriskās</w:t>
      </w:r>
      <w:proofErr w:type="spellEnd"/>
      <w:r w:rsidR="00760A94" w:rsidRPr="000F6C94">
        <w:rPr>
          <w:color w:val="auto"/>
          <w:sz w:val="28"/>
          <w:szCs w:val="28"/>
        </w:rPr>
        <w:t xml:space="preserve"> pārbaudes rezultātā, savukārt </w:t>
      </w:r>
      <w:r w:rsidR="000F6C94">
        <w:rPr>
          <w:color w:val="auto"/>
          <w:sz w:val="28"/>
          <w:szCs w:val="28"/>
        </w:rPr>
        <w:t>pieci</w:t>
      </w:r>
      <w:r w:rsidR="00760A94" w:rsidRPr="000F6C94">
        <w:rPr>
          <w:color w:val="auto"/>
          <w:sz w:val="28"/>
          <w:szCs w:val="28"/>
        </w:rPr>
        <w:t xml:space="preserve"> kriminālprocesi izdalīti no lietvedībā esošajiem </w:t>
      </w:r>
      <w:r w:rsidR="00281DDB" w:rsidRPr="000F6C94">
        <w:rPr>
          <w:color w:val="auto"/>
          <w:sz w:val="28"/>
          <w:szCs w:val="28"/>
        </w:rPr>
        <w:t>kriminālprocesiem,</w:t>
      </w:r>
      <w:r w:rsidR="00760A94" w:rsidRPr="000F6C94">
        <w:rPr>
          <w:color w:val="auto"/>
          <w:sz w:val="28"/>
          <w:szCs w:val="28"/>
        </w:rPr>
        <w:t xml:space="preserve"> kas iepriekš arī uzsākti pēc iegūtās operatīvās informācijas</w:t>
      </w:r>
      <w:r w:rsidR="003824A7" w:rsidRPr="000F6C94">
        <w:rPr>
          <w:color w:val="auto"/>
          <w:sz w:val="28"/>
          <w:szCs w:val="28"/>
        </w:rPr>
        <w:t>.</w:t>
      </w:r>
    </w:p>
    <w:p w:rsidR="0085213D" w:rsidRPr="000F6C94" w:rsidRDefault="00181B25" w:rsidP="00144655">
      <w:pPr>
        <w:pStyle w:val="Default"/>
        <w:ind w:firstLine="567"/>
        <w:jc w:val="both"/>
        <w:rPr>
          <w:color w:val="auto"/>
          <w:sz w:val="28"/>
          <w:szCs w:val="28"/>
        </w:rPr>
      </w:pPr>
      <w:r w:rsidRPr="000F6C94">
        <w:rPr>
          <w:color w:val="auto"/>
          <w:sz w:val="28"/>
          <w:szCs w:val="28"/>
        </w:rPr>
        <w:t>Kopumā pārskata periodā</w:t>
      </w:r>
      <w:r w:rsidR="00341A95" w:rsidRPr="000F6C94">
        <w:rPr>
          <w:color w:val="auto"/>
          <w:sz w:val="28"/>
          <w:szCs w:val="28"/>
        </w:rPr>
        <w:t xml:space="preserve"> </w:t>
      </w:r>
      <w:r w:rsidRPr="000F6C94">
        <w:rPr>
          <w:color w:val="auto"/>
          <w:sz w:val="28"/>
          <w:szCs w:val="28"/>
        </w:rPr>
        <w:t xml:space="preserve">Biroja </w:t>
      </w:r>
      <w:r w:rsidR="00CE2E30" w:rsidRPr="000F6C94">
        <w:rPr>
          <w:color w:val="auto"/>
          <w:sz w:val="28"/>
          <w:szCs w:val="28"/>
        </w:rPr>
        <w:t>amatpersonas</w:t>
      </w:r>
      <w:r w:rsidRPr="000F6C94">
        <w:rPr>
          <w:color w:val="auto"/>
          <w:sz w:val="28"/>
          <w:szCs w:val="28"/>
        </w:rPr>
        <w:t xml:space="preserve"> uzsāku</w:t>
      </w:r>
      <w:r w:rsidR="00CE2E30" w:rsidRPr="000F6C94">
        <w:rPr>
          <w:color w:val="auto"/>
          <w:sz w:val="28"/>
          <w:szCs w:val="28"/>
        </w:rPr>
        <w:t>šas</w:t>
      </w:r>
      <w:r w:rsidRPr="000F6C94">
        <w:rPr>
          <w:color w:val="auto"/>
          <w:sz w:val="28"/>
          <w:szCs w:val="28"/>
        </w:rPr>
        <w:t xml:space="preserve"> </w:t>
      </w:r>
      <w:r w:rsidR="00E90526" w:rsidRPr="000F6C94">
        <w:rPr>
          <w:color w:val="auto"/>
          <w:sz w:val="28"/>
          <w:szCs w:val="28"/>
        </w:rPr>
        <w:t>129</w:t>
      </w:r>
      <w:r w:rsidR="000664D2">
        <w:rPr>
          <w:color w:val="auto"/>
          <w:sz w:val="28"/>
          <w:szCs w:val="28"/>
        </w:rPr>
        <w:t xml:space="preserve"> </w:t>
      </w:r>
      <w:proofErr w:type="spellStart"/>
      <w:r w:rsidR="000664D2">
        <w:rPr>
          <w:color w:val="auto"/>
          <w:sz w:val="28"/>
          <w:szCs w:val="28"/>
        </w:rPr>
        <w:t>resoriskās</w:t>
      </w:r>
      <w:proofErr w:type="spellEnd"/>
      <w:r w:rsidR="000664D2">
        <w:rPr>
          <w:color w:val="auto"/>
          <w:sz w:val="28"/>
          <w:szCs w:val="28"/>
        </w:rPr>
        <w:t xml:space="preserve"> pārbaudes, kā </w:t>
      </w:r>
      <w:r w:rsidR="00E90526" w:rsidRPr="000F6C94">
        <w:rPr>
          <w:color w:val="auto"/>
          <w:sz w:val="28"/>
          <w:szCs w:val="28"/>
        </w:rPr>
        <w:t xml:space="preserve">arī </w:t>
      </w:r>
      <w:r w:rsidR="0085213D" w:rsidRPr="000F6C94">
        <w:rPr>
          <w:color w:val="auto"/>
          <w:sz w:val="28"/>
          <w:szCs w:val="28"/>
        </w:rPr>
        <w:t>pabeigu</w:t>
      </w:r>
      <w:r w:rsidR="00CE2E30" w:rsidRPr="000F6C94">
        <w:rPr>
          <w:color w:val="auto"/>
          <w:sz w:val="28"/>
          <w:szCs w:val="28"/>
        </w:rPr>
        <w:t>šas</w:t>
      </w:r>
      <w:r w:rsidR="0085213D" w:rsidRPr="000F6C94">
        <w:rPr>
          <w:color w:val="auto"/>
          <w:sz w:val="28"/>
          <w:szCs w:val="28"/>
        </w:rPr>
        <w:t xml:space="preserve"> </w:t>
      </w:r>
      <w:r w:rsidR="00E90526" w:rsidRPr="000F6C94">
        <w:rPr>
          <w:color w:val="auto"/>
          <w:sz w:val="28"/>
          <w:szCs w:val="28"/>
        </w:rPr>
        <w:t>129</w:t>
      </w:r>
      <w:r w:rsidR="0085213D" w:rsidRPr="000F6C94">
        <w:rPr>
          <w:color w:val="auto"/>
          <w:sz w:val="28"/>
          <w:szCs w:val="28"/>
        </w:rPr>
        <w:t xml:space="preserve"> </w:t>
      </w:r>
      <w:proofErr w:type="spellStart"/>
      <w:r w:rsidR="00CE2E30" w:rsidRPr="000F6C94">
        <w:rPr>
          <w:color w:val="auto"/>
          <w:sz w:val="28"/>
          <w:szCs w:val="28"/>
        </w:rPr>
        <w:t>resoriskās</w:t>
      </w:r>
      <w:proofErr w:type="spellEnd"/>
      <w:r w:rsidR="00CE2E30" w:rsidRPr="000F6C94">
        <w:rPr>
          <w:color w:val="auto"/>
          <w:sz w:val="28"/>
          <w:szCs w:val="28"/>
        </w:rPr>
        <w:t xml:space="preserve"> </w:t>
      </w:r>
      <w:r w:rsidR="0085213D" w:rsidRPr="000F6C94">
        <w:rPr>
          <w:color w:val="auto"/>
          <w:sz w:val="28"/>
          <w:szCs w:val="28"/>
        </w:rPr>
        <w:t>pārbaudes</w:t>
      </w:r>
      <w:r w:rsidR="00341A95" w:rsidRPr="000F6C94">
        <w:rPr>
          <w:color w:val="auto"/>
          <w:sz w:val="28"/>
          <w:szCs w:val="28"/>
        </w:rPr>
        <w:t xml:space="preserve">. </w:t>
      </w:r>
      <w:r w:rsidR="00633718" w:rsidRPr="000F6C94">
        <w:rPr>
          <w:color w:val="auto"/>
          <w:sz w:val="28"/>
          <w:szCs w:val="28"/>
        </w:rPr>
        <w:t>Uz 2015.gada 31.decembri</w:t>
      </w:r>
      <w:r w:rsidR="0085213D" w:rsidRPr="000F6C94">
        <w:rPr>
          <w:color w:val="auto"/>
          <w:sz w:val="28"/>
          <w:szCs w:val="28"/>
        </w:rPr>
        <w:t xml:space="preserve"> </w:t>
      </w:r>
      <w:r w:rsidR="00D6621D" w:rsidRPr="000F6C94">
        <w:rPr>
          <w:color w:val="auto"/>
          <w:sz w:val="28"/>
          <w:szCs w:val="28"/>
        </w:rPr>
        <w:t>Izmeklēšanas nodaļas lietvedība</w:t>
      </w:r>
      <w:r w:rsidR="0085213D" w:rsidRPr="000F6C94">
        <w:rPr>
          <w:color w:val="auto"/>
          <w:sz w:val="28"/>
          <w:szCs w:val="28"/>
        </w:rPr>
        <w:t xml:space="preserve"> atradās 4</w:t>
      </w:r>
      <w:r w:rsidR="00633718" w:rsidRPr="000F6C94">
        <w:rPr>
          <w:color w:val="auto"/>
          <w:sz w:val="28"/>
          <w:szCs w:val="28"/>
        </w:rPr>
        <w:t xml:space="preserve">2 </w:t>
      </w:r>
      <w:r w:rsidR="0085213D" w:rsidRPr="000F6C94">
        <w:rPr>
          <w:color w:val="auto"/>
          <w:sz w:val="28"/>
          <w:szCs w:val="28"/>
        </w:rPr>
        <w:t>krimināllietas.</w:t>
      </w:r>
    </w:p>
    <w:p w:rsidR="00A038A0" w:rsidRPr="000F6C94" w:rsidRDefault="00A038A0" w:rsidP="00A038A0">
      <w:pPr>
        <w:pStyle w:val="Default"/>
        <w:ind w:firstLine="567"/>
        <w:jc w:val="both"/>
        <w:rPr>
          <w:color w:val="auto"/>
          <w:sz w:val="28"/>
          <w:szCs w:val="28"/>
        </w:rPr>
      </w:pPr>
      <w:r w:rsidRPr="000F6C94">
        <w:rPr>
          <w:color w:val="auto"/>
          <w:sz w:val="28"/>
          <w:szCs w:val="28"/>
        </w:rPr>
        <w:t>Pārskata periodā viens no nozīmīg</w:t>
      </w:r>
      <w:r w:rsidR="005340E5" w:rsidRPr="000F6C94">
        <w:rPr>
          <w:color w:val="auto"/>
          <w:sz w:val="28"/>
          <w:szCs w:val="28"/>
        </w:rPr>
        <w:t xml:space="preserve">ākajiem </w:t>
      </w:r>
      <w:r w:rsidRPr="000F6C94">
        <w:rPr>
          <w:color w:val="auto"/>
          <w:sz w:val="28"/>
          <w:szCs w:val="28"/>
        </w:rPr>
        <w:t xml:space="preserve">uzsāktajiem kriminālprocesiem ir pret VAS „Latvijas Dzelzceļš” valdes priekšsēdētāju par kukuļa lielā apmērā piedāvājuma pieņemšanu (Krimināllikuma 320. pants 3.daļa). Kriminālprocesa ietvaros iegūto pierādījumu kopums dod pietiekamu pamatu uzskatīt, ka kukulis saņemts saistībā ar VAS „Latvijas Dzelzceļš” meitasuzņēmuma SIA “LDZ ritošā sastāva serviss” iepirkumu. Sākotnēji aizdomās turētajai personai </w:t>
      </w:r>
      <w:r w:rsidR="000F6C94">
        <w:rPr>
          <w:color w:val="auto"/>
          <w:sz w:val="28"/>
          <w:szCs w:val="28"/>
        </w:rPr>
        <w:t>tika</w:t>
      </w:r>
      <w:r w:rsidRPr="000F6C94">
        <w:rPr>
          <w:color w:val="auto"/>
          <w:sz w:val="28"/>
          <w:szCs w:val="28"/>
        </w:rPr>
        <w:t xml:space="preserve"> piemērots drošības līdzeklis – apcietinājums. 2015.gada oktobrī tika iemaksāta drošības nauda un persona, kas tiek turēta aizdomās par kukuļņemšanu, atbrīvota no apcietinājuma. </w:t>
      </w:r>
    </w:p>
    <w:p w:rsidR="00F51CCB" w:rsidRPr="000F6C94" w:rsidRDefault="005340E5" w:rsidP="005340E5">
      <w:pPr>
        <w:pStyle w:val="Default"/>
        <w:ind w:firstLine="567"/>
        <w:jc w:val="both"/>
        <w:rPr>
          <w:color w:val="auto"/>
          <w:sz w:val="28"/>
          <w:szCs w:val="28"/>
        </w:rPr>
      </w:pPr>
      <w:r w:rsidRPr="000F6C94">
        <w:rPr>
          <w:color w:val="auto"/>
          <w:sz w:val="28"/>
          <w:szCs w:val="28"/>
        </w:rPr>
        <w:t xml:space="preserve">Tāpat Birojs ir </w:t>
      </w:r>
      <w:r w:rsidR="00F51CCB" w:rsidRPr="000F6C94">
        <w:rPr>
          <w:color w:val="auto"/>
          <w:sz w:val="28"/>
          <w:szCs w:val="28"/>
        </w:rPr>
        <w:t>uzsācis kriminālprocesu saistībā ar Neatliekamās medicīniskās palīdzības dienesta veiktajiem iepirkumiem, kas saistīti ar operatīvā autotransporta iegādi un sanitāro pakalpojumu sniegšanu.</w:t>
      </w:r>
      <w:r w:rsidRPr="000F6C94">
        <w:rPr>
          <w:color w:val="auto"/>
          <w:sz w:val="28"/>
          <w:szCs w:val="28"/>
        </w:rPr>
        <w:t xml:space="preserve"> Birojs</w:t>
      </w:r>
      <w:r w:rsidR="00F51CCB" w:rsidRPr="000F6C94">
        <w:rPr>
          <w:color w:val="auto"/>
          <w:sz w:val="28"/>
          <w:szCs w:val="28"/>
        </w:rPr>
        <w:t>, izvērtējot Valsts kontroles veiktās revīzijas materi</w:t>
      </w:r>
      <w:r w:rsidR="000F6C94">
        <w:rPr>
          <w:color w:val="auto"/>
          <w:sz w:val="28"/>
          <w:szCs w:val="28"/>
        </w:rPr>
        <w:t xml:space="preserve">ālus, veica </w:t>
      </w:r>
      <w:proofErr w:type="spellStart"/>
      <w:r w:rsidR="000F6C94">
        <w:rPr>
          <w:color w:val="auto"/>
          <w:sz w:val="28"/>
          <w:szCs w:val="28"/>
        </w:rPr>
        <w:t>resorisko</w:t>
      </w:r>
      <w:proofErr w:type="spellEnd"/>
      <w:r w:rsidR="000F6C94">
        <w:rPr>
          <w:color w:val="auto"/>
          <w:sz w:val="28"/>
          <w:szCs w:val="28"/>
        </w:rPr>
        <w:t xml:space="preserve"> pārbaudi, kuras </w:t>
      </w:r>
      <w:r w:rsidR="00F51CCB" w:rsidRPr="000F6C94">
        <w:rPr>
          <w:color w:val="auto"/>
          <w:sz w:val="28"/>
          <w:szCs w:val="28"/>
        </w:rPr>
        <w:t>rezultātā iegūtās ziņas bija pamats kriminālprocesa uzsākšanai.</w:t>
      </w:r>
    </w:p>
    <w:p w:rsidR="005340E5" w:rsidRPr="000F6C94" w:rsidRDefault="005340E5" w:rsidP="005340E5">
      <w:pPr>
        <w:pStyle w:val="Default"/>
        <w:ind w:firstLine="567"/>
        <w:jc w:val="both"/>
        <w:rPr>
          <w:color w:val="auto"/>
          <w:sz w:val="28"/>
          <w:szCs w:val="28"/>
        </w:rPr>
      </w:pPr>
      <w:r w:rsidRPr="000F6C94">
        <w:rPr>
          <w:color w:val="auto"/>
          <w:sz w:val="28"/>
          <w:szCs w:val="28"/>
        </w:rPr>
        <w:t>2015.gada augustā Birojs nosūtīja Organizētās noziedzības un citu nozaru specializētai prokuratūrai  2015.gada jūnijā uzsāktā kriminālprocesa materiālus pret divām personām par krāpšanu un vienu personu par krāpšanas atbalstīšanu un dienesta stāvokļa ļaunprātīgu izmantošanu. Minētais kriminālprocess tika izdalīts no 2013.gadā uzsāktā kriminālprocesa par Pārtikas  drošības, dzīvnieku  veselības un vid</w:t>
      </w:r>
      <w:r w:rsidR="00C16E74">
        <w:rPr>
          <w:color w:val="auto"/>
          <w:sz w:val="28"/>
          <w:szCs w:val="28"/>
        </w:rPr>
        <w:t xml:space="preserve">es zinātniskā institūta „BIOR” </w:t>
      </w:r>
      <w:r w:rsidRPr="000F6C94">
        <w:rPr>
          <w:color w:val="auto"/>
          <w:sz w:val="28"/>
          <w:szCs w:val="28"/>
        </w:rPr>
        <w:t>amatpersonu iespējamu ļaunprātīgu dienesta stāvokļa izmantošanu saistībā ar 2011.</w:t>
      </w:r>
      <w:r w:rsidR="000F6C94">
        <w:rPr>
          <w:color w:val="auto"/>
          <w:sz w:val="28"/>
          <w:szCs w:val="28"/>
        </w:rPr>
        <w:t>gada</w:t>
      </w:r>
      <w:r w:rsidRPr="000F6C94">
        <w:rPr>
          <w:color w:val="auto"/>
          <w:sz w:val="28"/>
          <w:szCs w:val="28"/>
        </w:rPr>
        <w:t xml:space="preserve"> un 2012.gada iepirkumiem  par stikla zušu piegādi un to ielaišanu Latvijas upēs un ezeros.</w:t>
      </w:r>
    </w:p>
    <w:p w:rsidR="00F51CCB" w:rsidRDefault="005340E5" w:rsidP="005340E5">
      <w:pPr>
        <w:pStyle w:val="Default"/>
        <w:ind w:firstLine="567"/>
        <w:jc w:val="both"/>
        <w:rPr>
          <w:rFonts w:eastAsia="Times New Roman"/>
          <w:sz w:val="28"/>
          <w:szCs w:val="28"/>
          <w:lang w:eastAsia="lv-LV"/>
        </w:rPr>
      </w:pPr>
      <w:r w:rsidRPr="000F6C94">
        <w:rPr>
          <w:rFonts w:eastAsia="Times New Roman"/>
          <w:bCs/>
          <w:sz w:val="28"/>
          <w:szCs w:val="28"/>
          <w:lang w:eastAsia="lv-LV"/>
        </w:rPr>
        <w:lastRenderedPageBreak/>
        <w:t xml:space="preserve">Birojs ir </w:t>
      </w:r>
      <w:r w:rsidR="00F51CCB" w:rsidRPr="000F6C94">
        <w:rPr>
          <w:rFonts w:eastAsia="Times New Roman"/>
          <w:sz w:val="28"/>
          <w:szCs w:val="28"/>
          <w:lang w:eastAsia="lv-LV"/>
        </w:rPr>
        <w:t xml:space="preserve">nosūtījis Rīgas tiesas </w:t>
      </w:r>
      <w:r w:rsidRPr="000F6C94">
        <w:rPr>
          <w:rFonts w:eastAsia="Times New Roman"/>
          <w:sz w:val="28"/>
          <w:szCs w:val="28"/>
          <w:lang w:eastAsia="lv-LV"/>
        </w:rPr>
        <w:t xml:space="preserve">apgabala prokuratūrai 2014.gadā </w:t>
      </w:r>
      <w:r w:rsidR="00F51CCB" w:rsidRPr="000F6C94">
        <w:rPr>
          <w:rFonts w:eastAsia="Times New Roman"/>
          <w:sz w:val="28"/>
          <w:szCs w:val="28"/>
          <w:lang w:eastAsia="lv-LV"/>
        </w:rPr>
        <w:t>uzsāktā kriminālprocesa materiālus ar lūgumu sauk</w:t>
      </w:r>
      <w:r w:rsidR="000F6C94">
        <w:rPr>
          <w:rFonts w:eastAsia="Times New Roman"/>
          <w:sz w:val="28"/>
          <w:szCs w:val="28"/>
          <w:lang w:eastAsia="lv-LV"/>
        </w:rPr>
        <w:t>t pie kriminālatbildības VID</w:t>
      </w:r>
      <w:r w:rsidR="00F51CCB" w:rsidRPr="000F6C94">
        <w:rPr>
          <w:rFonts w:eastAsia="Times New Roman"/>
          <w:sz w:val="28"/>
          <w:szCs w:val="28"/>
          <w:lang w:eastAsia="lv-LV"/>
        </w:rPr>
        <w:t xml:space="preserve"> amatpersonu par kukuļa pieņemšanu. Līdzās amatpersonai </w:t>
      </w:r>
      <w:r w:rsidRPr="000F6C94">
        <w:rPr>
          <w:rFonts w:eastAsia="Times New Roman"/>
          <w:sz w:val="28"/>
          <w:szCs w:val="28"/>
          <w:lang w:eastAsia="lv-LV"/>
        </w:rPr>
        <w:t>Birojs</w:t>
      </w:r>
      <w:r w:rsidR="00F51CCB" w:rsidRPr="000F6C94">
        <w:rPr>
          <w:rFonts w:eastAsia="Times New Roman"/>
          <w:sz w:val="28"/>
          <w:szCs w:val="28"/>
          <w:lang w:eastAsia="lv-LV"/>
        </w:rPr>
        <w:t xml:space="preserve"> lūdz saukt pie kriminālatbildības arī piecas privātpersonas.</w:t>
      </w:r>
      <w:r w:rsidRPr="000F6C94">
        <w:rPr>
          <w:rFonts w:eastAsia="Times New Roman"/>
          <w:sz w:val="28"/>
          <w:szCs w:val="28"/>
          <w:lang w:eastAsia="lv-LV"/>
        </w:rPr>
        <w:t xml:space="preserve"> </w:t>
      </w:r>
      <w:r w:rsidR="00F51CCB" w:rsidRPr="000F6C94">
        <w:rPr>
          <w:rFonts w:eastAsia="Times New Roman"/>
          <w:sz w:val="28"/>
          <w:szCs w:val="28"/>
          <w:lang w:eastAsia="lv-LV"/>
        </w:rPr>
        <w:t xml:space="preserve">Izmeklēšanas gaitā iegūto pierādījumu kopums dod pamatu </w:t>
      </w:r>
      <w:r w:rsidR="000F6C94">
        <w:rPr>
          <w:rFonts w:eastAsia="Times New Roman"/>
          <w:sz w:val="28"/>
          <w:szCs w:val="28"/>
          <w:lang w:eastAsia="lv-LV"/>
        </w:rPr>
        <w:t>Biroja</w:t>
      </w:r>
      <w:r w:rsidR="00F51CCB" w:rsidRPr="000F6C94">
        <w:rPr>
          <w:rFonts w:eastAsia="Times New Roman"/>
          <w:sz w:val="28"/>
          <w:szCs w:val="28"/>
          <w:lang w:eastAsia="lv-LV"/>
        </w:rPr>
        <w:t xml:space="preserve"> izmeklētājam uzskatīt, ka VID amatpersona pieņēmusi kukuli saistībā ar labvēlīga lēmuma pieņemšanu kukuļa devēja interesēs, atceļot iepriekš pieņemto VID lēmumu par pievienotās vērtības nodokļa uzrēķinu.</w:t>
      </w:r>
    </w:p>
    <w:p w:rsidR="000F6C94" w:rsidRDefault="000F6C94" w:rsidP="005340E5">
      <w:pPr>
        <w:pStyle w:val="Default"/>
        <w:ind w:firstLine="567"/>
        <w:jc w:val="both"/>
        <w:rPr>
          <w:rFonts w:eastAsia="Times New Roman"/>
          <w:sz w:val="28"/>
          <w:szCs w:val="28"/>
          <w:lang w:eastAsia="lv-LV"/>
        </w:rPr>
      </w:pPr>
      <w:r w:rsidRPr="000F6C94">
        <w:rPr>
          <w:rFonts w:eastAsia="Times New Roman"/>
          <w:sz w:val="28"/>
          <w:szCs w:val="28"/>
          <w:lang w:eastAsia="lv-LV"/>
        </w:rPr>
        <w:t>Lai nodrošinātu pierādījumu iegūšanu un nostiprināšanu Biroja lietvedībā esošajās krimināllietās, 2015.gada gadā Birojs ir sagatavojis astoņus tiesiskās palīdzības lūgumus uz tādām valstīm kā Apvienotā Karaliste, Austrija, Igaunija un Vācija, kā arī izpildījis astoņus ārvalstu tiesiskās palīdzības lūgumus.</w:t>
      </w:r>
    </w:p>
    <w:p w:rsidR="00722F4C" w:rsidRDefault="00722F4C" w:rsidP="00722F4C">
      <w:pPr>
        <w:pStyle w:val="Default"/>
        <w:jc w:val="both"/>
        <w:rPr>
          <w:rFonts w:eastAsia="Times New Roman"/>
          <w:sz w:val="28"/>
          <w:szCs w:val="28"/>
          <w:lang w:eastAsia="lv-LV"/>
        </w:rPr>
      </w:pPr>
    </w:p>
    <w:p w:rsidR="00722F4C" w:rsidRDefault="00722F4C" w:rsidP="00722F4C">
      <w:pPr>
        <w:pStyle w:val="Default"/>
        <w:jc w:val="both"/>
        <w:rPr>
          <w:rFonts w:eastAsia="Times New Roman"/>
          <w:sz w:val="28"/>
          <w:szCs w:val="28"/>
          <w:lang w:eastAsia="lv-LV"/>
        </w:rPr>
      </w:pPr>
      <w:r>
        <w:rPr>
          <w:noProof/>
          <w:lang w:eastAsia="lv-LV"/>
        </w:rPr>
        <w:drawing>
          <wp:inline distT="0" distB="0" distL="0" distR="0" wp14:anchorId="297D1E34" wp14:editId="12D27E46">
            <wp:extent cx="5486400" cy="2985135"/>
            <wp:effectExtent l="0" t="0" r="19050" b="247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2C5" w:rsidRPr="005340E5" w:rsidRDefault="005340E5" w:rsidP="00C1549F">
      <w:pPr>
        <w:pStyle w:val="Default"/>
        <w:ind w:firstLine="567"/>
        <w:jc w:val="both"/>
        <w:rPr>
          <w:i/>
          <w:color w:val="auto"/>
          <w:sz w:val="28"/>
          <w:szCs w:val="28"/>
        </w:rPr>
      </w:pPr>
      <w:r w:rsidRPr="005340E5">
        <w:rPr>
          <w:i/>
          <w:color w:val="auto"/>
          <w:sz w:val="28"/>
          <w:szCs w:val="28"/>
        </w:rPr>
        <w:t>4.attēls. Kriminālvajāšanai nosūtīto lietu un personu skaits, kā arī uzsāktie kriminālprocesi.</w:t>
      </w:r>
    </w:p>
    <w:p w:rsidR="000F6C94" w:rsidRPr="000F6C94" w:rsidRDefault="000F6C94" w:rsidP="000F6C94">
      <w:pPr>
        <w:spacing w:after="0" w:line="240" w:lineRule="auto"/>
        <w:ind w:firstLine="720"/>
        <w:jc w:val="both"/>
        <w:rPr>
          <w:rFonts w:ascii="Times New Roman" w:hAnsi="Times New Roman" w:cs="Times New Roman"/>
          <w:sz w:val="28"/>
          <w:szCs w:val="28"/>
        </w:rPr>
      </w:pPr>
    </w:p>
    <w:p w:rsidR="00DD2C19" w:rsidRPr="00752EF4" w:rsidRDefault="00DD2C19" w:rsidP="00A408C3">
      <w:pPr>
        <w:pStyle w:val="Title"/>
        <w:rPr>
          <w:rFonts w:ascii="Times New Roman" w:hAnsi="Times New Roman"/>
        </w:rPr>
      </w:pPr>
      <w:r w:rsidRPr="00752EF4">
        <w:rPr>
          <w:rFonts w:ascii="Times New Roman" w:hAnsi="Times New Roman"/>
        </w:rPr>
        <w:t>3. Politisko partiju un to apvienību</w:t>
      </w:r>
      <w:r w:rsidR="00752EF4" w:rsidRPr="00752EF4">
        <w:rPr>
          <w:rFonts w:ascii="Times New Roman" w:hAnsi="Times New Roman"/>
        </w:rPr>
        <w:t xml:space="preserve"> </w:t>
      </w:r>
      <w:r w:rsidRPr="00752EF4">
        <w:rPr>
          <w:rFonts w:ascii="Times New Roman" w:hAnsi="Times New Roman"/>
        </w:rPr>
        <w:t>finansēšanas noteikumu izpildes kontrole</w:t>
      </w:r>
    </w:p>
    <w:p w:rsidR="00B34040" w:rsidRDefault="002B69CE" w:rsidP="00B34040">
      <w:pPr>
        <w:spacing w:after="0" w:line="240" w:lineRule="auto"/>
        <w:ind w:firstLine="567"/>
        <w:jc w:val="both"/>
        <w:rPr>
          <w:rFonts w:ascii="Times New Roman" w:eastAsia="Times New Roman" w:hAnsi="Times New Roman" w:cs="Times New Roman"/>
          <w:sz w:val="28"/>
          <w:szCs w:val="28"/>
          <w:lang w:eastAsia="lv-LV"/>
        </w:rPr>
      </w:pPr>
      <w:r w:rsidRPr="002B69CE">
        <w:rPr>
          <w:rFonts w:ascii="Times New Roman" w:eastAsia="Times New Roman" w:hAnsi="Times New Roman" w:cs="Times New Roman"/>
          <w:sz w:val="28"/>
          <w:szCs w:val="28"/>
          <w:lang w:eastAsia="lv-LV"/>
        </w:rPr>
        <w:t>Politisko partiju un to apvienību finansēšanas noteikumu kontroles mērķis ir nodrošināt partiju finansiālās darbības atklātumu, likumību un atbilstību parlamentārās demokrātijas sistēmai. Veicot likumā noteiktās funkcijas politisko partiju finansēšanas un priekšvēlēšanu aģit</w:t>
      </w:r>
      <w:r>
        <w:rPr>
          <w:rFonts w:ascii="Times New Roman" w:eastAsia="Times New Roman" w:hAnsi="Times New Roman" w:cs="Times New Roman"/>
          <w:sz w:val="28"/>
          <w:szCs w:val="28"/>
          <w:lang w:eastAsia="lv-LV"/>
        </w:rPr>
        <w:t>ācijas kontroles jomā,</w:t>
      </w:r>
      <w:r w:rsidR="00AF7212">
        <w:rPr>
          <w:rFonts w:ascii="Times New Roman" w:eastAsia="Times New Roman" w:hAnsi="Times New Roman" w:cs="Times New Roman"/>
          <w:sz w:val="28"/>
          <w:szCs w:val="28"/>
          <w:lang w:eastAsia="lv-LV"/>
        </w:rPr>
        <w:t xml:space="preserve"> pārskata periodā Biroja amatpersonas </w:t>
      </w:r>
      <w:r w:rsidR="00B34040">
        <w:rPr>
          <w:rFonts w:ascii="Times New Roman" w:eastAsia="Times New Roman" w:hAnsi="Times New Roman" w:cs="Times New Roman"/>
          <w:sz w:val="28"/>
          <w:szCs w:val="28"/>
          <w:lang w:eastAsia="lv-LV"/>
        </w:rPr>
        <w:t xml:space="preserve">veica </w:t>
      </w:r>
      <w:r w:rsidR="00B34040" w:rsidRPr="00B34040">
        <w:rPr>
          <w:rFonts w:ascii="Times New Roman" w:eastAsia="Times New Roman" w:hAnsi="Times New Roman" w:cs="Times New Roman"/>
          <w:sz w:val="28"/>
          <w:szCs w:val="28"/>
          <w:lang w:eastAsia="lv-LV"/>
        </w:rPr>
        <w:t xml:space="preserve">40 </w:t>
      </w:r>
      <w:r w:rsidR="00B34040">
        <w:rPr>
          <w:rFonts w:ascii="Times New Roman" w:eastAsia="Times New Roman" w:hAnsi="Times New Roman" w:cs="Times New Roman"/>
          <w:sz w:val="28"/>
          <w:szCs w:val="28"/>
          <w:lang w:eastAsia="lv-LV"/>
        </w:rPr>
        <w:t xml:space="preserve">politisko </w:t>
      </w:r>
      <w:r w:rsidR="00B34040" w:rsidRPr="00B34040">
        <w:rPr>
          <w:rFonts w:ascii="Times New Roman" w:eastAsia="Times New Roman" w:hAnsi="Times New Roman" w:cs="Times New Roman"/>
          <w:sz w:val="28"/>
          <w:szCs w:val="28"/>
          <w:lang w:eastAsia="lv-LV"/>
        </w:rPr>
        <w:t xml:space="preserve">partiju pārbaudes </w:t>
      </w:r>
      <w:r w:rsidR="00B34040">
        <w:rPr>
          <w:rFonts w:ascii="Times New Roman" w:eastAsia="Times New Roman" w:hAnsi="Times New Roman" w:cs="Times New Roman"/>
          <w:sz w:val="28"/>
          <w:szCs w:val="28"/>
          <w:lang w:eastAsia="lv-LV"/>
        </w:rPr>
        <w:t>attiecībā uz 2014.gada pārskatu patiesumu</w:t>
      </w:r>
      <w:r w:rsidR="001700BB">
        <w:rPr>
          <w:rFonts w:ascii="Times New Roman" w:eastAsia="Times New Roman" w:hAnsi="Times New Roman" w:cs="Times New Roman"/>
          <w:sz w:val="28"/>
          <w:szCs w:val="28"/>
          <w:lang w:eastAsia="lv-LV"/>
        </w:rPr>
        <w:t xml:space="preserve"> (kopā 2015.gadā 55 pārbaudes). </w:t>
      </w:r>
    </w:p>
    <w:p w:rsidR="00B34040" w:rsidRDefault="00B34040" w:rsidP="00C95A74">
      <w:pPr>
        <w:spacing w:after="0" w:line="240" w:lineRule="auto"/>
        <w:ind w:firstLine="567"/>
        <w:jc w:val="both"/>
        <w:rPr>
          <w:rFonts w:ascii="Times New Roman" w:eastAsia="Times New Roman" w:hAnsi="Times New Roman" w:cs="Times New Roman"/>
          <w:sz w:val="28"/>
          <w:szCs w:val="28"/>
          <w:lang w:eastAsia="lv-LV"/>
        </w:rPr>
      </w:pPr>
      <w:r w:rsidRPr="00B34040">
        <w:rPr>
          <w:rFonts w:ascii="Times New Roman" w:eastAsia="Times New Roman" w:hAnsi="Times New Roman" w:cs="Times New Roman"/>
          <w:sz w:val="28"/>
          <w:szCs w:val="28"/>
          <w:lang w:eastAsia="lv-LV"/>
        </w:rPr>
        <w:t xml:space="preserve">No 72 partijām, kurām bija jāiesniedz 2014.gada pārskati, līdz </w:t>
      </w:r>
      <w:r w:rsidR="000664D2">
        <w:rPr>
          <w:rFonts w:ascii="Times New Roman" w:eastAsia="Times New Roman" w:hAnsi="Times New Roman" w:cs="Times New Roman"/>
          <w:sz w:val="28"/>
          <w:szCs w:val="28"/>
          <w:lang w:eastAsia="lv-LV"/>
        </w:rPr>
        <w:t>2015.gada 31.decembrim nebija</w:t>
      </w:r>
      <w:r w:rsidRPr="00B34040">
        <w:rPr>
          <w:rFonts w:ascii="Times New Roman" w:eastAsia="Times New Roman" w:hAnsi="Times New Roman" w:cs="Times New Roman"/>
          <w:sz w:val="28"/>
          <w:szCs w:val="28"/>
          <w:lang w:eastAsia="lv-LV"/>
        </w:rPr>
        <w:t xml:space="preserve"> iesn</w:t>
      </w:r>
      <w:r w:rsidR="009A514E">
        <w:rPr>
          <w:rFonts w:ascii="Times New Roman" w:eastAsia="Times New Roman" w:hAnsi="Times New Roman" w:cs="Times New Roman"/>
          <w:sz w:val="28"/>
          <w:szCs w:val="28"/>
          <w:lang w:eastAsia="lv-LV"/>
        </w:rPr>
        <w:t>iegti 12 partiju gada pārskati –</w:t>
      </w:r>
      <w:r w:rsidRPr="00B34040">
        <w:rPr>
          <w:rFonts w:ascii="Times New Roman" w:eastAsia="Times New Roman" w:hAnsi="Times New Roman" w:cs="Times New Roman"/>
          <w:sz w:val="28"/>
          <w:szCs w:val="28"/>
          <w:lang w:eastAsia="lv-LV"/>
        </w:rPr>
        <w:t xml:space="preserve"> A8 partija, Daugavpils-mana pilsēta, Latviešu Zemnieku Savienība, Mūsu izvēle, Mūsu zeme, Osipova </w:t>
      </w:r>
      <w:r w:rsidRPr="00B34040">
        <w:rPr>
          <w:rFonts w:ascii="Times New Roman" w:eastAsia="Times New Roman" w:hAnsi="Times New Roman" w:cs="Times New Roman"/>
          <w:sz w:val="28"/>
          <w:szCs w:val="28"/>
          <w:lang w:eastAsia="lv-LV"/>
        </w:rPr>
        <w:lastRenderedPageBreak/>
        <w:t>partija, Par Dzimto Valodu!, Par Labu Latviju, Par Neatkarīgu Latviju!, Sociālā Taisnīguma partija, Latvijas kustība Solidaritāte, Tautas kontrole.</w:t>
      </w:r>
    </w:p>
    <w:p w:rsidR="00B34040" w:rsidRDefault="000664D2" w:rsidP="000664D2">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2015.gada</w:t>
      </w:r>
      <w:r w:rsidR="00B34040" w:rsidRPr="00B34040">
        <w:rPr>
          <w:rFonts w:ascii="Times New Roman" w:eastAsia="Times New Roman" w:hAnsi="Times New Roman" w:cs="Times New Roman"/>
          <w:sz w:val="28"/>
          <w:szCs w:val="28"/>
          <w:lang w:eastAsia="lv-LV"/>
        </w:rPr>
        <w:t xml:space="preserve"> </w:t>
      </w:r>
      <w:r w:rsidR="000F6C94">
        <w:rPr>
          <w:rFonts w:ascii="Times New Roman" w:eastAsia="Times New Roman" w:hAnsi="Times New Roman" w:cs="Times New Roman"/>
          <w:sz w:val="28"/>
          <w:szCs w:val="28"/>
          <w:lang w:eastAsia="lv-LV"/>
        </w:rPr>
        <w:t xml:space="preserve">otrajā </w:t>
      </w:r>
      <w:r w:rsidR="00B34040" w:rsidRPr="00B34040">
        <w:rPr>
          <w:rFonts w:ascii="Times New Roman" w:eastAsia="Times New Roman" w:hAnsi="Times New Roman" w:cs="Times New Roman"/>
          <w:sz w:val="28"/>
          <w:szCs w:val="28"/>
          <w:lang w:eastAsia="lv-LV"/>
        </w:rPr>
        <w:t xml:space="preserve">pusgadā turpināts iesniegt tiesā prasības pieteikumus apturēt </w:t>
      </w:r>
      <w:r w:rsidR="000F6C94">
        <w:rPr>
          <w:rFonts w:ascii="Times New Roman" w:eastAsia="Times New Roman" w:hAnsi="Times New Roman" w:cs="Times New Roman"/>
          <w:sz w:val="28"/>
          <w:szCs w:val="28"/>
          <w:lang w:eastAsia="lv-LV"/>
        </w:rPr>
        <w:t>četru</w:t>
      </w:r>
      <w:r w:rsidR="00B34040" w:rsidRPr="00B34040">
        <w:rPr>
          <w:rFonts w:ascii="Times New Roman" w:eastAsia="Times New Roman" w:hAnsi="Times New Roman" w:cs="Times New Roman"/>
          <w:sz w:val="28"/>
          <w:szCs w:val="28"/>
          <w:lang w:eastAsia="lv-LV"/>
        </w:rPr>
        <w:t xml:space="preserve"> partiju darbību p</w:t>
      </w:r>
      <w:r w:rsidR="009A514E">
        <w:rPr>
          <w:rFonts w:ascii="Times New Roman" w:eastAsia="Times New Roman" w:hAnsi="Times New Roman" w:cs="Times New Roman"/>
          <w:sz w:val="28"/>
          <w:szCs w:val="28"/>
          <w:lang w:eastAsia="lv-LV"/>
        </w:rPr>
        <w:t>ar gada pārskatu neiesniegšanu –</w:t>
      </w:r>
      <w:r w:rsidR="00B34040" w:rsidRPr="00B34040">
        <w:rPr>
          <w:rFonts w:ascii="Times New Roman" w:eastAsia="Times New Roman" w:hAnsi="Times New Roman" w:cs="Times New Roman"/>
          <w:sz w:val="28"/>
          <w:szCs w:val="28"/>
          <w:lang w:eastAsia="lv-LV"/>
        </w:rPr>
        <w:t xml:space="preserve"> Mūsu zeme, Par Neatkarīgu Latviju!, Sociālā Tais</w:t>
      </w:r>
      <w:r>
        <w:rPr>
          <w:rFonts w:ascii="Times New Roman" w:eastAsia="Times New Roman" w:hAnsi="Times New Roman" w:cs="Times New Roman"/>
          <w:sz w:val="28"/>
          <w:szCs w:val="28"/>
          <w:lang w:eastAsia="lv-LV"/>
        </w:rPr>
        <w:t xml:space="preserve">nīguma partija, Tautas kontrole. Savukārt prasības pieteikumi apturēt partiju darbību tiesā iesniegti par divām partijām </w:t>
      </w:r>
      <w:r w:rsidR="009A514E">
        <w:rPr>
          <w:rFonts w:ascii="Times New Roman" w:eastAsia="Times New Roman" w:hAnsi="Times New Roman" w:cs="Times New Roman"/>
          <w:sz w:val="28"/>
          <w:szCs w:val="28"/>
          <w:lang w:eastAsia="lv-LV"/>
        </w:rPr>
        <w:t>–</w:t>
      </w:r>
      <w:r w:rsidR="00B34040" w:rsidRPr="00B34040">
        <w:rPr>
          <w:rFonts w:ascii="Times New Roman" w:eastAsia="Times New Roman" w:hAnsi="Times New Roman" w:cs="Times New Roman"/>
          <w:sz w:val="28"/>
          <w:szCs w:val="28"/>
          <w:lang w:eastAsia="lv-LV"/>
        </w:rPr>
        <w:t xml:space="preserve"> A8 partija, Par Dzimto Valodu!</w:t>
      </w:r>
      <w:r w:rsidR="00B34040">
        <w:rPr>
          <w:rFonts w:ascii="Times New Roman" w:eastAsia="Times New Roman" w:hAnsi="Times New Roman" w:cs="Times New Roman"/>
          <w:sz w:val="28"/>
          <w:szCs w:val="28"/>
          <w:lang w:eastAsia="lv-LV"/>
        </w:rPr>
        <w:t>.</w:t>
      </w:r>
    </w:p>
    <w:p w:rsidR="00B34040" w:rsidRDefault="00B34040" w:rsidP="00B34040">
      <w:pPr>
        <w:spacing w:after="0" w:line="240" w:lineRule="auto"/>
        <w:ind w:firstLine="567"/>
        <w:jc w:val="both"/>
        <w:rPr>
          <w:rFonts w:ascii="Times New Roman" w:eastAsia="Times New Roman" w:hAnsi="Times New Roman" w:cs="Times New Roman"/>
          <w:sz w:val="28"/>
          <w:szCs w:val="28"/>
          <w:lang w:eastAsia="lv-LV"/>
        </w:rPr>
      </w:pPr>
      <w:r w:rsidRPr="00B34040">
        <w:rPr>
          <w:rFonts w:ascii="Times New Roman" w:eastAsia="Times New Roman" w:hAnsi="Times New Roman" w:cs="Times New Roman"/>
          <w:sz w:val="28"/>
          <w:szCs w:val="28"/>
          <w:lang w:eastAsia="lv-LV"/>
        </w:rPr>
        <w:t>2015.gada otrajā pusgadā sešiem politiskajiem spēkiem</w:t>
      </w:r>
      <w:r>
        <w:rPr>
          <w:rFonts w:ascii="Times New Roman" w:eastAsia="Times New Roman" w:hAnsi="Times New Roman" w:cs="Times New Roman"/>
          <w:sz w:val="28"/>
          <w:szCs w:val="28"/>
          <w:lang w:eastAsia="lv-LV"/>
        </w:rPr>
        <w:t xml:space="preserve"> </w:t>
      </w:r>
      <w:r w:rsidRPr="00B34040">
        <w:rPr>
          <w:rFonts w:ascii="Times New Roman" w:eastAsia="Times New Roman" w:hAnsi="Times New Roman" w:cs="Times New Roman"/>
          <w:sz w:val="28"/>
          <w:szCs w:val="28"/>
          <w:lang w:eastAsia="lv-LV"/>
        </w:rPr>
        <w:t>izmaksāts valsts budžeta finansējums sešām partijām („Saskaņa” sociāldemokrātiskā partija, Partija „VIENOTĪBA”, Zaļo un Zemnieku savienība, Nacionālā apvienība „Visu Latvijai!”-„Tēvzemei un Brīvībai/LNNK”, No sirds Latvijai, Latvijas Re</w:t>
      </w:r>
      <w:r w:rsidR="000F6C94">
        <w:rPr>
          <w:rFonts w:ascii="Times New Roman" w:eastAsia="Times New Roman" w:hAnsi="Times New Roman" w:cs="Times New Roman"/>
          <w:sz w:val="28"/>
          <w:szCs w:val="28"/>
          <w:lang w:eastAsia="lv-LV"/>
        </w:rPr>
        <w:t>ģionu Apvienība) kopā  306 19</w:t>
      </w:r>
      <w:r w:rsidRPr="00B34040">
        <w:rPr>
          <w:rFonts w:ascii="Times New Roman" w:eastAsia="Times New Roman" w:hAnsi="Times New Roman" w:cs="Times New Roman"/>
          <w:sz w:val="28"/>
          <w:szCs w:val="28"/>
          <w:lang w:eastAsia="lv-LV"/>
        </w:rPr>
        <w:t>9 EUR apmērā.</w:t>
      </w:r>
    </w:p>
    <w:p w:rsidR="00B34040" w:rsidRDefault="00B34040" w:rsidP="00B34040">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Savukārt attiecībā uz </w:t>
      </w:r>
      <w:r w:rsidR="000F6C94">
        <w:rPr>
          <w:rFonts w:ascii="Times New Roman" w:eastAsia="Times New Roman" w:hAnsi="Times New Roman" w:cs="Times New Roman"/>
          <w:sz w:val="28"/>
          <w:szCs w:val="28"/>
          <w:lang w:eastAsia="lv-LV"/>
        </w:rPr>
        <w:t xml:space="preserve">2014.gada finansējumu, kas tika piešķirts četrām partijām, ir pabeigtas finansējuma izlietošanas pārbaudes attiecībā uz trīs partijām, kuru </w:t>
      </w:r>
      <w:r w:rsidRPr="00B34040">
        <w:rPr>
          <w:rFonts w:ascii="Times New Roman" w:eastAsia="Times New Roman" w:hAnsi="Times New Roman" w:cs="Times New Roman"/>
          <w:sz w:val="28"/>
          <w:szCs w:val="28"/>
          <w:lang w:eastAsia="lv-LV"/>
        </w:rPr>
        <w:t xml:space="preserve">rezultātā </w:t>
      </w:r>
      <w:r w:rsidR="001A6213">
        <w:rPr>
          <w:rFonts w:ascii="Times New Roman" w:eastAsia="Times New Roman" w:hAnsi="Times New Roman" w:cs="Times New Roman"/>
          <w:sz w:val="28"/>
          <w:szCs w:val="28"/>
          <w:lang w:eastAsia="lv-LV"/>
        </w:rPr>
        <w:t xml:space="preserve">attiecībā uz vienu partiju </w:t>
      </w:r>
      <w:r w:rsidRPr="00B34040">
        <w:rPr>
          <w:rFonts w:ascii="Times New Roman" w:eastAsia="Times New Roman" w:hAnsi="Times New Roman" w:cs="Times New Roman"/>
          <w:sz w:val="28"/>
          <w:szCs w:val="28"/>
          <w:lang w:eastAsia="lv-LV"/>
        </w:rPr>
        <w:t>pieņemts lēmums par finanšu līdzekļu atmaksu valsts b</w:t>
      </w:r>
      <w:r w:rsidR="001A6213">
        <w:rPr>
          <w:rFonts w:ascii="Times New Roman" w:eastAsia="Times New Roman" w:hAnsi="Times New Roman" w:cs="Times New Roman"/>
          <w:sz w:val="28"/>
          <w:szCs w:val="28"/>
          <w:lang w:eastAsia="lv-LV"/>
        </w:rPr>
        <w:t xml:space="preserve">udžetā, kas ir pārsūdzēts tiesā. </w:t>
      </w:r>
    </w:p>
    <w:p w:rsidR="009D3588" w:rsidRDefault="006D15D7" w:rsidP="00C850FF">
      <w:pPr>
        <w:spacing w:after="0" w:line="240" w:lineRule="auto"/>
        <w:ind w:firstLine="567"/>
        <w:jc w:val="both"/>
        <w:rPr>
          <w:rFonts w:ascii="Times New Roman" w:eastAsia="Times New Roman" w:hAnsi="Times New Roman" w:cs="Times New Roman"/>
          <w:sz w:val="28"/>
          <w:szCs w:val="28"/>
          <w:lang w:eastAsia="lv-LV"/>
        </w:rPr>
      </w:pPr>
      <w:r w:rsidRPr="006D15D7">
        <w:rPr>
          <w:rFonts w:ascii="Times New Roman" w:eastAsia="Times New Roman" w:hAnsi="Times New Roman" w:cs="Times New Roman"/>
          <w:sz w:val="28"/>
          <w:szCs w:val="28"/>
          <w:lang w:eastAsia="lv-LV"/>
        </w:rPr>
        <w:t xml:space="preserve">2015.gada </w:t>
      </w:r>
      <w:r w:rsidR="001A6213">
        <w:rPr>
          <w:rFonts w:ascii="Times New Roman" w:eastAsia="Times New Roman" w:hAnsi="Times New Roman" w:cs="Times New Roman"/>
          <w:sz w:val="28"/>
          <w:szCs w:val="28"/>
          <w:lang w:eastAsia="lv-LV"/>
        </w:rPr>
        <w:t xml:space="preserve">otrajā </w:t>
      </w:r>
      <w:r w:rsidRPr="006D15D7">
        <w:rPr>
          <w:rFonts w:ascii="Times New Roman" w:eastAsia="Times New Roman" w:hAnsi="Times New Roman" w:cs="Times New Roman"/>
          <w:sz w:val="28"/>
          <w:szCs w:val="28"/>
          <w:lang w:eastAsia="lv-LV"/>
        </w:rPr>
        <w:t xml:space="preserve">pusgadā publicēti 211 saraksti par partiju saņemtajiem ziedojumiem un biedru naudām, kā arī </w:t>
      </w:r>
      <w:r w:rsidR="001A6213">
        <w:rPr>
          <w:rFonts w:ascii="Times New Roman" w:eastAsia="Times New Roman" w:hAnsi="Times New Roman" w:cs="Times New Roman"/>
          <w:sz w:val="28"/>
          <w:szCs w:val="28"/>
          <w:lang w:eastAsia="lv-LV"/>
        </w:rPr>
        <w:t>viens</w:t>
      </w:r>
      <w:r w:rsidRPr="006D15D7">
        <w:rPr>
          <w:rFonts w:ascii="Times New Roman" w:eastAsia="Times New Roman" w:hAnsi="Times New Roman" w:cs="Times New Roman"/>
          <w:sz w:val="28"/>
          <w:szCs w:val="28"/>
          <w:lang w:eastAsia="lv-LV"/>
        </w:rPr>
        <w:t xml:space="preserve"> vēlēšanu deklarācijas un 11 gada pārskatu precizējumi. Kopā 2015.gadā publicēti 425 saraksti par partiju saņemtajiem ziedojumiem un biedru naudām, kā arī 13 vēlēšanu deklarācijas un 77 gada pārskati (tai skaitā precizējumi).</w:t>
      </w:r>
    </w:p>
    <w:p w:rsidR="006D15D7" w:rsidRDefault="006D15D7" w:rsidP="006D15D7">
      <w:pPr>
        <w:spacing w:after="0" w:line="240" w:lineRule="auto"/>
        <w:ind w:firstLine="567"/>
        <w:jc w:val="both"/>
        <w:rPr>
          <w:rFonts w:ascii="Times New Roman" w:eastAsia="Times New Roman" w:hAnsi="Times New Roman" w:cs="Times New Roman"/>
          <w:sz w:val="28"/>
          <w:szCs w:val="28"/>
          <w:lang w:eastAsia="lv-LV"/>
        </w:rPr>
      </w:pPr>
      <w:r w:rsidRPr="006D15D7">
        <w:rPr>
          <w:rFonts w:ascii="Times New Roman" w:eastAsia="Times New Roman" w:hAnsi="Times New Roman" w:cs="Times New Roman"/>
          <w:sz w:val="28"/>
          <w:szCs w:val="28"/>
          <w:lang w:eastAsia="lv-LV"/>
        </w:rPr>
        <w:t>Veicot vēlēšanu deklarāciju, gada pārskatu un</w:t>
      </w:r>
      <w:r w:rsidR="001A6213">
        <w:rPr>
          <w:rFonts w:ascii="Times New Roman" w:eastAsia="Times New Roman" w:hAnsi="Times New Roman" w:cs="Times New Roman"/>
          <w:sz w:val="28"/>
          <w:szCs w:val="28"/>
          <w:lang w:eastAsia="lv-LV"/>
        </w:rPr>
        <w:t xml:space="preserve"> ziedojumu pārbaužu rezultātā otrajā </w:t>
      </w:r>
      <w:r w:rsidRPr="006D15D7">
        <w:rPr>
          <w:rFonts w:ascii="Times New Roman" w:eastAsia="Times New Roman" w:hAnsi="Times New Roman" w:cs="Times New Roman"/>
          <w:sz w:val="28"/>
          <w:szCs w:val="28"/>
          <w:lang w:eastAsia="lv-LV"/>
        </w:rPr>
        <w:t xml:space="preserve">pusgadā pieņemti </w:t>
      </w:r>
      <w:r w:rsidR="001A6213">
        <w:rPr>
          <w:rFonts w:ascii="Times New Roman" w:eastAsia="Times New Roman" w:hAnsi="Times New Roman" w:cs="Times New Roman"/>
          <w:sz w:val="28"/>
          <w:szCs w:val="28"/>
          <w:lang w:eastAsia="lv-LV"/>
        </w:rPr>
        <w:t>astoņi</w:t>
      </w:r>
      <w:r w:rsidRPr="006D15D7">
        <w:rPr>
          <w:rFonts w:ascii="Times New Roman" w:eastAsia="Times New Roman" w:hAnsi="Times New Roman" w:cs="Times New Roman"/>
          <w:sz w:val="28"/>
          <w:szCs w:val="28"/>
          <w:lang w:eastAsia="lv-LV"/>
        </w:rPr>
        <w:t xml:space="preserve"> lēmumi par 2013.</w:t>
      </w:r>
      <w:r w:rsidR="001A6213">
        <w:rPr>
          <w:rFonts w:ascii="Times New Roman" w:eastAsia="Times New Roman" w:hAnsi="Times New Roman" w:cs="Times New Roman"/>
          <w:sz w:val="28"/>
          <w:szCs w:val="28"/>
          <w:lang w:eastAsia="lv-LV"/>
        </w:rPr>
        <w:t xml:space="preserve">gada </w:t>
      </w:r>
      <w:r w:rsidRPr="006D15D7">
        <w:rPr>
          <w:rFonts w:ascii="Times New Roman" w:eastAsia="Times New Roman" w:hAnsi="Times New Roman" w:cs="Times New Roman"/>
          <w:sz w:val="28"/>
          <w:szCs w:val="28"/>
          <w:lang w:eastAsia="lv-LV"/>
        </w:rPr>
        <w:t>un 2014.gada pretlikumīgā finansējuma 46 351 EUR ieskaitīšanu valsts budžetā. 2015.gadā kopumā pieņemti 18 lēmumi par 76</w:t>
      </w:r>
      <w:r w:rsidR="001A6213">
        <w:rPr>
          <w:rFonts w:ascii="Times New Roman" w:eastAsia="Times New Roman" w:hAnsi="Times New Roman" w:cs="Times New Roman"/>
          <w:sz w:val="28"/>
          <w:szCs w:val="28"/>
          <w:lang w:eastAsia="lv-LV"/>
        </w:rPr>
        <w:t xml:space="preserve"> </w:t>
      </w:r>
      <w:r w:rsidRPr="006D15D7">
        <w:rPr>
          <w:rFonts w:ascii="Times New Roman" w:eastAsia="Times New Roman" w:hAnsi="Times New Roman" w:cs="Times New Roman"/>
          <w:sz w:val="28"/>
          <w:szCs w:val="28"/>
          <w:lang w:eastAsia="lv-LV"/>
        </w:rPr>
        <w:t>860 EUR.</w:t>
      </w:r>
    </w:p>
    <w:p w:rsidR="006279D6" w:rsidRDefault="006279D6" w:rsidP="00C850FF">
      <w:pPr>
        <w:spacing w:after="0" w:line="240" w:lineRule="auto"/>
        <w:ind w:firstLine="567"/>
        <w:jc w:val="both"/>
        <w:rPr>
          <w:rFonts w:ascii="Times New Roman" w:eastAsia="Times New Roman" w:hAnsi="Times New Roman" w:cs="Times New Roman"/>
          <w:sz w:val="28"/>
          <w:szCs w:val="28"/>
          <w:lang w:eastAsia="lv-LV"/>
        </w:rPr>
      </w:pPr>
      <w:r w:rsidRPr="00C5496B">
        <w:rPr>
          <w:rFonts w:ascii="Times New Roman" w:eastAsia="Times New Roman" w:hAnsi="Times New Roman" w:cs="Times New Roman"/>
          <w:sz w:val="28"/>
          <w:szCs w:val="28"/>
          <w:lang w:eastAsia="lv-LV"/>
        </w:rPr>
        <w:t xml:space="preserve">Atbilstoši Biroja kompetencei, kontrolējot “Priekšvēlēšanu aģitācijas likumā” un Politisko organizāciju (partiju) finansēšanas likumā </w:t>
      </w:r>
      <w:r w:rsidR="00C5496B" w:rsidRPr="00C5496B">
        <w:rPr>
          <w:rFonts w:ascii="Times New Roman" w:eastAsia="Times New Roman" w:hAnsi="Times New Roman" w:cs="Times New Roman"/>
          <w:sz w:val="28"/>
          <w:szCs w:val="28"/>
          <w:lang w:eastAsia="lv-LV"/>
        </w:rPr>
        <w:t>noteiktos ierobežojumu</w:t>
      </w:r>
      <w:r w:rsidR="001A6213">
        <w:rPr>
          <w:rFonts w:ascii="Times New Roman" w:eastAsia="Times New Roman" w:hAnsi="Times New Roman" w:cs="Times New Roman"/>
          <w:sz w:val="28"/>
          <w:szCs w:val="28"/>
          <w:lang w:eastAsia="lv-LV"/>
        </w:rPr>
        <w:t>s</w:t>
      </w:r>
      <w:r w:rsidRPr="00C5496B">
        <w:rPr>
          <w:rFonts w:ascii="Times New Roman" w:eastAsia="Times New Roman" w:hAnsi="Times New Roman" w:cs="Times New Roman"/>
          <w:sz w:val="28"/>
          <w:szCs w:val="28"/>
          <w:lang w:eastAsia="lv-LV"/>
        </w:rPr>
        <w:t>, pārskata periodā Biro</w:t>
      </w:r>
      <w:r w:rsidR="001A6213">
        <w:rPr>
          <w:rFonts w:ascii="Times New Roman" w:eastAsia="Times New Roman" w:hAnsi="Times New Roman" w:cs="Times New Roman"/>
          <w:sz w:val="28"/>
          <w:szCs w:val="28"/>
          <w:lang w:eastAsia="lv-LV"/>
        </w:rPr>
        <w:t>ja amatpersonas ir uzsākušas 12 </w:t>
      </w:r>
      <w:r w:rsidRPr="00C5496B">
        <w:rPr>
          <w:rFonts w:ascii="Times New Roman" w:eastAsia="Times New Roman" w:hAnsi="Times New Roman" w:cs="Times New Roman"/>
          <w:sz w:val="28"/>
          <w:szCs w:val="28"/>
          <w:lang w:eastAsia="lv-LV"/>
        </w:rPr>
        <w:t xml:space="preserve">administratīvā pārkāpuma lietas (kopā 2015.gadā 43 administratīvā pārkāpuma lietas). Kopumā 2015.gadā ir pieņemti </w:t>
      </w:r>
      <w:r w:rsidR="00C5496B" w:rsidRPr="00C5496B">
        <w:rPr>
          <w:rFonts w:ascii="Times New Roman" w:eastAsia="Times New Roman" w:hAnsi="Times New Roman" w:cs="Times New Roman"/>
          <w:sz w:val="28"/>
          <w:szCs w:val="28"/>
          <w:lang w:eastAsia="lv-LV"/>
        </w:rPr>
        <w:t xml:space="preserve">36 lēmumi, no kuriem 32 gadījumos piemērots naudas sods. </w:t>
      </w:r>
      <w:r w:rsidRPr="00C5496B">
        <w:rPr>
          <w:rFonts w:ascii="Times New Roman" w:eastAsia="Times New Roman" w:hAnsi="Times New Roman" w:cs="Times New Roman"/>
          <w:sz w:val="28"/>
          <w:szCs w:val="28"/>
          <w:lang w:eastAsia="lv-LV"/>
        </w:rPr>
        <w:t xml:space="preserve">Pieņemto lēmumu skaits un piemērotais naudas sods redzams 5.attēlā.  </w:t>
      </w:r>
    </w:p>
    <w:p w:rsidR="001A6213" w:rsidRDefault="001A6213" w:rsidP="001A6213">
      <w:pPr>
        <w:spacing w:after="0" w:line="240" w:lineRule="auto"/>
        <w:ind w:firstLine="567"/>
        <w:jc w:val="both"/>
        <w:rPr>
          <w:rFonts w:ascii="Times New Roman" w:eastAsia="Times New Roman" w:hAnsi="Times New Roman" w:cs="Times New Roman"/>
          <w:sz w:val="28"/>
          <w:szCs w:val="28"/>
          <w:lang w:eastAsia="lv-LV"/>
        </w:rPr>
      </w:pPr>
      <w:r w:rsidRPr="001A6213">
        <w:rPr>
          <w:rFonts w:ascii="Times New Roman" w:eastAsia="Times New Roman" w:hAnsi="Times New Roman" w:cs="Times New Roman"/>
          <w:sz w:val="28"/>
          <w:szCs w:val="28"/>
          <w:lang w:eastAsia="lv-LV"/>
        </w:rPr>
        <w:t>2015.gada otrajā pusgadā no minētajiem lēmumiem administratīvo pārkāpumu lietās ir pieņemti septiņi, no kuriem četros gadījumos ir piemērots naudas sods. No pusgadā pieņemtajiem lēmumiem vēlēšanu deklarāciju un gada pārskatu pārbaužu rezultātā pieņemti seši, no kuriem trīs partijām piemērots naudas sods – kopā 100 EUR apmērā, trīs partijām, pārkāpumu atzīstot par maznozīmīgu, izteikts mutvārdu aizrādījumus. Savukārt, kontrolējot priekšvēlēšanu aģitācijas ierobežojumus pieņemts viens lēmums par naudas soda uzlikšanu 200 EUR apmērā.</w:t>
      </w:r>
    </w:p>
    <w:p w:rsidR="00FB4180" w:rsidRDefault="00722F4C" w:rsidP="00C850FF">
      <w:pPr>
        <w:spacing w:after="0" w:line="240" w:lineRule="auto"/>
        <w:ind w:firstLine="567"/>
        <w:jc w:val="both"/>
        <w:rPr>
          <w:rFonts w:ascii="Times New Roman" w:eastAsia="Times New Roman" w:hAnsi="Times New Roman" w:cs="Times New Roman"/>
          <w:sz w:val="28"/>
          <w:szCs w:val="28"/>
          <w:lang w:eastAsia="lv-LV"/>
        </w:rPr>
      </w:pPr>
      <w:r>
        <w:rPr>
          <w:noProof/>
          <w:lang w:eastAsia="lv-LV"/>
        </w:rPr>
        <w:lastRenderedPageBreak/>
        <w:drawing>
          <wp:inline distT="0" distB="0" distL="0" distR="0" wp14:anchorId="2859F76A" wp14:editId="47E3347B">
            <wp:extent cx="5486400" cy="3336290"/>
            <wp:effectExtent l="0" t="0" r="1905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4180" w:rsidRDefault="00FB4180" w:rsidP="00C850FF">
      <w:pPr>
        <w:spacing w:after="0" w:line="240" w:lineRule="auto"/>
        <w:ind w:firstLine="567"/>
        <w:jc w:val="both"/>
        <w:rPr>
          <w:rFonts w:ascii="Times New Roman" w:eastAsia="Times New Roman" w:hAnsi="Times New Roman" w:cs="Times New Roman"/>
          <w:sz w:val="28"/>
          <w:szCs w:val="28"/>
          <w:lang w:eastAsia="lv-LV"/>
        </w:rPr>
      </w:pPr>
    </w:p>
    <w:p w:rsidR="00FB4180" w:rsidRPr="00752EF4" w:rsidRDefault="00FB4180" w:rsidP="00FB4180">
      <w:pPr>
        <w:spacing w:after="0" w:line="240" w:lineRule="auto"/>
        <w:ind w:firstLine="720"/>
        <w:jc w:val="both"/>
        <w:rPr>
          <w:rFonts w:ascii="Times New Roman" w:hAnsi="Times New Roman" w:cs="Times New Roman"/>
          <w:b/>
          <w:i/>
          <w:sz w:val="28"/>
          <w:szCs w:val="28"/>
        </w:rPr>
      </w:pPr>
      <w:r>
        <w:rPr>
          <w:rFonts w:ascii="Times New Roman" w:hAnsi="Times New Roman" w:cs="Times New Roman"/>
          <w:i/>
          <w:sz w:val="28"/>
          <w:szCs w:val="28"/>
        </w:rPr>
        <w:t>5</w:t>
      </w:r>
      <w:r w:rsidRPr="00752EF4">
        <w:rPr>
          <w:rFonts w:ascii="Times New Roman" w:hAnsi="Times New Roman" w:cs="Times New Roman"/>
          <w:i/>
          <w:sz w:val="28"/>
          <w:szCs w:val="28"/>
        </w:rPr>
        <w:t>.attēls.Pieņemto lēmumu skaits un piemērotais naudas sod</w:t>
      </w:r>
      <w:r>
        <w:rPr>
          <w:rFonts w:ascii="Times New Roman" w:hAnsi="Times New Roman" w:cs="Times New Roman"/>
          <w:i/>
          <w:sz w:val="28"/>
          <w:szCs w:val="28"/>
        </w:rPr>
        <w:t xml:space="preserve">u skaits </w:t>
      </w:r>
    </w:p>
    <w:p w:rsidR="001A6213" w:rsidRDefault="001A6213" w:rsidP="001A6213">
      <w:pPr>
        <w:spacing w:after="0" w:line="240" w:lineRule="auto"/>
        <w:ind w:firstLine="567"/>
        <w:jc w:val="both"/>
        <w:rPr>
          <w:rFonts w:ascii="Times New Roman" w:hAnsi="Times New Roman" w:cs="Times New Roman"/>
          <w:color w:val="000000" w:themeColor="text1"/>
          <w:sz w:val="28"/>
          <w:szCs w:val="28"/>
        </w:rPr>
      </w:pPr>
    </w:p>
    <w:p w:rsidR="001A6213" w:rsidRPr="00241A27" w:rsidRDefault="001A6213" w:rsidP="001A621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0664D2">
        <w:rPr>
          <w:rFonts w:ascii="Times New Roman" w:hAnsi="Times New Roman" w:cs="Times New Roman"/>
          <w:color w:val="000000" w:themeColor="text1"/>
          <w:sz w:val="28"/>
          <w:szCs w:val="28"/>
        </w:rPr>
        <w:t>iroja priekšniekam ir apstrīdēti trīs B</w:t>
      </w:r>
      <w:r w:rsidR="00C16E74">
        <w:rPr>
          <w:rFonts w:ascii="Times New Roman" w:hAnsi="Times New Roman" w:cs="Times New Roman"/>
          <w:color w:val="000000" w:themeColor="text1"/>
          <w:sz w:val="28"/>
          <w:szCs w:val="28"/>
        </w:rPr>
        <w:t>iroja amatpersonu pieņemt</w:t>
      </w:r>
      <w:r w:rsidR="000664D2">
        <w:rPr>
          <w:rFonts w:ascii="Times New Roman" w:hAnsi="Times New Roman" w:cs="Times New Roman"/>
          <w:color w:val="000000" w:themeColor="text1"/>
          <w:sz w:val="28"/>
          <w:szCs w:val="28"/>
        </w:rPr>
        <w:t>ie lēmumi administratīvo pārkāpumu lietās</w:t>
      </w:r>
      <w:r w:rsidRPr="00281DDB">
        <w:rPr>
          <w:rFonts w:ascii="Times New Roman" w:hAnsi="Times New Roman" w:cs="Times New Roman"/>
          <w:color w:val="000000" w:themeColor="text1"/>
          <w:sz w:val="28"/>
          <w:szCs w:val="28"/>
        </w:rPr>
        <w:t xml:space="preserve"> attiecībā uz Politisko organizāciju (partiju) finansēšanas likuma ierobežojumu pārkāpum</w:t>
      </w:r>
      <w:r w:rsidR="000664D2">
        <w:rPr>
          <w:rFonts w:ascii="Times New Roman" w:hAnsi="Times New Roman" w:cs="Times New Roman"/>
          <w:color w:val="000000" w:themeColor="text1"/>
          <w:sz w:val="28"/>
          <w:szCs w:val="28"/>
        </w:rPr>
        <w:t>iem</w:t>
      </w:r>
      <w:r w:rsidRPr="00281DDB">
        <w:rPr>
          <w:rFonts w:ascii="Times New Roman" w:hAnsi="Times New Roman" w:cs="Times New Roman"/>
          <w:color w:val="000000" w:themeColor="text1"/>
          <w:sz w:val="28"/>
          <w:szCs w:val="28"/>
        </w:rPr>
        <w:t>. Izskatāmaj</w:t>
      </w:r>
      <w:r>
        <w:rPr>
          <w:rFonts w:ascii="Times New Roman" w:hAnsi="Times New Roman" w:cs="Times New Roman"/>
          <w:color w:val="000000" w:themeColor="text1"/>
          <w:sz w:val="28"/>
          <w:szCs w:val="28"/>
        </w:rPr>
        <w:t>os</w:t>
      </w:r>
      <w:r w:rsidRPr="00281DDB">
        <w:rPr>
          <w:rFonts w:ascii="Times New Roman" w:hAnsi="Times New Roman" w:cs="Times New Roman"/>
          <w:color w:val="000000" w:themeColor="text1"/>
          <w:sz w:val="28"/>
          <w:szCs w:val="28"/>
        </w:rPr>
        <w:t xml:space="preserve"> gadīj</w:t>
      </w:r>
      <w:r>
        <w:rPr>
          <w:rFonts w:ascii="Times New Roman" w:hAnsi="Times New Roman" w:cs="Times New Roman"/>
          <w:color w:val="000000" w:themeColor="text1"/>
          <w:sz w:val="28"/>
          <w:szCs w:val="28"/>
        </w:rPr>
        <w:t>umos, izvērtējot minētās</w:t>
      </w:r>
      <w:r w:rsidRPr="00281DDB">
        <w:rPr>
          <w:rFonts w:ascii="Times New Roman" w:hAnsi="Times New Roman" w:cs="Times New Roman"/>
          <w:color w:val="000000" w:themeColor="text1"/>
          <w:sz w:val="28"/>
          <w:szCs w:val="28"/>
        </w:rPr>
        <w:t xml:space="preserve"> sūdzīb</w:t>
      </w:r>
      <w:r>
        <w:rPr>
          <w:rFonts w:ascii="Times New Roman" w:hAnsi="Times New Roman" w:cs="Times New Roman"/>
          <w:color w:val="000000" w:themeColor="text1"/>
          <w:sz w:val="28"/>
          <w:szCs w:val="28"/>
        </w:rPr>
        <w:t>as</w:t>
      </w:r>
      <w:r w:rsidRPr="00281DDB">
        <w:rPr>
          <w:rFonts w:ascii="Times New Roman" w:hAnsi="Times New Roman" w:cs="Times New Roman"/>
          <w:color w:val="000000" w:themeColor="text1"/>
          <w:sz w:val="28"/>
          <w:szCs w:val="28"/>
        </w:rPr>
        <w:t>, Biroja priekšnieks Biroja amatperson</w:t>
      </w:r>
      <w:r>
        <w:rPr>
          <w:rFonts w:ascii="Times New Roman" w:hAnsi="Times New Roman" w:cs="Times New Roman"/>
          <w:color w:val="000000" w:themeColor="text1"/>
          <w:sz w:val="28"/>
          <w:szCs w:val="28"/>
        </w:rPr>
        <w:t>u</w:t>
      </w:r>
      <w:r w:rsidRPr="00281DDB">
        <w:rPr>
          <w:rFonts w:ascii="Times New Roman" w:hAnsi="Times New Roman" w:cs="Times New Roman"/>
          <w:color w:val="000000" w:themeColor="text1"/>
          <w:sz w:val="28"/>
          <w:szCs w:val="28"/>
        </w:rPr>
        <w:t xml:space="preserve"> lēmumu</w:t>
      </w:r>
      <w:r>
        <w:rPr>
          <w:rFonts w:ascii="Times New Roman" w:hAnsi="Times New Roman" w:cs="Times New Roman"/>
          <w:color w:val="000000" w:themeColor="text1"/>
          <w:sz w:val="28"/>
          <w:szCs w:val="28"/>
        </w:rPr>
        <w:t>s</w:t>
      </w:r>
      <w:r w:rsidRPr="00281DDB">
        <w:rPr>
          <w:rFonts w:ascii="Times New Roman" w:hAnsi="Times New Roman" w:cs="Times New Roman"/>
          <w:color w:val="000000" w:themeColor="text1"/>
          <w:sz w:val="28"/>
          <w:szCs w:val="28"/>
        </w:rPr>
        <w:t xml:space="preserve"> atstāja spēkā.</w:t>
      </w:r>
    </w:p>
    <w:p w:rsidR="001A6213" w:rsidRDefault="001A6213" w:rsidP="00FB4180">
      <w:pPr>
        <w:spacing w:after="0" w:line="240" w:lineRule="auto"/>
        <w:ind w:firstLine="567"/>
        <w:jc w:val="both"/>
        <w:rPr>
          <w:rFonts w:ascii="Times New Roman" w:hAnsi="Times New Roman"/>
          <w:sz w:val="28"/>
          <w:szCs w:val="28"/>
        </w:rPr>
      </w:pPr>
      <w:r w:rsidRPr="001A6213">
        <w:rPr>
          <w:rFonts w:ascii="Times New Roman" w:hAnsi="Times New Roman"/>
          <w:sz w:val="28"/>
          <w:szCs w:val="28"/>
        </w:rPr>
        <w:t xml:space="preserve">Pēc iepriekšējā gadā notikušajām Saeimas un Eiropas Parlamenta vēlēšanām 2015.gadā ziedojumu apmērs poliskajām partijām un to apvienībām ir krietni sarucis. Salīdzinot ar 2014.gadu, kad politiskajiem spēkiem ziedoto līdzekļu kopējā summa bija EUR 5 211 470, </w:t>
      </w:r>
      <w:r w:rsidR="00C16E74">
        <w:rPr>
          <w:rFonts w:ascii="Times New Roman" w:hAnsi="Times New Roman"/>
          <w:sz w:val="28"/>
          <w:szCs w:val="28"/>
        </w:rPr>
        <w:t>bet</w:t>
      </w:r>
      <w:r w:rsidRPr="001A6213">
        <w:rPr>
          <w:rFonts w:ascii="Times New Roman" w:hAnsi="Times New Roman"/>
          <w:sz w:val="28"/>
          <w:szCs w:val="28"/>
        </w:rPr>
        <w:t xml:space="preserve"> 2015.gadā tā bija ievērojami mazāka – EUR 830 337, kas uzskatāmi parāda to, ka </w:t>
      </w:r>
      <w:r w:rsidR="00C16E74">
        <w:rPr>
          <w:rFonts w:ascii="Times New Roman" w:hAnsi="Times New Roman"/>
          <w:sz w:val="28"/>
          <w:szCs w:val="28"/>
        </w:rPr>
        <w:t>ziedošanas</w:t>
      </w:r>
      <w:r w:rsidRPr="001A6213">
        <w:rPr>
          <w:rFonts w:ascii="Times New Roman" w:hAnsi="Times New Roman"/>
          <w:sz w:val="28"/>
          <w:szCs w:val="28"/>
        </w:rPr>
        <w:t xml:space="preserve"> prakse nemainās un joprojām lielākie līdzekļi tiek ziedoti īsi pirms vēlēšanu norises, savukārt citā laikā tie ir salīdzinoši minimāli.</w:t>
      </w:r>
    </w:p>
    <w:p w:rsidR="00D14C6E" w:rsidRDefault="00D14C6E" w:rsidP="00C3465C">
      <w:pPr>
        <w:spacing w:after="0" w:line="240" w:lineRule="auto"/>
        <w:ind w:firstLine="567"/>
        <w:rPr>
          <w:rFonts w:ascii="Times New Roman" w:eastAsia="Times New Roman" w:hAnsi="Times New Roman" w:cs="Times New Roman"/>
          <w:sz w:val="28"/>
          <w:szCs w:val="28"/>
          <w:lang w:eastAsia="lv-LV"/>
        </w:rPr>
      </w:pPr>
    </w:p>
    <w:p w:rsidR="00D14C6E" w:rsidRDefault="00D14C6E" w:rsidP="00C3465C">
      <w:pPr>
        <w:spacing w:after="0" w:line="240" w:lineRule="auto"/>
        <w:ind w:firstLine="567"/>
        <w:rPr>
          <w:rFonts w:ascii="Times New Roman" w:eastAsia="Times New Roman" w:hAnsi="Times New Roman" w:cs="Times New Roman"/>
          <w:sz w:val="28"/>
          <w:szCs w:val="28"/>
          <w:lang w:eastAsia="lv-LV"/>
        </w:rPr>
      </w:pPr>
    </w:p>
    <w:p w:rsidR="00D14C6E" w:rsidRDefault="00D14C6E" w:rsidP="00C3465C">
      <w:pPr>
        <w:spacing w:after="0" w:line="240" w:lineRule="auto"/>
        <w:ind w:firstLine="567"/>
        <w:rPr>
          <w:rFonts w:ascii="Times New Roman" w:eastAsia="Times New Roman" w:hAnsi="Times New Roman" w:cs="Times New Roman"/>
          <w:sz w:val="28"/>
          <w:szCs w:val="28"/>
          <w:lang w:eastAsia="lv-LV"/>
        </w:rPr>
      </w:pPr>
    </w:p>
    <w:p w:rsidR="009D0284" w:rsidRDefault="008F32BD" w:rsidP="008F32BD">
      <w:pPr>
        <w:spacing w:after="0" w:line="240" w:lineRule="auto"/>
        <w:jc w:val="both"/>
        <w:rPr>
          <w:rFonts w:ascii="Times New Roman" w:hAnsi="Times New Roman" w:cs="Times New Roman"/>
          <w:color w:val="000000" w:themeColor="text1"/>
          <w:sz w:val="28"/>
          <w:szCs w:val="28"/>
        </w:rPr>
      </w:pPr>
      <w:r w:rsidRPr="00611589">
        <w:rPr>
          <w:rFonts w:ascii="Times New Roman" w:hAnsi="Times New Roman" w:cs="Times New Roman"/>
          <w:color w:val="000000" w:themeColor="text1"/>
          <w:sz w:val="28"/>
          <w:szCs w:val="28"/>
        </w:rPr>
        <w:t>Korupcijas novēršanas un apkarošanas</w:t>
      </w:r>
      <w:r w:rsidR="009D0284">
        <w:rPr>
          <w:rFonts w:ascii="Times New Roman" w:hAnsi="Times New Roman" w:cs="Times New Roman"/>
          <w:color w:val="000000" w:themeColor="text1"/>
          <w:sz w:val="28"/>
          <w:szCs w:val="28"/>
        </w:rPr>
        <w:t xml:space="preserve"> b</w:t>
      </w:r>
      <w:r w:rsidRPr="00611589">
        <w:rPr>
          <w:rFonts w:ascii="Times New Roman" w:hAnsi="Times New Roman" w:cs="Times New Roman"/>
          <w:color w:val="000000" w:themeColor="text1"/>
          <w:sz w:val="28"/>
          <w:szCs w:val="28"/>
        </w:rPr>
        <w:t>iroja</w:t>
      </w:r>
      <w:r w:rsidR="005B2659" w:rsidRPr="00611589">
        <w:rPr>
          <w:rFonts w:ascii="Times New Roman" w:hAnsi="Times New Roman" w:cs="Times New Roman"/>
          <w:color w:val="000000" w:themeColor="text1"/>
          <w:sz w:val="28"/>
          <w:szCs w:val="28"/>
        </w:rPr>
        <w:t xml:space="preserve"> </w:t>
      </w:r>
    </w:p>
    <w:p w:rsidR="008F32BD" w:rsidRPr="00611589" w:rsidRDefault="008F32BD" w:rsidP="008F32BD">
      <w:pPr>
        <w:spacing w:after="0" w:line="240" w:lineRule="auto"/>
        <w:jc w:val="both"/>
        <w:rPr>
          <w:rFonts w:ascii="Times New Roman" w:hAnsi="Times New Roman" w:cs="Times New Roman"/>
          <w:color w:val="000000" w:themeColor="text1"/>
          <w:sz w:val="28"/>
          <w:szCs w:val="28"/>
        </w:rPr>
      </w:pPr>
      <w:r w:rsidRPr="00611589">
        <w:rPr>
          <w:rFonts w:ascii="Times New Roman" w:hAnsi="Times New Roman" w:cs="Times New Roman"/>
          <w:color w:val="000000" w:themeColor="text1"/>
          <w:sz w:val="28"/>
          <w:szCs w:val="28"/>
        </w:rPr>
        <w:t>priekšniek</w:t>
      </w:r>
      <w:r w:rsidR="003824A7">
        <w:rPr>
          <w:rFonts w:ascii="Times New Roman" w:hAnsi="Times New Roman" w:cs="Times New Roman"/>
          <w:color w:val="000000" w:themeColor="text1"/>
          <w:sz w:val="28"/>
          <w:szCs w:val="28"/>
        </w:rPr>
        <w:t>s</w:t>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43273" w:rsidRPr="00611589">
        <w:rPr>
          <w:rFonts w:ascii="Times New Roman" w:hAnsi="Times New Roman" w:cs="Times New Roman"/>
          <w:color w:val="000000" w:themeColor="text1"/>
          <w:sz w:val="28"/>
          <w:szCs w:val="28"/>
        </w:rPr>
        <w:tab/>
      </w:r>
      <w:r w:rsidR="00E04297" w:rsidRPr="00611589">
        <w:rPr>
          <w:rFonts w:ascii="Times New Roman" w:hAnsi="Times New Roman" w:cs="Times New Roman"/>
          <w:color w:val="000000" w:themeColor="text1"/>
          <w:sz w:val="28"/>
          <w:szCs w:val="28"/>
        </w:rPr>
        <w:tab/>
      </w:r>
      <w:r w:rsidR="009D0284">
        <w:rPr>
          <w:rFonts w:ascii="Times New Roman" w:hAnsi="Times New Roman" w:cs="Times New Roman"/>
          <w:color w:val="000000" w:themeColor="text1"/>
          <w:sz w:val="28"/>
          <w:szCs w:val="28"/>
        </w:rPr>
        <w:tab/>
      </w:r>
      <w:r w:rsidR="009D0284">
        <w:rPr>
          <w:rFonts w:ascii="Times New Roman" w:hAnsi="Times New Roman" w:cs="Times New Roman"/>
          <w:color w:val="000000" w:themeColor="text1"/>
          <w:sz w:val="28"/>
          <w:szCs w:val="28"/>
        </w:rPr>
        <w:tab/>
      </w:r>
      <w:r w:rsidR="00E04297" w:rsidRPr="00611589">
        <w:rPr>
          <w:rFonts w:ascii="Times New Roman" w:hAnsi="Times New Roman" w:cs="Times New Roman"/>
          <w:color w:val="000000" w:themeColor="text1"/>
          <w:sz w:val="28"/>
          <w:szCs w:val="28"/>
        </w:rPr>
        <w:tab/>
      </w:r>
      <w:r w:rsidR="0078796E" w:rsidRPr="00611589">
        <w:rPr>
          <w:rFonts w:ascii="Times New Roman" w:hAnsi="Times New Roman" w:cs="Times New Roman"/>
          <w:color w:val="000000" w:themeColor="text1"/>
          <w:sz w:val="28"/>
          <w:szCs w:val="28"/>
        </w:rPr>
        <w:tab/>
      </w:r>
      <w:proofErr w:type="spellStart"/>
      <w:r w:rsidR="003824A7">
        <w:rPr>
          <w:rFonts w:ascii="Times New Roman" w:hAnsi="Times New Roman" w:cs="Times New Roman"/>
          <w:color w:val="000000" w:themeColor="text1"/>
          <w:sz w:val="28"/>
          <w:szCs w:val="28"/>
        </w:rPr>
        <w:t>J.Streļčenoks</w:t>
      </w:r>
      <w:proofErr w:type="spellEnd"/>
    </w:p>
    <w:p w:rsidR="00FD043A" w:rsidRDefault="00FD043A" w:rsidP="00ED108C">
      <w:pPr>
        <w:spacing w:after="0" w:line="240" w:lineRule="auto"/>
        <w:jc w:val="both"/>
        <w:rPr>
          <w:rFonts w:ascii="Times New Roman" w:hAnsi="Times New Roman" w:cs="Times New Roman"/>
          <w:color w:val="000000" w:themeColor="text1"/>
          <w:sz w:val="20"/>
          <w:szCs w:val="20"/>
        </w:rPr>
      </w:pPr>
    </w:p>
    <w:p w:rsidR="00E97290" w:rsidRDefault="00E97290" w:rsidP="00ED108C">
      <w:pPr>
        <w:spacing w:after="0" w:line="240" w:lineRule="auto"/>
        <w:jc w:val="both"/>
        <w:rPr>
          <w:rFonts w:ascii="Times New Roman" w:hAnsi="Times New Roman" w:cs="Times New Roman"/>
          <w:color w:val="000000" w:themeColor="text1"/>
          <w:sz w:val="20"/>
          <w:szCs w:val="20"/>
        </w:rPr>
      </w:pPr>
    </w:p>
    <w:p w:rsidR="00DF35A5" w:rsidRDefault="00DF35A5" w:rsidP="00ED108C">
      <w:pPr>
        <w:spacing w:after="0" w:line="240" w:lineRule="auto"/>
        <w:jc w:val="both"/>
        <w:rPr>
          <w:rFonts w:ascii="Times New Roman" w:hAnsi="Times New Roman" w:cs="Times New Roman"/>
          <w:color w:val="000000" w:themeColor="text1"/>
          <w:sz w:val="20"/>
          <w:szCs w:val="20"/>
        </w:rPr>
      </w:pPr>
    </w:p>
    <w:p w:rsidR="00DF35A5" w:rsidRDefault="00DF35A5" w:rsidP="00ED108C">
      <w:pPr>
        <w:spacing w:after="0" w:line="240" w:lineRule="auto"/>
        <w:jc w:val="both"/>
        <w:rPr>
          <w:rFonts w:ascii="Times New Roman" w:hAnsi="Times New Roman" w:cs="Times New Roman"/>
          <w:color w:val="000000" w:themeColor="text1"/>
          <w:sz w:val="20"/>
          <w:szCs w:val="20"/>
        </w:rPr>
      </w:pPr>
    </w:p>
    <w:p w:rsidR="00E97290" w:rsidRPr="00611589" w:rsidRDefault="00E97290" w:rsidP="00ED108C">
      <w:pPr>
        <w:spacing w:after="0" w:line="240" w:lineRule="auto"/>
        <w:jc w:val="both"/>
        <w:rPr>
          <w:rFonts w:ascii="Times New Roman" w:hAnsi="Times New Roman" w:cs="Times New Roman"/>
          <w:color w:val="000000" w:themeColor="text1"/>
          <w:sz w:val="20"/>
          <w:szCs w:val="20"/>
        </w:rPr>
      </w:pPr>
    </w:p>
    <w:p w:rsidR="00710C3D" w:rsidRPr="00611589" w:rsidRDefault="001A6213" w:rsidP="00ED108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A43433">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.01.2016.</w:t>
      </w:r>
    </w:p>
    <w:p w:rsidR="00FD043A" w:rsidRPr="00611589" w:rsidRDefault="00A43433" w:rsidP="00255F5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3272</w:t>
      </w:r>
    </w:p>
    <w:p w:rsidR="006266AF" w:rsidRPr="00611589" w:rsidRDefault="00CE5AF5" w:rsidP="00255F5C">
      <w:pPr>
        <w:spacing w:after="0" w:line="240" w:lineRule="auto"/>
        <w:jc w:val="both"/>
        <w:rPr>
          <w:rFonts w:ascii="Times New Roman" w:hAnsi="Times New Roman" w:cs="Times New Roman"/>
          <w:color w:val="000000" w:themeColor="text1"/>
          <w:sz w:val="20"/>
          <w:szCs w:val="20"/>
        </w:rPr>
      </w:pPr>
      <w:r w:rsidRPr="00611589">
        <w:rPr>
          <w:rFonts w:ascii="Times New Roman" w:hAnsi="Times New Roman" w:cs="Times New Roman"/>
          <w:color w:val="000000" w:themeColor="text1"/>
          <w:sz w:val="20"/>
          <w:szCs w:val="20"/>
        </w:rPr>
        <w:fldChar w:fldCharType="begin"/>
      </w:r>
      <w:r w:rsidR="00710C3D" w:rsidRPr="00611589">
        <w:rPr>
          <w:rFonts w:ascii="Times New Roman" w:hAnsi="Times New Roman" w:cs="Times New Roman"/>
          <w:color w:val="000000" w:themeColor="text1"/>
          <w:sz w:val="20"/>
          <w:szCs w:val="20"/>
        </w:rPr>
        <w:instrText xml:space="preserve"> COMMENTS   \* MERGEFORMAT </w:instrText>
      </w:r>
      <w:r w:rsidRPr="00611589">
        <w:rPr>
          <w:rFonts w:ascii="Times New Roman" w:hAnsi="Times New Roman" w:cs="Times New Roman"/>
          <w:color w:val="000000" w:themeColor="text1"/>
          <w:sz w:val="20"/>
          <w:szCs w:val="20"/>
        </w:rPr>
        <w:fldChar w:fldCharType="separate"/>
      </w:r>
      <w:proofErr w:type="spellStart"/>
      <w:r w:rsidR="00F61D9A" w:rsidRPr="00611589">
        <w:rPr>
          <w:rFonts w:ascii="Times New Roman" w:hAnsi="Times New Roman" w:cs="Times New Roman"/>
          <w:color w:val="000000" w:themeColor="text1"/>
          <w:sz w:val="20"/>
          <w:szCs w:val="20"/>
        </w:rPr>
        <w:t>S.Helviga</w:t>
      </w:r>
      <w:proofErr w:type="spellEnd"/>
      <w:r w:rsidR="006266AF" w:rsidRPr="00611589">
        <w:rPr>
          <w:rFonts w:ascii="Times New Roman" w:hAnsi="Times New Roman" w:cs="Times New Roman"/>
          <w:color w:val="000000" w:themeColor="text1"/>
          <w:sz w:val="20"/>
          <w:szCs w:val="20"/>
        </w:rPr>
        <w:t>, 6735616</w:t>
      </w:r>
      <w:r w:rsidR="00F61D9A" w:rsidRPr="00611589">
        <w:rPr>
          <w:rFonts w:ascii="Times New Roman" w:hAnsi="Times New Roman" w:cs="Times New Roman"/>
          <w:color w:val="000000" w:themeColor="text1"/>
          <w:sz w:val="20"/>
          <w:szCs w:val="20"/>
        </w:rPr>
        <w:t>8</w:t>
      </w:r>
    </w:p>
    <w:p w:rsidR="00C3465C" w:rsidRPr="00611589" w:rsidRDefault="00F61D9A" w:rsidP="00255F5C">
      <w:pPr>
        <w:spacing w:after="0" w:line="240" w:lineRule="auto"/>
        <w:jc w:val="both"/>
        <w:rPr>
          <w:rFonts w:ascii="Times New Roman" w:hAnsi="Times New Roman" w:cs="Times New Roman"/>
          <w:color w:val="000000" w:themeColor="text1"/>
          <w:sz w:val="20"/>
          <w:szCs w:val="20"/>
        </w:rPr>
      </w:pPr>
      <w:r w:rsidRPr="00611589">
        <w:rPr>
          <w:rFonts w:ascii="Times New Roman" w:hAnsi="Times New Roman" w:cs="Times New Roman"/>
          <w:color w:val="000000" w:themeColor="text1"/>
          <w:sz w:val="20"/>
          <w:szCs w:val="20"/>
        </w:rPr>
        <w:t>sintija.helviga</w:t>
      </w:r>
      <w:r w:rsidR="006266AF" w:rsidRPr="00611589">
        <w:rPr>
          <w:rFonts w:ascii="Times New Roman" w:hAnsi="Times New Roman" w:cs="Times New Roman"/>
          <w:color w:val="000000" w:themeColor="text1"/>
          <w:sz w:val="20"/>
          <w:szCs w:val="20"/>
        </w:rPr>
        <w:t>@knab.gov.lv</w:t>
      </w:r>
      <w:r w:rsidR="00CE5AF5" w:rsidRPr="00611589">
        <w:rPr>
          <w:rFonts w:ascii="Times New Roman" w:hAnsi="Times New Roman" w:cs="Times New Roman"/>
          <w:color w:val="000000" w:themeColor="text1"/>
          <w:sz w:val="20"/>
          <w:szCs w:val="20"/>
        </w:rPr>
        <w:fldChar w:fldCharType="end"/>
      </w:r>
      <w:r w:rsidR="00C3465C">
        <w:rPr>
          <w:rFonts w:ascii="Times New Roman" w:hAnsi="Times New Roman" w:cs="Times New Roman"/>
          <w:color w:val="000000" w:themeColor="text1"/>
          <w:sz w:val="20"/>
          <w:szCs w:val="20"/>
        </w:rPr>
        <w:t xml:space="preserve"> </w:t>
      </w:r>
    </w:p>
    <w:sectPr w:rsidR="00C3465C" w:rsidRPr="00611589" w:rsidSect="00FD043A">
      <w:headerReference w:type="default" r:id="rId15"/>
      <w:footerReference w:type="default" r:id="rId16"/>
      <w:headerReference w:type="first" r:id="rId17"/>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A1" w:rsidRDefault="006604A1" w:rsidP="008F32BD">
      <w:pPr>
        <w:spacing w:after="0" w:line="240" w:lineRule="auto"/>
      </w:pPr>
      <w:r>
        <w:separator/>
      </w:r>
    </w:p>
  </w:endnote>
  <w:endnote w:type="continuationSeparator" w:id="0">
    <w:p w:rsidR="006604A1" w:rsidRDefault="006604A1" w:rsidP="008F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0D" w:rsidRPr="001B40C3" w:rsidRDefault="0074740D">
    <w:pPr>
      <w:pStyle w:val="Footer"/>
      <w:rPr>
        <w:rFonts w:ascii="Times New Roman" w:hAnsi="Times New Roman" w:cs="Times New Roman"/>
      </w:rPr>
    </w:pPr>
    <w:r w:rsidRPr="001B40C3">
      <w:rPr>
        <w:rFonts w:ascii="Times New Roman" w:hAnsi="Times New Roman" w:cs="Times New Roman"/>
      </w:rPr>
      <w:t>KNABzino</w:t>
    </w:r>
    <w:r w:rsidR="009D5350">
      <w:rPr>
        <w:rFonts w:ascii="Times New Roman" w:hAnsi="Times New Roman" w:cs="Times New Roman"/>
      </w:rPr>
      <w:t>_</w:t>
    </w:r>
    <w:r w:rsidR="00D21324">
      <w:rPr>
        <w:rFonts w:ascii="Times New Roman" w:hAnsi="Times New Roman" w:cs="Times New Roman"/>
      </w:rPr>
      <w:t>27</w:t>
    </w:r>
    <w:r w:rsidR="002A5D00">
      <w:rPr>
        <w:rFonts w:ascii="Times New Roman" w:hAnsi="Times New Roman" w:cs="Times New Roman"/>
      </w:rPr>
      <w:t>01</w:t>
    </w:r>
    <w:r>
      <w:rPr>
        <w:rFonts w:ascii="Times New Roman" w:hAnsi="Times New Roman" w:cs="Times New Roman"/>
      </w:rPr>
      <w:t>201</w:t>
    </w:r>
    <w:r w:rsidR="002A5D00">
      <w:rPr>
        <w:rFonts w:ascii="Times New Roman" w:hAnsi="Times New Roman" w:cs="Times New Roman"/>
      </w:rPr>
      <w:t>6</w:t>
    </w:r>
    <w:r w:rsidRPr="001B40C3">
      <w:rPr>
        <w:rFonts w:ascii="Times New Roman" w:hAnsi="Times New Roman" w:cs="Times New Roman"/>
      </w:rPr>
      <w:t>.docx; Informatīvais ziņojums "Par Korupcijas novēršanas un apkarošanas biroja darbību no 201</w:t>
    </w:r>
    <w:r>
      <w:rPr>
        <w:rFonts w:ascii="Times New Roman" w:hAnsi="Times New Roman" w:cs="Times New Roman"/>
      </w:rPr>
      <w:t>5</w:t>
    </w:r>
    <w:r w:rsidRPr="001B40C3">
      <w:rPr>
        <w:rFonts w:ascii="Times New Roman" w:hAnsi="Times New Roman" w:cs="Times New Roman"/>
      </w:rPr>
      <w:t>.gada 1.</w:t>
    </w:r>
    <w:r w:rsidR="002A5D00">
      <w:rPr>
        <w:rFonts w:ascii="Times New Roman" w:hAnsi="Times New Roman" w:cs="Times New Roman"/>
      </w:rPr>
      <w:t>jūlija</w:t>
    </w:r>
    <w:r w:rsidRPr="001B40C3">
      <w:rPr>
        <w:rFonts w:ascii="Times New Roman" w:hAnsi="Times New Roman" w:cs="Times New Roman"/>
      </w:rPr>
      <w:t xml:space="preserve"> līdz </w:t>
    </w:r>
    <w:r w:rsidR="002A5D00">
      <w:rPr>
        <w:rFonts w:ascii="Times New Roman" w:hAnsi="Times New Roman" w:cs="Times New Roman"/>
      </w:rPr>
      <w:t>31.decembrim</w:t>
    </w:r>
    <w:r w:rsidR="002A5D00" w:rsidRPr="001B40C3">
      <w:rPr>
        <w:rFonts w:ascii="Times New Roman" w:hAnsi="Times New Roman" w:cs="Times New Roman"/>
      </w:rPr>
      <w:t xml:space="preserve"> </w:t>
    </w:r>
    <w:r w:rsidRPr="001B40C3">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A1" w:rsidRDefault="006604A1" w:rsidP="008F32BD">
      <w:pPr>
        <w:spacing w:after="0" w:line="240" w:lineRule="auto"/>
      </w:pPr>
      <w:r>
        <w:separator/>
      </w:r>
    </w:p>
  </w:footnote>
  <w:footnote w:type="continuationSeparator" w:id="0">
    <w:p w:rsidR="006604A1" w:rsidRDefault="006604A1" w:rsidP="008F3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34224395"/>
      <w:docPartObj>
        <w:docPartGallery w:val="Page Numbers (Top of Page)"/>
        <w:docPartUnique/>
      </w:docPartObj>
    </w:sdtPr>
    <w:sdtEndPr>
      <w:rPr>
        <w:noProof/>
      </w:rPr>
    </w:sdtEndPr>
    <w:sdtContent>
      <w:p w:rsidR="0074740D" w:rsidRPr="0017538A" w:rsidRDefault="0074740D" w:rsidP="0017538A">
        <w:pPr>
          <w:pStyle w:val="Header"/>
          <w:jc w:val="center"/>
          <w:rPr>
            <w:rFonts w:ascii="Times New Roman" w:hAnsi="Times New Roman" w:cs="Times New Roman"/>
            <w:sz w:val="24"/>
            <w:szCs w:val="24"/>
          </w:rPr>
        </w:pPr>
        <w:r w:rsidRPr="0017538A">
          <w:rPr>
            <w:rFonts w:ascii="Times New Roman" w:hAnsi="Times New Roman" w:cs="Times New Roman"/>
            <w:sz w:val="24"/>
            <w:szCs w:val="24"/>
          </w:rPr>
          <w:fldChar w:fldCharType="begin"/>
        </w:r>
        <w:r w:rsidRPr="0017538A">
          <w:rPr>
            <w:rFonts w:ascii="Times New Roman" w:hAnsi="Times New Roman" w:cs="Times New Roman"/>
            <w:sz w:val="24"/>
            <w:szCs w:val="24"/>
          </w:rPr>
          <w:instrText xml:space="preserve"> PAGE   \* MERGEFORMAT </w:instrText>
        </w:r>
        <w:r w:rsidRPr="0017538A">
          <w:rPr>
            <w:rFonts w:ascii="Times New Roman" w:hAnsi="Times New Roman" w:cs="Times New Roman"/>
            <w:sz w:val="24"/>
            <w:szCs w:val="24"/>
          </w:rPr>
          <w:fldChar w:fldCharType="separate"/>
        </w:r>
        <w:r w:rsidR="00B013C4">
          <w:rPr>
            <w:rFonts w:ascii="Times New Roman" w:hAnsi="Times New Roman" w:cs="Times New Roman"/>
            <w:noProof/>
            <w:sz w:val="24"/>
            <w:szCs w:val="24"/>
          </w:rPr>
          <w:t>13</w:t>
        </w:r>
        <w:r w:rsidRPr="0017538A">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0D" w:rsidRPr="0017538A" w:rsidRDefault="0074740D" w:rsidP="001753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3D64"/>
    <w:multiLevelType w:val="hybridMultilevel"/>
    <w:tmpl w:val="A5E6D1AE"/>
    <w:lvl w:ilvl="0" w:tplc="04260001">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0DFD435E"/>
    <w:multiLevelType w:val="hybridMultilevel"/>
    <w:tmpl w:val="D43CB6E6"/>
    <w:lvl w:ilvl="0" w:tplc="30105E54">
      <w:start w:val="1"/>
      <w:numFmt w:val="decimal"/>
      <w:lvlText w:val="%1)"/>
      <w:lvlJc w:val="left"/>
      <w:pPr>
        <w:ind w:left="720" w:hanging="360"/>
      </w:pPr>
      <w:rPr>
        <w:rFonts w:ascii="Times New Roman" w:eastAsiaTheme="minorHAnsi"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4E4310"/>
    <w:multiLevelType w:val="hybridMultilevel"/>
    <w:tmpl w:val="05E45A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F96151C"/>
    <w:multiLevelType w:val="multilevel"/>
    <w:tmpl w:val="B0EE1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C80C85"/>
    <w:multiLevelType w:val="hybridMultilevel"/>
    <w:tmpl w:val="D428A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DA2C53"/>
    <w:multiLevelType w:val="hybridMultilevel"/>
    <w:tmpl w:val="37F635FA"/>
    <w:lvl w:ilvl="0" w:tplc="2A405432">
      <w:start w:val="1"/>
      <w:numFmt w:val="decimal"/>
      <w:lvlText w:val="%1."/>
      <w:lvlJc w:val="left"/>
      <w:pPr>
        <w:ind w:left="1778" w:hanging="360"/>
      </w:pPr>
      <w:rPr>
        <w:rFonts w:ascii="Times New Roman" w:hAnsi="Times New Roman" w:cs="Times New Roman" w:hint="default"/>
        <w:sz w:val="28"/>
        <w:szCs w:val="28"/>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6">
    <w:nsid w:val="16FC7B5A"/>
    <w:multiLevelType w:val="hybridMultilevel"/>
    <w:tmpl w:val="09183F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7D85E98"/>
    <w:multiLevelType w:val="hybridMultilevel"/>
    <w:tmpl w:val="D52EFF46"/>
    <w:lvl w:ilvl="0" w:tplc="76D68E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A56CAC"/>
    <w:multiLevelType w:val="hybridMultilevel"/>
    <w:tmpl w:val="0DF25EAE"/>
    <w:lvl w:ilvl="0" w:tplc="1F80CAFE">
      <w:start w:val="201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DFE41D9"/>
    <w:multiLevelType w:val="hybridMultilevel"/>
    <w:tmpl w:val="89B20692"/>
    <w:lvl w:ilvl="0" w:tplc="DC6A564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0">
    <w:nsid w:val="1F216908"/>
    <w:multiLevelType w:val="hybridMultilevel"/>
    <w:tmpl w:val="25C453A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10200CE"/>
    <w:multiLevelType w:val="multilevel"/>
    <w:tmpl w:val="284A0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2BF4232"/>
    <w:multiLevelType w:val="hybridMultilevel"/>
    <w:tmpl w:val="748EE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2E391E"/>
    <w:multiLevelType w:val="hybridMultilevel"/>
    <w:tmpl w:val="76AE7AAC"/>
    <w:lvl w:ilvl="0" w:tplc="201670D0">
      <w:start w:val="1"/>
      <w:numFmt w:val="decimal"/>
      <w:lvlText w:val="%1."/>
      <w:lvlJc w:val="left"/>
      <w:pPr>
        <w:ind w:left="1707" w:hanging="11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29EA3796"/>
    <w:multiLevelType w:val="hybridMultilevel"/>
    <w:tmpl w:val="8C643B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AE600F1"/>
    <w:multiLevelType w:val="hybridMultilevel"/>
    <w:tmpl w:val="8ADC88B4"/>
    <w:lvl w:ilvl="0" w:tplc="A7E81A36">
      <w:numFmt w:val="bullet"/>
      <w:lvlText w:val=""/>
      <w:lvlJc w:val="left"/>
      <w:pPr>
        <w:ind w:left="720" w:hanging="360"/>
      </w:pPr>
      <w:rPr>
        <w:rFonts w:ascii="Symbol" w:eastAsiaTheme="minorHAnsi"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CBA1527"/>
    <w:multiLevelType w:val="hybridMultilevel"/>
    <w:tmpl w:val="3FEEF9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D70506C"/>
    <w:multiLevelType w:val="hybridMultilevel"/>
    <w:tmpl w:val="77628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7D82085"/>
    <w:multiLevelType w:val="hybridMultilevel"/>
    <w:tmpl w:val="9DC4D32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382B0D93"/>
    <w:multiLevelType w:val="hybridMultilevel"/>
    <w:tmpl w:val="03E0E6DE"/>
    <w:lvl w:ilvl="0" w:tplc="30105E54">
      <w:start w:val="1"/>
      <w:numFmt w:val="decimal"/>
      <w:lvlText w:val="%1)"/>
      <w:lvlJc w:val="left"/>
      <w:pPr>
        <w:ind w:left="720" w:hanging="360"/>
      </w:pPr>
      <w:rPr>
        <w:rFonts w:ascii="Times New Roman" w:eastAsiaTheme="minorHAnsi"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B61F73"/>
    <w:multiLevelType w:val="hybridMultilevel"/>
    <w:tmpl w:val="671E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6752E1"/>
    <w:multiLevelType w:val="hybridMultilevel"/>
    <w:tmpl w:val="51BE6EBE"/>
    <w:lvl w:ilvl="0" w:tplc="9678EC86">
      <w:numFmt w:val="bullet"/>
      <w:lvlText w:val="-"/>
      <w:lvlJc w:val="left"/>
      <w:pPr>
        <w:ind w:left="1680" w:hanging="9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43777BAC"/>
    <w:multiLevelType w:val="hybridMultilevel"/>
    <w:tmpl w:val="B5D0767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nsid w:val="44302312"/>
    <w:multiLevelType w:val="hybridMultilevel"/>
    <w:tmpl w:val="8528F384"/>
    <w:lvl w:ilvl="0" w:tplc="04260001">
      <w:start w:val="1"/>
      <w:numFmt w:val="bullet"/>
      <w:lvlText w:val=""/>
      <w:lvlJc w:val="left"/>
      <w:pPr>
        <w:ind w:left="720" w:hanging="360"/>
      </w:pPr>
      <w:rPr>
        <w:rFonts w:ascii="Symbol" w:hAnsi="Symbol" w:hint="default"/>
      </w:rPr>
    </w:lvl>
    <w:lvl w:ilvl="1" w:tplc="9EB06366">
      <w:numFmt w:val="bullet"/>
      <w:lvlText w:val="-"/>
      <w:lvlJc w:val="left"/>
      <w:pPr>
        <w:ind w:left="1965" w:hanging="885"/>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4616DDA"/>
    <w:multiLevelType w:val="hybridMultilevel"/>
    <w:tmpl w:val="42EE28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4E011BE"/>
    <w:multiLevelType w:val="hybridMultilevel"/>
    <w:tmpl w:val="B7304A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1A26EA1"/>
    <w:multiLevelType w:val="hybridMultilevel"/>
    <w:tmpl w:val="D02247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BCA1AE9"/>
    <w:multiLevelType w:val="hybridMultilevel"/>
    <w:tmpl w:val="7A2ED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C3D5D67"/>
    <w:multiLevelType w:val="hybridMultilevel"/>
    <w:tmpl w:val="896EDD30"/>
    <w:lvl w:ilvl="0" w:tplc="7E90F78E">
      <w:start w:val="1"/>
      <w:numFmt w:val="bullet"/>
      <w:lvlText w:val="-"/>
      <w:lvlJc w:val="left"/>
      <w:pPr>
        <w:ind w:left="720" w:hanging="360"/>
      </w:pPr>
      <w:rPr>
        <w:rFonts w:ascii="Times New Roman" w:eastAsia="Times New Roman"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7C37C25"/>
    <w:multiLevelType w:val="multilevel"/>
    <w:tmpl w:val="DEC004E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EB318AD"/>
    <w:multiLevelType w:val="hybridMultilevel"/>
    <w:tmpl w:val="96780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FD17C84"/>
    <w:multiLevelType w:val="hybridMultilevel"/>
    <w:tmpl w:val="2EA2722A"/>
    <w:lvl w:ilvl="0" w:tplc="04260001">
      <w:start w:val="1"/>
      <w:numFmt w:val="bullet"/>
      <w:lvlText w:val=""/>
      <w:lvlJc w:val="left"/>
      <w:pPr>
        <w:ind w:left="1680" w:hanging="9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79353523"/>
    <w:multiLevelType w:val="hybridMultilevel"/>
    <w:tmpl w:val="69E87BAC"/>
    <w:lvl w:ilvl="0" w:tplc="A7E81A36">
      <w:numFmt w:val="bullet"/>
      <w:lvlText w:val=""/>
      <w:lvlJc w:val="left"/>
      <w:pPr>
        <w:ind w:left="1287" w:hanging="360"/>
      </w:pPr>
      <w:rPr>
        <w:rFonts w:ascii="Symbol" w:eastAsiaTheme="minorHAnsi" w:hAnsi="Symbol" w:cs="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3">
    <w:nsid w:val="7F6D5DC6"/>
    <w:multiLevelType w:val="hybridMultilevel"/>
    <w:tmpl w:val="E05CE370"/>
    <w:lvl w:ilvl="0" w:tplc="A7E81A36">
      <w:numFmt w:val="bullet"/>
      <w:lvlText w:val=""/>
      <w:lvlJc w:val="left"/>
      <w:pPr>
        <w:ind w:left="720" w:hanging="360"/>
      </w:pPr>
      <w:rPr>
        <w:rFonts w:ascii="Symbol" w:eastAsiaTheme="minorHAnsi"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FBC1CC4"/>
    <w:multiLevelType w:val="hybridMultilevel"/>
    <w:tmpl w:val="72A803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4"/>
  </w:num>
  <w:num w:numId="4">
    <w:abstractNumId w:val="12"/>
  </w:num>
  <w:num w:numId="5">
    <w:abstractNumId w:val="27"/>
  </w:num>
  <w:num w:numId="6">
    <w:abstractNumId w:val="30"/>
  </w:num>
  <w:num w:numId="7">
    <w:abstractNumId w:val="14"/>
  </w:num>
  <w:num w:numId="8">
    <w:abstractNumId w:val="13"/>
  </w:num>
  <w:num w:numId="9">
    <w:abstractNumId w:val="5"/>
  </w:num>
  <w:num w:numId="10">
    <w:abstractNumId w:val="28"/>
  </w:num>
  <w:num w:numId="11">
    <w:abstractNumId w:val="34"/>
  </w:num>
  <w:num w:numId="12">
    <w:abstractNumId w:val="6"/>
  </w:num>
  <w:num w:numId="13">
    <w:abstractNumId w:val="33"/>
  </w:num>
  <w:num w:numId="14">
    <w:abstractNumId w:val="1"/>
  </w:num>
  <w:num w:numId="15">
    <w:abstractNumId w:val="32"/>
  </w:num>
  <w:num w:numId="16">
    <w:abstractNumId w:val="19"/>
  </w:num>
  <w:num w:numId="17">
    <w:abstractNumId w:val="15"/>
  </w:num>
  <w:num w:numId="18">
    <w:abstractNumId w:val="24"/>
  </w:num>
  <w:num w:numId="19">
    <w:abstractNumId w:val="16"/>
  </w:num>
  <w:num w:numId="20">
    <w:abstractNumId w:val="18"/>
  </w:num>
  <w:num w:numId="21">
    <w:abstractNumId w:val="3"/>
  </w:num>
  <w:num w:numId="22">
    <w:abstractNumId w:val="2"/>
  </w:num>
  <w:num w:numId="23">
    <w:abstractNumId w:val="26"/>
  </w:num>
  <w:num w:numId="24">
    <w:abstractNumId w:val="9"/>
  </w:num>
  <w:num w:numId="25">
    <w:abstractNumId w:val="8"/>
  </w:num>
  <w:num w:numId="26">
    <w:abstractNumId w:val="22"/>
  </w:num>
  <w:num w:numId="27">
    <w:abstractNumId w:val="0"/>
  </w:num>
  <w:num w:numId="28">
    <w:abstractNumId w:val="29"/>
  </w:num>
  <w:num w:numId="29">
    <w:abstractNumId w:val="7"/>
  </w:num>
  <w:num w:numId="30">
    <w:abstractNumId w:val="25"/>
  </w:num>
  <w:num w:numId="31">
    <w:abstractNumId w:val="21"/>
  </w:num>
  <w:num w:numId="32">
    <w:abstractNumId w:val="31"/>
  </w:num>
  <w:num w:numId="33">
    <w:abstractNumId w:val="23"/>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BD"/>
    <w:rsid w:val="000006BE"/>
    <w:rsid w:val="000021AD"/>
    <w:rsid w:val="00002253"/>
    <w:rsid w:val="0000652B"/>
    <w:rsid w:val="00006C02"/>
    <w:rsid w:val="0001365F"/>
    <w:rsid w:val="00014762"/>
    <w:rsid w:val="00017763"/>
    <w:rsid w:val="00017E03"/>
    <w:rsid w:val="000206F1"/>
    <w:rsid w:val="00020F40"/>
    <w:rsid w:val="00023A8D"/>
    <w:rsid w:val="00023B2F"/>
    <w:rsid w:val="00024ABB"/>
    <w:rsid w:val="00030BC6"/>
    <w:rsid w:val="000313F2"/>
    <w:rsid w:val="00034040"/>
    <w:rsid w:val="0003540E"/>
    <w:rsid w:val="0004079C"/>
    <w:rsid w:val="000428CF"/>
    <w:rsid w:val="000438B3"/>
    <w:rsid w:val="00047562"/>
    <w:rsid w:val="00055991"/>
    <w:rsid w:val="00055F09"/>
    <w:rsid w:val="00056AF6"/>
    <w:rsid w:val="00056BF4"/>
    <w:rsid w:val="000664D2"/>
    <w:rsid w:val="000703F7"/>
    <w:rsid w:val="00070DFE"/>
    <w:rsid w:val="00073788"/>
    <w:rsid w:val="00073B9D"/>
    <w:rsid w:val="0007426A"/>
    <w:rsid w:val="000773E9"/>
    <w:rsid w:val="000775FF"/>
    <w:rsid w:val="00080D3E"/>
    <w:rsid w:val="00081C07"/>
    <w:rsid w:val="000825F0"/>
    <w:rsid w:val="00091D6D"/>
    <w:rsid w:val="00093551"/>
    <w:rsid w:val="00093ED5"/>
    <w:rsid w:val="000961B4"/>
    <w:rsid w:val="000963D1"/>
    <w:rsid w:val="000968B7"/>
    <w:rsid w:val="00097D81"/>
    <w:rsid w:val="000A083B"/>
    <w:rsid w:val="000A5B81"/>
    <w:rsid w:val="000A782B"/>
    <w:rsid w:val="000B5C53"/>
    <w:rsid w:val="000B791F"/>
    <w:rsid w:val="000C1ED2"/>
    <w:rsid w:val="000C619E"/>
    <w:rsid w:val="000C7983"/>
    <w:rsid w:val="000D04ED"/>
    <w:rsid w:val="000D0FDE"/>
    <w:rsid w:val="000D15A4"/>
    <w:rsid w:val="000E0ABD"/>
    <w:rsid w:val="000E12C7"/>
    <w:rsid w:val="000E693D"/>
    <w:rsid w:val="000E7B20"/>
    <w:rsid w:val="000F1000"/>
    <w:rsid w:val="000F17BD"/>
    <w:rsid w:val="000F2584"/>
    <w:rsid w:val="000F6C94"/>
    <w:rsid w:val="00104879"/>
    <w:rsid w:val="00111CF9"/>
    <w:rsid w:val="00113355"/>
    <w:rsid w:val="001141AA"/>
    <w:rsid w:val="001142AD"/>
    <w:rsid w:val="001160DD"/>
    <w:rsid w:val="001205CE"/>
    <w:rsid w:val="001208B0"/>
    <w:rsid w:val="001220D3"/>
    <w:rsid w:val="00122F9A"/>
    <w:rsid w:val="001267D2"/>
    <w:rsid w:val="00127513"/>
    <w:rsid w:val="00127BE0"/>
    <w:rsid w:val="00131EB4"/>
    <w:rsid w:val="00136070"/>
    <w:rsid w:val="00140028"/>
    <w:rsid w:val="001416DC"/>
    <w:rsid w:val="00143AD5"/>
    <w:rsid w:val="00144655"/>
    <w:rsid w:val="00151C08"/>
    <w:rsid w:val="001522D5"/>
    <w:rsid w:val="00152AFA"/>
    <w:rsid w:val="00152B00"/>
    <w:rsid w:val="00157F6E"/>
    <w:rsid w:val="0016357F"/>
    <w:rsid w:val="001659BC"/>
    <w:rsid w:val="001700BB"/>
    <w:rsid w:val="00172B64"/>
    <w:rsid w:val="00174549"/>
    <w:rsid w:val="0017538A"/>
    <w:rsid w:val="001809DB"/>
    <w:rsid w:val="00181B25"/>
    <w:rsid w:val="00182A58"/>
    <w:rsid w:val="00184116"/>
    <w:rsid w:val="0018564A"/>
    <w:rsid w:val="001857F5"/>
    <w:rsid w:val="00186827"/>
    <w:rsid w:val="00186933"/>
    <w:rsid w:val="00186D80"/>
    <w:rsid w:val="001902E5"/>
    <w:rsid w:val="001965A5"/>
    <w:rsid w:val="001967C4"/>
    <w:rsid w:val="001969B9"/>
    <w:rsid w:val="001972B4"/>
    <w:rsid w:val="001A0029"/>
    <w:rsid w:val="001A1761"/>
    <w:rsid w:val="001A3122"/>
    <w:rsid w:val="001A32B0"/>
    <w:rsid w:val="001A3428"/>
    <w:rsid w:val="001A6213"/>
    <w:rsid w:val="001A6817"/>
    <w:rsid w:val="001A7EE6"/>
    <w:rsid w:val="001B0CF4"/>
    <w:rsid w:val="001B0E8A"/>
    <w:rsid w:val="001B22D9"/>
    <w:rsid w:val="001B25B7"/>
    <w:rsid w:val="001B40C3"/>
    <w:rsid w:val="001C0577"/>
    <w:rsid w:val="001C08BB"/>
    <w:rsid w:val="001C2160"/>
    <w:rsid w:val="001C44D9"/>
    <w:rsid w:val="001C5C79"/>
    <w:rsid w:val="001C70CC"/>
    <w:rsid w:val="001D2402"/>
    <w:rsid w:val="001D2A5F"/>
    <w:rsid w:val="001D44A0"/>
    <w:rsid w:val="001D5281"/>
    <w:rsid w:val="001D5FA8"/>
    <w:rsid w:val="001E11E2"/>
    <w:rsid w:val="001E5D33"/>
    <w:rsid w:val="001F1123"/>
    <w:rsid w:val="001F42A1"/>
    <w:rsid w:val="001F4434"/>
    <w:rsid w:val="001F79AF"/>
    <w:rsid w:val="00200373"/>
    <w:rsid w:val="00202EB1"/>
    <w:rsid w:val="002039A4"/>
    <w:rsid w:val="0020489C"/>
    <w:rsid w:val="00204F5E"/>
    <w:rsid w:val="00213C45"/>
    <w:rsid w:val="0021422D"/>
    <w:rsid w:val="00215B60"/>
    <w:rsid w:val="00220289"/>
    <w:rsid w:val="00227DF2"/>
    <w:rsid w:val="00234067"/>
    <w:rsid w:val="002340A6"/>
    <w:rsid w:val="002348E8"/>
    <w:rsid w:val="00235BFF"/>
    <w:rsid w:val="0023653B"/>
    <w:rsid w:val="00236AC5"/>
    <w:rsid w:val="00241104"/>
    <w:rsid w:val="00241A27"/>
    <w:rsid w:val="002458EE"/>
    <w:rsid w:val="0024696F"/>
    <w:rsid w:val="002503A3"/>
    <w:rsid w:val="002512FB"/>
    <w:rsid w:val="00252934"/>
    <w:rsid w:val="00254D0E"/>
    <w:rsid w:val="00254F23"/>
    <w:rsid w:val="0025528A"/>
    <w:rsid w:val="00255F5C"/>
    <w:rsid w:val="00265179"/>
    <w:rsid w:val="00265BFA"/>
    <w:rsid w:val="002667C6"/>
    <w:rsid w:val="00267E9D"/>
    <w:rsid w:val="00274B62"/>
    <w:rsid w:val="00275C29"/>
    <w:rsid w:val="00277263"/>
    <w:rsid w:val="00277F49"/>
    <w:rsid w:val="00281DDB"/>
    <w:rsid w:val="002820B1"/>
    <w:rsid w:val="002825C2"/>
    <w:rsid w:val="002825E2"/>
    <w:rsid w:val="00285CD4"/>
    <w:rsid w:val="002863B6"/>
    <w:rsid w:val="00290138"/>
    <w:rsid w:val="00290CCD"/>
    <w:rsid w:val="002952ED"/>
    <w:rsid w:val="00295475"/>
    <w:rsid w:val="00295CFE"/>
    <w:rsid w:val="002965A6"/>
    <w:rsid w:val="002A00D9"/>
    <w:rsid w:val="002A38E4"/>
    <w:rsid w:val="002A5D00"/>
    <w:rsid w:val="002B0B4D"/>
    <w:rsid w:val="002B2E0B"/>
    <w:rsid w:val="002B3FCB"/>
    <w:rsid w:val="002B6772"/>
    <w:rsid w:val="002B69CE"/>
    <w:rsid w:val="002C1348"/>
    <w:rsid w:val="002C1504"/>
    <w:rsid w:val="002C2106"/>
    <w:rsid w:val="002C6A15"/>
    <w:rsid w:val="002D0885"/>
    <w:rsid w:val="002D2604"/>
    <w:rsid w:val="002D2CBC"/>
    <w:rsid w:val="002E568E"/>
    <w:rsid w:val="002E5E7E"/>
    <w:rsid w:val="002E7BDA"/>
    <w:rsid w:val="002E7DB7"/>
    <w:rsid w:val="002F3BDD"/>
    <w:rsid w:val="002F71C9"/>
    <w:rsid w:val="003022CD"/>
    <w:rsid w:val="00302E33"/>
    <w:rsid w:val="003119D3"/>
    <w:rsid w:val="003134C5"/>
    <w:rsid w:val="00315BCD"/>
    <w:rsid w:val="003160B5"/>
    <w:rsid w:val="003206EC"/>
    <w:rsid w:val="00321895"/>
    <w:rsid w:val="0032461E"/>
    <w:rsid w:val="00325B0A"/>
    <w:rsid w:val="0032648A"/>
    <w:rsid w:val="003267A6"/>
    <w:rsid w:val="003305EF"/>
    <w:rsid w:val="00332A36"/>
    <w:rsid w:val="00334502"/>
    <w:rsid w:val="003359D7"/>
    <w:rsid w:val="00335A0D"/>
    <w:rsid w:val="0033652C"/>
    <w:rsid w:val="0033679D"/>
    <w:rsid w:val="00341A95"/>
    <w:rsid w:val="00344BC7"/>
    <w:rsid w:val="00350E97"/>
    <w:rsid w:val="003520F9"/>
    <w:rsid w:val="0035360F"/>
    <w:rsid w:val="003543C7"/>
    <w:rsid w:val="003563CA"/>
    <w:rsid w:val="00361F7B"/>
    <w:rsid w:val="00362B7B"/>
    <w:rsid w:val="00362F80"/>
    <w:rsid w:val="0037685A"/>
    <w:rsid w:val="003810E8"/>
    <w:rsid w:val="003824A7"/>
    <w:rsid w:val="0038294F"/>
    <w:rsid w:val="00384F45"/>
    <w:rsid w:val="00385E8D"/>
    <w:rsid w:val="00387476"/>
    <w:rsid w:val="00392F0C"/>
    <w:rsid w:val="00394F70"/>
    <w:rsid w:val="003961D1"/>
    <w:rsid w:val="00397D17"/>
    <w:rsid w:val="003A20D0"/>
    <w:rsid w:val="003A257E"/>
    <w:rsid w:val="003A2F77"/>
    <w:rsid w:val="003A42A6"/>
    <w:rsid w:val="003A47C0"/>
    <w:rsid w:val="003B35C8"/>
    <w:rsid w:val="003B44B6"/>
    <w:rsid w:val="003C046E"/>
    <w:rsid w:val="003C0DA6"/>
    <w:rsid w:val="003C2032"/>
    <w:rsid w:val="003C4093"/>
    <w:rsid w:val="003C60ED"/>
    <w:rsid w:val="003C69FB"/>
    <w:rsid w:val="003C6F11"/>
    <w:rsid w:val="003C7F63"/>
    <w:rsid w:val="003D1893"/>
    <w:rsid w:val="003D2843"/>
    <w:rsid w:val="003D447D"/>
    <w:rsid w:val="003D6E55"/>
    <w:rsid w:val="003D70F1"/>
    <w:rsid w:val="003E17D9"/>
    <w:rsid w:val="003E440D"/>
    <w:rsid w:val="003F0A43"/>
    <w:rsid w:val="003F1422"/>
    <w:rsid w:val="003F2964"/>
    <w:rsid w:val="003F6788"/>
    <w:rsid w:val="0040203D"/>
    <w:rsid w:val="0040308F"/>
    <w:rsid w:val="0040333C"/>
    <w:rsid w:val="004069B4"/>
    <w:rsid w:val="004102ED"/>
    <w:rsid w:val="00411898"/>
    <w:rsid w:val="004121B9"/>
    <w:rsid w:val="00412BC7"/>
    <w:rsid w:val="00413C5A"/>
    <w:rsid w:val="004143A8"/>
    <w:rsid w:val="004167F2"/>
    <w:rsid w:val="00416DB6"/>
    <w:rsid w:val="004202C9"/>
    <w:rsid w:val="004241D6"/>
    <w:rsid w:val="00425D41"/>
    <w:rsid w:val="0042773C"/>
    <w:rsid w:val="004279A2"/>
    <w:rsid w:val="00430865"/>
    <w:rsid w:val="0043547C"/>
    <w:rsid w:val="004361CE"/>
    <w:rsid w:val="00436EC2"/>
    <w:rsid w:val="00437842"/>
    <w:rsid w:val="00443273"/>
    <w:rsid w:val="00443FA9"/>
    <w:rsid w:val="00444543"/>
    <w:rsid w:val="004448D4"/>
    <w:rsid w:val="00445BE8"/>
    <w:rsid w:val="00447F86"/>
    <w:rsid w:val="00451A10"/>
    <w:rsid w:val="004532B3"/>
    <w:rsid w:val="004568FC"/>
    <w:rsid w:val="0045694A"/>
    <w:rsid w:val="004629AA"/>
    <w:rsid w:val="004632C3"/>
    <w:rsid w:val="0046551C"/>
    <w:rsid w:val="00465948"/>
    <w:rsid w:val="00467699"/>
    <w:rsid w:val="00472BBC"/>
    <w:rsid w:val="00473B76"/>
    <w:rsid w:val="00476C4C"/>
    <w:rsid w:val="00484568"/>
    <w:rsid w:val="00484DA5"/>
    <w:rsid w:val="00486491"/>
    <w:rsid w:val="00490B34"/>
    <w:rsid w:val="00491C05"/>
    <w:rsid w:val="00492B80"/>
    <w:rsid w:val="004949DF"/>
    <w:rsid w:val="00496C85"/>
    <w:rsid w:val="004A1320"/>
    <w:rsid w:val="004A1747"/>
    <w:rsid w:val="004A43D9"/>
    <w:rsid w:val="004A6700"/>
    <w:rsid w:val="004A6756"/>
    <w:rsid w:val="004B1216"/>
    <w:rsid w:val="004B274F"/>
    <w:rsid w:val="004B376E"/>
    <w:rsid w:val="004C086F"/>
    <w:rsid w:val="004C168A"/>
    <w:rsid w:val="004C1E3E"/>
    <w:rsid w:val="004C26AA"/>
    <w:rsid w:val="004C3609"/>
    <w:rsid w:val="004C5072"/>
    <w:rsid w:val="004D1509"/>
    <w:rsid w:val="004D2552"/>
    <w:rsid w:val="004D6438"/>
    <w:rsid w:val="004D6568"/>
    <w:rsid w:val="004D6798"/>
    <w:rsid w:val="004E0745"/>
    <w:rsid w:val="004E0AC5"/>
    <w:rsid w:val="004E4070"/>
    <w:rsid w:val="004F02FB"/>
    <w:rsid w:val="004F2627"/>
    <w:rsid w:val="004F7B23"/>
    <w:rsid w:val="005054E6"/>
    <w:rsid w:val="005148E8"/>
    <w:rsid w:val="00521516"/>
    <w:rsid w:val="00523498"/>
    <w:rsid w:val="0052727D"/>
    <w:rsid w:val="00530A31"/>
    <w:rsid w:val="005328E7"/>
    <w:rsid w:val="00532995"/>
    <w:rsid w:val="005340E5"/>
    <w:rsid w:val="00535EA4"/>
    <w:rsid w:val="0053780F"/>
    <w:rsid w:val="0054008F"/>
    <w:rsid w:val="00542325"/>
    <w:rsid w:val="00542375"/>
    <w:rsid w:val="00544F64"/>
    <w:rsid w:val="00546ADA"/>
    <w:rsid w:val="00550161"/>
    <w:rsid w:val="0055186B"/>
    <w:rsid w:val="005522F0"/>
    <w:rsid w:val="00553139"/>
    <w:rsid w:val="005533BD"/>
    <w:rsid w:val="00556588"/>
    <w:rsid w:val="00556B03"/>
    <w:rsid w:val="00560186"/>
    <w:rsid w:val="005621A3"/>
    <w:rsid w:val="00565321"/>
    <w:rsid w:val="005704A1"/>
    <w:rsid w:val="00570A70"/>
    <w:rsid w:val="00574AA9"/>
    <w:rsid w:val="00576300"/>
    <w:rsid w:val="00577546"/>
    <w:rsid w:val="00580B09"/>
    <w:rsid w:val="00583C21"/>
    <w:rsid w:val="0058410B"/>
    <w:rsid w:val="00584C98"/>
    <w:rsid w:val="00596922"/>
    <w:rsid w:val="005A0B16"/>
    <w:rsid w:val="005A37AC"/>
    <w:rsid w:val="005A4726"/>
    <w:rsid w:val="005A479A"/>
    <w:rsid w:val="005A47AC"/>
    <w:rsid w:val="005B2659"/>
    <w:rsid w:val="005B4234"/>
    <w:rsid w:val="005B44EE"/>
    <w:rsid w:val="005B56A8"/>
    <w:rsid w:val="005B7077"/>
    <w:rsid w:val="005C06DF"/>
    <w:rsid w:val="005C142D"/>
    <w:rsid w:val="005C72CE"/>
    <w:rsid w:val="005D0706"/>
    <w:rsid w:val="005D18BD"/>
    <w:rsid w:val="005D2E99"/>
    <w:rsid w:val="005D37FC"/>
    <w:rsid w:val="005D5A51"/>
    <w:rsid w:val="005D5CA2"/>
    <w:rsid w:val="005E0133"/>
    <w:rsid w:val="005E0A47"/>
    <w:rsid w:val="005E1545"/>
    <w:rsid w:val="005E1C0F"/>
    <w:rsid w:val="005E3E1D"/>
    <w:rsid w:val="005E6E7E"/>
    <w:rsid w:val="005F1599"/>
    <w:rsid w:val="005F39F2"/>
    <w:rsid w:val="005F586F"/>
    <w:rsid w:val="005F68E9"/>
    <w:rsid w:val="0060321D"/>
    <w:rsid w:val="00606292"/>
    <w:rsid w:val="00610C07"/>
    <w:rsid w:val="00611589"/>
    <w:rsid w:val="00612CE0"/>
    <w:rsid w:val="0061343C"/>
    <w:rsid w:val="00615921"/>
    <w:rsid w:val="00617021"/>
    <w:rsid w:val="00621AE7"/>
    <w:rsid w:val="006222C1"/>
    <w:rsid w:val="0062357C"/>
    <w:rsid w:val="006238F4"/>
    <w:rsid w:val="00623F57"/>
    <w:rsid w:val="0062466D"/>
    <w:rsid w:val="006266AF"/>
    <w:rsid w:val="006279D6"/>
    <w:rsid w:val="00627B1B"/>
    <w:rsid w:val="006301A1"/>
    <w:rsid w:val="006321FF"/>
    <w:rsid w:val="00633718"/>
    <w:rsid w:val="006412AE"/>
    <w:rsid w:val="006424B0"/>
    <w:rsid w:val="006456F5"/>
    <w:rsid w:val="0064581D"/>
    <w:rsid w:val="00646E37"/>
    <w:rsid w:val="00646F45"/>
    <w:rsid w:val="00647059"/>
    <w:rsid w:val="00652C89"/>
    <w:rsid w:val="00653F55"/>
    <w:rsid w:val="00654393"/>
    <w:rsid w:val="0065791C"/>
    <w:rsid w:val="00657E57"/>
    <w:rsid w:val="006604A1"/>
    <w:rsid w:val="00660DDC"/>
    <w:rsid w:val="00661904"/>
    <w:rsid w:val="00665DD9"/>
    <w:rsid w:val="00667582"/>
    <w:rsid w:val="006677C1"/>
    <w:rsid w:val="006703AA"/>
    <w:rsid w:val="006709CC"/>
    <w:rsid w:val="00672EA0"/>
    <w:rsid w:val="0067590A"/>
    <w:rsid w:val="006812D3"/>
    <w:rsid w:val="00683019"/>
    <w:rsid w:val="00685ABF"/>
    <w:rsid w:val="006871FB"/>
    <w:rsid w:val="006919FE"/>
    <w:rsid w:val="00691A07"/>
    <w:rsid w:val="006927FB"/>
    <w:rsid w:val="00694AF4"/>
    <w:rsid w:val="0069707A"/>
    <w:rsid w:val="00697A81"/>
    <w:rsid w:val="006A2249"/>
    <w:rsid w:val="006A2FF8"/>
    <w:rsid w:val="006A357D"/>
    <w:rsid w:val="006A41B1"/>
    <w:rsid w:val="006A4302"/>
    <w:rsid w:val="006A761F"/>
    <w:rsid w:val="006A79B2"/>
    <w:rsid w:val="006B1A41"/>
    <w:rsid w:val="006B3E5E"/>
    <w:rsid w:val="006B44ED"/>
    <w:rsid w:val="006B7144"/>
    <w:rsid w:val="006C1384"/>
    <w:rsid w:val="006C16BE"/>
    <w:rsid w:val="006C16FB"/>
    <w:rsid w:val="006C23E8"/>
    <w:rsid w:val="006C7179"/>
    <w:rsid w:val="006D145A"/>
    <w:rsid w:val="006D15D7"/>
    <w:rsid w:val="006D33F4"/>
    <w:rsid w:val="006D59C4"/>
    <w:rsid w:val="006D5D8A"/>
    <w:rsid w:val="006E0DF3"/>
    <w:rsid w:val="006E3349"/>
    <w:rsid w:val="006E36A4"/>
    <w:rsid w:val="006E5A65"/>
    <w:rsid w:val="006E5D0D"/>
    <w:rsid w:val="006E6851"/>
    <w:rsid w:val="006F21B6"/>
    <w:rsid w:val="006F5A5F"/>
    <w:rsid w:val="006F5C84"/>
    <w:rsid w:val="007010A5"/>
    <w:rsid w:val="00701649"/>
    <w:rsid w:val="00701AE9"/>
    <w:rsid w:val="00702914"/>
    <w:rsid w:val="00703440"/>
    <w:rsid w:val="00706C2B"/>
    <w:rsid w:val="007074E5"/>
    <w:rsid w:val="00710C3D"/>
    <w:rsid w:val="007129FC"/>
    <w:rsid w:val="007149DF"/>
    <w:rsid w:val="00722F4C"/>
    <w:rsid w:val="00723F3C"/>
    <w:rsid w:val="00734F61"/>
    <w:rsid w:val="0074005F"/>
    <w:rsid w:val="00740C8A"/>
    <w:rsid w:val="00741D32"/>
    <w:rsid w:val="00742B5C"/>
    <w:rsid w:val="0074409C"/>
    <w:rsid w:val="0074740D"/>
    <w:rsid w:val="00752EF4"/>
    <w:rsid w:val="007532BB"/>
    <w:rsid w:val="00757649"/>
    <w:rsid w:val="00757A20"/>
    <w:rsid w:val="0076048A"/>
    <w:rsid w:val="00760A94"/>
    <w:rsid w:val="00761130"/>
    <w:rsid w:val="00764F49"/>
    <w:rsid w:val="007657D8"/>
    <w:rsid w:val="00765E3A"/>
    <w:rsid w:val="00767690"/>
    <w:rsid w:val="00772E12"/>
    <w:rsid w:val="0078038C"/>
    <w:rsid w:val="00782F3E"/>
    <w:rsid w:val="00784828"/>
    <w:rsid w:val="0078796E"/>
    <w:rsid w:val="007949D4"/>
    <w:rsid w:val="007A34EE"/>
    <w:rsid w:val="007A72C3"/>
    <w:rsid w:val="007A7542"/>
    <w:rsid w:val="007A7C0C"/>
    <w:rsid w:val="007B0689"/>
    <w:rsid w:val="007B2699"/>
    <w:rsid w:val="007B5CCF"/>
    <w:rsid w:val="007B634F"/>
    <w:rsid w:val="007C1B07"/>
    <w:rsid w:val="007C1C5A"/>
    <w:rsid w:val="007C1E23"/>
    <w:rsid w:val="007C21A3"/>
    <w:rsid w:val="007C60B8"/>
    <w:rsid w:val="007C66BE"/>
    <w:rsid w:val="007C782E"/>
    <w:rsid w:val="007D160A"/>
    <w:rsid w:val="007D1D25"/>
    <w:rsid w:val="007D2091"/>
    <w:rsid w:val="007D3BA5"/>
    <w:rsid w:val="007D40A9"/>
    <w:rsid w:val="007D59D6"/>
    <w:rsid w:val="007E0ED5"/>
    <w:rsid w:val="007E16F7"/>
    <w:rsid w:val="007E2D44"/>
    <w:rsid w:val="007E4582"/>
    <w:rsid w:val="007F01CD"/>
    <w:rsid w:val="007F12DB"/>
    <w:rsid w:val="007F2275"/>
    <w:rsid w:val="007F4BB0"/>
    <w:rsid w:val="007F5E16"/>
    <w:rsid w:val="007F69A6"/>
    <w:rsid w:val="00802EE1"/>
    <w:rsid w:val="008071BC"/>
    <w:rsid w:val="00813A93"/>
    <w:rsid w:val="008150C0"/>
    <w:rsid w:val="008158B0"/>
    <w:rsid w:val="00816427"/>
    <w:rsid w:val="0081653E"/>
    <w:rsid w:val="008166C2"/>
    <w:rsid w:val="00816FA7"/>
    <w:rsid w:val="0081779C"/>
    <w:rsid w:val="00820B5A"/>
    <w:rsid w:val="00824EB3"/>
    <w:rsid w:val="0082545F"/>
    <w:rsid w:val="0082587B"/>
    <w:rsid w:val="00827DB0"/>
    <w:rsid w:val="00831FCF"/>
    <w:rsid w:val="008327CE"/>
    <w:rsid w:val="0083384B"/>
    <w:rsid w:val="00833BD6"/>
    <w:rsid w:val="00834849"/>
    <w:rsid w:val="00835399"/>
    <w:rsid w:val="008373C7"/>
    <w:rsid w:val="00842976"/>
    <w:rsid w:val="00842A43"/>
    <w:rsid w:val="008434EB"/>
    <w:rsid w:val="00844998"/>
    <w:rsid w:val="00850CAC"/>
    <w:rsid w:val="00851BC1"/>
    <w:rsid w:val="0085213D"/>
    <w:rsid w:val="00853512"/>
    <w:rsid w:val="008537EC"/>
    <w:rsid w:val="008554DC"/>
    <w:rsid w:val="00860D49"/>
    <w:rsid w:val="00860D6A"/>
    <w:rsid w:val="00862479"/>
    <w:rsid w:val="0086328A"/>
    <w:rsid w:val="0086438F"/>
    <w:rsid w:val="008645F1"/>
    <w:rsid w:val="00865B94"/>
    <w:rsid w:val="008727F1"/>
    <w:rsid w:val="00872F4F"/>
    <w:rsid w:val="008760D6"/>
    <w:rsid w:val="00877BCF"/>
    <w:rsid w:val="00883CA0"/>
    <w:rsid w:val="00886BF1"/>
    <w:rsid w:val="00891368"/>
    <w:rsid w:val="00891FA1"/>
    <w:rsid w:val="00893A95"/>
    <w:rsid w:val="00894211"/>
    <w:rsid w:val="008946ED"/>
    <w:rsid w:val="00895DCF"/>
    <w:rsid w:val="008A0572"/>
    <w:rsid w:val="008A1B77"/>
    <w:rsid w:val="008A3E38"/>
    <w:rsid w:val="008A4C05"/>
    <w:rsid w:val="008A5574"/>
    <w:rsid w:val="008B3D2B"/>
    <w:rsid w:val="008B4A69"/>
    <w:rsid w:val="008B65AD"/>
    <w:rsid w:val="008C077B"/>
    <w:rsid w:val="008C49CB"/>
    <w:rsid w:val="008C4C7F"/>
    <w:rsid w:val="008D3030"/>
    <w:rsid w:val="008D3645"/>
    <w:rsid w:val="008D3EEE"/>
    <w:rsid w:val="008D76B2"/>
    <w:rsid w:val="008E0316"/>
    <w:rsid w:val="008E13F3"/>
    <w:rsid w:val="008E458A"/>
    <w:rsid w:val="008F106C"/>
    <w:rsid w:val="008F18EB"/>
    <w:rsid w:val="008F2280"/>
    <w:rsid w:val="008F2EE9"/>
    <w:rsid w:val="008F30BD"/>
    <w:rsid w:val="008F32BD"/>
    <w:rsid w:val="008F4073"/>
    <w:rsid w:val="00900CC6"/>
    <w:rsid w:val="0090134C"/>
    <w:rsid w:val="00904031"/>
    <w:rsid w:val="0090562B"/>
    <w:rsid w:val="0090700D"/>
    <w:rsid w:val="00907372"/>
    <w:rsid w:val="0091055F"/>
    <w:rsid w:val="009129F8"/>
    <w:rsid w:val="009148D4"/>
    <w:rsid w:val="00923397"/>
    <w:rsid w:val="00924706"/>
    <w:rsid w:val="009250C6"/>
    <w:rsid w:val="0092658C"/>
    <w:rsid w:val="00930E31"/>
    <w:rsid w:val="00931A25"/>
    <w:rsid w:val="00934A34"/>
    <w:rsid w:val="00935734"/>
    <w:rsid w:val="009412D1"/>
    <w:rsid w:val="00950730"/>
    <w:rsid w:val="0095218C"/>
    <w:rsid w:val="00952BAD"/>
    <w:rsid w:val="009530F9"/>
    <w:rsid w:val="009553FC"/>
    <w:rsid w:val="009579A0"/>
    <w:rsid w:val="009606DA"/>
    <w:rsid w:val="00960C7A"/>
    <w:rsid w:val="00961F1D"/>
    <w:rsid w:val="00965A63"/>
    <w:rsid w:val="00966BA5"/>
    <w:rsid w:val="00970CB0"/>
    <w:rsid w:val="00970D9D"/>
    <w:rsid w:val="0097171A"/>
    <w:rsid w:val="00973777"/>
    <w:rsid w:val="00973B96"/>
    <w:rsid w:val="00973C5B"/>
    <w:rsid w:val="0097537A"/>
    <w:rsid w:val="00975C31"/>
    <w:rsid w:val="00975F68"/>
    <w:rsid w:val="00981728"/>
    <w:rsid w:val="00984B27"/>
    <w:rsid w:val="0098713B"/>
    <w:rsid w:val="00993348"/>
    <w:rsid w:val="009971D1"/>
    <w:rsid w:val="0099740F"/>
    <w:rsid w:val="00997D9E"/>
    <w:rsid w:val="009A514E"/>
    <w:rsid w:val="009A7936"/>
    <w:rsid w:val="009B13ED"/>
    <w:rsid w:val="009B2D55"/>
    <w:rsid w:val="009B3962"/>
    <w:rsid w:val="009B3ED5"/>
    <w:rsid w:val="009C48E8"/>
    <w:rsid w:val="009C574F"/>
    <w:rsid w:val="009D0284"/>
    <w:rsid w:val="009D2EC6"/>
    <w:rsid w:val="009D3588"/>
    <w:rsid w:val="009D420F"/>
    <w:rsid w:val="009D5209"/>
    <w:rsid w:val="009D5350"/>
    <w:rsid w:val="009D69E9"/>
    <w:rsid w:val="009D715E"/>
    <w:rsid w:val="009E0473"/>
    <w:rsid w:val="009E4508"/>
    <w:rsid w:val="009E4EC3"/>
    <w:rsid w:val="009E4FBF"/>
    <w:rsid w:val="009E584C"/>
    <w:rsid w:val="009F068A"/>
    <w:rsid w:val="009F0D63"/>
    <w:rsid w:val="009F1185"/>
    <w:rsid w:val="009F1712"/>
    <w:rsid w:val="009F4ED7"/>
    <w:rsid w:val="009F7253"/>
    <w:rsid w:val="009F7FB1"/>
    <w:rsid w:val="00A007CE"/>
    <w:rsid w:val="00A038A0"/>
    <w:rsid w:val="00A04F45"/>
    <w:rsid w:val="00A0559F"/>
    <w:rsid w:val="00A065AA"/>
    <w:rsid w:val="00A06AE0"/>
    <w:rsid w:val="00A11AED"/>
    <w:rsid w:val="00A11BB5"/>
    <w:rsid w:val="00A131E8"/>
    <w:rsid w:val="00A15E1B"/>
    <w:rsid w:val="00A16C45"/>
    <w:rsid w:val="00A215B4"/>
    <w:rsid w:val="00A408C3"/>
    <w:rsid w:val="00A43433"/>
    <w:rsid w:val="00A43C9C"/>
    <w:rsid w:val="00A4710F"/>
    <w:rsid w:val="00A47BC2"/>
    <w:rsid w:val="00A50FFB"/>
    <w:rsid w:val="00A549FA"/>
    <w:rsid w:val="00A54DA0"/>
    <w:rsid w:val="00A57AF5"/>
    <w:rsid w:val="00A61981"/>
    <w:rsid w:val="00A620D5"/>
    <w:rsid w:val="00A70A58"/>
    <w:rsid w:val="00A717F6"/>
    <w:rsid w:val="00A71FAA"/>
    <w:rsid w:val="00A727A2"/>
    <w:rsid w:val="00A74C40"/>
    <w:rsid w:val="00A777EB"/>
    <w:rsid w:val="00A82AC0"/>
    <w:rsid w:val="00A82FB3"/>
    <w:rsid w:val="00A833D4"/>
    <w:rsid w:val="00A85869"/>
    <w:rsid w:val="00A91FF8"/>
    <w:rsid w:val="00A924A8"/>
    <w:rsid w:val="00A926FE"/>
    <w:rsid w:val="00A93CEC"/>
    <w:rsid w:val="00A96B95"/>
    <w:rsid w:val="00AA0E61"/>
    <w:rsid w:val="00AA35DF"/>
    <w:rsid w:val="00AA5073"/>
    <w:rsid w:val="00AA6E74"/>
    <w:rsid w:val="00AA7648"/>
    <w:rsid w:val="00AA7F9B"/>
    <w:rsid w:val="00AB0443"/>
    <w:rsid w:val="00AB18D8"/>
    <w:rsid w:val="00AB222A"/>
    <w:rsid w:val="00AB230B"/>
    <w:rsid w:val="00AB25DC"/>
    <w:rsid w:val="00AB5904"/>
    <w:rsid w:val="00AB5EF6"/>
    <w:rsid w:val="00AB5F48"/>
    <w:rsid w:val="00AB6AE8"/>
    <w:rsid w:val="00AC08FF"/>
    <w:rsid w:val="00AC0B4B"/>
    <w:rsid w:val="00AC3608"/>
    <w:rsid w:val="00AC6A59"/>
    <w:rsid w:val="00AC781F"/>
    <w:rsid w:val="00AC7F81"/>
    <w:rsid w:val="00AD1002"/>
    <w:rsid w:val="00AD23F7"/>
    <w:rsid w:val="00AD4047"/>
    <w:rsid w:val="00AD6421"/>
    <w:rsid w:val="00AD6593"/>
    <w:rsid w:val="00AE1BE5"/>
    <w:rsid w:val="00AF327B"/>
    <w:rsid w:val="00AF356F"/>
    <w:rsid w:val="00AF38F1"/>
    <w:rsid w:val="00AF414E"/>
    <w:rsid w:val="00AF4AB3"/>
    <w:rsid w:val="00AF697F"/>
    <w:rsid w:val="00AF7212"/>
    <w:rsid w:val="00B0069E"/>
    <w:rsid w:val="00B013C4"/>
    <w:rsid w:val="00B102EE"/>
    <w:rsid w:val="00B11E2B"/>
    <w:rsid w:val="00B141D2"/>
    <w:rsid w:val="00B14AE1"/>
    <w:rsid w:val="00B2203C"/>
    <w:rsid w:val="00B220A9"/>
    <w:rsid w:val="00B238C7"/>
    <w:rsid w:val="00B31527"/>
    <w:rsid w:val="00B34040"/>
    <w:rsid w:val="00B34758"/>
    <w:rsid w:val="00B3641D"/>
    <w:rsid w:val="00B41229"/>
    <w:rsid w:val="00B41CAF"/>
    <w:rsid w:val="00B46CCE"/>
    <w:rsid w:val="00B50B8A"/>
    <w:rsid w:val="00B53A72"/>
    <w:rsid w:val="00B54102"/>
    <w:rsid w:val="00B6098B"/>
    <w:rsid w:val="00B61DD0"/>
    <w:rsid w:val="00B66C55"/>
    <w:rsid w:val="00B67448"/>
    <w:rsid w:val="00B710EC"/>
    <w:rsid w:val="00B726A4"/>
    <w:rsid w:val="00B76215"/>
    <w:rsid w:val="00B7644F"/>
    <w:rsid w:val="00B80C54"/>
    <w:rsid w:val="00B81BD3"/>
    <w:rsid w:val="00B84650"/>
    <w:rsid w:val="00B86BC6"/>
    <w:rsid w:val="00B876E6"/>
    <w:rsid w:val="00B95C99"/>
    <w:rsid w:val="00B970EB"/>
    <w:rsid w:val="00B97C12"/>
    <w:rsid w:val="00BA1D6A"/>
    <w:rsid w:val="00BA48BD"/>
    <w:rsid w:val="00BA4EDD"/>
    <w:rsid w:val="00BA5EEA"/>
    <w:rsid w:val="00BA690A"/>
    <w:rsid w:val="00BB0A6F"/>
    <w:rsid w:val="00BB0A74"/>
    <w:rsid w:val="00BB2836"/>
    <w:rsid w:val="00BB3E6B"/>
    <w:rsid w:val="00BB68AF"/>
    <w:rsid w:val="00BB694D"/>
    <w:rsid w:val="00BB74F8"/>
    <w:rsid w:val="00BC04E1"/>
    <w:rsid w:val="00BC0C06"/>
    <w:rsid w:val="00BC1B09"/>
    <w:rsid w:val="00BC3C50"/>
    <w:rsid w:val="00BC7741"/>
    <w:rsid w:val="00BC79F6"/>
    <w:rsid w:val="00BD30F0"/>
    <w:rsid w:val="00BE13B3"/>
    <w:rsid w:val="00BE18F6"/>
    <w:rsid w:val="00BE20A5"/>
    <w:rsid w:val="00BE2AF1"/>
    <w:rsid w:val="00BE77F7"/>
    <w:rsid w:val="00BF1952"/>
    <w:rsid w:val="00BF24F9"/>
    <w:rsid w:val="00BF3332"/>
    <w:rsid w:val="00BF3C97"/>
    <w:rsid w:val="00C02520"/>
    <w:rsid w:val="00C0331F"/>
    <w:rsid w:val="00C04902"/>
    <w:rsid w:val="00C05C60"/>
    <w:rsid w:val="00C10996"/>
    <w:rsid w:val="00C1549F"/>
    <w:rsid w:val="00C15DDF"/>
    <w:rsid w:val="00C16E74"/>
    <w:rsid w:val="00C1735E"/>
    <w:rsid w:val="00C17CE5"/>
    <w:rsid w:val="00C2103E"/>
    <w:rsid w:val="00C22F21"/>
    <w:rsid w:val="00C2413A"/>
    <w:rsid w:val="00C245B4"/>
    <w:rsid w:val="00C2714D"/>
    <w:rsid w:val="00C330FC"/>
    <w:rsid w:val="00C3465C"/>
    <w:rsid w:val="00C359AA"/>
    <w:rsid w:val="00C4779E"/>
    <w:rsid w:val="00C47CEF"/>
    <w:rsid w:val="00C5496B"/>
    <w:rsid w:val="00C54A76"/>
    <w:rsid w:val="00C555AB"/>
    <w:rsid w:val="00C60AE9"/>
    <w:rsid w:val="00C61AC7"/>
    <w:rsid w:val="00C64C64"/>
    <w:rsid w:val="00C664C0"/>
    <w:rsid w:val="00C6763D"/>
    <w:rsid w:val="00C70D72"/>
    <w:rsid w:val="00C7183E"/>
    <w:rsid w:val="00C74420"/>
    <w:rsid w:val="00C81292"/>
    <w:rsid w:val="00C8174E"/>
    <w:rsid w:val="00C81B0C"/>
    <w:rsid w:val="00C8453F"/>
    <w:rsid w:val="00C850FF"/>
    <w:rsid w:val="00C860C5"/>
    <w:rsid w:val="00C86DF0"/>
    <w:rsid w:val="00C90169"/>
    <w:rsid w:val="00C9332F"/>
    <w:rsid w:val="00C95A74"/>
    <w:rsid w:val="00C95C12"/>
    <w:rsid w:val="00C9665A"/>
    <w:rsid w:val="00C96D94"/>
    <w:rsid w:val="00C97824"/>
    <w:rsid w:val="00C978D8"/>
    <w:rsid w:val="00CA2A70"/>
    <w:rsid w:val="00CA43C7"/>
    <w:rsid w:val="00CA451C"/>
    <w:rsid w:val="00CA488A"/>
    <w:rsid w:val="00CA5D0B"/>
    <w:rsid w:val="00CB58D2"/>
    <w:rsid w:val="00CB5B97"/>
    <w:rsid w:val="00CB6E77"/>
    <w:rsid w:val="00CB7FE1"/>
    <w:rsid w:val="00CC4B28"/>
    <w:rsid w:val="00CD092A"/>
    <w:rsid w:val="00CD0C04"/>
    <w:rsid w:val="00CD0E43"/>
    <w:rsid w:val="00CD3A4D"/>
    <w:rsid w:val="00CD4A93"/>
    <w:rsid w:val="00CD5E2E"/>
    <w:rsid w:val="00CD6180"/>
    <w:rsid w:val="00CD742E"/>
    <w:rsid w:val="00CE13B2"/>
    <w:rsid w:val="00CE2E30"/>
    <w:rsid w:val="00CE5AF5"/>
    <w:rsid w:val="00CF0F74"/>
    <w:rsid w:val="00CF58AC"/>
    <w:rsid w:val="00CF65DA"/>
    <w:rsid w:val="00CF6A59"/>
    <w:rsid w:val="00D019A4"/>
    <w:rsid w:val="00D05088"/>
    <w:rsid w:val="00D10254"/>
    <w:rsid w:val="00D103C1"/>
    <w:rsid w:val="00D10BD6"/>
    <w:rsid w:val="00D112C6"/>
    <w:rsid w:val="00D113AA"/>
    <w:rsid w:val="00D113BE"/>
    <w:rsid w:val="00D12F92"/>
    <w:rsid w:val="00D14BFB"/>
    <w:rsid w:val="00D14C6E"/>
    <w:rsid w:val="00D15AC8"/>
    <w:rsid w:val="00D21324"/>
    <w:rsid w:val="00D22D92"/>
    <w:rsid w:val="00D24D94"/>
    <w:rsid w:val="00D27C81"/>
    <w:rsid w:val="00D313DB"/>
    <w:rsid w:val="00D33F6C"/>
    <w:rsid w:val="00D34D23"/>
    <w:rsid w:val="00D41F52"/>
    <w:rsid w:val="00D437AA"/>
    <w:rsid w:val="00D43C7E"/>
    <w:rsid w:val="00D4624D"/>
    <w:rsid w:val="00D46285"/>
    <w:rsid w:val="00D50B18"/>
    <w:rsid w:val="00D5121C"/>
    <w:rsid w:val="00D560C2"/>
    <w:rsid w:val="00D643BB"/>
    <w:rsid w:val="00D6621D"/>
    <w:rsid w:val="00D67782"/>
    <w:rsid w:val="00D67B3D"/>
    <w:rsid w:val="00D67F95"/>
    <w:rsid w:val="00D72724"/>
    <w:rsid w:val="00D7345C"/>
    <w:rsid w:val="00D748AD"/>
    <w:rsid w:val="00D74E56"/>
    <w:rsid w:val="00D752A9"/>
    <w:rsid w:val="00D75C40"/>
    <w:rsid w:val="00D761A4"/>
    <w:rsid w:val="00D76650"/>
    <w:rsid w:val="00D7718A"/>
    <w:rsid w:val="00D77B06"/>
    <w:rsid w:val="00D77F4A"/>
    <w:rsid w:val="00D83BE3"/>
    <w:rsid w:val="00D857AD"/>
    <w:rsid w:val="00D86315"/>
    <w:rsid w:val="00D86A43"/>
    <w:rsid w:val="00D86CEE"/>
    <w:rsid w:val="00D87ABA"/>
    <w:rsid w:val="00D91E78"/>
    <w:rsid w:val="00D92133"/>
    <w:rsid w:val="00D94BFF"/>
    <w:rsid w:val="00D97800"/>
    <w:rsid w:val="00DA0B70"/>
    <w:rsid w:val="00DA1DCA"/>
    <w:rsid w:val="00DA7797"/>
    <w:rsid w:val="00DA7969"/>
    <w:rsid w:val="00DB51B5"/>
    <w:rsid w:val="00DB579F"/>
    <w:rsid w:val="00DB734B"/>
    <w:rsid w:val="00DC03C2"/>
    <w:rsid w:val="00DC0885"/>
    <w:rsid w:val="00DC25E1"/>
    <w:rsid w:val="00DC4F53"/>
    <w:rsid w:val="00DD144D"/>
    <w:rsid w:val="00DD1D8E"/>
    <w:rsid w:val="00DD24D5"/>
    <w:rsid w:val="00DD2C19"/>
    <w:rsid w:val="00DD503F"/>
    <w:rsid w:val="00DD6A91"/>
    <w:rsid w:val="00DD7808"/>
    <w:rsid w:val="00DE31D9"/>
    <w:rsid w:val="00DE3BC8"/>
    <w:rsid w:val="00DE79B5"/>
    <w:rsid w:val="00DF04D6"/>
    <w:rsid w:val="00DF10B4"/>
    <w:rsid w:val="00DF35A5"/>
    <w:rsid w:val="00DF42C5"/>
    <w:rsid w:val="00E00F5A"/>
    <w:rsid w:val="00E020B6"/>
    <w:rsid w:val="00E0374E"/>
    <w:rsid w:val="00E04297"/>
    <w:rsid w:val="00E07915"/>
    <w:rsid w:val="00E10A1B"/>
    <w:rsid w:val="00E14379"/>
    <w:rsid w:val="00E14B18"/>
    <w:rsid w:val="00E15709"/>
    <w:rsid w:val="00E215FD"/>
    <w:rsid w:val="00E2398F"/>
    <w:rsid w:val="00E23B95"/>
    <w:rsid w:val="00E26589"/>
    <w:rsid w:val="00E347B5"/>
    <w:rsid w:val="00E37D9E"/>
    <w:rsid w:val="00E42150"/>
    <w:rsid w:val="00E422EB"/>
    <w:rsid w:val="00E5013C"/>
    <w:rsid w:val="00E50236"/>
    <w:rsid w:val="00E52869"/>
    <w:rsid w:val="00E529DD"/>
    <w:rsid w:val="00E52DAA"/>
    <w:rsid w:val="00E53E05"/>
    <w:rsid w:val="00E54192"/>
    <w:rsid w:val="00E56CB9"/>
    <w:rsid w:val="00E6390C"/>
    <w:rsid w:val="00E63AD9"/>
    <w:rsid w:val="00E67858"/>
    <w:rsid w:val="00E703BE"/>
    <w:rsid w:val="00E70D10"/>
    <w:rsid w:val="00E71705"/>
    <w:rsid w:val="00E76714"/>
    <w:rsid w:val="00E80DB6"/>
    <w:rsid w:val="00E81CCB"/>
    <w:rsid w:val="00E84A0A"/>
    <w:rsid w:val="00E8544B"/>
    <w:rsid w:val="00E87128"/>
    <w:rsid w:val="00E90526"/>
    <w:rsid w:val="00E9119B"/>
    <w:rsid w:val="00E92A21"/>
    <w:rsid w:val="00E97290"/>
    <w:rsid w:val="00EA0A83"/>
    <w:rsid w:val="00EA1B2A"/>
    <w:rsid w:val="00EA5675"/>
    <w:rsid w:val="00EA5805"/>
    <w:rsid w:val="00EA75EE"/>
    <w:rsid w:val="00EB01FE"/>
    <w:rsid w:val="00EB0A63"/>
    <w:rsid w:val="00EB36E7"/>
    <w:rsid w:val="00EB412D"/>
    <w:rsid w:val="00EB571F"/>
    <w:rsid w:val="00EB5CF0"/>
    <w:rsid w:val="00EB70BF"/>
    <w:rsid w:val="00EB70D6"/>
    <w:rsid w:val="00EB79DF"/>
    <w:rsid w:val="00EB7CA8"/>
    <w:rsid w:val="00EC3687"/>
    <w:rsid w:val="00EC4355"/>
    <w:rsid w:val="00EC4A85"/>
    <w:rsid w:val="00EC4CAB"/>
    <w:rsid w:val="00ED108C"/>
    <w:rsid w:val="00ED28FC"/>
    <w:rsid w:val="00ED379E"/>
    <w:rsid w:val="00ED67E0"/>
    <w:rsid w:val="00EE0617"/>
    <w:rsid w:val="00EE2806"/>
    <w:rsid w:val="00EE33F5"/>
    <w:rsid w:val="00EE5D40"/>
    <w:rsid w:val="00EE76AB"/>
    <w:rsid w:val="00EF1EA2"/>
    <w:rsid w:val="00EF4276"/>
    <w:rsid w:val="00EF42F7"/>
    <w:rsid w:val="00EF53FB"/>
    <w:rsid w:val="00F01782"/>
    <w:rsid w:val="00F03B6B"/>
    <w:rsid w:val="00F05227"/>
    <w:rsid w:val="00F05D0D"/>
    <w:rsid w:val="00F10ECE"/>
    <w:rsid w:val="00F14F45"/>
    <w:rsid w:val="00F16992"/>
    <w:rsid w:val="00F23F70"/>
    <w:rsid w:val="00F24D81"/>
    <w:rsid w:val="00F26444"/>
    <w:rsid w:val="00F32054"/>
    <w:rsid w:val="00F35950"/>
    <w:rsid w:val="00F37194"/>
    <w:rsid w:val="00F37AFA"/>
    <w:rsid w:val="00F40947"/>
    <w:rsid w:val="00F417F3"/>
    <w:rsid w:val="00F4438D"/>
    <w:rsid w:val="00F44F4D"/>
    <w:rsid w:val="00F46FA2"/>
    <w:rsid w:val="00F51CCB"/>
    <w:rsid w:val="00F51FDA"/>
    <w:rsid w:val="00F52F02"/>
    <w:rsid w:val="00F552A7"/>
    <w:rsid w:val="00F5628E"/>
    <w:rsid w:val="00F61D9A"/>
    <w:rsid w:val="00F6405C"/>
    <w:rsid w:val="00F71317"/>
    <w:rsid w:val="00F742F9"/>
    <w:rsid w:val="00F746D7"/>
    <w:rsid w:val="00F74D7B"/>
    <w:rsid w:val="00F758F0"/>
    <w:rsid w:val="00F75A9D"/>
    <w:rsid w:val="00F75E50"/>
    <w:rsid w:val="00F76217"/>
    <w:rsid w:val="00F762CE"/>
    <w:rsid w:val="00F81E5E"/>
    <w:rsid w:val="00F83B2C"/>
    <w:rsid w:val="00F85D08"/>
    <w:rsid w:val="00F90051"/>
    <w:rsid w:val="00F91A1E"/>
    <w:rsid w:val="00F94626"/>
    <w:rsid w:val="00F95AF9"/>
    <w:rsid w:val="00FA0BAE"/>
    <w:rsid w:val="00FA147E"/>
    <w:rsid w:val="00FA28D3"/>
    <w:rsid w:val="00FA303A"/>
    <w:rsid w:val="00FA30C0"/>
    <w:rsid w:val="00FA3A44"/>
    <w:rsid w:val="00FA4D13"/>
    <w:rsid w:val="00FB0F58"/>
    <w:rsid w:val="00FB4180"/>
    <w:rsid w:val="00FB5FC6"/>
    <w:rsid w:val="00FC1917"/>
    <w:rsid w:val="00FC31AB"/>
    <w:rsid w:val="00FC32A8"/>
    <w:rsid w:val="00FC5303"/>
    <w:rsid w:val="00FD043A"/>
    <w:rsid w:val="00FD11C9"/>
    <w:rsid w:val="00FD2B53"/>
    <w:rsid w:val="00FD4D92"/>
    <w:rsid w:val="00FD683D"/>
    <w:rsid w:val="00FD7367"/>
    <w:rsid w:val="00FD74A9"/>
    <w:rsid w:val="00FE032A"/>
    <w:rsid w:val="00FE4036"/>
    <w:rsid w:val="00FE600F"/>
    <w:rsid w:val="00FE62A7"/>
    <w:rsid w:val="00FF01BD"/>
    <w:rsid w:val="00FF3416"/>
    <w:rsid w:val="00FF5ED0"/>
    <w:rsid w:val="00FF6ACC"/>
    <w:rsid w:val="00FF7225"/>
    <w:rsid w:val="00FF7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BD"/>
  </w:style>
  <w:style w:type="paragraph" w:styleId="Heading3">
    <w:name w:val="heading 3"/>
    <w:basedOn w:val="Normal"/>
    <w:next w:val="Normal"/>
    <w:link w:val="Heading3Char"/>
    <w:unhideWhenUsed/>
    <w:qFormat/>
    <w:rsid w:val="006E334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2B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F32BD"/>
    <w:pPr>
      <w:spacing w:after="0" w:line="240" w:lineRule="auto"/>
    </w:pPr>
  </w:style>
  <w:style w:type="character" w:customStyle="1" w:styleId="NoSpacingChar">
    <w:name w:val="No Spacing Char"/>
    <w:basedOn w:val="DefaultParagraphFont"/>
    <w:link w:val="NoSpacing"/>
    <w:uiPriority w:val="1"/>
    <w:rsid w:val="008F32BD"/>
  </w:style>
  <w:style w:type="character" w:styleId="Hyperlink">
    <w:name w:val="Hyperlink"/>
    <w:basedOn w:val="DefaultParagraphFont"/>
    <w:uiPriority w:val="99"/>
    <w:unhideWhenUsed/>
    <w:rsid w:val="008F32BD"/>
    <w:rPr>
      <w:color w:val="0000FF" w:themeColor="hyperlink"/>
      <w:u w:val="single"/>
    </w:rPr>
  </w:style>
  <w:style w:type="paragraph" w:styleId="NormalWeb">
    <w:name w:val="Normal (Web)"/>
    <w:basedOn w:val="Normal"/>
    <w:uiPriority w:val="99"/>
    <w:rsid w:val="008F32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5">
    <w:name w:val="c5"/>
    <w:basedOn w:val="DefaultParagraphFont"/>
    <w:rsid w:val="008F32BD"/>
  </w:style>
  <w:style w:type="paragraph" w:styleId="ListParagraph">
    <w:name w:val="List Paragraph"/>
    <w:basedOn w:val="Normal"/>
    <w:uiPriority w:val="34"/>
    <w:qFormat/>
    <w:rsid w:val="008F32BD"/>
    <w:pPr>
      <w:ind w:left="720"/>
      <w:contextualSpacing/>
    </w:pPr>
  </w:style>
  <w:style w:type="paragraph" w:styleId="Header">
    <w:name w:val="header"/>
    <w:basedOn w:val="Normal"/>
    <w:link w:val="HeaderChar"/>
    <w:uiPriority w:val="99"/>
    <w:unhideWhenUsed/>
    <w:rsid w:val="008F3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2BD"/>
  </w:style>
  <w:style w:type="paragraph" w:styleId="Footer">
    <w:name w:val="footer"/>
    <w:basedOn w:val="Normal"/>
    <w:link w:val="FooterChar"/>
    <w:uiPriority w:val="99"/>
    <w:unhideWhenUsed/>
    <w:rsid w:val="008F3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2BD"/>
  </w:style>
  <w:style w:type="paragraph" w:styleId="FootnoteText">
    <w:name w:val="footnote text"/>
    <w:basedOn w:val="Normal"/>
    <w:link w:val="FootnoteTextChar"/>
    <w:uiPriority w:val="99"/>
    <w:semiHidden/>
    <w:unhideWhenUsed/>
    <w:rsid w:val="008F3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2BD"/>
    <w:rPr>
      <w:sz w:val="20"/>
      <w:szCs w:val="20"/>
    </w:rPr>
  </w:style>
  <w:style w:type="character" w:styleId="FootnoteReference">
    <w:name w:val="footnote reference"/>
    <w:basedOn w:val="DefaultParagraphFont"/>
    <w:uiPriority w:val="99"/>
    <w:semiHidden/>
    <w:unhideWhenUsed/>
    <w:rsid w:val="008F32BD"/>
    <w:rPr>
      <w:vertAlign w:val="superscript"/>
    </w:rPr>
  </w:style>
  <w:style w:type="paragraph" w:styleId="BalloonText">
    <w:name w:val="Balloon Text"/>
    <w:basedOn w:val="Normal"/>
    <w:link w:val="BalloonTextChar"/>
    <w:uiPriority w:val="99"/>
    <w:semiHidden/>
    <w:unhideWhenUsed/>
    <w:rsid w:val="008F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BD"/>
    <w:rPr>
      <w:rFonts w:ascii="Tahoma" w:hAnsi="Tahoma" w:cs="Tahoma"/>
      <w:sz w:val="16"/>
      <w:szCs w:val="16"/>
    </w:rPr>
  </w:style>
  <w:style w:type="character" w:styleId="CommentReference">
    <w:name w:val="annotation reference"/>
    <w:basedOn w:val="DefaultParagraphFont"/>
    <w:uiPriority w:val="99"/>
    <w:semiHidden/>
    <w:unhideWhenUsed/>
    <w:rsid w:val="00A215B4"/>
    <w:rPr>
      <w:sz w:val="16"/>
      <w:szCs w:val="16"/>
    </w:rPr>
  </w:style>
  <w:style w:type="paragraph" w:styleId="CommentText">
    <w:name w:val="annotation text"/>
    <w:basedOn w:val="Normal"/>
    <w:link w:val="CommentTextChar"/>
    <w:uiPriority w:val="99"/>
    <w:unhideWhenUsed/>
    <w:rsid w:val="00A215B4"/>
    <w:pPr>
      <w:spacing w:line="240" w:lineRule="auto"/>
    </w:pPr>
    <w:rPr>
      <w:sz w:val="20"/>
      <w:szCs w:val="20"/>
    </w:rPr>
  </w:style>
  <w:style w:type="character" w:customStyle="1" w:styleId="CommentTextChar">
    <w:name w:val="Comment Text Char"/>
    <w:basedOn w:val="DefaultParagraphFont"/>
    <w:link w:val="CommentText"/>
    <w:uiPriority w:val="99"/>
    <w:rsid w:val="00A215B4"/>
    <w:rPr>
      <w:sz w:val="20"/>
      <w:szCs w:val="20"/>
    </w:rPr>
  </w:style>
  <w:style w:type="paragraph" w:styleId="CommentSubject">
    <w:name w:val="annotation subject"/>
    <w:basedOn w:val="CommentText"/>
    <w:next w:val="CommentText"/>
    <w:link w:val="CommentSubjectChar"/>
    <w:uiPriority w:val="99"/>
    <w:semiHidden/>
    <w:unhideWhenUsed/>
    <w:rsid w:val="00A215B4"/>
    <w:rPr>
      <w:b/>
      <w:bCs/>
    </w:rPr>
  </w:style>
  <w:style w:type="character" w:customStyle="1" w:styleId="CommentSubjectChar">
    <w:name w:val="Comment Subject Char"/>
    <w:basedOn w:val="CommentTextChar"/>
    <w:link w:val="CommentSubject"/>
    <w:uiPriority w:val="99"/>
    <w:semiHidden/>
    <w:rsid w:val="00A215B4"/>
    <w:rPr>
      <w:b/>
      <w:bCs/>
      <w:sz w:val="20"/>
      <w:szCs w:val="20"/>
    </w:rPr>
  </w:style>
  <w:style w:type="paragraph" w:styleId="Title">
    <w:name w:val="Title"/>
    <w:basedOn w:val="Normal"/>
    <w:next w:val="Normal"/>
    <w:link w:val="TitleChar"/>
    <w:uiPriority w:val="10"/>
    <w:qFormat/>
    <w:rsid w:val="00FC32A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C32A8"/>
    <w:rPr>
      <w:rFonts w:ascii="Cambria" w:eastAsia="Times New Roman" w:hAnsi="Cambria" w:cs="Times New Roman"/>
      <w:b/>
      <w:bCs/>
      <w:kern w:val="28"/>
      <w:sz w:val="32"/>
      <w:szCs w:val="32"/>
    </w:rPr>
  </w:style>
  <w:style w:type="character" w:customStyle="1" w:styleId="Heading3Char">
    <w:name w:val="Heading 3 Char"/>
    <w:basedOn w:val="DefaultParagraphFont"/>
    <w:link w:val="Heading3"/>
    <w:rsid w:val="006E3349"/>
    <w:rPr>
      <w:rFonts w:ascii="Cambria" w:eastAsia="Times New Roman" w:hAnsi="Cambria" w:cs="Times New Roman"/>
      <w:b/>
      <w:bCs/>
      <w:sz w:val="26"/>
      <w:szCs w:val="26"/>
    </w:rPr>
  </w:style>
  <w:style w:type="character" w:styleId="Strong">
    <w:name w:val="Strong"/>
    <w:basedOn w:val="DefaultParagraphFont"/>
    <w:uiPriority w:val="22"/>
    <w:qFormat/>
    <w:rsid w:val="00C54A76"/>
    <w:rPr>
      <w:b/>
      <w:bCs/>
    </w:rPr>
  </w:style>
  <w:style w:type="character" w:styleId="PlaceholderText">
    <w:name w:val="Placeholder Text"/>
    <w:basedOn w:val="DefaultParagraphFont"/>
    <w:uiPriority w:val="99"/>
    <w:semiHidden/>
    <w:rsid w:val="008727F1"/>
    <w:rPr>
      <w:color w:val="808080"/>
    </w:rPr>
  </w:style>
  <w:style w:type="character" w:styleId="FollowedHyperlink">
    <w:name w:val="FollowedHyperlink"/>
    <w:basedOn w:val="DefaultParagraphFont"/>
    <w:uiPriority w:val="99"/>
    <w:semiHidden/>
    <w:unhideWhenUsed/>
    <w:rsid w:val="009250C6"/>
    <w:rPr>
      <w:color w:val="800080" w:themeColor="followedHyperlink"/>
      <w:u w:val="single"/>
    </w:rPr>
  </w:style>
  <w:style w:type="paragraph" w:customStyle="1" w:styleId="Date1">
    <w:name w:val="Date1"/>
    <w:basedOn w:val="Normal"/>
    <w:rsid w:val="006301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2">
    <w:name w:val="Date2"/>
    <w:basedOn w:val="Normal"/>
    <w:rsid w:val="006E0D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3">
    <w:name w:val="Date3"/>
    <w:basedOn w:val="Normal"/>
    <w:rsid w:val="004277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2773C"/>
    <w:rPr>
      <w:i/>
      <w:iCs/>
    </w:rPr>
  </w:style>
  <w:style w:type="paragraph" w:customStyle="1" w:styleId="Date4">
    <w:name w:val="Date4"/>
    <w:basedOn w:val="Normal"/>
    <w:rsid w:val="00F51CC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BD"/>
  </w:style>
  <w:style w:type="paragraph" w:styleId="Heading3">
    <w:name w:val="heading 3"/>
    <w:basedOn w:val="Normal"/>
    <w:next w:val="Normal"/>
    <w:link w:val="Heading3Char"/>
    <w:unhideWhenUsed/>
    <w:qFormat/>
    <w:rsid w:val="006E334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2B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F32BD"/>
    <w:pPr>
      <w:spacing w:after="0" w:line="240" w:lineRule="auto"/>
    </w:pPr>
  </w:style>
  <w:style w:type="character" w:customStyle="1" w:styleId="NoSpacingChar">
    <w:name w:val="No Spacing Char"/>
    <w:basedOn w:val="DefaultParagraphFont"/>
    <w:link w:val="NoSpacing"/>
    <w:uiPriority w:val="1"/>
    <w:rsid w:val="008F32BD"/>
  </w:style>
  <w:style w:type="character" w:styleId="Hyperlink">
    <w:name w:val="Hyperlink"/>
    <w:basedOn w:val="DefaultParagraphFont"/>
    <w:uiPriority w:val="99"/>
    <w:unhideWhenUsed/>
    <w:rsid w:val="008F32BD"/>
    <w:rPr>
      <w:color w:val="0000FF" w:themeColor="hyperlink"/>
      <w:u w:val="single"/>
    </w:rPr>
  </w:style>
  <w:style w:type="paragraph" w:styleId="NormalWeb">
    <w:name w:val="Normal (Web)"/>
    <w:basedOn w:val="Normal"/>
    <w:uiPriority w:val="99"/>
    <w:rsid w:val="008F32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5">
    <w:name w:val="c5"/>
    <w:basedOn w:val="DefaultParagraphFont"/>
    <w:rsid w:val="008F32BD"/>
  </w:style>
  <w:style w:type="paragraph" w:styleId="ListParagraph">
    <w:name w:val="List Paragraph"/>
    <w:basedOn w:val="Normal"/>
    <w:uiPriority w:val="34"/>
    <w:qFormat/>
    <w:rsid w:val="008F32BD"/>
    <w:pPr>
      <w:ind w:left="720"/>
      <w:contextualSpacing/>
    </w:pPr>
  </w:style>
  <w:style w:type="paragraph" w:styleId="Header">
    <w:name w:val="header"/>
    <w:basedOn w:val="Normal"/>
    <w:link w:val="HeaderChar"/>
    <w:uiPriority w:val="99"/>
    <w:unhideWhenUsed/>
    <w:rsid w:val="008F3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2BD"/>
  </w:style>
  <w:style w:type="paragraph" w:styleId="Footer">
    <w:name w:val="footer"/>
    <w:basedOn w:val="Normal"/>
    <w:link w:val="FooterChar"/>
    <w:uiPriority w:val="99"/>
    <w:unhideWhenUsed/>
    <w:rsid w:val="008F3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2BD"/>
  </w:style>
  <w:style w:type="paragraph" w:styleId="FootnoteText">
    <w:name w:val="footnote text"/>
    <w:basedOn w:val="Normal"/>
    <w:link w:val="FootnoteTextChar"/>
    <w:uiPriority w:val="99"/>
    <w:semiHidden/>
    <w:unhideWhenUsed/>
    <w:rsid w:val="008F3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2BD"/>
    <w:rPr>
      <w:sz w:val="20"/>
      <w:szCs w:val="20"/>
    </w:rPr>
  </w:style>
  <w:style w:type="character" w:styleId="FootnoteReference">
    <w:name w:val="footnote reference"/>
    <w:basedOn w:val="DefaultParagraphFont"/>
    <w:uiPriority w:val="99"/>
    <w:semiHidden/>
    <w:unhideWhenUsed/>
    <w:rsid w:val="008F32BD"/>
    <w:rPr>
      <w:vertAlign w:val="superscript"/>
    </w:rPr>
  </w:style>
  <w:style w:type="paragraph" w:styleId="BalloonText">
    <w:name w:val="Balloon Text"/>
    <w:basedOn w:val="Normal"/>
    <w:link w:val="BalloonTextChar"/>
    <w:uiPriority w:val="99"/>
    <w:semiHidden/>
    <w:unhideWhenUsed/>
    <w:rsid w:val="008F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BD"/>
    <w:rPr>
      <w:rFonts w:ascii="Tahoma" w:hAnsi="Tahoma" w:cs="Tahoma"/>
      <w:sz w:val="16"/>
      <w:szCs w:val="16"/>
    </w:rPr>
  </w:style>
  <w:style w:type="character" w:styleId="CommentReference">
    <w:name w:val="annotation reference"/>
    <w:basedOn w:val="DefaultParagraphFont"/>
    <w:uiPriority w:val="99"/>
    <w:semiHidden/>
    <w:unhideWhenUsed/>
    <w:rsid w:val="00A215B4"/>
    <w:rPr>
      <w:sz w:val="16"/>
      <w:szCs w:val="16"/>
    </w:rPr>
  </w:style>
  <w:style w:type="paragraph" w:styleId="CommentText">
    <w:name w:val="annotation text"/>
    <w:basedOn w:val="Normal"/>
    <w:link w:val="CommentTextChar"/>
    <w:uiPriority w:val="99"/>
    <w:unhideWhenUsed/>
    <w:rsid w:val="00A215B4"/>
    <w:pPr>
      <w:spacing w:line="240" w:lineRule="auto"/>
    </w:pPr>
    <w:rPr>
      <w:sz w:val="20"/>
      <w:szCs w:val="20"/>
    </w:rPr>
  </w:style>
  <w:style w:type="character" w:customStyle="1" w:styleId="CommentTextChar">
    <w:name w:val="Comment Text Char"/>
    <w:basedOn w:val="DefaultParagraphFont"/>
    <w:link w:val="CommentText"/>
    <w:uiPriority w:val="99"/>
    <w:rsid w:val="00A215B4"/>
    <w:rPr>
      <w:sz w:val="20"/>
      <w:szCs w:val="20"/>
    </w:rPr>
  </w:style>
  <w:style w:type="paragraph" w:styleId="CommentSubject">
    <w:name w:val="annotation subject"/>
    <w:basedOn w:val="CommentText"/>
    <w:next w:val="CommentText"/>
    <w:link w:val="CommentSubjectChar"/>
    <w:uiPriority w:val="99"/>
    <w:semiHidden/>
    <w:unhideWhenUsed/>
    <w:rsid w:val="00A215B4"/>
    <w:rPr>
      <w:b/>
      <w:bCs/>
    </w:rPr>
  </w:style>
  <w:style w:type="character" w:customStyle="1" w:styleId="CommentSubjectChar">
    <w:name w:val="Comment Subject Char"/>
    <w:basedOn w:val="CommentTextChar"/>
    <w:link w:val="CommentSubject"/>
    <w:uiPriority w:val="99"/>
    <w:semiHidden/>
    <w:rsid w:val="00A215B4"/>
    <w:rPr>
      <w:b/>
      <w:bCs/>
      <w:sz w:val="20"/>
      <w:szCs w:val="20"/>
    </w:rPr>
  </w:style>
  <w:style w:type="paragraph" w:styleId="Title">
    <w:name w:val="Title"/>
    <w:basedOn w:val="Normal"/>
    <w:next w:val="Normal"/>
    <w:link w:val="TitleChar"/>
    <w:uiPriority w:val="10"/>
    <w:qFormat/>
    <w:rsid w:val="00FC32A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C32A8"/>
    <w:rPr>
      <w:rFonts w:ascii="Cambria" w:eastAsia="Times New Roman" w:hAnsi="Cambria" w:cs="Times New Roman"/>
      <w:b/>
      <w:bCs/>
      <w:kern w:val="28"/>
      <w:sz w:val="32"/>
      <w:szCs w:val="32"/>
    </w:rPr>
  </w:style>
  <w:style w:type="character" w:customStyle="1" w:styleId="Heading3Char">
    <w:name w:val="Heading 3 Char"/>
    <w:basedOn w:val="DefaultParagraphFont"/>
    <w:link w:val="Heading3"/>
    <w:rsid w:val="006E3349"/>
    <w:rPr>
      <w:rFonts w:ascii="Cambria" w:eastAsia="Times New Roman" w:hAnsi="Cambria" w:cs="Times New Roman"/>
      <w:b/>
      <w:bCs/>
      <w:sz w:val="26"/>
      <w:szCs w:val="26"/>
    </w:rPr>
  </w:style>
  <w:style w:type="character" w:styleId="Strong">
    <w:name w:val="Strong"/>
    <w:basedOn w:val="DefaultParagraphFont"/>
    <w:uiPriority w:val="22"/>
    <w:qFormat/>
    <w:rsid w:val="00C54A76"/>
    <w:rPr>
      <w:b/>
      <w:bCs/>
    </w:rPr>
  </w:style>
  <w:style w:type="character" w:styleId="PlaceholderText">
    <w:name w:val="Placeholder Text"/>
    <w:basedOn w:val="DefaultParagraphFont"/>
    <w:uiPriority w:val="99"/>
    <w:semiHidden/>
    <w:rsid w:val="008727F1"/>
    <w:rPr>
      <w:color w:val="808080"/>
    </w:rPr>
  </w:style>
  <w:style w:type="character" w:styleId="FollowedHyperlink">
    <w:name w:val="FollowedHyperlink"/>
    <w:basedOn w:val="DefaultParagraphFont"/>
    <w:uiPriority w:val="99"/>
    <w:semiHidden/>
    <w:unhideWhenUsed/>
    <w:rsid w:val="009250C6"/>
    <w:rPr>
      <w:color w:val="800080" w:themeColor="followedHyperlink"/>
      <w:u w:val="single"/>
    </w:rPr>
  </w:style>
  <w:style w:type="paragraph" w:customStyle="1" w:styleId="Date1">
    <w:name w:val="Date1"/>
    <w:basedOn w:val="Normal"/>
    <w:rsid w:val="006301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2">
    <w:name w:val="Date2"/>
    <w:basedOn w:val="Normal"/>
    <w:rsid w:val="006E0D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3">
    <w:name w:val="Date3"/>
    <w:basedOn w:val="Normal"/>
    <w:rsid w:val="004277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2773C"/>
    <w:rPr>
      <w:i/>
      <w:iCs/>
    </w:rPr>
  </w:style>
  <w:style w:type="paragraph" w:customStyle="1" w:styleId="Date4">
    <w:name w:val="Date4"/>
    <w:basedOn w:val="Normal"/>
    <w:rsid w:val="00F51CC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1484">
      <w:bodyDiv w:val="1"/>
      <w:marLeft w:val="0"/>
      <w:marRight w:val="0"/>
      <w:marTop w:val="0"/>
      <w:marBottom w:val="0"/>
      <w:divBdr>
        <w:top w:val="none" w:sz="0" w:space="0" w:color="auto"/>
        <w:left w:val="none" w:sz="0" w:space="0" w:color="auto"/>
        <w:bottom w:val="none" w:sz="0" w:space="0" w:color="auto"/>
        <w:right w:val="none" w:sz="0" w:space="0" w:color="auto"/>
      </w:divBdr>
    </w:div>
    <w:div w:id="226261111">
      <w:bodyDiv w:val="1"/>
      <w:marLeft w:val="0"/>
      <w:marRight w:val="0"/>
      <w:marTop w:val="0"/>
      <w:marBottom w:val="0"/>
      <w:divBdr>
        <w:top w:val="none" w:sz="0" w:space="0" w:color="auto"/>
        <w:left w:val="none" w:sz="0" w:space="0" w:color="auto"/>
        <w:bottom w:val="none" w:sz="0" w:space="0" w:color="auto"/>
        <w:right w:val="none" w:sz="0" w:space="0" w:color="auto"/>
      </w:divBdr>
    </w:div>
    <w:div w:id="466243176">
      <w:bodyDiv w:val="1"/>
      <w:marLeft w:val="0"/>
      <w:marRight w:val="0"/>
      <w:marTop w:val="0"/>
      <w:marBottom w:val="0"/>
      <w:divBdr>
        <w:top w:val="none" w:sz="0" w:space="0" w:color="auto"/>
        <w:left w:val="none" w:sz="0" w:space="0" w:color="auto"/>
        <w:bottom w:val="none" w:sz="0" w:space="0" w:color="auto"/>
        <w:right w:val="none" w:sz="0" w:space="0" w:color="auto"/>
      </w:divBdr>
    </w:div>
    <w:div w:id="504247878">
      <w:bodyDiv w:val="1"/>
      <w:marLeft w:val="0"/>
      <w:marRight w:val="0"/>
      <w:marTop w:val="0"/>
      <w:marBottom w:val="0"/>
      <w:divBdr>
        <w:top w:val="none" w:sz="0" w:space="0" w:color="auto"/>
        <w:left w:val="none" w:sz="0" w:space="0" w:color="auto"/>
        <w:bottom w:val="none" w:sz="0" w:space="0" w:color="auto"/>
        <w:right w:val="none" w:sz="0" w:space="0" w:color="auto"/>
      </w:divBdr>
    </w:div>
    <w:div w:id="568882530">
      <w:bodyDiv w:val="1"/>
      <w:marLeft w:val="0"/>
      <w:marRight w:val="0"/>
      <w:marTop w:val="0"/>
      <w:marBottom w:val="0"/>
      <w:divBdr>
        <w:top w:val="none" w:sz="0" w:space="0" w:color="auto"/>
        <w:left w:val="none" w:sz="0" w:space="0" w:color="auto"/>
        <w:bottom w:val="none" w:sz="0" w:space="0" w:color="auto"/>
        <w:right w:val="none" w:sz="0" w:space="0" w:color="auto"/>
      </w:divBdr>
    </w:div>
    <w:div w:id="576482798">
      <w:bodyDiv w:val="1"/>
      <w:marLeft w:val="0"/>
      <w:marRight w:val="0"/>
      <w:marTop w:val="0"/>
      <w:marBottom w:val="0"/>
      <w:divBdr>
        <w:top w:val="none" w:sz="0" w:space="0" w:color="auto"/>
        <w:left w:val="none" w:sz="0" w:space="0" w:color="auto"/>
        <w:bottom w:val="none" w:sz="0" w:space="0" w:color="auto"/>
        <w:right w:val="none" w:sz="0" w:space="0" w:color="auto"/>
      </w:divBdr>
    </w:div>
    <w:div w:id="584655436">
      <w:bodyDiv w:val="1"/>
      <w:marLeft w:val="0"/>
      <w:marRight w:val="0"/>
      <w:marTop w:val="0"/>
      <w:marBottom w:val="0"/>
      <w:divBdr>
        <w:top w:val="none" w:sz="0" w:space="0" w:color="auto"/>
        <w:left w:val="none" w:sz="0" w:space="0" w:color="auto"/>
        <w:bottom w:val="none" w:sz="0" w:space="0" w:color="auto"/>
        <w:right w:val="none" w:sz="0" w:space="0" w:color="auto"/>
      </w:divBdr>
      <w:divsChild>
        <w:div w:id="629943657">
          <w:marLeft w:val="0"/>
          <w:marRight w:val="0"/>
          <w:marTop w:val="0"/>
          <w:marBottom w:val="0"/>
          <w:divBdr>
            <w:top w:val="none" w:sz="0" w:space="0" w:color="auto"/>
            <w:left w:val="none" w:sz="0" w:space="0" w:color="auto"/>
            <w:bottom w:val="none" w:sz="0" w:space="0" w:color="auto"/>
            <w:right w:val="none" w:sz="0" w:space="0" w:color="auto"/>
          </w:divBdr>
        </w:div>
      </w:divsChild>
    </w:div>
    <w:div w:id="610287241">
      <w:bodyDiv w:val="1"/>
      <w:marLeft w:val="0"/>
      <w:marRight w:val="0"/>
      <w:marTop w:val="0"/>
      <w:marBottom w:val="0"/>
      <w:divBdr>
        <w:top w:val="none" w:sz="0" w:space="0" w:color="auto"/>
        <w:left w:val="none" w:sz="0" w:space="0" w:color="auto"/>
        <w:bottom w:val="none" w:sz="0" w:space="0" w:color="auto"/>
        <w:right w:val="none" w:sz="0" w:space="0" w:color="auto"/>
      </w:divBdr>
    </w:div>
    <w:div w:id="629748786">
      <w:bodyDiv w:val="1"/>
      <w:marLeft w:val="0"/>
      <w:marRight w:val="0"/>
      <w:marTop w:val="0"/>
      <w:marBottom w:val="0"/>
      <w:divBdr>
        <w:top w:val="none" w:sz="0" w:space="0" w:color="auto"/>
        <w:left w:val="none" w:sz="0" w:space="0" w:color="auto"/>
        <w:bottom w:val="none" w:sz="0" w:space="0" w:color="auto"/>
        <w:right w:val="none" w:sz="0" w:space="0" w:color="auto"/>
      </w:divBdr>
    </w:div>
    <w:div w:id="662467717">
      <w:bodyDiv w:val="1"/>
      <w:marLeft w:val="0"/>
      <w:marRight w:val="0"/>
      <w:marTop w:val="0"/>
      <w:marBottom w:val="0"/>
      <w:divBdr>
        <w:top w:val="none" w:sz="0" w:space="0" w:color="auto"/>
        <w:left w:val="none" w:sz="0" w:space="0" w:color="auto"/>
        <w:bottom w:val="none" w:sz="0" w:space="0" w:color="auto"/>
        <w:right w:val="none" w:sz="0" w:space="0" w:color="auto"/>
      </w:divBdr>
    </w:div>
    <w:div w:id="738094933">
      <w:bodyDiv w:val="1"/>
      <w:marLeft w:val="0"/>
      <w:marRight w:val="0"/>
      <w:marTop w:val="0"/>
      <w:marBottom w:val="0"/>
      <w:divBdr>
        <w:top w:val="none" w:sz="0" w:space="0" w:color="auto"/>
        <w:left w:val="none" w:sz="0" w:space="0" w:color="auto"/>
        <w:bottom w:val="none" w:sz="0" w:space="0" w:color="auto"/>
        <w:right w:val="none" w:sz="0" w:space="0" w:color="auto"/>
      </w:divBdr>
    </w:div>
    <w:div w:id="805002989">
      <w:bodyDiv w:val="1"/>
      <w:marLeft w:val="0"/>
      <w:marRight w:val="0"/>
      <w:marTop w:val="0"/>
      <w:marBottom w:val="0"/>
      <w:divBdr>
        <w:top w:val="none" w:sz="0" w:space="0" w:color="auto"/>
        <w:left w:val="none" w:sz="0" w:space="0" w:color="auto"/>
        <w:bottom w:val="none" w:sz="0" w:space="0" w:color="auto"/>
        <w:right w:val="none" w:sz="0" w:space="0" w:color="auto"/>
      </w:divBdr>
      <w:divsChild>
        <w:div w:id="997074873">
          <w:marLeft w:val="0"/>
          <w:marRight w:val="0"/>
          <w:marTop w:val="0"/>
          <w:marBottom w:val="0"/>
          <w:divBdr>
            <w:top w:val="none" w:sz="0" w:space="0" w:color="auto"/>
            <w:left w:val="none" w:sz="0" w:space="0" w:color="auto"/>
            <w:bottom w:val="none" w:sz="0" w:space="0" w:color="auto"/>
            <w:right w:val="none" w:sz="0" w:space="0" w:color="auto"/>
          </w:divBdr>
        </w:div>
        <w:div w:id="1750036641">
          <w:marLeft w:val="0"/>
          <w:marRight w:val="0"/>
          <w:marTop w:val="0"/>
          <w:marBottom w:val="0"/>
          <w:divBdr>
            <w:top w:val="none" w:sz="0" w:space="0" w:color="auto"/>
            <w:left w:val="none" w:sz="0" w:space="0" w:color="auto"/>
            <w:bottom w:val="none" w:sz="0" w:space="0" w:color="auto"/>
            <w:right w:val="none" w:sz="0" w:space="0" w:color="auto"/>
          </w:divBdr>
        </w:div>
        <w:div w:id="53285771">
          <w:marLeft w:val="0"/>
          <w:marRight w:val="0"/>
          <w:marTop w:val="0"/>
          <w:marBottom w:val="0"/>
          <w:divBdr>
            <w:top w:val="none" w:sz="0" w:space="0" w:color="auto"/>
            <w:left w:val="none" w:sz="0" w:space="0" w:color="auto"/>
            <w:bottom w:val="none" w:sz="0" w:space="0" w:color="auto"/>
            <w:right w:val="none" w:sz="0" w:space="0" w:color="auto"/>
          </w:divBdr>
        </w:div>
        <w:div w:id="1474059990">
          <w:marLeft w:val="0"/>
          <w:marRight w:val="0"/>
          <w:marTop w:val="0"/>
          <w:marBottom w:val="0"/>
          <w:divBdr>
            <w:top w:val="none" w:sz="0" w:space="0" w:color="auto"/>
            <w:left w:val="none" w:sz="0" w:space="0" w:color="auto"/>
            <w:bottom w:val="none" w:sz="0" w:space="0" w:color="auto"/>
            <w:right w:val="none" w:sz="0" w:space="0" w:color="auto"/>
          </w:divBdr>
        </w:div>
        <w:div w:id="1836148905">
          <w:marLeft w:val="0"/>
          <w:marRight w:val="0"/>
          <w:marTop w:val="0"/>
          <w:marBottom w:val="0"/>
          <w:divBdr>
            <w:top w:val="none" w:sz="0" w:space="0" w:color="auto"/>
            <w:left w:val="none" w:sz="0" w:space="0" w:color="auto"/>
            <w:bottom w:val="none" w:sz="0" w:space="0" w:color="auto"/>
            <w:right w:val="none" w:sz="0" w:space="0" w:color="auto"/>
          </w:divBdr>
        </w:div>
        <w:div w:id="1391731215">
          <w:marLeft w:val="0"/>
          <w:marRight w:val="0"/>
          <w:marTop w:val="0"/>
          <w:marBottom w:val="0"/>
          <w:divBdr>
            <w:top w:val="none" w:sz="0" w:space="0" w:color="auto"/>
            <w:left w:val="none" w:sz="0" w:space="0" w:color="auto"/>
            <w:bottom w:val="none" w:sz="0" w:space="0" w:color="auto"/>
            <w:right w:val="none" w:sz="0" w:space="0" w:color="auto"/>
          </w:divBdr>
        </w:div>
        <w:div w:id="914824207">
          <w:marLeft w:val="0"/>
          <w:marRight w:val="0"/>
          <w:marTop w:val="0"/>
          <w:marBottom w:val="0"/>
          <w:divBdr>
            <w:top w:val="none" w:sz="0" w:space="0" w:color="auto"/>
            <w:left w:val="none" w:sz="0" w:space="0" w:color="auto"/>
            <w:bottom w:val="none" w:sz="0" w:space="0" w:color="auto"/>
            <w:right w:val="none" w:sz="0" w:space="0" w:color="auto"/>
          </w:divBdr>
        </w:div>
        <w:div w:id="1949661514">
          <w:marLeft w:val="0"/>
          <w:marRight w:val="0"/>
          <w:marTop w:val="0"/>
          <w:marBottom w:val="0"/>
          <w:divBdr>
            <w:top w:val="none" w:sz="0" w:space="0" w:color="auto"/>
            <w:left w:val="none" w:sz="0" w:space="0" w:color="auto"/>
            <w:bottom w:val="none" w:sz="0" w:space="0" w:color="auto"/>
            <w:right w:val="none" w:sz="0" w:space="0" w:color="auto"/>
          </w:divBdr>
        </w:div>
        <w:div w:id="920412639">
          <w:marLeft w:val="0"/>
          <w:marRight w:val="0"/>
          <w:marTop w:val="0"/>
          <w:marBottom w:val="0"/>
          <w:divBdr>
            <w:top w:val="none" w:sz="0" w:space="0" w:color="auto"/>
            <w:left w:val="none" w:sz="0" w:space="0" w:color="auto"/>
            <w:bottom w:val="none" w:sz="0" w:space="0" w:color="auto"/>
            <w:right w:val="none" w:sz="0" w:space="0" w:color="auto"/>
          </w:divBdr>
        </w:div>
        <w:div w:id="1466313906">
          <w:marLeft w:val="0"/>
          <w:marRight w:val="0"/>
          <w:marTop w:val="0"/>
          <w:marBottom w:val="0"/>
          <w:divBdr>
            <w:top w:val="none" w:sz="0" w:space="0" w:color="auto"/>
            <w:left w:val="none" w:sz="0" w:space="0" w:color="auto"/>
            <w:bottom w:val="none" w:sz="0" w:space="0" w:color="auto"/>
            <w:right w:val="none" w:sz="0" w:space="0" w:color="auto"/>
          </w:divBdr>
        </w:div>
        <w:div w:id="1235823907">
          <w:marLeft w:val="0"/>
          <w:marRight w:val="0"/>
          <w:marTop w:val="0"/>
          <w:marBottom w:val="0"/>
          <w:divBdr>
            <w:top w:val="none" w:sz="0" w:space="0" w:color="auto"/>
            <w:left w:val="none" w:sz="0" w:space="0" w:color="auto"/>
            <w:bottom w:val="none" w:sz="0" w:space="0" w:color="auto"/>
            <w:right w:val="none" w:sz="0" w:space="0" w:color="auto"/>
          </w:divBdr>
        </w:div>
      </w:divsChild>
    </w:div>
    <w:div w:id="813184350">
      <w:bodyDiv w:val="1"/>
      <w:marLeft w:val="0"/>
      <w:marRight w:val="0"/>
      <w:marTop w:val="0"/>
      <w:marBottom w:val="0"/>
      <w:divBdr>
        <w:top w:val="none" w:sz="0" w:space="0" w:color="auto"/>
        <w:left w:val="none" w:sz="0" w:space="0" w:color="auto"/>
        <w:bottom w:val="none" w:sz="0" w:space="0" w:color="auto"/>
        <w:right w:val="none" w:sz="0" w:space="0" w:color="auto"/>
      </w:divBdr>
    </w:div>
    <w:div w:id="879433688">
      <w:bodyDiv w:val="1"/>
      <w:marLeft w:val="0"/>
      <w:marRight w:val="0"/>
      <w:marTop w:val="0"/>
      <w:marBottom w:val="0"/>
      <w:divBdr>
        <w:top w:val="none" w:sz="0" w:space="0" w:color="auto"/>
        <w:left w:val="none" w:sz="0" w:space="0" w:color="auto"/>
        <w:bottom w:val="none" w:sz="0" w:space="0" w:color="auto"/>
        <w:right w:val="none" w:sz="0" w:space="0" w:color="auto"/>
      </w:divBdr>
      <w:divsChild>
        <w:div w:id="1292901215">
          <w:marLeft w:val="0"/>
          <w:marRight w:val="0"/>
          <w:marTop w:val="0"/>
          <w:marBottom w:val="0"/>
          <w:divBdr>
            <w:top w:val="none" w:sz="0" w:space="0" w:color="auto"/>
            <w:left w:val="none" w:sz="0" w:space="0" w:color="auto"/>
            <w:bottom w:val="none" w:sz="0" w:space="0" w:color="auto"/>
            <w:right w:val="none" w:sz="0" w:space="0" w:color="auto"/>
          </w:divBdr>
        </w:div>
        <w:div w:id="566109170">
          <w:marLeft w:val="0"/>
          <w:marRight w:val="0"/>
          <w:marTop w:val="0"/>
          <w:marBottom w:val="0"/>
          <w:divBdr>
            <w:top w:val="none" w:sz="0" w:space="0" w:color="auto"/>
            <w:left w:val="none" w:sz="0" w:space="0" w:color="auto"/>
            <w:bottom w:val="none" w:sz="0" w:space="0" w:color="auto"/>
            <w:right w:val="none" w:sz="0" w:space="0" w:color="auto"/>
          </w:divBdr>
        </w:div>
        <w:div w:id="57747290">
          <w:marLeft w:val="0"/>
          <w:marRight w:val="0"/>
          <w:marTop w:val="0"/>
          <w:marBottom w:val="0"/>
          <w:divBdr>
            <w:top w:val="none" w:sz="0" w:space="0" w:color="auto"/>
            <w:left w:val="none" w:sz="0" w:space="0" w:color="auto"/>
            <w:bottom w:val="none" w:sz="0" w:space="0" w:color="auto"/>
            <w:right w:val="none" w:sz="0" w:space="0" w:color="auto"/>
          </w:divBdr>
        </w:div>
      </w:divsChild>
    </w:div>
    <w:div w:id="933631850">
      <w:bodyDiv w:val="1"/>
      <w:marLeft w:val="0"/>
      <w:marRight w:val="0"/>
      <w:marTop w:val="0"/>
      <w:marBottom w:val="0"/>
      <w:divBdr>
        <w:top w:val="none" w:sz="0" w:space="0" w:color="auto"/>
        <w:left w:val="none" w:sz="0" w:space="0" w:color="auto"/>
        <w:bottom w:val="none" w:sz="0" w:space="0" w:color="auto"/>
        <w:right w:val="none" w:sz="0" w:space="0" w:color="auto"/>
      </w:divBdr>
    </w:div>
    <w:div w:id="1030305628">
      <w:bodyDiv w:val="1"/>
      <w:marLeft w:val="0"/>
      <w:marRight w:val="0"/>
      <w:marTop w:val="0"/>
      <w:marBottom w:val="0"/>
      <w:divBdr>
        <w:top w:val="none" w:sz="0" w:space="0" w:color="auto"/>
        <w:left w:val="none" w:sz="0" w:space="0" w:color="auto"/>
        <w:bottom w:val="none" w:sz="0" w:space="0" w:color="auto"/>
        <w:right w:val="none" w:sz="0" w:space="0" w:color="auto"/>
      </w:divBdr>
      <w:divsChild>
        <w:div w:id="141045348">
          <w:marLeft w:val="0"/>
          <w:marRight w:val="0"/>
          <w:marTop w:val="0"/>
          <w:marBottom w:val="0"/>
          <w:divBdr>
            <w:top w:val="none" w:sz="0" w:space="0" w:color="auto"/>
            <w:left w:val="none" w:sz="0" w:space="0" w:color="auto"/>
            <w:bottom w:val="none" w:sz="0" w:space="0" w:color="auto"/>
            <w:right w:val="none" w:sz="0" w:space="0" w:color="auto"/>
          </w:divBdr>
        </w:div>
      </w:divsChild>
    </w:div>
    <w:div w:id="1048189705">
      <w:bodyDiv w:val="1"/>
      <w:marLeft w:val="0"/>
      <w:marRight w:val="0"/>
      <w:marTop w:val="0"/>
      <w:marBottom w:val="0"/>
      <w:divBdr>
        <w:top w:val="none" w:sz="0" w:space="0" w:color="auto"/>
        <w:left w:val="none" w:sz="0" w:space="0" w:color="auto"/>
        <w:bottom w:val="none" w:sz="0" w:space="0" w:color="auto"/>
        <w:right w:val="none" w:sz="0" w:space="0" w:color="auto"/>
      </w:divBdr>
    </w:div>
    <w:div w:id="1055276893">
      <w:bodyDiv w:val="1"/>
      <w:marLeft w:val="0"/>
      <w:marRight w:val="0"/>
      <w:marTop w:val="0"/>
      <w:marBottom w:val="0"/>
      <w:divBdr>
        <w:top w:val="none" w:sz="0" w:space="0" w:color="auto"/>
        <w:left w:val="none" w:sz="0" w:space="0" w:color="auto"/>
        <w:bottom w:val="none" w:sz="0" w:space="0" w:color="auto"/>
        <w:right w:val="none" w:sz="0" w:space="0" w:color="auto"/>
      </w:divBdr>
      <w:divsChild>
        <w:div w:id="1837502153">
          <w:marLeft w:val="0"/>
          <w:marRight w:val="0"/>
          <w:marTop w:val="0"/>
          <w:marBottom w:val="0"/>
          <w:divBdr>
            <w:top w:val="none" w:sz="0" w:space="0" w:color="auto"/>
            <w:left w:val="none" w:sz="0" w:space="0" w:color="auto"/>
            <w:bottom w:val="none" w:sz="0" w:space="0" w:color="auto"/>
            <w:right w:val="none" w:sz="0" w:space="0" w:color="auto"/>
          </w:divBdr>
        </w:div>
      </w:divsChild>
    </w:div>
    <w:div w:id="1105075777">
      <w:bodyDiv w:val="1"/>
      <w:marLeft w:val="0"/>
      <w:marRight w:val="0"/>
      <w:marTop w:val="0"/>
      <w:marBottom w:val="0"/>
      <w:divBdr>
        <w:top w:val="none" w:sz="0" w:space="0" w:color="auto"/>
        <w:left w:val="none" w:sz="0" w:space="0" w:color="auto"/>
        <w:bottom w:val="none" w:sz="0" w:space="0" w:color="auto"/>
        <w:right w:val="none" w:sz="0" w:space="0" w:color="auto"/>
      </w:divBdr>
      <w:divsChild>
        <w:div w:id="1602295491">
          <w:marLeft w:val="0"/>
          <w:marRight w:val="0"/>
          <w:marTop w:val="0"/>
          <w:marBottom w:val="0"/>
          <w:divBdr>
            <w:top w:val="none" w:sz="0" w:space="0" w:color="auto"/>
            <w:left w:val="none" w:sz="0" w:space="0" w:color="auto"/>
            <w:bottom w:val="none" w:sz="0" w:space="0" w:color="auto"/>
            <w:right w:val="none" w:sz="0" w:space="0" w:color="auto"/>
          </w:divBdr>
        </w:div>
      </w:divsChild>
    </w:div>
    <w:div w:id="1206143175">
      <w:bodyDiv w:val="1"/>
      <w:marLeft w:val="0"/>
      <w:marRight w:val="0"/>
      <w:marTop w:val="0"/>
      <w:marBottom w:val="0"/>
      <w:divBdr>
        <w:top w:val="none" w:sz="0" w:space="0" w:color="auto"/>
        <w:left w:val="none" w:sz="0" w:space="0" w:color="auto"/>
        <w:bottom w:val="none" w:sz="0" w:space="0" w:color="auto"/>
        <w:right w:val="none" w:sz="0" w:space="0" w:color="auto"/>
      </w:divBdr>
      <w:divsChild>
        <w:div w:id="643388801">
          <w:marLeft w:val="0"/>
          <w:marRight w:val="0"/>
          <w:marTop w:val="0"/>
          <w:marBottom w:val="0"/>
          <w:divBdr>
            <w:top w:val="none" w:sz="0" w:space="0" w:color="auto"/>
            <w:left w:val="none" w:sz="0" w:space="0" w:color="auto"/>
            <w:bottom w:val="none" w:sz="0" w:space="0" w:color="auto"/>
            <w:right w:val="none" w:sz="0" w:space="0" w:color="auto"/>
          </w:divBdr>
        </w:div>
      </w:divsChild>
    </w:div>
    <w:div w:id="1253977251">
      <w:bodyDiv w:val="1"/>
      <w:marLeft w:val="0"/>
      <w:marRight w:val="0"/>
      <w:marTop w:val="0"/>
      <w:marBottom w:val="0"/>
      <w:divBdr>
        <w:top w:val="none" w:sz="0" w:space="0" w:color="auto"/>
        <w:left w:val="none" w:sz="0" w:space="0" w:color="auto"/>
        <w:bottom w:val="none" w:sz="0" w:space="0" w:color="auto"/>
        <w:right w:val="none" w:sz="0" w:space="0" w:color="auto"/>
      </w:divBdr>
    </w:div>
    <w:div w:id="1313559941">
      <w:bodyDiv w:val="1"/>
      <w:marLeft w:val="0"/>
      <w:marRight w:val="0"/>
      <w:marTop w:val="0"/>
      <w:marBottom w:val="0"/>
      <w:divBdr>
        <w:top w:val="none" w:sz="0" w:space="0" w:color="auto"/>
        <w:left w:val="none" w:sz="0" w:space="0" w:color="auto"/>
        <w:bottom w:val="none" w:sz="0" w:space="0" w:color="auto"/>
        <w:right w:val="none" w:sz="0" w:space="0" w:color="auto"/>
      </w:divBdr>
      <w:divsChild>
        <w:div w:id="780994693">
          <w:marLeft w:val="0"/>
          <w:marRight w:val="0"/>
          <w:marTop w:val="0"/>
          <w:marBottom w:val="0"/>
          <w:divBdr>
            <w:top w:val="none" w:sz="0" w:space="0" w:color="auto"/>
            <w:left w:val="none" w:sz="0" w:space="0" w:color="auto"/>
            <w:bottom w:val="none" w:sz="0" w:space="0" w:color="auto"/>
            <w:right w:val="none" w:sz="0" w:space="0" w:color="auto"/>
          </w:divBdr>
        </w:div>
      </w:divsChild>
    </w:div>
    <w:div w:id="1321041352">
      <w:bodyDiv w:val="1"/>
      <w:marLeft w:val="0"/>
      <w:marRight w:val="0"/>
      <w:marTop w:val="0"/>
      <w:marBottom w:val="0"/>
      <w:divBdr>
        <w:top w:val="none" w:sz="0" w:space="0" w:color="auto"/>
        <w:left w:val="none" w:sz="0" w:space="0" w:color="auto"/>
        <w:bottom w:val="none" w:sz="0" w:space="0" w:color="auto"/>
        <w:right w:val="none" w:sz="0" w:space="0" w:color="auto"/>
      </w:divBdr>
      <w:divsChild>
        <w:div w:id="1348407482">
          <w:marLeft w:val="0"/>
          <w:marRight w:val="0"/>
          <w:marTop w:val="0"/>
          <w:marBottom w:val="0"/>
          <w:divBdr>
            <w:top w:val="none" w:sz="0" w:space="0" w:color="auto"/>
            <w:left w:val="none" w:sz="0" w:space="0" w:color="auto"/>
            <w:bottom w:val="none" w:sz="0" w:space="0" w:color="auto"/>
            <w:right w:val="none" w:sz="0" w:space="0" w:color="auto"/>
          </w:divBdr>
        </w:div>
      </w:divsChild>
    </w:div>
    <w:div w:id="1353074117">
      <w:bodyDiv w:val="1"/>
      <w:marLeft w:val="0"/>
      <w:marRight w:val="0"/>
      <w:marTop w:val="0"/>
      <w:marBottom w:val="0"/>
      <w:divBdr>
        <w:top w:val="none" w:sz="0" w:space="0" w:color="auto"/>
        <w:left w:val="none" w:sz="0" w:space="0" w:color="auto"/>
        <w:bottom w:val="none" w:sz="0" w:space="0" w:color="auto"/>
        <w:right w:val="none" w:sz="0" w:space="0" w:color="auto"/>
      </w:divBdr>
    </w:div>
    <w:div w:id="1404789918">
      <w:bodyDiv w:val="1"/>
      <w:marLeft w:val="0"/>
      <w:marRight w:val="0"/>
      <w:marTop w:val="0"/>
      <w:marBottom w:val="0"/>
      <w:divBdr>
        <w:top w:val="none" w:sz="0" w:space="0" w:color="auto"/>
        <w:left w:val="none" w:sz="0" w:space="0" w:color="auto"/>
        <w:bottom w:val="none" w:sz="0" w:space="0" w:color="auto"/>
        <w:right w:val="none" w:sz="0" w:space="0" w:color="auto"/>
      </w:divBdr>
      <w:divsChild>
        <w:div w:id="939219659">
          <w:marLeft w:val="0"/>
          <w:marRight w:val="0"/>
          <w:marTop w:val="0"/>
          <w:marBottom w:val="0"/>
          <w:divBdr>
            <w:top w:val="none" w:sz="0" w:space="0" w:color="auto"/>
            <w:left w:val="none" w:sz="0" w:space="0" w:color="auto"/>
            <w:bottom w:val="none" w:sz="0" w:space="0" w:color="auto"/>
            <w:right w:val="none" w:sz="0" w:space="0" w:color="auto"/>
          </w:divBdr>
        </w:div>
      </w:divsChild>
    </w:div>
    <w:div w:id="1420179581">
      <w:bodyDiv w:val="1"/>
      <w:marLeft w:val="0"/>
      <w:marRight w:val="0"/>
      <w:marTop w:val="0"/>
      <w:marBottom w:val="0"/>
      <w:divBdr>
        <w:top w:val="none" w:sz="0" w:space="0" w:color="auto"/>
        <w:left w:val="none" w:sz="0" w:space="0" w:color="auto"/>
        <w:bottom w:val="none" w:sz="0" w:space="0" w:color="auto"/>
        <w:right w:val="none" w:sz="0" w:space="0" w:color="auto"/>
      </w:divBdr>
    </w:div>
    <w:div w:id="1546601873">
      <w:bodyDiv w:val="1"/>
      <w:marLeft w:val="0"/>
      <w:marRight w:val="0"/>
      <w:marTop w:val="0"/>
      <w:marBottom w:val="0"/>
      <w:divBdr>
        <w:top w:val="none" w:sz="0" w:space="0" w:color="auto"/>
        <w:left w:val="none" w:sz="0" w:space="0" w:color="auto"/>
        <w:bottom w:val="none" w:sz="0" w:space="0" w:color="auto"/>
        <w:right w:val="none" w:sz="0" w:space="0" w:color="auto"/>
      </w:divBdr>
    </w:div>
    <w:div w:id="1546985200">
      <w:bodyDiv w:val="1"/>
      <w:marLeft w:val="0"/>
      <w:marRight w:val="0"/>
      <w:marTop w:val="0"/>
      <w:marBottom w:val="0"/>
      <w:divBdr>
        <w:top w:val="none" w:sz="0" w:space="0" w:color="auto"/>
        <w:left w:val="none" w:sz="0" w:space="0" w:color="auto"/>
        <w:bottom w:val="none" w:sz="0" w:space="0" w:color="auto"/>
        <w:right w:val="none" w:sz="0" w:space="0" w:color="auto"/>
      </w:divBdr>
    </w:div>
    <w:div w:id="1558083738">
      <w:bodyDiv w:val="1"/>
      <w:marLeft w:val="0"/>
      <w:marRight w:val="0"/>
      <w:marTop w:val="0"/>
      <w:marBottom w:val="0"/>
      <w:divBdr>
        <w:top w:val="none" w:sz="0" w:space="0" w:color="auto"/>
        <w:left w:val="none" w:sz="0" w:space="0" w:color="auto"/>
        <w:bottom w:val="none" w:sz="0" w:space="0" w:color="auto"/>
        <w:right w:val="none" w:sz="0" w:space="0" w:color="auto"/>
      </w:divBdr>
    </w:div>
    <w:div w:id="1558972927">
      <w:bodyDiv w:val="1"/>
      <w:marLeft w:val="0"/>
      <w:marRight w:val="0"/>
      <w:marTop w:val="0"/>
      <w:marBottom w:val="0"/>
      <w:divBdr>
        <w:top w:val="none" w:sz="0" w:space="0" w:color="auto"/>
        <w:left w:val="none" w:sz="0" w:space="0" w:color="auto"/>
        <w:bottom w:val="none" w:sz="0" w:space="0" w:color="auto"/>
        <w:right w:val="none" w:sz="0" w:space="0" w:color="auto"/>
      </w:divBdr>
      <w:divsChild>
        <w:div w:id="1180050423">
          <w:marLeft w:val="0"/>
          <w:marRight w:val="0"/>
          <w:marTop w:val="0"/>
          <w:marBottom w:val="0"/>
          <w:divBdr>
            <w:top w:val="none" w:sz="0" w:space="0" w:color="auto"/>
            <w:left w:val="none" w:sz="0" w:space="0" w:color="auto"/>
            <w:bottom w:val="none" w:sz="0" w:space="0" w:color="auto"/>
            <w:right w:val="none" w:sz="0" w:space="0" w:color="auto"/>
          </w:divBdr>
        </w:div>
        <w:div w:id="999891958">
          <w:marLeft w:val="0"/>
          <w:marRight w:val="0"/>
          <w:marTop w:val="0"/>
          <w:marBottom w:val="0"/>
          <w:divBdr>
            <w:top w:val="none" w:sz="0" w:space="0" w:color="auto"/>
            <w:left w:val="none" w:sz="0" w:space="0" w:color="auto"/>
            <w:bottom w:val="none" w:sz="0" w:space="0" w:color="auto"/>
            <w:right w:val="none" w:sz="0" w:space="0" w:color="auto"/>
          </w:divBdr>
        </w:div>
        <w:div w:id="692616152">
          <w:marLeft w:val="0"/>
          <w:marRight w:val="0"/>
          <w:marTop w:val="0"/>
          <w:marBottom w:val="0"/>
          <w:divBdr>
            <w:top w:val="none" w:sz="0" w:space="0" w:color="auto"/>
            <w:left w:val="none" w:sz="0" w:space="0" w:color="auto"/>
            <w:bottom w:val="none" w:sz="0" w:space="0" w:color="auto"/>
            <w:right w:val="none" w:sz="0" w:space="0" w:color="auto"/>
          </w:divBdr>
        </w:div>
        <w:div w:id="1029379393">
          <w:marLeft w:val="0"/>
          <w:marRight w:val="0"/>
          <w:marTop w:val="0"/>
          <w:marBottom w:val="0"/>
          <w:divBdr>
            <w:top w:val="none" w:sz="0" w:space="0" w:color="auto"/>
            <w:left w:val="none" w:sz="0" w:space="0" w:color="auto"/>
            <w:bottom w:val="none" w:sz="0" w:space="0" w:color="auto"/>
            <w:right w:val="none" w:sz="0" w:space="0" w:color="auto"/>
          </w:divBdr>
        </w:div>
        <w:div w:id="1689016086">
          <w:marLeft w:val="0"/>
          <w:marRight w:val="0"/>
          <w:marTop w:val="0"/>
          <w:marBottom w:val="0"/>
          <w:divBdr>
            <w:top w:val="none" w:sz="0" w:space="0" w:color="auto"/>
            <w:left w:val="none" w:sz="0" w:space="0" w:color="auto"/>
            <w:bottom w:val="none" w:sz="0" w:space="0" w:color="auto"/>
            <w:right w:val="none" w:sz="0" w:space="0" w:color="auto"/>
          </w:divBdr>
        </w:div>
        <w:div w:id="2006130935">
          <w:marLeft w:val="0"/>
          <w:marRight w:val="0"/>
          <w:marTop w:val="0"/>
          <w:marBottom w:val="0"/>
          <w:divBdr>
            <w:top w:val="none" w:sz="0" w:space="0" w:color="auto"/>
            <w:left w:val="none" w:sz="0" w:space="0" w:color="auto"/>
            <w:bottom w:val="none" w:sz="0" w:space="0" w:color="auto"/>
            <w:right w:val="none" w:sz="0" w:space="0" w:color="auto"/>
          </w:divBdr>
        </w:div>
        <w:div w:id="1129128868">
          <w:marLeft w:val="0"/>
          <w:marRight w:val="0"/>
          <w:marTop w:val="0"/>
          <w:marBottom w:val="0"/>
          <w:divBdr>
            <w:top w:val="none" w:sz="0" w:space="0" w:color="auto"/>
            <w:left w:val="none" w:sz="0" w:space="0" w:color="auto"/>
            <w:bottom w:val="none" w:sz="0" w:space="0" w:color="auto"/>
            <w:right w:val="none" w:sz="0" w:space="0" w:color="auto"/>
          </w:divBdr>
        </w:div>
        <w:div w:id="1289237640">
          <w:marLeft w:val="0"/>
          <w:marRight w:val="0"/>
          <w:marTop w:val="0"/>
          <w:marBottom w:val="0"/>
          <w:divBdr>
            <w:top w:val="none" w:sz="0" w:space="0" w:color="auto"/>
            <w:left w:val="none" w:sz="0" w:space="0" w:color="auto"/>
            <w:bottom w:val="none" w:sz="0" w:space="0" w:color="auto"/>
            <w:right w:val="none" w:sz="0" w:space="0" w:color="auto"/>
          </w:divBdr>
        </w:div>
      </w:divsChild>
    </w:div>
    <w:div w:id="1571385046">
      <w:bodyDiv w:val="1"/>
      <w:marLeft w:val="0"/>
      <w:marRight w:val="0"/>
      <w:marTop w:val="0"/>
      <w:marBottom w:val="0"/>
      <w:divBdr>
        <w:top w:val="none" w:sz="0" w:space="0" w:color="auto"/>
        <w:left w:val="none" w:sz="0" w:space="0" w:color="auto"/>
        <w:bottom w:val="none" w:sz="0" w:space="0" w:color="auto"/>
        <w:right w:val="none" w:sz="0" w:space="0" w:color="auto"/>
      </w:divBdr>
    </w:div>
    <w:div w:id="1610044612">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sChild>
        <w:div w:id="2136680850">
          <w:marLeft w:val="0"/>
          <w:marRight w:val="0"/>
          <w:marTop w:val="0"/>
          <w:marBottom w:val="0"/>
          <w:divBdr>
            <w:top w:val="none" w:sz="0" w:space="0" w:color="auto"/>
            <w:left w:val="none" w:sz="0" w:space="0" w:color="auto"/>
            <w:bottom w:val="none" w:sz="0" w:space="0" w:color="auto"/>
            <w:right w:val="none" w:sz="0" w:space="0" w:color="auto"/>
          </w:divBdr>
        </w:div>
      </w:divsChild>
    </w:div>
    <w:div w:id="1654946737">
      <w:bodyDiv w:val="1"/>
      <w:marLeft w:val="0"/>
      <w:marRight w:val="0"/>
      <w:marTop w:val="0"/>
      <w:marBottom w:val="0"/>
      <w:divBdr>
        <w:top w:val="none" w:sz="0" w:space="0" w:color="auto"/>
        <w:left w:val="none" w:sz="0" w:space="0" w:color="auto"/>
        <w:bottom w:val="none" w:sz="0" w:space="0" w:color="auto"/>
        <w:right w:val="none" w:sz="0" w:space="0" w:color="auto"/>
      </w:divBdr>
    </w:div>
    <w:div w:id="1655597735">
      <w:bodyDiv w:val="1"/>
      <w:marLeft w:val="0"/>
      <w:marRight w:val="0"/>
      <w:marTop w:val="0"/>
      <w:marBottom w:val="0"/>
      <w:divBdr>
        <w:top w:val="none" w:sz="0" w:space="0" w:color="auto"/>
        <w:left w:val="none" w:sz="0" w:space="0" w:color="auto"/>
        <w:bottom w:val="none" w:sz="0" w:space="0" w:color="auto"/>
        <w:right w:val="none" w:sz="0" w:space="0" w:color="auto"/>
      </w:divBdr>
    </w:div>
    <w:div w:id="1716737109">
      <w:bodyDiv w:val="1"/>
      <w:marLeft w:val="0"/>
      <w:marRight w:val="0"/>
      <w:marTop w:val="0"/>
      <w:marBottom w:val="0"/>
      <w:divBdr>
        <w:top w:val="none" w:sz="0" w:space="0" w:color="auto"/>
        <w:left w:val="none" w:sz="0" w:space="0" w:color="auto"/>
        <w:bottom w:val="none" w:sz="0" w:space="0" w:color="auto"/>
        <w:right w:val="none" w:sz="0" w:space="0" w:color="auto"/>
      </w:divBdr>
    </w:div>
    <w:div w:id="1875190385">
      <w:bodyDiv w:val="1"/>
      <w:marLeft w:val="0"/>
      <w:marRight w:val="0"/>
      <w:marTop w:val="0"/>
      <w:marBottom w:val="0"/>
      <w:divBdr>
        <w:top w:val="none" w:sz="0" w:space="0" w:color="auto"/>
        <w:left w:val="none" w:sz="0" w:space="0" w:color="auto"/>
        <w:bottom w:val="none" w:sz="0" w:space="0" w:color="auto"/>
        <w:right w:val="none" w:sz="0" w:space="0" w:color="auto"/>
      </w:divBdr>
    </w:div>
    <w:div w:id="1919824429">
      <w:bodyDiv w:val="1"/>
      <w:marLeft w:val="0"/>
      <w:marRight w:val="0"/>
      <w:marTop w:val="0"/>
      <w:marBottom w:val="0"/>
      <w:divBdr>
        <w:top w:val="none" w:sz="0" w:space="0" w:color="auto"/>
        <w:left w:val="none" w:sz="0" w:space="0" w:color="auto"/>
        <w:bottom w:val="none" w:sz="0" w:space="0" w:color="auto"/>
        <w:right w:val="none" w:sz="0" w:space="0" w:color="auto"/>
      </w:divBdr>
      <w:divsChild>
        <w:div w:id="1380474052">
          <w:marLeft w:val="0"/>
          <w:marRight w:val="0"/>
          <w:marTop w:val="0"/>
          <w:marBottom w:val="0"/>
          <w:divBdr>
            <w:top w:val="none" w:sz="0" w:space="0" w:color="auto"/>
            <w:left w:val="none" w:sz="0" w:space="0" w:color="auto"/>
            <w:bottom w:val="none" w:sz="0" w:space="0" w:color="auto"/>
            <w:right w:val="none" w:sz="0" w:space="0" w:color="auto"/>
          </w:divBdr>
        </w:div>
      </w:divsChild>
    </w:div>
    <w:div w:id="1982299008">
      <w:bodyDiv w:val="1"/>
      <w:marLeft w:val="0"/>
      <w:marRight w:val="0"/>
      <w:marTop w:val="0"/>
      <w:marBottom w:val="0"/>
      <w:divBdr>
        <w:top w:val="none" w:sz="0" w:space="0" w:color="auto"/>
        <w:left w:val="none" w:sz="0" w:space="0" w:color="auto"/>
        <w:bottom w:val="none" w:sz="0" w:space="0" w:color="auto"/>
        <w:right w:val="none" w:sz="0" w:space="0" w:color="auto"/>
      </w:divBdr>
      <w:divsChild>
        <w:div w:id="1354259228">
          <w:marLeft w:val="0"/>
          <w:marRight w:val="0"/>
          <w:marTop w:val="0"/>
          <w:marBottom w:val="0"/>
          <w:divBdr>
            <w:top w:val="none" w:sz="0" w:space="0" w:color="auto"/>
            <w:left w:val="none" w:sz="0" w:space="0" w:color="auto"/>
            <w:bottom w:val="none" w:sz="0" w:space="0" w:color="auto"/>
            <w:right w:val="none" w:sz="0" w:space="0" w:color="auto"/>
          </w:divBdr>
        </w:div>
      </w:divsChild>
    </w:div>
    <w:div w:id="1995911194">
      <w:bodyDiv w:val="1"/>
      <w:marLeft w:val="0"/>
      <w:marRight w:val="0"/>
      <w:marTop w:val="0"/>
      <w:marBottom w:val="0"/>
      <w:divBdr>
        <w:top w:val="none" w:sz="0" w:space="0" w:color="auto"/>
        <w:left w:val="none" w:sz="0" w:space="0" w:color="auto"/>
        <w:bottom w:val="none" w:sz="0" w:space="0" w:color="auto"/>
        <w:right w:val="none" w:sz="0" w:space="0" w:color="auto"/>
      </w:divBdr>
    </w:div>
    <w:div w:id="1998873521">
      <w:bodyDiv w:val="1"/>
      <w:marLeft w:val="0"/>
      <w:marRight w:val="0"/>
      <w:marTop w:val="0"/>
      <w:marBottom w:val="0"/>
      <w:divBdr>
        <w:top w:val="none" w:sz="0" w:space="0" w:color="auto"/>
        <w:left w:val="none" w:sz="0" w:space="0" w:color="auto"/>
        <w:bottom w:val="none" w:sz="0" w:space="0" w:color="auto"/>
        <w:right w:val="none" w:sz="0" w:space="0" w:color="auto"/>
      </w:divBdr>
    </w:div>
    <w:div w:id="2054690527">
      <w:bodyDiv w:val="1"/>
      <w:marLeft w:val="0"/>
      <w:marRight w:val="0"/>
      <w:marTop w:val="0"/>
      <w:marBottom w:val="0"/>
      <w:divBdr>
        <w:top w:val="none" w:sz="0" w:space="0" w:color="auto"/>
        <w:left w:val="none" w:sz="0" w:space="0" w:color="auto"/>
        <w:bottom w:val="none" w:sz="0" w:space="0" w:color="auto"/>
        <w:right w:val="none" w:sz="0" w:space="0" w:color="auto"/>
      </w:divBdr>
      <w:divsChild>
        <w:div w:id="1150557505">
          <w:marLeft w:val="0"/>
          <w:marRight w:val="0"/>
          <w:marTop w:val="0"/>
          <w:marBottom w:val="0"/>
          <w:divBdr>
            <w:top w:val="none" w:sz="0" w:space="0" w:color="auto"/>
            <w:left w:val="none" w:sz="0" w:space="0" w:color="auto"/>
            <w:bottom w:val="none" w:sz="0" w:space="0" w:color="auto"/>
            <w:right w:val="none" w:sz="0" w:space="0" w:color="auto"/>
          </w:divBdr>
        </w:div>
        <w:div w:id="1582983121">
          <w:marLeft w:val="0"/>
          <w:marRight w:val="0"/>
          <w:marTop w:val="0"/>
          <w:marBottom w:val="0"/>
          <w:divBdr>
            <w:top w:val="none" w:sz="0" w:space="0" w:color="auto"/>
            <w:left w:val="none" w:sz="0" w:space="0" w:color="auto"/>
            <w:bottom w:val="none" w:sz="0" w:space="0" w:color="auto"/>
            <w:right w:val="none" w:sz="0" w:space="0" w:color="auto"/>
          </w:divBdr>
        </w:div>
        <w:div w:id="1468937167">
          <w:marLeft w:val="0"/>
          <w:marRight w:val="0"/>
          <w:marTop w:val="0"/>
          <w:marBottom w:val="0"/>
          <w:divBdr>
            <w:top w:val="none" w:sz="0" w:space="0" w:color="auto"/>
            <w:left w:val="none" w:sz="0" w:space="0" w:color="auto"/>
            <w:bottom w:val="none" w:sz="0" w:space="0" w:color="auto"/>
            <w:right w:val="none" w:sz="0" w:space="0" w:color="auto"/>
          </w:divBdr>
        </w:div>
        <w:div w:id="631523620">
          <w:marLeft w:val="0"/>
          <w:marRight w:val="0"/>
          <w:marTop w:val="0"/>
          <w:marBottom w:val="0"/>
          <w:divBdr>
            <w:top w:val="none" w:sz="0" w:space="0" w:color="auto"/>
            <w:left w:val="none" w:sz="0" w:space="0" w:color="auto"/>
            <w:bottom w:val="none" w:sz="0" w:space="0" w:color="auto"/>
            <w:right w:val="none" w:sz="0" w:space="0" w:color="auto"/>
          </w:divBdr>
        </w:div>
        <w:div w:id="73361441">
          <w:marLeft w:val="0"/>
          <w:marRight w:val="0"/>
          <w:marTop w:val="0"/>
          <w:marBottom w:val="0"/>
          <w:divBdr>
            <w:top w:val="none" w:sz="0" w:space="0" w:color="auto"/>
            <w:left w:val="none" w:sz="0" w:space="0" w:color="auto"/>
            <w:bottom w:val="none" w:sz="0" w:space="0" w:color="auto"/>
            <w:right w:val="none" w:sz="0" w:space="0" w:color="auto"/>
          </w:divBdr>
        </w:div>
        <w:div w:id="1456099703">
          <w:marLeft w:val="0"/>
          <w:marRight w:val="0"/>
          <w:marTop w:val="0"/>
          <w:marBottom w:val="0"/>
          <w:divBdr>
            <w:top w:val="none" w:sz="0" w:space="0" w:color="auto"/>
            <w:left w:val="none" w:sz="0" w:space="0" w:color="auto"/>
            <w:bottom w:val="none" w:sz="0" w:space="0" w:color="auto"/>
            <w:right w:val="none" w:sz="0" w:space="0" w:color="auto"/>
          </w:divBdr>
        </w:div>
        <w:div w:id="1369337447">
          <w:marLeft w:val="0"/>
          <w:marRight w:val="0"/>
          <w:marTop w:val="0"/>
          <w:marBottom w:val="0"/>
          <w:divBdr>
            <w:top w:val="none" w:sz="0" w:space="0" w:color="auto"/>
            <w:left w:val="none" w:sz="0" w:space="0" w:color="auto"/>
            <w:bottom w:val="none" w:sz="0" w:space="0" w:color="auto"/>
            <w:right w:val="none" w:sz="0" w:space="0" w:color="auto"/>
          </w:divBdr>
        </w:div>
        <w:div w:id="167139142">
          <w:marLeft w:val="0"/>
          <w:marRight w:val="0"/>
          <w:marTop w:val="0"/>
          <w:marBottom w:val="0"/>
          <w:divBdr>
            <w:top w:val="none" w:sz="0" w:space="0" w:color="auto"/>
            <w:left w:val="none" w:sz="0" w:space="0" w:color="auto"/>
            <w:bottom w:val="none" w:sz="0" w:space="0" w:color="auto"/>
            <w:right w:val="none" w:sz="0" w:space="0" w:color="auto"/>
          </w:divBdr>
        </w:div>
        <w:div w:id="1124926320">
          <w:marLeft w:val="0"/>
          <w:marRight w:val="0"/>
          <w:marTop w:val="0"/>
          <w:marBottom w:val="0"/>
          <w:divBdr>
            <w:top w:val="none" w:sz="0" w:space="0" w:color="auto"/>
            <w:left w:val="none" w:sz="0" w:space="0" w:color="auto"/>
            <w:bottom w:val="none" w:sz="0" w:space="0" w:color="auto"/>
            <w:right w:val="none" w:sz="0" w:space="0" w:color="auto"/>
          </w:divBdr>
        </w:div>
        <w:div w:id="1602906585">
          <w:marLeft w:val="0"/>
          <w:marRight w:val="0"/>
          <w:marTop w:val="0"/>
          <w:marBottom w:val="0"/>
          <w:divBdr>
            <w:top w:val="none" w:sz="0" w:space="0" w:color="auto"/>
            <w:left w:val="none" w:sz="0" w:space="0" w:color="auto"/>
            <w:bottom w:val="none" w:sz="0" w:space="0" w:color="auto"/>
            <w:right w:val="none" w:sz="0" w:space="0" w:color="auto"/>
          </w:divBdr>
        </w:div>
        <w:div w:id="1161195362">
          <w:marLeft w:val="0"/>
          <w:marRight w:val="0"/>
          <w:marTop w:val="0"/>
          <w:marBottom w:val="0"/>
          <w:divBdr>
            <w:top w:val="none" w:sz="0" w:space="0" w:color="auto"/>
            <w:left w:val="none" w:sz="0" w:space="0" w:color="auto"/>
            <w:bottom w:val="none" w:sz="0" w:space="0" w:color="auto"/>
            <w:right w:val="none" w:sz="0" w:space="0" w:color="auto"/>
          </w:divBdr>
        </w:div>
        <w:div w:id="521625876">
          <w:marLeft w:val="0"/>
          <w:marRight w:val="0"/>
          <w:marTop w:val="0"/>
          <w:marBottom w:val="0"/>
          <w:divBdr>
            <w:top w:val="none" w:sz="0" w:space="0" w:color="auto"/>
            <w:left w:val="none" w:sz="0" w:space="0" w:color="auto"/>
            <w:bottom w:val="none" w:sz="0" w:space="0" w:color="auto"/>
            <w:right w:val="none" w:sz="0" w:space="0" w:color="auto"/>
          </w:divBdr>
        </w:div>
        <w:div w:id="1349992074">
          <w:marLeft w:val="0"/>
          <w:marRight w:val="0"/>
          <w:marTop w:val="0"/>
          <w:marBottom w:val="0"/>
          <w:divBdr>
            <w:top w:val="none" w:sz="0" w:space="0" w:color="auto"/>
            <w:left w:val="none" w:sz="0" w:space="0" w:color="auto"/>
            <w:bottom w:val="none" w:sz="0" w:space="0" w:color="auto"/>
            <w:right w:val="none" w:sz="0" w:space="0" w:color="auto"/>
          </w:divBdr>
        </w:div>
        <w:div w:id="1381594908">
          <w:marLeft w:val="0"/>
          <w:marRight w:val="0"/>
          <w:marTop w:val="0"/>
          <w:marBottom w:val="0"/>
          <w:divBdr>
            <w:top w:val="none" w:sz="0" w:space="0" w:color="auto"/>
            <w:left w:val="none" w:sz="0" w:space="0" w:color="auto"/>
            <w:bottom w:val="none" w:sz="0" w:space="0" w:color="auto"/>
            <w:right w:val="none" w:sz="0" w:space="0" w:color="auto"/>
          </w:divBdr>
        </w:div>
        <w:div w:id="456147821">
          <w:marLeft w:val="0"/>
          <w:marRight w:val="0"/>
          <w:marTop w:val="0"/>
          <w:marBottom w:val="0"/>
          <w:divBdr>
            <w:top w:val="none" w:sz="0" w:space="0" w:color="auto"/>
            <w:left w:val="none" w:sz="0" w:space="0" w:color="auto"/>
            <w:bottom w:val="none" w:sz="0" w:space="0" w:color="auto"/>
            <w:right w:val="none" w:sz="0" w:space="0" w:color="auto"/>
          </w:divBdr>
        </w:div>
        <w:div w:id="1513304798">
          <w:marLeft w:val="0"/>
          <w:marRight w:val="0"/>
          <w:marTop w:val="0"/>
          <w:marBottom w:val="0"/>
          <w:divBdr>
            <w:top w:val="none" w:sz="0" w:space="0" w:color="auto"/>
            <w:left w:val="none" w:sz="0" w:space="0" w:color="auto"/>
            <w:bottom w:val="none" w:sz="0" w:space="0" w:color="auto"/>
            <w:right w:val="none" w:sz="0" w:space="0" w:color="auto"/>
          </w:divBdr>
        </w:div>
        <w:div w:id="194078628">
          <w:marLeft w:val="0"/>
          <w:marRight w:val="0"/>
          <w:marTop w:val="0"/>
          <w:marBottom w:val="0"/>
          <w:divBdr>
            <w:top w:val="none" w:sz="0" w:space="0" w:color="auto"/>
            <w:left w:val="none" w:sz="0" w:space="0" w:color="auto"/>
            <w:bottom w:val="none" w:sz="0" w:space="0" w:color="auto"/>
            <w:right w:val="none" w:sz="0" w:space="0" w:color="auto"/>
          </w:divBdr>
        </w:div>
        <w:div w:id="823207340">
          <w:marLeft w:val="0"/>
          <w:marRight w:val="0"/>
          <w:marTop w:val="0"/>
          <w:marBottom w:val="0"/>
          <w:divBdr>
            <w:top w:val="none" w:sz="0" w:space="0" w:color="auto"/>
            <w:left w:val="none" w:sz="0" w:space="0" w:color="auto"/>
            <w:bottom w:val="none" w:sz="0" w:space="0" w:color="auto"/>
            <w:right w:val="none" w:sz="0" w:space="0" w:color="auto"/>
          </w:divBdr>
        </w:div>
        <w:div w:id="1411276024">
          <w:marLeft w:val="0"/>
          <w:marRight w:val="0"/>
          <w:marTop w:val="0"/>
          <w:marBottom w:val="0"/>
          <w:divBdr>
            <w:top w:val="none" w:sz="0" w:space="0" w:color="auto"/>
            <w:left w:val="none" w:sz="0" w:space="0" w:color="auto"/>
            <w:bottom w:val="none" w:sz="0" w:space="0" w:color="auto"/>
            <w:right w:val="none" w:sz="0" w:space="0" w:color="auto"/>
          </w:divBdr>
        </w:div>
        <w:div w:id="904536926">
          <w:marLeft w:val="0"/>
          <w:marRight w:val="0"/>
          <w:marTop w:val="0"/>
          <w:marBottom w:val="0"/>
          <w:divBdr>
            <w:top w:val="none" w:sz="0" w:space="0" w:color="auto"/>
            <w:left w:val="none" w:sz="0" w:space="0" w:color="auto"/>
            <w:bottom w:val="none" w:sz="0" w:space="0" w:color="auto"/>
            <w:right w:val="none" w:sz="0" w:space="0" w:color="auto"/>
          </w:divBdr>
        </w:div>
        <w:div w:id="1654261361">
          <w:marLeft w:val="0"/>
          <w:marRight w:val="0"/>
          <w:marTop w:val="0"/>
          <w:marBottom w:val="0"/>
          <w:divBdr>
            <w:top w:val="none" w:sz="0" w:space="0" w:color="auto"/>
            <w:left w:val="none" w:sz="0" w:space="0" w:color="auto"/>
            <w:bottom w:val="none" w:sz="0" w:space="0" w:color="auto"/>
            <w:right w:val="none" w:sz="0" w:space="0" w:color="auto"/>
          </w:divBdr>
        </w:div>
        <w:div w:id="345787228">
          <w:marLeft w:val="0"/>
          <w:marRight w:val="0"/>
          <w:marTop w:val="0"/>
          <w:marBottom w:val="0"/>
          <w:divBdr>
            <w:top w:val="none" w:sz="0" w:space="0" w:color="auto"/>
            <w:left w:val="none" w:sz="0" w:space="0" w:color="auto"/>
            <w:bottom w:val="none" w:sz="0" w:space="0" w:color="auto"/>
            <w:right w:val="none" w:sz="0" w:space="0" w:color="auto"/>
          </w:divBdr>
        </w:div>
        <w:div w:id="664473886">
          <w:marLeft w:val="0"/>
          <w:marRight w:val="0"/>
          <w:marTop w:val="0"/>
          <w:marBottom w:val="0"/>
          <w:divBdr>
            <w:top w:val="none" w:sz="0" w:space="0" w:color="auto"/>
            <w:left w:val="none" w:sz="0" w:space="0" w:color="auto"/>
            <w:bottom w:val="none" w:sz="0" w:space="0" w:color="auto"/>
            <w:right w:val="none" w:sz="0" w:space="0" w:color="auto"/>
          </w:divBdr>
        </w:div>
        <w:div w:id="1274483259">
          <w:marLeft w:val="0"/>
          <w:marRight w:val="0"/>
          <w:marTop w:val="0"/>
          <w:marBottom w:val="0"/>
          <w:divBdr>
            <w:top w:val="none" w:sz="0" w:space="0" w:color="auto"/>
            <w:left w:val="none" w:sz="0" w:space="0" w:color="auto"/>
            <w:bottom w:val="none" w:sz="0" w:space="0" w:color="auto"/>
            <w:right w:val="none" w:sz="0" w:space="0" w:color="auto"/>
          </w:divBdr>
        </w:div>
        <w:div w:id="1573736077">
          <w:marLeft w:val="0"/>
          <w:marRight w:val="0"/>
          <w:marTop w:val="0"/>
          <w:marBottom w:val="0"/>
          <w:divBdr>
            <w:top w:val="none" w:sz="0" w:space="0" w:color="auto"/>
            <w:left w:val="none" w:sz="0" w:space="0" w:color="auto"/>
            <w:bottom w:val="none" w:sz="0" w:space="0" w:color="auto"/>
            <w:right w:val="none" w:sz="0" w:space="0" w:color="auto"/>
          </w:divBdr>
        </w:div>
        <w:div w:id="261693078">
          <w:marLeft w:val="0"/>
          <w:marRight w:val="0"/>
          <w:marTop w:val="0"/>
          <w:marBottom w:val="0"/>
          <w:divBdr>
            <w:top w:val="none" w:sz="0" w:space="0" w:color="auto"/>
            <w:left w:val="none" w:sz="0" w:space="0" w:color="auto"/>
            <w:bottom w:val="none" w:sz="0" w:space="0" w:color="auto"/>
            <w:right w:val="none" w:sz="0" w:space="0" w:color="auto"/>
          </w:divBdr>
        </w:div>
      </w:divsChild>
    </w:div>
    <w:div w:id="2075465843">
      <w:bodyDiv w:val="1"/>
      <w:marLeft w:val="0"/>
      <w:marRight w:val="0"/>
      <w:marTop w:val="0"/>
      <w:marBottom w:val="0"/>
      <w:divBdr>
        <w:top w:val="none" w:sz="0" w:space="0" w:color="auto"/>
        <w:left w:val="none" w:sz="0" w:space="0" w:color="auto"/>
        <w:bottom w:val="none" w:sz="0" w:space="0" w:color="auto"/>
        <w:right w:val="none" w:sz="0" w:space="0" w:color="auto"/>
      </w:divBdr>
      <w:divsChild>
        <w:div w:id="1607228794">
          <w:marLeft w:val="0"/>
          <w:marRight w:val="0"/>
          <w:marTop w:val="0"/>
          <w:marBottom w:val="0"/>
          <w:divBdr>
            <w:top w:val="none" w:sz="0" w:space="0" w:color="auto"/>
            <w:left w:val="none" w:sz="0" w:space="0" w:color="auto"/>
            <w:bottom w:val="none" w:sz="0" w:space="0" w:color="auto"/>
            <w:right w:val="none" w:sz="0" w:space="0" w:color="auto"/>
          </w:divBdr>
        </w:div>
        <w:div w:id="1136795136">
          <w:marLeft w:val="0"/>
          <w:marRight w:val="0"/>
          <w:marTop w:val="0"/>
          <w:marBottom w:val="0"/>
          <w:divBdr>
            <w:top w:val="none" w:sz="0" w:space="0" w:color="auto"/>
            <w:left w:val="none" w:sz="0" w:space="0" w:color="auto"/>
            <w:bottom w:val="none" w:sz="0" w:space="0" w:color="auto"/>
            <w:right w:val="none" w:sz="0" w:space="0" w:color="auto"/>
          </w:divBdr>
        </w:div>
        <w:div w:id="1800106210">
          <w:marLeft w:val="0"/>
          <w:marRight w:val="0"/>
          <w:marTop w:val="0"/>
          <w:marBottom w:val="0"/>
          <w:divBdr>
            <w:top w:val="none" w:sz="0" w:space="0" w:color="auto"/>
            <w:left w:val="none" w:sz="0" w:space="0" w:color="auto"/>
            <w:bottom w:val="none" w:sz="0" w:space="0" w:color="auto"/>
            <w:right w:val="none" w:sz="0" w:space="0" w:color="auto"/>
          </w:divBdr>
        </w:div>
        <w:div w:id="732850707">
          <w:marLeft w:val="0"/>
          <w:marRight w:val="0"/>
          <w:marTop w:val="0"/>
          <w:marBottom w:val="0"/>
          <w:divBdr>
            <w:top w:val="none" w:sz="0" w:space="0" w:color="auto"/>
            <w:left w:val="none" w:sz="0" w:space="0" w:color="auto"/>
            <w:bottom w:val="none" w:sz="0" w:space="0" w:color="auto"/>
            <w:right w:val="none" w:sz="0" w:space="0" w:color="auto"/>
          </w:divBdr>
        </w:div>
        <w:div w:id="216203488">
          <w:marLeft w:val="0"/>
          <w:marRight w:val="0"/>
          <w:marTop w:val="0"/>
          <w:marBottom w:val="0"/>
          <w:divBdr>
            <w:top w:val="none" w:sz="0" w:space="0" w:color="auto"/>
            <w:left w:val="none" w:sz="0" w:space="0" w:color="auto"/>
            <w:bottom w:val="none" w:sz="0" w:space="0" w:color="auto"/>
            <w:right w:val="none" w:sz="0" w:space="0" w:color="auto"/>
          </w:divBdr>
        </w:div>
        <w:div w:id="216548248">
          <w:marLeft w:val="0"/>
          <w:marRight w:val="0"/>
          <w:marTop w:val="0"/>
          <w:marBottom w:val="0"/>
          <w:divBdr>
            <w:top w:val="none" w:sz="0" w:space="0" w:color="auto"/>
            <w:left w:val="none" w:sz="0" w:space="0" w:color="auto"/>
            <w:bottom w:val="none" w:sz="0" w:space="0" w:color="auto"/>
            <w:right w:val="none" w:sz="0" w:space="0" w:color="auto"/>
          </w:divBdr>
        </w:div>
        <w:div w:id="1071732622">
          <w:marLeft w:val="0"/>
          <w:marRight w:val="0"/>
          <w:marTop w:val="0"/>
          <w:marBottom w:val="0"/>
          <w:divBdr>
            <w:top w:val="none" w:sz="0" w:space="0" w:color="auto"/>
            <w:left w:val="none" w:sz="0" w:space="0" w:color="auto"/>
            <w:bottom w:val="none" w:sz="0" w:space="0" w:color="auto"/>
            <w:right w:val="none" w:sz="0" w:space="0" w:color="auto"/>
          </w:divBdr>
        </w:div>
        <w:div w:id="376928147">
          <w:marLeft w:val="0"/>
          <w:marRight w:val="0"/>
          <w:marTop w:val="0"/>
          <w:marBottom w:val="0"/>
          <w:divBdr>
            <w:top w:val="none" w:sz="0" w:space="0" w:color="auto"/>
            <w:left w:val="none" w:sz="0" w:space="0" w:color="auto"/>
            <w:bottom w:val="none" w:sz="0" w:space="0" w:color="auto"/>
            <w:right w:val="none" w:sz="0" w:space="0" w:color="auto"/>
          </w:divBdr>
        </w:div>
        <w:div w:id="1981957518">
          <w:marLeft w:val="0"/>
          <w:marRight w:val="0"/>
          <w:marTop w:val="0"/>
          <w:marBottom w:val="0"/>
          <w:divBdr>
            <w:top w:val="none" w:sz="0" w:space="0" w:color="auto"/>
            <w:left w:val="none" w:sz="0" w:space="0" w:color="auto"/>
            <w:bottom w:val="none" w:sz="0" w:space="0" w:color="auto"/>
            <w:right w:val="none" w:sz="0" w:space="0" w:color="auto"/>
          </w:divBdr>
        </w:div>
        <w:div w:id="1974171142">
          <w:marLeft w:val="0"/>
          <w:marRight w:val="0"/>
          <w:marTop w:val="0"/>
          <w:marBottom w:val="0"/>
          <w:divBdr>
            <w:top w:val="none" w:sz="0" w:space="0" w:color="auto"/>
            <w:left w:val="none" w:sz="0" w:space="0" w:color="auto"/>
            <w:bottom w:val="none" w:sz="0" w:space="0" w:color="auto"/>
            <w:right w:val="none" w:sz="0" w:space="0" w:color="auto"/>
          </w:divBdr>
        </w:div>
      </w:divsChild>
    </w:div>
    <w:div w:id="2079591720">
      <w:bodyDiv w:val="1"/>
      <w:marLeft w:val="0"/>
      <w:marRight w:val="0"/>
      <w:marTop w:val="0"/>
      <w:marBottom w:val="0"/>
      <w:divBdr>
        <w:top w:val="none" w:sz="0" w:space="0" w:color="auto"/>
        <w:left w:val="none" w:sz="0" w:space="0" w:color="auto"/>
        <w:bottom w:val="none" w:sz="0" w:space="0" w:color="auto"/>
        <w:right w:val="none" w:sz="0" w:space="0" w:color="auto"/>
      </w:divBdr>
    </w:div>
    <w:div w:id="2106999292">
      <w:bodyDiv w:val="1"/>
      <w:marLeft w:val="0"/>
      <w:marRight w:val="0"/>
      <w:marTop w:val="0"/>
      <w:marBottom w:val="0"/>
      <w:divBdr>
        <w:top w:val="none" w:sz="0" w:space="0" w:color="auto"/>
        <w:left w:val="none" w:sz="0" w:space="0" w:color="auto"/>
        <w:bottom w:val="none" w:sz="0" w:space="0" w:color="auto"/>
        <w:right w:val="none" w:sz="0" w:space="0" w:color="auto"/>
      </w:divBdr>
      <w:divsChild>
        <w:div w:id="1939025820">
          <w:marLeft w:val="0"/>
          <w:marRight w:val="0"/>
          <w:marTop w:val="0"/>
          <w:marBottom w:val="0"/>
          <w:divBdr>
            <w:top w:val="none" w:sz="0" w:space="0" w:color="auto"/>
            <w:left w:val="none" w:sz="0" w:space="0" w:color="auto"/>
            <w:bottom w:val="none" w:sz="0" w:space="0" w:color="auto"/>
            <w:right w:val="none" w:sz="0" w:space="0" w:color="auto"/>
          </w:divBdr>
        </w:div>
      </w:divsChild>
    </w:div>
    <w:div w:id="2129662793">
      <w:bodyDiv w:val="1"/>
      <w:marLeft w:val="0"/>
      <w:marRight w:val="0"/>
      <w:marTop w:val="0"/>
      <w:marBottom w:val="0"/>
      <w:divBdr>
        <w:top w:val="none" w:sz="0" w:space="0" w:color="auto"/>
        <w:left w:val="none" w:sz="0" w:space="0" w:color="auto"/>
        <w:bottom w:val="none" w:sz="0" w:space="0" w:color="auto"/>
        <w:right w:val="none" w:sz="0" w:space="0" w:color="auto"/>
      </w:divBdr>
      <w:divsChild>
        <w:div w:id="2138259430">
          <w:marLeft w:val="0"/>
          <w:marRight w:val="0"/>
          <w:marTop w:val="0"/>
          <w:marBottom w:val="0"/>
          <w:divBdr>
            <w:top w:val="none" w:sz="0" w:space="0" w:color="auto"/>
            <w:left w:val="none" w:sz="0" w:space="0" w:color="auto"/>
            <w:bottom w:val="none" w:sz="0" w:space="0" w:color="auto"/>
            <w:right w:val="none" w:sz="0" w:space="0" w:color="auto"/>
          </w:divBdr>
        </w:div>
      </w:divsChild>
    </w:div>
    <w:div w:id="2144420603">
      <w:bodyDiv w:val="1"/>
      <w:marLeft w:val="0"/>
      <w:marRight w:val="0"/>
      <w:marTop w:val="0"/>
      <w:marBottom w:val="0"/>
      <w:divBdr>
        <w:top w:val="none" w:sz="0" w:space="0" w:color="auto"/>
        <w:left w:val="none" w:sz="0" w:space="0" w:color="auto"/>
        <w:bottom w:val="none" w:sz="0" w:space="0" w:color="auto"/>
        <w:right w:val="none" w:sz="0" w:space="0" w:color="auto"/>
      </w:divBdr>
      <w:divsChild>
        <w:div w:id="8959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ZINOJUMI!$A$3</c:f>
              <c:strCache>
                <c:ptCount val="1"/>
                <c:pt idx="0">
                  <c:v>Saņemtie iesniegumi </c:v>
                </c:pt>
              </c:strCache>
            </c:strRef>
          </c:tx>
          <c:spPr>
            <a:solidFill>
              <a:schemeClr val="accent3">
                <a:lumMod val="75000"/>
              </a:schemeClr>
            </a:solidFill>
            <a:scene3d>
              <a:camera prst="orthographicFront"/>
              <a:lightRig rig="threePt" dir="t"/>
            </a:scene3d>
            <a:sp3d>
              <a:bevelT/>
            </a:sp3d>
          </c:spPr>
          <c:invertIfNegative val="0"/>
          <c:dLbls>
            <c:showLegendKey val="0"/>
            <c:showVal val="1"/>
            <c:showCatName val="0"/>
            <c:showSerName val="0"/>
            <c:showPercent val="0"/>
            <c:showBubbleSize val="0"/>
            <c:showLeaderLines val="0"/>
          </c:dLbls>
          <c:cat>
            <c:strRef>
              <c:f>ZINOJUMI!$B$2:$I$2</c:f>
              <c:strCache>
                <c:ptCount val="8"/>
                <c:pt idx="0">
                  <c:v>2012 I</c:v>
                </c:pt>
                <c:pt idx="1">
                  <c:v>2012 II</c:v>
                </c:pt>
                <c:pt idx="2">
                  <c:v>2013 I</c:v>
                </c:pt>
                <c:pt idx="3">
                  <c:v>2013 II</c:v>
                </c:pt>
                <c:pt idx="4">
                  <c:v>2014 I</c:v>
                </c:pt>
                <c:pt idx="5">
                  <c:v>2014 II</c:v>
                </c:pt>
                <c:pt idx="6">
                  <c:v>2015 I</c:v>
                </c:pt>
                <c:pt idx="7">
                  <c:v>2015 II</c:v>
                </c:pt>
              </c:strCache>
            </c:strRef>
          </c:cat>
          <c:val>
            <c:numRef>
              <c:f>ZINOJUMI!$B$3:$I$3</c:f>
              <c:numCache>
                <c:formatCode>General</c:formatCode>
                <c:ptCount val="8"/>
                <c:pt idx="0">
                  <c:v>492</c:v>
                </c:pt>
                <c:pt idx="1">
                  <c:v>343</c:v>
                </c:pt>
                <c:pt idx="2">
                  <c:v>588</c:v>
                </c:pt>
                <c:pt idx="3">
                  <c:v>477</c:v>
                </c:pt>
                <c:pt idx="4">
                  <c:v>587</c:v>
                </c:pt>
                <c:pt idx="5">
                  <c:v>412</c:v>
                </c:pt>
                <c:pt idx="6">
                  <c:v>593</c:v>
                </c:pt>
                <c:pt idx="7">
                  <c:v>735</c:v>
                </c:pt>
              </c:numCache>
            </c:numRef>
          </c:val>
        </c:ser>
        <c:dLbls>
          <c:showLegendKey val="0"/>
          <c:showVal val="0"/>
          <c:showCatName val="0"/>
          <c:showSerName val="0"/>
          <c:showPercent val="0"/>
          <c:showBubbleSize val="0"/>
        </c:dLbls>
        <c:gapWidth val="150"/>
        <c:axId val="43100032"/>
        <c:axId val="43101568"/>
      </c:barChart>
      <c:lineChart>
        <c:grouping val="standard"/>
        <c:varyColors val="0"/>
        <c:ser>
          <c:idx val="1"/>
          <c:order val="1"/>
          <c:tx>
            <c:strRef>
              <c:f>ZINOJUMI!$A$4</c:f>
              <c:strCache>
                <c:ptCount val="1"/>
                <c:pt idx="0">
                  <c:v>Pieņemtie apmeklētāji </c:v>
                </c:pt>
              </c:strCache>
            </c:strRef>
          </c:tx>
          <c:marker>
            <c:symbol val="diamond"/>
            <c:size val="5"/>
            <c:spPr>
              <a:scene3d>
                <a:camera prst="orthographicFront"/>
                <a:lightRig rig="threePt" dir="t"/>
              </a:scene3d>
              <a:sp3d>
                <a:bevelT/>
              </a:sp3d>
            </c:spPr>
          </c:marker>
          <c:dLbls>
            <c:dLbl>
              <c:idx val="0"/>
              <c:layout>
                <c:manualLayout>
                  <c:x val="-3.1604938271604939E-2"/>
                  <c:y val="-3.4307987989993953E-2"/>
                </c:manualLayout>
              </c:layout>
              <c:showLegendKey val="0"/>
              <c:showVal val="1"/>
              <c:showCatName val="0"/>
              <c:showSerName val="0"/>
              <c:showPercent val="0"/>
              <c:showBubbleSize val="0"/>
            </c:dLbl>
            <c:dLbl>
              <c:idx val="1"/>
              <c:layout>
                <c:manualLayout>
                  <c:x val="-2.7654320987654284E-2"/>
                  <c:y val="-3.1189079990903593E-2"/>
                </c:manualLayout>
              </c:layout>
              <c:showLegendKey val="0"/>
              <c:showVal val="1"/>
              <c:showCatName val="0"/>
              <c:showSerName val="0"/>
              <c:showPercent val="0"/>
              <c:showBubbleSize val="0"/>
            </c:dLbl>
            <c:dLbl>
              <c:idx val="2"/>
              <c:layout>
                <c:manualLayout>
                  <c:x val="-2.9629629629629631E-2"/>
                  <c:y val="-4.0545803988174672E-2"/>
                </c:manualLayout>
              </c:layout>
              <c:showLegendKey val="0"/>
              <c:showVal val="1"/>
              <c:showCatName val="0"/>
              <c:showSerName val="0"/>
              <c:showPercent val="0"/>
              <c:showBubbleSize val="0"/>
            </c:dLbl>
            <c:dLbl>
              <c:idx val="3"/>
              <c:layout>
                <c:manualLayout>
                  <c:x val="-2.370370370370363E-2"/>
                  <c:y val="-3.7426895989084316E-2"/>
                </c:manualLayout>
              </c:layout>
              <c:showLegendKey val="0"/>
              <c:showVal val="1"/>
              <c:showCatName val="0"/>
              <c:showSerName val="0"/>
              <c:showPercent val="0"/>
              <c:showBubbleSize val="0"/>
            </c:dLbl>
            <c:dLbl>
              <c:idx val="4"/>
              <c:layout>
                <c:manualLayout>
                  <c:x val="-2.9629629629629558E-2"/>
                  <c:y val="-3.7426895989084316E-2"/>
                </c:manualLayout>
              </c:layout>
              <c:showLegendKey val="0"/>
              <c:showVal val="1"/>
              <c:showCatName val="0"/>
              <c:showSerName val="0"/>
              <c:showPercent val="0"/>
              <c:showBubbleSize val="0"/>
            </c:dLbl>
            <c:dLbl>
              <c:idx val="5"/>
              <c:layout>
                <c:manualLayout>
                  <c:x val="-2.7654320987654323E-2"/>
                  <c:y val="-4.3664711987265035E-2"/>
                </c:manualLayout>
              </c:layout>
              <c:showLegendKey val="0"/>
              <c:showVal val="1"/>
              <c:showCatName val="0"/>
              <c:showSerName val="0"/>
              <c:showPercent val="0"/>
              <c:showBubbleSize val="0"/>
            </c:dLbl>
            <c:dLbl>
              <c:idx val="6"/>
              <c:layout>
                <c:manualLayout>
                  <c:x val="-2.3703703703703703E-2"/>
                  <c:y val="-3.1189079990903593E-2"/>
                </c:manualLayout>
              </c:layout>
              <c:showLegendKey val="0"/>
              <c:showVal val="1"/>
              <c:showCatName val="0"/>
              <c:showSerName val="0"/>
              <c:showPercent val="0"/>
              <c:showBubbleSize val="0"/>
            </c:dLbl>
            <c:dLbl>
              <c:idx val="7"/>
              <c:layout>
                <c:manualLayout>
                  <c:x val="-2.1728395061728394E-2"/>
                  <c:y val="-3.11890799909035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ZINOJUMI!$B$2:$I$2</c:f>
              <c:strCache>
                <c:ptCount val="8"/>
                <c:pt idx="0">
                  <c:v>2012 I</c:v>
                </c:pt>
                <c:pt idx="1">
                  <c:v>2012 II</c:v>
                </c:pt>
                <c:pt idx="2">
                  <c:v>2013 I</c:v>
                </c:pt>
                <c:pt idx="3">
                  <c:v>2013 II</c:v>
                </c:pt>
                <c:pt idx="4">
                  <c:v>2014 I</c:v>
                </c:pt>
                <c:pt idx="5">
                  <c:v>2014 II</c:v>
                </c:pt>
                <c:pt idx="6">
                  <c:v>2015 I</c:v>
                </c:pt>
                <c:pt idx="7">
                  <c:v>2015 II</c:v>
                </c:pt>
              </c:strCache>
            </c:strRef>
          </c:cat>
          <c:val>
            <c:numRef>
              <c:f>ZINOJUMI!$B$4:$I$4</c:f>
              <c:numCache>
                <c:formatCode>General</c:formatCode>
                <c:ptCount val="8"/>
                <c:pt idx="0">
                  <c:v>67</c:v>
                </c:pt>
                <c:pt idx="1">
                  <c:v>133</c:v>
                </c:pt>
                <c:pt idx="2">
                  <c:v>90</c:v>
                </c:pt>
                <c:pt idx="3">
                  <c:v>80</c:v>
                </c:pt>
                <c:pt idx="4">
                  <c:v>70</c:v>
                </c:pt>
                <c:pt idx="5">
                  <c:v>36</c:v>
                </c:pt>
                <c:pt idx="6">
                  <c:v>55</c:v>
                </c:pt>
                <c:pt idx="7">
                  <c:v>55</c:v>
                </c:pt>
              </c:numCache>
            </c:numRef>
          </c:val>
          <c:smooth val="0"/>
        </c:ser>
        <c:dLbls>
          <c:showLegendKey val="0"/>
          <c:showVal val="0"/>
          <c:showCatName val="0"/>
          <c:showSerName val="0"/>
          <c:showPercent val="0"/>
          <c:showBubbleSize val="0"/>
        </c:dLbls>
        <c:marker val="1"/>
        <c:smooth val="0"/>
        <c:axId val="43100032"/>
        <c:axId val="43101568"/>
      </c:lineChart>
      <c:catAx>
        <c:axId val="43100032"/>
        <c:scaling>
          <c:orientation val="minMax"/>
        </c:scaling>
        <c:delete val="0"/>
        <c:axPos val="b"/>
        <c:majorTickMark val="out"/>
        <c:minorTickMark val="none"/>
        <c:tickLblPos val="nextTo"/>
        <c:crossAx val="43101568"/>
        <c:crosses val="autoZero"/>
        <c:auto val="1"/>
        <c:lblAlgn val="ctr"/>
        <c:lblOffset val="100"/>
        <c:noMultiLvlLbl val="0"/>
      </c:catAx>
      <c:valAx>
        <c:axId val="43101568"/>
        <c:scaling>
          <c:orientation val="minMax"/>
        </c:scaling>
        <c:delete val="0"/>
        <c:axPos val="l"/>
        <c:majorGridlines/>
        <c:numFmt formatCode="General" sourceLinked="1"/>
        <c:majorTickMark val="out"/>
        <c:minorTickMark val="none"/>
        <c:tickLblPos val="nextTo"/>
        <c:crossAx val="4310003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IZGLITOSANA!$B$2</c:f>
              <c:strCache>
                <c:ptCount val="1"/>
                <c:pt idx="0">
                  <c:v>Semināru skaits</c:v>
                </c:pt>
              </c:strCache>
            </c:strRef>
          </c:tx>
          <c:spPr>
            <a:solidFill>
              <a:schemeClr val="accent3">
                <a:lumMod val="60000"/>
                <a:lumOff val="40000"/>
              </a:schemeClr>
            </a:solidFill>
            <a:ln>
              <a:solidFill>
                <a:schemeClr val="accent3">
                  <a:lumMod val="50000"/>
                </a:schemeClr>
              </a:solidFill>
            </a:ln>
            <a:effectLst/>
            <a:scene3d>
              <a:camera prst="orthographicFront"/>
              <a:lightRig rig="threePt" dir="t"/>
            </a:scene3d>
            <a:sp3d>
              <a:bevelT/>
            </a:sp3d>
          </c:spPr>
          <c:invertIfNegative val="0"/>
          <c:dLbls>
            <c:dLbl>
              <c:idx val="0"/>
              <c:layout>
                <c:manualLayout>
                  <c:x val="3.1448108138195613E-3"/>
                  <c:y val="0.2502555692012417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106962712143130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9542640807248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0.2870370370370370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185067526415994E-16"/>
                  <c:y val="0.342592592592592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31312517882946134"/>
                </c:manualLayout>
              </c:layout>
              <c:showLegendKey val="0"/>
              <c:showVal val="1"/>
              <c:showCatName val="0"/>
              <c:showSerName val="0"/>
              <c:showPercent val="0"/>
              <c:showBubbleSize val="0"/>
            </c:dLbl>
            <c:dLbl>
              <c:idx val="6"/>
              <c:layout>
                <c:manualLayout>
                  <c:x val="-7.977632485988191E-4"/>
                  <c:y val="0.31562968802208891"/>
                </c:manualLayout>
              </c:layout>
              <c:showLegendKey val="0"/>
              <c:showVal val="1"/>
              <c:showCatName val="0"/>
              <c:showSerName val="0"/>
              <c:showPercent val="0"/>
              <c:showBubbleSize val="0"/>
            </c:dLbl>
            <c:dLbl>
              <c:idx val="7"/>
              <c:layout>
                <c:manualLayout>
                  <c:x val="2.1750951604132679E-3"/>
                  <c:y val="0.28734117805468307"/>
                </c:manualLayout>
              </c:layou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IZGLITOSANA!$A$3:$A$10</c:f>
              <c:strCache>
                <c:ptCount val="8"/>
                <c:pt idx="0">
                  <c:v>2012 I</c:v>
                </c:pt>
                <c:pt idx="1">
                  <c:v>2012 II</c:v>
                </c:pt>
                <c:pt idx="2">
                  <c:v>2013 I</c:v>
                </c:pt>
                <c:pt idx="3">
                  <c:v>2013 II</c:v>
                </c:pt>
                <c:pt idx="4">
                  <c:v>2014 I</c:v>
                </c:pt>
                <c:pt idx="5">
                  <c:v>2014 II</c:v>
                </c:pt>
                <c:pt idx="6">
                  <c:v>2015 I</c:v>
                </c:pt>
                <c:pt idx="7">
                  <c:v>2015 II</c:v>
                </c:pt>
              </c:strCache>
            </c:strRef>
          </c:cat>
          <c:val>
            <c:numRef>
              <c:f>IZGLITOSANA!$B$3:$B$10</c:f>
              <c:numCache>
                <c:formatCode>General</c:formatCode>
                <c:ptCount val="8"/>
                <c:pt idx="0">
                  <c:v>33</c:v>
                </c:pt>
                <c:pt idx="1">
                  <c:v>43</c:v>
                </c:pt>
                <c:pt idx="2">
                  <c:v>44</c:v>
                </c:pt>
                <c:pt idx="3">
                  <c:v>47</c:v>
                </c:pt>
                <c:pt idx="4">
                  <c:v>62</c:v>
                </c:pt>
                <c:pt idx="5">
                  <c:v>53</c:v>
                </c:pt>
                <c:pt idx="6">
                  <c:v>61</c:v>
                </c:pt>
                <c:pt idx="7">
                  <c:v>49</c:v>
                </c:pt>
              </c:numCache>
            </c:numRef>
          </c:val>
        </c:ser>
        <c:dLbls>
          <c:showLegendKey val="0"/>
          <c:showVal val="0"/>
          <c:showCatName val="0"/>
          <c:showSerName val="0"/>
          <c:showPercent val="0"/>
          <c:showBubbleSize val="0"/>
        </c:dLbls>
        <c:gapWidth val="219"/>
        <c:overlap val="-27"/>
        <c:axId val="169150336"/>
        <c:axId val="169151872"/>
      </c:barChart>
      <c:lineChart>
        <c:grouping val="stacked"/>
        <c:varyColors val="0"/>
        <c:ser>
          <c:idx val="1"/>
          <c:order val="1"/>
          <c:tx>
            <c:strRef>
              <c:f>IZGLITOSANA!$C$2</c:f>
              <c:strCache>
                <c:ptCount val="1"/>
                <c:pt idx="0">
                  <c:v>Dalībnieku skaits</c:v>
                </c:pt>
              </c:strCache>
            </c:strRef>
          </c:tx>
          <c:spPr>
            <a:ln w="28575" cap="rnd">
              <a:solidFill>
                <a:schemeClr val="accent3">
                  <a:lumMod val="50000"/>
                </a:schemeClr>
              </a:solidFill>
              <a:round/>
            </a:ln>
            <a:effectLst/>
          </c:spPr>
          <c:marker>
            <c:symbol val="diamond"/>
            <c:size val="5"/>
            <c:spPr>
              <a:scene3d>
                <a:camera prst="orthographicFront"/>
                <a:lightRig rig="threePt" dir="t"/>
              </a:scene3d>
              <a:sp3d>
                <a:bevelT/>
              </a:sp3d>
            </c:spPr>
          </c:marker>
          <c:dLbls>
            <c:dLbl>
              <c:idx val="6"/>
              <c:layout>
                <c:manualLayout>
                  <c:x val="6.5252854812398045E-3"/>
                  <c:y val="-2.8033285663871525E-2"/>
                </c:manualLayout>
              </c:layou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IZGLITOSANA!$A$3:$A$10</c:f>
              <c:strCache>
                <c:ptCount val="8"/>
                <c:pt idx="0">
                  <c:v>2012 I</c:v>
                </c:pt>
                <c:pt idx="1">
                  <c:v>2012 II</c:v>
                </c:pt>
                <c:pt idx="2">
                  <c:v>2013 I</c:v>
                </c:pt>
                <c:pt idx="3">
                  <c:v>2013 II</c:v>
                </c:pt>
                <c:pt idx="4">
                  <c:v>2014 I</c:v>
                </c:pt>
                <c:pt idx="5">
                  <c:v>2014 II</c:v>
                </c:pt>
                <c:pt idx="6">
                  <c:v>2015 I</c:v>
                </c:pt>
                <c:pt idx="7">
                  <c:v>2015 II</c:v>
                </c:pt>
              </c:strCache>
            </c:strRef>
          </c:cat>
          <c:val>
            <c:numRef>
              <c:f>IZGLITOSANA!$C$3:$C$10</c:f>
              <c:numCache>
                <c:formatCode>General</c:formatCode>
                <c:ptCount val="8"/>
                <c:pt idx="0">
                  <c:v>1226</c:v>
                </c:pt>
                <c:pt idx="1">
                  <c:v>2160</c:v>
                </c:pt>
                <c:pt idx="2">
                  <c:v>1780</c:v>
                </c:pt>
                <c:pt idx="3">
                  <c:v>1358</c:v>
                </c:pt>
                <c:pt idx="4">
                  <c:v>2076</c:v>
                </c:pt>
                <c:pt idx="5">
                  <c:v>1730</c:v>
                </c:pt>
                <c:pt idx="6">
                  <c:v>1891</c:v>
                </c:pt>
                <c:pt idx="7">
                  <c:v>1863</c:v>
                </c:pt>
              </c:numCache>
            </c:numRef>
          </c:val>
          <c:smooth val="0"/>
        </c:ser>
        <c:dLbls>
          <c:showLegendKey val="0"/>
          <c:showVal val="0"/>
          <c:showCatName val="0"/>
          <c:showSerName val="0"/>
          <c:showPercent val="0"/>
          <c:showBubbleSize val="0"/>
        </c:dLbls>
        <c:marker val="1"/>
        <c:smooth val="0"/>
        <c:axId val="169212544"/>
        <c:axId val="169211008"/>
      </c:lineChart>
      <c:catAx>
        <c:axId val="16915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9151872"/>
        <c:crosses val="autoZero"/>
        <c:auto val="1"/>
        <c:lblAlgn val="ctr"/>
        <c:lblOffset val="100"/>
        <c:noMultiLvlLbl val="0"/>
      </c:catAx>
      <c:valAx>
        <c:axId val="169151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9150336"/>
        <c:crosses val="autoZero"/>
        <c:crossBetween val="between"/>
      </c:valAx>
      <c:valAx>
        <c:axId val="16921100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9212544"/>
        <c:crosses val="max"/>
        <c:crossBetween val="between"/>
      </c:valAx>
      <c:catAx>
        <c:axId val="169212544"/>
        <c:scaling>
          <c:orientation val="minMax"/>
        </c:scaling>
        <c:delete val="1"/>
        <c:axPos val="b"/>
        <c:numFmt formatCode="General" sourceLinked="1"/>
        <c:majorTickMark val="out"/>
        <c:minorTickMark val="none"/>
        <c:tickLblPos val="nextTo"/>
        <c:crossAx val="1692110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'APK-AMATPERSONAS'!$A$3</c:f>
              <c:strCache>
                <c:ptCount val="1"/>
                <c:pt idx="0">
                  <c:v>Lēmumu skaits</c:v>
                </c:pt>
              </c:strCache>
            </c:strRef>
          </c:tx>
          <c:spPr>
            <a:solidFill>
              <a:schemeClr val="accent3">
                <a:lumMod val="60000"/>
                <a:lumOff val="40000"/>
              </a:schemeClr>
            </a:solidFill>
            <a:scene3d>
              <a:camera prst="orthographicFront"/>
              <a:lightRig rig="threePt" dir="t"/>
            </a:scene3d>
            <a:sp3d>
              <a:bevelT/>
            </a:sp3d>
          </c:spPr>
          <c:invertIfNegative val="0"/>
          <c:dLbls>
            <c:dLbl>
              <c:idx val="1"/>
              <c:layout>
                <c:manualLayout>
                  <c:x val="0"/>
                  <c:y val="2.14414331929439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'APK-AMATPERSONAS'!$B$2:$I$2</c:f>
              <c:strCache>
                <c:ptCount val="8"/>
                <c:pt idx="0">
                  <c:v>2012 I</c:v>
                </c:pt>
                <c:pt idx="1">
                  <c:v>2012 II</c:v>
                </c:pt>
                <c:pt idx="2">
                  <c:v>2013 I</c:v>
                </c:pt>
                <c:pt idx="3">
                  <c:v>2013 II</c:v>
                </c:pt>
                <c:pt idx="4">
                  <c:v>2014 I</c:v>
                </c:pt>
                <c:pt idx="5">
                  <c:v>2014 II</c:v>
                </c:pt>
                <c:pt idx="6">
                  <c:v>2015 I</c:v>
                </c:pt>
                <c:pt idx="7">
                  <c:v>2015 II</c:v>
                </c:pt>
              </c:strCache>
            </c:strRef>
          </c:cat>
          <c:val>
            <c:numRef>
              <c:f>'APK-AMATPERSONAS'!$B$3:$I$3</c:f>
              <c:numCache>
                <c:formatCode>General</c:formatCode>
                <c:ptCount val="8"/>
                <c:pt idx="0">
                  <c:v>89</c:v>
                </c:pt>
                <c:pt idx="1">
                  <c:v>47</c:v>
                </c:pt>
                <c:pt idx="2">
                  <c:v>59</c:v>
                </c:pt>
                <c:pt idx="3">
                  <c:v>58</c:v>
                </c:pt>
                <c:pt idx="4">
                  <c:v>100</c:v>
                </c:pt>
                <c:pt idx="5">
                  <c:v>100</c:v>
                </c:pt>
                <c:pt idx="6">
                  <c:v>104</c:v>
                </c:pt>
                <c:pt idx="7">
                  <c:v>134</c:v>
                </c:pt>
              </c:numCache>
            </c:numRef>
          </c:val>
        </c:ser>
        <c:ser>
          <c:idx val="2"/>
          <c:order val="1"/>
          <c:tx>
            <c:strRef>
              <c:f>'APK-AMATPERSONAS'!$A$4</c:f>
              <c:strCache>
                <c:ptCount val="1"/>
                <c:pt idx="0">
                  <c:v>Naudas sodi</c:v>
                </c:pt>
              </c:strCache>
            </c:strRef>
          </c:tx>
          <c:spPr>
            <a:solidFill>
              <a:schemeClr val="accent3">
                <a:lumMod val="20000"/>
                <a:lumOff val="80000"/>
              </a:schemeClr>
            </a:solidFill>
            <a:scene3d>
              <a:camera prst="orthographicFront"/>
              <a:lightRig rig="threePt" dir="t"/>
            </a:scene3d>
            <a:sp3d>
              <a:bevelT/>
            </a:sp3d>
          </c:spPr>
          <c:invertIfNegative val="0"/>
          <c:dLbls>
            <c:dLbl>
              <c:idx val="2"/>
              <c:layout>
                <c:manualLayout>
                  <c:x val="6.6777974976312219E-3"/>
                  <c:y val="1.20704388695599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777974976312219E-3"/>
                  <c:y val="-3.875968992248062E-3"/>
                </c:manualLayout>
              </c:layout>
              <c:showLegendKey val="0"/>
              <c:showVal val="1"/>
              <c:showCatName val="0"/>
              <c:showSerName val="0"/>
              <c:showPercent val="0"/>
              <c:showBubbleSize val="0"/>
            </c:dLbl>
            <c:dLbl>
              <c:idx val="4"/>
              <c:layout>
                <c:manualLayout>
                  <c:x val="1.1129662496052036E-2"/>
                  <c:y val="1.643685527681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4518649984208146E-3"/>
                  <c:y val="0"/>
                </c:manualLayout>
              </c:layout>
              <c:showLegendKey val="0"/>
              <c:showVal val="1"/>
              <c:showCatName val="0"/>
              <c:showSerName val="0"/>
              <c:showPercent val="0"/>
              <c:showBubbleSize val="0"/>
            </c:dLbl>
            <c:dLbl>
              <c:idx val="6"/>
              <c:layout>
                <c:manualLayout>
                  <c:x val="6.6777974976312219E-3"/>
                  <c:y val="0"/>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'APK-AMATPERSONAS'!$B$2:$I$2</c:f>
              <c:strCache>
                <c:ptCount val="8"/>
                <c:pt idx="0">
                  <c:v>2012 I</c:v>
                </c:pt>
                <c:pt idx="1">
                  <c:v>2012 II</c:v>
                </c:pt>
                <c:pt idx="2">
                  <c:v>2013 I</c:v>
                </c:pt>
                <c:pt idx="3">
                  <c:v>2013 II</c:v>
                </c:pt>
                <c:pt idx="4">
                  <c:v>2014 I</c:v>
                </c:pt>
                <c:pt idx="5">
                  <c:v>2014 II</c:v>
                </c:pt>
                <c:pt idx="6">
                  <c:v>2015 I</c:v>
                </c:pt>
                <c:pt idx="7">
                  <c:v>2015 II</c:v>
                </c:pt>
              </c:strCache>
            </c:strRef>
          </c:cat>
          <c:val>
            <c:numRef>
              <c:f>'APK-AMATPERSONAS'!$B$4:$I$4</c:f>
              <c:numCache>
                <c:formatCode>General</c:formatCode>
                <c:ptCount val="8"/>
                <c:pt idx="0">
                  <c:v>20</c:v>
                </c:pt>
                <c:pt idx="1">
                  <c:v>26</c:v>
                </c:pt>
                <c:pt idx="2">
                  <c:v>43</c:v>
                </c:pt>
                <c:pt idx="3">
                  <c:v>34</c:v>
                </c:pt>
                <c:pt idx="4">
                  <c:v>61</c:v>
                </c:pt>
                <c:pt idx="5">
                  <c:v>39</c:v>
                </c:pt>
                <c:pt idx="6">
                  <c:v>56</c:v>
                </c:pt>
                <c:pt idx="7">
                  <c:v>83</c:v>
                </c:pt>
              </c:numCache>
            </c:numRef>
          </c:val>
        </c:ser>
        <c:dLbls>
          <c:showLegendKey val="0"/>
          <c:showVal val="0"/>
          <c:showCatName val="0"/>
          <c:showSerName val="0"/>
          <c:showPercent val="0"/>
          <c:showBubbleSize val="0"/>
        </c:dLbls>
        <c:gapWidth val="400"/>
        <c:axId val="168979840"/>
        <c:axId val="168989824"/>
      </c:barChart>
      <c:lineChart>
        <c:grouping val="standard"/>
        <c:varyColors val="0"/>
        <c:ser>
          <c:idx val="3"/>
          <c:order val="2"/>
          <c:tx>
            <c:strRef>
              <c:f>'APK-AMATPERSONAS'!$A$5</c:f>
              <c:strCache>
                <c:ptCount val="1"/>
                <c:pt idx="0">
                  <c:v>Sodu apmērs (EUR)</c:v>
                </c:pt>
              </c:strCache>
            </c:strRef>
          </c:tx>
          <c:spPr>
            <a:ln w="25400">
              <a:solidFill>
                <a:schemeClr val="accent2">
                  <a:lumMod val="75000"/>
                </a:schemeClr>
              </a:solidFill>
            </a:ln>
          </c:spPr>
          <c:marker>
            <c:symbol val="triangle"/>
            <c:size val="4"/>
            <c:spPr>
              <a:solidFill>
                <a:schemeClr val="accent2">
                  <a:lumMod val="75000"/>
                </a:schemeClr>
              </a:solidFill>
              <a:scene3d>
                <a:camera prst="orthographicFront"/>
                <a:lightRig rig="threePt" dir="t"/>
              </a:scene3d>
              <a:sp3d>
                <a:bevelT/>
              </a:sp3d>
            </c:spPr>
          </c:marker>
          <c:dLbls>
            <c:dLbl>
              <c:idx val="0"/>
              <c:layout>
                <c:manualLayout>
                  <c:x val="-9.4302419045288795E-3"/>
                  <c:y val="3.02655191356894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215573534670566E-2"/>
                  <c:y val="-4.14716109161867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616488305791906E-2"/>
                  <c:y val="-1.83760605505707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659289657616529E-3"/>
                  <c:y val="6.966367576146005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129662496052036E-2"/>
                  <c:y val="-3.0519440883843005E-7"/>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'APK-AMATPERSONAS'!$B$2:$I$2</c:f>
              <c:strCache>
                <c:ptCount val="8"/>
                <c:pt idx="0">
                  <c:v>2012 I</c:v>
                </c:pt>
                <c:pt idx="1">
                  <c:v>2012 II</c:v>
                </c:pt>
                <c:pt idx="2">
                  <c:v>2013 I</c:v>
                </c:pt>
                <c:pt idx="3">
                  <c:v>2013 II</c:v>
                </c:pt>
                <c:pt idx="4">
                  <c:v>2014 I</c:v>
                </c:pt>
                <c:pt idx="5">
                  <c:v>2014 II</c:v>
                </c:pt>
                <c:pt idx="6">
                  <c:v>2015 I</c:v>
                </c:pt>
                <c:pt idx="7">
                  <c:v>2015 II</c:v>
                </c:pt>
              </c:strCache>
            </c:strRef>
          </c:cat>
          <c:val>
            <c:numRef>
              <c:f>'APK-AMATPERSONAS'!$B$5:$I$5</c:f>
              <c:numCache>
                <c:formatCode>0</c:formatCode>
                <c:ptCount val="8"/>
                <c:pt idx="0">
                  <c:v>2447.3395142884788</c:v>
                </c:pt>
                <c:pt idx="1">
                  <c:v>4176.1287642073748</c:v>
                </c:pt>
                <c:pt idx="2">
                  <c:v>4190.3574823137033</c:v>
                </c:pt>
                <c:pt idx="3">
                  <c:v>4154.7856870478827</c:v>
                </c:pt>
                <c:pt idx="4" formatCode="General">
                  <c:v>5755</c:v>
                </c:pt>
                <c:pt idx="5" formatCode="General">
                  <c:v>4360</c:v>
                </c:pt>
                <c:pt idx="6" formatCode="General">
                  <c:v>5500</c:v>
                </c:pt>
                <c:pt idx="7" formatCode="General">
                  <c:v>8785</c:v>
                </c:pt>
              </c:numCache>
            </c:numRef>
          </c:val>
          <c:smooth val="0"/>
        </c:ser>
        <c:dLbls>
          <c:showLegendKey val="0"/>
          <c:showVal val="0"/>
          <c:showCatName val="0"/>
          <c:showSerName val="0"/>
          <c:showPercent val="0"/>
          <c:showBubbleSize val="0"/>
        </c:dLbls>
        <c:marker val="1"/>
        <c:smooth val="0"/>
        <c:axId val="169001344"/>
        <c:axId val="168991360"/>
      </c:lineChart>
      <c:catAx>
        <c:axId val="168979840"/>
        <c:scaling>
          <c:orientation val="minMax"/>
        </c:scaling>
        <c:delete val="0"/>
        <c:axPos val="b"/>
        <c:numFmt formatCode="General" sourceLinked="0"/>
        <c:majorTickMark val="out"/>
        <c:minorTickMark val="none"/>
        <c:tickLblPos val="nextTo"/>
        <c:crossAx val="168989824"/>
        <c:crosses val="autoZero"/>
        <c:auto val="1"/>
        <c:lblAlgn val="ctr"/>
        <c:lblOffset val="100"/>
        <c:noMultiLvlLbl val="0"/>
      </c:catAx>
      <c:valAx>
        <c:axId val="168989824"/>
        <c:scaling>
          <c:orientation val="minMax"/>
          <c:max val="150"/>
        </c:scaling>
        <c:delete val="0"/>
        <c:axPos val="l"/>
        <c:majorGridlines>
          <c:spPr>
            <a:ln>
              <a:noFill/>
            </a:ln>
          </c:spPr>
        </c:majorGridlines>
        <c:numFmt formatCode="General" sourceLinked="1"/>
        <c:majorTickMark val="out"/>
        <c:minorTickMark val="none"/>
        <c:tickLblPos val="nextTo"/>
        <c:crossAx val="168979840"/>
        <c:crosses val="autoZero"/>
        <c:crossBetween val="between"/>
        <c:majorUnit val="50"/>
      </c:valAx>
      <c:valAx>
        <c:axId val="168991360"/>
        <c:scaling>
          <c:orientation val="minMax"/>
          <c:max val="10000"/>
        </c:scaling>
        <c:delete val="0"/>
        <c:axPos val="r"/>
        <c:numFmt formatCode="0" sourceLinked="1"/>
        <c:majorTickMark val="out"/>
        <c:minorTickMark val="none"/>
        <c:tickLblPos val="nextTo"/>
        <c:crossAx val="169001344"/>
        <c:crosses val="max"/>
        <c:crossBetween val="between"/>
        <c:majorUnit val="3000"/>
      </c:valAx>
      <c:catAx>
        <c:axId val="169001344"/>
        <c:scaling>
          <c:orientation val="minMax"/>
        </c:scaling>
        <c:delete val="1"/>
        <c:axPos val="b"/>
        <c:majorTickMark val="out"/>
        <c:minorTickMark val="none"/>
        <c:tickLblPos val="nextTo"/>
        <c:crossAx val="168991360"/>
        <c:crosses val="autoZero"/>
        <c:auto val="1"/>
        <c:lblAlgn val="ctr"/>
        <c:lblOffset val="100"/>
        <c:noMultiLvlLbl val="0"/>
      </c:catAx>
    </c:plotArea>
    <c:legend>
      <c:legendPos val="b"/>
      <c:overlay val="0"/>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604507280303244E-2"/>
          <c:y val="3.4267036064936328E-2"/>
          <c:w val="0.94819162880785612"/>
          <c:h val="0.68545655477275869"/>
        </c:manualLayout>
      </c:layout>
      <c:barChart>
        <c:barDir val="col"/>
        <c:grouping val="clustered"/>
        <c:varyColors val="0"/>
        <c:ser>
          <c:idx val="0"/>
          <c:order val="0"/>
          <c:tx>
            <c:strRef>
              <c:f>APKAROSANA!$A$3</c:f>
              <c:strCache>
                <c:ptCount val="1"/>
                <c:pt idx="0">
                  <c:v>Kriminālvajāšanas uzsākšanai nosūtīto lietu skaits</c:v>
                </c:pt>
              </c:strCache>
            </c:strRef>
          </c:tx>
          <c:spPr>
            <a:solidFill>
              <a:schemeClr val="accent3">
                <a:lumMod val="75000"/>
              </a:schemeClr>
            </a:solidFill>
            <a:ln>
              <a:solidFill>
                <a:schemeClr val="accent3">
                  <a:lumMod val="75000"/>
                </a:schemeClr>
              </a:solidFill>
            </a:ln>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APKAROSANA!$D$2:$K$2</c:f>
              <c:strCache>
                <c:ptCount val="8"/>
                <c:pt idx="0">
                  <c:v>2012 I</c:v>
                </c:pt>
                <c:pt idx="1">
                  <c:v>2012 II</c:v>
                </c:pt>
                <c:pt idx="2">
                  <c:v>2013 I</c:v>
                </c:pt>
                <c:pt idx="3">
                  <c:v>2013 II</c:v>
                </c:pt>
                <c:pt idx="4">
                  <c:v>2014 I</c:v>
                </c:pt>
                <c:pt idx="5">
                  <c:v>2014 II</c:v>
                </c:pt>
                <c:pt idx="6">
                  <c:v>2015 I</c:v>
                </c:pt>
                <c:pt idx="7">
                  <c:v>2015 II</c:v>
                </c:pt>
              </c:strCache>
            </c:strRef>
          </c:cat>
          <c:val>
            <c:numRef>
              <c:f>APKAROSANA!$D$3:$K$3</c:f>
              <c:numCache>
                <c:formatCode>General</c:formatCode>
                <c:ptCount val="8"/>
                <c:pt idx="0">
                  <c:v>6</c:v>
                </c:pt>
                <c:pt idx="1">
                  <c:v>6</c:v>
                </c:pt>
                <c:pt idx="2">
                  <c:v>11</c:v>
                </c:pt>
                <c:pt idx="3">
                  <c:v>5</c:v>
                </c:pt>
                <c:pt idx="4">
                  <c:v>11</c:v>
                </c:pt>
                <c:pt idx="5">
                  <c:v>16</c:v>
                </c:pt>
                <c:pt idx="6">
                  <c:v>6</c:v>
                </c:pt>
                <c:pt idx="7">
                  <c:v>10</c:v>
                </c:pt>
              </c:numCache>
            </c:numRef>
          </c:val>
        </c:ser>
        <c:ser>
          <c:idx val="1"/>
          <c:order val="1"/>
          <c:tx>
            <c:strRef>
              <c:f>APKAROSANA!$A$4</c:f>
              <c:strCache>
                <c:ptCount val="1"/>
                <c:pt idx="0">
                  <c:v>Personu skaits</c:v>
                </c:pt>
              </c:strCache>
            </c:strRef>
          </c:tx>
          <c:spPr>
            <a:solidFill>
              <a:schemeClr val="accent3">
                <a:lumMod val="60000"/>
                <a:lumOff val="40000"/>
              </a:schemeClr>
            </a:solidFill>
            <a:ln>
              <a:solidFill>
                <a:schemeClr val="accent3">
                  <a:lumMod val="60000"/>
                  <a:lumOff val="40000"/>
                </a:schemeClr>
              </a:solidFill>
            </a:ln>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APKAROSANA!$D$2:$K$2</c:f>
              <c:strCache>
                <c:ptCount val="8"/>
                <c:pt idx="0">
                  <c:v>2012 I</c:v>
                </c:pt>
                <c:pt idx="1">
                  <c:v>2012 II</c:v>
                </c:pt>
                <c:pt idx="2">
                  <c:v>2013 I</c:v>
                </c:pt>
                <c:pt idx="3">
                  <c:v>2013 II</c:v>
                </c:pt>
                <c:pt idx="4">
                  <c:v>2014 I</c:v>
                </c:pt>
                <c:pt idx="5">
                  <c:v>2014 II</c:v>
                </c:pt>
                <c:pt idx="6">
                  <c:v>2015 I</c:v>
                </c:pt>
                <c:pt idx="7">
                  <c:v>2015 II</c:v>
                </c:pt>
              </c:strCache>
            </c:strRef>
          </c:cat>
          <c:val>
            <c:numRef>
              <c:f>APKAROSANA!$D$4:$K$4</c:f>
              <c:numCache>
                <c:formatCode>General</c:formatCode>
                <c:ptCount val="8"/>
                <c:pt idx="0">
                  <c:v>31</c:v>
                </c:pt>
                <c:pt idx="1">
                  <c:v>27</c:v>
                </c:pt>
                <c:pt idx="2">
                  <c:v>38</c:v>
                </c:pt>
                <c:pt idx="3">
                  <c:v>9</c:v>
                </c:pt>
                <c:pt idx="4">
                  <c:v>32</c:v>
                </c:pt>
                <c:pt idx="5">
                  <c:v>40</c:v>
                </c:pt>
                <c:pt idx="6">
                  <c:v>15</c:v>
                </c:pt>
                <c:pt idx="7">
                  <c:v>18</c:v>
                </c:pt>
              </c:numCache>
            </c:numRef>
          </c:val>
        </c:ser>
        <c:dLbls>
          <c:showLegendKey val="0"/>
          <c:showVal val="0"/>
          <c:showCatName val="0"/>
          <c:showSerName val="0"/>
          <c:showPercent val="0"/>
          <c:showBubbleSize val="0"/>
        </c:dLbls>
        <c:gapWidth val="150"/>
        <c:axId val="169361792"/>
        <c:axId val="169363328"/>
      </c:barChart>
      <c:lineChart>
        <c:grouping val="standard"/>
        <c:varyColors val="0"/>
        <c:ser>
          <c:idx val="2"/>
          <c:order val="2"/>
          <c:tx>
            <c:strRef>
              <c:f>APKAROSANA!$A$5</c:f>
              <c:strCache>
                <c:ptCount val="1"/>
                <c:pt idx="0">
                  <c:v>Uzsāktie kriminālprocesi</c:v>
                </c:pt>
              </c:strCache>
            </c:strRef>
          </c:tx>
          <c:spPr>
            <a:ln>
              <a:solidFill>
                <a:schemeClr val="accent2">
                  <a:lumMod val="75000"/>
                </a:schemeClr>
              </a:solidFill>
            </a:ln>
          </c:spPr>
          <c:marker>
            <c:symbol val="triangle"/>
            <c:size val="5"/>
            <c:spPr>
              <a:solidFill>
                <a:schemeClr val="accent2">
                  <a:lumMod val="75000"/>
                </a:schemeClr>
              </a:solidFill>
            </c:spPr>
          </c:marker>
          <c:dPt>
            <c:idx val="4"/>
            <c:marker>
              <c:spPr>
                <a:solidFill>
                  <a:schemeClr val="accent2">
                    <a:lumMod val="75000"/>
                  </a:schemeClr>
                </a:solidFill>
                <a:ln>
                  <a:solidFill>
                    <a:schemeClr val="accent2">
                      <a:lumMod val="75000"/>
                    </a:schemeClr>
                  </a:solidFill>
                </a:ln>
              </c:spPr>
            </c:marker>
            <c:bubble3D val="0"/>
          </c:dPt>
          <c:dLbls>
            <c:dLbl>
              <c:idx val="0"/>
              <c:layout>
                <c:manualLayout>
                  <c:x val="-1.3888888888888888E-2"/>
                  <c:y val="-3.8231375750871911E-2"/>
                </c:manualLayout>
              </c:layout>
              <c:showLegendKey val="0"/>
              <c:showVal val="1"/>
              <c:showCatName val="0"/>
              <c:showSerName val="0"/>
              <c:showPercent val="0"/>
              <c:showBubbleSize val="0"/>
            </c:dLbl>
            <c:dLbl>
              <c:idx val="1"/>
              <c:layout>
                <c:manualLayout>
                  <c:x val="-1.3888888888888888E-2"/>
                  <c:y val="3.3983445111886147E-2"/>
                </c:manualLayout>
              </c:layout>
              <c:showLegendKey val="0"/>
              <c:showVal val="1"/>
              <c:showCatName val="0"/>
              <c:showSerName val="0"/>
              <c:showPercent val="0"/>
              <c:showBubbleSize val="0"/>
            </c:dLbl>
            <c:dLbl>
              <c:idx val="2"/>
              <c:layout>
                <c:manualLayout>
                  <c:x val="-1.3888888888888846E-2"/>
                  <c:y val="-4.2479306389857682E-2"/>
                </c:manualLayout>
              </c:layout>
              <c:showLegendKey val="0"/>
              <c:showVal val="1"/>
              <c:showCatName val="0"/>
              <c:showSerName val="0"/>
              <c:showPercent val="0"/>
              <c:showBubbleSize val="0"/>
            </c:dLbl>
            <c:dLbl>
              <c:idx val="3"/>
              <c:layout>
                <c:manualLayout>
                  <c:x val="-9.3742709244677754E-3"/>
                  <c:y val="2.450408440489291E-2"/>
                </c:manualLayout>
              </c:layout>
              <c:showLegendKey val="0"/>
              <c:showVal val="1"/>
              <c:showCatName val="0"/>
              <c:showSerName val="0"/>
              <c:showPercent val="0"/>
              <c:showBubbleSize val="0"/>
            </c:dLbl>
            <c:dLbl>
              <c:idx val="4"/>
              <c:layout>
                <c:manualLayout>
                  <c:x val="-1.3155803441236512E-2"/>
                  <c:y val="-6.5518476658624585E-3"/>
                </c:manualLayout>
              </c:layout>
              <c:showLegendKey val="0"/>
              <c:showVal val="1"/>
              <c:showCatName val="0"/>
              <c:showSerName val="0"/>
              <c:showPercent val="0"/>
              <c:showBubbleSize val="0"/>
            </c:dLbl>
            <c:dLbl>
              <c:idx val="6"/>
              <c:layout>
                <c:manualLayout>
                  <c:x val="-2.0100065616797901E-2"/>
                  <c:y val="3.6036165610425962E-2"/>
                </c:manualLayout>
              </c:layout>
              <c:showLegendKey val="0"/>
              <c:showVal val="1"/>
              <c:showCatName val="0"/>
              <c:showSerName val="0"/>
              <c:showPercent val="0"/>
              <c:showBubbleSize val="0"/>
            </c:dLbl>
            <c:dLbl>
              <c:idx val="7"/>
              <c:layout>
                <c:manualLayout>
                  <c:x val="-1.5226013414989793E-2"/>
                  <c:y val="-1.310402981445239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APKAROSANA!$D$2:$K$2</c:f>
              <c:strCache>
                <c:ptCount val="8"/>
                <c:pt idx="0">
                  <c:v>2012 I</c:v>
                </c:pt>
                <c:pt idx="1">
                  <c:v>2012 II</c:v>
                </c:pt>
                <c:pt idx="2">
                  <c:v>2013 I</c:v>
                </c:pt>
                <c:pt idx="3">
                  <c:v>2013 II</c:v>
                </c:pt>
                <c:pt idx="4">
                  <c:v>2014 I</c:v>
                </c:pt>
                <c:pt idx="5">
                  <c:v>2014 II</c:v>
                </c:pt>
                <c:pt idx="6">
                  <c:v>2015 I</c:v>
                </c:pt>
                <c:pt idx="7">
                  <c:v>2015 II</c:v>
                </c:pt>
              </c:strCache>
            </c:strRef>
          </c:cat>
          <c:val>
            <c:numRef>
              <c:f>APKAROSANA!$D$5:$K$5</c:f>
              <c:numCache>
                <c:formatCode>General</c:formatCode>
                <c:ptCount val="8"/>
                <c:pt idx="0">
                  <c:v>15</c:v>
                </c:pt>
                <c:pt idx="1">
                  <c:v>14</c:v>
                </c:pt>
                <c:pt idx="2">
                  <c:v>25</c:v>
                </c:pt>
                <c:pt idx="3">
                  <c:v>8</c:v>
                </c:pt>
                <c:pt idx="4">
                  <c:v>18</c:v>
                </c:pt>
                <c:pt idx="5">
                  <c:v>7</c:v>
                </c:pt>
                <c:pt idx="6">
                  <c:v>13</c:v>
                </c:pt>
                <c:pt idx="7">
                  <c:v>14</c:v>
                </c:pt>
              </c:numCache>
            </c:numRef>
          </c:val>
          <c:smooth val="0"/>
        </c:ser>
        <c:dLbls>
          <c:showLegendKey val="0"/>
          <c:showVal val="0"/>
          <c:showCatName val="0"/>
          <c:showSerName val="0"/>
          <c:showPercent val="0"/>
          <c:showBubbleSize val="0"/>
        </c:dLbls>
        <c:marker val="1"/>
        <c:smooth val="0"/>
        <c:axId val="169361792"/>
        <c:axId val="169363328"/>
      </c:lineChart>
      <c:catAx>
        <c:axId val="169361792"/>
        <c:scaling>
          <c:orientation val="minMax"/>
        </c:scaling>
        <c:delete val="0"/>
        <c:axPos val="b"/>
        <c:numFmt formatCode="General" sourceLinked="0"/>
        <c:majorTickMark val="out"/>
        <c:minorTickMark val="none"/>
        <c:tickLblPos val="nextTo"/>
        <c:crossAx val="169363328"/>
        <c:crosses val="autoZero"/>
        <c:auto val="1"/>
        <c:lblAlgn val="ctr"/>
        <c:lblOffset val="100"/>
        <c:noMultiLvlLbl val="0"/>
      </c:catAx>
      <c:valAx>
        <c:axId val="169363328"/>
        <c:scaling>
          <c:orientation val="minMax"/>
        </c:scaling>
        <c:delete val="0"/>
        <c:axPos val="l"/>
        <c:numFmt formatCode="General" sourceLinked="1"/>
        <c:majorTickMark val="out"/>
        <c:minorTickMark val="none"/>
        <c:tickLblPos val="nextTo"/>
        <c:crossAx val="169361792"/>
        <c:crosses val="autoZero"/>
        <c:crossBetween val="between"/>
      </c:valAx>
    </c:plotArea>
    <c:legend>
      <c:legendPos val="r"/>
      <c:layout>
        <c:manualLayout>
          <c:xMode val="edge"/>
          <c:yMode val="edge"/>
          <c:x val="7.2227393432460194E-2"/>
          <c:y val="0.81679845282497587"/>
          <c:w val="0.83020149655206144"/>
          <c:h val="0.18320154717502418"/>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'APK-PARTIJAS'!$A$3</c:f>
              <c:strCache>
                <c:ptCount val="1"/>
                <c:pt idx="0">
                  <c:v>Lēmumu skaits</c:v>
                </c:pt>
              </c:strCache>
            </c:strRef>
          </c:tx>
          <c:spPr>
            <a:solidFill>
              <a:schemeClr val="accent3">
                <a:lumMod val="75000"/>
              </a:schemeClr>
            </a:solidFill>
            <a:scene3d>
              <a:camera prst="orthographicFront"/>
              <a:lightRig rig="threePt" dir="t"/>
            </a:scene3d>
            <a:sp3d>
              <a:bevelT/>
            </a:sp3d>
          </c:spPr>
          <c:invertIfNegative val="0"/>
          <c:dLbls>
            <c:showLegendKey val="0"/>
            <c:showVal val="1"/>
            <c:showCatName val="0"/>
            <c:showSerName val="0"/>
            <c:showPercent val="0"/>
            <c:showBubbleSize val="0"/>
            <c:showLeaderLines val="0"/>
          </c:dLbls>
          <c:cat>
            <c:strRef>
              <c:f>'APK-PARTIJAS'!$B$2:$I$2</c:f>
              <c:strCache>
                <c:ptCount val="8"/>
                <c:pt idx="0">
                  <c:v>2012 I</c:v>
                </c:pt>
                <c:pt idx="1">
                  <c:v>2012 II</c:v>
                </c:pt>
                <c:pt idx="2">
                  <c:v>2013 I</c:v>
                </c:pt>
                <c:pt idx="3">
                  <c:v>2013 II</c:v>
                </c:pt>
                <c:pt idx="4">
                  <c:v>2014 I</c:v>
                </c:pt>
                <c:pt idx="5">
                  <c:v>2014 II</c:v>
                </c:pt>
                <c:pt idx="6">
                  <c:v>2015 I</c:v>
                </c:pt>
                <c:pt idx="7">
                  <c:v>2015 II</c:v>
                </c:pt>
              </c:strCache>
            </c:strRef>
          </c:cat>
          <c:val>
            <c:numRef>
              <c:f>'APK-PARTIJAS'!$B$3:$I$3</c:f>
              <c:numCache>
                <c:formatCode>General</c:formatCode>
                <c:ptCount val="8"/>
                <c:pt idx="0">
                  <c:v>37</c:v>
                </c:pt>
                <c:pt idx="1">
                  <c:v>8</c:v>
                </c:pt>
                <c:pt idx="2">
                  <c:v>6</c:v>
                </c:pt>
                <c:pt idx="3">
                  <c:v>37</c:v>
                </c:pt>
                <c:pt idx="4">
                  <c:v>28</c:v>
                </c:pt>
                <c:pt idx="5">
                  <c:v>18</c:v>
                </c:pt>
                <c:pt idx="6">
                  <c:v>29</c:v>
                </c:pt>
                <c:pt idx="7">
                  <c:v>7</c:v>
                </c:pt>
              </c:numCache>
            </c:numRef>
          </c:val>
        </c:ser>
        <c:ser>
          <c:idx val="1"/>
          <c:order val="1"/>
          <c:tx>
            <c:strRef>
              <c:f>'APK-PARTIJAS'!$A$4</c:f>
              <c:strCache>
                <c:ptCount val="1"/>
                <c:pt idx="0">
                  <c:v>Naudas sodi</c:v>
                </c:pt>
              </c:strCache>
            </c:strRef>
          </c:tx>
          <c:spPr>
            <a:solidFill>
              <a:schemeClr val="accent3">
                <a:lumMod val="40000"/>
                <a:lumOff val="60000"/>
              </a:schemeClr>
            </a:solidFill>
            <a:scene3d>
              <a:camera prst="orthographicFront"/>
              <a:lightRig rig="threePt" dir="t"/>
            </a:scene3d>
            <a:sp3d>
              <a:bevelT/>
              <a:bevelB/>
            </a:sp3d>
          </c:spPr>
          <c:invertIfNegative val="0"/>
          <c:dLbls>
            <c:showLegendKey val="0"/>
            <c:showVal val="1"/>
            <c:showCatName val="0"/>
            <c:showSerName val="0"/>
            <c:showPercent val="0"/>
            <c:showBubbleSize val="0"/>
            <c:showLeaderLines val="0"/>
          </c:dLbls>
          <c:cat>
            <c:strRef>
              <c:f>'APK-PARTIJAS'!$B$2:$I$2</c:f>
              <c:strCache>
                <c:ptCount val="8"/>
                <c:pt idx="0">
                  <c:v>2012 I</c:v>
                </c:pt>
                <c:pt idx="1">
                  <c:v>2012 II</c:v>
                </c:pt>
                <c:pt idx="2">
                  <c:v>2013 I</c:v>
                </c:pt>
                <c:pt idx="3">
                  <c:v>2013 II</c:v>
                </c:pt>
                <c:pt idx="4">
                  <c:v>2014 I</c:v>
                </c:pt>
                <c:pt idx="5">
                  <c:v>2014 II</c:v>
                </c:pt>
                <c:pt idx="6">
                  <c:v>2015 I</c:v>
                </c:pt>
                <c:pt idx="7">
                  <c:v>2015 II</c:v>
                </c:pt>
              </c:strCache>
            </c:strRef>
          </c:cat>
          <c:val>
            <c:numRef>
              <c:f>'APK-PARTIJAS'!$B$4:$I$4</c:f>
              <c:numCache>
                <c:formatCode>General</c:formatCode>
                <c:ptCount val="8"/>
                <c:pt idx="0">
                  <c:v>21</c:v>
                </c:pt>
                <c:pt idx="1">
                  <c:v>3</c:v>
                </c:pt>
                <c:pt idx="2">
                  <c:v>2</c:v>
                </c:pt>
                <c:pt idx="3">
                  <c:v>26</c:v>
                </c:pt>
                <c:pt idx="4">
                  <c:v>26</c:v>
                </c:pt>
                <c:pt idx="5">
                  <c:v>13</c:v>
                </c:pt>
                <c:pt idx="6">
                  <c:v>28</c:v>
                </c:pt>
                <c:pt idx="7">
                  <c:v>4</c:v>
                </c:pt>
              </c:numCache>
            </c:numRef>
          </c:val>
        </c:ser>
        <c:dLbls>
          <c:showLegendKey val="0"/>
          <c:showVal val="0"/>
          <c:showCatName val="0"/>
          <c:showSerName val="0"/>
          <c:showPercent val="0"/>
          <c:showBubbleSize val="0"/>
        </c:dLbls>
        <c:gapWidth val="150"/>
        <c:axId val="169556224"/>
        <c:axId val="169648128"/>
      </c:barChart>
      <c:catAx>
        <c:axId val="169556224"/>
        <c:scaling>
          <c:orientation val="minMax"/>
        </c:scaling>
        <c:delete val="0"/>
        <c:axPos val="b"/>
        <c:majorTickMark val="out"/>
        <c:minorTickMark val="none"/>
        <c:tickLblPos val="nextTo"/>
        <c:crossAx val="169648128"/>
        <c:crosses val="autoZero"/>
        <c:auto val="1"/>
        <c:lblAlgn val="ctr"/>
        <c:lblOffset val="100"/>
        <c:noMultiLvlLbl val="0"/>
      </c:catAx>
      <c:valAx>
        <c:axId val="169648128"/>
        <c:scaling>
          <c:orientation val="minMax"/>
        </c:scaling>
        <c:delete val="0"/>
        <c:axPos val="l"/>
        <c:majorGridlines>
          <c:spPr>
            <a:ln>
              <a:noFill/>
            </a:ln>
          </c:spPr>
        </c:majorGridlines>
        <c:numFmt formatCode="General" sourceLinked="1"/>
        <c:majorTickMark val="out"/>
        <c:minorTickMark val="none"/>
        <c:tickLblPos val="nextTo"/>
        <c:crossAx val="169556224"/>
        <c:crosses val="autoZero"/>
        <c:crossBetween val="between"/>
      </c:valAx>
    </c:plotArea>
    <c:legend>
      <c:legendPos val="b"/>
      <c:layout>
        <c:manualLayout>
          <c:xMode val="edge"/>
          <c:yMode val="edge"/>
          <c:x val="0.26665593938728949"/>
          <c:y val="0.92275501344250421"/>
          <c:w val="0.45411797443325463"/>
          <c:h val="7.7244986557495829E-2"/>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DE51-1C98-4EBD-A4DA-4614E321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17771</Words>
  <Characters>10130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"Par Korupcijas novēršanas un apkarošanas biroja darbību no 2013.gada 1.jūlija līdz 31.decembrim"</vt:lpstr>
    </vt:vector>
  </TitlesOfParts>
  <Company>KNAB</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Korupcijas novēršanas un apkarošanas biroja darbību no 2013.gada 1.jūlija līdz 31.decembrim"</dc:title>
  <dc:subject>Informatīvais ziņojums</dc:subject>
  <dc:creator>KNAB</dc:creator>
  <dc:description>Vitenburgs, 67356165-306_x000d_
andris.vitenburgs@knab.gov.lv</dc:description>
  <cp:lastModifiedBy>Laimdota Adlere</cp:lastModifiedBy>
  <cp:revision>2</cp:revision>
  <cp:lastPrinted>2016-01-27T14:38:00Z</cp:lastPrinted>
  <dcterms:created xsi:type="dcterms:W3CDTF">2016-02-01T14:58:00Z</dcterms:created>
  <dcterms:modified xsi:type="dcterms:W3CDTF">2016-02-01T14:58:00Z</dcterms:modified>
</cp:coreProperties>
</file>