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5" w:rsidRPr="00CD0130" w:rsidRDefault="00187A6D" w:rsidP="003E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F51C93" w:rsidRPr="00CD0130">
        <w:rPr>
          <w:rFonts w:ascii="Times New Roman" w:hAnsi="Times New Roman" w:cs="Times New Roman"/>
          <w:b/>
          <w:sz w:val="24"/>
          <w:szCs w:val="24"/>
        </w:rPr>
        <w:t>ini</w:t>
      </w:r>
      <w:r w:rsidR="001F4BD5" w:rsidRPr="00CD0130">
        <w:rPr>
          <w:rFonts w:ascii="Times New Roman" w:hAnsi="Times New Roman" w:cs="Times New Roman"/>
          <w:b/>
          <w:sz w:val="24"/>
          <w:szCs w:val="24"/>
        </w:rPr>
        <w:t>stru kabineta rīkojuma projekta</w:t>
      </w:r>
    </w:p>
    <w:p w:rsidR="006718C5" w:rsidRPr="00CD0130" w:rsidRDefault="00F51C93" w:rsidP="003E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30">
        <w:rPr>
          <w:rFonts w:ascii="Times New Roman" w:hAnsi="Times New Roman" w:cs="Times New Roman"/>
          <w:b/>
          <w:sz w:val="24"/>
          <w:szCs w:val="24"/>
        </w:rPr>
        <w:t>„Par finanšu līdzekļu piešķirša</w:t>
      </w:r>
      <w:r w:rsidR="006718C5" w:rsidRPr="00CD0130">
        <w:rPr>
          <w:rFonts w:ascii="Times New Roman" w:hAnsi="Times New Roman" w:cs="Times New Roman"/>
          <w:b/>
          <w:sz w:val="24"/>
          <w:szCs w:val="24"/>
        </w:rPr>
        <w:t>nu no valsts budžeta programmas</w:t>
      </w:r>
    </w:p>
    <w:p w:rsidR="00D67507" w:rsidRPr="00CD0130" w:rsidRDefault="00F51C93" w:rsidP="003E1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30">
        <w:rPr>
          <w:rFonts w:ascii="Times New Roman" w:hAnsi="Times New Roman" w:cs="Times New Roman"/>
          <w:b/>
          <w:sz w:val="24"/>
          <w:szCs w:val="24"/>
        </w:rPr>
        <w:t>„Līdzekļi neparedzētiem gadījumiem”” sākotnējās ietekmes novērtējuma ziņojums (anotācija)</w:t>
      </w:r>
    </w:p>
    <w:p w:rsidR="00F51C93" w:rsidRPr="00CD0130" w:rsidRDefault="00F51C93" w:rsidP="003E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843"/>
        <w:gridCol w:w="6769"/>
      </w:tblGrid>
      <w:tr w:rsidR="00F51C93" w:rsidRPr="00CD0130" w:rsidTr="00C263C4">
        <w:tc>
          <w:tcPr>
            <w:tcW w:w="9287" w:type="dxa"/>
            <w:gridSpan w:val="3"/>
          </w:tcPr>
          <w:p w:rsidR="00F51C93" w:rsidRPr="00CD0130" w:rsidRDefault="007171EF" w:rsidP="003E1562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4C11C0" w:rsidRPr="00CD0130" w:rsidTr="00CD0130">
        <w:tc>
          <w:tcPr>
            <w:tcW w:w="675" w:type="dxa"/>
          </w:tcPr>
          <w:p w:rsidR="004C11C0" w:rsidRPr="00CD0130" w:rsidRDefault="004C11C0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C11C0" w:rsidRPr="00CD0130" w:rsidRDefault="004C11C0" w:rsidP="003E1562">
            <w:pPr>
              <w:tabs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6769" w:type="dxa"/>
            <w:vAlign w:val="center"/>
          </w:tcPr>
          <w:p w:rsidR="0085152E" w:rsidRPr="00CD0130" w:rsidRDefault="0085152E" w:rsidP="002E0F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Ministru kabineta </w:t>
            </w:r>
            <w:r w:rsidR="002E0FAF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2014.gada 16.decembra protokollēmumu (protokols Nr.71, 54.§) „</w:t>
            </w:r>
            <w:r w:rsidR="002E0FAF" w:rsidRPr="00CD0130">
              <w:rPr>
                <w:rFonts w:ascii="Times New Roman" w:hAnsi="Times New Roman" w:cs="Times New Roman"/>
                <w:sz w:val="24"/>
                <w:szCs w:val="24"/>
              </w:rPr>
              <w:t>Informatīvais ziņojums "Par atskurbšanas telpu tiesisko statusu un pašvaldību labās prakses iniciatīvām atskurbšanas telpu nodrošināšanā"”</w:t>
            </w:r>
            <w:r w:rsidR="00356E7B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FAF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2.punktu </w:t>
            </w:r>
            <w:r w:rsidR="002E0FAF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Vides aizsardzības un reģionālās attīstības ministrijai</w:t>
            </w:r>
            <w:r w:rsidR="00356E7B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(turpmāk – ministrija)</w:t>
            </w:r>
            <w:r w:rsidR="002E0FAF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uzdots, sākot ar 2015.gadu līdz katra gada 1.februārim izvērtēt pašvaldību iesniegtos valsts budžeta līdzekļu pieprasījumus par iepriekšējo gadu par faktiskajiem izdevumiem, kas radušies atskurbināšanas pakalpojumu sniegšanā diennakts režīmā, </w:t>
            </w:r>
            <w:r w:rsidR="0026657A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2E0FAF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sagatavot un noteiktā kārtībā iesniegt Ministru kabinetā rīkojuma projektu par līdzekļu piešķiršanu no valsts budžeta programmas "Līdzekļi neparedzētiem gadījumiem", lai segtu pašvaldību izdevumus līdz 15 </w:t>
            </w:r>
            <w:r w:rsidR="00AD011B" w:rsidRPr="00AD011B">
              <w:rPr>
                <w:rStyle w:val="spelle"/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26657A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FAF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apmērā par katru atskurbšanas telpā ievietoto personu un kopā ne vairāk kā 200 000</w:t>
            </w:r>
            <w:r w:rsidR="00AD011B" w:rsidRPr="00AD011B">
              <w:rPr>
                <w:rStyle w:val="spelle"/>
                <w:rFonts w:ascii="Times New Roman" w:hAnsi="Times New Roman" w:cs="Times New Roman"/>
                <w:i/>
                <w:sz w:val="24"/>
                <w:szCs w:val="24"/>
              </w:rPr>
              <w:t xml:space="preserve">euro </w:t>
            </w:r>
            <w:r w:rsidR="002E0FAF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apmērā;</w:t>
            </w:r>
          </w:p>
          <w:p w:rsidR="0085152E" w:rsidRPr="00CD0130" w:rsidRDefault="0085152E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Daugavpils pilsētas domes 201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0135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0135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vēstule Nr.</w:t>
            </w:r>
            <w:r w:rsidR="00356E7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1.2.-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56E7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0406" w:rsidRPr="00CD0130" w:rsidRDefault="002C0406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Jūrmalas pilsētas domes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75213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5213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</w:t>
            </w:r>
            <w:r w:rsidR="00CF22D3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75213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Nr.1.1-19/3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75213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atskurbšanas pakalpojumiem”;</w:t>
            </w:r>
          </w:p>
          <w:p w:rsidR="0075213C" w:rsidRPr="00CD0130" w:rsidRDefault="0075213C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Jelgavas pilsētas</w:t>
            </w:r>
            <w:r w:rsidR="00AD3242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pašvaldības policijas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3242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D3242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D3242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.janvāra vēstule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D3242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="006F626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05-53/32-P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līdzekļu pieprasījumu no valsts budžeta programmas „Līdzekļi neparedzētiem gadījumiem”’; </w:t>
            </w:r>
          </w:p>
          <w:p w:rsidR="00E71C8C" w:rsidRPr="00CD0130" w:rsidRDefault="0075213C" w:rsidP="00E71C8C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Liepājas pilsētas domes 201</w:t>
            </w:r>
            <w:r w:rsidR="00E71C8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 2</w:t>
            </w:r>
            <w:r w:rsidR="00E71C8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</w:t>
            </w:r>
            <w:r w:rsidR="00CF22D3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Nr.3</w:t>
            </w:r>
            <w:r w:rsidR="00E71C8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46338/2.1.9/346338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1C8C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„Par līdzekļu piešķiršanu no valsts budžeta programmas „Līdzekļi neparedzētiem gadījumiem””; </w:t>
            </w:r>
          </w:p>
          <w:p w:rsidR="001037C6" w:rsidRPr="00CD0130" w:rsidRDefault="001037C6" w:rsidP="001037C6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pilsētas domes 2016.gada 20.janvāra svētule Nr.DL-16-22-nd„Par līdzekļu piešķiršanu no valsts budžeta programmas „Līdzekļi neparedzētiem gadījumiem””; </w:t>
            </w:r>
          </w:p>
          <w:p w:rsidR="0075213C" w:rsidRPr="00CD0130" w:rsidRDefault="0075213C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Rēzeknes pilsētas dome 201</w:t>
            </w:r>
            <w:r w:rsidR="00312E68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 20.janvāra vēstul</w:t>
            </w:r>
            <w:r w:rsidR="00CF22D3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Nr.3.1.1.17/</w:t>
            </w:r>
            <w:r w:rsidR="00312E68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līdzekļu piešķiršanu no valsts budžeta sakarā ar personām sniegtiem atskurbšanas pakalpojumiem Rēzeknes pilsētā”;</w:t>
            </w:r>
          </w:p>
          <w:p w:rsidR="0075213C" w:rsidRPr="00CD0130" w:rsidRDefault="0075213C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Ventspils pilsētas domes 201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 1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</w:t>
            </w:r>
            <w:r w:rsidR="00CF22D3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Nr.1-09/5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 w:rsidR="00CF22D3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„Par līdzekļu piešķiršanu no valsts budžeta programmas „Līdzekļi neparedzētiem gadījumiem””; </w:t>
            </w:r>
          </w:p>
          <w:p w:rsidR="0085152E" w:rsidRPr="00CD0130" w:rsidRDefault="00356E7B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Balvu novada </w:t>
            </w:r>
            <w:r w:rsidR="0085152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domes 201</w:t>
            </w:r>
            <w:r w:rsidR="00CD28C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5152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CD28C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5152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vēstule Nr.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D28C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5.1./200</w:t>
            </w:r>
            <w:r w:rsidR="0085152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līdzekļu piešķiršanu no valsts budžeta programmas „Līdzekļi neparedzētiem gadījumiem</w:t>
            </w:r>
            <w:r w:rsidR="0085152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391330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D87E83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45BE" w:rsidRPr="00CD0130" w:rsidRDefault="0075213C" w:rsidP="00C545B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Daugavpils novada domes 201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vēstule Nr.2.1.08/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45BE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„Par līdzekļu piešķiršanu no valsts budžeta programmas „Līdzekļi neparedzētiem gadījumiem””; </w:t>
            </w:r>
          </w:p>
          <w:p w:rsidR="0075213C" w:rsidRPr="00CD0130" w:rsidRDefault="0075213C" w:rsidP="0085152E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Dobeles novada domes 201</w:t>
            </w:r>
            <w:r w:rsidR="006F626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6F626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</w:t>
            </w:r>
            <w:r w:rsidR="006F626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Nr.2.6./</w:t>
            </w:r>
            <w:r w:rsidR="006F626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līdzekļu piešķiršanu no valsts budžeta programmas „Līdzekļi neparedzētiem gadījumiem””;</w:t>
            </w:r>
          </w:p>
          <w:p w:rsidR="0068070B" w:rsidRPr="00CD0130" w:rsidRDefault="00D87E83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Krāslavas novada domes 201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vēstule Nr.3.13/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atskurbināšanas pakalpojumu faktiski radītiem 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izdevumiem”;</w:t>
            </w:r>
          </w:p>
          <w:p w:rsidR="00CF22D3" w:rsidRPr="00CD0130" w:rsidRDefault="00CF22D3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Ogres novada pašvaldības policijas 201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.gada 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nr.1-13/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informācijas sniegšanu”;</w:t>
            </w:r>
          </w:p>
          <w:p w:rsidR="00CF22D3" w:rsidRPr="00CD0130" w:rsidRDefault="00CF22D3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Preiļu novada domes 201</w:t>
            </w:r>
            <w:r w:rsidR="00F662D7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 2</w:t>
            </w:r>
            <w:r w:rsidR="00F662D7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Nr.4-10/</w:t>
            </w:r>
            <w:r w:rsidR="00F662D7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„Par līdzekļu piešķiršanu no valsts budžeta programmas „Līdzekļi neparedzētiem gadījumiem””;</w:t>
            </w:r>
          </w:p>
          <w:p w:rsidR="00CF22D3" w:rsidRPr="00CD0130" w:rsidRDefault="00CF22D3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Talsu novada domes 201</w:t>
            </w:r>
            <w:r w:rsidR="001037C6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.gada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157D4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.janvāra vēstule Nr.12-9</w:t>
            </w:r>
            <w:r w:rsidR="00D157D4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/241</w:t>
            </w:r>
            <w:r w:rsidR="00E74361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361" w:rsidRPr="00CD0130" w:rsidRDefault="00E74361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Ludzas novada domes 2016.gada 19.janvāra vēstule Nr.3.1.1.7.2/61 „Par līdzekļu pieprasījumu”; </w:t>
            </w:r>
          </w:p>
          <w:p w:rsidR="00E74361" w:rsidRPr="00CD0130" w:rsidRDefault="00E74361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Ikšķiles novada domes 2016.gada 7.janvāra vēstule Nr.2.1-13/9 „Par līdzekļu piešķiršanu no valsts budžeta programmas „Līdzekļi neparedzētiem gadījumiem””</w:t>
            </w:r>
            <w:r w:rsidR="00F964E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77C92" w:rsidRDefault="00F964EB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Tukuma novada domes 2016.gada 20.janvāra vēstule Nr.7-3.1/7771/219 „Par personām sniegtajiem atskurbšanas pakalpojumiem”</w:t>
            </w:r>
            <w:r w:rsidR="00A77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964EB" w:rsidRPr="00CD0130" w:rsidRDefault="00A77C92" w:rsidP="0068070B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Olaines novada domes 2016.gada 19.janvāra vēstule Nr.13.2./185</w:t>
            </w:r>
            <w:r w:rsidR="00F964EB" w:rsidRPr="00CD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081C" w:rsidRPr="00CD0130" w:rsidRDefault="0095081C" w:rsidP="00CF22D3">
            <w:pPr>
              <w:pStyle w:val="ListParagraph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93" w:rsidRPr="00CD0130" w:rsidTr="00CD0130">
        <w:tc>
          <w:tcPr>
            <w:tcW w:w="675" w:type="dxa"/>
          </w:tcPr>
          <w:p w:rsidR="00F51C93" w:rsidRPr="00CD0130" w:rsidRDefault="00F51C93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F51C93" w:rsidRPr="00CD0130" w:rsidRDefault="00F51C93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769" w:type="dxa"/>
            <w:shd w:val="clear" w:color="auto" w:fill="auto"/>
          </w:tcPr>
          <w:p w:rsidR="005239D1" w:rsidRPr="00CD0130" w:rsidRDefault="005239D1" w:rsidP="005239D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Ministrija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saņ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>emot informāciju</w:t>
            </w:r>
            <w:r w:rsidR="00CF7C49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par līdzekļu piešķiršanu no valsts budžeta programmas "Līdzekļi neparedzētiem gadījumiem", lai segtu pašvaldību izdevumus par katru atskurbšanas telpā ievietoto personu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Daugavpils pilsētas domes, </w:t>
            </w:r>
            <w:r w:rsidR="005E4B08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Jūrmalas pilsētas domes, Jelgavas pilsētas domes, Liepājas pilsētas domes, </w:t>
            </w:r>
            <w:r w:rsidR="00C044A5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Rīgas pilsētas domes, </w:t>
            </w:r>
            <w:r w:rsidR="005E4B08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Rēzeknes pilsētas domes, Ventspils pilsētas domes,</w:t>
            </w:r>
            <w:r w:rsidR="005E4B08" w:rsidRPr="00CF7C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Balvu novada domes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E4B08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Daugavpils novada domes, Dobeles novada domes,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Krāslavas novada domes</w:t>
            </w:r>
            <w:r w:rsidR="005E4B08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, Ogres novada domes, Preiļu novada domes</w:t>
            </w:r>
            <w:r w:rsidR="00E74361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, Ludzas novada domes, Ikšķiles novada domes</w:t>
            </w:r>
            <w:r w:rsidR="00E71C8C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, Tukuma novada domes</w:t>
            </w:r>
            <w:r w:rsidR="00A77C92">
              <w:rPr>
                <w:rFonts w:ascii="Times New Roman" w:hAnsi="Times New Roman" w:cs="Times New Roman"/>
                <w:bCs/>
                <w:sz w:val="24"/>
                <w:szCs w:val="24"/>
              </w:rPr>
              <w:t>, Olaines novada domes</w:t>
            </w:r>
            <w:r w:rsidR="005E4B08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Talsu novada domes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26657A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izvērtēj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>usi</w:t>
            </w:r>
            <w:r w:rsidR="0026657A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 personu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atskurbšanas pakalpojumiem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saistīto izdevumu apstiprinošos dokumentus par izmaksām, kas pašvaldībām radās 201</w:t>
            </w:r>
            <w:r w:rsidR="00391637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.gadā,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sniedzot at</w:t>
            </w:r>
            <w:r w:rsidR="00D87E83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skurbināšanas pakalpojumus diennakts režīmā</w:t>
            </w:r>
            <w:r w:rsidR="00D87E83" w:rsidRPr="00CD01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personām, </w:t>
            </w:r>
            <w:r w:rsidR="00D87E83" w:rsidRPr="00CD0130">
              <w:rPr>
                <w:rFonts w:ascii="Times New Roman" w:hAnsi="Times New Roman" w:cs="Times New Roman"/>
                <w:sz w:val="24"/>
                <w:szCs w:val="24"/>
              </w:rPr>
              <w:t>kuras alkohola reibumā atrodas bezpalīdzības stāvoklī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87E83" w:rsidRPr="00CD0130" w:rsidRDefault="005239D1" w:rsidP="00D87E83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Ņemot vērā to, ka izmaksas, kas pašvaldībām radušās,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sniedzot at</w:t>
            </w:r>
            <w:r w:rsidR="00D87E83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skurbināšanas pakalpojumus diennakts režīmā</w:t>
            </w:r>
            <w:r w:rsidR="00D87E83" w:rsidRPr="00CD01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personām, </w:t>
            </w:r>
            <w:r w:rsidR="00D87E83" w:rsidRPr="00CD0130">
              <w:rPr>
                <w:rFonts w:ascii="Times New Roman" w:hAnsi="Times New Roman" w:cs="Times New Roman"/>
                <w:sz w:val="24"/>
                <w:szCs w:val="24"/>
              </w:rPr>
              <w:t>kuras alkohola reibumā atrodas bezpalīdzības stāvoklī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ir pašvaldībām neparedzēti izdevumi, </w:t>
            </w:r>
            <w:r w:rsidR="00D9076B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ministrija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57A">
              <w:rPr>
                <w:rFonts w:ascii="Times New Roman" w:hAnsi="Times New Roman" w:cs="Times New Roman"/>
                <w:bCs/>
                <w:sz w:val="24"/>
                <w:szCs w:val="24"/>
              </w:rPr>
              <w:t>ir sagatavojusi</w:t>
            </w:r>
            <w:r w:rsidR="0026657A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rīkojuma projektu „Par finanšu līdzekļu piešķiršanu no valsts budžeta programmas „Līdzekļi neparedzētiem gadījumiem””, kas paredz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Finanšu ministrijai no valsts budžeta programmas 02.00.00 „Līdzekļi neparedzētiem gadījumiem” piešķirt Vides aizsardzības un reģionālās attīstības ministrijai</w:t>
            </w:r>
            <w:r w:rsidR="005E4B08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0130" w:rsidRPr="00C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195 </w:t>
            </w:r>
            <w:r w:rsidR="00A7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</w:t>
            </w:r>
            <w:r w:rsidR="00D87E83" w:rsidRPr="00C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euro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pārskaitīšanai pašvaldībām, lai segtu faktiskos izdevumus,</w:t>
            </w:r>
            <w:r w:rsidR="00D87E83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kas pašvaldībām radušies 201</w:t>
            </w:r>
            <w:r w:rsidR="00391637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.gadā, sniedzot at</w:t>
            </w:r>
            <w:r w:rsidR="00D87E83" w:rsidRPr="00CD0130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skurbināšanas pakalpojumus diennakts režīmā</w:t>
            </w:r>
            <w:r w:rsidR="00D87E83" w:rsidRPr="00CD01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personām, </w:t>
            </w:r>
            <w:r w:rsidR="00D87E83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kuras alkohola reibumā atrodas bezpalīdzības stāvoklī, līdz 15 </w:t>
            </w:r>
            <w:r w:rsidR="00D87E83" w:rsidRPr="00CD0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D87E83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 apmērā par katru atskurbšanas telpā ievietoto personu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87E83" w:rsidRPr="00CD013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D87E83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tajā skaitā: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Daugavpils pilsētas domei – 33 645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Jūrmalas pilsētas domei – 10 170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Jelgavas pilsētas domei - 33 585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Liepājas pilsētas domei – 41 085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Ventspils pilsētas domei – 6 420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Rīgas pilsētas domei – 30 261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Rēzeknes pilsētas domei – 3 180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Balvu novada domei – 7 365euro;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Daugavpils novada domei – 5 760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Dobeles novada domei – 1 455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Krāslavas novada domei – 690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Ogres novada domei – 8 070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Preiļu novada domei – 4 380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Talsu novada domei – 2 430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Ludzas novada dome – 5 565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Ikšķiles novada dome – 102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77C92" w:rsidRDefault="00CD0130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Tukuma novada dome – 1 290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="00A77C9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0130" w:rsidRPr="00CD0130" w:rsidRDefault="00A77C92" w:rsidP="00CD0130">
            <w:pPr>
              <w:numPr>
                <w:ilvl w:val="0"/>
                <w:numId w:val="5"/>
              </w:numPr>
              <w:ind w:left="924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Olaines novada dome – 51 </w:t>
            </w:r>
            <w:r w:rsidR="00AD011B" w:rsidRPr="00AD011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="00CD0130" w:rsidRPr="00CD01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4DC2" w:rsidRPr="00CD0130" w:rsidRDefault="00B04DC2" w:rsidP="00CD0130">
            <w:pPr>
              <w:ind w:left="9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C93" w:rsidRPr="00CD0130" w:rsidTr="00CD0130">
        <w:tc>
          <w:tcPr>
            <w:tcW w:w="675" w:type="dxa"/>
          </w:tcPr>
          <w:p w:rsidR="00F51C93" w:rsidRPr="00CD0130" w:rsidRDefault="00F51C93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F51C93" w:rsidRPr="00CD0130" w:rsidRDefault="00A42A2B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6769" w:type="dxa"/>
            <w:shd w:val="clear" w:color="auto" w:fill="auto"/>
          </w:tcPr>
          <w:p w:rsidR="00F51C93" w:rsidRPr="00CD0130" w:rsidRDefault="0026657A" w:rsidP="00E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F51C93" w:rsidRPr="00CD0130" w:rsidTr="00CD0130">
        <w:tc>
          <w:tcPr>
            <w:tcW w:w="675" w:type="dxa"/>
          </w:tcPr>
          <w:p w:rsidR="00F51C93" w:rsidRPr="00CD0130" w:rsidRDefault="00F51C93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F51C93" w:rsidRPr="00CD0130" w:rsidRDefault="00A42A2B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769" w:type="dxa"/>
          </w:tcPr>
          <w:p w:rsidR="00F51C93" w:rsidRPr="00CD0130" w:rsidRDefault="00E57258" w:rsidP="00E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89630E" w:rsidRPr="00CD0130" w:rsidRDefault="0089630E" w:rsidP="0089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7" w:type="dxa"/>
        <w:tblLayout w:type="fixed"/>
        <w:tblLook w:val="04A0"/>
      </w:tblPr>
      <w:tblGrid>
        <w:gridCol w:w="2791"/>
        <w:gridCol w:w="1266"/>
        <w:gridCol w:w="1438"/>
        <w:gridCol w:w="1276"/>
        <w:gridCol w:w="1275"/>
        <w:gridCol w:w="1241"/>
      </w:tblGrid>
      <w:tr w:rsidR="00185740" w:rsidRPr="00CD0130" w:rsidTr="000B133C">
        <w:tc>
          <w:tcPr>
            <w:tcW w:w="9287" w:type="dxa"/>
            <w:gridSpan w:val="6"/>
            <w:vAlign w:val="center"/>
          </w:tcPr>
          <w:p w:rsidR="00185740" w:rsidRPr="00CD0130" w:rsidRDefault="007171EF" w:rsidP="003E1562">
            <w:pPr>
              <w:pStyle w:val="ListParagraph"/>
              <w:tabs>
                <w:tab w:val="left" w:pos="2268"/>
                <w:tab w:val="left" w:pos="2410"/>
              </w:tabs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7171EF" w:rsidRPr="00CD0130" w:rsidTr="000B133C">
        <w:tc>
          <w:tcPr>
            <w:tcW w:w="2791" w:type="dxa"/>
            <w:vMerge w:val="restart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7171EF" w:rsidRPr="00CD0130" w:rsidRDefault="00F56B79" w:rsidP="00B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E0883"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71EF"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gads</w:t>
            </w:r>
          </w:p>
        </w:tc>
        <w:tc>
          <w:tcPr>
            <w:tcW w:w="3792" w:type="dxa"/>
            <w:gridSpan w:val="3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Turpmākie trīs gadi (euro)</w:t>
            </w:r>
          </w:p>
        </w:tc>
      </w:tr>
      <w:tr w:rsidR="000B133C" w:rsidRPr="00CD0130" w:rsidTr="00D42F13">
        <w:tc>
          <w:tcPr>
            <w:tcW w:w="2791" w:type="dxa"/>
            <w:vMerge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1EF" w:rsidRPr="00CD0130" w:rsidRDefault="00F56B79" w:rsidP="00B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E0883"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1275" w:type="dxa"/>
            <w:vAlign w:val="center"/>
          </w:tcPr>
          <w:p w:rsidR="007171EF" w:rsidRPr="00CD0130" w:rsidRDefault="00F56B79" w:rsidP="00B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E0883"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1241" w:type="dxa"/>
            <w:vAlign w:val="center"/>
          </w:tcPr>
          <w:p w:rsidR="007171EF" w:rsidRPr="00CD0130" w:rsidRDefault="00F56B79" w:rsidP="00B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E0883"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</w:tr>
      <w:tr w:rsidR="000B133C" w:rsidRPr="00CD0130" w:rsidTr="00D42F13">
        <w:tc>
          <w:tcPr>
            <w:tcW w:w="2791" w:type="dxa"/>
            <w:vMerge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38" w:type="dxa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1276" w:type="dxa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izmaiņas, salīdzinot ar kārtējo (n) gadu</w:t>
            </w:r>
          </w:p>
        </w:tc>
        <w:tc>
          <w:tcPr>
            <w:tcW w:w="1275" w:type="dxa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izmaiņas, salīdzinot ar kārtējo (n) gadu</w:t>
            </w:r>
          </w:p>
        </w:tc>
        <w:tc>
          <w:tcPr>
            <w:tcW w:w="1241" w:type="dxa"/>
            <w:vAlign w:val="center"/>
          </w:tcPr>
          <w:p w:rsidR="007171EF" w:rsidRPr="00CD0130" w:rsidRDefault="007171EF" w:rsidP="003E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sz w:val="24"/>
                <w:szCs w:val="24"/>
              </w:rPr>
              <w:t>izmaiņas, salīdzinot ar kārtējo (n) gadu</w:t>
            </w:r>
          </w:p>
        </w:tc>
      </w:tr>
      <w:tr w:rsidR="000B133C" w:rsidRPr="00CD0130" w:rsidTr="00D42F13">
        <w:tc>
          <w:tcPr>
            <w:tcW w:w="2791" w:type="dxa"/>
            <w:vAlign w:val="center"/>
          </w:tcPr>
          <w:p w:rsidR="00185740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Align w:val="center"/>
          </w:tcPr>
          <w:p w:rsidR="00185740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185740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85740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85740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center"/>
          </w:tcPr>
          <w:p w:rsidR="00185740" w:rsidRPr="00CD0130" w:rsidRDefault="007171EF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1. Budžeta ieņēmumi: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1.2. valsts speciālais 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3F36AE" w:rsidP="00A77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33A42" w:rsidRPr="00CD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130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A77C9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3F36AE" w:rsidP="00A77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D0130" w:rsidRPr="00CD013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A77C92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3F36AE" w:rsidP="00A77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0130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r w:rsidR="00A77C9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3F36AE" w:rsidP="00A77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3A42" w:rsidRPr="00CD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130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A77C9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3C" w:rsidRPr="00CD0130" w:rsidTr="007D5E96">
        <w:tc>
          <w:tcPr>
            <w:tcW w:w="2791" w:type="dxa"/>
          </w:tcPr>
          <w:p w:rsidR="00185740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1266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vAlign w:val="center"/>
          </w:tcPr>
          <w:p w:rsidR="00185740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85740" w:rsidRPr="00CD0130" w:rsidRDefault="00185740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6AE" w:rsidRPr="00CD0130" w:rsidTr="007D5E96">
        <w:trPr>
          <w:trHeight w:val="1380"/>
        </w:trPr>
        <w:tc>
          <w:tcPr>
            <w:tcW w:w="2791" w:type="dxa"/>
          </w:tcPr>
          <w:p w:rsidR="003F36AE" w:rsidRPr="00CD0130" w:rsidRDefault="003F36AE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Finanšu līdzekļi papildu izdevumu finansēšanai (kompensējošu izdevumu samazinājumu norāda ar "+" zīmi</w:t>
            </w:r>
          </w:p>
        </w:tc>
        <w:tc>
          <w:tcPr>
            <w:tcW w:w="1266" w:type="dxa"/>
            <w:vAlign w:val="center"/>
          </w:tcPr>
          <w:p w:rsidR="003F36AE" w:rsidRPr="00CD0130" w:rsidRDefault="003F36AE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3F36AE" w:rsidRPr="00CD0130" w:rsidRDefault="003F36AE" w:rsidP="00A77C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A47F3" w:rsidRPr="00CD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130"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A77C9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3F36AE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3F36AE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3F36AE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F13" w:rsidRPr="00CD0130" w:rsidTr="007D5E96">
        <w:tc>
          <w:tcPr>
            <w:tcW w:w="2791" w:type="dxa"/>
          </w:tcPr>
          <w:p w:rsidR="007171EF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266" w:type="dxa"/>
            <w:vMerge w:val="restart"/>
            <w:vAlign w:val="center"/>
          </w:tcPr>
          <w:p w:rsidR="007171EF" w:rsidRPr="00CD0130" w:rsidRDefault="007171EF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8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F13" w:rsidRPr="00CD0130" w:rsidTr="004B667D">
        <w:tc>
          <w:tcPr>
            <w:tcW w:w="2791" w:type="dxa"/>
            <w:tcBorders>
              <w:bottom w:val="single" w:sz="4" w:space="0" w:color="auto"/>
            </w:tcBorders>
          </w:tcPr>
          <w:p w:rsidR="007171EF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:rsidR="007171EF" w:rsidRPr="00CD0130" w:rsidRDefault="007171EF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F13" w:rsidRPr="00CD0130" w:rsidTr="004B667D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F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F" w:rsidRPr="00CD0130" w:rsidRDefault="007171EF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2F13" w:rsidRPr="00CD0130" w:rsidTr="004B667D">
        <w:tc>
          <w:tcPr>
            <w:tcW w:w="2791" w:type="dxa"/>
            <w:tcBorders>
              <w:top w:val="single" w:sz="4" w:space="0" w:color="auto"/>
            </w:tcBorders>
          </w:tcPr>
          <w:p w:rsidR="007171EF" w:rsidRPr="00CD0130" w:rsidRDefault="007171EF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1266" w:type="dxa"/>
            <w:vMerge/>
            <w:tcBorders>
              <w:top w:val="single" w:sz="4" w:space="0" w:color="auto"/>
            </w:tcBorders>
            <w:vAlign w:val="center"/>
          </w:tcPr>
          <w:p w:rsidR="007171EF" w:rsidRPr="00CD0130" w:rsidRDefault="007171EF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7171EF" w:rsidRPr="00CD0130" w:rsidRDefault="00BB59C5" w:rsidP="007D5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444E" w:rsidRPr="00CD0130" w:rsidTr="000B133C">
        <w:tc>
          <w:tcPr>
            <w:tcW w:w="2791" w:type="dxa"/>
          </w:tcPr>
          <w:p w:rsidR="0023444E" w:rsidRPr="00CD0130" w:rsidRDefault="0023444E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496" w:type="dxa"/>
            <w:gridSpan w:val="5"/>
            <w:vMerge w:val="restart"/>
          </w:tcPr>
          <w:p w:rsidR="0023444E" w:rsidRPr="00CD0130" w:rsidRDefault="0098180A" w:rsidP="00981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 xml:space="preserve">7310 </w:t>
            </w:r>
            <w:r w:rsidRPr="00CD0130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valsts budžeta uzturēšanas izdevumu transferti pašvaldībām noteiktam mērķim.</w:t>
            </w:r>
          </w:p>
        </w:tc>
      </w:tr>
      <w:tr w:rsidR="0023444E" w:rsidRPr="00CD0130" w:rsidTr="000B133C">
        <w:tc>
          <w:tcPr>
            <w:tcW w:w="2791" w:type="dxa"/>
          </w:tcPr>
          <w:p w:rsidR="0023444E" w:rsidRPr="00CD0130" w:rsidRDefault="0023444E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496" w:type="dxa"/>
            <w:gridSpan w:val="5"/>
            <w:vMerge/>
          </w:tcPr>
          <w:p w:rsidR="0023444E" w:rsidRPr="00CD0130" w:rsidRDefault="0023444E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4E" w:rsidRPr="00CD0130" w:rsidTr="000B133C">
        <w:tc>
          <w:tcPr>
            <w:tcW w:w="2791" w:type="dxa"/>
          </w:tcPr>
          <w:p w:rsidR="0023444E" w:rsidRPr="00CD0130" w:rsidRDefault="0023444E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496" w:type="dxa"/>
            <w:gridSpan w:val="5"/>
            <w:vMerge/>
          </w:tcPr>
          <w:p w:rsidR="0023444E" w:rsidRPr="00CD0130" w:rsidRDefault="0023444E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4E" w:rsidRPr="00CD0130" w:rsidTr="000B133C">
        <w:tc>
          <w:tcPr>
            <w:tcW w:w="2791" w:type="dxa"/>
          </w:tcPr>
          <w:p w:rsidR="0023444E" w:rsidRPr="00CD0130" w:rsidRDefault="0023444E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6496" w:type="dxa"/>
            <w:gridSpan w:val="5"/>
          </w:tcPr>
          <w:p w:rsidR="0023444E" w:rsidRPr="00CD0130" w:rsidRDefault="00BB59C5" w:rsidP="00BB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Izdevumus sedz no valsts budžeta programmas 02.00.00 „Līdzekļi neparedzētiem gadījumiem”.</w:t>
            </w:r>
          </w:p>
        </w:tc>
      </w:tr>
    </w:tbl>
    <w:p w:rsidR="00185740" w:rsidRPr="00CD0130" w:rsidRDefault="00185740" w:rsidP="003E1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111"/>
        <w:gridCol w:w="4359"/>
      </w:tblGrid>
      <w:tr w:rsidR="003E1562" w:rsidRPr="00CD0130" w:rsidTr="002A2D1B">
        <w:tc>
          <w:tcPr>
            <w:tcW w:w="9287" w:type="dxa"/>
            <w:gridSpan w:val="3"/>
          </w:tcPr>
          <w:p w:rsidR="003E1562" w:rsidRPr="00CD0130" w:rsidRDefault="003E1562" w:rsidP="003E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3E1562" w:rsidRPr="00CD0130" w:rsidTr="00BB59C5">
        <w:tc>
          <w:tcPr>
            <w:tcW w:w="817" w:type="dxa"/>
          </w:tcPr>
          <w:p w:rsidR="003E1562" w:rsidRPr="00CD0130" w:rsidRDefault="003E1562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E1562" w:rsidRPr="00CD0130" w:rsidRDefault="003E1562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4359" w:type="dxa"/>
          </w:tcPr>
          <w:p w:rsidR="003E1562" w:rsidRPr="00CD0130" w:rsidRDefault="00BB59C5" w:rsidP="00BB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Finanšu ministrija.</w:t>
            </w:r>
          </w:p>
        </w:tc>
      </w:tr>
      <w:tr w:rsidR="006F05FF" w:rsidRPr="00CD0130" w:rsidTr="00BB59C5">
        <w:tc>
          <w:tcPr>
            <w:tcW w:w="817" w:type="dxa"/>
          </w:tcPr>
          <w:p w:rsidR="003E1562" w:rsidRPr="00CD0130" w:rsidRDefault="003E1562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E1562" w:rsidRPr="00CD0130" w:rsidRDefault="003E1562" w:rsidP="003E1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3E1562" w:rsidRPr="00CD0130" w:rsidRDefault="003E1562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359" w:type="dxa"/>
          </w:tcPr>
          <w:p w:rsidR="003E1562" w:rsidRPr="00CD0130" w:rsidRDefault="00BB59C5" w:rsidP="00BB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6F05FF" w:rsidRPr="00CD0130" w:rsidTr="00BB59C5">
        <w:tc>
          <w:tcPr>
            <w:tcW w:w="817" w:type="dxa"/>
          </w:tcPr>
          <w:p w:rsidR="003E1562" w:rsidRPr="00CD0130" w:rsidRDefault="003E1562" w:rsidP="00BC4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E1562" w:rsidRPr="00CD0130" w:rsidRDefault="003E1562" w:rsidP="003E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4359" w:type="dxa"/>
          </w:tcPr>
          <w:p w:rsidR="003E1562" w:rsidRPr="00CD0130" w:rsidRDefault="00BB59C5" w:rsidP="00BB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3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3E1562" w:rsidRDefault="003E1562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7A" w:rsidRPr="00CD0130" w:rsidRDefault="0026657A" w:rsidP="00266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57A" w:rsidRPr="00E01547" w:rsidRDefault="00AD011B" w:rsidP="002665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11B">
        <w:rPr>
          <w:rFonts w:ascii="Times New Roman" w:hAnsi="Times New Roman" w:cs="Times New Roman"/>
          <w:i/>
          <w:sz w:val="24"/>
          <w:szCs w:val="24"/>
        </w:rPr>
        <w:t>Anotācijas II., IV., V., VI. sadaļa – projekts šīs jomas neskar.</w:t>
      </w:r>
    </w:p>
    <w:p w:rsidR="008C0048" w:rsidRPr="00CD0130" w:rsidRDefault="008C0048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CA" w:rsidRPr="00CD0130" w:rsidRDefault="00A250C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48" w:rsidRPr="00CD0130" w:rsidRDefault="008C0048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30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:rsidR="008C0048" w:rsidRPr="00CD0130" w:rsidRDefault="00BE0883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30">
        <w:rPr>
          <w:rFonts w:ascii="Times New Roman" w:hAnsi="Times New Roman" w:cs="Times New Roman"/>
          <w:sz w:val="24"/>
          <w:szCs w:val="24"/>
        </w:rPr>
        <w:t>attīstības ministrs</w:t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Pr="00CD0130">
        <w:rPr>
          <w:rFonts w:ascii="Times New Roman" w:hAnsi="Times New Roman" w:cs="Times New Roman"/>
          <w:sz w:val="24"/>
          <w:szCs w:val="24"/>
        </w:rPr>
        <w:tab/>
      </w:r>
      <w:r w:rsidR="0042731E" w:rsidRPr="00CD0130">
        <w:rPr>
          <w:rFonts w:ascii="Times New Roman" w:hAnsi="Times New Roman" w:cs="Times New Roman"/>
          <w:sz w:val="24"/>
          <w:szCs w:val="24"/>
        </w:rPr>
        <w:t>K.Gerhards</w:t>
      </w:r>
    </w:p>
    <w:p w:rsidR="00A250CA" w:rsidRPr="00CD0130" w:rsidRDefault="00A250CA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48" w:rsidRPr="00CD0130" w:rsidRDefault="008C0048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130">
        <w:rPr>
          <w:rFonts w:ascii="Times New Roman" w:hAnsi="Times New Roman" w:cs="Times New Roman"/>
          <w:sz w:val="24"/>
          <w:szCs w:val="24"/>
        </w:rPr>
        <w:t>Vīza:</w:t>
      </w:r>
    </w:p>
    <w:p w:rsidR="00E01547" w:rsidRDefault="005C47DF" w:rsidP="0043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01547" w:rsidRPr="00CD0130">
        <w:rPr>
          <w:rFonts w:ascii="Times New Roman" w:hAnsi="Times New Roman" w:cs="Times New Roman"/>
          <w:sz w:val="24"/>
          <w:szCs w:val="24"/>
        </w:rPr>
        <w:t>alsts sekretāra p.i.</w:t>
      </w:r>
    </w:p>
    <w:p w:rsidR="00436C44" w:rsidRPr="00CD0130" w:rsidRDefault="00E01547" w:rsidP="0043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D0130">
        <w:rPr>
          <w:rFonts w:ascii="Times New Roman" w:hAnsi="Times New Roman" w:cs="Times New Roman"/>
          <w:sz w:val="24"/>
          <w:szCs w:val="24"/>
        </w:rPr>
        <w:t xml:space="preserve">alsts </w:t>
      </w:r>
      <w:r w:rsidR="00171C09">
        <w:rPr>
          <w:rFonts w:ascii="Times New Roman" w:hAnsi="Times New Roman" w:cs="Times New Roman"/>
          <w:sz w:val="24"/>
          <w:szCs w:val="24"/>
        </w:rPr>
        <w:t>sekretāra vietniece                                                                                             E.Turka</w:t>
      </w:r>
    </w:p>
    <w:p w:rsidR="00BE0883" w:rsidRPr="00CD0130" w:rsidRDefault="00171C09" w:rsidP="0043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048" w:rsidRPr="00A250CA" w:rsidRDefault="008C0048" w:rsidP="008C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048" w:rsidRPr="00CD0130" w:rsidRDefault="00CD0130" w:rsidP="008C00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130">
        <w:rPr>
          <w:rFonts w:ascii="Times New Roman" w:hAnsi="Times New Roman" w:cs="Times New Roman"/>
          <w:sz w:val="20"/>
          <w:szCs w:val="20"/>
        </w:rPr>
        <w:t>2</w:t>
      </w:r>
      <w:r w:rsidR="00CF7C49">
        <w:rPr>
          <w:rFonts w:ascii="Times New Roman" w:hAnsi="Times New Roman" w:cs="Times New Roman"/>
          <w:sz w:val="20"/>
          <w:szCs w:val="20"/>
        </w:rPr>
        <w:t>8</w:t>
      </w:r>
      <w:r w:rsidR="0042731E" w:rsidRPr="00CD0130">
        <w:rPr>
          <w:rFonts w:ascii="Times New Roman" w:hAnsi="Times New Roman" w:cs="Times New Roman"/>
          <w:sz w:val="20"/>
          <w:szCs w:val="20"/>
        </w:rPr>
        <w:t>.01.201</w:t>
      </w:r>
      <w:r w:rsidR="00BE0883" w:rsidRPr="00CD0130">
        <w:rPr>
          <w:rFonts w:ascii="Times New Roman" w:hAnsi="Times New Roman" w:cs="Times New Roman"/>
          <w:sz w:val="20"/>
          <w:szCs w:val="20"/>
        </w:rPr>
        <w:t>6</w:t>
      </w:r>
      <w:r w:rsidR="0042731E" w:rsidRPr="00CD0130">
        <w:rPr>
          <w:rFonts w:ascii="Times New Roman" w:hAnsi="Times New Roman" w:cs="Times New Roman"/>
          <w:sz w:val="20"/>
          <w:szCs w:val="20"/>
        </w:rPr>
        <w:t>.</w:t>
      </w:r>
      <w:r w:rsidR="008C0048" w:rsidRPr="00CD0130">
        <w:rPr>
          <w:rFonts w:ascii="Times New Roman" w:hAnsi="Times New Roman" w:cs="Times New Roman"/>
          <w:sz w:val="20"/>
          <w:szCs w:val="20"/>
        </w:rPr>
        <w:t xml:space="preserve"> </w:t>
      </w:r>
      <w:r w:rsidR="00CF7C49">
        <w:rPr>
          <w:rFonts w:ascii="Times New Roman" w:hAnsi="Times New Roman" w:cs="Times New Roman"/>
          <w:sz w:val="20"/>
          <w:szCs w:val="20"/>
        </w:rPr>
        <w:t>13</w:t>
      </w:r>
      <w:r w:rsidR="008C0048" w:rsidRPr="00CD0130">
        <w:rPr>
          <w:rFonts w:ascii="Times New Roman" w:hAnsi="Times New Roman" w:cs="Times New Roman"/>
          <w:sz w:val="20"/>
          <w:szCs w:val="20"/>
        </w:rPr>
        <w:t>:</w:t>
      </w:r>
      <w:r w:rsidR="00CF7C49">
        <w:rPr>
          <w:rFonts w:ascii="Times New Roman" w:hAnsi="Times New Roman" w:cs="Times New Roman"/>
          <w:sz w:val="20"/>
          <w:szCs w:val="20"/>
        </w:rPr>
        <w:t>15</w:t>
      </w:r>
    </w:p>
    <w:p w:rsidR="008C0048" w:rsidRPr="00CD0130" w:rsidRDefault="00AD011B" w:rsidP="008C00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7C49">
        <w:rPr>
          <w:rFonts w:ascii="Times New Roman" w:hAnsi="Times New Roman" w:cs="Times New Roman"/>
          <w:sz w:val="20"/>
          <w:szCs w:val="20"/>
        </w:rPr>
        <w:t>10</w:t>
      </w:r>
      <w:r w:rsidR="00CF7C49" w:rsidRPr="00CF7C49">
        <w:rPr>
          <w:rFonts w:ascii="Times New Roman" w:hAnsi="Times New Roman" w:cs="Times New Roman"/>
          <w:sz w:val="20"/>
          <w:szCs w:val="20"/>
        </w:rPr>
        <w:t>82</w:t>
      </w:r>
    </w:p>
    <w:p w:rsidR="008C0048" w:rsidRPr="00CD0130" w:rsidRDefault="0042731E" w:rsidP="008C00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130">
        <w:rPr>
          <w:rFonts w:ascii="Times New Roman" w:hAnsi="Times New Roman" w:cs="Times New Roman"/>
          <w:sz w:val="20"/>
          <w:szCs w:val="20"/>
        </w:rPr>
        <w:t>Dz.Muzikante</w:t>
      </w:r>
    </w:p>
    <w:p w:rsidR="008C0048" w:rsidRPr="00BE0883" w:rsidRDefault="008C0048" w:rsidP="008C00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0130">
        <w:rPr>
          <w:rFonts w:ascii="Times New Roman" w:hAnsi="Times New Roman" w:cs="Times New Roman"/>
          <w:sz w:val="20"/>
          <w:szCs w:val="20"/>
        </w:rPr>
        <w:t>6</w:t>
      </w:r>
      <w:r w:rsidR="00BE0883" w:rsidRPr="00CD0130">
        <w:rPr>
          <w:rFonts w:ascii="Times New Roman" w:hAnsi="Times New Roman" w:cs="Times New Roman"/>
          <w:sz w:val="20"/>
          <w:szCs w:val="20"/>
        </w:rPr>
        <w:t>7026930</w:t>
      </w:r>
    </w:p>
    <w:p w:rsidR="0042731E" w:rsidRPr="00BE0883" w:rsidRDefault="00254212" w:rsidP="00DD77F4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hyperlink r:id="rId8" w:history="1">
        <w:r w:rsidR="0042731E" w:rsidRPr="00BE0883">
          <w:rPr>
            <w:rStyle w:val="Hyperlink"/>
            <w:rFonts w:ascii="Times New Roman" w:hAnsi="Times New Roman" w:cs="Times New Roman"/>
            <w:sz w:val="20"/>
            <w:szCs w:val="20"/>
          </w:rPr>
          <w:t>dzintra.muzikante@varam.gov.lv</w:t>
        </w:r>
      </w:hyperlink>
    </w:p>
    <w:p w:rsidR="00A27F8E" w:rsidRPr="0042731E" w:rsidRDefault="0042731E" w:rsidP="00DD77F4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  <w:r w:rsidRPr="00427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7F8E" w:rsidRPr="0042731E" w:rsidSect="006718C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E5" w:rsidRDefault="00D663E5" w:rsidP="006718C5">
      <w:pPr>
        <w:spacing w:after="0" w:line="240" w:lineRule="auto"/>
      </w:pPr>
      <w:r>
        <w:separator/>
      </w:r>
    </w:p>
  </w:endnote>
  <w:endnote w:type="continuationSeparator" w:id="0">
    <w:p w:rsidR="00D663E5" w:rsidRDefault="00D663E5" w:rsidP="0067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Pr="008C0048" w:rsidRDefault="007D5E96" w:rsidP="008C0048">
    <w:pPr>
      <w:pStyle w:val="Footer"/>
      <w:rPr>
        <w:rFonts w:ascii="Times New Roman" w:hAnsi="Times New Roman" w:cs="Times New Roman"/>
        <w:sz w:val="20"/>
        <w:szCs w:val="20"/>
      </w:rPr>
    </w:pPr>
    <w:r w:rsidRPr="00CD0130">
      <w:rPr>
        <w:rFonts w:ascii="Times New Roman" w:hAnsi="Times New Roman" w:cs="Times New Roman"/>
        <w:sz w:val="20"/>
        <w:szCs w:val="20"/>
      </w:rPr>
      <w:t>VARAM</w:t>
    </w:r>
    <w:r w:rsidR="00313BD6">
      <w:rPr>
        <w:rFonts w:ascii="Times New Roman" w:hAnsi="Times New Roman" w:cs="Times New Roman"/>
        <w:sz w:val="20"/>
        <w:szCs w:val="20"/>
      </w:rPr>
      <w:t>A</w:t>
    </w:r>
    <w:r w:rsidRPr="00CD0130">
      <w:rPr>
        <w:rFonts w:ascii="Times New Roman" w:hAnsi="Times New Roman" w:cs="Times New Roman"/>
        <w:sz w:val="20"/>
        <w:szCs w:val="20"/>
      </w:rPr>
      <w:t>not</w:t>
    </w:r>
    <w:r w:rsidR="0026657A">
      <w:rPr>
        <w:rFonts w:ascii="Times New Roman" w:hAnsi="Times New Roman" w:cs="Times New Roman"/>
        <w:sz w:val="20"/>
        <w:szCs w:val="20"/>
      </w:rPr>
      <w:t>_</w:t>
    </w:r>
    <w:r w:rsidR="00267BD9" w:rsidRPr="00CD0130">
      <w:rPr>
        <w:rFonts w:ascii="Times New Roman" w:hAnsi="Times New Roman" w:cs="Times New Roman"/>
        <w:sz w:val="20"/>
        <w:szCs w:val="20"/>
      </w:rPr>
      <w:t>2</w:t>
    </w:r>
    <w:r w:rsidR="00CF7C49">
      <w:rPr>
        <w:rFonts w:ascii="Times New Roman" w:hAnsi="Times New Roman" w:cs="Times New Roman"/>
        <w:sz w:val="20"/>
        <w:szCs w:val="20"/>
      </w:rPr>
      <w:t>8</w:t>
    </w:r>
    <w:r w:rsidR="00267BD9" w:rsidRPr="00CD0130">
      <w:rPr>
        <w:rFonts w:ascii="Times New Roman" w:hAnsi="Times New Roman" w:cs="Times New Roman"/>
        <w:sz w:val="20"/>
        <w:szCs w:val="20"/>
      </w:rPr>
      <w:t>0116</w:t>
    </w:r>
    <w:r w:rsidR="008C0048" w:rsidRPr="00CD0130">
      <w:rPr>
        <w:rFonts w:ascii="Times New Roman" w:hAnsi="Times New Roman" w:cs="Times New Roman"/>
        <w:sz w:val="20"/>
        <w:szCs w:val="20"/>
      </w:rPr>
      <w:t>_</w:t>
    </w:r>
    <w:r w:rsidR="001612AB" w:rsidRPr="00CD0130">
      <w:rPr>
        <w:rFonts w:ascii="Times New Roman" w:hAnsi="Times New Roman" w:cs="Times New Roman"/>
        <w:sz w:val="20"/>
        <w:szCs w:val="20"/>
      </w:rPr>
      <w:t>lng</w:t>
    </w:r>
    <w:r w:rsidR="008C0048" w:rsidRPr="00CD0130">
      <w:rPr>
        <w:rFonts w:ascii="Times New Roman" w:hAnsi="Times New Roman" w:cs="Times New Roman"/>
        <w:sz w:val="20"/>
        <w:szCs w:val="20"/>
      </w:rPr>
      <w:t>; Ministru kabineta rīkojuma projekta „Par finanšu līdzekļu piešķiršanu no valsts budžeta programmas „Līdzekļi neparedzētiem</w:t>
    </w:r>
    <w:r w:rsidR="008C0048">
      <w:rPr>
        <w:rFonts w:ascii="Times New Roman" w:hAnsi="Times New Roman" w:cs="Times New Roman"/>
        <w:sz w:val="20"/>
        <w:szCs w:val="20"/>
      </w:rPr>
      <w:t xml:space="preserve"> gadījumiem”” sākotnējās ietekmes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48" w:rsidRPr="008C0048" w:rsidRDefault="00351C33">
    <w:pPr>
      <w:pStyle w:val="Footer"/>
      <w:rPr>
        <w:rFonts w:ascii="Times New Roman" w:hAnsi="Times New Roman" w:cs="Times New Roman"/>
        <w:sz w:val="20"/>
        <w:szCs w:val="20"/>
      </w:rPr>
    </w:pPr>
    <w:r w:rsidRPr="00CD0130">
      <w:rPr>
        <w:rFonts w:ascii="Times New Roman" w:hAnsi="Times New Roman" w:cs="Times New Roman"/>
        <w:sz w:val="20"/>
        <w:szCs w:val="20"/>
      </w:rPr>
      <w:t>VARAM</w:t>
    </w:r>
    <w:r w:rsidR="00313BD6">
      <w:rPr>
        <w:rFonts w:ascii="Times New Roman" w:hAnsi="Times New Roman" w:cs="Times New Roman"/>
        <w:sz w:val="20"/>
        <w:szCs w:val="20"/>
      </w:rPr>
      <w:t>A</w:t>
    </w:r>
    <w:r w:rsidRPr="00CD0130">
      <w:rPr>
        <w:rFonts w:ascii="Times New Roman" w:hAnsi="Times New Roman" w:cs="Times New Roman"/>
        <w:sz w:val="20"/>
        <w:szCs w:val="20"/>
      </w:rPr>
      <w:t>not</w:t>
    </w:r>
    <w:r w:rsidR="0026657A">
      <w:rPr>
        <w:rFonts w:ascii="Times New Roman" w:hAnsi="Times New Roman" w:cs="Times New Roman"/>
        <w:sz w:val="20"/>
        <w:szCs w:val="20"/>
      </w:rPr>
      <w:t>_</w:t>
    </w:r>
    <w:r w:rsidR="00267BD9" w:rsidRPr="00CD0130">
      <w:rPr>
        <w:rFonts w:ascii="Times New Roman" w:hAnsi="Times New Roman" w:cs="Times New Roman"/>
        <w:sz w:val="20"/>
        <w:szCs w:val="20"/>
      </w:rPr>
      <w:t>2</w:t>
    </w:r>
    <w:r w:rsidR="00CF7C49">
      <w:rPr>
        <w:rFonts w:ascii="Times New Roman" w:hAnsi="Times New Roman" w:cs="Times New Roman"/>
        <w:sz w:val="20"/>
        <w:szCs w:val="20"/>
      </w:rPr>
      <w:t>8</w:t>
    </w:r>
    <w:r w:rsidR="00267BD9" w:rsidRPr="00CD0130">
      <w:rPr>
        <w:rFonts w:ascii="Times New Roman" w:hAnsi="Times New Roman" w:cs="Times New Roman"/>
        <w:sz w:val="20"/>
        <w:szCs w:val="20"/>
      </w:rPr>
      <w:t>01</w:t>
    </w:r>
    <w:r w:rsidR="00BE0883" w:rsidRPr="00CD0130">
      <w:rPr>
        <w:rFonts w:ascii="Times New Roman" w:hAnsi="Times New Roman" w:cs="Times New Roman"/>
        <w:sz w:val="20"/>
        <w:szCs w:val="20"/>
      </w:rPr>
      <w:t>16_</w:t>
    </w:r>
    <w:r w:rsidR="001612AB" w:rsidRPr="00CD0130">
      <w:rPr>
        <w:rFonts w:ascii="Times New Roman" w:hAnsi="Times New Roman" w:cs="Times New Roman"/>
        <w:sz w:val="20"/>
        <w:szCs w:val="20"/>
      </w:rPr>
      <w:t>lng</w:t>
    </w:r>
    <w:r w:rsidR="008C0048" w:rsidRPr="00CD0130">
      <w:rPr>
        <w:rFonts w:ascii="Times New Roman" w:hAnsi="Times New Roman" w:cs="Times New Roman"/>
        <w:sz w:val="20"/>
        <w:szCs w:val="20"/>
      </w:rPr>
      <w:t>; Ministru kabineta rīkojuma projekta „Par finanšu līdzekļu piešķiršanu no valsts budžeta programmas „Līdzekļi</w:t>
    </w:r>
    <w:r w:rsidR="008C0048">
      <w:rPr>
        <w:rFonts w:ascii="Times New Roman" w:hAnsi="Times New Roman" w:cs="Times New Roman"/>
        <w:sz w:val="20"/>
        <w:szCs w:val="20"/>
      </w:rPr>
      <w:t xml:space="preserve"> neparedzētiem gadījumiem”” sākotnējās ietekmes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E5" w:rsidRDefault="00D663E5" w:rsidP="006718C5">
      <w:pPr>
        <w:spacing w:after="0" w:line="240" w:lineRule="auto"/>
      </w:pPr>
      <w:r>
        <w:separator/>
      </w:r>
    </w:p>
  </w:footnote>
  <w:footnote w:type="continuationSeparator" w:id="0">
    <w:p w:rsidR="00D663E5" w:rsidRDefault="00D663E5" w:rsidP="0067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036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718C5" w:rsidRPr="006718C5" w:rsidRDefault="00254212">
        <w:pPr>
          <w:pStyle w:val="Header"/>
          <w:jc w:val="center"/>
          <w:rPr>
            <w:rFonts w:ascii="Times New Roman" w:hAnsi="Times New Roman" w:cs="Times New Roman"/>
          </w:rPr>
        </w:pPr>
        <w:r w:rsidRPr="006718C5">
          <w:rPr>
            <w:rFonts w:ascii="Times New Roman" w:hAnsi="Times New Roman" w:cs="Times New Roman"/>
          </w:rPr>
          <w:fldChar w:fldCharType="begin"/>
        </w:r>
        <w:r w:rsidR="006718C5" w:rsidRPr="006718C5">
          <w:rPr>
            <w:rFonts w:ascii="Times New Roman" w:hAnsi="Times New Roman" w:cs="Times New Roman"/>
          </w:rPr>
          <w:instrText xml:space="preserve"> PAGE   \* MERGEFORMAT </w:instrText>
        </w:r>
        <w:r w:rsidRPr="006718C5">
          <w:rPr>
            <w:rFonts w:ascii="Times New Roman" w:hAnsi="Times New Roman" w:cs="Times New Roman"/>
          </w:rPr>
          <w:fldChar w:fldCharType="separate"/>
        </w:r>
        <w:r w:rsidR="00187A6D">
          <w:rPr>
            <w:rFonts w:ascii="Times New Roman" w:hAnsi="Times New Roman" w:cs="Times New Roman"/>
            <w:noProof/>
          </w:rPr>
          <w:t>4</w:t>
        </w:r>
        <w:r w:rsidRPr="006718C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718C5" w:rsidRDefault="006718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B42"/>
    <w:multiLevelType w:val="hybridMultilevel"/>
    <w:tmpl w:val="63FC1780"/>
    <w:lvl w:ilvl="0" w:tplc="D566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6AC"/>
    <w:multiLevelType w:val="hybridMultilevel"/>
    <w:tmpl w:val="0A0E0DCE"/>
    <w:lvl w:ilvl="0" w:tplc="1584B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43B95"/>
    <w:multiLevelType w:val="hybridMultilevel"/>
    <w:tmpl w:val="357EAFF2"/>
    <w:lvl w:ilvl="0" w:tplc="666EF0A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CE5"/>
    <w:multiLevelType w:val="hybridMultilevel"/>
    <w:tmpl w:val="4AD401F0"/>
    <w:lvl w:ilvl="0" w:tplc="6658CF3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223FF"/>
    <w:multiLevelType w:val="multilevel"/>
    <w:tmpl w:val="55446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C93"/>
    <w:rsid w:val="00002093"/>
    <w:rsid w:val="00044266"/>
    <w:rsid w:val="00074895"/>
    <w:rsid w:val="000B09A0"/>
    <w:rsid w:val="000B133C"/>
    <w:rsid w:val="000C1866"/>
    <w:rsid w:val="000C7C61"/>
    <w:rsid w:val="001037C6"/>
    <w:rsid w:val="001245B7"/>
    <w:rsid w:val="00130B60"/>
    <w:rsid w:val="00130E7C"/>
    <w:rsid w:val="001612AB"/>
    <w:rsid w:val="00171C09"/>
    <w:rsid w:val="00185740"/>
    <w:rsid w:val="00187A6D"/>
    <w:rsid w:val="001A6D0B"/>
    <w:rsid w:val="001C16E1"/>
    <w:rsid w:val="001F4BD5"/>
    <w:rsid w:val="001F7E74"/>
    <w:rsid w:val="00200496"/>
    <w:rsid w:val="0021280E"/>
    <w:rsid w:val="00214145"/>
    <w:rsid w:val="002258EA"/>
    <w:rsid w:val="0023444E"/>
    <w:rsid w:val="00253CCA"/>
    <w:rsid w:val="00254212"/>
    <w:rsid w:val="0026657A"/>
    <w:rsid w:val="00267BD9"/>
    <w:rsid w:val="00280C73"/>
    <w:rsid w:val="002C0406"/>
    <w:rsid w:val="002D0966"/>
    <w:rsid w:val="002E0FAF"/>
    <w:rsid w:val="00312E68"/>
    <w:rsid w:val="00313BD6"/>
    <w:rsid w:val="00351C33"/>
    <w:rsid w:val="00356E7B"/>
    <w:rsid w:val="0039069C"/>
    <w:rsid w:val="00391330"/>
    <w:rsid w:val="00391637"/>
    <w:rsid w:val="00391F6F"/>
    <w:rsid w:val="003B25AD"/>
    <w:rsid w:val="003E1562"/>
    <w:rsid w:val="003F36AE"/>
    <w:rsid w:val="004051C7"/>
    <w:rsid w:val="0042731E"/>
    <w:rsid w:val="00436C44"/>
    <w:rsid w:val="00441859"/>
    <w:rsid w:val="00446E76"/>
    <w:rsid w:val="0045378A"/>
    <w:rsid w:val="004579D7"/>
    <w:rsid w:val="00474976"/>
    <w:rsid w:val="004A1DE0"/>
    <w:rsid w:val="004B0923"/>
    <w:rsid w:val="004B667D"/>
    <w:rsid w:val="004C11C0"/>
    <w:rsid w:val="004C4BBA"/>
    <w:rsid w:val="004D2B7E"/>
    <w:rsid w:val="004E3387"/>
    <w:rsid w:val="004F2AD9"/>
    <w:rsid w:val="00500A93"/>
    <w:rsid w:val="005239D1"/>
    <w:rsid w:val="00526874"/>
    <w:rsid w:val="00545ABB"/>
    <w:rsid w:val="00546729"/>
    <w:rsid w:val="00567FE7"/>
    <w:rsid w:val="0059012B"/>
    <w:rsid w:val="005A47F3"/>
    <w:rsid w:val="005A7364"/>
    <w:rsid w:val="005C47DF"/>
    <w:rsid w:val="005E4B08"/>
    <w:rsid w:val="005E5022"/>
    <w:rsid w:val="005E5C4C"/>
    <w:rsid w:val="00602D10"/>
    <w:rsid w:val="006170D0"/>
    <w:rsid w:val="00622993"/>
    <w:rsid w:val="006718C5"/>
    <w:rsid w:val="0068070B"/>
    <w:rsid w:val="006A1061"/>
    <w:rsid w:val="006B18CB"/>
    <w:rsid w:val="006D4255"/>
    <w:rsid w:val="006F05FF"/>
    <w:rsid w:val="006F626B"/>
    <w:rsid w:val="007171EF"/>
    <w:rsid w:val="00741EC5"/>
    <w:rsid w:val="0075213C"/>
    <w:rsid w:val="007C7933"/>
    <w:rsid w:val="007D5E96"/>
    <w:rsid w:val="0080409C"/>
    <w:rsid w:val="00821D79"/>
    <w:rsid w:val="00846D76"/>
    <w:rsid w:val="0085152E"/>
    <w:rsid w:val="00866B1A"/>
    <w:rsid w:val="00867C51"/>
    <w:rsid w:val="0089630E"/>
    <w:rsid w:val="008B36A9"/>
    <w:rsid w:val="008C0048"/>
    <w:rsid w:val="008D4319"/>
    <w:rsid w:val="00902646"/>
    <w:rsid w:val="009326E5"/>
    <w:rsid w:val="0095081C"/>
    <w:rsid w:val="00966CD2"/>
    <w:rsid w:val="0098180A"/>
    <w:rsid w:val="009832C7"/>
    <w:rsid w:val="009A6D65"/>
    <w:rsid w:val="009E368F"/>
    <w:rsid w:val="00A01351"/>
    <w:rsid w:val="00A017F7"/>
    <w:rsid w:val="00A250CA"/>
    <w:rsid w:val="00A27360"/>
    <w:rsid w:val="00A27F8E"/>
    <w:rsid w:val="00A42A2B"/>
    <w:rsid w:val="00A52A4B"/>
    <w:rsid w:val="00A65496"/>
    <w:rsid w:val="00A77C92"/>
    <w:rsid w:val="00A860A8"/>
    <w:rsid w:val="00A9552E"/>
    <w:rsid w:val="00AD011B"/>
    <w:rsid w:val="00AD3242"/>
    <w:rsid w:val="00AF0F56"/>
    <w:rsid w:val="00B04DC2"/>
    <w:rsid w:val="00B250F4"/>
    <w:rsid w:val="00B43739"/>
    <w:rsid w:val="00B92812"/>
    <w:rsid w:val="00BA6B9F"/>
    <w:rsid w:val="00BB59C5"/>
    <w:rsid w:val="00BC4496"/>
    <w:rsid w:val="00BE0883"/>
    <w:rsid w:val="00C044A5"/>
    <w:rsid w:val="00C060C2"/>
    <w:rsid w:val="00C24F09"/>
    <w:rsid w:val="00C277C9"/>
    <w:rsid w:val="00C30744"/>
    <w:rsid w:val="00C47357"/>
    <w:rsid w:val="00C545BE"/>
    <w:rsid w:val="00C763A6"/>
    <w:rsid w:val="00C76C08"/>
    <w:rsid w:val="00C77A5C"/>
    <w:rsid w:val="00C825C9"/>
    <w:rsid w:val="00C86F55"/>
    <w:rsid w:val="00C96658"/>
    <w:rsid w:val="00CD0130"/>
    <w:rsid w:val="00CD28CB"/>
    <w:rsid w:val="00CF22D3"/>
    <w:rsid w:val="00CF75C9"/>
    <w:rsid w:val="00CF7C49"/>
    <w:rsid w:val="00D157D4"/>
    <w:rsid w:val="00D42F13"/>
    <w:rsid w:val="00D663E5"/>
    <w:rsid w:val="00D67507"/>
    <w:rsid w:val="00D701E1"/>
    <w:rsid w:val="00D86069"/>
    <w:rsid w:val="00D86615"/>
    <w:rsid w:val="00D87E83"/>
    <w:rsid w:val="00D9076B"/>
    <w:rsid w:val="00D92B05"/>
    <w:rsid w:val="00D9752D"/>
    <w:rsid w:val="00D978FF"/>
    <w:rsid w:val="00DC0554"/>
    <w:rsid w:val="00DC1F79"/>
    <w:rsid w:val="00DD77F4"/>
    <w:rsid w:val="00DE0D2F"/>
    <w:rsid w:val="00DE647D"/>
    <w:rsid w:val="00DF63AC"/>
    <w:rsid w:val="00E01547"/>
    <w:rsid w:val="00E04C20"/>
    <w:rsid w:val="00E05CF2"/>
    <w:rsid w:val="00E4221B"/>
    <w:rsid w:val="00E57258"/>
    <w:rsid w:val="00E71C8C"/>
    <w:rsid w:val="00E74361"/>
    <w:rsid w:val="00E75AAC"/>
    <w:rsid w:val="00E864AE"/>
    <w:rsid w:val="00ED412B"/>
    <w:rsid w:val="00EF4D81"/>
    <w:rsid w:val="00F33A42"/>
    <w:rsid w:val="00F51C93"/>
    <w:rsid w:val="00F56B79"/>
    <w:rsid w:val="00F57527"/>
    <w:rsid w:val="00F662D7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C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18C5"/>
  </w:style>
  <w:style w:type="paragraph" w:styleId="Footer">
    <w:name w:val="footer"/>
    <w:basedOn w:val="Normal"/>
    <w:link w:val="FooterChar"/>
    <w:uiPriority w:val="99"/>
    <w:unhideWhenUsed/>
    <w:rsid w:val="0067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C5"/>
  </w:style>
  <w:style w:type="character" w:styleId="Hyperlink">
    <w:name w:val="Hyperlink"/>
    <w:basedOn w:val="DefaultParagraphFont"/>
    <w:uiPriority w:val="99"/>
    <w:unhideWhenUsed/>
    <w:rsid w:val="008C00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5725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57258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98180A"/>
  </w:style>
  <w:style w:type="character" w:customStyle="1" w:styleId="spelle">
    <w:name w:val="spelle"/>
    <w:basedOn w:val="DefaultParagraphFont"/>
    <w:rsid w:val="002E0FAF"/>
  </w:style>
  <w:style w:type="paragraph" w:styleId="BalloonText">
    <w:name w:val="Balloon Text"/>
    <w:basedOn w:val="Normal"/>
    <w:link w:val="BalloonTextChar"/>
    <w:uiPriority w:val="99"/>
    <w:semiHidden/>
    <w:unhideWhenUsed/>
    <w:rsid w:val="002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C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18C5"/>
  </w:style>
  <w:style w:type="paragraph" w:styleId="Footer">
    <w:name w:val="footer"/>
    <w:basedOn w:val="Normal"/>
    <w:link w:val="FooterChar"/>
    <w:uiPriority w:val="99"/>
    <w:unhideWhenUsed/>
    <w:rsid w:val="0067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C5"/>
  </w:style>
  <w:style w:type="character" w:styleId="Hyperlink">
    <w:name w:val="Hyperlink"/>
    <w:basedOn w:val="DefaultParagraphFont"/>
    <w:uiPriority w:val="99"/>
    <w:unhideWhenUsed/>
    <w:rsid w:val="008C00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5725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E57258"/>
    <w:rPr>
      <w:rFonts w:ascii="Times New Roman" w:eastAsia="Calibri" w:hAnsi="Times New Roman" w:cs="Times New Roman"/>
      <w:sz w:val="24"/>
      <w:szCs w:val="24"/>
      <w:lang w:val="x-none" w:eastAsia="lv-LV"/>
    </w:rPr>
  </w:style>
  <w:style w:type="character" w:customStyle="1" w:styleId="tvhtml">
    <w:name w:val="tv_html"/>
    <w:basedOn w:val="DefaultParagraphFont"/>
    <w:rsid w:val="0098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39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34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uzikante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51FF-F21D-4CA1-913A-93AA5A74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larisat</cp:lastModifiedBy>
  <cp:revision>3</cp:revision>
  <dcterms:created xsi:type="dcterms:W3CDTF">2016-01-28T12:22:00Z</dcterms:created>
  <dcterms:modified xsi:type="dcterms:W3CDTF">2016-02-03T09:14:00Z</dcterms:modified>
</cp:coreProperties>
</file>