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Pr="007B03DE" w:rsidRDefault="00A95855" w:rsidP="00A95855">
      <w:pPr>
        <w:pStyle w:val="NoSpacing"/>
        <w:jc w:val="center"/>
        <w:rPr>
          <w:b/>
          <w:sz w:val="28"/>
          <w:szCs w:val="28"/>
        </w:rPr>
      </w:pPr>
      <w:bookmarkStart w:id="0" w:name="OLE_LINK2"/>
      <w:bookmarkStart w:id="1" w:name="OLE_LINK5"/>
      <w:bookmarkStart w:id="2" w:name="OLE_LINK3"/>
      <w:bookmarkStart w:id="3" w:name="OLE_LINK4"/>
      <w:bookmarkStart w:id="4" w:name="OLE_LINK1"/>
      <w:bookmarkStart w:id="5" w:name="OLE_LINK6"/>
      <w:r w:rsidRPr="007B03DE">
        <w:rPr>
          <w:b/>
          <w:sz w:val="28"/>
          <w:szCs w:val="28"/>
        </w:rPr>
        <w:t xml:space="preserve">Ministru kabineta noteikumu projekta </w:t>
      </w:r>
    </w:p>
    <w:p w:rsidR="00A95855" w:rsidRPr="007B03DE" w:rsidRDefault="00A95855" w:rsidP="00A95855">
      <w:pPr>
        <w:pStyle w:val="NoSpacing"/>
        <w:jc w:val="center"/>
        <w:rPr>
          <w:b/>
          <w:bCs/>
          <w:sz w:val="28"/>
          <w:szCs w:val="28"/>
        </w:rPr>
      </w:pPr>
      <w:r w:rsidRPr="007B03DE">
        <w:rPr>
          <w:b/>
          <w:sz w:val="28"/>
          <w:szCs w:val="28"/>
        </w:rPr>
        <w:t>„</w:t>
      </w:r>
      <w:r w:rsidR="00AD2AEF" w:rsidRPr="00164678">
        <w:rPr>
          <w:rStyle w:val="Strong"/>
          <w:sz w:val="28"/>
          <w:szCs w:val="28"/>
        </w:rPr>
        <w:t>Grozījum</w:t>
      </w:r>
      <w:r w:rsidR="0063777E">
        <w:rPr>
          <w:rStyle w:val="Strong"/>
          <w:sz w:val="28"/>
          <w:szCs w:val="28"/>
        </w:rPr>
        <w:t>i</w:t>
      </w:r>
      <w:r w:rsidR="00AD2AEF" w:rsidRPr="00164678">
        <w:rPr>
          <w:rStyle w:val="Strong"/>
          <w:sz w:val="28"/>
          <w:szCs w:val="28"/>
        </w:rPr>
        <w:t xml:space="preserve"> Ministru kabineta </w:t>
      </w:r>
      <w:r w:rsidR="00AD2AEF" w:rsidRPr="00164678">
        <w:rPr>
          <w:b/>
          <w:sz w:val="28"/>
          <w:szCs w:val="28"/>
        </w:rPr>
        <w:t>2011.</w:t>
      </w:r>
      <w:r w:rsidR="00AD2AEF">
        <w:rPr>
          <w:b/>
          <w:sz w:val="28"/>
          <w:szCs w:val="28"/>
        </w:rPr>
        <w:t xml:space="preserve"> </w:t>
      </w:r>
      <w:r w:rsidR="00AD2AEF" w:rsidRPr="00164678">
        <w:rPr>
          <w:b/>
          <w:sz w:val="28"/>
          <w:szCs w:val="28"/>
        </w:rPr>
        <w:t>gada 19.</w:t>
      </w:r>
      <w:r w:rsidR="00AD2AEF">
        <w:rPr>
          <w:b/>
          <w:sz w:val="28"/>
          <w:szCs w:val="28"/>
        </w:rPr>
        <w:t xml:space="preserve"> </w:t>
      </w:r>
      <w:r w:rsidR="00AD2AEF" w:rsidRPr="00164678">
        <w:rPr>
          <w:b/>
          <w:sz w:val="28"/>
          <w:szCs w:val="28"/>
        </w:rPr>
        <w:t>oktobra</w:t>
      </w:r>
      <w:r w:rsidR="00AD2AEF" w:rsidRPr="00164678">
        <w:rPr>
          <w:sz w:val="28"/>
          <w:szCs w:val="28"/>
        </w:rPr>
        <w:t xml:space="preserve"> </w:t>
      </w:r>
      <w:r w:rsidR="00AD2AEF" w:rsidRPr="00164678">
        <w:rPr>
          <w:rStyle w:val="Strong"/>
          <w:sz w:val="28"/>
          <w:szCs w:val="28"/>
        </w:rPr>
        <w:t>noteikumos Nr.</w:t>
      </w:r>
      <w:r w:rsidR="00AD2AEF">
        <w:rPr>
          <w:rStyle w:val="Strong"/>
          <w:sz w:val="28"/>
          <w:szCs w:val="28"/>
        </w:rPr>
        <w:t xml:space="preserve"> </w:t>
      </w:r>
      <w:r w:rsidR="00AD2AEF" w:rsidRPr="00164678">
        <w:rPr>
          <w:rStyle w:val="Strong"/>
          <w:sz w:val="28"/>
          <w:szCs w:val="28"/>
        </w:rPr>
        <w:t xml:space="preserve">820 </w:t>
      </w:r>
      <w:r w:rsidR="00AD2AEF" w:rsidRPr="00164678">
        <w:rPr>
          <w:b/>
          <w:sz w:val="28"/>
          <w:szCs w:val="28"/>
        </w:rPr>
        <w:t>„Dopinga kontroles kārtība”</w:t>
      </w:r>
      <w:r w:rsidRPr="007B03DE">
        <w:rPr>
          <w:b/>
          <w:bCs/>
          <w:sz w:val="28"/>
          <w:szCs w:val="28"/>
        </w:rPr>
        <w:t xml:space="preserve">”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bookmarkEnd w:id="0"/>
      <w:bookmarkEnd w:id="1"/>
    </w:p>
    <w:bookmarkEnd w:id="2"/>
    <w:bookmarkEnd w:id="3"/>
    <w:bookmarkEnd w:id="4"/>
    <w:bookmarkEnd w:id="5"/>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F94F04" w:rsidRDefault="00A95855" w:rsidP="00F94F04">
            <w:pPr>
              <w:pStyle w:val="NoSpacing"/>
              <w:jc w:val="center"/>
              <w:rPr>
                <w:b/>
                <w:sz w:val="28"/>
                <w:szCs w:val="28"/>
              </w:rPr>
            </w:pPr>
            <w:r w:rsidRPr="00F94F04">
              <w:rPr>
                <w:b/>
                <w:sz w:val="28"/>
                <w:szCs w:val="28"/>
              </w:rPr>
              <w:t>I. Tiesību akta projekta izstrādes nepieciešamība</w:t>
            </w:r>
          </w:p>
        </w:tc>
      </w:tr>
      <w:tr w:rsidR="00A95855" w:rsidRPr="007B03DE" w:rsidTr="0038172A">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0179D2">
            <w:pPr>
              <w:pStyle w:val="NoSpacing"/>
              <w:jc w:val="both"/>
              <w:rPr>
                <w:sz w:val="28"/>
                <w:szCs w:val="28"/>
              </w:rPr>
            </w:pPr>
            <w:r w:rsidRPr="000604BE">
              <w:rPr>
                <w:sz w:val="28"/>
                <w:szCs w:val="28"/>
              </w:rPr>
              <w:t>Noteikumu projekts izstrādāts atbilstoši</w:t>
            </w:r>
            <w:r>
              <w:rPr>
                <w:sz w:val="28"/>
                <w:szCs w:val="28"/>
              </w:rPr>
              <w:t xml:space="preserve"> Sporta likuma 6. panta piektās daļas 4. punktam</w:t>
            </w:r>
            <w:r w:rsidRPr="000604BE">
              <w:rPr>
                <w:sz w:val="28"/>
                <w:szCs w:val="28"/>
              </w:rPr>
              <w:t>.</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tcBorders>
            <w:shd w:val="clear" w:color="auto" w:fill="FFFFFF"/>
          </w:tcPr>
          <w:p w:rsidR="006977A3" w:rsidRPr="009639A5" w:rsidRDefault="006977A3" w:rsidP="006977A3">
            <w:pPr>
              <w:pStyle w:val="NoSpacing"/>
              <w:jc w:val="both"/>
              <w:rPr>
                <w:sz w:val="28"/>
                <w:szCs w:val="28"/>
              </w:rPr>
            </w:pPr>
            <w:r w:rsidRPr="009639A5">
              <w:rPr>
                <w:sz w:val="28"/>
                <w:szCs w:val="28"/>
              </w:rPr>
              <w:t xml:space="preserve">2005. gada 19. oktobrī tika pieņemta Starptautiskā konvencija pret dopingu sportā (turpmāk – Konvencija), kuras mērķis ir </w:t>
            </w:r>
            <w:r w:rsidRPr="009639A5">
              <w:rPr>
                <w:sz w:val="28"/>
                <w:szCs w:val="28"/>
                <w:shd w:val="clear" w:color="auto" w:fill="FFFFFF"/>
              </w:rPr>
              <w:t>veicināt dopinga nepieļaušanu sportā un cīņu pret to, lai to izskaustu pilnībā</w:t>
            </w:r>
            <w:r w:rsidRPr="009639A5">
              <w:rPr>
                <w:sz w:val="28"/>
                <w:szCs w:val="28"/>
              </w:rPr>
              <w:t xml:space="preserve">. Latvijā Konvencija pieņemta un apstiprināta ar likumu „Par Starptautisko konvenciju pret dopingu sportā”.  </w:t>
            </w:r>
          </w:p>
          <w:p w:rsidR="00E455F2" w:rsidRPr="009639A5" w:rsidRDefault="00E455F2" w:rsidP="000179D2">
            <w:pPr>
              <w:pStyle w:val="NoSpacing"/>
              <w:jc w:val="both"/>
              <w:rPr>
                <w:sz w:val="28"/>
                <w:szCs w:val="28"/>
              </w:rPr>
            </w:pPr>
          </w:p>
          <w:p w:rsidR="00FE387A" w:rsidRPr="009639A5" w:rsidRDefault="00EC6ECA" w:rsidP="000179D2">
            <w:pPr>
              <w:pStyle w:val="NoSpacing"/>
              <w:jc w:val="both"/>
              <w:rPr>
                <w:sz w:val="28"/>
                <w:szCs w:val="28"/>
              </w:rPr>
            </w:pPr>
            <w:r w:rsidRPr="009639A5">
              <w:rPr>
                <w:sz w:val="28"/>
                <w:szCs w:val="28"/>
              </w:rPr>
              <w:t xml:space="preserve">Sportā aizliegtās vielas un metodes ir noteiktas </w:t>
            </w:r>
            <w:r w:rsidR="001D3312" w:rsidRPr="009639A5">
              <w:rPr>
                <w:sz w:val="28"/>
                <w:szCs w:val="28"/>
              </w:rPr>
              <w:t>Konvencija</w:t>
            </w:r>
            <w:r w:rsidR="00E455F2" w:rsidRPr="009639A5">
              <w:rPr>
                <w:sz w:val="28"/>
                <w:szCs w:val="28"/>
              </w:rPr>
              <w:t>s</w:t>
            </w:r>
            <w:r w:rsidR="001D3312" w:rsidRPr="009639A5">
              <w:rPr>
                <w:sz w:val="28"/>
                <w:szCs w:val="28"/>
              </w:rPr>
              <w:t xml:space="preserve"> 1. pielikumā – </w:t>
            </w:r>
            <w:r w:rsidRPr="009639A5">
              <w:rPr>
                <w:sz w:val="28"/>
                <w:szCs w:val="28"/>
              </w:rPr>
              <w:t>Starptautiskajā standartā „Aizliegtais saraksts”</w:t>
            </w:r>
            <w:r w:rsidR="000A3F99" w:rsidRPr="009639A5">
              <w:rPr>
                <w:sz w:val="28"/>
                <w:szCs w:val="28"/>
              </w:rPr>
              <w:t xml:space="preserve"> (turpmāk – aizliegtais saraksts)</w:t>
            </w:r>
            <w:r w:rsidR="00FE387A" w:rsidRPr="009639A5">
              <w:rPr>
                <w:sz w:val="28"/>
                <w:szCs w:val="28"/>
              </w:rPr>
              <w:t xml:space="preserve">. </w:t>
            </w:r>
          </w:p>
          <w:p w:rsidR="00F138A5" w:rsidRDefault="00F138A5" w:rsidP="00FF735F">
            <w:pPr>
              <w:pStyle w:val="NoSpacing"/>
              <w:jc w:val="both"/>
              <w:rPr>
                <w:sz w:val="28"/>
                <w:szCs w:val="28"/>
              </w:rPr>
            </w:pPr>
          </w:p>
          <w:p w:rsidR="00CD23B3" w:rsidRDefault="00FC0D85" w:rsidP="00FF735F">
            <w:pPr>
              <w:pStyle w:val="NoSpacing"/>
              <w:jc w:val="both"/>
              <w:rPr>
                <w:sz w:val="28"/>
                <w:szCs w:val="28"/>
              </w:rPr>
            </w:pPr>
            <w:r>
              <w:rPr>
                <w:sz w:val="28"/>
                <w:szCs w:val="28"/>
              </w:rPr>
              <w:t xml:space="preserve">Atbilstoši Konvencijas 34. pantam </w:t>
            </w:r>
            <w:r w:rsidR="00EC6ECA" w:rsidRPr="001D3312">
              <w:rPr>
                <w:sz w:val="28"/>
                <w:szCs w:val="28"/>
              </w:rPr>
              <w:t xml:space="preserve">Pasaules Antidopinga </w:t>
            </w:r>
            <w:r w:rsidR="00EC6ECA" w:rsidRPr="00FC0D85">
              <w:rPr>
                <w:sz w:val="28"/>
                <w:szCs w:val="28"/>
              </w:rPr>
              <w:t>aģentūra (turpmāk – WADA)</w:t>
            </w:r>
            <w:r w:rsidR="00F138A5" w:rsidRPr="00FC0D85">
              <w:rPr>
                <w:sz w:val="28"/>
                <w:szCs w:val="28"/>
              </w:rPr>
              <w:t>, veicot grozījumus</w:t>
            </w:r>
            <w:r w:rsidR="008015DB">
              <w:rPr>
                <w:sz w:val="28"/>
                <w:szCs w:val="28"/>
              </w:rPr>
              <w:t xml:space="preserve"> </w:t>
            </w:r>
            <w:r>
              <w:rPr>
                <w:sz w:val="28"/>
                <w:szCs w:val="28"/>
              </w:rPr>
              <w:t>aizliegtajā sarakstā</w:t>
            </w:r>
            <w:r w:rsidR="008015DB">
              <w:rPr>
                <w:sz w:val="28"/>
                <w:szCs w:val="28"/>
              </w:rPr>
              <w:t xml:space="preserve">, </w:t>
            </w:r>
            <w:r w:rsidR="00FE387A">
              <w:rPr>
                <w:sz w:val="28"/>
                <w:szCs w:val="28"/>
              </w:rPr>
              <w:t xml:space="preserve">par piedāvātajām izmaiņām </w:t>
            </w:r>
            <w:r w:rsidR="0060470E">
              <w:rPr>
                <w:sz w:val="28"/>
                <w:szCs w:val="28"/>
              </w:rPr>
              <w:t xml:space="preserve">informē </w:t>
            </w:r>
            <w:r w:rsidR="0060470E" w:rsidRPr="0064184D">
              <w:rPr>
                <w:sz w:val="28"/>
                <w:szCs w:val="28"/>
              </w:rPr>
              <w:t>UNESCO Ģenerāldirektor</w:t>
            </w:r>
            <w:r w:rsidR="00EC6ECA" w:rsidRPr="0064184D">
              <w:rPr>
                <w:sz w:val="28"/>
                <w:szCs w:val="28"/>
              </w:rPr>
              <w:t>u, kurš</w:t>
            </w:r>
            <w:r w:rsidR="00EC6ECA" w:rsidRPr="000179D2">
              <w:rPr>
                <w:sz w:val="28"/>
                <w:szCs w:val="28"/>
              </w:rPr>
              <w:t xml:space="preserve"> paziņo par to visām Konvencijas dal</w:t>
            </w:r>
            <w:r w:rsidR="007A569A">
              <w:rPr>
                <w:sz w:val="28"/>
                <w:szCs w:val="28"/>
              </w:rPr>
              <w:t>ībvalstīm, tajā skaitā Latvijai</w:t>
            </w:r>
            <w:r w:rsidR="00EC6ECA" w:rsidRPr="000179D2">
              <w:rPr>
                <w:sz w:val="28"/>
                <w:szCs w:val="28"/>
              </w:rPr>
              <w:t xml:space="preserve">. </w:t>
            </w:r>
            <w:r w:rsidR="00E2585E">
              <w:rPr>
                <w:sz w:val="28"/>
                <w:szCs w:val="28"/>
              </w:rPr>
              <w:t>Saskaņā ar Konvencijas 34. pantu, j</w:t>
            </w:r>
            <w:r w:rsidR="00EC6ECA" w:rsidRPr="000179D2">
              <w:rPr>
                <w:sz w:val="28"/>
                <w:szCs w:val="28"/>
              </w:rPr>
              <w:t xml:space="preserve">a </w:t>
            </w:r>
            <w:r w:rsidR="00E2585E">
              <w:rPr>
                <w:sz w:val="28"/>
                <w:szCs w:val="28"/>
              </w:rPr>
              <w:t xml:space="preserve">45 dienu laikā </w:t>
            </w:r>
            <w:r w:rsidR="00EC6ECA" w:rsidRPr="000179D2">
              <w:rPr>
                <w:sz w:val="28"/>
                <w:szCs w:val="28"/>
              </w:rPr>
              <w:t xml:space="preserve">netiek saņemti iebildumi no dalībvalstīm, tad minētie </w:t>
            </w:r>
            <w:r w:rsidR="00EC6ECA" w:rsidRPr="00865D94">
              <w:rPr>
                <w:sz w:val="28"/>
                <w:szCs w:val="28"/>
              </w:rPr>
              <w:t xml:space="preserve">grozījumi </w:t>
            </w:r>
            <w:r w:rsidR="00E2585E">
              <w:rPr>
                <w:sz w:val="28"/>
                <w:szCs w:val="28"/>
              </w:rPr>
              <w:t>tiek apstiprināti</w:t>
            </w:r>
            <w:r w:rsidR="00EC6ECA" w:rsidRPr="00865D94">
              <w:rPr>
                <w:sz w:val="28"/>
                <w:szCs w:val="28"/>
              </w:rPr>
              <w:t>.</w:t>
            </w:r>
            <w:r w:rsidR="00BD160A" w:rsidRPr="00865D94">
              <w:rPr>
                <w:sz w:val="28"/>
                <w:szCs w:val="28"/>
              </w:rPr>
              <w:t xml:space="preserve"> </w:t>
            </w:r>
          </w:p>
          <w:p w:rsidR="00FC0D85" w:rsidRDefault="00FC0D85" w:rsidP="000179D2">
            <w:pPr>
              <w:pStyle w:val="NoSpacing"/>
              <w:jc w:val="both"/>
              <w:rPr>
                <w:sz w:val="28"/>
                <w:szCs w:val="28"/>
              </w:rPr>
            </w:pPr>
          </w:p>
          <w:p w:rsidR="00C33C2E" w:rsidRDefault="00F138A5" w:rsidP="000179D2">
            <w:pPr>
              <w:pStyle w:val="NoSpacing"/>
              <w:jc w:val="both"/>
              <w:rPr>
                <w:sz w:val="28"/>
                <w:szCs w:val="28"/>
              </w:rPr>
            </w:pPr>
            <w:r>
              <w:rPr>
                <w:sz w:val="28"/>
                <w:szCs w:val="28"/>
              </w:rPr>
              <w:t xml:space="preserve">WADA katru gadu veic grozījumus aizliegtajā sarakstā, jo apritē ienāk aizvien jaunas dopinga vielas un metodes. </w:t>
            </w:r>
            <w:r w:rsidR="00BD160A" w:rsidRPr="00865D94">
              <w:rPr>
                <w:sz w:val="28"/>
                <w:szCs w:val="28"/>
              </w:rPr>
              <w:t>201</w:t>
            </w:r>
            <w:r w:rsidR="00C33C2E">
              <w:rPr>
                <w:sz w:val="28"/>
                <w:szCs w:val="28"/>
              </w:rPr>
              <w:t>5</w:t>
            </w:r>
            <w:r w:rsidR="00BD160A" w:rsidRPr="00865D94">
              <w:rPr>
                <w:sz w:val="28"/>
                <w:szCs w:val="28"/>
              </w:rPr>
              <w:t>. gada 2</w:t>
            </w:r>
            <w:r w:rsidR="00C33C2E">
              <w:rPr>
                <w:sz w:val="28"/>
                <w:szCs w:val="28"/>
              </w:rPr>
              <w:t>2</w:t>
            </w:r>
            <w:r w:rsidR="00BD160A" w:rsidRPr="00865D94">
              <w:rPr>
                <w:sz w:val="28"/>
                <w:szCs w:val="28"/>
              </w:rPr>
              <w:t xml:space="preserve">. </w:t>
            </w:r>
            <w:r w:rsidR="00865D94" w:rsidRPr="00865D94">
              <w:rPr>
                <w:sz w:val="28"/>
                <w:szCs w:val="28"/>
              </w:rPr>
              <w:t>s</w:t>
            </w:r>
            <w:r w:rsidR="00BD160A" w:rsidRPr="00865D94">
              <w:rPr>
                <w:sz w:val="28"/>
                <w:szCs w:val="28"/>
              </w:rPr>
              <w:t xml:space="preserve">eptembrī </w:t>
            </w:r>
            <w:r w:rsidR="00C33C2E">
              <w:rPr>
                <w:sz w:val="28"/>
                <w:szCs w:val="28"/>
              </w:rPr>
              <w:t xml:space="preserve">UNESCO Ģenerāldirektors nosūtīja Konvencijas dalībvalstīm vēstuli Nr. DG/3/15/7658, informējot par WADA piedāvātajām izmaiņām 2016. gada aizliegtajā sarakstā. </w:t>
            </w:r>
          </w:p>
          <w:p w:rsidR="00FF735F" w:rsidRDefault="00C33C2E" w:rsidP="000179D2">
            <w:pPr>
              <w:pStyle w:val="NoSpacing"/>
              <w:jc w:val="both"/>
              <w:rPr>
                <w:sz w:val="28"/>
                <w:szCs w:val="28"/>
              </w:rPr>
            </w:pPr>
            <w:r>
              <w:rPr>
                <w:sz w:val="28"/>
                <w:szCs w:val="28"/>
              </w:rPr>
              <w:t xml:space="preserve">Savukārt </w:t>
            </w:r>
            <w:r w:rsidR="0064184D">
              <w:rPr>
                <w:sz w:val="28"/>
                <w:szCs w:val="28"/>
              </w:rPr>
              <w:t>201</w:t>
            </w:r>
            <w:r>
              <w:rPr>
                <w:sz w:val="28"/>
                <w:szCs w:val="28"/>
              </w:rPr>
              <w:t>5</w:t>
            </w:r>
            <w:r w:rsidR="0064184D">
              <w:rPr>
                <w:sz w:val="28"/>
                <w:szCs w:val="28"/>
              </w:rPr>
              <w:t xml:space="preserve">. </w:t>
            </w:r>
            <w:r w:rsidR="0064184D" w:rsidRPr="00D978DF">
              <w:rPr>
                <w:sz w:val="28"/>
                <w:szCs w:val="28"/>
              </w:rPr>
              <w:t xml:space="preserve">gada </w:t>
            </w:r>
            <w:r w:rsidR="00D978DF" w:rsidRPr="00D978DF">
              <w:rPr>
                <w:sz w:val="28"/>
                <w:szCs w:val="28"/>
              </w:rPr>
              <w:t>17</w:t>
            </w:r>
            <w:r w:rsidR="0064184D" w:rsidRPr="00D978DF">
              <w:rPr>
                <w:sz w:val="28"/>
                <w:szCs w:val="28"/>
              </w:rPr>
              <w:t xml:space="preserve">. </w:t>
            </w:r>
            <w:r w:rsidR="009202B5" w:rsidRPr="00D978DF">
              <w:rPr>
                <w:sz w:val="28"/>
                <w:szCs w:val="28"/>
              </w:rPr>
              <w:t>novembrī</w:t>
            </w:r>
            <w:r w:rsidR="00865D94" w:rsidRPr="00D978DF">
              <w:rPr>
                <w:sz w:val="28"/>
                <w:szCs w:val="28"/>
              </w:rPr>
              <w:t xml:space="preserve"> </w:t>
            </w:r>
            <w:r w:rsidR="00BD160A" w:rsidRPr="00D978DF">
              <w:rPr>
                <w:sz w:val="28"/>
                <w:szCs w:val="28"/>
              </w:rPr>
              <w:t>UNESCO Ģenerāl</w:t>
            </w:r>
            <w:r w:rsidR="009B341B" w:rsidRPr="00D978DF">
              <w:rPr>
                <w:sz w:val="28"/>
                <w:szCs w:val="28"/>
              </w:rPr>
              <w:t>direktors</w:t>
            </w:r>
            <w:r w:rsidR="00BD160A" w:rsidRPr="00D978DF">
              <w:rPr>
                <w:sz w:val="28"/>
                <w:szCs w:val="28"/>
              </w:rPr>
              <w:t xml:space="preserve"> Konvencijas dalībvalstīm nosūtīja vēstuli Nr. </w:t>
            </w:r>
            <w:r w:rsidR="00D978DF" w:rsidRPr="00D978DF">
              <w:rPr>
                <w:sz w:val="28"/>
                <w:szCs w:val="28"/>
              </w:rPr>
              <w:t>DG/3/15/8472</w:t>
            </w:r>
            <w:r w:rsidR="009202B5" w:rsidRPr="00D978DF">
              <w:rPr>
                <w:sz w:val="28"/>
                <w:szCs w:val="28"/>
              </w:rPr>
              <w:t>, informējot par 201</w:t>
            </w:r>
            <w:r w:rsidRPr="00D978DF">
              <w:rPr>
                <w:sz w:val="28"/>
                <w:szCs w:val="28"/>
              </w:rPr>
              <w:t>6</w:t>
            </w:r>
            <w:r w:rsidR="009202B5" w:rsidRPr="00D978DF">
              <w:rPr>
                <w:sz w:val="28"/>
                <w:szCs w:val="28"/>
              </w:rPr>
              <w:t>. gada aizliegtā</w:t>
            </w:r>
            <w:r w:rsidR="00CD23B3" w:rsidRPr="00D978DF">
              <w:rPr>
                <w:sz w:val="28"/>
                <w:szCs w:val="28"/>
              </w:rPr>
              <w:t xml:space="preserve"> sarakst</w:t>
            </w:r>
            <w:r w:rsidR="009202B5" w:rsidRPr="00D978DF">
              <w:rPr>
                <w:sz w:val="28"/>
                <w:szCs w:val="28"/>
              </w:rPr>
              <w:t>a apstiprināšan</w:t>
            </w:r>
            <w:r w:rsidR="009202B5">
              <w:rPr>
                <w:sz w:val="28"/>
                <w:szCs w:val="28"/>
              </w:rPr>
              <w:t>u</w:t>
            </w:r>
            <w:r w:rsidR="00CD23B3">
              <w:rPr>
                <w:sz w:val="28"/>
                <w:szCs w:val="28"/>
              </w:rPr>
              <w:t xml:space="preserve">. </w:t>
            </w:r>
          </w:p>
          <w:p w:rsidR="00FC0D85" w:rsidRDefault="00FC0D85" w:rsidP="001D3312">
            <w:pPr>
              <w:pStyle w:val="NoSpacing"/>
              <w:jc w:val="both"/>
              <w:rPr>
                <w:sz w:val="28"/>
                <w:szCs w:val="28"/>
              </w:rPr>
            </w:pPr>
          </w:p>
          <w:p w:rsidR="001D3312" w:rsidRPr="00F94F04" w:rsidRDefault="001D3312" w:rsidP="001D3312">
            <w:pPr>
              <w:pStyle w:val="NoSpacing"/>
              <w:jc w:val="both"/>
              <w:rPr>
                <w:sz w:val="28"/>
                <w:szCs w:val="28"/>
              </w:rPr>
            </w:pPr>
            <w:r w:rsidRPr="00F94F04">
              <w:rPr>
                <w:sz w:val="28"/>
                <w:szCs w:val="28"/>
              </w:rPr>
              <w:t xml:space="preserve">Ministru kabineta </w:t>
            </w:r>
            <w:r w:rsidR="002C377A" w:rsidRPr="000179D2">
              <w:rPr>
                <w:sz w:val="28"/>
                <w:szCs w:val="28"/>
              </w:rPr>
              <w:t>2011.</w:t>
            </w:r>
            <w:r w:rsidR="00F2778C">
              <w:rPr>
                <w:sz w:val="28"/>
                <w:szCs w:val="28"/>
              </w:rPr>
              <w:t xml:space="preserve"> </w:t>
            </w:r>
            <w:r w:rsidR="002C377A" w:rsidRPr="000179D2">
              <w:rPr>
                <w:sz w:val="28"/>
                <w:szCs w:val="28"/>
              </w:rPr>
              <w:t>gada 19.</w:t>
            </w:r>
            <w:r w:rsidR="00F2778C">
              <w:rPr>
                <w:sz w:val="28"/>
                <w:szCs w:val="28"/>
              </w:rPr>
              <w:t xml:space="preserve"> </w:t>
            </w:r>
            <w:r w:rsidR="002C377A" w:rsidRPr="000179D2">
              <w:rPr>
                <w:sz w:val="28"/>
                <w:szCs w:val="28"/>
              </w:rPr>
              <w:t>oktobra noteikumu Nr. 820 „Dopinga kontroles kārtība” (turpmāk – MK noteikumi Nr.</w:t>
            </w:r>
            <w:r w:rsidR="002C377A">
              <w:rPr>
                <w:sz w:val="28"/>
                <w:szCs w:val="28"/>
              </w:rPr>
              <w:t xml:space="preserve"> </w:t>
            </w:r>
            <w:r w:rsidR="002C377A" w:rsidRPr="000179D2">
              <w:rPr>
                <w:sz w:val="28"/>
                <w:szCs w:val="28"/>
              </w:rPr>
              <w:t xml:space="preserve">820) </w:t>
            </w:r>
            <w:r w:rsidRPr="00F94F04">
              <w:rPr>
                <w:sz w:val="28"/>
                <w:szCs w:val="28"/>
              </w:rPr>
              <w:t xml:space="preserve">mērķis ir </w:t>
            </w:r>
            <w:r w:rsidR="00DE35ED">
              <w:rPr>
                <w:sz w:val="28"/>
                <w:szCs w:val="28"/>
              </w:rPr>
              <w:t xml:space="preserve">noteikt dopinga kontroles </w:t>
            </w:r>
            <w:r w:rsidR="00DE35ED">
              <w:rPr>
                <w:sz w:val="28"/>
                <w:szCs w:val="28"/>
              </w:rPr>
              <w:lastRenderedPageBreak/>
              <w:t xml:space="preserve">kārtību un antidopinga pasākumus atbilstoši starptautiskajām prasībām. </w:t>
            </w:r>
          </w:p>
          <w:p w:rsidR="00952F9C" w:rsidRDefault="008D0C6C" w:rsidP="009A2526">
            <w:pPr>
              <w:pStyle w:val="NoSpacing"/>
              <w:jc w:val="both"/>
              <w:rPr>
                <w:sz w:val="28"/>
                <w:szCs w:val="28"/>
              </w:rPr>
            </w:pPr>
            <w:r w:rsidRPr="008D0C6C">
              <w:rPr>
                <w:sz w:val="28"/>
                <w:szCs w:val="28"/>
              </w:rPr>
              <w:t>Ņemot</w:t>
            </w:r>
            <w:r>
              <w:rPr>
                <w:sz w:val="28"/>
                <w:szCs w:val="28"/>
              </w:rPr>
              <w:t xml:space="preserve"> vērā, ka</w:t>
            </w:r>
            <w:r w:rsidR="002C377A">
              <w:rPr>
                <w:sz w:val="28"/>
                <w:szCs w:val="28"/>
              </w:rPr>
              <w:t xml:space="preserve"> MK noteikumu Nr. 820</w:t>
            </w:r>
            <w:r w:rsidR="000179D2" w:rsidRPr="000179D2">
              <w:rPr>
                <w:sz w:val="28"/>
                <w:szCs w:val="28"/>
              </w:rPr>
              <w:t xml:space="preserve"> 1. pielikumā ir minētas aizliegtās dopinga vielas </w:t>
            </w:r>
            <w:r w:rsidR="000179D2">
              <w:rPr>
                <w:sz w:val="28"/>
                <w:szCs w:val="28"/>
              </w:rPr>
              <w:t>un dopinga metodes</w:t>
            </w:r>
            <w:r w:rsidR="00FC0D85">
              <w:rPr>
                <w:sz w:val="28"/>
                <w:szCs w:val="28"/>
              </w:rPr>
              <w:t xml:space="preserve">, </w:t>
            </w:r>
            <w:r w:rsidR="000179D2">
              <w:rPr>
                <w:sz w:val="28"/>
                <w:szCs w:val="28"/>
              </w:rPr>
              <w:t>nepieciešam</w:t>
            </w:r>
            <w:r w:rsidR="000179D2" w:rsidRPr="000179D2">
              <w:rPr>
                <w:sz w:val="28"/>
                <w:szCs w:val="28"/>
              </w:rPr>
              <w:t>s aktualizēt šo</w:t>
            </w:r>
            <w:r w:rsidR="00FC0D85">
              <w:rPr>
                <w:sz w:val="28"/>
                <w:szCs w:val="28"/>
              </w:rPr>
              <w:t xml:space="preserve"> </w:t>
            </w:r>
            <w:r w:rsidR="000179D2" w:rsidRPr="000179D2">
              <w:rPr>
                <w:sz w:val="28"/>
                <w:szCs w:val="28"/>
              </w:rPr>
              <w:t>pielikumu</w:t>
            </w:r>
            <w:r w:rsidR="00B35284">
              <w:rPr>
                <w:sz w:val="28"/>
                <w:szCs w:val="28"/>
              </w:rPr>
              <w:t xml:space="preserve"> </w:t>
            </w:r>
            <w:r w:rsidR="000179D2" w:rsidRPr="000179D2">
              <w:rPr>
                <w:sz w:val="28"/>
                <w:szCs w:val="28"/>
              </w:rPr>
              <w:t xml:space="preserve">atbilstoši jaunajām starptautiskajām prasībām. </w:t>
            </w:r>
          </w:p>
          <w:p w:rsidR="00952F9C" w:rsidRDefault="00952F9C" w:rsidP="009A2526">
            <w:pPr>
              <w:pStyle w:val="NoSpacing"/>
              <w:jc w:val="both"/>
              <w:rPr>
                <w:sz w:val="28"/>
                <w:szCs w:val="28"/>
              </w:rPr>
            </w:pPr>
          </w:p>
          <w:p w:rsidR="00865D94" w:rsidRDefault="00B35284" w:rsidP="009A2526">
            <w:pPr>
              <w:pStyle w:val="NoSpacing"/>
              <w:jc w:val="both"/>
              <w:rPr>
                <w:sz w:val="28"/>
                <w:szCs w:val="28"/>
              </w:rPr>
            </w:pPr>
            <w:r>
              <w:rPr>
                <w:sz w:val="28"/>
                <w:szCs w:val="28"/>
              </w:rPr>
              <w:t>Būtiskākās i</w:t>
            </w:r>
            <w:r w:rsidR="000179D2" w:rsidRPr="00F94F04">
              <w:rPr>
                <w:sz w:val="28"/>
                <w:szCs w:val="28"/>
              </w:rPr>
              <w:t>zmaiņas</w:t>
            </w:r>
            <w:r w:rsidR="00865D94">
              <w:rPr>
                <w:sz w:val="28"/>
                <w:szCs w:val="28"/>
              </w:rPr>
              <w:t xml:space="preserve"> aizliegtajā sarakstā</w:t>
            </w:r>
            <w:r w:rsidR="000179D2" w:rsidRPr="00F94F04">
              <w:rPr>
                <w:sz w:val="28"/>
                <w:szCs w:val="28"/>
              </w:rPr>
              <w:t>, salīdzinot ar patlaban spēkā esošo, ir šādas</w:t>
            </w:r>
            <w:r w:rsidR="00F94F04">
              <w:rPr>
                <w:sz w:val="28"/>
                <w:szCs w:val="28"/>
              </w:rPr>
              <w:t xml:space="preserve">: </w:t>
            </w:r>
          </w:p>
          <w:p w:rsidR="0097260B" w:rsidRPr="00B35284" w:rsidRDefault="0097260B" w:rsidP="00B35284">
            <w:pPr>
              <w:pStyle w:val="NoSpacing"/>
              <w:numPr>
                <w:ilvl w:val="0"/>
                <w:numId w:val="10"/>
              </w:numPr>
              <w:ind w:left="112" w:firstLine="0"/>
              <w:jc w:val="both"/>
              <w:rPr>
                <w:sz w:val="28"/>
                <w:szCs w:val="28"/>
              </w:rPr>
            </w:pPr>
            <w:r w:rsidRPr="00B35284">
              <w:rPr>
                <w:sz w:val="28"/>
                <w:szCs w:val="28"/>
              </w:rPr>
              <w:t xml:space="preserve">Sadaļā „S2. Peptīdu hormoni, augšanas faktori, līdzīgas vielas un mimētiķi” viela </w:t>
            </w:r>
            <w:r w:rsidRPr="00B35284">
              <w:rPr>
                <w:i/>
                <w:sz w:val="28"/>
                <w:szCs w:val="28"/>
              </w:rPr>
              <w:t>triptorelin</w:t>
            </w:r>
            <w:r w:rsidR="00B35284">
              <w:rPr>
                <w:sz w:val="28"/>
                <w:szCs w:val="28"/>
              </w:rPr>
              <w:t xml:space="preserve"> aizstāta</w:t>
            </w:r>
            <w:r w:rsidRPr="00B35284">
              <w:rPr>
                <w:sz w:val="28"/>
                <w:szCs w:val="28"/>
              </w:rPr>
              <w:t xml:space="preserve"> ar vielu </w:t>
            </w:r>
            <w:r w:rsidRPr="00B35284">
              <w:rPr>
                <w:i/>
                <w:sz w:val="28"/>
                <w:szCs w:val="28"/>
              </w:rPr>
              <w:t>leuprorelin</w:t>
            </w:r>
            <w:r w:rsidRPr="00B35284">
              <w:rPr>
                <w:sz w:val="28"/>
                <w:szCs w:val="28"/>
              </w:rPr>
              <w:t>, ņemot vērā, ka šī viela ir universālāks horiongonadotropīna un luteinizējošā hormona atbrīvotājfaktors</w:t>
            </w:r>
            <w:r w:rsidR="009732E6" w:rsidRPr="00B35284">
              <w:rPr>
                <w:sz w:val="28"/>
                <w:szCs w:val="28"/>
              </w:rPr>
              <w:t xml:space="preserve">. </w:t>
            </w:r>
          </w:p>
          <w:p w:rsidR="009732E6" w:rsidRPr="00E505EA" w:rsidRDefault="009732E6" w:rsidP="00B35284">
            <w:pPr>
              <w:pStyle w:val="NoSpacing"/>
              <w:numPr>
                <w:ilvl w:val="0"/>
                <w:numId w:val="10"/>
              </w:numPr>
              <w:ind w:left="112" w:firstLine="0"/>
              <w:jc w:val="both"/>
              <w:rPr>
                <w:sz w:val="28"/>
                <w:szCs w:val="28"/>
                <w:shd w:val="clear" w:color="auto" w:fill="FFFFFF"/>
              </w:rPr>
            </w:pPr>
            <w:r w:rsidRPr="00E505EA">
              <w:rPr>
                <w:sz w:val="28"/>
                <w:szCs w:val="28"/>
              </w:rPr>
              <w:t>Sadaļā „S4. Hormoni un vielmaiņas</w:t>
            </w:r>
            <w:r w:rsidR="00B35284" w:rsidRPr="00E505EA">
              <w:rPr>
                <w:sz w:val="28"/>
                <w:szCs w:val="28"/>
              </w:rPr>
              <w:t xml:space="preserve"> modulatori” pievienoti insulīna </w:t>
            </w:r>
            <w:r w:rsidRPr="00E505EA">
              <w:rPr>
                <w:sz w:val="28"/>
                <w:szCs w:val="28"/>
              </w:rPr>
              <w:t>mimētiķi, lai iekļautu sarakst</w:t>
            </w:r>
            <w:r w:rsidR="00B35284" w:rsidRPr="00E505EA">
              <w:rPr>
                <w:sz w:val="28"/>
                <w:szCs w:val="28"/>
              </w:rPr>
              <w:t>ā</w:t>
            </w:r>
            <w:r w:rsidRPr="00E505EA">
              <w:rPr>
                <w:sz w:val="28"/>
                <w:szCs w:val="28"/>
              </w:rPr>
              <w:t xml:space="preserve"> visus insulīna receptoru agonistus. Šajā sadaļā iekļaut</w:t>
            </w:r>
            <w:r w:rsidR="001E6902" w:rsidRPr="00E505EA">
              <w:rPr>
                <w:sz w:val="28"/>
                <w:szCs w:val="28"/>
              </w:rPr>
              <w:t>s</w:t>
            </w:r>
            <w:r w:rsidRPr="00E505EA">
              <w:rPr>
                <w:sz w:val="28"/>
                <w:szCs w:val="28"/>
              </w:rPr>
              <w:t xml:space="preserve"> arī </w:t>
            </w:r>
            <w:r w:rsidR="00B35284" w:rsidRPr="00E505EA">
              <w:rPr>
                <w:sz w:val="28"/>
                <w:szCs w:val="28"/>
              </w:rPr>
              <w:t>preparāts</w:t>
            </w:r>
            <w:r w:rsidRPr="00E505EA">
              <w:rPr>
                <w:sz w:val="28"/>
                <w:szCs w:val="28"/>
              </w:rPr>
              <w:t xml:space="preserve"> </w:t>
            </w:r>
            <w:r w:rsidRPr="00E505EA">
              <w:rPr>
                <w:i/>
                <w:sz w:val="28"/>
                <w:szCs w:val="28"/>
              </w:rPr>
              <w:t>meldonium</w:t>
            </w:r>
            <w:r w:rsidRPr="00E505EA">
              <w:rPr>
                <w:sz w:val="28"/>
                <w:szCs w:val="28"/>
              </w:rPr>
              <w:t xml:space="preserve"> (mildronāts), ņemot vērā, ka ir p</w:t>
            </w:r>
            <w:r w:rsidRPr="00E505EA">
              <w:rPr>
                <w:sz w:val="28"/>
                <w:szCs w:val="28"/>
                <w:shd w:val="clear" w:color="auto" w:fill="FFFFFF"/>
              </w:rPr>
              <w:t xml:space="preserve">ierādījumi, ka sportisti </w:t>
            </w:r>
            <w:r w:rsidR="00B35284" w:rsidRPr="00E505EA">
              <w:rPr>
                <w:sz w:val="28"/>
                <w:szCs w:val="28"/>
                <w:shd w:val="clear" w:color="auto" w:fill="FFFFFF"/>
              </w:rPr>
              <w:t>šo preparātu</w:t>
            </w:r>
            <w:r w:rsidRPr="00E505EA">
              <w:rPr>
                <w:sz w:val="28"/>
                <w:szCs w:val="28"/>
                <w:shd w:val="clear" w:color="auto" w:fill="FFFFFF"/>
              </w:rPr>
              <w:t xml:space="preserve"> lieto ar nolūku uzlabot savu sniegumu</w:t>
            </w:r>
            <w:r w:rsidR="0021273D" w:rsidRPr="00E505EA">
              <w:rPr>
                <w:sz w:val="28"/>
                <w:szCs w:val="28"/>
                <w:shd w:val="clear" w:color="auto" w:fill="FFFFFF"/>
              </w:rPr>
              <w:t xml:space="preserve">. </w:t>
            </w:r>
          </w:p>
          <w:p w:rsidR="0021273D" w:rsidRPr="00E505EA" w:rsidRDefault="0021273D" w:rsidP="00B35284">
            <w:pPr>
              <w:pStyle w:val="NoSpacing"/>
              <w:numPr>
                <w:ilvl w:val="0"/>
                <w:numId w:val="10"/>
              </w:numPr>
              <w:ind w:left="112" w:firstLine="0"/>
              <w:jc w:val="both"/>
              <w:rPr>
                <w:sz w:val="28"/>
                <w:szCs w:val="28"/>
                <w:shd w:val="clear" w:color="auto" w:fill="FFFFFF"/>
              </w:rPr>
            </w:pPr>
            <w:r w:rsidRPr="00E505EA">
              <w:rPr>
                <w:sz w:val="28"/>
                <w:szCs w:val="28"/>
                <w:shd w:val="clear" w:color="auto" w:fill="FFFFFF"/>
              </w:rPr>
              <w:t xml:space="preserve">Sadaļā „S5. Diurētiskie līdzekļi un maskējošie līdzekļi” precizēts, uz ko aizliegums neattiecas, proti, pie izņēmumiem pievienoti ogļskābes anhidrāzes inhibitori oftalmoloģiskai lietošanai. </w:t>
            </w:r>
          </w:p>
          <w:p w:rsidR="00082DC5" w:rsidRPr="00E505EA" w:rsidRDefault="00082DC5" w:rsidP="00B35284">
            <w:pPr>
              <w:pStyle w:val="NoSpacing"/>
              <w:numPr>
                <w:ilvl w:val="0"/>
                <w:numId w:val="10"/>
              </w:numPr>
              <w:ind w:left="112" w:firstLine="0"/>
              <w:jc w:val="both"/>
              <w:rPr>
                <w:sz w:val="28"/>
                <w:szCs w:val="28"/>
                <w:shd w:val="clear" w:color="auto" w:fill="FFFFFF"/>
              </w:rPr>
            </w:pPr>
            <w:r w:rsidRPr="00E505EA">
              <w:rPr>
                <w:sz w:val="28"/>
                <w:szCs w:val="28"/>
                <w:shd w:val="clear" w:color="auto" w:fill="FFFFFF"/>
              </w:rPr>
              <w:t xml:space="preserve">Sadaļā „S6. Stimulanti” precizēts, ka viela klonidīns ir atļauta. </w:t>
            </w:r>
          </w:p>
          <w:p w:rsidR="00120216" w:rsidRPr="00264044" w:rsidRDefault="00082DC5" w:rsidP="00A07713">
            <w:pPr>
              <w:pStyle w:val="NoSpacing"/>
              <w:numPr>
                <w:ilvl w:val="0"/>
                <w:numId w:val="10"/>
              </w:numPr>
              <w:ind w:left="112" w:firstLine="0"/>
              <w:jc w:val="both"/>
              <w:rPr>
                <w:color w:val="535353"/>
                <w:sz w:val="28"/>
                <w:szCs w:val="28"/>
                <w:shd w:val="clear" w:color="auto" w:fill="FFFFFF"/>
              </w:rPr>
            </w:pPr>
            <w:r w:rsidRPr="00E505EA">
              <w:rPr>
                <w:sz w:val="28"/>
                <w:szCs w:val="28"/>
                <w:shd w:val="clear" w:color="auto" w:fill="FFFFFF"/>
              </w:rPr>
              <w:t>Sadaļā „</w:t>
            </w:r>
            <w:r w:rsidR="00B35284" w:rsidRPr="00E505EA">
              <w:rPr>
                <w:sz w:val="28"/>
                <w:szCs w:val="28"/>
                <w:shd w:val="clear" w:color="auto" w:fill="FFFFFF"/>
              </w:rPr>
              <w:t>P</w:t>
            </w:r>
            <w:r w:rsidRPr="00E505EA">
              <w:rPr>
                <w:sz w:val="28"/>
                <w:szCs w:val="28"/>
                <w:shd w:val="clear" w:color="auto" w:fill="FFFFFF"/>
              </w:rPr>
              <w:t>1. Alkohols” no sporta veidu saraksta svītrots motosports (</w:t>
            </w:r>
            <w:r w:rsidRPr="00E505EA">
              <w:rPr>
                <w:i/>
                <w:sz w:val="28"/>
                <w:szCs w:val="28"/>
                <w:shd w:val="clear" w:color="auto" w:fill="FFFFFF"/>
              </w:rPr>
              <w:t>FIM</w:t>
            </w:r>
            <w:r w:rsidRPr="00E505EA">
              <w:rPr>
                <w:sz w:val="28"/>
                <w:szCs w:val="28"/>
                <w:shd w:val="clear" w:color="auto" w:fill="FFFFFF"/>
              </w:rPr>
              <w:t>), jo Starptautiskā Motosporta federācija turpmāk alkohola lietošanu regulēs pati.</w:t>
            </w:r>
            <w:r w:rsidRPr="00B35284">
              <w:rPr>
                <w:color w:val="535353"/>
                <w:sz w:val="28"/>
                <w:szCs w:val="28"/>
                <w:shd w:val="clear" w:color="auto" w:fill="FFFFFF"/>
              </w:rPr>
              <w:t xml:space="preserve"> </w:t>
            </w:r>
            <w:r w:rsidR="00F17F3E" w:rsidRPr="00B35284">
              <w:rPr>
                <w:sz w:val="28"/>
                <w:szCs w:val="28"/>
              </w:rPr>
              <w:t xml:space="preserve"> </w:t>
            </w:r>
          </w:p>
          <w:p w:rsidR="00264044" w:rsidRPr="009639A5" w:rsidRDefault="00264044" w:rsidP="00264044">
            <w:pPr>
              <w:pStyle w:val="NoSpacing"/>
              <w:jc w:val="both"/>
              <w:rPr>
                <w:sz w:val="28"/>
                <w:szCs w:val="28"/>
              </w:rPr>
            </w:pPr>
          </w:p>
          <w:p w:rsidR="007F650D" w:rsidRPr="009639A5" w:rsidRDefault="007F650D" w:rsidP="007F650D">
            <w:pPr>
              <w:pStyle w:val="NoSpacing"/>
              <w:jc w:val="both"/>
              <w:rPr>
                <w:sz w:val="28"/>
                <w:szCs w:val="28"/>
                <w:shd w:val="clear" w:color="auto" w:fill="FFFFFF"/>
              </w:rPr>
            </w:pPr>
            <w:r w:rsidRPr="009639A5">
              <w:rPr>
                <w:sz w:val="28"/>
                <w:szCs w:val="28"/>
              </w:rPr>
              <w:t>Konvencijai pievienots arī Starptautiskais pārbaužu standarts</w:t>
            </w:r>
            <w:r w:rsidRPr="009639A5">
              <w:rPr>
                <w:rStyle w:val="FootnoteReference"/>
                <w:sz w:val="28"/>
                <w:szCs w:val="28"/>
                <w:shd w:val="clear" w:color="auto" w:fill="FFFFFF"/>
              </w:rPr>
              <w:footnoteReference w:id="1"/>
            </w:r>
            <w:r w:rsidR="006977A3" w:rsidRPr="009639A5">
              <w:rPr>
                <w:sz w:val="28"/>
                <w:szCs w:val="28"/>
              </w:rPr>
              <w:t>, saskaņā ar ko tiek plānotas sacensību un ārpus sacensību antidopinga pārbaudes, kā arī veikta antidopinga informācijas apkopošana, novērtēšana un izmantošana</w:t>
            </w:r>
            <w:r w:rsidRPr="009639A5">
              <w:rPr>
                <w:sz w:val="28"/>
                <w:szCs w:val="28"/>
              </w:rPr>
              <w:t xml:space="preserve">. Atbilstoši </w:t>
            </w:r>
            <w:r w:rsidRPr="009639A5">
              <w:rPr>
                <w:sz w:val="28"/>
                <w:szCs w:val="28"/>
                <w:shd w:val="clear" w:color="auto" w:fill="FFFFFF"/>
              </w:rPr>
              <w:t xml:space="preserve">izmaiņām </w:t>
            </w:r>
            <w:r w:rsidR="006977A3" w:rsidRPr="009639A5">
              <w:rPr>
                <w:sz w:val="28"/>
                <w:szCs w:val="28"/>
                <w:shd w:val="clear" w:color="auto" w:fill="FFFFFF"/>
              </w:rPr>
              <w:t>Starptautiskajā pārbaužu</w:t>
            </w:r>
            <w:r w:rsidRPr="009639A5">
              <w:rPr>
                <w:sz w:val="28"/>
                <w:szCs w:val="28"/>
                <w:shd w:val="clear" w:color="auto" w:fill="FFFFFF"/>
              </w:rPr>
              <w:t xml:space="preserve"> standartā, kas stājās spēkā 2015. gada janvārī, nepieciešams aktualizēt MK noteikumu  Nr. 820 3. pielikumu „Dopinga kontroles anketa” (turpmāk – Dopinga kontroles anketa). </w:t>
            </w:r>
          </w:p>
          <w:p w:rsidR="007F650D" w:rsidRPr="009639A5" w:rsidRDefault="007F650D" w:rsidP="007F650D">
            <w:pPr>
              <w:pStyle w:val="NoSpacing"/>
              <w:jc w:val="both"/>
              <w:rPr>
                <w:sz w:val="28"/>
                <w:szCs w:val="28"/>
                <w:shd w:val="clear" w:color="auto" w:fill="FFFFFF"/>
              </w:rPr>
            </w:pPr>
            <w:r w:rsidRPr="009639A5">
              <w:rPr>
                <w:sz w:val="28"/>
                <w:szCs w:val="28"/>
                <w:shd w:val="clear" w:color="auto" w:fill="FFFFFF"/>
              </w:rPr>
              <w:t xml:space="preserve">Galvenās izmaiņas Dopinga kontroles anketā, salīdzinot ar </w:t>
            </w:r>
            <w:r w:rsidRPr="009639A5">
              <w:rPr>
                <w:sz w:val="28"/>
                <w:szCs w:val="28"/>
                <w:shd w:val="clear" w:color="auto" w:fill="FFFFFF"/>
              </w:rPr>
              <w:lastRenderedPageBreak/>
              <w:t xml:space="preserve">patlaban spēkā esošo: </w:t>
            </w:r>
          </w:p>
          <w:p w:rsidR="007F650D" w:rsidRPr="009639A5" w:rsidRDefault="007F650D" w:rsidP="007F650D">
            <w:pPr>
              <w:pStyle w:val="NoSpacing"/>
              <w:jc w:val="both"/>
              <w:rPr>
                <w:sz w:val="28"/>
                <w:szCs w:val="28"/>
                <w:shd w:val="clear" w:color="auto" w:fill="FFFFFF"/>
              </w:rPr>
            </w:pPr>
            <w:r w:rsidRPr="009639A5">
              <w:rPr>
                <w:sz w:val="28"/>
                <w:szCs w:val="28"/>
                <w:shd w:val="clear" w:color="auto" w:fill="FFFFFF"/>
              </w:rPr>
              <w:t xml:space="preserve">-Sadaļā „Ziņas par sportistu” protokolējami arī dati par sportista tālruņa numuru, treneri un ārstu; </w:t>
            </w:r>
          </w:p>
          <w:p w:rsidR="007F650D" w:rsidRPr="009639A5" w:rsidRDefault="007F650D" w:rsidP="007F650D">
            <w:pPr>
              <w:pStyle w:val="NoSpacing"/>
              <w:jc w:val="both"/>
              <w:rPr>
                <w:sz w:val="28"/>
                <w:szCs w:val="28"/>
              </w:rPr>
            </w:pPr>
            <w:r w:rsidRPr="009639A5">
              <w:rPr>
                <w:sz w:val="28"/>
                <w:szCs w:val="28"/>
                <w:shd w:val="clear" w:color="auto" w:fill="FFFFFF"/>
              </w:rPr>
              <w:t xml:space="preserve">-Sadaļā „Informācija par analīzi” turpmāk nepieciešams </w:t>
            </w:r>
            <w:r w:rsidRPr="009639A5">
              <w:rPr>
                <w:sz w:val="28"/>
                <w:szCs w:val="28"/>
              </w:rPr>
              <w:t>norādīt informāciju par zālēm un uztura bagātinātājiem, kas lietoti iepriekšējās septiņās dienās (nevis desmit dienās kā līdz šim);</w:t>
            </w:r>
          </w:p>
          <w:p w:rsidR="00264044" w:rsidRPr="009639A5" w:rsidRDefault="007F650D" w:rsidP="007F650D">
            <w:pPr>
              <w:pStyle w:val="NoSpacing"/>
              <w:jc w:val="both"/>
              <w:rPr>
                <w:sz w:val="28"/>
                <w:szCs w:val="28"/>
              </w:rPr>
            </w:pPr>
            <w:r w:rsidRPr="009639A5">
              <w:rPr>
                <w:sz w:val="28"/>
                <w:szCs w:val="28"/>
              </w:rPr>
              <w:t>-</w:t>
            </w:r>
            <w:r w:rsidRPr="009639A5">
              <w:rPr>
                <w:sz w:val="28"/>
                <w:szCs w:val="28"/>
                <w:shd w:val="clear" w:color="auto" w:fill="FFFFFF"/>
              </w:rPr>
              <w:t xml:space="preserve">Sadaļā „Informācija par analīzi” turpmāk, </w:t>
            </w:r>
            <w:r w:rsidRPr="009639A5">
              <w:rPr>
                <w:sz w:val="28"/>
                <w:szCs w:val="28"/>
              </w:rPr>
              <w:t>gadījumā, ja ievākts asins paraugs,</w:t>
            </w:r>
            <w:r w:rsidRPr="009639A5">
              <w:rPr>
                <w:sz w:val="28"/>
                <w:szCs w:val="28"/>
                <w:shd w:val="clear" w:color="auto" w:fill="FFFFFF"/>
              </w:rPr>
              <w:t xml:space="preserve"> nepieciešams norādīt </w:t>
            </w:r>
            <w:r w:rsidRPr="009639A5">
              <w:rPr>
                <w:sz w:val="28"/>
                <w:szCs w:val="28"/>
              </w:rPr>
              <w:t>informāciju par asins pārliešanu iepriekšējo triju mēnešu laikā (nevis sešu mēnešu laikā</w:t>
            </w:r>
            <w:r w:rsidR="00E72C21" w:rsidRPr="009639A5">
              <w:rPr>
                <w:sz w:val="28"/>
                <w:szCs w:val="28"/>
              </w:rPr>
              <w:t xml:space="preserve"> kā līdz šim</w:t>
            </w:r>
            <w:r w:rsidRPr="009639A5">
              <w:rPr>
                <w:sz w:val="28"/>
                <w:szCs w:val="28"/>
              </w:rPr>
              <w:t>)</w:t>
            </w:r>
            <w:r w:rsidR="00500D4F" w:rsidRPr="009639A5">
              <w:rPr>
                <w:sz w:val="28"/>
                <w:szCs w:val="28"/>
              </w:rPr>
              <w:t xml:space="preserve">; </w:t>
            </w:r>
          </w:p>
          <w:p w:rsidR="00500D4F" w:rsidRPr="009639A5" w:rsidRDefault="00500D4F" w:rsidP="007F650D">
            <w:pPr>
              <w:pStyle w:val="NoSpacing"/>
              <w:jc w:val="both"/>
              <w:rPr>
                <w:sz w:val="28"/>
                <w:szCs w:val="28"/>
              </w:rPr>
            </w:pPr>
            <w:r w:rsidRPr="009639A5">
              <w:rPr>
                <w:sz w:val="28"/>
                <w:szCs w:val="28"/>
              </w:rPr>
              <w:t xml:space="preserve">-Sadaļā „Informācija par analīzi” precizēta norādāmā informācija par kontroles veidu; </w:t>
            </w:r>
          </w:p>
          <w:p w:rsidR="00500D4F" w:rsidRPr="009639A5" w:rsidRDefault="00500D4F" w:rsidP="007F650D">
            <w:pPr>
              <w:pStyle w:val="NoSpacing"/>
              <w:jc w:val="both"/>
              <w:rPr>
                <w:sz w:val="28"/>
                <w:szCs w:val="28"/>
              </w:rPr>
            </w:pPr>
            <w:r w:rsidRPr="009639A5">
              <w:rPr>
                <w:sz w:val="28"/>
                <w:szCs w:val="28"/>
              </w:rPr>
              <w:t xml:space="preserve">-Sadaļā „Informācija par analīzi” turpmāk atsevišķi jānorāda informācija par disciplīnu; </w:t>
            </w:r>
          </w:p>
          <w:p w:rsidR="00500D4F" w:rsidRPr="00B35284" w:rsidRDefault="00500D4F" w:rsidP="007D5721">
            <w:pPr>
              <w:pStyle w:val="NoSpacing"/>
              <w:jc w:val="both"/>
              <w:rPr>
                <w:color w:val="535353"/>
                <w:sz w:val="28"/>
                <w:szCs w:val="28"/>
                <w:shd w:val="clear" w:color="auto" w:fill="FFFFFF"/>
              </w:rPr>
            </w:pPr>
            <w:r w:rsidRPr="009639A5">
              <w:rPr>
                <w:sz w:val="28"/>
                <w:szCs w:val="28"/>
              </w:rPr>
              <w:t>-Dopinga kontroles anketā precizēta</w:t>
            </w:r>
            <w:r w:rsidR="007D5721" w:rsidRPr="009639A5">
              <w:rPr>
                <w:sz w:val="28"/>
                <w:szCs w:val="28"/>
              </w:rPr>
              <w:t xml:space="preserve"> norādāmā</w:t>
            </w:r>
            <w:r w:rsidRPr="009639A5">
              <w:rPr>
                <w:sz w:val="28"/>
                <w:szCs w:val="28"/>
              </w:rPr>
              <w:t xml:space="preserve"> </w:t>
            </w:r>
            <w:r w:rsidR="007D5721" w:rsidRPr="009639A5">
              <w:rPr>
                <w:sz w:val="28"/>
                <w:szCs w:val="28"/>
              </w:rPr>
              <w:t>informācija par novērotājiem</w:t>
            </w:r>
            <w:r w:rsidRPr="009639A5">
              <w:rPr>
                <w:sz w:val="28"/>
                <w:szCs w:val="28"/>
              </w:rPr>
              <w:t>.</w:t>
            </w:r>
            <w:r w:rsidRPr="00D414B9">
              <w:rPr>
                <w:b/>
                <w:sz w:val="28"/>
                <w:szCs w:val="28"/>
              </w:rPr>
              <w:t xml:space="preserve"> </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lastRenderedPageBreak/>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Projekta izstrādē iesaistītās institūcijas</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1A2287">
            <w:pPr>
              <w:pStyle w:val="NoSpacing"/>
              <w:jc w:val="both"/>
              <w:rPr>
                <w:sz w:val="28"/>
                <w:szCs w:val="28"/>
              </w:rPr>
            </w:pPr>
            <w:r w:rsidRPr="000604BE">
              <w:rPr>
                <w:sz w:val="28"/>
                <w:szCs w:val="28"/>
              </w:rPr>
              <w:t>Veselības ministrija, Valsts sporta medicīnas centrs.</w:t>
            </w:r>
          </w:p>
        </w:tc>
      </w:tr>
      <w:tr w:rsidR="000179D2" w:rsidRPr="007B03DE" w:rsidTr="0038172A">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4.</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E11845">
            <w:pPr>
              <w:pStyle w:val="NoSpacing"/>
              <w:jc w:val="both"/>
              <w:rPr>
                <w:sz w:val="28"/>
                <w:szCs w:val="28"/>
              </w:rPr>
            </w:pPr>
            <w:r>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977"/>
        <w:gridCol w:w="5698"/>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mērķgrupas, kuras tiesiskais regulējums ietekmē vai varētu ietekmēt</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0179D2" w:rsidP="00E11845">
            <w:pPr>
              <w:pStyle w:val="NoSpacing"/>
              <w:jc w:val="both"/>
            </w:pPr>
            <w:r w:rsidRPr="000604BE">
              <w:rPr>
                <w:sz w:val="28"/>
                <w:szCs w:val="28"/>
              </w:rPr>
              <w:t>Sporta ārsti, sportisti un sporta darbinieki.</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DE35ED" w:rsidP="00DE35ED">
            <w:pPr>
              <w:pStyle w:val="NoSpacing"/>
              <w:jc w:val="both"/>
              <w:rPr>
                <w:sz w:val="28"/>
                <w:szCs w:val="28"/>
              </w:rPr>
            </w:pPr>
            <w:r>
              <w:rPr>
                <w:sz w:val="28"/>
                <w:szCs w:val="28"/>
              </w:rPr>
              <w:t>Nav</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21D4A">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Saistības pret Eiropas </w:t>
            </w:r>
            <w:r w:rsidRPr="007B03DE">
              <w:rPr>
                <w:sz w:val="28"/>
                <w:szCs w:val="28"/>
              </w:rPr>
              <w:lastRenderedPageBreak/>
              <w:t>Savienību</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lastRenderedPageBreak/>
              <w:t>Nav attiecināms</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0179D2" w:rsidP="00B426B9">
            <w:pPr>
              <w:pStyle w:val="NoSpacing"/>
              <w:jc w:val="both"/>
              <w:rPr>
                <w:sz w:val="28"/>
                <w:szCs w:val="28"/>
              </w:rPr>
            </w:pPr>
            <w:r w:rsidRPr="009639A5">
              <w:rPr>
                <w:sz w:val="28"/>
                <w:szCs w:val="28"/>
              </w:rPr>
              <w:t>Noteikumu projektā ietverto tiesību normu izpilde notiek saskaņā ar starptautiskajām saistībām, kas izriet no</w:t>
            </w:r>
            <w:r w:rsidR="00A77AE3" w:rsidRPr="009639A5">
              <w:rPr>
                <w:sz w:val="28"/>
                <w:szCs w:val="28"/>
              </w:rPr>
              <w:t>:</w:t>
            </w:r>
            <w:r w:rsidR="00E505EA" w:rsidRPr="009639A5">
              <w:rPr>
                <w:sz w:val="28"/>
                <w:szCs w:val="28"/>
              </w:rPr>
              <w:t xml:space="preserve"> </w:t>
            </w:r>
          </w:p>
          <w:p w:rsidR="00A95855" w:rsidRPr="009639A5" w:rsidRDefault="00A77AE3" w:rsidP="00B426B9">
            <w:pPr>
              <w:pStyle w:val="NoSpacing"/>
              <w:jc w:val="both"/>
              <w:rPr>
                <w:sz w:val="28"/>
                <w:szCs w:val="28"/>
              </w:rPr>
            </w:pPr>
            <w:r w:rsidRPr="009639A5">
              <w:rPr>
                <w:sz w:val="28"/>
                <w:szCs w:val="28"/>
              </w:rPr>
              <w:t xml:space="preserve">1. </w:t>
            </w:r>
            <w:r w:rsidR="00B426B9" w:rsidRPr="009639A5">
              <w:rPr>
                <w:sz w:val="28"/>
                <w:szCs w:val="28"/>
              </w:rPr>
              <w:t>2005. gada 19. oktobra Starptautiskās konvencijas pret dopingu sportā</w:t>
            </w:r>
            <w:r w:rsidRPr="009639A5">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konvencijas Nr. 135.</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A77AE3" w:rsidP="000B50F4">
            <w:pPr>
              <w:pStyle w:val="NoSpacing"/>
              <w:jc w:val="both"/>
              <w:rPr>
                <w:sz w:val="28"/>
                <w:szCs w:val="28"/>
              </w:rPr>
            </w:pPr>
            <w:r w:rsidRPr="009639A5">
              <w:rPr>
                <w:sz w:val="28"/>
                <w:szCs w:val="28"/>
              </w:rPr>
              <w:t xml:space="preserve">Eiropas Padomes 1989. gada 16. novembra Antidopinga konvencijas Nr. 135 pielikums atbilst 2005. gada 19. oktobra Starptautiskās konvencijas pret dopingu sportā 1. pielikumam, </w:t>
            </w:r>
            <w:r w:rsidR="000B50F4" w:rsidRPr="009639A5">
              <w:rPr>
                <w:sz w:val="28"/>
                <w:szCs w:val="28"/>
              </w:rPr>
              <w:t>kurā noteiktas</w:t>
            </w:r>
            <w:r w:rsidRPr="009639A5">
              <w:rPr>
                <w:sz w:val="28"/>
                <w:szCs w:val="28"/>
              </w:rPr>
              <w:t xml:space="preserve"> aizliegtās dopinga vielas un metodes. Saskaņā ar Eiropas Padomes 1989. gada 16. novembra Antidopinga konvencijas Nr. 135 10. un 11. pantu</w:t>
            </w:r>
            <w:r w:rsidR="00D414B9" w:rsidRPr="009639A5">
              <w:rPr>
                <w:sz w:val="28"/>
                <w:szCs w:val="28"/>
              </w:rPr>
              <w:t>,</w:t>
            </w:r>
            <w:r w:rsidRPr="009639A5">
              <w:rPr>
                <w:sz w:val="28"/>
                <w:szCs w:val="28"/>
              </w:rPr>
              <w:t xml:space="preserve"> grozījumus minētās konvencijas pielikumā pieņem Kontroles grupa, kas 2016. gada Aizliegto vielu sarakst</w:t>
            </w:r>
            <w:r w:rsidR="0097715E" w:rsidRPr="009639A5">
              <w:rPr>
                <w:sz w:val="28"/>
                <w:szCs w:val="28"/>
              </w:rPr>
              <w:t>u</w:t>
            </w:r>
            <w:r w:rsidRPr="009639A5">
              <w:rPr>
                <w:sz w:val="28"/>
                <w:szCs w:val="28"/>
              </w:rPr>
              <w:t xml:space="preserve"> pieņēma 2015. gada 9. decembrī Strasbūrā. </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3406"/>
        <w:gridCol w:w="285"/>
        <w:gridCol w:w="1052"/>
        <w:gridCol w:w="1092"/>
        <w:gridCol w:w="1094"/>
        <w:gridCol w:w="2282"/>
      </w:tblGrid>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185D63"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330" w:type="pct"/>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Projekta vienība, kas pārņem vai ievieš katru šīs tabulas A ailē minēto ES tiesību akta vienību, vai tiesību akts, kur attiecīgā ES tiesību akta vienība pārņemta </w:t>
            </w:r>
            <w:r w:rsidRPr="007B03DE">
              <w:rPr>
                <w:sz w:val="28"/>
                <w:szCs w:val="28"/>
              </w:rPr>
              <w:lastRenderedPageBreak/>
              <w:t>vai ieviesta</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 xml:space="preserve">Ja attiecīgā ES tiesību akta vienība tiek pārņemta vai ieviesta daļēji, sniedz attiecīgu skaidrojumu, kā arī precīzi norāda, kad un kādā veidā ES tiesību akta </w:t>
            </w:r>
            <w:r w:rsidRPr="007B03DE">
              <w:rPr>
                <w:sz w:val="28"/>
                <w:szCs w:val="28"/>
              </w:rPr>
              <w:lastRenderedPageBreak/>
              <w:t>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 xml:space="preserve">Norāda iespējamās alternatīvas (t.sk. alternatīvas, kas </w:t>
            </w:r>
            <w:r w:rsidRPr="007B03DE">
              <w:rPr>
                <w:sz w:val="28"/>
                <w:szCs w:val="28"/>
              </w:rPr>
              <w:lastRenderedPageBreak/>
              <w:t>neparedz tiesiskā regulējuma izstrādi) - kādos gadījumos būtu iespējams izvairīties no stingrāku prasību noteikšanas, nekā paredzēts attiecīgajos ES tiesību aktos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lastRenderedPageBreak/>
              <w:t>Nav attiecināms</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Kā ir izmantota ES tiesību aktā paredzētā rīcības brīvība dalībvalstij pārņemt vai ieviest noteiktas ES tiesību akta normas?</w:t>
            </w:r>
            <w:r w:rsidRPr="007B03DE">
              <w:rPr>
                <w:sz w:val="28"/>
                <w:szCs w:val="28"/>
              </w:rPr>
              <w:br/>
              <w:t>Kādēļ?</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2983" w:type="pct"/>
            <w:gridSpan w:val="4"/>
            <w:tcBorders>
              <w:top w:val="outset" w:sz="6" w:space="0" w:color="414142"/>
              <w:left w:val="outset" w:sz="6" w:space="0" w:color="414142"/>
              <w:bottom w:val="outset" w:sz="6" w:space="0" w:color="414142"/>
            </w:tcBorders>
            <w:shd w:val="clear" w:color="auto" w:fill="FFFFFF"/>
          </w:tcPr>
          <w:p w:rsidR="00A95855" w:rsidRDefault="00A77AE3" w:rsidP="00E505EA">
            <w:pPr>
              <w:pStyle w:val="NoSpacing"/>
              <w:jc w:val="both"/>
              <w:rPr>
                <w:sz w:val="28"/>
                <w:szCs w:val="28"/>
              </w:rPr>
            </w:pPr>
            <w:r>
              <w:rPr>
                <w:sz w:val="28"/>
                <w:szCs w:val="28"/>
              </w:rPr>
              <w:t xml:space="preserve">1. </w:t>
            </w:r>
            <w:r w:rsidR="00B426B9" w:rsidRPr="00185D63">
              <w:rPr>
                <w:sz w:val="28"/>
                <w:szCs w:val="28"/>
              </w:rPr>
              <w:t>2005.</w:t>
            </w:r>
            <w:r w:rsidR="00B426B9">
              <w:rPr>
                <w:sz w:val="28"/>
                <w:szCs w:val="28"/>
              </w:rPr>
              <w:t xml:space="preserve"> </w:t>
            </w:r>
            <w:r w:rsidR="00B426B9" w:rsidRPr="00185D63">
              <w:rPr>
                <w:sz w:val="28"/>
                <w:szCs w:val="28"/>
              </w:rPr>
              <w:t>gada 19.</w:t>
            </w:r>
            <w:r w:rsidR="00B426B9">
              <w:rPr>
                <w:sz w:val="28"/>
                <w:szCs w:val="28"/>
              </w:rPr>
              <w:t xml:space="preserve"> </w:t>
            </w:r>
            <w:r w:rsidR="00B426B9" w:rsidRPr="00185D63">
              <w:rPr>
                <w:sz w:val="28"/>
                <w:szCs w:val="28"/>
              </w:rPr>
              <w:t>oktobra Starptautiskā</w:t>
            </w:r>
            <w:r w:rsidR="00B426B9">
              <w:rPr>
                <w:sz w:val="28"/>
                <w:szCs w:val="28"/>
              </w:rPr>
              <w:t xml:space="preserve"> konvencija pret dopingu sportā</w:t>
            </w:r>
            <w:r w:rsidR="00E505EA">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 Nr. 135.</w:t>
            </w:r>
          </w:p>
          <w:p w:rsidR="00A77AE3" w:rsidRPr="007B03DE" w:rsidRDefault="00A77AE3" w:rsidP="00E505EA">
            <w:pPr>
              <w:pStyle w:val="NoSpacing"/>
              <w:jc w:val="both"/>
              <w:rPr>
                <w:sz w:val="28"/>
                <w:szCs w:val="28"/>
              </w:rPr>
            </w:pP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lastRenderedPageBreak/>
              <w:t>A</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2015"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Konkrēti veicamie pasākumi vai uzdevumi, kas nepieciešami šo starptautisko saistību izpildei</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Ja attiecīgās starptautiskās saistības tiek izpildītas daļēji, sniedz skaidrojumu, kā arī precīzi norāda, kad un kādā veidā starptautiskās saistības tiks izpildītas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9639A5" w:rsidRDefault="00B426B9" w:rsidP="001179DD">
            <w:pPr>
              <w:pStyle w:val="NoSpacing"/>
              <w:jc w:val="both"/>
              <w:rPr>
                <w:sz w:val="28"/>
                <w:szCs w:val="28"/>
              </w:rPr>
            </w:pPr>
            <w:r w:rsidRPr="009639A5">
              <w:rPr>
                <w:sz w:val="28"/>
                <w:szCs w:val="28"/>
              </w:rPr>
              <w:t>2005. gada 19. oktobra Starptautiskās konvencijas pret dopingu sportā 1.</w:t>
            </w:r>
            <w:r w:rsidR="00952F9C" w:rsidRPr="009639A5">
              <w:rPr>
                <w:sz w:val="28"/>
                <w:szCs w:val="28"/>
              </w:rPr>
              <w:t xml:space="preserve"> </w:t>
            </w:r>
            <w:r w:rsidRPr="009639A5">
              <w:rPr>
                <w:sz w:val="28"/>
                <w:szCs w:val="28"/>
              </w:rPr>
              <w:t>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9639A5" w:rsidRDefault="00A95855" w:rsidP="005E1501">
            <w:pPr>
              <w:pStyle w:val="NoSpacing"/>
              <w:jc w:val="both"/>
              <w:rPr>
                <w:sz w:val="28"/>
                <w:szCs w:val="28"/>
              </w:rPr>
            </w:pPr>
            <w:r w:rsidRPr="009639A5">
              <w:rPr>
                <w:sz w:val="28"/>
                <w:szCs w:val="28"/>
              </w:rPr>
              <w:t>Noteikumu p</w:t>
            </w:r>
            <w:r w:rsidR="007B03DE" w:rsidRPr="009639A5">
              <w:rPr>
                <w:sz w:val="28"/>
                <w:szCs w:val="28"/>
              </w:rPr>
              <w:t>rojekt</w:t>
            </w:r>
            <w:r w:rsidR="005E1501" w:rsidRPr="009639A5">
              <w:rPr>
                <w:sz w:val="28"/>
                <w:szCs w:val="28"/>
              </w:rPr>
              <w:t>a 1. – 8. punkts</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9639A5" w:rsidRDefault="000179D2" w:rsidP="001A2287">
            <w:pPr>
              <w:pStyle w:val="NoSpacing"/>
              <w:jc w:val="both"/>
              <w:rPr>
                <w:sz w:val="28"/>
                <w:szCs w:val="28"/>
              </w:rPr>
            </w:pPr>
            <w:r w:rsidRPr="009639A5">
              <w:rPr>
                <w:sz w:val="28"/>
                <w:szCs w:val="28"/>
              </w:rPr>
              <w:t>Starptautiskās saistības tiek izpildītas pilnībā.</w:t>
            </w:r>
          </w:p>
        </w:tc>
      </w:tr>
      <w:tr w:rsidR="007F650D"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7F650D" w:rsidRPr="009639A5" w:rsidRDefault="006977A3" w:rsidP="001179DD">
            <w:pPr>
              <w:pStyle w:val="NoSpacing"/>
              <w:jc w:val="both"/>
              <w:rPr>
                <w:sz w:val="28"/>
                <w:szCs w:val="28"/>
              </w:rPr>
            </w:pPr>
            <w:r w:rsidRPr="009639A5">
              <w:rPr>
                <w:sz w:val="28"/>
                <w:szCs w:val="28"/>
              </w:rPr>
              <w:t>2005. gada 19. oktobra Starptautiskās konvencijas pret dopingu sportā 3. papildinājums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7F650D" w:rsidRPr="009639A5" w:rsidRDefault="006977A3" w:rsidP="005E1501">
            <w:pPr>
              <w:pStyle w:val="NoSpacing"/>
              <w:jc w:val="both"/>
              <w:rPr>
                <w:sz w:val="28"/>
                <w:szCs w:val="28"/>
              </w:rPr>
            </w:pPr>
            <w:r w:rsidRPr="009639A5">
              <w:rPr>
                <w:sz w:val="28"/>
                <w:szCs w:val="28"/>
              </w:rPr>
              <w:t>Noteikumu projekt</w:t>
            </w:r>
            <w:r w:rsidR="005E1501" w:rsidRPr="009639A5">
              <w:rPr>
                <w:sz w:val="28"/>
                <w:szCs w:val="28"/>
              </w:rPr>
              <w:t>a 9. punkts</w:t>
            </w:r>
          </w:p>
        </w:tc>
        <w:tc>
          <w:tcPr>
            <w:tcW w:w="2015" w:type="pct"/>
            <w:gridSpan w:val="2"/>
            <w:tcBorders>
              <w:top w:val="outset" w:sz="6" w:space="0" w:color="414142"/>
              <w:left w:val="outset" w:sz="6" w:space="0" w:color="414142"/>
              <w:bottom w:val="outset" w:sz="6" w:space="0" w:color="414142"/>
            </w:tcBorders>
            <w:shd w:val="clear" w:color="auto" w:fill="FFFFFF"/>
          </w:tcPr>
          <w:p w:rsidR="007F650D" w:rsidRPr="009639A5" w:rsidRDefault="006977A3" w:rsidP="001A2287">
            <w:pPr>
              <w:pStyle w:val="NoSpacing"/>
              <w:jc w:val="both"/>
              <w:rPr>
                <w:sz w:val="28"/>
                <w:szCs w:val="28"/>
              </w:rPr>
            </w:pPr>
            <w:r w:rsidRPr="009639A5">
              <w:rPr>
                <w:sz w:val="28"/>
                <w:szCs w:val="28"/>
              </w:rPr>
              <w:t>Starptautiskās saistības tiek izpildītas pilnībā.</w:t>
            </w:r>
          </w:p>
        </w:tc>
      </w:tr>
      <w:tr w:rsidR="00A77AE3"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9639A5" w:rsidRDefault="00A77AE3" w:rsidP="001179DD">
            <w:pPr>
              <w:pStyle w:val="NoSpacing"/>
              <w:jc w:val="both"/>
              <w:rPr>
                <w:sz w:val="28"/>
                <w:szCs w:val="28"/>
              </w:rPr>
            </w:pPr>
            <w:r w:rsidRPr="009639A5">
              <w:rPr>
                <w:sz w:val="28"/>
                <w:szCs w:val="28"/>
              </w:rPr>
              <w:t>Eiropas Padomes 1989. gada 16. novembra Antidopinga konvencijas Nr. 135 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77AE3" w:rsidRPr="009639A5" w:rsidRDefault="00A77AE3" w:rsidP="00D414B9">
            <w:pPr>
              <w:pStyle w:val="NoSpacing"/>
              <w:jc w:val="both"/>
              <w:rPr>
                <w:sz w:val="28"/>
                <w:szCs w:val="28"/>
              </w:rPr>
            </w:pPr>
            <w:r w:rsidRPr="009639A5">
              <w:rPr>
                <w:sz w:val="28"/>
                <w:szCs w:val="28"/>
              </w:rPr>
              <w:t>Noteikumu projekt</w:t>
            </w:r>
            <w:r w:rsidR="005E1501" w:rsidRPr="009639A5">
              <w:rPr>
                <w:sz w:val="28"/>
                <w:szCs w:val="28"/>
              </w:rPr>
              <w:t>a 1. – 8. punkts</w:t>
            </w:r>
          </w:p>
          <w:p w:rsidR="00A77AE3" w:rsidRPr="009639A5" w:rsidRDefault="00A77AE3" w:rsidP="009A2526">
            <w:pPr>
              <w:pStyle w:val="NoSpacing"/>
              <w:jc w:val="both"/>
              <w:rPr>
                <w:sz w:val="28"/>
                <w:szCs w:val="28"/>
              </w:rPr>
            </w:pPr>
          </w:p>
        </w:tc>
        <w:tc>
          <w:tcPr>
            <w:tcW w:w="2015" w:type="pct"/>
            <w:gridSpan w:val="2"/>
            <w:tcBorders>
              <w:top w:val="outset" w:sz="6" w:space="0" w:color="414142"/>
              <w:left w:val="outset" w:sz="6" w:space="0" w:color="414142"/>
              <w:bottom w:val="outset" w:sz="6" w:space="0" w:color="414142"/>
            </w:tcBorders>
            <w:shd w:val="clear" w:color="auto" w:fill="FFFFFF"/>
          </w:tcPr>
          <w:p w:rsidR="00A77AE3" w:rsidRPr="009639A5" w:rsidRDefault="00A77AE3" w:rsidP="001A2287">
            <w:pPr>
              <w:pStyle w:val="NoSpacing"/>
              <w:jc w:val="both"/>
              <w:rPr>
                <w:sz w:val="28"/>
                <w:szCs w:val="28"/>
              </w:rPr>
            </w:pPr>
            <w:r w:rsidRPr="009639A5">
              <w:rPr>
                <w:sz w:val="28"/>
                <w:szCs w:val="28"/>
              </w:rPr>
              <w:t>Starptautiskās saistības tiek izpildītas pilnībā.</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b/>
                <w:sz w:val="28"/>
                <w:szCs w:val="28"/>
              </w:rPr>
            </w:pPr>
            <w:r>
              <w:rPr>
                <w:sz w:val="28"/>
                <w:szCs w:val="28"/>
              </w:rPr>
              <w:t>Nav attiecināms</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Cita informācija</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3402"/>
        <w:gridCol w:w="5272"/>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38172A">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Sabiedrības līdzdalība </w:t>
            </w:r>
            <w:r w:rsidRPr="007B03DE">
              <w:rPr>
                <w:sz w:val="28"/>
                <w:szCs w:val="28"/>
              </w:rPr>
              <w:lastRenderedPageBreak/>
              <w:t>projekta izstrādē</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lastRenderedPageBreak/>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6977A3">
            <w:pPr>
              <w:pStyle w:val="NoSpacing"/>
              <w:jc w:val="both"/>
              <w:rPr>
                <w:sz w:val="28"/>
                <w:szCs w:val="28"/>
              </w:rPr>
            </w:pPr>
            <w:r w:rsidRPr="007B03DE">
              <w:rPr>
                <w:sz w:val="28"/>
                <w:szCs w:val="28"/>
              </w:rPr>
              <w:t xml:space="preserve">Sabiedrības līdzdalība noteikumu projekta izstrādē netika nodrošināta, jo </w:t>
            </w:r>
            <w:r w:rsidR="000179D2" w:rsidRPr="009639A5">
              <w:rPr>
                <w:sz w:val="28"/>
                <w:szCs w:val="28"/>
              </w:rPr>
              <w:t>izmaiņas  Starptautiskajā standartā „Aizliegtais saraksts”</w:t>
            </w:r>
            <w:r w:rsidR="006977A3" w:rsidRPr="009639A5">
              <w:rPr>
                <w:sz w:val="28"/>
                <w:szCs w:val="28"/>
              </w:rPr>
              <w:t>, kā arī Starptautiskajā pārbaužu standartā</w:t>
            </w:r>
            <w:r w:rsidR="001179DD" w:rsidRPr="009639A5">
              <w:rPr>
                <w:sz w:val="28"/>
                <w:szCs w:val="28"/>
              </w:rPr>
              <w:t xml:space="preserve"> </w:t>
            </w:r>
            <w:r w:rsidR="000179D2" w:rsidRPr="009639A5">
              <w:rPr>
                <w:sz w:val="28"/>
                <w:szCs w:val="28"/>
              </w:rPr>
              <w:t>Konvencijas dalībvalstīm, tajā skaitā Latvijai, ir saistoš</w:t>
            </w:r>
            <w:r w:rsidR="00185D63" w:rsidRPr="009639A5">
              <w:rPr>
                <w:sz w:val="28"/>
                <w:szCs w:val="28"/>
              </w:rPr>
              <w:t>as</w:t>
            </w:r>
            <w:r w:rsidR="000179D2" w:rsidRPr="009639A5">
              <w:rPr>
                <w:sz w:val="28"/>
                <w:szCs w:val="28"/>
              </w:rPr>
              <w:t>, tāpēc pārņ</w:t>
            </w:r>
            <w:r w:rsidR="00185D63" w:rsidRPr="009639A5">
              <w:rPr>
                <w:sz w:val="28"/>
                <w:szCs w:val="28"/>
              </w:rPr>
              <w:t>emamas</w:t>
            </w:r>
            <w:r w:rsidR="000179D2" w:rsidRPr="009639A5">
              <w:rPr>
                <w:sz w:val="28"/>
                <w:szCs w:val="28"/>
              </w:rPr>
              <w:t xml:space="preserve"> obligāti.</w:t>
            </w:r>
            <w:r w:rsidR="000179D2">
              <w:rPr>
                <w:sz w:val="28"/>
                <w:szCs w:val="28"/>
              </w:rPr>
              <w:t xml:space="preserve"> </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3402"/>
        <w:gridCol w:w="5272"/>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38172A">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sidRPr="000604BE">
              <w:rPr>
                <w:sz w:val="28"/>
                <w:szCs w:val="28"/>
              </w:rPr>
              <w:t xml:space="preserve">Veselības ministrija, </w:t>
            </w:r>
            <w:r w:rsidR="00CD23B3">
              <w:rPr>
                <w:sz w:val="28"/>
                <w:szCs w:val="28"/>
              </w:rPr>
              <w:t xml:space="preserve">Izglītības un zinātnes ministrija, </w:t>
            </w:r>
            <w:r w:rsidRPr="000604BE">
              <w:rPr>
                <w:sz w:val="28"/>
                <w:szCs w:val="28"/>
              </w:rPr>
              <w:t>Valsts sporta medicīnas centrs, Latvijas Olimpiskā komiteja, Latvijas Sporta federāciju padome</w:t>
            </w:r>
            <w:r w:rsidR="009850BC">
              <w:rPr>
                <w:sz w:val="28"/>
                <w:szCs w:val="28"/>
              </w:rPr>
              <w:t>.</w:t>
            </w:r>
          </w:p>
        </w:tc>
      </w:tr>
      <w:tr w:rsidR="00A95855" w:rsidRPr="007B03DE" w:rsidTr="0038172A">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izpildes ietekme uz pārvaldes funkcijām un institucionālo struktūru.</w:t>
            </w:r>
          </w:p>
          <w:p w:rsidR="00A95855" w:rsidRPr="007B03DE" w:rsidRDefault="00A95855" w:rsidP="001A2287">
            <w:pPr>
              <w:pStyle w:val="NoSpacing"/>
              <w:jc w:val="both"/>
              <w:rPr>
                <w:sz w:val="28"/>
                <w:szCs w:val="28"/>
              </w:rPr>
            </w:pPr>
            <w:r w:rsidRPr="007B03DE">
              <w:rPr>
                <w:sz w:val="28"/>
                <w:szCs w:val="28"/>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Nav </w:t>
            </w:r>
          </w:p>
        </w:tc>
      </w:tr>
      <w:tr w:rsidR="00A95855" w:rsidRPr="007B03DE" w:rsidTr="0038172A">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ListParagraph"/>
        <w:tabs>
          <w:tab w:val="left" w:pos="6804"/>
        </w:tabs>
        <w:ind w:left="0"/>
        <w:jc w:val="both"/>
        <w:rPr>
          <w:bCs/>
          <w:sz w:val="28"/>
          <w:szCs w:val="28"/>
        </w:rPr>
      </w:pPr>
      <w:r w:rsidRPr="007B03DE">
        <w:rPr>
          <w:bCs/>
          <w:sz w:val="28"/>
          <w:szCs w:val="28"/>
        </w:rPr>
        <w:t>III</w:t>
      </w:r>
      <w:r w:rsidR="000179D2">
        <w:rPr>
          <w:bCs/>
          <w:sz w:val="28"/>
          <w:szCs w:val="28"/>
        </w:rPr>
        <w:t>, IV</w:t>
      </w:r>
      <w:r w:rsidRPr="007B03DE">
        <w:rPr>
          <w:bCs/>
          <w:sz w:val="28"/>
          <w:szCs w:val="28"/>
        </w:rPr>
        <w:t xml:space="preserve">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A95855" w:rsidRPr="007B03DE" w:rsidRDefault="007B03DE" w:rsidP="00CD23B3">
      <w:pPr>
        <w:pStyle w:val="ListParagraph"/>
        <w:tabs>
          <w:tab w:val="left" w:pos="6804"/>
        </w:tabs>
        <w:ind w:left="0"/>
        <w:jc w:val="both"/>
        <w:rPr>
          <w:sz w:val="28"/>
          <w:szCs w:val="28"/>
        </w:rPr>
      </w:pPr>
      <w:r w:rsidRPr="007B03DE">
        <w:rPr>
          <w:bCs/>
          <w:sz w:val="28"/>
          <w:szCs w:val="28"/>
        </w:rPr>
        <w:t>Veselības ministr</w:t>
      </w:r>
      <w:r w:rsidR="00A40A05">
        <w:rPr>
          <w:bCs/>
          <w:sz w:val="28"/>
          <w:szCs w:val="28"/>
        </w:rPr>
        <w:t>s</w:t>
      </w:r>
      <w:r w:rsidR="00A40A05">
        <w:rPr>
          <w:bCs/>
          <w:sz w:val="28"/>
          <w:szCs w:val="28"/>
        </w:rPr>
        <w:tab/>
      </w:r>
      <w:r w:rsidR="00CD23B3">
        <w:rPr>
          <w:bCs/>
          <w:sz w:val="28"/>
          <w:szCs w:val="28"/>
        </w:rPr>
        <w:t>G</w:t>
      </w:r>
      <w:r w:rsidR="00A40A05">
        <w:rPr>
          <w:bCs/>
          <w:sz w:val="28"/>
          <w:szCs w:val="28"/>
        </w:rPr>
        <w:t>untis</w:t>
      </w:r>
      <w:r w:rsidR="00A95855" w:rsidRPr="007B03DE">
        <w:rPr>
          <w:bCs/>
          <w:sz w:val="28"/>
          <w:szCs w:val="28"/>
        </w:rPr>
        <w:t xml:space="preserve"> </w:t>
      </w:r>
      <w:r w:rsidR="00CD23B3">
        <w:rPr>
          <w:bCs/>
          <w:sz w:val="28"/>
          <w:szCs w:val="28"/>
        </w:rPr>
        <w:t>Belēvičs</w:t>
      </w:r>
    </w:p>
    <w:p w:rsidR="00A95855" w:rsidRDefault="00A95855" w:rsidP="00A95855">
      <w:pPr>
        <w:pStyle w:val="ListParagraph"/>
        <w:tabs>
          <w:tab w:val="left" w:pos="3735"/>
        </w:tabs>
        <w:ind w:left="0"/>
        <w:jc w:val="both"/>
      </w:pPr>
    </w:p>
    <w:p w:rsidR="00757BB3" w:rsidRDefault="00757BB3" w:rsidP="00A95855">
      <w:pPr>
        <w:pStyle w:val="ListParagraph"/>
        <w:tabs>
          <w:tab w:val="left" w:pos="3735"/>
        </w:tabs>
        <w:ind w:left="0"/>
        <w:jc w:val="both"/>
      </w:pPr>
    </w:p>
    <w:p w:rsidR="00757BB3" w:rsidRPr="00C7002C" w:rsidRDefault="00757BB3" w:rsidP="00757BB3">
      <w:pPr>
        <w:tabs>
          <w:tab w:val="left" w:pos="2955"/>
        </w:tabs>
        <w:spacing w:after="0" w:line="240" w:lineRule="auto"/>
        <w:jc w:val="both"/>
        <w:rPr>
          <w:rFonts w:ascii="Times New Roman" w:hAnsi="Times New Roman"/>
          <w:sz w:val="28"/>
          <w:szCs w:val="28"/>
        </w:rPr>
      </w:pPr>
      <w:r>
        <w:rPr>
          <w:rFonts w:ascii="Times New Roman" w:hAnsi="Times New Roman"/>
          <w:sz w:val="28"/>
          <w:szCs w:val="28"/>
        </w:rPr>
        <w:t>Vīza: Valsts sekretāre</w:t>
      </w:r>
      <w:r w:rsidRPr="00C7002C">
        <w:rPr>
          <w:rFonts w:ascii="Times New Roman" w:hAnsi="Times New Roman"/>
          <w:sz w:val="28"/>
          <w:szCs w:val="28"/>
        </w:rPr>
        <w:tab/>
      </w:r>
      <w:r w:rsidRPr="00C7002C">
        <w:rPr>
          <w:rFonts w:ascii="Times New Roman" w:hAnsi="Times New Roman"/>
          <w:sz w:val="28"/>
          <w:szCs w:val="28"/>
        </w:rPr>
        <w:tab/>
      </w:r>
      <w:r w:rsidRPr="00C7002C">
        <w:rPr>
          <w:rFonts w:ascii="Times New Roman" w:hAnsi="Times New Roman"/>
          <w:sz w:val="28"/>
          <w:szCs w:val="28"/>
        </w:rPr>
        <w:tab/>
      </w:r>
      <w:r w:rsidRPr="00C7002C">
        <w:rPr>
          <w:rFonts w:ascii="Times New Roman" w:hAnsi="Times New Roman"/>
          <w:sz w:val="28"/>
          <w:szCs w:val="28"/>
        </w:rPr>
        <w:tab/>
      </w:r>
      <w:r w:rsidR="00A40A05">
        <w:rPr>
          <w:rFonts w:ascii="Times New Roman" w:hAnsi="Times New Roman"/>
          <w:sz w:val="28"/>
          <w:szCs w:val="28"/>
        </w:rPr>
        <w:tab/>
      </w:r>
      <w:r w:rsidR="00A40A05">
        <w:rPr>
          <w:rFonts w:ascii="Times New Roman" w:hAnsi="Times New Roman"/>
          <w:sz w:val="28"/>
          <w:szCs w:val="28"/>
        </w:rPr>
        <w:tab/>
        <w:t xml:space="preserve">    </w:t>
      </w:r>
      <w:r>
        <w:rPr>
          <w:rFonts w:ascii="Times New Roman" w:hAnsi="Times New Roman"/>
          <w:sz w:val="28"/>
          <w:szCs w:val="28"/>
        </w:rPr>
        <w:t>S</w:t>
      </w:r>
      <w:r w:rsidR="00A40A05">
        <w:rPr>
          <w:rFonts w:ascii="Times New Roman" w:hAnsi="Times New Roman"/>
          <w:sz w:val="28"/>
          <w:szCs w:val="28"/>
        </w:rPr>
        <w:t xml:space="preserve">olvita </w:t>
      </w:r>
      <w:r>
        <w:rPr>
          <w:rFonts w:ascii="Times New Roman" w:hAnsi="Times New Roman"/>
          <w:sz w:val="28"/>
          <w:szCs w:val="28"/>
        </w:rPr>
        <w:t>Zvidriņa</w:t>
      </w:r>
    </w:p>
    <w:p w:rsidR="00A95855" w:rsidRDefault="00A95855"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A95855" w:rsidRPr="007B03DE" w:rsidRDefault="0038172A" w:rsidP="00A95855">
      <w:pPr>
        <w:pStyle w:val="ListParagraph"/>
        <w:tabs>
          <w:tab w:val="left" w:pos="3735"/>
        </w:tabs>
        <w:ind w:left="0"/>
        <w:jc w:val="both"/>
        <w:rPr>
          <w:sz w:val="20"/>
          <w:szCs w:val="20"/>
        </w:rPr>
      </w:pPr>
      <w:r>
        <w:rPr>
          <w:sz w:val="20"/>
          <w:szCs w:val="20"/>
        </w:rPr>
        <w:t>2</w:t>
      </w:r>
      <w:r w:rsidR="00A40A05">
        <w:rPr>
          <w:sz w:val="20"/>
          <w:szCs w:val="20"/>
        </w:rPr>
        <w:t>8</w:t>
      </w:r>
      <w:r w:rsidR="00F4216A">
        <w:rPr>
          <w:sz w:val="20"/>
          <w:szCs w:val="20"/>
        </w:rPr>
        <w:t>.</w:t>
      </w:r>
      <w:r w:rsidR="00E72C21">
        <w:rPr>
          <w:sz w:val="20"/>
          <w:szCs w:val="20"/>
        </w:rPr>
        <w:t>01</w:t>
      </w:r>
      <w:r w:rsidR="00F4216A">
        <w:rPr>
          <w:sz w:val="20"/>
          <w:szCs w:val="20"/>
        </w:rPr>
        <w:t>.201</w:t>
      </w:r>
      <w:r w:rsidR="00E72C21">
        <w:rPr>
          <w:sz w:val="20"/>
          <w:szCs w:val="20"/>
        </w:rPr>
        <w:t>6</w:t>
      </w:r>
      <w:r>
        <w:rPr>
          <w:sz w:val="20"/>
          <w:szCs w:val="20"/>
        </w:rPr>
        <w:t>. 1</w:t>
      </w:r>
      <w:r w:rsidR="008F050D">
        <w:rPr>
          <w:sz w:val="20"/>
          <w:szCs w:val="20"/>
        </w:rPr>
        <w:t>3</w:t>
      </w:r>
      <w:r>
        <w:rPr>
          <w:sz w:val="20"/>
          <w:szCs w:val="20"/>
        </w:rPr>
        <w:t>:</w:t>
      </w:r>
      <w:r w:rsidR="008F050D">
        <w:rPr>
          <w:sz w:val="20"/>
          <w:szCs w:val="20"/>
        </w:rPr>
        <w:t>39</w:t>
      </w:r>
    </w:p>
    <w:p w:rsidR="00A95855" w:rsidRPr="007B03DE" w:rsidRDefault="001179DD" w:rsidP="00A95855">
      <w:pPr>
        <w:pStyle w:val="ListParagraph"/>
        <w:ind w:left="0"/>
        <w:jc w:val="both"/>
        <w:rPr>
          <w:sz w:val="20"/>
          <w:szCs w:val="20"/>
        </w:rPr>
      </w:pPr>
      <w:r>
        <w:rPr>
          <w:sz w:val="20"/>
          <w:szCs w:val="20"/>
        </w:rPr>
        <w:t>1</w:t>
      </w:r>
      <w:r w:rsidR="003F05CD">
        <w:rPr>
          <w:sz w:val="20"/>
          <w:szCs w:val="20"/>
        </w:rPr>
        <w:t>423</w:t>
      </w:r>
    </w:p>
    <w:p w:rsidR="007B03DE" w:rsidRPr="007B03DE" w:rsidRDefault="007B03DE" w:rsidP="007B03DE">
      <w:pPr>
        <w:pStyle w:val="ListParagraph"/>
        <w:ind w:left="0"/>
        <w:jc w:val="both"/>
        <w:rPr>
          <w:sz w:val="20"/>
          <w:szCs w:val="20"/>
        </w:rPr>
      </w:pPr>
      <w:r w:rsidRPr="007B03DE">
        <w:rPr>
          <w:sz w:val="20"/>
          <w:szCs w:val="20"/>
        </w:rPr>
        <w:t>V. Lūsa</w:t>
      </w:r>
    </w:p>
    <w:p w:rsidR="007B03DE" w:rsidRPr="007B03DE" w:rsidRDefault="007B03DE" w:rsidP="007B03DE">
      <w:pPr>
        <w:pStyle w:val="ListParagraph"/>
        <w:ind w:left="0"/>
      </w:pPr>
      <w:r w:rsidRPr="007B03DE">
        <w:rPr>
          <w:sz w:val="20"/>
          <w:szCs w:val="20"/>
        </w:rPr>
        <w:t>67876099; vieda.lusa@vm.gov.lv</w:t>
      </w:r>
    </w:p>
    <w:sectPr w:rsidR="007B03DE" w:rsidRPr="007B03DE" w:rsidSect="00757BB3">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A5" w:rsidRDefault="009639A5" w:rsidP="00A95855">
      <w:pPr>
        <w:spacing w:after="0" w:line="240" w:lineRule="auto"/>
      </w:pPr>
      <w:r>
        <w:separator/>
      </w:r>
    </w:p>
  </w:endnote>
  <w:endnote w:type="continuationSeparator" w:id="0">
    <w:p w:rsidR="009639A5" w:rsidRDefault="009639A5" w:rsidP="00A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A5" w:rsidRDefault="009639A5" w:rsidP="001A2287">
    <w:pPr>
      <w:pStyle w:val="NoSpacing"/>
      <w:jc w:val="both"/>
    </w:pPr>
    <w:r>
      <w:t>VManot_</w:t>
    </w:r>
    <w:r w:rsidR="0038172A">
      <w:t>2</w:t>
    </w:r>
    <w:r w:rsidR="00A40A05">
      <w:t>8</w:t>
    </w:r>
    <w:r w:rsidR="0038172A">
      <w:t>0116</w:t>
    </w:r>
    <w:r>
      <w:t>_dop</w:t>
    </w:r>
    <w:r w:rsidRPr="006E333A">
      <w:t xml:space="preserve">;  </w:t>
    </w:r>
    <w:r w:rsidRPr="000F69D2">
      <w:t>Ministru kabineta noteikumu projekta „Grozījum</w:t>
    </w:r>
    <w:r>
      <w:t>i</w:t>
    </w:r>
    <w:r w:rsidRPr="000F69D2">
      <w:t xml:space="preserve"> 2011.</w:t>
    </w:r>
    <w:r>
      <w:t xml:space="preserve"> </w:t>
    </w:r>
    <w:r w:rsidRPr="000F69D2">
      <w:t>gada 19.</w:t>
    </w:r>
    <w:r>
      <w:t xml:space="preserve"> </w:t>
    </w:r>
    <w:r w:rsidRPr="000F69D2">
      <w:t>oktobra Ministru kabineta noteikumos Nr. 820 „Dopinga kontroles kārtība”</w:t>
    </w:r>
    <w:r w:rsidRPr="000F69D2">
      <w:rPr>
        <w:bCs/>
      </w:rPr>
      <w:t xml:space="preserve">” sākotnējās ietekmes novērtējuma </w:t>
    </w:r>
    <w:smartTag w:uri="schemas-tilde-lv/tildestengine" w:element="currency2">
      <w:smartTagPr>
        <w:attr w:name="id" w:val="-1"/>
        <w:attr w:name="baseform" w:val="ziņojums"/>
        <w:attr w:name="text" w:val="ziņojums"/>
      </w:smartTagPr>
      <w:r w:rsidRPr="000F69D2">
        <w:rPr>
          <w:bCs/>
        </w:rPr>
        <w:t>ziņojums</w:t>
      </w:r>
    </w:smartTag>
    <w:r w:rsidRPr="000F69D2">
      <w:rPr>
        <w:bCs/>
      </w:rPr>
      <w:t xml:space="preserve"> (</w:t>
    </w:r>
    <w:r w:rsidRPr="000F69D2">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A5" w:rsidRDefault="009639A5" w:rsidP="000179D2">
    <w:pPr>
      <w:pStyle w:val="NoSpacing"/>
      <w:jc w:val="both"/>
    </w:pPr>
    <w:r>
      <w:t>VManot_</w:t>
    </w:r>
    <w:r w:rsidR="0038172A">
      <w:t>2</w:t>
    </w:r>
    <w:r w:rsidR="00A40A05">
      <w:t>8</w:t>
    </w:r>
    <w:r w:rsidR="0038172A">
      <w:t>0116</w:t>
    </w:r>
    <w:r>
      <w:t>_dop</w:t>
    </w:r>
    <w:r w:rsidRPr="006E333A">
      <w:t xml:space="preserve">;  </w:t>
    </w:r>
    <w:r w:rsidRPr="000F69D2">
      <w:t>Ministru kabineta noteikumu projekta „Grozījum</w:t>
    </w:r>
    <w:r>
      <w:t>i</w:t>
    </w:r>
    <w:r w:rsidRPr="000F69D2">
      <w:t xml:space="preserve"> 2011.</w:t>
    </w:r>
    <w:r>
      <w:t xml:space="preserve"> </w:t>
    </w:r>
    <w:r w:rsidRPr="000F69D2">
      <w:t>gada 19.</w:t>
    </w:r>
    <w:r>
      <w:t xml:space="preserve"> </w:t>
    </w:r>
    <w:r w:rsidRPr="000F69D2">
      <w:t>oktobra Ministru kabineta noteikumos Nr. 820 „Dopinga kontroles kārtība”</w:t>
    </w:r>
    <w:r w:rsidRPr="000F69D2">
      <w:rPr>
        <w:bCs/>
      </w:rPr>
      <w:t xml:space="preserve">” sākotnējās ietekmes novērtējuma </w:t>
    </w:r>
    <w:smartTag w:uri="schemas-tilde-lv/tildestengine" w:element="currency2">
      <w:smartTagPr>
        <w:attr w:name="id" w:val="-1"/>
        <w:attr w:name="baseform" w:val="ziņojums"/>
        <w:attr w:name="text" w:val="ziņojums"/>
      </w:smartTagPr>
      <w:r w:rsidRPr="000F69D2">
        <w:rPr>
          <w:bCs/>
        </w:rPr>
        <w:t>ziņojums</w:t>
      </w:r>
    </w:smartTag>
    <w:r w:rsidRPr="000F69D2">
      <w:rPr>
        <w:bCs/>
      </w:rPr>
      <w:t xml:space="preserve"> (</w:t>
    </w:r>
    <w:r w:rsidRPr="000F69D2">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A5" w:rsidRDefault="009639A5" w:rsidP="00A95855">
      <w:pPr>
        <w:spacing w:after="0" w:line="240" w:lineRule="auto"/>
      </w:pPr>
      <w:r>
        <w:separator/>
      </w:r>
    </w:p>
  </w:footnote>
  <w:footnote w:type="continuationSeparator" w:id="0">
    <w:p w:rsidR="009639A5" w:rsidRDefault="009639A5" w:rsidP="00A95855">
      <w:pPr>
        <w:spacing w:after="0" w:line="240" w:lineRule="auto"/>
      </w:pPr>
      <w:r>
        <w:continuationSeparator/>
      </w:r>
    </w:p>
  </w:footnote>
  <w:footnote w:id="1">
    <w:p w:rsidR="009639A5" w:rsidRDefault="009639A5" w:rsidP="007F650D">
      <w:pPr>
        <w:pStyle w:val="FootnoteText"/>
        <w:jc w:val="both"/>
        <w:rPr>
          <w:rFonts w:ascii="Times New Roman" w:hAnsi="Times New Roman"/>
        </w:rPr>
      </w:pPr>
      <w:r w:rsidRPr="00E455F2">
        <w:rPr>
          <w:rStyle w:val="FootnoteReference"/>
          <w:rFonts w:ascii="Times New Roman" w:hAnsi="Times New Roman"/>
        </w:rPr>
        <w:footnoteRef/>
      </w:r>
      <w:r w:rsidRPr="00E455F2">
        <w:rPr>
          <w:rFonts w:ascii="Times New Roman" w:hAnsi="Times New Roman"/>
        </w:rPr>
        <w:t xml:space="preserve"> Saskaņā ar likumu „Par </w:t>
      </w:r>
      <w:r>
        <w:rPr>
          <w:rFonts w:ascii="Times New Roman" w:hAnsi="Times New Roman"/>
        </w:rPr>
        <w:t>Starptautisko konvenciju pret dopingu sportā</w:t>
      </w:r>
      <w:r w:rsidRPr="00E455F2">
        <w:rPr>
          <w:rFonts w:ascii="Times New Roman" w:hAnsi="Times New Roman"/>
        </w:rPr>
        <w:t xml:space="preserve">” Starptautiskais pārbaužu standarts pievienots konvencijai kā 3. papildinājums. </w:t>
      </w:r>
    </w:p>
    <w:p w:rsidR="009639A5" w:rsidRPr="00264044" w:rsidRDefault="009639A5" w:rsidP="007F650D">
      <w:pPr>
        <w:pStyle w:val="FootnoteText"/>
        <w:jc w:val="both"/>
        <w:rPr>
          <w:rFonts w:ascii="Times New Roman" w:hAnsi="Times New Roman"/>
        </w:rPr>
      </w:pPr>
      <w:r>
        <w:rPr>
          <w:rFonts w:ascii="Times New Roman" w:hAnsi="Times New Roman"/>
        </w:rPr>
        <w:t>Standarta aktuālā versija:</w:t>
      </w:r>
      <w:r w:rsidRPr="00E455F2">
        <w:rPr>
          <w:rFonts w:ascii="Times New Roman" w:hAnsi="Times New Roman"/>
        </w:rPr>
        <w:t xml:space="preserve">  http://antidopings.lv/uploads/Noteikumi/WADC_ISTI_2015_LV.pdf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A5" w:rsidRPr="00291CDE" w:rsidRDefault="00333257">
    <w:pPr>
      <w:pStyle w:val="Header"/>
      <w:jc w:val="center"/>
      <w:rPr>
        <w:rFonts w:ascii="Times New Roman" w:hAnsi="Times New Roman"/>
        <w:sz w:val="24"/>
        <w:szCs w:val="24"/>
      </w:rPr>
    </w:pPr>
    <w:r w:rsidRPr="00291CDE">
      <w:rPr>
        <w:rFonts w:ascii="Times New Roman" w:hAnsi="Times New Roman"/>
        <w:sz w:val="24"/>
        <w:szCs w:val="24"/>
      </w:rPr>
      <w:fldChar w:fldCharType="begin"/>
    </w:r>
    <w:r w:rsidR="009639A5"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8F050D">
      <w:rPr>
        <w:rFonts w:ascii="Times New Roman" w:hAnsi="Times New Roman"/>
        <w:noProof/>
        <w:sz w:val="24"/>
        <w:szCs w:val="24"/>
      </w:rPr>
      <w:t>7</w:t>
    </w:r>
    <w:r w:rsidRPr="00291CDE">
      <w:rPr>
        <w:rFonts w:ascii="Times New Roman" w:hAnsi="Times New Roman"/>
        <w:sz w:val="24"/>
        <w:szCs w:val="24"/>
      </w:rPr>
      <w:fldChar w:fldCharType="end"/>
    </w:r>
  </w:p>
  <w:p w:rsidR="009639A5" w:rsidRDefault="00963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A5" w:rsidRDefault="009639A5">
    <w:pPr>
      <w:pStyle w:val="Header"/>
      <w:jc w:val="center"/>
    </w:pPr>
  </w:p>
  <w:p w:rsidR="009639A5" w:rsidRDefault="00963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A65A48"/>
    <w:multiLevelType w:val="hybridMultilevel"/>
    <w:tmpl w:val="78AA6DA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6"/>
  </w:num>
  <w:num w:numId="6">
    <w:abstractNumId w:val="0"/>
  </w:num>
  <w:num w:numId="7">
    <w:abstractNumId w:val="8"/>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5855"/>
    <w:rsid w:val="0000258A"/>
    <w:rsid w:val="000179D2"/>
    <w:rsid w:val="00034914"/>
    <w:rsid w:val="000403FF"/>
    <w:rsid w:val="000709AB"/>
    <w:rsid w:val="00073871"/>
    <w:rsid w:val="00082DC5"/>
    <w:rsid w:val="00092E0B"/>
    <w:rsid w:val="000A3F99"/>
    <w:rsid w:val="000B48AF"/>
    <w:rsid w:val="000B50F4"/>
    <w:rsid w:val="000C0840"/>
    <w:rsid w:val="001179DD"/>
    <w:rsid w:val="00120216"/>
    <w:rsid w:val="001220F4"/>
    <w:rsid w:val="00161723"/>
    <w:rsid w:val="00185D63"/>
    <w:rsid w:val="00192C09"/>
    <w:rsid w:val="001A08A8"/>
    <w:rsid w:val="001A2287"/>
    <w:rsid w:val="001D3312"/>
    <w:rsid w:val="001E5D04"/>
    <w:rsid w:val="001E6902"/>
    <w:rsid w:val="001E739D"/>
    <w:rsid w:val="001F3BDB"/>
    <w:rsid w:val="001F72E7"/>
    <w:rsid w:val="002050E7"/>
    <w:rsid w:val="0021273D"/>
    <w:rsid w:val="00233478"/>
    <w:rsid w:val="0024406B"/>
    <w:rsid w:val="00264044"/>
    <w:rsid w:val="00266227"/>
    <w:rsid w:val="002671EB"/>
    <w:rsid w:val="00272DCC"/>
    <w:rsid w:val="00273F8B"/>
    <w:rsid w:val="00284FC5"/>
    <w:rsid w:val="00295107"/>
    <w:rsid w:val="002A3537"/>
    <w:rsid w:val="002C377A"/>
    <w:rsid w:val="002D4768"/>
    <w:rsid w:val="002F6609"/>
    <w:rsid w:val="00301EA4"/>
    <w:rsid w:val="00307790"/>
    <w:rsid w:val="00333257"/>
    <w:rsid w:val="00337905"/>
    <w:rsid w:val="00343AA8"/>
    <w:rsid w:val="003543CB"/>
    <w:rsid w:val="0038172A"/>
    <w:rsid w:val="0038483D"/>
    <w:rsid w:val="003878D5"/>
    <w:rsid w:val="00395624"/>
    <w:rsid w:val="003E2712"/>
    <w:rsid w:val="003F05CD"/>
    <w:rsid w:val="003F0AB5"/>
    <w:rsid w:val="003F47E6"/>
    <w:rsid w:val="00413F83"/>
    <w:rsid w:val="00436914"/>
    <w:rsid w:val="00452BB6"/>
    <w:rsid w:val="00472A3F"/>
    <w:rsid w:val="0047329B"/>
    <w:rsid w:val="004B67BD"/>
    <w:rsid w:val="004B69E7"/>
    <w:rsid w:val="004D5F3C"/>
    <w:rsid w:val="004E46A8"/>
    <w:rsid w:val="004E7455"/>
    <w:rsid w:val="004F0238"/>
    <w:rsid w:val="00500D4F"/>
    <w:rsid w:val="0051070E"/>
    <w:rsid w:val="005553B0"/>
    <w:rsid w:val="005C2FC0"/>
    <w:rsid w:val="005D31A1"/>
    <w:rsid w:val="005E1501"/>
    <w:rsid w:val="0060470E"/>
    <w:rsid w:val="00605AB5"/>
    <w:rsid w:val="006116C8"/>
    <w:rsid w:val="0063257B"/>
    <w:rsid w:val="00633BC2"/>
    <w:rsid w:val="0063777E"/>
    <w:rsid w:val="00637D57"/>
    <w:rsid w:val="0064184D"/>
    <w:rsid w:val="0064218F"/>
    <w:rsid w:val="00643E75"/>
    <w:rsid w:val="0065385A"/>
    <w:rsid w:val="006701EA"/>
    <w:rsid w:val="00677C80"/>
    <w:rsid w:val="0068651A"/>
    <w:rsid w:val="00691860"/>
    <w:rsid w:val="006977A3"/>
    <w:rsid w:val="006A037E"/>
    <w:rsid w:val="006B1566"/>
    <w:rsid w:val="006C41CB"/>
    <w:rsid w:val="006D14E6"/>
    <w:rsid w:val="006F6F8D"/>
    <w:rsid w:val="00747D07"/>
    <w:rsid w:val="00757BB3"/>
    <w:rsid w:val="00780B90"/>
    <w:rsid w:val="00787ACE"/>
    <w:rsid w:val="00790234"/>
    <w:rsid w:val="007A569A"/>
    <w:rsid w:val="007B03DE"/>
    <w:rsid w:val="007C13CA"/>
    <w:rsid w:val="007D5721"/>
    <w:rsid w:val="007F650D"/>
    <w:rsid w:val="008015DB"/>
    <w:rsid w:val="00865D94"/>
    <w:rsid w:val="0086720B"/>
    <w:rsid w:val="00872151"/>
    <w:rsid w:val="008C0060"/>
    <w:rsid w:val="008D0C6C"/>
    <w:rsid w:val="008F050D"/>
    <w:rsid w:val="00905B24"/>
    <w:rsid w:val="009202B5"/>
    <w:rsid w:val="00924972"/>
    <w:rsid w:val="00934AD8"/>
    <w:rsid w:val="00935BAF"/>
    <w:rsid w:val="009452B5"/>
    <w:rsid w:val="009464BE"/>
    <w:rsid w:val="00952F9C"/>
    <w:rsid w:val="00956886"/>
    <w:rsid w:val="009605EE"/>
    <w:rsid w:val="00961A06"/>
    <w:rsid w:val="009639A5"/>
    <w:rsid w:val="0096442B"/>
    <w:rsid w:val="00966B49"/>
    <w:rsid w:val="00970CCC"/>
    <w:rsid w:val="0097260B"/>
    <w:rsid w:val="009732E6"/>
    <w:rsid w:val="0097715E"/>
    <w:rsid w:val="009850BC"/>
    <w:rsid w:val="0099235F"/>
    <w:rsid w:val="00996F2C"/>
    <w:rsid w:val="009A2526"/>
    <w:rsid w:val="009B341B"/>
    <w:rsid w:val="009B487A"/>
    <w:rsid w:val="009F647A"/>
    <w:rsid w:val="00A07713"/>
    <w:rsid w:val="00A10E38"/>
    <w:rsid w:val="00A40A05"/>
    <w:rsid w:val="00A528B7"/>
    <w:rsid w:val="00A63A53"/>
    <w:rsid w:val="00A64B4D"/>
    <w:rsid w:val="00A72D06"/>
    <w:rsid w:val="00A72E7F"/>
    <w:rsid w:val="00A778E9"/>
    <w:rsid w:val="00A77AE3"/>
    <w:rsid w:val="00A95855"/>
    <w:rsid w:val="00A95B32"/>
    <w:rsid w:val="00AA1BC4"/>
    <w:rsid w:val="00AA2854"/>
    <w:rsid w:val="00AA68C3"/>
    <w:rsid w:val="00AB4595"/>
    <w:rsid w:val="00AD2AEF"/>
    <w:rsid w:val="00AD464A"/>
    <w:rsid w:val="00B01408"/>
    <w:rsid w:val="00B067A8"/>
    <w:rsid w:val="00B24FB2"/>
    <w:rsid w:val="00B35284"/>
    <w:rsid w:val="00B426B9"/>
    <w:rsid w:val="00B42B82"/>
    <w:rsid w:val="00B52387"/>
    <w:rsid w:val="00B85D61"/>
    <w:rsid w:val="00B938F1"/>
    <w:rsid w:val="00BC72A2"/>
    <w:rsid w:val="00BD160A"/>
    <w:rsid w:val="00BD1AD3"/>
    <w:rsid w:val="00BD5DE7"/>
    <w:rsid w:val="00BE420B"/>
    <w:rsid w:val="00C33C2E"/>
    <w:rsid w:val="00C44523"/>
    <w:rsid w:val="00C5115B"/>
    <w:rsid w:val="00C67E79"/>
    <w:rsid w:val="00CD23B3"/>
    <w:rsid w:val="00CD2A06"/>
    <w:rsid w:val="00CF4828"/>
    <w:rsid w:val="00D11863"/>
    <w:rsid w:val="00D128FD"/>
    <w:rsid w:val="00D17F74"/>
    <w:rsid w:val="00D21D4A"/>
    <w:rsid w:val="00D2442D"/>
    <w:rsid w:val="00D33061"/>
    <w:rsid w:val="00D414B9"/>
    <w:rsid w:val="00D50E36"/>
    <w:rsid w:val="00D56CDD"/>
    <w:rsid w:val="00D73A67"/>
    <w:rsid w:val="00D978DF"/>
    <w:rsid w:val="00D97C17"/>
    <w:rsid w:val="00DA3E31"/>
    <w:rsid w:val="00DA77DB"/>
    <w:rsid w:val="00DB0A3D"/>
    <w:rsid w:val="00DC5F83"/>
    <w:rsid w:val="00DD38C8"/>
    <w:rsid w:val="00DE35ED"/>
    <w:rsid w:val="00DE66EF"/>
    <w:rsid w:val="00E0197B"/>
    <w:rsid w:val="00E11845"/>
    <w:rsid w:val="00E21ED0"/>
    <w:rsid w:val="00E2251A"/>
    <w:rsid w:val="00E2585E"/>
    <w:rsid w:val="00E3205B"/>
    <w:rsid w:val="00E3553F"/>
    <w:rsid w:val="00E41115"/>
    <w:rsid w:val="00E455F2"/>
    <w:rsid w:val="00E462D4"/>
    <w:rsid w:val="00E505EA"/>
    <w:rsid w:val="00E72C21"/>
    <w:rsid w:val="00EC11B2"/>
    <w:rsid w:val="00EC2BD2"/>
    <w:rsid w:val="00EC6355"/>
    <w:rsid w:val="00EC6ECA"/>
    <w:rsid w:val="00ED6D58"/>
    <w:rsid w:val="00EF0AB2"/>
    <w:rsid w:val="00F138A5"/>
    <w:rsid w:val="00F17F3E"/>
    <w:rsid w:val="00F20B79"/>
    <w:rsid w:val="00F229B4"/>
    <w:rsid w:val="00F2778C"/>
    <w:rsid w:val="00F30C32"/>
    <w:rsid w:val="00F414CA"/>
    <w:rsid w:val="00F4216A"/>
    <w:rsid w:val="00F46325"/>
    <w:rsid w:val="00F5725B"/>
    <w:rsid w:val="00F73777"/>
    <w:rsid w:val="00F7387E"/>
    <w:rsid w:val="00F94F04"/>
    <w:rsid w:val="00FC0D85"/>
    <w:rsid w:val="00FE0B62"/>
    <w:rsid w:val="00FE387A"/>
    <w:rsid w:val="00FF73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semiHidden/>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semiHidden/>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b/>
      <w:bCs/>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s>
</file>

<file path=word/webSettings.xml><?xml version="1.0" encoding="utf-8"?>
<w:webSettings xmlns:r="http://schemas.openxmlformats.org/officeDocument/2006/relationships" xmlns:w="http://schemas.openxmlformats.org/wordprocessingml/2006/main">
  <w:divs>
    <w:div w:id="573124573">
      <w:bodyDiv w:val="1"/>
      <w:marLeft w:val="0"/>
      <w:marRight w:val="0"/>
      <w:marTop w:val="0"/>
      <w:marBottom w:val="0"/>
      <w:divBdr>
        <w:top w:val="none" w:sz="0" w:space="0" w:color="auto"/>
        <w:left w:val="none" w:sz="0" w:space="0" w:color="auto"/>
        <w:bottom w:val="none" w:sz="0" w:space="0" w:color="auto"/>
        <w:right w:val="none" w:sz="0" w:space="0" w:color="auto"/>
      </w:divBdr>
      <w:divsChild>
        <w:div w:id="554584544">
          <w:marLeft w:val="0"/>
          <w:marRight w:val="0"/>
          <w:marTop w:val="0"/>
          <w:marBottom w:val="0"/>
          <w:divBdr>
            <w:top w:val="none" w:sz="0" w:space="0" w:color="auto"/>
            <w:left w:val="none" w:sz="0" w:space="0" w:color="auto"/>
            <w:bottom w:val="none" w:sz="0" w:space="0" w:color="auto"/>
            <w:right w:val="none" w:sz="0" w:space="0" w:color="auto"/>
          </w:divBdr>
          <w:divsChild>
            <w:div w:id="722875958">
              <w:marLeft w:val="0"/>
              <w:marRight w:val="0"/>
              <w:marTop w:val="0"/>
              <w:marBottom w:val="0"/>
              <w:divBdr>
                <w:top w:val="none" w:sz="0" w:space="0" w:color="auto"/>
                <w:left w:val="none" w:sz="0" w:space="0" w:color="auto"/>
                <w:bottom w:val="none" w:sz="0" w:space="0" w:color="auto"/>
                <w:right w:val="none" w:sz="0" w:space="0" w:color="auto"/>
              </w:divBdr>
            </w:div>
            <w:div w:id="1354769665">
              <w:marLeft w:val="0"/>
              <w:marRight w:val="0"/>
              <w:marTop w:val="0"/>
              <w:marBottom w:val="0"/>
              <w:divBdr>
                <w:top w:val="none" w:sz="0" w:space="0" w:color="auto"/>
                <w:left w:val="none" w:sz="0" w:space="0" w:color="auto"/>
                <w:bottom w:val="none" w:sz="0" w:space="0" w:color="auto"/>
                <w:right w:val="none" w:sz="0" w:space="0" w:color="auto"/>
              </w:divBdr>
            </w:div>
            <w:div w:id="616256203">
              <w:marLeft w:val="0"/>
              <w:marRight w:val="0"/>
              <w:marTop w:val="0"/>
              <w:marBottom w:val="0"/>
              <w:divBdr>
                <w:top w:val="none" w:sz="0" w:space="0" w:color="auto"/>
                <w:left w:val="none" w:sz="0" w:space="0" w:color="auto"/>
                <w:bottom w:val="none" w:sz="0" w:space="0" w:color="auto"/>
                <w:right w:val="none" w:sz="0" w:space="0" w:color="auto"/>
              </w:divBdr>
            </w:div>
            <w:div w:id="1232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69F23-A38F-4CC9-8D04-22C4B4E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9694</Characters>
  <Application>Microsoft Office Word</Application>
  <DocSecurity>0</DocSecurity>
  <Lines>484</Lines>
  <Paragraphs>217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19. oktobra noteikumos Nr. 820 „Dopinga kontroles kārtība”” sākotnējās ietekmes novērtējuma ziņojums (anotācija)</vt:lpstr>
    </vt:vector>
  </TitlesOfParts>
  <Company>Veselības ministrija</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19. oktobra noteikumos Nr. 820 „Dopinga kontroles kārtība”” sākotnējās ietekmes novērtējuma ziņojums (anotācija)</dc:title>
  <dc:subject>anotācija</dc:subject>
  <dc:creator>Vieda Lūsa</dc:creator>
  <dc:description>vieda.lusa@vm.gov.lv, tālr. 67876099</dc:description>
  <cp:lastModifiedBy>vlusa</cp:lastModifiedBy>
  <cp:revision>3</cp:revision>
  <cp:lastPrinted>2016-01-11T09:00:00Z</cp:lastPrinted>
  <dcterms:created xsi:type="dcterms:W3CDTF">2016-01-28T11:38:00Z</dcterms:created>
  <dcterms:modified xsi:type="dcterms:W3CDTF">2016-01-28T11:39:00Z</dcterms:modified>
</cp:coreProperties>
</file>