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89B43" w14:textId="77777777" w:rsidR="007F70E3" w:rsidRPr="00C87DA2" w:rsidRDefault="007F70E3" w:rsidP="00A231FD">
      <w:pPr>
        <w:ind w:firstLine="720"/>
        <w:jc w:val="center"/>
        <w:rPr>
          <w:lang w:eastAsia="en-US"/>
        </w:rPr>
      </w:pPr>
      <w:r w:rsidRPr="00C87DA2">
        <w:rPr>
          <w:b/>
          <w:lang w:eastAsia="en-US"/>
        </w:rPr>
        <w:t xml:space="preserve">Ministru kabineta noteikumu projekta </w:t>
      </w:r>
      <w:bookmarkStart w:id="0" w:name="OLE_LINK1"/>
      <w:bookmarkStart w:id="1" w:name="OLE_LINK2"/>
      <w:r w:rsidRPr="00C87DA2">
        <w:rPr>
          <w:b/>
          <w:lang w:eastAsia="en-US"/>
        </w:rPr>
        <w:t>„Grozījum</w:t>
      </w:r>
      <w:r w:rsidR="00481C59" w:rsidRPr="00C87DA2">
        <w:rPr>
          <w:b/>
          <w:lang w:eastAsia="en-US"/>
        </w:rPr>
        <w:t>i</w:t>
      </w:r>
      <w:r w:rsidRPr="00C87DA2">
        <w:rPr>
          <w:b/>
          <w:lang w:eastAsia="en-US"/>
        </w:rPr>
        <w:t xml:space="preserve"> Ministru kabineta </w:t>
      </w:r>
      <w:proofErr w:type="gramStart"/>
      <w:r w:rsidRPr="00C87DA2">
        <w:rPr>
          <w:b/>
          <w:lang w:eastAsia="en-US"/>
        </w:rPr>
        <w:t>201</w:t>
      </w:r>
      <w:r w:rsidR="000D1A41" w:rsidRPr="00C87DA2">
        <w:rPr>
          <w:b/>
          <w:lang w:eastAsia="en-US"/>
        </w:rPr>
        <w:t>5</w:t>
      </w:r>
      <w:r w:rsidRPr="00C87DA2">
        <w:rPr>
          <w:b/>
          <w:lang w:eastAsia="en-US"/>
        </w:rPr>
        <w:t>.gada</w:t>
      </w:r>
      <w:proofErr w:type="gramEnd"/>
      <w:r w:rsidRPr="00C87DA2">
        <w:rPr>
          <w:b/>
          <w:lang w:eastAsia="en-US"/>
        </w:rPr>
        <w:t xml:space="preserve"> 1</w:t>
      </w:r>
      <w:r w:rsidR="000D1A41" w:rsidRPr="00C87DA2">
        <w:rPr>
          <w:b/>
          <w:lang w:eastAsia="en-US"/>
        </w:rPr>
        <w:t>0</w:t>
      </w:r>
      <w:r w:rsidRPr="00C87DA2">
        <w:rPr>
          <w:b/>
          <w:lang w:eastAsia="en-US"/>
        </w:rPr>
        <w:t>.marta noteikumos Nr.1</w:t>
      </w:r>
      <w:r w:rsidR="000D1A41" w:rsidRPr="00C87DA2">
        <w:rPr>
          <w:b/>
          <w:lang w:eastAsia="en-US"/>
        </w:rPr>
        <w:t>26</w:t>
      </w:r>
      <w:r w:rsidRPr="00C87DA2">
        <w:rPr>
          <w:b/>
          <w:lang w:eastAsia="en-US"/>
        </w:rPr>
        <w:t xml:space="preserve"> „</w:t>
      </w:r>
      <w:bookmarkEnd w:id="0"/>
      <w:bookmarkEnd w:id="1"/>
      <w:r w:rsidR="000D1A41" w:rsidRPr="00C87DA2">
        <w:rPr>
          <w:b/>
          <w:lang w:eastAsia="en-US"/>
        </w:rPr>
        <w:t>Tiešo maksājumu piešķiršanas kārtība lauksaimniekiem</w:t>
      </w:r>
      <w:r w:rsidRPr="00C87DA2">
        <w:rPr>
          <w:b/>
          <w:lang w:eastAsia="en-US"/>
        </w:rPr>
        <w:t xml:space="preserve">”” sākotnējās ietekmes novērtējuma </w:t>
      </w:r>
      <w:smartTag w:uri="schemas-tilde-lv/tildestengine" w:element="veidnes">
        <w:smartTagPr>
          <w:attr w:name="text" w:val="ziņojums"/>
          <w:attr w:name="baseform" w:val="ziņojums"/>
          <w:attr w:name="id" w:val="-1"/>
        </w:smartTagPr>
        <w:r w:rsidRPr="00C87DA2">
          <w:rPr>
            <w:b/>
            <w:lang w:eastAsia="en-US"/>
          </w:rPr>
          <w:t>ziņojums</w:t>
        </w:r>
      </w:smartTag>
      <w:r w:rsidRPr="00C87DA2">
        <w:rPr>
          <w:b/>
          <w:lang w:eastAsia="en-US"/>
        </w:rPr>
        <w:t xml:space="preserve"> (anotācija)</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39"/>
        <w:gridCol w:w="2650"/>
        <w:gridCol w:w="158"/>
        <w:gridCol w:w="5947"/>
        <w:gridCol w:w="10"/>
      </w:tblGrid>
      <w:tr w:rsidR="007F70E3" w:rsidRPr="00C87DA2" w14:paraId="22CC3866" w14:textId="77777777" w:rsidTr="00B03BF9">
        <w:trPr>
          <w:gridAfter w:val="1"/>
          <w:wAfter w:w="10" w:type="dxa"/>
        </w:trPr>
        <w:tc>
          <w:tcPr>
            <w:tcW w:w="9209" w:type="dxa"/>
            <w:gridSpan w:val="5"/>
          </w:tcPr>
          <w:p w14:paraId="77195B30" w14:textId="77777777" w:rsidR="007F70E3" w:rsidRPr="00C87DA2" w:rsidRDefault="007F70E3" w:rsidP="00456CB0">
            <w:pPr>
              <w:jc w:val="center"/>
            </w:pPr>
            <w:r w:rsidRPr="00C87DA2">
              <w:rPr>
                <w:b/>
                <w:bCs/>
              </w:rPr>
              <w:t>I. Tiesību akta projekta izstrādes nepieciešamība</w:t>
            </w:r>
          </w:p>
        </w:tc>
      </w:tr>
      <w:tr w:rsidR="007F70E3" w:rsidRPr="00BA7F2C" w14:paraId="27C6D634" w14:textId="77777777" w:rsidTr="00B03BF9">
        <w:trPr>
          <w:gridAfter w:val="1"/>
          <w:wAfter w:w="10" w:type="dxa"/>
        </w:trPr>
        <w:tc>
          <w:tcPr>
            <w:tcW w:w="415" w:type="dxa"/>
          </w:tcPr>
          <w:p w14:paraId="0F9C738E" w14:textId="77777777" w:rsidR="007F70E3" w:rsidRPr="00C87DA2" w:rsidRDefault="007F70E3" w:rsidP="00456CB0">
            <w:pPr>
              <w:spacing w:before="100" w:beforeAutospacing="1" w:after="100" w:afterAutospacing="1" w:line="360" w:lineRule="auto"/>
              <w:ind w:firstLine="19"/>
              <w:jc w:val="both"/>
            </w:pPr>
            <w:r w:rsidRPr="00C87DA2">
              <w:t>1.</w:t>
            </w:r>
          </w:p>
        </w:tc>
        <w:tc>
          <w:tcPr>
            <w:tcW w:w="2689" w:type="dxa"/>
            <w:gridSpan w:val="2"/>
          </w:tcPr>
          <w:p w14:paraId="0009C18B" w14:textId="77777777" w:rsidR="007F70E3" w:rsidRPr="00C87DA2" w:rsidRDefault="007F70E3" w:rsidP="00456CB0">
            <w:r w:rsidRPr="00C87DA2">
              <w:t>Pamatojums</w:t>
            </w:r>
          </w:p>
        </w:tc>
        <w:tc>
          <w:tcPr>
            <w:tcW w:w="6105" w:type="dxa"/>
            <w:gridSpan w:val="2"/>
          </w:tcPr>
          <w:p w14:paraId="11529265" w14:textId="77777777" w:rsidR="007F70E3" w:rsidRPr="00BA7F2C" w:rsidRDefault="007F70E3" w:rsidP="003E4FF0">
            <w:pPr>
              <w:jc w:val="both"/>
            </w:pPr>
            <w:r w:rsidRPr="00BA7F2C">
              <w:rPr>
                <w:lang w:eastAsia="en-US"/>
              </w:rPr>
              <w:t>Lauksaimniecības un lauku attīstības likuma 5.panta ceturtā daļa</w:t>
            </w:r>
          </w:p>
        </w:tc>
      </w:tr>
      <w:tr w:rsidR="007F70E3" w:rsidRPr="00BA7F2C" w14:paraId="1AFD95B6" w14:textId="77777777" w:rsidTr="00B03BF9">
        <w:trPr>
          <w:gridAfter w:val="1"/>
          <w:wAfter w:w="10" w:type="dxa"/>
        </w:trPr>
        <w:tc>
          <w:tcPr>
            <w:tcW w:w="415" w:type="dxa"/>
          </w:tcPr>
          <w:p w14:paraId="12146227" w14:textId="77777777" w:rsidR="00306658" w:rsidRPr="00C87DA2" w:rsidRDefault="007F70E3" w:rsidP="00456CB0">
            <w:pPr>
              <w:spacing w:before="100" w:beforeAutospacing="1" w:after="100" w:afterAutospacing="1" w:line="360" w:lineRule="auto"/>
              <w:ind w:firstLine="19"/>
              <w:jc w:val="both"/>
            </w:pPr>
            <w:r w:rsidRPr="00C87DA2">
              <w:t>2.</w:t>
            </w:r>
          </w:p>
          <w:p w14:paraId="33062A97" w14:textId="77777777" w:rsidR="00306658" w:rsidRPr="00C87DA2" w:rsidRDefault="00306658" w:rsidP="00306658"/>
          <w:p w14:paraId="0E9CB415" w14:textId="77777777" w:rsidR="00306658" w:rsidRPr="00C87DA2" w:rsidRDefault="00306658" w:rsidP="00306658"/>
          <w:p w14:paraId="2CB53936" w14:textId="77777777" w:rsidR="00306658" w:rsidRPr="00C87DA2" w:rsidRDefault="00306658" w:rsidP="00306658"/>
          <w:p w14:paraId="3F608D35" w14:textId="77777777" w:rsidR="00306658" w:rsidRPr="00C87DA2" w:rsidRDefault="00306658" w:rsidP="00306658"/>
          <w:p w14:paraId="7615F3C1" w14:textId="77777777" w:rsidR="00306658" w:rsidRPr="00C87DA2" w:rsidRDefault="00306658" w:rsidP="00306658"/>
          <w:p w14:paraId="43353A95" w14:textId="77777777" w:rsidR="00306658" w:rsidRPr="00C87DA2" w:rsidRDefault="00306658" w:rsidP="00306658"/>
          <w:p w14:paraId="6C154F8D" w14:textId="77777777" w:rsidR="00306658" w:rsidRPr="00C87DA2" w:rsidRDefault="00306658" w:rsidP="00306658"/>
          <w:p w14:paraId="0899C3DF" w14:textId="77777777" w:rsidR="00306658" w:rsidRPr="00C87DA2" w:rsidRDefault="00306658" w:rsidP="00306658"/>
          <w:p w14:paraId="0DFBE801" w14:textId="77777777" w:rsidR="00306658" w:rsidRPr="00C87DA2" w:rsidRDefault="00306658" w:rsidP="00306658"/>
          <w:p w14:paraId="1400255D" w14:textId="77777777" w:rsidR="00306658" w:rsidRPr="00C87DA2" w:rsidRDefault="00306658" w:rsidP="00306658"/>
          <w:p w14:paraId="64A620B2" w14:textId="77777777" w:rsidR="00306658" w:rsidRPr="00C87DA2" w:rsidRDefault="00306658" w:rsidP="00306658"/>
          <w:p w14:paraId="54414A8B" w14:textId="77777777" w:rsidR="00306658" w:rsidRPr="00C87DA2" w:rsidRDefault="00306658" w:rsidP="00306658"/>
          <w:p w14:paraId="67D59654" w14:textId="77777777" w:rsidR="00306658" w:rsidRPr="00C87DA2" w:rsidRDefault="00306658" w:rsidP="00306658"/>
          <w:p w14:paraId="07F4FA92" w14:textId="77777777" w:rsidR="00306658" w:rsidRPr="00C87DA2" w:rsidRDefault="00306658" w:rsidP="00306658"/>
          <w:p w14:paraId="5C3D75A6" w14:textId="77777777" w:rsidR="00306658" w:rsidRPr="00C87DA2" w:rsidRDefault="00306658" w:rsidP="00306658"/>
          <w:p w14:paraId="3CD74D80" w14:textId="77777777" w:rsidR="00306658" w:rsidRPr="00C87DA2" w:rsidRDefault="00306658" w:rsidP="00306658"/>
          <w:p w14:paraId="2AC50C6E" w14:textId="77777777" w:rsidR="00306658" w:rsidRPr="00C87DA2" w:rsidRDefault="00306658" w:rsidP="00306658"/>
          <w:p w14:paraId="647AA523" w14:textId="77777777" w:rsidR="00306658" w:rsidRPr="00C87DA2" w:rsidRDefault="00306658" w:rsidP="00306658"/>
          <w:p w14:paraId="501E0D00" w14:textId="77777777" w:rsidR="00306658" w:rsidRPr="00C87DA2" w:rsidRDefault="00306658" w:rsidP="00306658"/>
          <w:p w14:paraId="2BE5984F" w14:textId="77777777" w:rsidR="00306658" w:rsidRPr="00C87DA2" w:rsidRDefault="00306658" w:rsidP="00306658"/>
          <w:p w14:paraId="2210EA57" w14:textId="77777777" w:rsidR="00306658" w:rsidRPr="00C87DA2" w:rsidRDefault="00306658" w:rsidP="00306658"/>
          <w:p w14:paraId="7DFAC4B3" w14:textId="77777777" w:rsidR="00306658" w:rsidRPr="00C87DA2" w:rsidRDefault="00306658" w:rsidP="00306658"/>
          <w:p w14:paraId="1858F09B" w14:textId="77777777" w:rsidR="00306658" w:rsidRPr="00C87DA2" w:rsidRDefault="00306658" w:rsidP="00306658"/>
          <w:p w14:paraId="27131B3D" w14:textId="77777777" w:rsidR="00306658" w:rsidRPr="00C87DA2" w:rsidRDefault="00306658" w:rsidP="00306658"/>
          <w:p w14:paraId="2308BE17" w14:textId="77777777" w:rsidR="00306658" w:rsidRPr="00C87DA2" w:rsidRDefault="00306658" w:rsidP="00306658"/>
          <w:p w14:paraId="21714469" w14:textId="77777777" w:rsidR="00306658" w:rsidRPr="00C87DA2" w:rsidRDefault="00306658" w:rsidP="00306658"/>
          <w:p w14:paraId="115A31A3" w14:textId="77777777" w:rsidR="00306658" w:rsidRPr="00C87DA2" w:rsidRDefault="00306658" w:rsidP="00306658"/>
          <w:p w14:paraId="4C2EE440" w14:textId="77777777" w:rsidR="00306658" w:rsidRPr="00C87DA2" w:rsidRDefault="00306658" w:rsidP="00306658"/>
          <w:p w14:paraId="3DF74145" w14:textId="77777777" w:rsidR="00306658" w:rsidRPr="00C87DA2" w:rsidRDefault="00306658" w:rsidP="00306658"/>
          <w:p w14:paraId="518FBB9F" w14:textId="77777777" w:rsidR="00306658" w:rsidRPr="00C87DA2" w:rsidRDefault="00306658" w:rsidP="00306658"/>
          <w:p w14:paraId="121DAE83" w14:textId="77777777" w:rsidR="007F70E3" w:rsidRPr="00C87DA2" w:rsidRDefault="007F70E3" w:rsidP="00306658"/>
        </w:tc>
        <w:tc>
          <w:tcPr>
            <w:tcW w:w="2689" w:type="dxa"/>
            <w:gridSpan w:val="2"/>
          </w:tcPr>
          <w:p w14:paraId="17BC92B6" w14:textId="77777777" w:rsidR="00E50236" w:rsidRPr="00C87DA2" w:rsidRDefault="007F70E3" w:rsidP="00456CB0">
            <w:r w:rsidRPr="00C87DA2">
              <w:t>Pašreizējā situācija un problēmas, kuru risināšanai tiesību akta projekts izstrādāts, tiesiskā regulējuma mērķis un būtība</w:t>
            </w:r>
          </w:p>
          <w:p w14:paraId="38550FA8" w14:textId="77777777" w:rsidR="00E50236" w:rsidRPr="00C87DA2" w:rsidRDefault="00E50236" w:rsidP="00E50236"/>
          <w:p w14:paraId="32467B12" w14:textId="77777777" w:rsidR="00E50236" w:rsidRPr="00C87DA2" w:rsidRDefault="00E50236" w:rsidP="00E50236"/>
          <w:p w14:paraId="54EC2F9D" w14:textId="77777777" w:rsidR="00E50236" w:rsidRPr="00C87DA2" w:rsidRDefault="00E50236" w:rsidP="00E50236"/>
          <w:p w14:paraId="03EB7E38" w14:textId="77777777" w:rsidR="00E50236" w:rsidRPr="00C87DA2" w:rsidRDefault="00E50236" w:rsidP="00E50236"/>
          <w:p w14:paraId="7C55D832" w14:textId="77777777" w:rsidR="00E50236" w:rsidRPr="00C87DA2" w:rsidRDefault="00E50236" w:rsidP="00E50236"/>
          <w:p w14:paraId="0453FCAA" w14:textId="77777777" w:rsidR="00E50236" w:rsidRPr="00C87DA2" w:rsidRDefault="00E50236" w:rsidP="00E50236"/>
          <w:p w14:paraId="2510BB09" w14:textId="77777777" w:rsidR="00E50236" w:rsidRPr="00C87DA2" w:rsidRDefault="00E50236" w:rsidP="00E50236"/>
          <w:p w14:paraId="0DE4015E" w14:textId="77777777" w:rsidR="00E50236" w:rsidRPr="00C87DA2" w:rsidRDefault="00E50236" w:rsidP="00E50236"/>
          <w:p w14:paraId="7F15365B" w14:textId="77777777" w:rsidR="007F70E3" w:rsidRPr="00C87DA2" w:rsidRDefault="007F70E3" w:rsidP="00E50236">
            <w:pPr>
              <w:ind w:firstLine="720"/>
            </w:pPr>
          </w:p>
        </w:tc>
        <w:tc>
          <w:tcPr>
            <w:tcW w:w="6105" w:type="dxa"/>
            <w:gridSpan w:val="2"/>
          </w:tcPr>
          <w:p w14:paraId="6BD33EA3" w14:textId="77777777" w:rsidR="00CA7311" w:rsidRPr="00BA7F2C" w:rsidRDefault="007F70E3" w:rsidP="003E4FF0">
            <w:pPr>
              <w:jc w:val="both"/>
              <w:rPr>
                <w:lang w:eastAsia="en-US"/>
              </w:rPr>
            </w:pPr>
            <w:r w:rsidRPr="00BA7F2C">
              <w:rPr>
                <w:lang w:eastAsia="en-US"/>
              </w:rPr>
              <w:t>Ministru kabineta 201</w:t>
            </w:r>
            <w:r w:rsidR="00C07D41" w:rsidRPr="00BA7F2C">
              <w:rPr>
                <w:lang w:eastAsia="en-US"/>
              </w:rPr>
              <w:t>5</w:t>
            </w:r>
            <w:r w:rsidRPr="00BA7F2C">
              <w:rPr>
                <w:lang w:eastAsia="en-US"/>
              </w:rPr>
              <w:t>.gada 1</w:t>
            </w:r>
            <w:r w:rsidR="000D1A41" w:rsidRPr="00BA7F2C">
              <w:rPr>
                <w:lang w:eastAsia="en-US"/>
              </w:rPr>
              <w:t>0</w:t>
            </w:r>
            <w:r w:rsidRPr="00BA7F2C">
              <w:rPr>
                <w:lang w:eastAsia="en-US"/>
              </w:rPr>
              <w:t>.marta noteikumi Nr.1</w:t>
            </w:r>
            <w:r w:rsidR="000D1A41" w:rsidRPr="00BA7F2C">
              <w:rPr>
                <w:lang w:eastAsia="en-US"/>
              </w:rPr>
              <w:t>26</w:t>
            </w:r>
            <w:r w:rsidRPr="00BA7F2C">
              <w:rPr>
                <w:lang w:eastAsia="en-US"/>
              </w:rPr>
              <w:t xml:space="preserve"> „</w:t>
            </w:r>
            <w:r w:rsidR="000D1A41" w:rsidRPr="00BA7F2C">
              <w:rPr>
                <w:lang w:eastAsia="en-US"/>
              </w:rPr>
              <w:t>Tiešo maksājumu piešķiršanas kārtība</w:t>
            </w:r>
            <w:r w:rsidR="00C07D41" w:rsidRPr="00BA7F2C">
              <w:t xml:space="preserve"> l</w:t>
            </w:r>
            <w:r w:rsidR="00C07D41" w:rsidRPr="00BA7F2C">
              <w:rPr>
                <w:lang w:eastAsia="en-US"/>
              </w:rPr>
              <w:t>auksaimniekiem</w:t>
            </w:r>
            <w:r w:rsidRPr="00BA7F2C">
              <w:rPr>
                <w:lang w:eastAsia="en-US"/>
              </w:rPr>
              <w:t>” (turpmāk – Ministru kabineta noteikumi Nr.1</w:t>
            </w:r>
            <w:r w:rsidR="000D1A41" w:rsidRPr="00BA7F2C">
              <w:rPr>
                <w:lang w:eastAsia="en-US"/>
              </w:rPr>
              <w:t>26</w:t>
            </w:r>
            <w:r w:rsidRPr="00BA7F2C">
              <w:rPr>
                <w:lang w:eastAsia="en-US"/>
              </w:rPr>
              <w:t>)</w:t>
            </w:r>
            <w:r w:rsidR="003E4FF0" w:rsidRPr="00BA7F2C">
              <w:rPr>
                <w:lang w:eastAsia="en-US"/>
              </w:rPr>
              <w:t xml:space="preserve"> nosaka kārtību</w:t>
            </w:r>
            <w:r w:rsidR="006D25FF" w:rsidRPr="00BA7F2C">
              <w:rPr>
                <w:lang w:eastAsia="en-US"/>
              </w:rPr>
              <w:t>,</w:t>
            </w:r>
            <w:r w:rsidR="003E4FF0" w:rsidRPr="00BA7F2C">
              <w:rPr>
                <w:lang w:eastAsia="en-US"/>
              </w:rPr>
              <w:t xml:space="preserve"> kādā piešķirami Eiropas Savienības</w:t>
            </w:r>
            <w:r w:rsidR="005662CD" w:rsidRPr="00BA7F2C">
              <w:rPr>
                <w:lang w:eastAsia="en-US"/>
              </w:rPr>
              <w:t xml:space="preserve"> tiešie maksājumi un pārejas posma valsts atbalsts</w:t>
            </w:r>
            <w:r w:rsidRPr="00BA7F2C">
              <w:rPr>
                <w:lang w:eastAsia="en-US"/>
              </w:rPr>
              <w:t xml:space="preserve">. </w:t>
            </w:r>
          </w:p>
          <w:p w14:paraId="2216DD8A" w14:textId="77777777" w:rsidR="009C0EB2" w:rsidRPr="00BA7F2C" w:rsidRDefault="00571B0C" w:rsidP="003E4FF0">
            <w:pPr>
              <w:jc w:val="both"/>
              <w:rPr>
                <w:lang w:eastAsia="en-US"/>
              </w:rPr>
            </w:pPr>
            <w:r w:rsidRPr="00BA7F2C">
              <w:rPr>
                <w:lang w:eastAsia="en-US"/>
              </w:rPr>
              <w:t xml:space="preserve">“Ministru kabineta noteikumu projekts “Grozījumi Ministru kabineta 2015.gada 10.marta noteikumos Nr.126 “Tiešo maksājumu piešķiršanas kārtība lauksaimniekiem” (turpmāk </w:t>
            </w:r>
            <w:r w:rsidR="00CC5DD7" w:rsidRPr="00BA7F2C">
              <w:rPr>
                <w:lang w:eastAsia="en-US"/>
              </w:rPr>
              <w:t>–</w:t>
            </w:r>
            <w:r w:rsidRPr="00BA7F2C">
              <w:rPr>
                <w:lang w:eastAsia="en-US"/>
              </w:rPr>
              <w:t xml:space="preserve"> noteikumu projekts) </w:t>
            </w:r>
            <w:r w:rsidR="00EE322C" w:rsidRPr="00BA7F2C">
              <w:rPr>
                <w:lang w:eastAsia="en-US"/>
              </w:rPr>
              <w:t>paredzēt</w:t>
            </w:r>
            <w:r w:rsidRPr="00BA7F2C">
              <w:rPr>
                <w:lang w:eastAsia="en-US"/>
              </w:rPr>
              <w:t>s</w:t>
            </w:r>
            <w:r w:rsidR="00722444" w:rsidRPr="00BA7F2C">
              <w:rPr>
                <w:lang w:eastAsia="en-US"/>
              </w:rPr>
              <w:t>, lai:</w:t>
            </w:r>
          </w:p>
          <w:p w14:paraId="623DC761" w14:textId="77777777" w:rsidR="009F7EBB" w:rsidRPr="00BA7F2C" w:rsidRDefault="009F7EBB" w:rsidP="003E4FF0">
            <w:pPr>
              <w:jc w:val="both"/>
              <w:rPr>
                <w:lang w:eastAsia="en-US"/>
              </w:rPr>
            </w:pPr>
          </w:p>
          <w:p w14:paraId="7716C2AE" w14:textId="77777777" w:rsidR="00851981" w:rsidRPr="00BA7F2C" w:rsidRDefault="0061253D" w:rsidP="003E4FF0">
            <w:pPr>
              <w:jc w:val="both"/>
              <w:rPr>
                <w:lang w:eastAsia="en-US"/>
              </w:rPr>
            </w:pPr>
            <w:r w:rsidRPr="00BA7F2C">
              <w:rPr>
                <w:lang w:eastAsia="en-US"/>
              </w:rPr>
              <w:t>1</w:t>
            </w:r>
            <w:r w:rsidR="00461DC8" w:rsidRPr="00BA7F2C">
              <w:rPr>
                <w:lang w:eastAsia="en-US"/>
              </w:rPr>
              <w:t xml:space="preserve">) </w:t>
            </w:r>
            <w:r w:rsidR="00851981" w:rsidRPr="00BA7F2C">
              <w:rPr>
                <w:lang w:eastAsia="en-US"/>
              </w:rPr>
              <w:t>noteiktu 22. maiju kā pieteikšanās gala termiņu tiešajiem maksājumiem 2016. gadā;</w:t>
            </w:r>
          </w:p>
          <w:p w14:paraId="3F378360" w14:textId="49AD1217" w:rsidR="008E0283" w:rsidRPr="00BA7F2C" w:rsidRDefault="00851981" w:rsidP="003E4FF0">
            <w:pPr>
              <w:jc w:val="both"/>
            </w:pPr>
            <w:r w:rsidRPr="00BA7F2C">
              <w:rPr>
                <w:lang w:eastAsia="en-US"/>
              </w:rPr>
              <w:t xml:space="preserve">2) </w:t>
            </w:r>
            <w:r w:rsidR="00303AD0" w:rsidRPr="00BA7F2C">
              <w:rPr>
                <w:lang w:eastAsia="en-US"/>
              </w:rPr>
              <w:t xml:space="preserve">papildus, jau </w:t>
            </w:r>
            <w:r w:rsidR="00CE0DAC" w:rsidRPr="00BA7F2C">
              <w:t>2015. gadā</w:t>
            </w:r>
            <w:r w:rsidR="00303AD0" w:rsidRPr="00BA7F2C">
              <w:t xml:space="preserve"> ieviestaja</w:t>
            </w:r>
            <w:r w:rsidR="00E23BB9" w:rsidRPr="00BA7F2C">
              <w:t>i</w:t>
            </w:r>
            <w:r w:rsidR="00303AD0" w:rsidRPr="00BA7F2C">
              <w:t xml:space="preserve"> </w:t>
            </w:r>
            <w:r w:rsidR="00E23BB9" w:rsidRPr="00BA7F2C">
              <w:t>prasībai</w:t>
            </w:r>
            <w:r w:rsidR="00303AD0" w:rsidRPr="00BA7F2C">
              <w:t xml:space="preserve"> par obligātu vienotā iesnieguma iesniegšanu </w:t>
            </w:r>
            <w:r w:rsidR="00781713" w:rsidRPr="00BA7F2C">
              <w:rPr>
                <w:lang w:eastAsia="en-US"/>
              </w:rPr>
              <w:t>Lauku atbalsta dienesta (turpmāk – LAD) elektroniskajā pieteikšanās sistēmā (turpmāk – EPS)</w:t>
            </w:r>
            <w:r w:rsidR="00303AD0" w:rsidRPr="00BA7F2C">
              <w:t xml:space="preserve"> tiem </w:t>
            </w:r>
            <w:r w:rsidR="00781713" w:rsidRPr="00BA7F2C">
              <w:t>atbalsta pretendentiem</w:t>
            </w:r>
            <w:r w:rsidR="00303AD0" w:rsidRPr="00BA7F2C">
              <w:t>, kuru</w:t>
            </w:r>
            <w:r w:rsidR="00CE0DAC" w:rsidRPr="00BA7F2C">
              <w:t xml:space="preserve"> rīcībā </w:t>
            </w:r>
            <w:r w:rsidR="00303AD0" w:rsidRPr="00BA7F2C">
              <w:t>bija</w:t>
            </w:r>
            <w:r w:rsidR="00CE0DAC" w:rsidRPr="00BA7F2C">
              <w:t xml:space="preserve"> 10 </w:t>
            </w:r>
            <w:r w:rsidR="00E23BB9" w:rsidRPr="00BA7F2C">
              <w:t xml:space="preserve">vai vairāk </w:t>
            </w:r>
            <w:r w:rsidR="00CE0DAC" w:rsidRPr="00BA7F2C">
              <w:t>hektāri aramzemes</w:t>
            </w:r>
            <w:r w:rsidR="00303AD0" w:rsidRPr="00BA7F2C">
              <w:t>, n</w:t>
            </w:r>
            <w:r w:rsidR="00B646DC" w:rsidRPr="00BA7F2C">
              <w:rPr>
                <w:lang w:eastAsia="en-US"/>
              </w:rPr>
              <w:t xml:space="preserve">o 2016. gada </w:t>
            </w:r>
            <w:r w:rsidR="002B779B" w:rsidRPr="00BA7F2C">
              <w:rPr>
                <w:lang w:eastAsia="en-US"/>
              </w:rPr>
              <w:t xml:space="preserve">noteiktu </w:t>
            </w:r>
            <w:r w:rsidR="00E23BB9" w:rsidRPr="00BA7F2C">
              <w:rPr>
                <w:lang w:eastAsia="en-US"/>
              </w:rPr>
              <w:t xml:space="preserve">prasību </w:t>
            </w:r>
            <w:r w:rsidR="002B779B" w:rsidRPr="00BA7F2C">
              <w:rPr>
                <w:lang w:eastAsia="en-US"/>
              </w:rPr>
              <w:t>obligāt</w:t>
            </w:r>
            <w:r w:rsidR="00E23BB9" w:rsidRPr="00BA7F2C">
              <w:rPr>
                <w:lang w:eastAsia="en-US"/>
              </w:rPr>
              <w:t>i</w:t>
            </w:r>
            <w:r w:rsidR="002B779B" w:rsidRPr="00BA7F2C">
              <w:rPr>
                <w:lang w:eastAsia="en-US"/>
              </w:rPr>
              <w:t xml:space="preserve"> </w:t>
            </w:r>
            <w:r w:rsidR="00E23BB9" w:rsidRPr="00BA7F2C">
              <w:rPr>
                <w:lang w:eastAsia="en-US"/>
              </w:rPr>
              <w:t xml:space="preserve">iesniegt </w:t>
            </w:r>
            <w:r w:rsidR="00083728" w:rsidRPr="00BA7F2C">
              <w:t>vienot</w:t>
            </w:r>
            <w:r w:rsidR="00E23BB9" w:rsidRPr="00BA7F2C">
              <w:t>o</w:t>
            </w:r>
            <w:r w:rsidR="00083728" w:rsidRPr="00BA7F2C">
              <w:t xml:space="preserve"> iesniegum</w:t>
            </w:r>
            <w:r w:rsidR="00E23BB9" w:rsidRPr="00BA7F2C">
              <w:t>u</w:t>
            </w:r>
            <w:r w:rsidR="00083728" w:rsidRPr="00BA7F2C">
              <w:t xml:space="preserve"> LAD EPS</w:t>
            </w:r>
            <w:r w:rsidR="00083728" w:rsidRPr="00BA7F2C" w:rsidDel="00B646DC">
              <w:rPr>
                <w:lang w:eastAsia="en-US"/>
              </w:rPr>
              <w:t xml:space="preserve"> </w:t>
            </w:r>
            <w:r w:rsidR="00B646DC" w:rsidRPr="00BA7F2C">
              <w:rPr>
                <w:lang w:eastAsia="en-US"/>
              </w:rPr>
              <w:t xml:space="preserve">tiem </w:t>
            </w:r>
            <w:r w:rsidR="002B779B" w:rsidRPr="00BA7F2C">
              <w:rPr>
                <w:lang w:eastAsia="en-US"/>
              </w:rPr>
              <w:t>atbalsta pretendentiem</w:t>
            </w:r>
            <w:r w:rsidR="0048169E" w:rsidRPr="00BA7F2C">
              <w:rPr>
                <w:lang w:eastAsia="en-US"/>
              </w:rPr>
              <w:t>,</w:t>
            </w:r>
            <w:r w:rsidR="00B646DC" w:rsidRPr="00BA7F2C">
              <w:rPr>
                <w:lang w:eastAsia="en-US"/>
              </w:rPr>
              <w:t xml:space="preserve"> </w:t>
            </w:r>
            <w:r w:rsidR="00B646DC" w:rsidRPr="00BA7F2C">
              <w:t>kuru rīcībā ir vismaz 10 hektāri lauksaimniecības zemes, kā arī pretendentiem</w:t>
            </w:r>
            <w:r w:rsidR="00E23BB9" w:rsidRPr="00BA7F2C">
              <w:t>, kuri piesakās atbalstam</w:t>
            </w:r>
            <w:r w:rsidR="00B646DC" w:rsidRPr="00BA7F2C">
              <w:t xml:space="preserve"> Lauku attīstības </w:t>
            </w:r>
            <w:r w:rsidR="00B646DC" w:rsidRPr="00BA7F2C">
              <w:rPr>
                <w:lang w:eastAsia="en-US"/>
              </w:rPr>
              <w:t>programmas “Agrovide un klimats” vai ”Bioloģiskā lauksaimniecība” pasākumos.</w:t>
            </w:r>
            <w:r w:rsidR="008E0283" w:rsidRPr="00BA7F2C">
              <w:rPr>
                <w:lang w:eastAsia="en-US"/>
              </w:rPr>
              <w:t xml:space="preserve"> </w:t>
            </w:r>
          </w:p>
          <w:p w14:paraId="4FB7BE95" w14:textId="67455582" w:rsidR="008E0283" w:rsidRPr="00BA7F2C" w:rsidRDefault="002451F5" w:rsidP="003E4FF0">
            <w:pPr>
              <w:jc w:val="both"/>
              <w:rPr>
                <w:lang w:eastAsia="en-US"/>
              </w:rPr>
            </w:pPr>
            <w:r w:rsidRPr="00BA7F2C">
              <w:rPr>
                <w:lang w:eastAsia="en-US"/>
              </w:rPr>
              <w:t>Pārējiem lauksaimniekiem (</w:t>
            </w:r>
            <w:r w:rsidR="00B646DC" w:rsidRPr="00BA7F2C">
              <w:rPr>
                <w:lang w:eastAsia="en-US"/>
              </w:rPr>
              <w:t>kur</w:t>
            </w:r>
            <w:r w:rsidR="00781713" w:rsidRPr="00BA7F2C">
              <w:rPr>
                <w:lang w:eastAsia="en-US"/>
              </w:rPr>
              <w:t>u rīcībā</w:t>
            </w:r>
            <w:r w:rsidR="00CE0DAC" w:rsidRPr="00BA7F2C">
              <w:rPr>
                <w:lang w:eastAsia="en-US"/>
              </w:rPr>
              <w:t xml:space="preserve"> ir mazāk nekā 10 hektāri lauksaimniecības zemes</w:t>
            </w:r>
            <w:r w:rsidRPr="00BA7F2C">
              <w:rPr>
                <w:lang w:eastAsia="en-US"/>
              </w:rPr>
              <w:t xml:space="preserve"> vai, kuri nepiesakās</w:t>
            </w:r>
            <w:r w:rsidR="00474A92" w:rsidRPr="00BA7F2C">
              <w:rPr>
                <w:lang w:eastAsia="en-US"/>
              </w:rPr>
              <w:t xml:space="preserve"> minēto</w:t>
            </w:r>
            <w:r w:rsidRPr="00BA7F2C">
              <w:rPr>
                <w:lang w:eastAsia="en-US"/>
              </w:rPr>
              <w:t xml:space="preserve"> agrovides pasākumu atbalstam)</w:t>
            </w:r>
            <w:r w:rsidR="00474A92" w:rsidRPr="00BA7F2C">
              <w:rPr>
                <w:lang w:eastAsia="en-US"/>
              </w:rPr>
              <w:t xml:space="preserve"> gadījumā, ja tie </w:t>
            </w:r>
            <w:r w:rsidRPr="00BA7F2C">
              <w:rPr>
                <w:lang w:eastAsia="en-US"/>
              </w:rPr>
              <w:t>nevēlēsies</w:t>
            </w:r>
            <w:r w:rsidR="00E41DED" w:rsidRPr="00BA7F2C">
              <w:rPr>
                <w:lang w:eastAsia="en-US"/>
              </w:rPr>
              <w:t xml:space="preserve"> aizpildīt vienotā iesnieguma formu </w:t>
            </w:r>
            <w:r w:rsidR="00781713" w:rsidRPr="00BA7F2C">
              <w:rPr>
                <w:lang w:eastAsia="en-US"/>
              </w:rPr>
              <w:t>LAD</w:t>
            </w:r>
            <w:r w:rsidR="00E41DED" w:rsidRPr="00BA7F2C">
              <w:rPr>
                <w:lang w:eastAsia="en-US"/>
              </w:rPr>
              <w:t xml:space="preserve"> </w:t>
            </w:r>
            <w:r w:rsidR="00781713" w:rsidRPr="00BA7F2C">
              <w:rPr>
                <w:lang w:eastAsia="en-US"/>
              </w:rPr>
              <w:t>EPS</w:t>
            </w:r>
            <w:r w:rsidR="00D35918" w:rsidRPr="00BA7F2C">
              <w:rPr>
                <w:lang w:eastAsia="en-US"/>
              </w:rPr>
              <w:t>,</w:t>
            </w:r>
            <w:r w:rsidR="00E41DED" w:rsidRPr="00BA7F2C">
              <w:rPr>
                <w:lang w:eastAsia="en-US"/>
              </w:rPr>
              <w:t xml:space="preserve"> </w:t>
            </w:r>
            <w:r w:rsidR="00E9741D" w:rsidRPr="00BA7F2C">
              <w:rPr>
                <w:lang w:eastAsia="en-US"/>
              </w:rPr>
              <w:t>tiks nodrošināta</w:t>
            </w:r>
            <w:r w:rsidR="00E41DED" w:rsidRPr="00BA7F2C">
              <w:rPr>
                <w:lang w:eastAsia="en-US"/>
              </w:rPr>
              <w:t xml:space="preserve"> iespēja</w:t>
            </w:r>
            <w:r w:rsidR="00E9741D" w:rsidRPr="00BA7F2C">
              <w:rPr>
                <w:lang w:eastAsia="en-US"/>
              </w:rPr>
              <w:t xml:space="preserve"> </w:t>
            </w:r>
            <w:r w:rsidR="00E23BB9" w:rsidRPr="00BA7F2C">
              <w:rPr>
                <w:lang w:eastAsia="en-US"/>
              </w:rPr>
              <w:t xml:space="preserve">iesniegt vienoto iesniegumu papīra formā, ja tie </w:t>
            </w:r>
            <w:r w:rsidR="00E9741D" w:rsidRPr="00BA7F2C">
              <w:rPr>
                <w:lang w:eastAsia="en-US"/>
              </w:rPr>
              <w:t xml:space="preserve">līdz </w:t>
            </w:r>
            <w:r w:rsidR="00CE0DAC" w:rsidRPr="00BA7F2C">
              <w:rPr>
                <w:lang w:eastAsia="en-US"/>
              </w:rPr>
              <w:t>10</w:t>
            </w:r>
            <w:r w:rsidR="00E9741D" w:rsidRPr="00BA7F2C">
              <w:rPr>
                <w:lang w:eastAsia="en-US"/>
              </w:rPr>
              <w:t xml:space="preserve">. </w:t>
            </w:r>
            <w:r w:rsidR="00CE0DAC" w:rsidRPr="00BA7F2C">
              <w:rPr>
                <w:lang w:eastAsia="en-US"/>
              </w:rPr>
              <w:t xml:space="preserve">maijam </w:t>
            </w:r>
            <w:r w:rsidR="00E9741D" w:rsidRPr="00BA7F2C">
              <w:rPr>
                <w:lang w:eastAsia="en-US"/>
              </w:rPr>
              <w:t>iesnieg</w:t>
            </w:r>
            <w:r w:rsidR="00E23BB9" w:rsidRPr="00BA7F2C">
              <w:rPr>
                <w:lang w:eastAsia="en-US"/>
              </w:rPr>
              <w:t>s</w:t>
            </w:r>
            <w:r w:rsidR="00E9741D" w:rsidRPr="00BA7F2C">
              <w:rPr>
                <w:lang w:eastAsia="en-US"/>
              </w:rPr>
              <w:t xml:space="preserve"> pieprasījumu </w:t>
            </w:r>
            <w:r w:rsidR="00E23BB9" w:rsidRPr="00BA7F2C">
              <w:rPr>
                <w:lang w:eastAsia="en-US"/>
              </w:rPr>
              <w:t>(</w:t>
            </w:r>
            <w:r w:rsidR="00E9741D" w:rsidRPr="00BA7F2C">
              <w:rPr>
                <w:lang w:eastAsia="en-US"/>
              </w:rPr>
              <w:t>rakstiski vai telefoniski</w:t>
            </w:r>
            <w:r w:rsidR="00E23BB9" w:rsidRPr="00BA7F2C">
              <w:rPr>
                <w:lang w:eastAsia="en-US"/>
              </w:rPr>
              <w:t>)</w:t>
            </w:r>
            <w:r w:rsidR="00E9741D" w:rsidRPr="00BA7F2C">
              <w:rPr>
                <w:lang w:eastAsia="en-US"/>
              </w:rPr>
              <w:t xml:space="preserve"> LAD par vienotā iesnieguma </w:t>
            </w:r>
            <w:r w:rsidR="00474A92" w:rsidRPr="00BA7F2C">
              <w:rPr>
                <w:lang w:eastAsia="en-US"/>
              </w:rPr>
              <w:t xml:space="preserve">un lauku bloku kartes </w:t>
            </w:r>
            <w:r w:rsidR="00E9741D" w:rsidRPr="00BA7F2C">
              <w:rPr>
                <w:lang w:eastAsia="en-US"/>
              </w:rPr>
              <w:t>sagatavošanu papīra formā</w:t>
            </w:r>
            <w:r w:rsidR="008E0283" w:rsidRPr="00BA7F2C">
              <w:rPr>
                <w:lang w:eastAsia="en-US"/>
              </w:rPr>
              <w:t>.</w:t>
            </w:r>
            <w:r w:rsidR="00E41DED" w:rsidRPr="00BA7F2C">
              <w:rPr>
                <w:lang w:eastAsia="en-US"/>
              </w:rPr>
              <w:t xml:space="preserve"> </w:t>
            </w:r>
          </w:p>
          <w:p w14:paraId="090CB529" w14:textId="77777777" w:rsidR="00474A92" w:rsidRPr="00BA7F2C" w:rsidRDefault="008E0283" w:rsidP="00E23BB9">
            <w:pPr>
              <w:jc w:val="both"/>
            </w:pPr>
            <w:r w:rsidRPr="00BA7F2C">
              <w:t>LAD</w:t>
            </w:r>
            <w:r w:rsidR="00B2738A" w:rsidRPr="00BA7F2C">
              <w:t xml:space="preserve"> </w:t>
            </w:r>
            <w:r w:rsidR="00474A92" w:rsidRPr="00BA7F2C">
              <w:t xml:space="preserve">šī gada martā </w:t>
            </w:r>
            <w:r w:rsidR="00B2738A" w:rsidRPr="00BA7F2C">
              <w:t>organizē</w:t>
            </w:r>
            <w:r w:rsidR="00E23BB9" w:rsidRPr="00BA7F2C">
              <w:t xml:space="preserve"> </w:t>
            </w:r>
            <w:r w:rsidR="00B2738A" w:rsidRPr="00BA7F2C">
              <w:t>informatīvus seminārus dažādos Latvijas pagastos un novados</w:t>
            </w:r>
            <w:r w:rsidR="00474A92" w:rsidRPr="00BA7F2C">
              <w:t>, lai apmācītu lauksaimniekus aizpildīt vienoto iesniegumu elektroniskā pieteikšanās sistēmā</w:t>
            </w:r>
            <w:r w:rsidR="00303AD0" w:rsidRPr="00BA7F2C">
              <w:t xml:space="preserve">. </w:t>
            </w:r>
          </w:p>
          <w:p w14:paraId="33703D64" w14:textId="780650A5" w:rsidR="00EC467B" w:rsidRPr="00BA7F2C" w:rsidRDefault="00474A92" w:rsidP="00E23BB9">
            <w:pPr>
              <w:jc w:val="both"/>
            </w:pPr>
            <w:r w:rsidRPr="00BA7F2C">
              <w:t>Šo</w:t>
            </w:r>
            <w:r w:rsidR="00303AD0" w:rsidRPr="00BA7F2C">
              <w:t xml:space="preserve">gad </w:t>
            </w:r>
            <w:r w:rsidR="00B2738A" w:rsidRPr="00BA7F2C">
              <w:t xml:space="preserve">jau no 11.aprīļa </w:t>
            </w:r>
            <w:r w:rsidR="008E0283" w:rsidRPr="00BA7F2C">
              <w:t>LAD</w:t>
            </w:r>
            <w:r w:rsidR="00B2738A" w:rsidRPr="00BA7F2C">
              <w:t xml:space="preserve"> </w:t>
            </w:r>
            <w:r w:rsidR="005224C0" w:rsidRPr="00BA7F2C">
              <w:t xml:space="preserve">sniegs </w:t>
            </w:r>
            <w:r w:rsidRPr="00BA7F2C">
              <w:t xml:space="preserve">tehnisku </w:t>
            </w:r>
            <w:r w:rsidR="005224C0" w:rsidRPr="00BA7F2C">
              <w:t xml:space="preserve">palīdzību </w:t>
            </w:r>
            <w:r w:rsidR="00B2738A" w:rsidRPr="00BA7F2C">
              <w:t xml:space="preserve">lauksaimniekiem </w:t>
            </w:r>
            <w:r w:rsidR="005224C0" w:rsidRPr="00BA7F2C">
              <w:t>vienotā iesnieguma aizpildīšanā elek</w:t>
            </w:r>
            <w:r w:rsidRPr="00BA7F2C">
              <w:t>troniskajā pieteikšanās sistēmā -</w:t>
            </w:r>
            <w:r w:rsidR="005224C0" w:rsidRPr="00BA7F2C">
              <w:t xml:space="preserve"> gan uz vietas </w:t>
            </w:r>
            <w:r w:rsidR="00B2738A" w:rsidRPr="00BA7F2C">
              <w:t xml:space="preserve"> reģionālajās pārvaldēs</w:t>
            </w:r>
            <w:r w:rsidR="005224C0" w:rsidRPr="00BA7F2C">
              <w:t xml:space="preserve">, gan </w:t>
            </w:r>
            <w:r w:rsidRPr="00BA7F2C">
              <w:t>pagastu vai</w:t>
            </w:r>
            <w:r w:rsidR="005224C0" w:rsidRPr="00BA7F2C">
              <w:t xml:space="preserve"> novadu centros, saskaņā ar savlaicīgi izsludinātu laika grafiku. T</w:t>
            </w:r>
            <w:r w:rsidR="00B2738A" w:rsidRPr="00BA7F2C">
              <w:t>ehnisk</w:t>
            </w:r>
            <w:r w:rsidR="005224C0" w:rsidRPr="00BA7F2C">
              <w:t>o</w:t>
            </w:r>
            <w:r w:rsidR="00B2738A" w:rsidRPr="00BA7F2C">
              <w:t xml:space="preserve"> atbalst</w:t>
            </w:r>
            <w:r w:rsidR="005224C0" w:rsidRPr="00BA7F2C">
              <w:t xml:space="preserve">u sniegs </w:t>
            </w:r>
            <w:r w:rsidR="00B2738A" w:rsidRPr="00BA7F2C">
              <w:t xml:space="preserve"> arī “Latvijas Lauku konsultāciju un izglītības centra” birojos</w:t>
            </w:r>
            <w:r w:rsidR="005224C0" w:rsidRPr="00BA7F2C">
              <w:t xml:space="preserve"> un centra konsultanti novados</w:t>
            </w:r>
            <w:r w:rsidR="00B2738A" w:rsidRPr="00BA7F2C">
              <w:t>. Šie pasākumi tiks īstenoti arī turpmākajos gados.</w:t>
            </w:r>
          </w:p>
          <w:p w14:paraId="3E8CBC8B" w14:textId="1C944924" w:rsidR="005224C0" w:rsidRPr="00BA7F2C" w:rsidRDefault="005224C0" w:rsidP="00E23BB9">
            <w:pPr>
              <w:jc w:val="both"/>
            </w:pPr>
            <w:r w:rsidRPr="00BA7F2C">
              <w:t>LAD tehniskais atbalsts tiks sniegts</w:t>
            </w:r>
            <w:r w:rsidR="00724B81" w:rsidRPr="00BA7F2C">
              <w:t xml:space="preserve"> -</w:t>
            </w:r>
            <w:r w:rsidRPr="00BA7F2C">
              <w:t xml:space="preserve"> nodrošinot pieeju datoriem un sniedzot iespēju lauksaimniekiem pašiem elektroniski aizpildīt un iesniegt vienoto iesniegumu EPS sistēmā, vai arī vienotā iesnieguma aizpildīšanu EPS sistēmā </w:t>
            </w:r>
            <w:r w:rsidRPr="00BA7F2C">
              <w:lastRenderedPageBreak/>
              <w:t>veiks LAD speciālists, ievadot lauksaimnieka</w:t>
            </w:r>
            <w:r w:rsidR="00724B81" w:rsidRPr="00BA7F2C">
              <w:t xml:space="preserve"> mutiski</w:t>
            </w:r>
            <w:r w:rsidRPr="00BA7F2C">
              <w:t xml:space="preserve"> norādīto informāciju. Pēc lauksaimnieka norādīto datus ievades EPS sistēmā</w:t>
            </w:r>
            <w:r w:rsidR="00724B81" w:rsidRPr="00BA7F2C">
              <w:t>,</w:t>
            </w:r>
            <w:r w:rsidRPr="00BA7F2C">
              <w:t xml:space="preserve"> tiks izdrukāta EPS ievadītā informācija, kuru lauksaimnieks apstiprinās ar parakstu. Tikai, tad kad lauksaimnieks ar parakstu būs apstiprinājis </w:t>
            </w:r>
            <w:r w:rsidR="00724B81" w:rsidRPr="00BA7F2C">
              <w:t>izdrukas informāciju, kas apliecinās EPS ievadīto datu atbilstību lauksaimnieka sniegtajai informācijai, LAD speciālists varēs apstiprināt vienotā iesnieguma iesniegšanu elektroniski.</w:t>
            </w:r>
          </w:p>
          <w:p w14:paraId="73EFFCFE" w14:textId="5962842F" w:rsidR="00EA5A85" w:rsidRPr="00BA7F2C" w:rsidRDefault="003B2D76" w:rsidP="00E23BB9">
            <w:pPr>
              <w:jc w:val="both"/>
            </w:pPr>
            <w:r w:rsidRPr="00BA7F2C">
              <w:t>EPS</w:t>
            </w:r>
            <w:r w:rsidR="00EA5A85" w:rsidRPr="00BA7F2C">
              <w:t xml:space="preserve"> izmantošana nodrošinās </w:t>
            </w:r>
            <w:r w:rsidR="00724B81" w:rsidRPr="00BA7F2C">
              <w:t xml:space="preserve">mazāku kļūdu īpatsvaru, </w:t>
            </w:r>
            <w:r w:rsidR="00EA5A85" w:rsidRPr="00BA7F2C">
              <w:t xml:space="preserve">ātrāku </w:t>
            </w:r>
            <w:r w:rsidR="00724B81" w:rsidRPr="00BA7F2C">
              <w:t xml:space="preserve">iesniegumu datu apstrādi un līdz ar to arī savlaicīgāku </w:t>
            </w:r>
            <w:r w:rsidR="00EA5A85" w:rsidRPr="00BA7F2C">
              <w:t>atbalsta izmaksu</w:t>
            </w:r>
            <w:r w:rsidR="00724B81" w:rsidRPr="00BA7F2C">
              <w:t xml:space="preserve"> un mazāku sankciju apjomu</w:t>
            </w:r>
            <w:r w:rsidR="00EA5A85" w:rsidRPr="00BA7F2C">
              <w:t>.</w:t>
            </w:r>
          </w:p>
          <w:p w14:paraId="46C1A5E2" w14:textId="42130A53" w:rsidR="00D535A6" w:rsidRPr="00BA7F2C" w:rsidRDefault="00D535A6">
            <w:pPr>
              <w:pStyle w:val="Pamattekstsaratkpi"/>
              <w:tabs>
                <w:tab w:val="left" w:pos="993"/>
              </w:tabs>
              <w:spacing w:after="0"/>
              <w:ind w:left="0"/>
              <w:jc w:val="both"/>
              <w:rPr>
                <w:lang w:val="lv-LV"/>
              </w:rPr>
            </w:pPr>
          </w:p>
          <w:p w14:paraId="0E05996F" w14:textId="77777777" w:rsidR="0048169E" w:rsidRPr="00BA7F2C" w:rsidRDefault="00851981" w:rsidP="003E4FF0">
            <w:pPr>
              <w:jc w:val="both"/>
              <w:rPr>
                <w:lang w:eastAsia="en-US"/>
              </w:rPr>
            </w:pPr>
            <w:r w:rsidRPr="00BA7F2C">
              <w:rPr>
                <w:lang w:eastAsia="en-US"/>
              </w:rPr>
              <w:t>3</w:t>
            </w:r>
            <w:r w:rsidR="002B779B" w:rsidRPr="00BA7F2C">
              <w:rPr>
                <w:lang w:eastAsia="en-US"/>
              </w:rPr>
              <w:t xml:space="preserve">) </w:t>
            </w:r>
            <w:r w:rsidR="0048169E" w:rsidRPr="00BA7F2C">
              <w:rPr>
                <w:lang w:eastAsia="en-US"/>
              </w:rPr>
              <w:t>precizētu prasību</w:t>
            </w:r>
            <w:r w:rsidR="002B779B" w:rsidRPr="00BA7F2C">
              <w:rPr>
                <w:lang w:eastAsia="en-US"/>
              </w:rPr>
              <w:t>,</w:t>
            </w:r>
            <w:r w:rsidR="00AA6D19" w:rsidRPr="00BA7F2C">
              <w:rPr>
                <w:lang w:eastAsia="en-US"/>
              </w:rPr>
              <w:t xml:space="preserve"> ka lauksaimniekiem jādeklarē tas</w:t>
            </w:r>
            <w:r w:rsidR="002B779B" w:rsidRPr="00BA7F2C">
              <w:rPr>
                <w:lang w:eastAsia="en-US"/>
              </w:rPr>
              <w:t xml:space="preserve"> </w:t>
            </w:r>
            <w:r w:rsidR="0048169E" w:rsidRPr="00BA7F2C">
              <w:rPr>
                <w:lang w:eastAsia="en-US"/>
              </w:rPr>
              <w:t>kultūra</w:t>
            </w:r>
            <w:r w:rsidR="00AA6D19" w:rsidRPr="00BA7F2C">
              <w:rPr>
                <w:lang w:eastAsia="en-US"/>
              </w:rPr>
              <w:t>ugs</w:t>
            </w:r>
            <w:r w:rsidR="0048169E" w:rsidRPr="00BA7F2C">
              <w:rPr>
                <w:lang w:eastAsia="en-US"/>
              </w:rPr>
              <w:t xml:space="preserve"> vai zemes izmantošanas veids</w:t>
            </w:r>
            <w:r w:rsidR="002B779B" w:rsidRPr="00BA7F2C">
              <w:rPr>
                <w:lang w:eastAsia="en-US"/>
              </w:rPr>
              <w:t>, kas dominē attiecīgajā laukā</w:t>
            </w:r>
            <w:r w:rsidR="0048169E" w:rsidRPr="00BA7F2C">
              <w:rPr>
                <w:lang w:eastAsia="en-US"/>
              </w:rPr>
              <w:t>, lai novērstu situācijas, kad tiek deklarēti</w:t>
            </w:r>
            <w:r w:rsidR="00D535A6" w:rsidRPr="00BA7F2C">
              <w:rPr>
                <w:lang w:eastAsia="en-US"/>
              </w:rPr>
              <w:t xml:space="preserve"> iepriekšējā gadā nenovākti</w:t>
            </w:r>
            <w:r w:rsidR="0048169E" w:rsidRPr="00BA7F2C">
              <w:rPr>
                <w:lang w:eastAsia="en-US"/>
              </w:rPr>
              <w:t xml:space="preserve"> kultūraugi</w:t>
            </w:r>
            <w:r w:rsidR="00D535A6" w:rsidRPr="00BA7F2C">
              <w:rPr>
                <w:lang w:eastAsia="en-US"/>
              </w:rPr>
              <w:t>,</w:t>
            </w:r>
            <w:r w:rsidR="001078E8" w:rsidRPr="00BA7F2C">
              <w:rPr>
                <w:lang w:eastAsia="en-US"/>
              </w:rPr>
              <w:t xml:space="preserve"> tādējādi</w:t>
            </w:r>
            <w:r w:rsidR="00D535A6" w:rsidRPr="00BA7F2C">
              <w:rPr>
                <w:lang w:eastAsia="en-US"/>
              </w:rPr>
              <w:t xml:space="preserve"> apejot lauksaimnieciskās aktivitātes nodrošināšanas prasības;</w:t>
            </w:r>
          </w:p>
          <w:p w14:paraId="07DBF1FF" w14:textId="77777777" w:rsidR="00950C32" w:rsidRPr="00BA7F2C" w:rsidRDefault="00851981" w:rsidP="00950C32">
            <w:pPr>
              <w:pStyle w:val="Pamattekstsaratkpi"/>
              <w:widowControl w:val="0"/>
              <w:spacing w:after="0"/>
              <w:ind w:left="0"/>
              <w:jc w:val="both"/>
              <w:rPr>
                <w:color w:val="000000"/>
                <w:lang w:val="lv-LV"/>
              </w:rPr>
            </w:pPr>
            <w:r w:rsidRPr="00BA7F2C">
              <w:rPr>
                <w:lang w:val="lv-LV"/>
              </w:rPr>
              <w:t>4</w:t>
            </w:r>
            <w:r w:rsidR="002B779B" w:rsidRPr="00BA7F2C">
              <w:rPr>
                <w:lang w:val="lv-LV"/>
              </w:rPr>
              <w:t>) precizētu dalībvalsts izvēles</w:t>
            </w:r>
            <w:r w:rsidR="00340336" w:rsidRPr="00BA7F2C">
              <w:rPr>
                <w:lang w:val="lv-LV"/>
              </w:rPr>
              <w:t>,</w:t>
            </w:r>
            <w:r w:rsidR="0048169E" w:rsidRPr="00BA7F2C">
              <w:rPr>
                <w:lang w:val="lv-LV"/>
              </w:rPr>
              <w:t xml:space="preserve"> nosacījumus</w:t>
            </w:r>
            <w:r w:rsidR="002B779B" w:rsidRPr="00BA7F2C">
              <w:rPr>
                <w:lang w:val="lv-LV"/>
              </w:rPr>
              <w:t xml:space="preserve"> </w:t>
            </w:r>
            <w:r w:rsidR="00340336" w:rsidRPr="00BA7F2C">
              <w:rPr>
                <w:lang w:val="lv-LV"/>
              </w:rPr>
              <w:t xml:space="preserve">un gala termiņu </w:t>
            </w:r>
            <w:r w:rsidR="002B779B" w:rsidRPr="00BA7F2C">
              <w:rPr>
                <w:lang w:val="lv-LV"/>
              </w:rPr>
              <w:t>att</w:t>
            </w:r>
            <w:r w:rsidR="001B15B9" w:rsidRPr="00BA7F2C">
              <w:rPr>
                <w:lang w:val="lv-LV"/>
              </w:rPr>
              <w:t>i</w:t>
            </w:r>
            <w:r w:rsidR="002B779B" w:rsidRPr="00BA7F2C">
              <w:rPr>
                <w:lang w:val="lv-LV"/>
              </w:rPr>
              <w:t>ecībā uz</w:t>
            </w:r>
            <w:r w:rsidR="001B15B9" w:rsidRPr="00BA7F2C">
              <w:rPr>
                <w:lang w:val="lv-LV"/>
              </w:rPr>
              <w:t xml:space="preserve"> labojumiem un precizējumiem vienotajā iesniegumā un to atsaukšanu</w:t>
            </w:r>
            <w:r w:rsidR="00950C32" w:rsidRPr="00BA7F2C">
              <w:rPr>
                <w:lang w:val="lv-LV"/>
              </w:rPr>
              <w:t xml:space="preserve">. </w:t>
            </w:r>
            <w:r w:rsidR="00950C32" w:rsidRPr="00BA7F2C">
              <w:rPr>
                <w:color w:val="000000"/>
                <w:lang w:val="lv-LV"/>
              </w:rPr>
              <w:t>Regulas Nr. 809/2014 15. panta 2. punktā ir noteikta dalībvalsts izvēle par termiņu, līdz kuram var tikt akceptēti grozījumi vienotajā iesniegumā, saskaņā ar Regulas Nr. 809/2014 15. panta 1. punktu - var pievienot vai koriģēt atsevišķus lauksaimniecības zemes gabalus vai atsevišķas maksājumtiesības ar nosacījumu, ka ir ievērotas prasības, kas paredzētas attiecīgajās tiešo maksājumu shēmās vai lauku attīstības pasākumos. Savukārt par izmaiņ</w:t>
            </w:r>
            <w:r w:rsidR="00B16453" w:rsidRPr="00BA7F2C">
              <w:rPr>
                <w:color w:val="000000"/>
                <w:lang w:val="lv-LV"/>
              </w:rPr>
              <w:t>ā</w:t>
            </w:r>
            <w:r w:rsidR="00950C32" w:rsidRPr="00BA7F2C">
              <w:rPr>
                <w:color w:val="000000"/>
                <w:lang w:val="lv-LV"/>
              </w:rPr>
              <w:t xml:space="preserve">m iesnieguma datos, kas neskar atbalsta apjomu, lauksaimniekam jāinformē Lauku atbalsta dienests jebkurā laikā, piemēram, ja mainās saimniecības īpašnieks vai ja kādā laukā neizdīgst sējumi un tajos tiek sēta cita kultūra. </w:t>
            </w:r>
          </w:p>
          <w:p w14:paraId="1BDF7FBB" w14:textId="77777777" w:rsidR="002B779B" w:rsidRPr="00BA7F2C" w:rsidRDefault="00950C32" w:rsidP="00950C32">
            <w:pPr>
              <w:pStyle w:val="Pamattekstsaratkpi"/>
              <w:widowControl w:val="0"/>
              <w:spacing w:after="0"/>
              <w:ind w:left="0"/>
              <w:jc w:val="both"/>
              <w:rPr>
                <w:lang w:val="lv-LV"/>
              </w:rPr>
            </w:pPr>
            <w:r w:rsidRPr="00BA7F2C">
              <w:rPr>
                <w:color w:val="000000"/>
                <w:lang w:val="lv-LV"/>
              </w:rPr>
              <w:t>Savukārt regulas Nr. 640/2014 13. panta 1. apakšpunktā ir noteikti novēlota vienotā iesnieguma iesniegšanas nosacījumi, paredzot galējo kavējuma termiņu 25 kalendāra dienas, pēc kura pieteikumu vai pieprasījumu uzskata par nepieņemamu un atbalstu saņēmējam nepiešķir. Noteikumos nevar noteikt precīzu novēlota iesnieguma iesniegšanas datumu, jo vienotā iesnieguma iesniegšanas gala termiņš var būt svētdiena, piemēram, 2016. gadā 22. maijs ir svētdienā, tad vienotā iesnieguma iesniegšanas gala termiņš tiek pārcelts uz nākamo darba dienu. 25 kalendāra dienu atskaiti sāk tikai no nākamās dienas pēc vienotā iesnieguma iesniegšanas gala termiņa</w:t>
            </w:r>
            <w:r w:rsidR="001B15B9" w:rsidRPr="00BA7F2C">
              <w:rPr>
                <w:lang w:val="lv-LV"/>
              </w:rPr>
              <w:t>;</w:t>
            </w:r>
          </w:p>
          <w:p w14:paraId="6833F655" w14:textId="77777777" w:rsidR="0048169E" w:rsidRPr="00BA7F2C" w:rsidRDefault="00851981" w:rsidP="003E4FF0">
            <w:pPr>
              <w:jc w:val="both"/>
              <w:rPr>
                <w:lang w:eastAsia="en-US"/>
              </w:rPr>
            </w:pPr>
            <w:r w:rsidRPr="00BA7F2C">
              <w:rPr>
                <w:lang w:eastAsia="en-US"/>
              </w:rPr>
              <w:t>5</w:t>
            </w:r>
            <w:r w:rsidR="0048169E" w:rsidRPr="00BA7F2C">
              <w:rPr>
                <w:lang w:eastAsia="en-US"/>
              </w:rPr>
              <w:t xml:space="preserve">) precizētu nosacījumus </w:t>
            </w:r>
            <w:r w:rsidR="0001589D" w:rsidRPr="00BA7F2C">
              <w:rPr>
                <w:lang w:eastAsia="en-US"/>
              </w:rPr>
              <w:t>un galīgo datumu lauku bloku precizēšanai</w:t>
            </w:r>
            <w:r w:rsidR="0048169E" w:rsidRPr="00BA7F2C">
              <w:rPr>
                <w:lang w:eastAsia="en-US"/>
              </w:rPr>
              <w:t>;</w:t>
            </w:r>
          </w:p>
          <w:p w14:paraId="2C7E0D12" w14:textId="77777777" w:rsidR="0048169E" w:rsidRPr="00BA7F2C" w:rsidRDefault="00851981" w:rsidP="003E4FF0">
            <w:pPr>
              <w:jc w:val="both"/>
              <w:rPr>
                <w:lang w:eastAsia="en-US"/>
              </w:rPr>
            </w:pPr>
            <w:r w:rsidRPr="00BA7F2C">
              <w:rPr>
                <w:lang w:eastAsia="en-US"/>
              </w:rPr>
              <w:t>6</w:t>
            </w:r>
            <w:r w:rsidR="0048169E" w:rsidRPr="00BA7F2C">
              <w:rPr>
                <w:lang w:eastAsia="en-US"/>
              </w:rPr>
              <w:t xml:space="preserve">) noteiktu prasību, ka </w:t>
            </w:r>
            <w:r w:rsidR="00E41DED" w:rsidRPr="00BA7F2C">
              <w:rPr>
                <w:lang w:eastAsia="en-US"/>
              </w:rPr>
              <w:t xml:space="preserve">LAD </w:t>
            </w:r>
            <w:r w:rsidR="00633DA4" w:rsidRPr="00BA7F2C">
              <w:rPr>
                <w:lang w:eastAsia="en-US"/>
              </w:rPr>
              <w:t xml:space="preserve">ir jānodrošina informācija lauku reģistra publiskajā kartē par iepriekšējā gadā </w:t>
            </w:r>
            <w:r w:rsidR="00633DA4" w:rsidRPr="00BA7F2C">
              <w:rPr>
                <w:shd w:val="clear" w:color="auto" w:fill="FFFFFF" w:themeFill="background1"/>
                <w:lang w:eastAsia="en-US"/>
              </w:rPr>
              <w:t>deklarētajām bioloģiskās lauksaimniecības</w:t>
            </w:r>
            <w:r w:rsidR="00633DA4" w:rsidRPr="00BA7F2C">
              <w:rPr>
                <w:lang w:eastAsia="en-US"/>
              </w:rPr>
              <w:t xml:space="preserve"> platībām, </w:t>
            </w:r>
            <w:r w:rsidR="00E41DED" w:rsidRPr="00BA7F2C">
              <w:rPr>
                <w:lang w:eastAsia="en-US"/>
              </w:rPr>
              <w:t xml:space="preserve">lai konvencionālajiem lauksaimniekiem, kas saimnieko blakus bioloģiski apsaimniekotiem laukiem, </w:t>
            </w:r>
            <w:r w:rsidR="00D35918" w:rsidRPr="00BA7F2C">
              <w:rPr>
                <w:lang w:eastAsia="en-US"/>
              </w:rPr>
              <w:t xml:space="preserve">būtu </w:t>
            </w:r>
            <w:r w:rsidR="00E41DED" w:rsidRPr="00BA7F2C">
              <w:rPr>
                <w:lang w:eastAsia="en-US"/>
              </w:rPr>
              <w:t>iespēj</w:t>
            </w:r>
            <w:r w:rsidR="00D35918" w:rsidRPr="00BA7F2C">
              <w:rPr>
                <w:lang w:eastAsia="en-US"/>
              </w:rPr>
              <w:t>a</w:t>
            </w:r>
            <w:r w:rsidR="00E41DED" w:rsidRPr="00BA7F2C">
              <w:rPr>
                <w:lang w:eastAsia="en-US"/>
              </w:rPr>
              <w:t xml:space="preserve"> ievērot </w:t>
            </w:r>
            <w:r w:rsidR="00E41DED" w:rsidRPr="00BA7F2C">
              <w:rPr>
                <w:lang w:eastAsia="en-US"/>
              </w:rPr>
              <w:lastRenderedPageBreak/>
              <w:t>piesardzības pasākumus, jo īpaši lietojot augu aizsardzības un mēslošanas līdzekļus blakus</w:t>
            </w:r>
            <w:r w:rsidR="00D35918" w:rsidRPr="00BA7F2C">
              <w:rPr>
                <w:lang w:eastAsia="en-US"/>
              </w:rPr>
              <w:t xml:space="preserve"> </w:t>
            </w:r>
            <w:r w:rsidR="00E41DED" w:rsidRPr="00BA7F2C">
              <w:rPr>
                <w:lang w:eastAsia="en-US"/>
              </w:rPr>
              <w:t xml:space="preserve">šādiem laukiem; </w:t>
            </w:r>
          </w:p>
          <w:p w14:paraId="7AC83E7B" w14:textId="77777777" w:rsidR="001B15B9" w:rsidRPr="00BA7F2C" w:rsidRDefault="00851981" w:rsidP="003E4FF0">
            <w:pPr>
              <w:jc w:val="both"/>
              <w:rPr>
                <w:lang w:eastAsia="en-US"/>
              </w:rPr>
            </w:pPr>
            <w:r w:rsidRPr="00BA7F2C">
              <w:rPr>
                <w:lang w:eastAsia="en-US"/>
              </w:rPr>
              <w:t>7</w:t>
            </w:r>
            <w:r w:rsidR="006201C9" w:rsidRPr="00BA7F2C">
              <w:rPr>
                <w:lang w:eastAsia="en-US"/>
              </w:rPr>
              <w:t>) precizētu aktīva lauksaimnieka nosacījumus saskaņā ar saņemtajiem skaidrojumiem no Eiropas Komisijas par saistīto personu pārbaudi un citiem</w:t>
            </w:r>
            <w:r w:rsidR="00AA6D19" w:rsidRPr="00BA7F2C">
              <w:rPr>
                <w:lang w:eastAsia="en-US"/>
              </w:rPr>
              <w:t xml:space="preserve"> aspektiem</w:t>
            </w:r>
            <w:r w:rsidR="006201C9" w:rsidRPr="00BA7F2C">
              <w:rPr>
                <w:lang w:eastAsia="en-US"/>
              </w:rPr>
              <w:t>;</w:t>
            </w:r>
          </w:p>
          <w:p w14:paraId="6F11F7CE" w14:textId="77777777" w:rsidR="006201C9" w:rsidRPr="00BA7F2C" w:rsidRDefault="00851981" w:rsidP="003E4FF0">
            <w:pPr>
              <w:jc w:val="both"/>
              <w:rPr>
                <w:lang w:eastAsia="en-US"/>
              </w:rPr>
            </w:pPr>
            <w:r w:rsidRPr="00BA7F2C">
              <w:rPr>
                <w:lang w:eastAsia="en-US"/>
              </w:rPr>
              <w:t>8</w:t>
            </w:r>
            <w:r w:rsidR="006201C9" w:rsidRPr="00BA7F2C">
              <w:rPr>
                <w:lang w:eastAsia="en-US"/>
              </w:rPr>
              <w:t>)</w:t>
            </w:r>
            <w:r w:rsidR="000B76F8" w:rsidRPr="00BA7F2C">
              <w:rPr>
                <w:lang w:eastAsia="en-US"/>
              </w:rPr>
              <w:t xml:space="preserve"> precizētu </w:t>
            </w:r>
            <w:r w:rsidR="00D35918" w:rsidRPr="00BA7F2C">
              <w:rPr>
                <w:lang w:eastAsia="en-US"/>
              </w:rPr>
              <w:t>vairākas</w:t>
            </w:r>
            <w:r w:rsidR="000B76F8" w:rsidRPr="00BA7F2C">
              <w:rPr>
                <w:lang w:eastAsia="en-US"/>
              </w:rPr>
              <w:t xml:space="preserve"> ilggadīgo zālāju uzturēšana</w:t>
            </w:r>
            <w:r w:rsidR="00D35918" w:rsidRPr="00BA7F2C">
              <w:rPr>
                <w:lang w:eastAsia="en-US"/>
              </w:rPr>
              <w:t>s prasības</w:t>
            </w:r>
            <w:r w:rsidR="00CC013C" w:rsidRPr="00BA7F2C">
              <w:rPr>
                <w:lang w:eastAsia="en-US"/>
              </w:rPr>
              <w:t xml:space="preserve">, tostarp, </w:t>
            </w:r>
            <w:r w:rsidR="00CC013C" w:rsidRPr="00BA7F2C">
              <w:t>tiek veikts tehnisks grozījums, aizstājot atsauci uz normatīvajiem aktiem par valsts un Eiropas Savienības atbalsta piešķiršanu, administrēšanu un uzraudzību vides, klimata un lauku ainavas uzlabošanai 2014. – 2020. gada plānošanas periodā ar konkrētu prasību no šiem noteikumiem, kas jāizpilda attiecīgajos zālājos, lai saņemtu atbilstošos lauku attīstības maksājumus un kas tika piemērota jau 2015. gadā</w:t>
            </w:r>
            <w:r w:rsidR="00BA2341" w:rsidRPr="00BA7F2C">
              <w:t xml:space="preserve">. Šāds tehnisks grozījums tiek veikts, ņemot vērā, ka tiešo maksājumu nosacījumiem ir jābūt kā pamatnosacījumiem lauku attīstības pasākumiem, līdz ar to, saskaņā ar Eiropas Komisijas norādēm, tiešo maksājumu nosacījumos nedrīkst ievietot atsauces uz lauku attīstības programmas pasākumiem. Prasība pēc būtības nemainās. Līdz šim prasība aizsargājamos zālājus, kas pieteikti agrovides pasākumu atbalstam, noganīt vai nopļaut un novākt līdz 15. septembrim bija noteikta Ministru kabineta 2015. gada 7. aprīļa noteikumos Nr. 171 "Noteikumi par valsts un Eiropas Savienības atbalsta piešķiršanu, administrēšanu un uzraudzību vides, klimata un lauku ainavas uzlabošanai 2014.-2020. gada plānošanas periodā”, bet tagad bez atsauces uz minētajiem noteikumiem, šī prasība </w:t>
            </w:r>
            <w:r w:rsidR="00AE3639" w:rsidRPr="00BA7F2C">
              <w:t>ir</w:t>
            </w:r>
            <w:r w:rsidR="00BA2341" w:rsidRPr="00BA7F2C">
              <w:t xml:space="preserve"> tieši </w:t>
            </w:r>
            <w:r w:rsidR="00AE3639" w:rsidRPr="00BA7F2C">
              <w:t>jā</w:t>
            </w:r>
            <w:r w:rsidR="00BA2341" w:rsidRPr="00BA7F2C">
              <w:t>no</w:t>
            </w:r>
            <w:r w:rsidR="00AE3639" w:rsidRPr="00BA7F2C">
              <w:t>saka</w:t>
            </w:r>
            <w:r w:rsidR="00BA2341" w:rsidRPr="00BA7F2C">
              <w:t xml:space="preserve"> arī </w:t>
            </w:r>
            <w:r w:rsidR="00BA2341" w:rsidRPr="00BA7F2C">
              <w:rPr>
                <w:lang w:eastAsia="en-US"/>
              </w:rPr>
              <w:t xml:space="preserve">Ministru kabineta </w:t>
            </w:r>
            <w:r w:rsidR="00BA2341" w:rsidRPr="00BA7F2C">
              <w:t>noteikumos Nr. 126</w:t>
            </w:r>
            <w:r w:rsidR="000B76F8" w:rsidRPr="00BA7F2C">
              <w:rPr>
                <w:lang w:eastAsia="en-US"/>
              </w:rPr>
              <w:t>;</w:t>
            </w:r>
          </w:p>
          <w:p w14:paraId="1F5C953F" w14:textId="77777777" w:rsidR="000367D3" w:rsidRPr="00BA7F2C" w:rsidRDefault="00851981" w:rsidP="003E4FF0">
            <w:pPr>
              <w:jc w:val="both"/>
              <w:rPr>
                <w:lang w:eastAsia="en-US"/>
              </w:rPr>
            </w:pPr>
            <w:r w:rsidRPr="00BA7F2C">
              <w:rPr>
                <w:lang w:eastAsia="en-US"/>
              </w:rPr>
              <w:t>9</w:t>
            </w:r>
            <w:r w:rsidR="000B76F8" w:rsidRPr="00BA7F2C">
              <w:rPr>
                <w:lang w:eastAsia="en-US"/>
              </w:rPr>
              <w:t xml:space="preserve">) </w:t>
            </w:r>
            <w:r w:rsidR="000367D3" w:rsidRPr="00BA7F2C">
              <w:rPr>
                <w:lang w:eastAsia="en-US"/>
              </w:rPr>
              <w:t xml:space="preserve">noteikt prasību, ka </w:t>
            </w:r>
            <w:r w:rsidR="000367D3" w:rsidRPr="00BA7F2C">
              <w:t>zālājus, kas tiek izmantoti zālāju sēklaudzēšanai ir jāpiesaka lauku apskatei Valsts augu aizsardzības dienestā, šādi atbrīv</w:t>
            </w:r>
            <w:r w:rsidR="00B16453" w:rsidRPr="00BA7F2C">
              <w:t>o</w:t>
            </w:r>
            <w:r w:rsidR="000367D3" w:rsidRPr="00BA7F2C">
              <w:t>jot lauksaimniekus no prasības nopļaut un novākt zālājus, kas iesēti pirmajā gadā bez virsauga. Sēklaudzēšanas vajadzībām iesēti zālāji pavasarī un bez virsauga neveido zālāju masu, kas būtu izmantojama ražošanā, kā arī neveido vēl sēklas, kas izmantojamas sēklu ieguvei. Līdz ar to pirmajā gadā šādi zālāji nav produktīvi izmantojami un paredzams atbrīvojums no zālāju nopļaušanas un novākšanas prasības. Paredzētais grozījums ir labvēlīgāks atbalsta pretendentiem kā pašreizējā kārtība,</w:t>
            </w:r>
          </w:p>
          <w:p w14:paraId="3DD64BA8" w14:textId="77777777" w:rsidR="000B76F8" w:rsidRPr="00BA7F2C" w:rsidRDefault="000367D3" w:rsidP="003E4FF0">
            <w:pPr>
              <w:jc w:val="both"/>
              <w:rPr>
                <w:lang w:eastAsia="en-US"/>
              </w:rPr>
            </w:pPr>
            <w:r w:rsidRPr="00BA7F2C">
              <w:rPr>
                <w:lang w:eastAsia="en-US"/>
              </w:rPr>
              <w:t xml:space="preserve">10) </w:t>
            </w:r>
            <w:r w:rsidR="000B76F8" w:rsidRPr="00BA7F2C">
              <w:rPr>
                <w:lang w:eastAsia="en-US"/>
              </w:rPr>
              <w:t>p</w:t>
            </w:r>
            <w:r w:rsidR="0023046D" w:rsidRPr="00BA7F2C">
              <w:rPr>
                <w:lang w:eastAsia="en-US"/>
              </w:rPr>
              <w:t>apildinā</w:t>
            </w:r>
            <w:r w:rsidR="000B76F8" w:rsidRPr="00BA7F2C">
              <w:rPr>
                <w:lang w:eastAsia="en-US"/>
              </w:rPr>
              <w:t xml:space="preserve">tu </w:t>
            </w:r>
            <w:r w:rsidR="005A4D2F" w:rsidRPr="00BA7F2C">
              <w:rPr>
                <w:lang w:eastAsia="en-US"/>
              </w:rPr>
              <w:t>lauksaimnieciskās darbības nosacījumus ilggadīgo stādījumu platībās, nosakot, k</w:t>
            </w:r>
            <w:r w:rsidR="00CC13EF" w:rsidRPr="00BA7F2C">
              <w:rPr>
                <w:lang w:eastAsia="en-US"/>
              </w:rPr>
              <w:t xml:space="preserve">a </w:t>
            </w:r>
            <w:r w:rsidR="005A4D2F" w:rsidRPr="00BA7F2C">
              <w:rPr>
                <w:lang w:eastAsia="en-US"/>
              </w:rPr>
              <w:t>ir jā</w:t>
            </w:r>
            <w:r w:rsidR="00CC013C" w:rsidRPr="00BA7F2C">
              <w:rPr>
                <w:lang w:eastAsia="en-US"/>
              </w:rPr>
              <w:t>aiz</w:t>
            </w:r>
            <w:r w:rsidR="005A4D2F" w:rsidRPr="00BA7F2C">
              <w:rPr>
                <w:lang w:eastAsia="en-US"/>
              </w:rPr>
              <w:t>vāc arī nokaltušie ilggadīgo stādījum</w:t>
            </w:r>
            <w:r w:rsidR="00CC13EF" w:rsidRPr="00BA7F2C">
              <w:rPr>
                <w:lang w:eastAsia="en-US"/>
              </w:rPr>
              <w:t>u koki</w:t>
            </w:r>
            <w:r w:rsidR="00CC013C" w:rsidRPr="00BA7F2C">
              <w:rPr>
                <w:lang w:eastAsia="en-US"/>
              </w:rPr>
              <w:t xml:space="preserve"> un krūmi</w:t>
            </w:r>
            <w:r w:rsidR="0079065A" w:rsidRPr="00BA7F2C">
              <w:rPr>
                <w:lang w:eastAsia="en-US"/>
              </w:rPr>
              <w:t>.</w:t>
            </w:r>
            <w:r w:rsidR="0023046D" w:rsidRPr="00BA7F2C">
              <w:rPr>
                <w:lang w:eastAsia="en-US"/>
              </w:rPr>
              <w:t xml:space="preserve"> </w:t>
            </w:r>
            <w:r w:rsidR="0079065A" w:rsidRPr="00BA7F2C">
              <w:t xml:space="preserve">Prasība ir jānosaka, ņemot vērā Eiropas Komisijas sniegto atzinumu par Latvijas noteiktiem lauksaimnieciskās darbības kritērijiem attiecībā uz ilggadīgo stādījumu uzturēšanu kultūraugu audzēšanai piemērotā stāvoklī. Sākotnēji Latvijā bija paredzēta tikai viena prasība attiecībā uz ilggadīgo stādījumu uzturēšanu un tā attiecās uz stādījumu rindstarpu kopšanu. Eiropas Komisija norādīja, ka nosakām prasība, kas attiektos uz pašiem ilggadīgo stādījumu kokiem, krūmiem vai augiem. </w:t>
            </w:r>
            <w:r w:rsidR="0079065A" w:rsidRPr="00BA7F2C">
              <w:lastRenderedPageBreak/>
              <w:t>Šī prasība atbilst tradicionālai lauksaimniecības praksei un lauksaimnieku organizācijas ir saskaņojušas šādu prasību</w:t>
            </w:r>
            <w:r w:rsidR="00CC13EF" w:rsidRPr="00BA7F2C">
              <w:rPr>
                <w:lang w:eastAsia="en-US"/>
              </w:rPr>
              <w:t>;</w:t>
            </w:r>
          </w:p>
          <w:p w14:paraId="61214798" w14:textId="77777777" w:rsidR="00D328F5" w:rsidRPr="00BA7F2C" w:rsidRDefault="00851981" w:rsidP="00495E0F">
            <w:pPr>
              <w:jc w:val="both"/>
              <w:rPr>
                <w:lang w:eastAsia="en-US"/>
              </w:rPr>
            </w:pPr>
            <w:r w:rsidRPr="00BA7F2C">
              <w:rPr>
                <w:lang w:eastAsia="en-US"/>
              </w:rPr>
              <w:t>1</w:t>
            </w:r>
            <w:r w:rsidR="00FF181E" w:rsidRPr="00BA7F2C">
              <w:rPr>
                <w:lang w:eastAsia="en-US"/>
              </w:rPr>
              <w:t>1</w:t>
            </w:r>
            <w:r w:rsidR="00495E0F" w:rsidRPr="00BA7F2C">
              <w:rPr>
                <w:lang w:eastAsia="en-US"/>
              </w:rPr>
              <w:t>) precizēt</w:t>
            </w:r>
            <w:r w:rsidR="003333F8" w:rsidRPr="00BA7F2C">
              <w:rPr>
                <w:lang w:eastAsia="en-US"/>
              </w:rPr>
              <w:t>u</w:t>
            </w:r>
            <w:r w:rsidR="00495E0F" w:rsidRPr="00BA7F2C">
              <w:rPr>
                <w:lang w:eastAsia="en-US"/>
              </w:rPr>
              <w:t xml:space="preserve"> nosacījums, ka atkarībā no atbalsta shēmas prasībām tīrsējā vai savstarpējos maisījumos sētus tauriņziežus var uzskatīt par atsevišķu kultūraugu vai par zālāju</w:t>
            </w:r>
            <w:r w:rsidR="00FF181E" w:rsidRPr="00BA7F2C">
              <w:rPr>
                <w:lang w:eastAsia="en-US"/>
              </w:rPr>
              <w:t xml:space="preserve">. </w:t>
            </w:r>
            <w:r w:rsidR="00FF181E" w:rsidRPr="00BA7F2C">
              <w:t>Maksājuma par klimatam un videi labvēlīgu lauksaimniecības praksi prasības nosaka, ka lauksaimniekam, kura aramzemes platība ir 10 vai vairāk ha, ir jānodrošina vismaz 2 kultūraugu audzēšana aramzemes platībā, savukārt lauksaimniekiem, kuru aramzemes platība ir 30 vai vairāk ha, ir jānodrošina vismaz 3 atsevišķu kultūraugu audzēšana aramzemes platībās. Līdz šim aramzemē sēti zālāji, lopbarības zālaugi un tauriņzieži tika uzskatīti par vienu kultūraugu, kas radīja nepamatotas grūtības lopkopības saimniecībām, kuras pamatā aramzemē audzē aramzemē sētos zālāju un tauriņziežus, un vienu no laukaugu kultūraugiem lopbarības ieguvei. Grozījums būs labvēlīgs saimniecībām, jo sniegs iespēju tauriņziežu kultūraugus uzskatīt par atsevišķu kultūraugu zaļināšanas maksājuma kultūraugu dažādošanas prasības izpildei</w:t>
            </w:r>
            <w:r w:rsidR="00495E0F" w:rsidRPr="00BA7F2C">
              <w:rPr>
                <w:lang w:eastAsia="en-US"/>
              </w:rPr>
              <w:t>;</w:t>
            </w:r>
          </w:p>
          <w:p w14:paraId="54C46AB5" w14:textId="77777777" w:rsidR="00495E0F" w:rsidRPr="00BA7F2C" w:rsidRDefault="00851981" w:rsidP="00495E0F">
            <w:pPr>
              <w:jc w:val="both"/>
              <w:rPr>
                <w:lang w:eastAsia="en-US"/>
              </w:rPr>
            </w:pPr>
            <w:r w:rsidRPr="00BA7F2C">
              <w:rPr>
                <w:lang w:eastAsia="en-US"/>
              </w:rPr>
              <w:t>1</w:t>
            </w:r>
            <w:r w:rsidR="00FF181E" w:rsidRPr="00BA7F2C">
              <w:rPr>
                <w:lang w:eastAsia="en-US"/>
              </w:rPr>
              <w:t>2</w:t>
            </w:r>
            <w:r w:rsidR="00495E0F" w:rsidRPr="00BA7F2C">
              <w:rPr>
                <w:lang w:eastAsia="en-US"/>
              </w:rPr>
              <w:t>)</w:t>
            </w:r>
            <w:r w:rsidR="003333F8" w:rsidRPr="00BA7F2C">
              <w:rPr>
                <w:lang w:eastAsia="en-US"/>
              </w:rPr>
              <w:t xml:space="preserve"> precizētu nosacījumu </w:t>
            </w:r>
            <w:r w:rsidR="00D35918" w:rsidRPr="00BA7F2C">
              <w:rPr>
                <w:lang w:eastAsia="en-US"/>
              </w:rPr>
              <w:t xml:space="preserve">par to, </w:t>
            </w:r>
            <w:r w:rsidR="003333F8" w:rsidRPr="00BA7F2C">
              <w:rPr>
                <w:lang w:eastAsia="en-US"/>
              </w:rPr>
              <w:t>ka laukmal</w:t>
            </w:r>
            <w:r w:rsidR="00D35918" w:rsidRPr="00BA7F2C">
              <w:rPr>
                <w:lang w:eastAsia="en-US"/>
              </w:rPr>
              <w:t>ēm</w:t>
            </w:r>
            <w:r w:rsidR="003333F8" w:rsidRPr="00BA7F2C">
              <w:rPr>
                <w:lang w:eastAsia="en-US"/>
              </w:rPr>
              <w:t xml:space="preserve">, kuras aizņem zālaugi un </w:t>
            </w:r>
            <w:r w:rsidR="00D35918" w:rsidRPr="00BA7F2C">
              <w:rPr>
                <w:lang w:eastAsia="en-US"/>
              </w:rPr>
              <w:t>kuras</w:t>
            </w:r>
            <w:r w:rsidR="003333F8" w:rsidRPr="00BA7F2C">
              <w:rPr>
                <w:lang w:eastAsia="en-US"/>
              </w:rPr>
              <w:t xml:space="preserve"> izveidotas gar aramzemē sētiem zālājiem vai papuvēm lauku, ir jābūt ar atšķirīgu zālaugu botānisko sastāvu, lai novērstu situācijas, kad kā laukmale tiek pieteikti jau esošas ilggadīgo zālāju platības</w:t>
            </w:r>
            <w:r w:rsidR="00814C38" w:rsidRPr="00BA7F2C">
              <w:rPr>
                <w:lang w:eastAsia="en-US"/>
              </w:rPr>
              <w:t xml:space="preserve">. Paredzētie grozījumi </w:t>
            </w:r>
            <w:r w:rsidR="00814C38" w:rsidRPr="00BA7F2C">
              <w:t>nemaina ekoloģiski nozīmīgas platības veidu, bet precizē situāciju attiecīgās ekoloģiski nozīmīgās platības piemērošanā, gadījumā, ja laukmale izveidota ap tādu aramzemes lauku, kurā sēts zālājs.</w:t>
            </w:r>
            <w:r w:rsidR="003333F8" w:rsidRPr="00BA7F2C">
              <w:rPr>
                <w:lang w:eastAsia="en-US"/>
              </w:rPr>
              <w:t>;</w:t>
            </w:r>
          </w:p>
          <w:p w14:paraId="0E3E8F74" w14:textId="77777777" w:rsidR="0022707C" w:rsidRPr="00BA7F2C" w:rsidRDefault="0022707C" w:rsidP="00495E0F">
            <w:pPr>
              <w:jc w:val="both"/>
              <w:rPr>
                <w:lang w:eastAsia="en-US"/>
              </w:rPr>
            </w:pPr>
            <w:r w:rsidRPr="00BA7F2C">
              <w:rPr>
                <w:lang w:eastAsia="en-US"/>
              </w:rPr>
              <w:t>1</w:t>
            </w:r>
            <w:r w:rsidR="00FF181E" w:rsidRPr="00BA7F2C">
              <w:rPr>
                <w:lang w:eastAsia="en-US"/>
              </w:rPr>
              <w:t>3</w:t>
            </w:r>
            <w:r w:rsidRPr="00BA7F2C">
              <w:rPr>
                <w:lang w:eastAsia="en-US"/>
              </w:rPr>
              <w:t xml:space="preserve">) </w:t>
            </w:r>
            <w:r w:rsidRPr="00BA7F2C">
              <w:t xml:space="preserve">precizētu papuvju apsaimniekošanas prasības gadījumos, kad iepriekšējā gadā attiecīgā platība ir deklarēta kā zālājs, </w:t>
            </w:r>
            <w:r w:rsidR="00D35918" w:rsidRPr="00BA7F2C">
              <w:t xml:space="preserve">tas ir, </w:t>
            </w:r>
            <w:r w:rsidRPr="00BA7F2C">
              <w:t xml:space="preserve">tā ir </w:t>
            </w:r>
            <w:r w:rsidR="00664F39" w:rsidRPr="00BA7F2C">
              <w:t>mehāniski jāapstrādā</w:t>
            </w:r>
            <w:r w:rsidRPr="00BA7F2C">
              <w:t xml:space="preserve"> līdz 30.</w:t>
            </w:r>
            <w:r w:rsidR="004B4165" w:rsidRPr="00BA7F2C">
              <w:t xml:space="preserve"> </w:t>
            </w:r>
            <w:r w:rsidRPr="00BA7F2C">
              <w:t>maijam</w:t>
            </w:r>
            <w:r w:rsidR="004167B3" w:rsidRPr="00BA7F2C">
              <w:t>. Regulas 1307/2013 4. pants nosaka, ka papuve var būt tikai aramzemes platībās, savukārt ilggadīgais zālājs nav aramzeme. Lai izveidotu papuvi platībās, kuru iepriekšējā gadā ir aizņēmuši ilggadīgie zālāji, tad vispirms ilggadīgo zālāju platība jāpārveido par aramzemi un to var izdarīt, tikai uzsākot augsnes mehānisku apstrādi. Līdz ar to, lai nodrošinātu atbalsta piešķiršanu un zaļināšanas prasību izpildi atbilstoši regulas nosacījumiem, ir jānosaka kārtība papuves izveidošanai platībās, kuras iepriekšējā gadā aizņēma ilggadīgie zālāji. Regulas normas jau šobrīd netieši pasaka, ka ilggadīgo zālāju platības nevar uzskatīt par papuvi, jo papuve var būt tikai aramzemes platībās, taču, lai novērstu pārpratumus, kas novēroti līdzšinējā pieredzē dēļ skaidru normu trūkuma, kā arī samazinātu lauksaimniekiem piemērojamo sankciju apmēru, ir paredzēti noteiktie precizējošie grozījumi</w:t>
            </w:r>
            <w:r w:rsidR="00D35918" w:rsidRPr="00BA7F2C">
              <w:t>;</w:t>
            </w:r>
          </w:p>
          <w:p w14:paraId="1112059F" w14:textId="77777777" w:rsidR="00950C32" w:rsidRPr="00BA7F2C" w:rsidRDefault="00851981" w:rsidP="00495E0F">
            <w:pPr>
              <w:jc w:val="both"/>
            </w:pPr>
            <w:r w:rsidRPr="00BA7F2C">
              <w:rPr>
                <w:lang w:eastAsia="en-US"/>
              </w:rPr>
              <w:t>1</w:t>
            </w:r>
            <w:r w:rsidR="00FF181E" w:rsidRPr="00BA7F2C">
              <w:rPr>
                <w:lang w:eastAsia="en-US"/>
              </w:rPr>
              <w:t>4</w:t>
            </w:r>
            <w:r w:rsidR="001B0EE3" w:rsidRPr="00BA7F2C">
              <w:rPr>
                <w:lang w:eastAsia="en-US"/>
              </w:rPr>
              <w:t xml:space="preserve">) </w:t>
            </w:r>
            <w:r w:rsidR="00D35918" w:rsidRPr="00BA7F2C">
              <w:rPr>
                <w:lang w:eastAsia="en-US"/>
              </w:rPr>
              <w:t>ievērojot</w:t>
            </w:r>
            <w:r w:rsidR="00F065F4" w:rsidRPr="00BA7F2C">
              <w:rPr>
                <w:lang w:eastAsia="en-US"/>
              </w:rPr>
              <w:t xml:space="preserve"> Eiropas Komisijas norād</w:t>
            </w:r>
            <w:r w:rsidR="00D35918" w:rsidRPr="00BA7F2C">
              <w:rPr>
                <w:lang w:eastAsia="en-US"/>
              </w:rPr>
              <w:t>es</w:t>
            </w:r>
            <w:r w:rsidR="00F065F4" w:rsidRPr="00BA7F2C">
              <w:rPr>
                <w:lang w:eastAsia="en-US"/>
              </w:rPr>
              <w:t xml:space="preserve">, </w:t>
            </w:r>
            <w:r w:rsidR="00495E0F" w:rsidRPr="00BA7F2C">
              <w:rPr>
                <w:lang w:eastAsia="en-US"/>
              </w:rPr>
              <w:t xml:space="preserve">papildinātu ekoloģiskās nozīmes platību sarakstu </w:t>
            </w:r>
            <w:r w:rsidR="003333F8" w:rsidRPr="00BA7F2C">
              <w:t>ar platībām, kurās tiek sētas starpkultūras</w:t>
            </w:r>
            <w:r w:rsidR="009052D7" w:rsidRPr="00BA7F2C">
              <w:rPr>
                <w:lang w:eastAsia="en-US"/>
              </w:rPr>
              <w:t>,</w:t>
            </w:r>
            <w:r w:rsidR="009052D7" w:rsidRPr="00BA7F2C">
              <w:t xml:space="preserve"> tādējādi sniedzot lauksaimniekiem </w:t>
            </w:r>
            <w:r w:rsidR="009052D7" w:rsidRPr="00BA7F2C">
              <w:lastRenderedPageBreak/>
              <w:t>plašākas iespējas nodrošināt prasības, lai saņemtu maksājumu par klimatam un videi labvēlīgu lauksaimniecības praksi</w:t>
            </w:r>
            <w:r w:rsidR="00950C32" w:rsidRPr="00BA7F2C">
              <w:t>.</w:t>
            </w:r>
          </w:p>
          <w:p w14:paraId="7B6E6C3D" w14:textId="77777777" w:rsidR="00495E0F" w:rsidRPr="00BA7F2C" w:rsidRDefault="00814C38" w:rsidP="00814C38">
            <w:pPr>
              <w:pStyle w:val="Pamattekstsaratkpi"/>
              <w:widowControl w:val="0"/>
              <w:spacing w:after="0"/>
              <w:ind w:left="0"/>
              <w:jc w:val="both"/>
              <w:rPr>
                <w:lang w:val="lv-LV"/>
              </w:rPr>
            </w:pPr>
            <w:r w:rsidRPr="00BA7F2C">
              <w:rPr>
                <w:lang w:val="lv-LV"/>
              </w:rPr>
              <w:t>Noteikumu projekt</w:t>
            </w:r>
            <w:r w:rsidR="00950C32" w:rsidRPr="00BA7F2C">
              <w:rPr>
                <w:lang w:val="lv-LV"/>
              </w:rPr>
              <w:t xml:space="preserve">ā </w:t>
            </w:r>
            <w:r w:rsidRPr="00BA7F2C">
              <w:rPr>
                <w:lang w:val="lv-LV"/>
              </w:rPr>
              <w:t>paredzē</w:t>
            </w:r>
            <w:r w:rsidR="00950C32" w:rsidRPr="00BA7F2C">
              <w:rPr>
                <w:lang w:val="lv-LV"/>
              </w:rPr>
              <w:t xml:space="preserve">tie grozījumi papildina Latvijas izdarīto izvēli saskaņā ar </w:t>
            </w:r>
            <w:r w:rsidR="00950C32" w:rsidRPr="00BA7F2C">
              <w:rPr>
                <w:lang w:val="lv-LV" w:eastAsia="lv-LV"/>
              </w:rPr>
              <w:t xml:space="preserve">regulas Nr.1307/2013 46.panta 2.punkta “i” apakšpunktā noteikto iespēju kā </w:t>
            </w:r>
            <w:r w:rsidR="00950C32" w:rsidRPr="00BA7F2C">
              <w:rPr>
                <w:lang w:val="lv-LV"/>
              </w:rPr>
              <w:t xml:space="preserve">ekoloģiski nozīmīgu platību izvēlēties </w:t>
            </w:r>
            <w:r w:rsidR="00950C32" w:rsidRPr="00BA7F2C">
              <w:rPr>
                <w:lang w:val="lv-LV" w:eastAsia="lv-LV"/>
              </w:rPr>
              <w:t>platības, ko aizņem starpkultūras vai augsnes zaļais segums. Uz nepieciešamību veikt šādu papildinājumu Latvijai norādīja</w:t>
            </w:r>
            <w:r w:rsidR="00950C32" w:rsidRPr="00BA7F2C">
              <w:rPr>
                <w:lang w:val="lv-LV"/>
              </w:rPr>
              <w:t xml:space="preserve"> Eiropas Komisija (vēstulē nr. agri.ddg2.d.2/DL/mb/(2015)4110335 Latvijai 2015.g. 28.septembrī), norādot, ka Komisijas deleģētās regulas (ES) Nr. 639/2014 45.panta 9.punkts paredz izvēles iespējas lauksaimniekam nevis dalībvalstij, un ja dalībvalsts izvēlas attiecīgo pantu piemērot, tad jānodrošina lauksaimniekam iespējas izvēlēties abus pantā minētos ekoloģiski nozīmīgu platību veidus, gan starpkultūras, gan  zālāja pasēju. Līdz ar to tiek veikti grozījumi, lai arī starpkultūras noteiktu par ekoloģiski nozīmīgu platību veidu Turklāt š</w:t>
            </w:r>
            <w:r w:rsidRPr="00BA7F2C">
              <w:rPr>
                <w:lang w:val="lv-LV"/>
              </w:rPr>
              <w:t>āds</w:t>
            </w:r>
            <w:r w:rsidR="00950C32" w:rsidRPr="00BA7F2C">
              <w:rPr>
                <w:lang w:val="lv-LV"/>
              </w:rPr>
              <w:t xml:space="preserve"> papildinājums ir labvēlīgs arī lauksaimniekiem, jo tiek paredzēta papildus iespēja izvēlēties kā ekoloģiski nozīmīgu platīb</w:t>
            </w:r>
            <w:r w:rsidRPr="00BA7F2C">
              <w:rPr>
                <w:lang w:val="lv-LV"/>
              </w:rPr>
              <w:t>u arī platības ar starpkultūrām</w:t>
            </w:r>
            <w:r w:rsidR="003333F8" w:rsidRPr="00BA7F2C">
              <w:rPr>
                <w:lang w:val="lv-LV"/>
              </w:rPr>
              <w:t>;</w:t>
            </w:r>
          </w:p>
          <w:p w14:paraId="563B6B4D" w14:textId="77777777" w:rsidR="00FF181E" w:rsidRPr="00BA7F2C" w:rsidRDefault="00F065F4" w:rsidP="00FF181E">
            <w:pPr>
              <w:pStyle w:val="Pamattekstsaratkpi"/>
              <w:widowControl w:val="0"/>
              <w:spacing w:after="0"/>
              <w:ind w:left="0"/>
              <w:jc w:val="both"/>
              <w:rPr>
                <w:lang w:val="lv-LV"/>
              </w:rPr>
            </w:pPr>
            <w:r w:rsidRPr="00BA7F2C">
              <w:rPr>
                <w:lang w:val="lv-LV"/>
              </w:rPr>
              <w:t>1</w:t>
            </w:r>
            <w:r w:rsidR="00FF181E" w:rsidRPr="00BA7F2C">
              <w:rPr>
                <w:lang w:val="lv-LV"/>
              </w:rPr>
              <w:t>5</w:t>
            </w:r>
            <w:r w:rsidRPr="00BA7F2C">
              <w:rPr>
                <w:lang w:val="lv-LV"/>
              </w:rPr>
              <w:t xml:space="preserve">) </w:t>
            </w:r>
            <w:r w:rsidR="00FF181E" w:rsidRPr="00BA7F2C">
              <w:rPr>
                <w:lang w:val="lv-LV"/>
              </w:rPr>
              <w:t>lai precizētu prasības maksājumam gados jauniem lauksaimniekiem, nodrošinot atbalsta izmaksāšanu saskaņā ar regulas 1307/2013 50.pantu. Eiropas Komisija ir norādījusi, ka gados jaunu lauksaimnieku atbalstu saskaņā ar regulas 1307/2013 50.pantu var piešķirt tikai par gados jaunā lauksaimnieka pirmo dibināto saimniecību. Lai novērstu pārpratumus un būtu skaidri atbalsta piemērošanas nosacījumi, tiek veikti precizējoši papildinājumi.</w:t>
            </w:r>
          </w:p>
          <w:p w14:paraId="40904EA7" w14:textId="77777777" w:rsidR="00FF181E" w:rsidRPr="00BA7F2C" w:rsidRDefault="00FF181E" w:rsidP="00FF181E">
            <w:pPr>
              <w:pStyle w:val="Pamattekstsaratkpi"/>
              <w:widowControl w:val="0"/>
              <w:spacing w:after="0"/>
              <w:ind w:left="0"/>
              <w:jc w:val="both"/>
              <w:rPr>
                <w:lang w:val="lv-LV"/>
              </w:rPr>
            </w:pPr>
            <w:r w:rsidRPr="00BA7F2C">
              <w:rPr>
                <w:lang w:val="lv-LV"/>
              </w:rPr>
              <w:t xml:space="preserve">16) </w:t>
            </w:r>
            <w:r w:rsidR="00F065F4" w:rsidRPr="00BA7F2C">
              <w:rPr>
                <w:lang w:val="lv-LV"/>
              </w:rPr>
              <w:t>precizētu nosacījumus</w:t>
            </w:r>
            <w:r w:rsidR="0005387C" w:rsidRPr="00BA7F2C">
              <w:rPr>
                <w:lang w:val="lv-LV"/>
              </w:rPr>
              <w:t xml:space="preserve"> </w:t>
            </w:r>
            <w:r w:rsidRPr="00BA7F2C">
              <w:rPr>
                <w:lang w:val="lv-LV"/>
              </w:rPr>
              <w:t>maksājumam gados jauniem lauksaimniekiem, lai noteiktu jaunā lauksaimnieka</w:t>
            </w:r>
            <w:r w:rsidR="00F065F4" w:rsidRPr="00BA7F2C">
              <w:rPr>
                <w:lang w:val="lv-LV"/>
              </w:rPr>
              <w:t xml:space="preserve"> kontrol</w:t>
            </w:r>
            <w:r w:rsidR="001B0EE3" w:rsidRPr="00BA7F2C">
              <w:rPr>
                <w:lang w:val="lv-LV"/>
              </w:rPr>
              <w:t>es nozīmīgum</w:t>
            </w:r>
            <w:r w:rsidRPr="00BA7F2C">
              <w:rPr>
                <w:lang w:val="lv-LV"/>
              </w:rPr>
              <w:t xml:space="preserve">u </w:t>
            </w:r>
            <w:r w:rsidR="001B0EE3" w:rsidRPr="00BA7F2C">
              <w:rPr>
                <w:lang w:val="lv-LV"/>
              </w:rPr>
              <w:t xml:space="preserve">attiecīgajā </w:t>
            </w:r>
            <w:r w:rsidR="00F065F4" w:rsidRPr="00BA7F2C">
              <w:rPr>
                <w:lang w:val="lv-LV"/>
              </w:rPr>
              <w:t>uzņēmumā</w:t>
            </w:r>
            <w:r w:rsidRPr="00BA7F2C">
              <w:rPr>
                <w:lang w:val="lv-LV"/>
              </w:rPr>
              <w:t>, paredzēto grozījumu mērķis ir novērst mākslīgu apstākļu radīšanu nepamatota atbalsta saņemšanas nolūkā un noteikt kārtību kā rīkoties gadījumos, kad vienā dienā ir dibinātas vairākas saimniecības. Šāda prakse nav ierasta, taču šādas situācijas var veidoties nākotnē ar mērķi radīt mākslīgus apstākļus lielāka atbalsta apjoma saņemšanai. Dalībvalsts pienākums ir novērst mākslīgu apstākļu radīšanas iespējas lielāka un nepamatota labuma gūšanas nolūkā.</w:t>
            </w:r>
          </w:p>
          <w:p w14:paraId="7B2622CC" w14:textId="77777777" w:rsidR="008D7174" w:rsidRPr="00BA7F2C" w:rsidRDefault="008D7174" w:rsidP="008D7174">
            <w:pPr>
              <w:pStyle w:val="Pamattekstsaratkpi"/>
              <w:tabs>
                <w:tab w:val="left" w:pos="993"/>
              </w:tabs>
              <w:spacing w:after="0"/>
              <w:ind w:left="0"/>
              <w:jc w:val="both"/>
              <w:rPr>
                <w:lang w:val="lv-LV"/>
              </w:rPr>
            </w:pPr>
            <w:r w:rsidRPr="00BA7F2C">
              <w:rPr>
                <w:lang w:val="lv-LV"/>
              </w:rPr>
              <w:t xml:space="preserve">Regulas Nr.1307/2013 50.panta 2.punkta „a” apakšpunkts paredz, ka maksājumu var saņemt tādas fiziskas personas, kas pirmo reizi dibina lauku saimniecību. Eiropas Komisijas skaidrojumos vēstulēs dalībvalstīm tiek papildus skaidrots, ka maksājumu var piešķirt tikai par pirmās izveidotās saimniecības atbalsta tiesīgajiem ha. Minētā regula nosaka arī, ka viens gados jauns lauksaimnieks var saņemt gados jaunu lauksaimnieku atbalstu tikai par pirmajiem 90 hektāriem. Ja lauksaimnieks vienā dienā ir izveidojis vairākas lauku saimniecības, pastāv risks, ka tiek radīti mākslīgi apstākļi, lai saņemtu atbalstu par vairākām saimniecībām un par kopējo platību, kas var pārsniegt 90 hektārus. Dalībvalstīm ir </w:t>
            </w:r>
            <w:r w:rsidRPr="00BA7F2C">
              <w:rPr>
                <w:lang w:val="lv-LV"/>
              </w:rPr>
              <w:lastRenderedPageBreak/>
              <w:t xml:space="preserve">pienākums novērst situācijas, kad var tikt radīti mākslīgi apstākļi un jānodrošina, ka atbalsts tiek, piešķirts tikai par vienu, gados jauna lauksaimnieka pirmo dibināto saimniecību. Ja vienā dienā dibina vairākas saimniecības, tad nav iespējams noteikt, kura saimniecība ir dibināta pirmā. Tieši tādēļ bija nepieciešams veikt grozījumus MK noteikumu Nr. 126 128. punktā.  </w:t>
            </w:r>
          </w:p>
          <w:p w14:paraId="0111ECEA" w14:textId="77777777" w:rsidR="00F065F4" w:rsidRPr="00BA7F2C" w:rsidRDefault="00814C38" w:rsidP="008D7174">
            <w:pPr>
              <w:pStyle w:val="Pamattekstsaratkpi"/>
              <w:tabs>
                <w:tab w:val="left" w:pos="993"/>
              </w:tabs>
              <w:spacing w:after="0"/>
              <w:ind w:left="0"/>
              <w:jc w:val="both"/>
              <w:rPr>
                <w:lang w:val="lv-LV"/>
              </w:rPr>
            </w:pPr>
            <w:r w:rsidRPr="00BA7F2C">
              <w:rPr>
                <w:lang w:val="lv-LV"/>
              </w:rPr>
              <w:t xml:space="preserve">Lai nodrošinātu </w:t>
            </w:r>
            <w:r w:rsidR="008D7174" w:rsidRPr="00BA7F2C">
              <w:rPr>
                <w:lang w:val="lv-LV"/>
              </w:rPr>
              <w:t xml:space="preserve">shēmas nosacījumiem </w:t>
            </w:r>
            <w:r w:rsidRPr="00BA7F2C">
              <w:rPr>
                <w:lang w:val="lv-LV"/>
              </w:rPr>
              <w:t>atbilstošu maksājuma administrēšanu, novēršot krāpšanās iespējas, un identificētu personu, kuras atbilstība gados jauna lauksaimnieka prasībām Lauku atbalsta dienestam jāvērtē, ja uz atbalstu piesakās juridiska persona, kuras īpašnieki ir fiziskas personas, atbalsta pretendentam tiek prasīts personas vārds, uzvārds un personas kods. Atbilstības nosacījumi ietver prasību par personas vecumu. Lai pārliecinātos par personas atbilstību minētajai prasībai, ir nepieciešams pārbaudīt datus iedzīvotāju reģistrā</w:t>
            </w:r>
            <w:r w:rsidR="0005387C" w:rsidRPr="00BA7F2C">
              <w:rPr>
                <w:lang w:val="lv-LV"/>
              </w:rPr>
              <w:t>;</w:t>
            </w:r>
          </w:p>
          <w:p w14:paraId="27BA89C7" w14:textId="77777777" w:rsidR="00BC4ED4" w:rsidRPr="00BA7F2C" w:rsidRDefault="0005387C" w:rsidP="0005387C">
            <w:pPr>
              <w:jc w:val="both"/>
            </w:pPr>
            <w:r w:rsidRPr="00BA7F2C">
              <w:t>1</w:t>
            </w:r>
            <w:r w:rsidR="000236C9" w:rsidRPr="00BA7F2C">
              <w:t>7</w:t>
            </w:r>
            <w:r w:rsidRPr="00BA7F2C">
              <w:t xml:space="preserve">) </w:t>
            </w:r>
            <w:r w:rsidR="00BC4ED4" w:rsidRPr="00BA7F2C">
              <w:t>precizētu periodu, līdz kuram tiek veikta dzīvnieku pāarraudzība, lai varētu saņemt brīvprātīgu saistīto atbalstu (turpmāk – BSA) par slaucamām govīm</w:t>
            </w:r>
            <w:r w:rsidR="00D35918" w:rsidRPr="00BA7F2C">
              <w:t>;</w:t>
            </w:r>
          </w:p>
          <w:p w14:paraId="3A4456AF" w14:textId="77777777" w:rsidR="0005387C" w:rsidRPr="00BA7F2C" w:rsidRDefault="00851981" w:rsidP="0005387C">
            <w:pPr>
              <w:jc w:val="both"/>
            </w:pPr>
            <w:r w:rsidRPr="00BA7F2C">
              <w:t>1</w:t>
            </w:r>
            <w:r w:rsidR="000236C9" w:rsidRPr="00BA7F2C">
              <w:t>8</w:t>
            </w:r>
            <w:r w:rsidR="00BC4ED4" w:rsidRPr="00BA7F2C">
              <w:t xml:space="preserve">) </w:t>
            </w:r>
            <w:r w:rsidR="0005387C" w:rsidRPr="00BA7F2C">
              <w:t xml:space="preserve">papildinātu </w:t>
            </w:r>
            <w:r w:rsidR="00D35918" w:rsidRPr="00BA7F2C">
              <w:t xml:space="preserve">to </w:t>
            </w:r>
            <w:r w:rsidR="0005387C" w:rsidRPr="00BA7F2C">
              <w:t>platīb</w:t>
            </w:r>
            <w:r w:rsidR="00D35918" w:rsidRPr="00BA7F2C">
              <w:t>u sarakstu</w:t>
            </w:r>
            <w:r w:rsidR="0005387C" w:rsidRPr="00BA7F2C">
              <w:t xml:space="preserve">, par kurām var saņemt </w:t>
            </w:r>
            <w:r w:rsidR="00BC4ED4" w:rsidRPr="00BA7F2C">
              <w:t>BSA</w:t>
            </w:r>
            <w:r w:rsidR="0005387C" w:rsidRPr="00BA7F2C">
              <w:t xml:space="preserve"> par proteīnaugiem</w:t>
            </w:r>
            <w:r w:rsidR="00D35918" w:rsidRPr="00BA7F2C">
              <w:t>,</w:t>
            </w:r>
            <w:r w:rsidR="0005387C" w:rsidRPr="00BA7F2C">
              <w:t xml:space="preserve"> ar </w:t>
            </w:r>
            <w:r w:rsidR="00897A11" w:rsidRPr="00BA7F2C">
              <w:t xml:space="preserve">platībām, kurās proteīnaugi </w:t>
            </w:r>
            <w:r w:rsidR="00D35918" w:rsidRPr="00BA7F2C">
              <w:t xml:space="preserve">sēti </w:t>
            </w:r>
            <w:r w:rsidR="0005387C" w:rsidRPr="00BA7F2C">
              <w:t>savstarpējā maisījumā</w:t>
            </w:r>
            <w:r w:rsidR="00897A11" w:rsidRPr="00BA7F2C">
              <w:t>;</w:t>
            </w:r>
          </w:p>
          <w:p w14:paraId="6ABE502D" w14:textId="77777777" w:rsidR="00897A11" w:rsidRPr="00BA7F2C" w:rsidRDefault="00851981" w:rsidP="00664F39">
            <w:pPr>
              <w:pStyle w:val="Pamattekstsaratkpi"/>
              <w:widowControl w:val="0"/>
              <w:spacing w:after="0"/>
              <w:ind w:left="0"/>
              <w:jc w:val="both"/>
              <w:rPr>
                <w:lang w:val="lv-LV"/>
              </w:rPr>
            </w:pPr>
            <w:r w:rsidRPr="00BA7F2C">
              <w:rPr>
                <w:lang w:val="lv-LV"/>
              </w:rPr>
              <w:t>1</w:t>
            </w:r>
            <w:r w:rsidR="000236C9" w:rsidRPr="00BA7F2C">
              <w:rPr>
                <w:lang w:val="lv-LV"/>
              </w:rPr>
              <w:t>9</w:t>
            </w:r>
            <w:r w:rsidR="00BC4ED4" w:rsidRPr="00BA7F2C">
              <w:rPr>
                <w:lang w:val="lv-LV"/>
              </w:rPr>
              <w:t xml:space="preserve">) </w:t>
            </w:r>
            <w:r w:rsidR="00E1611E" w:rsidRPr="00BA7F2C">
              <w:rPr>
                <w:lang w:val="lv-LV"/>
              </w:rPr>
              <w:t xml:space="preserve">precizētu </w:t>
            </w:r>
            <w:r w:rsidR="00BC4ED4" w:rsidRPr="00BA7F2C">
              <w:rPr>
                <w:lang w:val="lv-LV"/>
              </w:rPr>
              <w:t>BSA</w:t>
            </w:r>
            <w:r w:rsidR="00E1611E" w:rsidRPr="00BA7F2C">
              <w:rPr>
                <w:lang w:val="lv-LV"/>
              </w:rPr>
              <w:t xml:space="preserve"> par cietes kartupeļiem saņemšanas nosacījumus</w:t>
            </w:r>
            <w:r w:rsidR="00FF181E" w:rsidRPr="00BA7F2C">
              <w:rPr>
                <w:lang w:val="lv-LV"/>
              </w:rPr>
              <w:t xml:space="preserve"> par maksimālo hektāru skaitu, par kuriem var saņemt atbalstu. Noteikts, ka maksimālais hektāru skaits</w:t>
            </w:r>
            <w:r w:rsidR="00D258BF" w:rsidRPr="00BA7F2C">
              <w:rPr>
                <w:lang w:val="lv-LV"/>
              </w:rPr>
              <w:t>,</w:t>
            </w:r>
            <w:r w:rsidR="00FF181E" w:rsidRPr="00BA7F2C">
              <w:rPr>
                <w:lang w:val="lv-LV"/>
              </w:rPr>
              <w:t xml:space="preserve"> par kuru var saņemt brīvprātīgo saistīto atbalstu par cietes kartupeļiem</w:t>
            </w:r>
            <w:r w:rsidR="00D258BF" w:rsidRPr="00BA7F2C">
              <w:rPr>
                <w:lang w:val="lv-LV"/>
              </w:rPr>
              <w:t>,</w:t>
            </w:r>
            <w:r w:rsidR="00FF181E" w:rsidRPr="00BA7F2C">
              <w:rPr>
                <w:lang w:val="lv-LV"/>
              </w:rPr>
              <w:t xml:space="preserve"> nevar pārsniegt arī cietes ražotāja un kartupeļu audzētāja līgumā noteikto cietes kartupeļu stādījumu platību. Grozījumi paredzēti, lai mazinātu krāpšanās gadījumu skaitu, kas tika konstatēti 2015. gadā, kad atbalstam tika pieteiktas arī tās kartupeļu platības, kurās netika audzēti cietes kartupeļi. Šie grozījumi ir labvēlīgi lauksaimniekiem, kuri ražo cietes kartupeļus, jo</w:t>
            </w:r>
            <w:r w:rsidR="00D258BF" w:rsidRPr="00BA7F2C">
              <w:rPr>
                <w:lang w:val="lv-LV"/>
              </w:rPr>
              <w:t>, precizējot atbalsta nosacījumus</w:t>
            </w:r>
            <w:r w:rsidR="00FF181E" w:rsidRPr="00BA7F2C">
              <w:rPr>
                <w:lang w:val="lv-LV"/>
              </w:rPr>
              <w:t>, tiks samazināts sankcijās ieturētais maksājuma apjoms, kuru varēs izmantot cietes kartupeļu ražotāju atbalstam</w:t>
            </w:r>
            <w:r w:rsidR="00E1611E" w:rsidRPr="00BA7F2C">
              <w:rPr>
                <w:lang w:val="lv-LV"/>
              </w:rPr>
              <w:t>;</w:t>
            </w:r>
          </w:p>
          <w:p w14:paraId="2216B35A" w14:textId="77777777" w:rsidR="00E1611E" w:rsidRPr="00BA7F2C" w:rsidRDefault="000236C9" w:rsidP="0005387C">
            <w:pPr>
              <w:jc w:val="both"/>
            </w:pPr>
            <w:r w:rsidRPr="00BA7F2C">
              <w:t>20</w:t>
            </w:r>
            <w:r w:rsidR="00BC4ED4" w:rsidRPr="00BA7F2C">
              <w:t xml:space="preserve">) </w:t>
            </w:r>
            <w:r w:rsidR="00340336" w:rsidRPr="00BA7F2C">
              <w:t xml:space="preserve">tehniski </w:t>
            </w:r>
            <w:r w:rsidR="00E1611E" w:rsidRPr="00BA7F2C">
              <w:t xml:space="preserve">precizētu sēklu kategoriju </w:t>
            </w:r>
            <w:r w:rsidR="00435C2B" w:rsidRPr="00BA7F2C">
              <w:t>apzīmēj</w:t>
            </w:r>
            <w:r w:rsidR="00E1611E" w:rsidRPr="00BA7F2C">
              <w:t>umus</w:t>
            </w:r>
            <w:r w:rsidR="00435C2B" w:rsidRPr="00BA7F2C">
              <w:t xml:space="preserve">, par kuriem var saņemt brīvprātīgo saistīto atbalstu par sertificētas sēklas kartupeļiem </w:t>
            </w:r>
            <w:r w:rsidR="00D258BF" w:rsidRPr="00BA7F2C">
              <w:t>un saskaņotu sēklas kartupeļu kvalitātes kategorijas ar spēkā esošo nozares likumdošanu, ņemot vērā, ka ir stājušies spēkā jauni Ministru kabineta 2016. gada 5. janvāra noteikumi Nr. 12 „Kartupeļu sēklaudzēšanas un sēklas kartupeļu tirdzniecības noteikumi”, ar kuriem tiek mainīta sēklas kartupeļu kvalitātes klasifikācija. Šis ir tehnisks grozījums, ar kuru netiek paredzētas papildus prasības lauksaimniekiem</w:t>
            </w:r>
            <w:r w:rsidR="00435C2B" w:rsidRPr="00BA7F2C">
              <w:t>;</w:t>
            </w:r>
          </w:p>
          <w:p w14:paraId="5BEB57D7" w14:textId="77777777" w:rsidR="00571ECE" w:rsidRPr="00BA7F2C" w:rsidRDefault="000236C9" w:rsidP="0005387C">
            <w:pPr>
              <w:jc w:val="both"/>
            </w:pPr>
            <w:r w:rsidRPr="00BA7F2C">
              <w:t>2</w:t>
            </w:r>
            <w:r w:rsidR="00E1611E" w:rsidRPr="00BA7F2C">
              <w:t>1</w:t>
            </w:r>
            <w:r w:rsidR="00E1611E" w:rsidRPr="00BA7F2C">
              <w:rPr>
                <w:lang w:eastAsia="en-US"/>
              </w:rPr>
              <w:t>)</w:t>
            </w:r>
            <w:r w:rsidR="003C7418" w:rsidRPr="00BA7F2C">
              <w:rPr>
                <w:lang w:eastAsia="en-US"/>
              </w:rPr>
              <w:t xml:space="preserve"> </w:t>
            </w:r>
            <w:r w:rsidR="00571ECE" w:rsidRPr="00BA7F2C">
              <w:rPr>
                <w:lang w:eastAsia="en-US"/>
              </w:rPr>
              <w:t>noteiktu, ka platīb</w:t>
            </w:r>
            <w:r w:rsidR="00D35918" w:rsidRPr="00BA7F2C">
              <w:rPr>
                <w:lang w:eastAsia="en-US"/>
              </w:rPr>
              <w:t>as</w:t>
            </w:r>
            <w:r w:rsidR="00571ECE" w:rsidRPr="00BA7F2C">
              <w:rPr>
                <w:lang w:eastAsia="en-US"/>
              </w:rPr>
              <w:t>, kurās tiek audzēt</w:t>
            </w:r>
            <w:r w:rsidR="00D35918" w:rsidRPr="00BA7F2C">
              <w:rPr>
                <w:lang w:eastAsia="en-US"/>
              </w:rPr>
              <w:t>i</w:t>
            </w:r>
            <w:r w:rsidR="00571ECE" w:rsidRPr="00BA7F2C">
              <w:rPr>
                <w:lang w:eastAsia="en-US"/>
              </w:rPr>
              <w:t xml:space="preserve"> kultūra</w:t>
            </w:r>
            <w:r w:rsidR="00D35918" w:rsidRPr="00BA7F2C">
              <w:rPr>
                <w:lang w:eastAsia="en-US"/>
              </w:rPr>
              <w:t>ugi</w:t>
            </w:r>
            <w:r w:rsidR="00571ECE" w:rsidRPr="00BA7F2C">
              <w:rPr>
                <w:lang w:eastAsia="en-US"/>
              </w:rPr>
              <w:t xml:space="preserve"> sēklaudzēšanai</w:t>
            </w:r>
            <w:r w:rsidR="003934F5" w:rsidRPr="00BA7F2C">
              <w:rPr>
                <w:lang w:eastAsia="en-US"/>
              </w:rPr>
              <w:t>, tiek</w:t>
            </w:r>
            <w:r w:rsidR="00571ECE" w:rsidRPr="00BA7F2C">
              <w:rPr>
                <w:lang w:eastAsia="en-US"/>
              </w:rPr>
              <w:t xml:space="preserve"> pieteiktas attiecīgajam BSA, ja ir izdarīta atbilstoša atzīme vienotajā iesniegumā un tās ir pieteiktas </w:t>
            </w:r>
            <w:r w:rsidR="00571ECE" w:rsidRPr="00BA7F2C">
              <w:t>Valsts augu aizsardzības dienestā sēklaudzēšanas platību lauku apskatei</w:t>
            </w:r>
            <w:r w:rsidR="00672CBD" w:rsidRPr="00BA7F2C">
              <w:t xml:space="preserve"> Šāds nosacījums 2015. gadā bija iekļauts vienotajā iesniegumā, kura paraugs bija noteikts </w:t>
            </w:r>
            <w:r w:rsidR="00672CBD" w:rsidRPr="00BA7F2C">
              <w:rPr>
                <w:lang w:eastAsia="en-US"/>
              </w:rPr>
              <w:t xml:space="preserve">Ministru </w:t>
            </w:r>
            <w:r w:rsidR="00672CBD" w:rsidRPr="00BA7F2C">
              <w:rPr>
                <w:lang w:eastAsia="en-US"/>
              </w:rPr>
              <w:lastRenderedPageBreak/>
              <w:t xml:space="preserve">kabineta </w:t>
            </w:r>
            <w:r w:rsidR="00672CBD" w:rsidRPr="00BA7F2C">
              <w:t>noteikumos Nr. 126 1.pielikumā. Aizstājot vienotā iesnieguma paraugu ar prasībām vienotā iesnieguma saturam, attiecīgo nosacījumu piemērotāk ir paredzēt pamatnosacījumos nevis pielikumā</w:t>
            </w:r>
            <w:r w:rsidR="00571ECE" w:rsidRPr="00BA7F2C">
              <w:t>;</w:t>
            </w:r>
          </w:p>
          <w:p w14:paraId="6E95AC45" w14:textId="77777777" w:rsidR="00E1611E" w:rsidRPr="00BA7F2C" w:rsidRDefault="00851981" w:rsidP="003C19BF">
            <w:pPr>
              <w:pStyle w:val="Pamattekstsaratkpi"/>
              <w:tabs>
                <w:tab w:val="left" w:pos="993"/>
              </w:tabs>
              <w:spacing w:after="0"/>
              <w:ind w:left="0"/>
              <w:jc w:val="both"/>
              <w:rPr>
                <w:lang w:val="lv-LV"/>
              </w:rPr>
            </w:pPr>
            <w:r w:rsidRPr="00BA7F2C">
              <w:rPr>
                <w:lang w:val="lv-LV"/>
              </w:rPr>
              <w:t>2</w:t>
            </w:r>
            <w:r w:rsidR="000236C9" w:rsidRPr="00BA7F2C">
              <w:rPr>
                <w:lang w:val="lv-LV"/>
              </w:rPr>
              <w:t>2</w:t>
            </w:r>
            <w:r w:rsidR="00571ECE" w:rsidRPr="00BA7F2C">
              <w:rPr>
                <w:lang w:val="lv-LV"/>
              </w:rPr>
              <w:t>) aizstātu v</w:t>
            </w:r>
            <w:r w:rsidR="003C7418" w:rsidRPr="00BA7F2C">
              <w:rPr>
                <w:lang w:val="lv-LV"/>
              </w:rPr>
              <w:t>ienot</w:t>
            </w:r>
            <w:r w:rsidR="00B7626B" w:rsidRPr="00BA7F2C">
              <w:rPr>
                <w:lang w:val="lv-LV"/>
              </w:rPr>
              <w:t>ajā</w:t>
            </w:r>
            <w:r w:rsidR="003C7418" w:rsidRPr="00BA7F2C">
              <w:rPr>
                <w:lang w:val="lv-LV"/>
              </w:rPr>
              <w:t xml:space="preserve"> iesnieguma form</w:t>
            </w:r>
            <w:r w:rsidR="00B7626B" w:rsidRPr="00BA7F2C">
              <w:rPr>
                <w:lang w:val="lv-LV"/>
              </w:rPr>
              <w:t>u</w:t>
            </w:r>
            <w:r w:rsidR="003C7418" w:rsidRPr="00BA7F2C">
              <w:rPr>
                <w:lang w:val="lv-LV"/>
              </w:rPr>
              <w:t xml:space="preserve"> </w:t>
            </w:r>
            <w:r w:rsidR="00F00685" w:rsidRPr="00BA7F2C">
              <w:rPr>
                <w:lang w:val="lv-LV"/>
              </w:rPr>
              <w:t xml:space="preserve">ar </w:t>
            </w:r>
            <w:r w:rsidR="00B7626B" w:rsidRPr="00BA7F2C">
              <w:rPr>
                <w:lang w:val="lv-LV"/>
              </w:rPr>
              <w:t>informāciju, kas vajadzīga, lai noteiktu tiesības pretendēt uz atbalstu, ņemot vērā, ka turpmāk lauks</w:t>
            </w:r>
            <w:r w:rsidR="00D35918" w:rsidRPr="00BA7F2C">
              <w:rPr>
                <w:lang w:val="lv-LV"/>
              </w:rPr>
              <w:t>ai</w:t>
            </w:r>
            <w:r w:rsidR="00B7626B" w:rsidRPr="00BA7F2C">
              <w:rPr>
                <w:lang w:val="lv-LV"/>
              </w:rPr>
              <w:t xml:space="preserve">mniekiem būs jāpiesakās maksājumiem tikai elektroniskajā pieteikšanās sistēmā, kā arī to, ka vienotā iesnieguma formā nevar pārskatāmi ievietot visu </w:t>
            </w:r>
            <w:r w:rsidR="00D35918" w:rsidRPr="00BA7F2C">
              <w:rPr>
                <w:lang w:val="lv-LV"/>
              </w:rPr>
              <w:t xml:space="preserve">lauksaimnieka norādāmo </w:t>
            </w:r>
            <w:r w:rsidR="00B7626B" w:rsidRPr="00BA7F2C">
              <w:rPr>
                <w:lang w:val="lv-LV"/>
              </w:rPr>
              <w:t>informāciju</w:t>
            </w:r>
            <w:r w:rsidR="00437F60" w:rsidRPr="00BA7F2C">
              <w:rPr>
                <w:lang w:val="lv-LV"/>
              </w:rPr>
              <w:t>. Vienotajā iesniegumā tiek prasīts norādīt personas vārdu, uzvārdu un personas kodu, lai nodrošinātu atbilstošu maksājuma administrēšanu, novēršot krāpšanās iespējas, un, lai nepārprotami identificētu personas, kuru atbilstība maksājuma saņemšanas nosacījumiem ir jāvērtē Lauku atbalsta dienestam.</w:t>
            </w:r>
            <w:r w:rsidR="003C19BF" w:rsidRPr="00BA7F2C">
              <w:rPr>
                <w:lang w:val="lv-LV"/>
              </w:rPr>
              <w:t xml:space="preserve"> Šajā nolūkā personas kods tiek pieprasīts vienotajā iesniegumā, kas jau šobrīd pilnībā ir iekļauts </w:t>
            </w:r>
            <w:r w:rsidR="00437F60" w:rsidRPr="00BA7F2C">
              <w:rPr>
                <w:lang w:val="lv-LV"/>
              </w:rPr>
              <w:t xml:space="preserve">Ministru kabineta </w:t>
            </w:r>
            <w:r w:rsidR="003C19BF" w:rsidRPr="00BA7F2C">
              <w:rPr>
                <w:lang w:val="lv-LV"/>
              </w:rPr>
              <w:t xml:space="preserve">noteikumu Nr.126 1. </w:t>
            </w:r>
            <w:r w:rsidR="00437F60" w:rsidRPr="00BA7F2C">
              <w:rPr>
                <w:lang w:val="lv-LV"/>
              </w:rPr>
              <w:t>pielikumā</w:t>
            </w:r>
            <w:r w:rsidR="00B7626B" w:rsidRPr="00BA7F2C">
              <w:rPr>
                <w:lang w:val="lv-LV"/>
              </w:rPr>
              <w:t>;</w:t>
            </w:r>
          </w:p>
          <w:p w14:paraId="7EFEB2BF" w14:textId="77777777" w:rsidR="00B7626B" w:rsidRPr="00BA7F2C" w:rsidRDefault="00851981" w:rsidP="0005387C">
            <w:pPr>
              <w:jc w:val="both"/>
              <w:rPr>
                <w:lang w:eastAsia="en-US"/>
              </w:rPr>
            </w:pPr>
            <w:r w:rsidRPr="00BA7F2C">
              <w:rPr>
                <w:lang w:eastAsia="en-US"/>
              </w:rPr>
              <w:t>2</w:t>
            </w:r>
            <w:r w:rsidR="000236C9" w:rsidRPr="00BA7F2C">
              <w:rPr>
                <w:lang w:eastAsia="en-US"/>
              </w:rPr>
              <w:t>3</w:t>
            </w:r>
            <w:r w:rsidR="00B7626B" w:rsidRPr="00BA7F2C">
              <w:rPr>
                <w:lang w:eastAsia="en-US"/>
              </w:rPr>
              <w:t xml:space="preserve">) </w:t>
            </w:r>
            <w:r w:rsidR="00340336" w:rsidRPr="00BA7F2C">
              <w:rPr>
                <w:lang w:eastAsia="en-US"/>
              </w:rPr>
              <w:t xml:space="preserve">tehniski </w:t>
            </w:r>
            <w:r w:rsidR="00B7626B" w:rsidRPr="00BA7F2C">
              <w:rPr>
                <w:lang w:eastAsia="en-US"/>
              </w:rPr>
              <w:t xml:space="preserve">precizētu </w:t>
            </w:r>
            <w:r w:rsidR="00B7626B" w:rsidRPr="00BA7F2C">
              <w:t>kultūraugu un zemes izmantošanas veidu kodu sarakstu, iekļaujot informāciju par kultūraugiem</w:t>
            </w:r>
            <w:r w:rsidR="005F77AC" w:rsidRPr="00BA7F2C">
              <w:t>, k</w:t>
            </w:r>
            <w:r w:rsidR="00D35918" w:rsidRPr="00BA7F2C">
              <w:t>o</w:t>
            </w:r>
            <w:r w:rsidR="005F77AC" w:rsidRPr="00BA7F2C">
              <w:t xml:space="preserve"> var pieteikt jaunajam Lauku attīstības programmas pasākumam </w:t>
            </w:r>
            <w:r w:rsidR="00D35918" w:rsidRPr="00BA7F2C">
              <w:t>“</w:t>
            </w:r>
            <w:r w:rsidR="005F77AC" w:rsidRPr="00BA7F2C">
              <w:rPr>
                <w:lang w:eastAsia="en-US"/>
              </w:rPr>
              <w:t>Saudzējošas vides izveide, audzējot augus nektāra ieguvei</w:t>
            </w:r>
            <w:r w:rsidR="00D35918" w:rsidRPr="00BA7F2C">
              <w:rPr>
                <w:lang w:eastAsia="en-US"/>
              </w:rPr>
              <w:t>”</w:t>
            </w:r>
            <w:r w:rsidR="005F77AC" w:rsidRPr="00BA7F2C">
              <w:rPr>
                <w:lang w:eastAsia="en-US"/>
              </w:rPr>
              <w:t xml:space="preserve">, kā arī </w:t>
            </w:r>
            <w:r w:rsidR="00D35918" w:rsidRPr="00BA7F2C">
              <w:rPr>
                <w:lang w:eastAsia="en-US"/>
              </w:rPr>
              <w:t>vairāku</w:t>
            </w:r>
            <w:r w:rsidR="005F77AC" w:rsidRPr="00BA7F2C">
              <w:rPr>
                <w:lang w:eastAsia="en-US"/>
              </w:rPr>
              <w:t xml:space="preserve"> kultūr</w:t>
            </w:r>
            <w:r w:rsidR="00D35918" w:rsidRPr="00BA7F2C">
              <w:rPr>
                <w:lang w:eastAsia="en-US"/>
              </w:rPr>
              <w:t>aug</w:t>
            </w:r>
            <w:r w:rsidR="005F77AC" w:rsidRPr="00BA7F2C">
              <w:rPr>
                <w:lang w:eastAsia="en-US"/>
              </w:rPr>
              <w:t>u atbalsttiesīgumu atsevišķiem atbalsta veidiem un kodu sarakstu</w:t>
            </w:r>
            <w:r w:rsidR="00A77D23" w:rsidRPr="00BA7F2C">
              <w:rPr>
                <w:lang w:eastAsia="en-US"/>
              </w:rPr>
              <w:t xml:space="preserve">, </w:t>
            </w:r>
            <w:r w:rsidR="00A738D8" w:rsidRPr="00BA7F2C">
              <w:rPr>
                <w:lang w:eastAsia="en-US"/>
              </w:rPr>
              <w:t xml:space="preserve">piešķirot </w:t>
            </w:r>
            <w:r w:rsidR="005F77AC" w:rsidRPr="00BA7F2C">
              <w:rPr>
                <w:lang w:eastAsia="en-US"/>
              </w:rPr>
              <w:t>atseviš</w:t>
            </w:r>
            <w:r w:rsidR="00A77D23" w:rsidRPr="00BA7F2C">
              <w:rPr>
                <w:lang w:eastAsia="en-US"/>
              </w:rPr>
              <w:t>ķu</w:t>
            </w:r>
            <w:r w:rsidR="008074FB" w:rsidRPr="00BA7F2C">
              <w:rPr>
                <w:lang w:eastAsia="en-US"/>
              </w:rPr>
              <w:t>s</w:t>
            </w:r>
            <w:r w:rsidR="00A77D23" w:rsidRPr="00BA7F2C">
              <w:rPr>
                <w:lang w:eastAsia="en-US"/>
              </w:rPr>
              <w:t xml:space="preserve"> kodu</w:t>
            </w:r>
            <w:r w:rsidR="008074FB" w:rsidRPr="00BA7F2C">
              <w:rPr>
                <w:lang w:eastAsia="en-US"/>
              </w:rPr>
              <w:t>s</w:t>
            </w:r>
            <w:r w:rsidR="00A77D23" w:rsidRPr="00BA7F2C">
              <w:rPr>
                <w:lang w:eastAsia="en-US"/>
              </w:rPr>
              <w:t xml:space="preserve"> </w:t>
            </w:r>
            <w:r w:rsidR="008074FB" w:rsidRPr="00BA7F2C">
              <w:rPr>
                <w:lang w:eastAsia="en-US"/>
              </w:rPr>
              <w:t>dažām kultūrām un zemes izmantošanas veidiem</w:t>
            </w:r>
            <w:r w:rsidR="00D35918" w:rsidRPr="00BA7F2C">
              <w:rPr>
                <w:lang w:eastAsia="en-US"/>
              </w:rPr>
              <w:t>,</w:t>
            </w:r>
            <w:r w:rsidR="008074FB" w:rsidRPr="00BA7F2C">
              <w:rPr>
                <w:lang w:eastAsia="en-US"/>
              </w:rPr>
              <w:t xml:space="preserve"> audzējot pasēju</w:t>
            </w:r>
            <w:r w:rsidR="005F77AC" w:rsidRPr="00BA7F2C">
              <w:rPr>
                <w:lang w:eastAsia="en-US"/>
              </w:rPr>
              <w:t>;</w:t>
            </w:r>
          </w:p>
          <w:p w14:paraId="0C1C47F2" w14:textId="77777777" w:rsidR="009A52A0" w:rsidRPr="00BA7F2C" w:rsidRDefault="00851981" w:rsidP="009A52A0">
            <w:pPr>
              <w:jc w:val="both"/>
              <w:rPr>
                <w:lang w:eastAsia="en-US"/>
              </w:rPr>
            </w:pPr>
            <w:r w:rsidRPr="00BA7F2C">
              <w:rPr>
                <w:lang w:eastAsia="en-US"/>
              </w:rPr>
              <w:t>2</w:t>
            </w:r>
            <w:r w:rsidR="000236C9" w:rsidRPr="00BA7F2C">
              <w:rPr>
                <w:lang w:eastAsia="en-US"/>
              </w:rPr>
              <w:t>4</w:t>
            </w:r>
            <w:r w:rsidR="005F77AC" w:rsidRPr="00BA7F2C">
              <w:rPr>
                <w:lang w:eastAsia="en-US"/>
              </w:rPr>
              <w:t>)</w:t>
            </w:r>
            <w:r w:rsidR="001A2064" w:rsidRPr="00BA7F2C">
              <w:t xml:space="preserve"> noteiktu maksimālo finansējuma apmēru katram </w:t>
            </w:r>
            <w:r w:rsidR="001A2064" w:rsidRPr="00BA7F2C">
              <w:rPr>
                <w:lang w:eastAsia="en-US"/>
              </w:rPr>
              <w:t>brīvprātīga saistītā atbalsta veidam</w:t>
            </w:r>
            <w:r w:rsidR="001A2064" w:rsidRPr="00BA7F2C">
              <w:t xml:space="preserve"> 2016. gadā</w:t>
            </w:r>
            <w:r w:rsidR="009A52A0" w:rsidRPr="00BA7F2C">
              <w:rPr>
                <w:lang w:eastAsia="en-US"/>
              </w:rPr>
              <w:t>.</w:t>
            </w:r>
            <w:r w:rsidR="009A52A0" w:rsidRPr="00BA7F2C">
              <w:t xml:space="preserve"> Kopējais BSA apmērs Latvijai </w:t>
            </w:r>
            <w:r w:rsidR="00D35918" w:rsidRPr="00BA7F2C">
              <w:t xml:space="preserve">tiek </w:t>
            </w:r>
            <w:r w:rsidR="009A52A0" w:rsidRPr="00BA7F2C">
              <w:t>noteikts ar Eiropas Komisijas īstenošanas aktu, savukārt atbalsta maksimālais apmērs sadalījumā pa atbalsta veidiem jānosaka dalībvalstij, tādēļ ir jāprecizē noteikumu 14.</w:t>
            </w:r>
            <w:r w:rsidR="009A52A0" w:rsidRPr="00BA7F2C">
              <w:rPr>
                <w:vertAlign w:val="superscript"/>
              </w:rPr>
              <w:t>1</w:t>
            </w:r>
            <w:r w:rsidR="009A52A0" w:rsidRPr="00BA7F2C">
              <w:t> pielikums;</w:t>
            </w:r>
          </w:p>
          <w:p w14:paraId="3400BA73" w14:textId="77777777" w:rsidR="00DF0976" w:rsidRPr="00BA7F2C" w:rsidRDefault="00851981" w:rsidP="000236C9">
            <w:pPr>
              <w:jc w:val="both"/>
            </w:pPr>
            <w:r w:rsidRPr="00BA7F2C">
              <w:rPr>
                <w:lang w:eastAsia="en-US"/>
              </w:rPr>
              <w:t>2</w:t>
            </w:r>
            <w:r w:rsidR="000236C9" w:rsidRPr="00BA7F2C">
              <w:rPr>
                <w:lang w:eastAsia="en-US"/>
              </w:rPr>
              <w:t>5</w:t>
            </w:r>
            <w:r w:rsidR="001A2064" w:rsidRPr="00BA7F2C">
              <w:rPr>
                <w:lang w:eastAsia="en-US"/>
              </w:rPr>
              <w:t>)</w:t>
            </w:r>
            <w:r w:rsidR="005F77AC" w:rsidRPr="00BA7F2C">
              <w:rPr>
                <w:lang w:eastAsia="en-US"/>
              </w:rPr>
              <w:t xml:space="preserve"> </w:t>
            </w:r>
            <w:r w:rsidR="001A2064" w:rsidRPr="00BA7F2C">
              <w:t xml:space="preserve">noteiktu maksimālo apmēru </w:t>
            </w:r>
            <w:r w:rsidR="001A2064" w:rsidRPr="00BA7F2C">
              <w:rPr>
                <w:lang w:eastAsia="en-US"/>
              </w:rPr>
              <w:t>pārejas posma valsts atbalsta un atdalītā pārejas posma valsts atbalsta</w:t>
            </w:r>
            <w:r w:rsidR="001A2064" w:rsidRPr="00BA7F2C">
              <w:t xml:space="preserve"> (turpmāk – PPVA) finansējumam katram atbalsta shēmas veidam 2016. gadā, k</w:t>
            </w:r>
            <w:r w:rsidR="00D35918" w:rsidRPr="00BA7F2C">
              <w:t>urš</w:t>
            </w:r>
            <w:r w:rsidR="001A2064" w:rsidRPr="00BA7F2C">
              <w:t xml:space="preserve"> ir piešķirts, ievērojot Ministru kabineta 2014.gada 16.septembra sēdes protokola Nr. 49 </w:t>
            </w:r>
            <w:bookmarkStart w:id="2" w:name="63"/>
            <w:r w:rsidR="001A2064" w:rsidRPr="00BA7F2C">
              <w:t>63.§</w:t>
            </w:r>
            <w:bookmarkEnd w:id="2"/>
            <w:r w:rsidR="001A2064" w:rsidRPr="00BA7F2C">
              <w:t xml:space="preserve"> 4. punktu. Eiropas Parlamenta un Padomes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 (turpmāk – regula Nr. 1307/2013) 37.pants paredz iespēju dalībvalstīm, kas piemēro vienoto platības maksājumu shēmu, piešķirt PPVA no 2015</w:t>
            </w:r>
            <w:r w:rsidR="00D35918" w:rsidRPr="00BA7F2C">
              <w:t>.</w:t>
            </w:r>
            <w:r w:rsidR="001A2064" w:rsidRPr="00BA7F2C">
              <w:t xml:space="preserve"> līdz 2020.gadam, kā arī nosaka pieļaujamo procentuālo daļu, ko dalībvalsts var piešķirt lauksaimniekiem. Tā kā atbalsta apmērs un sadalījums pa atbalsta veidiem jānosaka dalībvalstij, </w:t>
            </w:r>
            <w:r w:rsidR="001A2064" w:rsidRPr="00BA7F2C">
              <w:rPr>
                <w:lang w:eastAsia="en-US"/>
              </w:rPr>
              <w:t>Ministru kabineta noteikum</w:t>
            </w:r>
            <w:r w:rsidR="009A52A0" w:rsidRPr="00BA7F2C">
              <w:rPr>
                <w:lang w:eastAsia="en-US"/>
              </w:rPr>
              <w:t>os</w:t>
            </w:r>
            <w:r w:rsidR="001A2064" w:rsidRPr="00BA7F2C">
              <w:rPr>
                <w:lang w:eastAsia="en-US"/>
              </w:rPr>
              <w:t xml:space="preserve"> Nr.126</w:t>
            </w:r>
            <w:r w:rsidR="001A2064" w:rsidRPr="00BA7F2C">
              <w:t xml:space="preserve"> ir jāp</w:t>
            </w:r>
            <w:r w:rsidR="007A6C0C" w:rsidRPr="00BA7F2C">
              <w:t>apildina</w:t>
            </w:r>
            <w:r w:rsidR="001A2064" w:rsidRPr="00BA7F2C">
              <w:t xml:space="preserve"> 16.</w:t>
            </w:r>
            <w:r w:rsidR="001A2064" w:rsidRPr="00BA7F2C">
              <w:rPr>
                <w:vertAlign w:val="superscript"/>
              </w:rPr>
              <w:t>1</w:t>
            </w:r>
            <w:r w:rsidR="001A2064" w:rsidRPr="00BA7F2C">
              <w:t> pielikum</w:t>
            </w:r>
            <w:r w:rsidR="009A52A0" w:rsidRPr="00BA7F2C">
              <w:t>s</w:t>
            </w:r>
            <w:r w:rsidR="007A6C0C" w:rsidRPr="00BA7F2C">
              <w:t>.</w:t>
            </w:r>
          </w:p>
        </w:tc>
      </w:tr>
      <w:tr w:rsidR="007F70E3" w:rsidRPr="00BA7F2C" w14:paraId="1A71A794" w14:textId="77777777" w:rsidTr="00B03BF9">
        <w:trPr>
          <w:gridAfter w:val="1"/>
          <w:wAfter w:w="10" w:type="dxa"/>
        </w:trPr>
        <w:tc>
          <w:tcPr>
            <w:tcW w:w="415" w:type="dxa"/>
          </w:tcPr>
          <w:p w14:paraId="0D6528FC" w14:textId="77777777" w:rsidR="007F70E3" w:rsidRPr="00C87DA2" w:rsidRDefault="007F70E3" w:rsidP="00456CB0">
            <w:pPr>
              <w:spacing w:before="100" w:beforeAutospacing="1" w:after="100" w:afterAutospacing="1" w:line="360" w:lineRule="auto"/>
              <w:ind w:firstLine="19"/>
              <w:jc w:val="both"/>
            </w:pPr>
            <w:r w:rsidRPr="00C87DA2">
              <w:lastRenderedPageBreak/>
              <w:t>3.</w:t>
            </w:r>
          </w:p>
        </w:tc>
        <w:tc>
          <w:tcPr>
            <w:tcW w:w="2689" w:type="dxa"/>
            <w:gridSpan w:val="2"/>
          </w:tcPr>
          <w:p w14:paraId="7CE1F20E" w14:textId="77777777" w:rsidR="007F70E3" w:rsidRPr="00C87DA2" w:rsidRDefault="007F70E3" w:rsidP="00456CB0">
            <w:r w:rsidRPr="00C87DA2">
              <w:t>Projekta izstrādē iesaistītās institūcijas</w:t>
            </w:r>
          </w:p>
        </w:tc>
        <w:tc>
          <w:tcPr>
            <w:tcW w:w="6105" w:type="dxa"/>
            <w:gridSpan w:val="2"/>
          </w:tcPr>
          <w:p w14:paraId="0310113B" w14:textId="77777777" w:rsidR="007F70E3" w:rsidRPr="00BA7F2C" w:rsidRDefault="007F70E3" w:rsidP="00C16519">
            <w:pPr>
              <w:jc w:val="both"/>
              <w:rPr>
                <w:lang w:eastAsia="en-US"/>
              </w:rPr>
            </w:pPr>
            <w:r w:rsidRPr="00BA7F2C">
              <w:rPr>
                <w:lang w:eastAsia="en-US"/>
              </w:rPr>
              <w:t xml:space="preserve">Zemkopības ministrija </w:t>
            </w:r>
            <w:r w:rsidR="00CA7311" w:rsidRPr="00BA7F2C">
              <w:rPr>
                <w:lang w:eastAsia="en-US"/>
              </w:rPr>
              <w:t>konsultējās ar L</w:t>
            </w:r>
            <w:r w:rsidR="003255F1" w:rsidRPr="00BA7F2C">
              <w:rPr>
                <w:lang w:eastAsia="en-US"/>
              </w:rPr>
              <w:t>auku atba</w:t>
            </w:r>
            <w:r w:rsidR="00A952E2" w:rsidRPr="00BA7F2C">
              <w:rPr>
                <w:lang w:eastAsia="en-US"/>
              </w:rPr>
              <w:t>lsta dienest</w:t>
            </w:r>
            <w:r w:rsidR="003E6898" w:rsidRPr="00BA7F2C">
              <w:rPr>
                <w:lang w:eastAsia="en-US"/>
              </w:rPr>
              <w:t>a</w:t>
            </w:r>
            <w:r w:rsidR="00A952E2" w:rsidRPr="00BA7F2C">
              <w:rPr>
                <w:lang w:eastAsia="en-US"/>
              </w:rPr>
              <w:t>,</w:t>
            </w:r>
            <w:r w:rsidR="000D634C" w:rsidRPr="00BA7F2C">
              <w:rPr>
                <w:lang w:eastAsia="en-US"/>
              </w:rPr>
              <w:t xml:space="preserve"> Valsts augu aizsardzības dienesta </w:t>
            </w:r>
            <w:r w:rsidR="00C16519" w:rsidRPr="00BA7F2C">
              <w:rPr>
                <w:lang w:eastAsia="en-US"/>
              </w:rPr>
              <w:t xml:space="preserve">un </w:t>
            </w:r>
            <w:r w:rsidR="003255F1" w:rsidRPr="00BA7F2C">
              <w:rPr>
                <w:lang w:eastAsia="en-US"/>
              </w:rPr>
              <w:t>Lauksaimniecības datu centr</w:t>
            </w:r>
            <w:r w:rsidR="003E6898" w:rsidRPr="00BA7F2C">
              <w:rPr>
                <w:lang w:eastAsia="en-US"/>
              </w:rPr>
              <w:t>a</w:t>
            </w:r>
            <w:r w:rsidR="00A952E2" w:rsidRPr="00BA7F2C">
              <w:rPr>
                <w:lang w:eastAsia="en-US"/>
              </w:rPr>
              <w:t xml:space="preserve"> speciālistiem</w:t>
            </w:r>
            <w:r w:rsidR="00CA7311" w:rsidRPr="00BA7F2C">
              <w:rPr>
                <w:lang w:eastAsia="en-US"/>
              </w:rPr>
              <w:t>.</w:t>
            </w:r>
          </w:p>
        </w:tc>
      </w:tr>
      <w:tr w:rsidR="007F70E3" w:rsidRPr="00BA7F2C" w14:paraId="5B43C8E9" w14:textId="77777777" w:rsidTr="00B03BF9">
        <w:trPr>
          <w:gridAfter w:val="1"/>
          <w:wAfter w:w="10" w:type="dxa"/>
        </w:trPr>
        <w:tc>
          <w:tcPr>
            <w:tcW w:w="415" w:type="dxa"/>
          </w:tcPr>
          <w:p w14:paraId="15369384" w14:textId="77777777" w:rsidR="007F70E3" w:rsidRPr="00C87DA2" w:rsidRDefault="007F70E3" w:rsidP="00456CB0">
            <w:pPr>
              <w:spacing w:before="100" w:beforeAutospacing="1" w:after="100" w:afterAutospacing="1" w:line="360" w:lineRule="auto"/>
              <w:ind w:firstLine="19"/>
              <w:jc w:val="both"/>
            </w:pPr>
            <w:r w:rsidRPr="00C87DA2">
              <w:t>4.</w:t>
            </w:r>
          </w:p>
        </w:tc>
        <w:tc>
          <w:tcPr>
            <w:tcW w:w="2689" w:type="dxa"/>
            <w:gridSpan w:val="2"/>
          </w:tcPr>
          <w:p w14:paraId="69C5E2A7" w14:textId="77777777" w:rsidR="007F70E3" w:rsidRPr="00C87DA2" w:rsidRDefault="007F70E3" w:rsidP="00456CB0">
            <w:r w:rsidRPr="00C87DA2">
              <w:t>Cita informācija</w:t>
            </w:r>
          </w:p>
        </w:tc>
        <w:tc>
          <w:tcPr>
            <w:tcW w:w="6105" w:type="dxa"/>
            <w:gridSpan w:val="2"/>
          </w:tcPr>
          <w:p w14:paraId="6795073E" w14:textId="77777777" w:rsidR="007F70E3" w:rsidRPr="00BA7F2C" w:rsidRDefault="007F70E3" w:rsidP="00A90E49">
            <w:pPr>
              <w:jc w:val="both"/>
            </w:pPr>
            <w:r w:rsidRPr="00BA7F2C">
              <w:t>Nav</w:t>
            </w:r>
          </w:p>
        </w:tc>
      </w:tr>
      <w:tr w:rsidR="007F70E3" w:rsidRPr="00C87DA2" w14:paraId="019EF29D" w14:textId="77777777" w:rsidTr="00B03BF9">
        <w:trPr>
          <w:trHeight w:val="555"/>
        </w:trPr>
        <w:tc>
          <w:tcPr>
            <w:tcW w:w="9219" w:type="dxa"/>
            <w:gridSpan w:val="6"/>
          </w:tcPr>
          <w:p w14:paraId="527F885B" w14:textId="77777777" w:rsidR="007F70E3" w:rsidRPr="00BA7F2C" w:rsidRDefault="007F70E3" w:rsidP="00B03BF9">
            <w:pPr>
              <w:jc w:val="center"/>
              <w:rPr>
                <w:b/>
                <w:bCs/>
              </w:rPr>
            </w:pPr>
            <w:r w:rsidRPr="00BA7F2C">
              <w:rPr>
                <w:b/>
                <w:bCs/>
              </w:rPr>
              <w:t>II. Tiesību akta projekta ietekme uz sabiedrību, tautsaimniecības attīstību un administratīvo slogu</w:t>
            </w:r>
          </w:p>
        </w:tc>
      </w:tr>
      <w:tr w:rsidR="007F70E3" w:rsidRPr="00C87DA2" w14:paraId="16418E00" w14:textId="77777777" w:rsidTr="00B03BF9">
        <w:trPr>
          <w:trHeight w:val="2069"/>
        </w:trPr>
        <w:tc>
          <w:tcPr>
            <w:tcW w:w="454" w:type="dxa"/>
            <w:gridSpan w:val="2"/>
          </w:tcPr>
          <w:p w14:paraId="49CE258F" w14:textId="77777777" w:rsidR="007F70E3" w:rsidRPr="00C87DA2" w:rsidRDefault="007F70E3" w:rsidP="00456CB0">
            <w:r w:rsidRPr="00C87DA2">
              <w:t>1.</w:t>
            </w:r>
          </w:p>
        </w:tc>
        <w:tc>
          <w:tcPr>
            <w:tcW w:w="2808" w:type="dxa"/>
            <w:gridSpan w:val="2"/>
          </w:tcPr>
          <w:p w14:paraId="0483C575" w14:textId="77777777" w:rsidR="007F70E3" w:rsidRPr="00BA7F2C" w:rsidRDefault="007F70E3" w:rsidP="00456CB0">
            <w:r w:rsidRPr="00BA7F2C">
              <w:t>Sabiedrības mērķgrupas, kuras tiesiskais regulējums ietekmē vai varētu ietekmēt</w:t>
            </w:r>
          </w:p>
        </w:tc>
        <w:tc>
          <w:tcPr>
            <w:tcW w:w="5957" w:type="dxa"/>
            <w:gridSpan w:val="2"/>
          </w:tcPr>
          <w:p w14:paraId="4E3AC4A9" w14:textId="77777777" w:rsidR="005D6A22" w:rsidRPr="00BA7F2C" w:rsidRDefault="00166F70" w:rsidP="005D24C7">
            <w:pPr>
              <w:jc w:val="both"/>
              <w:rPr>
                <w:bCs/>
                <w:lang w:eastAsia="en-US"/>
              </w:rPr>
            </w:pPr>
            <w:r w:rsidRPr="00BA7F2C">
              <w:rPr>
                <w:bCs/>
                <w:lang w:eastAsia="en-US"/>
              </w:rPr>
              <w:t xml:space="preserve">Aptuveni </w:t>
            </w:r>
            <w:r w:rsidR="00005C93" w:rsidRPr="00BA7F2C">
              <w:rPr>
                <w:bCs/>
                <w:lang w:eastAsia="en-US"/>
              </w:rPr>
              <w:t xml:space="preserve">61 381 </w:t>
            </w:r>
            <w:r w:rsidRPr="00BA7F2C">
              <w:rPr>
                <w:bCs/>
                <w:lang w:eastAsia="en-US"/>
              </w:rPr>
              <w:t>lauksaimniek</w:t>
            </w:r>
            <w:r w:rsidR="00005C93" w:rsidRPr="00BA7F2C">
              <w:rPr>
                <w:bCs/>
                <w:lang w:eastAsia="en-US"/>
              </w:rPr>
              <w:t>s (2015. gadā uz vienotā platības maksājuma atbalst</w:t>
            </w:r>
            <w:r w:rsidR="00D35918" w:rsidRPr="00BA7F2C">
              <w:rPr>
                <w:bCs/>
                <w:lang w:eastAsia="en-US"/>
              </w:rPr>
              <w:t>u</w:t>
            </w:r>
            <w:r w:rsidR="00005C93" w:rsidRPr="00BA7F2C">
              <w:rPr>
                <w:bCs/>
                <w:lang w:eastAsia="en-US"/>
              </w:rPr>
              <w:t xml:space="preserve"> bija 45</w:t>
            </w:r>
            <w:r w:rsidR="00D35918" w:rsidRPr="00BA7F2C">
              <w:rPr>
                <w:bCs/>
                <w:lang w:eastAsia="en-US"/>
              </w:rPr>
              <w:t> </w:t>
            </w:r>
            <w:r w:rsidR="00005C93" w:rsidRPr="00BA7F2C">
              <w:rPr>
                <w:bCs/>
                <w:lang w:eastAsia="en-US"/>
              </w:rPr>
              <w:t>495</w:t>
            </w:r>
            <w:r w:rsidR="00D35918" w:rsidRPr="00BA7F2C">
              <w:rPr>
                <w:bCs/>
                <w:lang w:eastAsia="en-US"/>
              </w:rPr>
              <w:t xml:space="preserve"> pretendentu un </w:t>
            </w:r>
            <w:r w:rsidR="00005C93" w:rsidRPr="00BA7F2C">
              <w:rPr>
                <w:bCs/>
                <w:lang w:eastAsia="en-US"/>
              </w:rPr>
              <w:t xml:space="preserve">dalībai </w:t>
            </w:r>
            <w:r w:rsidR="00005C93" w:rsidRPr="00BA7F2C">
              <w:rPr>
                <w:lang w:eastAsia="en-US"/>
              </w:rPr>
              <w:t>mazo lauksaimnieku shēmā iesniegumu iesniedza 15 886 lauksaimnieki</w:t>
            </w:r>
            <w:r w:rsidR="00005C93" w:rsidRPr="00BA7F2C">
              <w:rPr>
                <w:bCs/>
                <w:lang w:eastAsia="en-US"/>
              </w:rPr>
              <w:t>)</w:t>
            </w:r>
            <w:r w:rsidRPr="00BA7F2C">
              <w:rPr>
                <w:bCs/>
                <w:lang w:eastAsia="en-US"/>
              </w:rPr>
              <w:t>,</w:t>
            </w:r>
            <w:r w:rsidR="00005C93" w:rsidRPr="00BA7F2C">
              <w:rPr>
                <w:bCs/>
                <w:lang w:eastAsia="en-US"/>
              </w:rPr>
              <w:t xml:space="preserve"> tai skaitā</w:t>
            </w:r>
            <w:r w:rsidRPr="00BA7F2C">
              <w:rPr>
                <w:bCs/>
                <w:lang w:eastAsia="en-US"/>
              </w:rPr>
              <w:t xml:space="preserve"> </w:t>
            </w:r>
            <w:r w:rsidR="00646D33" w:rsidRPr="00BA7F2C">
              <w:rPr>
                <w:bCs/>
                <w:lang w:eastAsia="en-US"/>
              </w:rPr>
              <w:t>lauksaimniecības uzņēmumi, valsts un pašvaldības iestādes, citas organizācijas, kā arī lauksaimniecības zemes īpašnieki un</w:t>
            </w:r>
            <w:r w:rsidR="00435C2B" w:rsidRPr="00BA7F2C">
              <w:rPr>
                <w:bCs/>
                <w:lang w:eastAsia="en-US"/>
              </w:rPr>
              <w:t xml:space="preserve"> apsaimniekotāji, k</w:t>
            </w:r>
            <w:r w:rsidR="00D35918" w:rsidRPr="00BA7F2C">
              <w:rPr>
                <w:bCs/>
                <w:lang w:eastAsia="en-US"/>
              </w:rPr>
              <w:t>as</w:t>
            </w:r>
            <w:r w:rsidR="00435C2B" w:rsidRPr="00BA7F2C">
              <w:rPr>
                <w:bCs/>
                <w:lang w:eastAsia="en-US"/>
              </w:rPr>
              <w:t xml:space="preserve"> pieteiks</w:t>
            </w:r>
            <w:r w:rsidR="00646D33" w:rsidRPr="00BA7F2C">
              <w:rPr>
                <w:bCs/>
                <w:lang w:eastAsia="en-US"/>
              </w:rPr>
              <w:t xml:space="preserve">ies </w:t>
            </w:r>
            <w:r w:rsidR="00435C2B" w:rsidRPr="00BA7F2C">
              <w:rPr>
                <w:bCs/>
                <w:lang w:eastAsia="en-US"/>
              </w:rPr>
              <w:t xml:space="preserve">atbalsta </w:t>
            </w:r>
            <w:r w:rsidR="00CC5DD7" w:rsidRPr="00BA7F2C">
              <w:rPr>
                <w:bCs/>
                <w:lang w:eastAsia="en-US"/>
              </w:rPr>
              <w:t>maksājumiem</w:t>
            </w:r>
            <w:r w:rsidR="00435C2B" w:rsidRPr="00BA7F2C">
              <w:rPr>
                <w:bCs/>
                <w:lang w:eastAsia="en-US"/>
              </w:rPr>
              <w:t xml:space="preserve"> 2016. un turpmākajos gados</w:t>
            </w:r>
            <w:r w:rsidR="00CC5DD7" w:rsidRPr="00BA7F2C">
              <w:rPr>
                <w:bCs/>
                <w:lang w:eastAsia="en-US"/>
              </w:rPr>
              <w:t xml:space="preserve"> </w:t>
            </w:r>
            <w:r w:rsidR="00646D33" w:rsidRPr="00BA7F2C">
              <w:rPr>
                <w:bCs/>
                <w:lang w:eastAsia="en-US"/>
              </w:rPr>
              <w:t>un īsteno</w:t>
            </w:r>
            <w:r w:rsidRPr="00BA7F2C">
              <w:rPr>
                <w:bCs/>
                <w:lang w:eastAsia="en-US"/>
              </w:rPr>
              <w:t>s</w:t>
            </w:r>
            <w:r w:rsidR="00646D33" w:rsidRPr="00BA7F2C">
              <w:rPr>
                <w:bCs/>
                <w:lang w:eastAsia="en-US"/>
              </w:rPr>
              <w:t xml:space="preserve"> attiecīgos tiešo maksājumu saņemšanas nosacījumus</w:t>
            </w:r>
            <w:r w:rsidR="005D6A22" w:rsidRPr="00BA7F2C">
              <w:rPr>
                <w:bCs/>
                <w:lang w:eastAsia="en-US"/>
              </w:rPr>
              <w:t>.</w:t>
            </w:r>
            <w:r w:rsidR="00595574" w:rsidRPr="00BA7F2C">
              <w:rPr>
                <w:bCs/>
                <w:lang w:eastAsia="en-US"/>
              </w:rPr>
              <w:t xml:space="preserve"> </w:t>
            </w:r>
          </w:p>
          <w:p w14:paraId="3F977936" w14:textId="77777777" w:rsidR="00C16519" w:rsidRPr="00BA7F2C" w:rsidRDefault="00E35C41" w:rsidP="0028030B">
            <w:pPr>
              <w:jc w:val="both"/>
              <w:rPr>
                <w:lang w:eastAsia="en-US"/>
              </w:rPr>
            </w:pPr>
            <w:r w:rsidRPr="00BA7F2C">
              <w:rPr>
                <w:lang w:eastAsia="en-US"/>
              </w:rPr>
              <w:t>Ar</w:t>
            </w:r>
            <w:r w:rsidR="00116422" w:rsidRPr="00BA7F2C">
              <w:rPr>
                <w:lang w:eastAsia="en-US"/>
              </w:rPr>
              <w:t xml:space="preserve"> </w:t>
            </w:r>
            <w:r w:rsidRPr="00BA7F2C">
              <w:rPr>
                <w:lang w:eastAsia="en-US"/>
              </w:rPr>
              <w:t xml:space="preserve">grozījumiem </w:t>
            </w:r>
            <w:r w:rsidR="00116422" w:rsidRPr="00BA7F2C">
              <w:rPr>
                <w:lang w:eastAsia="en-US"/>
              </w:rPr>
              <w:t>noteikum</w:t>
            </w:r>
            <w:r w:rsidRPr="00BA7F2C">
              <w:rPr>
                <w:lang w:eastAsia="en-US"/>
              </w:rPr>
              <w:t>os</w:t>
            </w:r>
            <w:r w:rsidR="00D1242D" w:rsidRPr="00BA7F2C">
              <w:rPr>
                <w:lang w:eastAsia="en-US"/>
              </w:rPr>
              <w:t xml:space="preserve"> </w:t>
            </w:r>
            <w:r w:rsidR="007F70E3" w:rsidRPr="00BA7F2C">
              <w:rPr>
                <w:lang w:eastAsia="en-US"/>
              </w:rPr>
              <w:t>Nr.1</w:t>
            </w:r>
            <w:r w:rsidR="00E25E8D" w:rsidRPr="00BA7F2C">
              <w:rPr>
                <w:lang w:eastAsia="en-US"/>
              </w:rPr>
              <w:t>26</w:t>
            </w:r>
            <w:r w:rsidR="00116422" w:rsidRPr="00BA7F2C">
              <w:rPr>
                <w:lang w:eastAsia="en-US"/>
              </w:rPr>
              <w:t xml:space="preserve"> </w:t>
            </w:r>
            <w:r w:rsidR="00DF0976" w:rsidRPr="00BA7F2C">
              <w:rPr>
                <w:lang w:eastAsia="en-US"/>
              </w:rPr>
              <w:t>n</w:t>
            </w:r>
            <w:r w:rsidR="001A1965" w:rsidRPr="00BA7F2C">
              <w:rPr>
                <w:lang w:eastAsia="en-US"/>
              </w:rPr>
              <w:t xml:space="preserve">etiks pārkāpts tiesiskās paļāvības princips, </w:t>
            </w:r>
            <w:r w:rsidR="0071437B" w:rsidRPr="00BA7F2C">
              <w:rPr>
                <w:lang w:eastAsia="en-US"/>
              </w:rPr>
              <w:t xml:space="preserve">jo </w:t>
            </w:r>
            <w:r w:rsidR="00DF0976" w:rsidRPr="00BA7F2C">
              <w:rPr>
                <w:lang w:eastAsia="en-US"/>
              </w:rPr>
              <w:t>lauksaimnieka ties</w:t>
            </w:r>
            <w:r w:rsidR="0071437B" w:rsidRPr="00BA7F2C">
              <w:rPr>
                <w:lang w:eastAsia="en-US"/>
              </w:rPr>
              <w:t>ības netiek ierobežotas</w:t>
            </w:r>
            <w:r w:rsidR="00D35918" w:rsidRPr="00BA7F2C">
              <w:rPr>
                <w:lang w:eastAsia="en-US"/>
              </w:rPr>
              <w:t>.</w:t>
            </w:r>
            <w:r w:rsidR="00CC5DD7" w:rsidRPr="00BA7F2C">
              <w:rPr>
                <w:lang w:eastAsia="en-US"/>
              </w:rPr>
              <w:t xml:space="preserve"> </w:t>
            </w:r>
            <w:r w:rsidR="00D35918" w:rsidRPr="00BA7F2C">
              <w:rPr>
                <w:lang w:eastAsia="en-US"/>
              </w:rPr>
              <w:t>D</w:t>
            </w:r>
            <w:r w:rsidR="00540F5A" w:rsidRPr="00BA7F2C">
              <w:rPr>
                <w:lang w:eastAsia="en-US"/>
              </w:rPr>
              <w:t>aļa no grozījumiem stāsies spēkā ar nākamo iesnieguma gadu</w:t>
            </w:r>
            <w:r w:rsidR="003934F5" w:rsidRPr="00BA7F2C">
              <w:rPr>
                <w:lang w:eastAsia="en-US"/>
              </w:rPr>
              <w:t xml:space="preserve">, </w:t>
            </w:r>
            <w:r w:rsidR="00D35918" w:rsidRPr="00BA7F2C">
              <w:rPr>
                <w:lang w:eastAsia="en-US"/>
              </w:rPr>
              <w:t>un vairāk</w:t>
            </w:r>
            <w:r w:rsidR="003934F5" w:rsidRPr="00BA7F2C">
              <w:rPr>
                <w:lang w:eastAsia="en-US"/>
              </w:rPr>
              <w:t>iem nosacījumiem tiek paredzēts pārejas posms</w:t>
            </w:r>
          </w:p>
          <w:p w14:paraId="3111E316" w14:textId="77777777" w:rsidR="007312E2" w:rsidRPr="00BA7F2C" w:rsidRDefault="00E35C41" w:rsidP="00D35918">
            <w:pPr>
              <w:jc w:val="both"/>
              <w:rPr>
                <w:lang w:eastAsia="en-US"/>
              </w:rPr>
            </w:pPr>
            <w:r w:rsidRPr="00BA7F2C">
              <w:rPr>
                <w:lang w:eastAsia="en-US"/>
              </w:rPr>
              <w:t>G</w:t>
            </w:r>
            <w:r w:rsidR="00116422" w:rsidRPr="00BA7F2C">
              <w:rPr>
                <w:lang w:eastAsia="en-US"/>
              </w:rPr>
              <w:t>rozījum</w:t>
            </w:r>
            <w:r w:rsidR="0043710A" w:rsidRPr="00BA7F2C">
              <w:rPr>
                <w:lang w:eastAsia="en-US"/>
              </w:rPr>
              <w:t xml:space="preserve">i noteikumos </w:t>
            </w:r>
            <w:r w:rsidR="00D35918" w:rsidRPr="00BA7F2C">
              <w:rPr>
                <w:lang w:eastAsia="en-US"/>
              </w:rPr>
              <w:t>izdarīti</w:t>
            </w:r>
            <w:r w:rsidR="0043710A" w:rsidRPr="00BA7F2C">
              <w:rPr>
                <w:lang w:eastAsia="en-US"/>
              </w:rPr>
              <w:t>, lai</w:t>
            </w:r>
            <w:r w:rsidR="00116422" w:rsidRPr="00BA7F2C">
              <w:rPr>
                <w:lang w:eastAsia="en-US"/>
              </w:rPr>
              <w:t xml:space="preserve"> </w:t>
            </w:r>
            <w:r w:rsidR="00166F70" w:rsidRPr="00BA7F2C">
              <w:rPr>
                <w:lang w:eastAsia="en-US"/>
              </w:rPr>
              <w:t>precizēt</w:t>
            </w:r>
            <w:r w:rsidR="0043710A" w:rsidRPr="00BA7F2C">
              <w:rPr>
                <w:lang w:eastAsia="en-US"/>
              </w:rPr>
              <w:t>u</w:t>
            </w:r>
            <w:r w:rsidR="00166F70" w:rsidRPr="00BA7F2C">
              <w:rPr>
                <w:lang w:eastAsia="en-US"/>
              </w:rPr>
              <w:t xml:space="preserve"> </w:t>
            </w:r>
            <w:r w:rsidR="00116422" w:rsidRPr="00BA7F2C">
              <w:rPr>
                <w:lang w:eastAsia="en-US"/>
              </w:rPr>
              <w:t>esošo kārtību</w:t>
            </w:r>
            <w:r w:rsidR="00166F70" w:rsidRPr="00BA7F2C">
              <w:rPr>
                <w:lang w:eastAsia="en-US"/>
              </w:rPr>
              <w:t xml:space="preserve">, ņemot vērā pirmā </w:t>
            </w:r>
            <w:r w:rsidR="0043710A" w:rsidRPr="00BA7F2C">
              <w:rPr>
                <w:lang w:eastAsia="en-US"/>
              </w:rPr>
              <w:t xml:space="preserve">gada pieredzi </w:t>
            </w:r>
            <w:r w:rsidR="00166F70" w:rsidRPr="00BA7F2C">
              <w:rPr>
                <w:lang w:eastAsia="en-US"/>
              </w:rPr>
              <w:t>jaunās tiešo maksājumu sistēmas piemēro</w:t>
            </w:r>
            <w:r w:rsidR="0043710A" w:rsidRPr="00BA7F2C">
              <w:rPr>
                <w:lang w:eastAsia="en-US"/>
              </w:rPr>
              <w:t>šanā</w:t>
            </w:r>
            <w:r w:rsidR="007A6C0C" w:rsidRPr="00BA7F2C">
              <w:rPr>
                <w:lang w:eastAsia="en-US"/>
              </w:rPr>
              <w:t xml:space="preserve">, </w:t>
            </w:r>
            <w:r w:rsidR="00D35918" w:rsidRPr="00BA7F2C">
              <w:rPr>
                <w:lang w:eastAsia="en-US"/>
              </w:rPr>
              <w:t xml:space="preserve">kā arī </w:t>
            </w:r>
            <w:r w:rsidR="007A6C0C" w:rsidRPr="00BA7F2C">
              <w:rPr>
                <w:lang w:eastAsia="en-US"/>
              </w:rPr>
              <w:t>skaidrojumus, norādes un vadlīnijas par maksājumu shēmu īstenošanu, k</w:t>
            </w:r>
            <w:r w:rsidR="0043710A" w:rsidRPr="00BA7F2C">
              <w:rPr>
                <w:lang w:eastAsia="en-US"/>
              </w:rPr>
              <w:t xml:space="preserve">o sniegusi </w:t>
            </w:r>
            <w:r w:rsidR="007A6C0C" w:rsidRPr="00BA7F2C">
              <w:rPr>
                <w:lang w:eastAsia="en-US"/>
              </w:rPr>
              <w:t>Eiropas K</w:t>
            </w:r>
            <w:r w:rsidR="0043710A" w:rsidRPr="00BA7F2C">
              <w:rPr>
                <w:lang w:eastAsia="en-US"/>
              </w:rPr>
              <w:t xml:space="preserve">omisija </w:t>
            </w:r>
            <w:r w:rsidRPr="00BA7F2C">
              <w:rPr>
                <w:lang w:eastAsia="en-US"/>
              </w:rPr>
              <w:t>un piemērot</w:t>
            </w:r>
            <w:r w:rsidR="0043710A" w:rsidRPr="00BA7F2C">
              <w:rPr>
                <w:lang w:eastAsia="en-US"/>
              </w:rPr>
              <w:t>u</w:t>
            </w:r>
            <w:r w:rsidRPr="00BA7F2C">
              <w:rPr>
                <w:lang w:eastAsia="en-US"/>
              </w:rPr>
              <w:t xml:space="preserve"> normas</w:t>
            </w:r>
            <w:r w:rsidR="002B55AA" w:rsidRPr="00BA7F2C">
              <w:rPr>
                <w:lang w:eastAsia="en-US"/>
              </w:rPr>
              <w:t xml:space="preserve"> anotācijas I sadaļas 2.</w:t>
            </w:r>
            <w:r w:rsidR="00B55BF7" w:rsidRPr="00BA7F2C">
              <w:rPr>
                <w:lang w:eastAsia="en-US"/>
              </w:rPr>
              <w:t xml:space="preserve"> </w:t>
            </w:r>
            <w:r w:rsidR="002B55AA" w:rsidRPr="00BA7F2C">
              <w:rPr>
                <w:lang w:eastAsia="en-US"/>
              </w:rPr>
              <w:t>punktā minēt</w:t>
            </w:r>
            <w:r w:rsidRPr="00BA7F2C">
              <w:rPr>
                <w:lang w:eastAsia="en-US"/>
              </w:rPr>
              <w:t>ajam</w:t>
            </w:r>
            <w:r w:rsidR="006C0363" w:rsidRPr="00BA7F2C">
              <w:rPr>
                <w:lang w:eastAsia="en-US"/>
              </w:rPr>
              <w:t xml:space="preserve"> ES regulējum</w:t>
            </w:r>
            <w:r w:rsidRPr="00BA7F2C">
              <w:rPr>
                <w:lang w:eastAsia="en-US"/>
              </w:rPr>
              <w:t>am</w:t>
            </w:r>
            <w:r w:rsidR="006C0363" w:rsidRPr="00BA7F2C">
              <w:rPr>
                <w:lang w:eastAsia="en-US"/>
              </w:rPr>
              <w:t>.</w:t>
            </w:r>
            <w:r w:rsidR="007312E2" w:rsidRPr="00BA7F2C">
              <w:rPr>
                <w:lang w:eastAsia="en-US"/>
              </w:rPr>
              <w:t xml:space="preserve"> </w:t>
            </w:r>
          </w:p>
        </w:tc>
      </w:tr>
      <w:tr w:rsidR="007F70E3" w:rsidRPr="00C87DA2" w14:paraId="47BCA4FE" w14:textId="77777777" w:rsidTr="00B03BF9">
        <w:trPr>
          <w:trHeight w:val="510"/>
        </w:trPr>
        <w:tc>
          <w:tcPr>
            <w:tcW w:w="454" w:type="dxa"/>
            <w:gridSpan w:val="2"/>
          </w:tcPr>
          <w:p w14:paraId="6BF142A8" w14:textId="77777777" w:rsidR="007F70E3" w:rsidRPr="00C87DA2" w:rsidRDefault="007F70E3" w:rsidP="00456CB0">
            <w:r w:rsidRPr="00C87DA2">
              <w:t>2.</w:t>
            </w:r>
          </w:p>
        </w:tc>
        <w:tc>
          <w:tcPr>
            <w:tcW w:w="2808" w:type="dxa"/>
            <w:gridSpan w:val="2"/>
          </w:tcPr>
          <w:p w14:paraId="21970AC3" w14:textId="77777777" w:rsidR="007F70E3" w:rsidRPr="00BA7F2C" w:rsidRDefault="007F70E3" w:rsidP="00456CB0">
            <w:r w:rsidRPr="00BA7F2C">
              <w:t>Tiesiskā regulējuma ietekme uz tautsaimniecību un administratīvo slogu</w:t>
            </w:r>
          </w:p>
        </w:tc>
        <w:tc>
          <w:tcPr>
            <w:tcW w:w="5957" w:type="dxa"/>
            <w:gridSpan w:val="2"/>
          </w:tcPr>
          <w:p w14:paraId="0EBB5868" w14:textId="3B7440C4" w:rsidR="004D5FC5" w:rsidRPr="00BA7F2C" w:rsidRDefault="00F70861" w:rsidP="00CC5DD7">
            <w:pPr>
              <w:jc w:val="both"/>
              <w:rPr>
                <w:lang w:eastAsia="en-US"/>
              </w:rPr>
            </w:pPr>
            <w:r w:rsidRPr="00BA7F2C">
              <w:rPr>
                <w:lang w:eastAsia="en-US"/>
              </w:rPr>
              <w:t>Jau 2015. gadā tika noteikta kārtība, ka lauksaimniekiem, kuri piesaka atbalstam vismaz 10</w:t>
            </w:r>
            <w:r w:rsidR="00D35918" w:rsidRPr="00BA7F2C">
              <w:rPr>
                <w:lang w:eastAsia="en-US"/>
              </w:rPr>
              <w:t xml:space="preserve"> </w:t>
            </w:r>
            <w:r w:rsidRPr="00BA7F2C">
              <w:rPr>
                <w:lang w:eastAsia="en-US"/>
              </w:rPr>
              <w:t>ha aramzeme</w:t>
            </w:r>
            <w:r w:rsidR="00D35918" w:rsidRPr="00BA7F2C">
              <w:rPr>
                <w:lang w:eastAsia="en-US"/>
              </w:rPr>
              <w:t>s</w:t>
            </w:r>
            <w:r w:rsidRPr="00BA7F2C">
              <w:rPr>
                <w:lang w:eastAsia="en-US"/>
              </w:rPr>
              <w:t>, vienotais iesniegums tiešo maksājumu saņemšanai ir j</w:t>
            </w:r>
            <w:r w:rsidR="00D35918" w:rsidRPr="00BA7F2C">
              <w:rPr>
                <w:lang w:eastAsia="en-US"/>
              </w:rPr>
              <w:t>ā</w:t>
            </w:r>
            <w:r w:rsidRPr="00BA7F2C">
              <w:rPr>
                <w:lang w:eastAsia="en-US"/>
              </w:rPr>
              <w:t>iesn</w:t>
            </w:r>
            <w:r w:rsidR="00D35918" w:rsidRPr="00BA7F2C">
              <w:rPr>
                <w:lang w:eastAsia="en-US"/>
              </w:rPr>
              <w:t>ie</w:t>
            </w:r>
            <w:r w:rsidRPr="00BA7F2C">
              <w:rPr>
                <w:lang w:eastAsia="en-US"/>
              </w:rPr>
              <w:t xml:space="preserve">dz </w:t>
            </w:r>
            <w:r w:rsidR="00BE0CF5" w:rsidRPr="00BA7F2C">
              <w:rPr>
                <w:lang w:eastAsia="en-US"/>
              </w:rPr>
              <w:t>LAD EPS</w:t>
            </w:r>
            <w:r w:rsidRPr="00BA7F2C">
              <w:rPr>
                <w:lang w:eastAsia="en-US"/>
              </w:rPr>
              <w:t xml:space="preserve">. </w:t>
            </w:r>
          </w:p>
          <w:p w14:paraId="443B3C9D" w14:textId="10CB7A42" w:rsidR="004D5FC5" w:rsidRPr="00BA7F2C" w:rsidRDefault="00F70861" w:rsidP="00CC5DD7">
            <w:pPr>
              <w:jc w:val="both"/>
            </w:pPr>
            <w:r w:rsidRPr="00BA7F2C">
              <w:rPr>
                <w:lang w:eastAsia="en-US"/>
              </w:rPr>
              <w:t xml:space="preserve">2016. gadā </w:t>
            </w:r>
            <w:r w:rsidR="00781713" w:rsidRPr="00BA7F2C">
              <w:rPr>
                <w:lang w:eastAsia="en-US"/>
              </w:rPr>
              <w:t xml:space="preserve">ikviens atbalsta pretendents tiks veicināts izmantot </w:t>
            </w:r>
            <w:r w:rsidR="00781713" w:rsidRPr="00BA7F2C">
              <w:t>LAD EPS</w:t>
            </w:r>
            <w:r w:rsidR="00781713" w:rsidRPr="00BA7F2C">
              <w:rPr>
                <w:lang w:eastAsia="en-US"/>
              </w:rPr>
              <w:t xml:space="preserve">, </w:t>
            </w:r>
            <w:r w:rsidR="00D35918" w:rsidRPr="00BA7F2C">
              <w:rPr>
                <w:lang w:eastAsia="en-US"/>
              </w:rPr>
              <w:t>un</w:t>
            </w:r>
            <w:r w:rsidRPr="00BA7F2C">
              <w:rPr>
                <w:lang w:eastAsia="en-US"/>
              </w:rPr>
              <w:t xml:space="preserve"> šī prasība</w:t>
            </w:r>
            <w:r w:rsidR="0028030B" w:rsidRPr="00BA7F2C">
              <w:t xml:space="preserve"> tiks attiecināta uz lauksaimniekiem, kuru rīcībā ir vismaz 10 hektāri lauksaimniecības zemes, kā arī pretendentiem Lauku attīstības </w:t>
            </w:r>
            <w:r w:rsidR="0028030B" w:rsidRPr="00BA7F2C">
              <w:rPr>
                <w:lang w:eastAsia="en-US"/>
              </w:rPr>
              <w:t xml:space="preserve">programmas “Agrovide un klimats” vai ”Bioloģiskā lauksaimniecība” </w:t>
            </w:r>
            <w:r w:rsidR="00D35918" w:rsidRPr="00BA7F2C">
              <w:rPr>
                <w:lang w:eastAsia="en-US"/>
              </w:rPr>
              <w:t>pasākumos</w:t>
            </w:r>
            <w:r w:rsidR="0028030B" w:rsidRPr="00BA7F2C">
              <w:rPr>
                <w:lang w:eastAsia="en-US"/>
              </w:rPr>
              <w:t>.</w:t>
            </w:r>
            <w:r w:rsidR="0028030B" w:rsidRPr="00BA7F2C">
              <w:t xml:space="preserve"> </w:t>
            </w:r>
          </w:p>
          <w:p w14:paraId="2F911AAB" w14:textId="495FE0FD" w:rsidR="003934F5" w:rsidRPr="00BA7F2C" w:rsidRDefault="00F70861" w:rsidP="00CC5DD7">
            <w:pPr>
              <w:jc w:val="both"/>
              <w:rPr>
                <w:lang w:eastAsia="en-US"/>
              </w:rPr>
            </w:pPr>
            <w:r w:rsidRPr="00BA7F2C">
              <w:rPr>
                <w:lang w:eastAsia="en-US"/>
              </w:rPr>
              <w:t>Savukārt</w:t>
            </w:r>
            <w:r w:rsidR="0028030B" w:rsidRPr="00BA7F2C">
              <w:rPr>
                <w:lang w:eastAsia="en-US"/>
              </w:rPr>
              <w:t xml:space="preserve"> tiem atbalsta pretendentiem, </w:t>
            </w:r>
            <w:r w:rsidR="00BE0CF5" w:rsidRPr="00BA7F2C">
              <w:rPr>
                <w:lang w:eastAsia="en-US"/>
              </w:rPr>
              <w:t xml:space="preserve">kuru rīcībā ir mazāk nekā 10 hektāri lauksaimniecības zemes un kuriem </w:t>
            </w:r>
            <w:r w:rsidR="0028030B" w:rsidRPr="00BA7F2C">
              <w:rPr>
                <w:lang w:eastAsia="en-US"/>
              </w:rPr>
              <w:t xml:space="preserve">būs grūtības aizpildīt vienotā iesnieguma formu </w:t>
            </w:r>
            <w:r w:rsidRPr="00BA7F2C">
              <w:rPr>
                <w:lang w:eastAsia="en-US"/>
              </w:rPr>
              <w:t>EPS</w:t>
            </w:r>
            <w:r w:rsidR="00D35918" w:rsidRPr="00BA7F2C">
              <w:rPr>
                <w:lang w:eastAsia="en-US"/>
              </w:rPr>
              <w:t>,</w:t>
            </w:r>
            <w:r w:rsidR="0028030B" w:rsidRPr="00BA7F2C">
              <w:rPr>
                <w:lang w:eastAsia="en-US"/>
              </w:rPr>
              <w:t xml:space="preserve"> tiks nodrošināta iespēja līdz </w:t>
            </w:r>
            <w:r w:rsidR="00781713" w:rsidRPr="00BA7F2C">
              <w:rPr>
                <w:lang w:eastAsia="en-US"/>
              </w:rPr>
              <w:t>10</w:t>
            </w:r>
            <w:r w:rsidR="0028030B" w:rsidRPr="00BA7F2C">
              <w:rPr>
                <w:lang w:eastAsia="en-US"/>
              </w:rPr>
              <w:t xml:space="preserve">. </w:t>
            </w:r>
            <w:r w:rsidR="00781713" w:rsidRPr="00BA7F2C">
              <w:rPr>
                <w:lang w:eastAsia="en-US"/>
              </w:rPr>
              <w:t xml:space="preserve">maijam </w:t>
            </w:r>
            <w:r w:rsidR="0028030B" w:rsidRPr="00BA7F2C">
              <w:rPr>
                <w:lang w:eastAsia="en-US"/>
              </w:rPr>
              <w:t xml:space="preserve">iesniegt pieprasījumu rakstiski vai telefoniski LAD par vienotā iesnieguma sagatavošanu papīra formā, kā arī </w:t>
            </w:r>
            <w:r w:rsidR="00D35918" w:rsidRPr="00BA7F2C">
              <w:rPr>
                <w:lang w:eastAsia="en-US"/>
              </w:rPr>
              <w:t>vērs</w:t>
            </w:r>
            <w:r w:rsidR="0028030B" w:rsidRPr="00BA7F2C">
              <w:rPr>
                <w:lang w:eastAsia="en-US"/>
              </w:rPr>
              <w:t>ties LAD reģionālajā pārvaldē, lai saņemtu palīdzību vienotā iesnieguma aizpildīšanai</w:t>
            </w:r>
            <w:r w:rsidRPr="00BA7F2C">
              <w:rPr>
                <w:lang w:eastAsia="en-US"/>
              </w:rPr>
              <w:t>.</w:t>
            </w:r>
          </w:p>
          <w:p w14:paraId="6CB8DE78" w14:textId="7E472877" w:rsidR="00D91BA6" w:rsidRPr="00BA7F2C" w:rsidRDefault="00BE0CF5" w:rsidP="00D91BA6">
            <w:pPr>
              <w:jc w:val="both"/>
            </w:pPr>
            <w:r w:rsidRPr="00BA7F2C">
              <w:rPr>
                <w:lang w:eastAsia="en-US"/>
              </w:rPr>
              <w:t>K</w:t>
            </w:r>
            <w:r w:rsidR="0028030B" w:rsidRPr="00BA7F2C">
              <w:rPr>
                <w:lang w:eastAsia="en-US"/>
              </w:rPr>
              <w:t>opumā šī</w:t>
            </w:r>
            <w:r w:rsidR="00F70861" w:rsidRPr="00BA7F2C">
              <w:rPr>
                <w:lang w:eastAsia="en-US"/>
              </w:rPr>
              <w:t>s</w:t>
            </w:r>
            <w:r w:rsidR="0028030B" w:rsidRPr="00BA7F2C">
              <w:rPr>
                <w:lang w:eastAsia="en-US"/>
              </w:rPr>
              <w:t xml:space="preserve"> prasība</w:t>
            </w:r>
            <w:r w:rsidR="00F70861" w:rsidRPr="00BA7F2C">
              <w:rPr>
                <w:lang w:eastAsia="en-US"/>
              </w:rPr>
              <w:t xml:space="preserve">s </w:t>
            </w:r>
            <w:r w:rsidRPr="00BA7F2C">
              <w:rPr>
                <w:lang w:eastAsia="en-US"/>
              </w:rPr>
              <w:t xml:space="preserve">veicināšana un </w:t>
            </w:r>
            <w:r w:rsidR="00F70861" w:rsidRPr="00BA7F2C">
              <w:rPr>
                <w:lang w:eastAsia="en-US"/>
              </w:rPr>
              <w:t>īstenošan</w:t>
            </w:r>
            <w:r w:rsidR="00D35918" w:rsidRPr="00BA7F2C">
              <w:rPr>
                <w:lang w:eastAsia="en-US"/>
              </w:rPr>
              <w:t>a</w:t>
            </w:r>
            <w:r w:rsidR="0028030B" w:rsidRPr="00BA7F2C">
              <w:rPr>
                <w:lang w:eastAsia="en-US"/>
              </w:rPr>
              <w:t xml:space="preserve"> ir vērtējama kā administratīvā sloga samazinājums</w:t>
            </w:r>
            <w:r w:rsidR="00F70861" w:rsidRPr="00BA7F2C">
              <w:rPr>
                <w:lang w:eastAsia="en-US"/>
              </w:rPr>
              <w:t>, jo elektroniskā pieteikšanās jau šobrīd</w:t>
            </w:r>
            <w:r w:rsidR="00F70861" w:rsidRPr="00BA7F2C">
              <w:t xml:space="preserve"> </w:t>
            </w:r>
            <w:r w:rsidR="00F70861" w:rsidRPr="00BA7F2C">
              <w:rPr>
                <w:lang w:eastAsia="en-US"/>
              </w:rPr>
              <w:t>nodrošina lauksaimniekiem precīzāku iesniegumu aizpildīšanu, vienkāršākas iesnieguma precizēšanas un labošanas iespējas</w:t>
            </w:r>
            <w:r w:rsidR="00D35918" w:rsidRPr="00BA7F2C">
              <w:rPr>
                <w:lang w:eastAsia="en-US"/>
              </w:rPr>
              <w:t xml:space="preserve">. </w:t>
            </w:r>
            <w:r w:rsidR="00D91BA6" w:rsidRPr="00BA7F2C">
              <w:rPr>
                <w:lang w:eastAsia="en-US"/>
              </w:rPr>
              <w:t xml:space="preserve">Tā arī samazinās kļūdas iesniegumos, un lauksaimnieks varēs iesniegt vienoto iesniegumu no sava datora, nepavadot laiku </w:t>
            </w:r>
            <w:r w:rsidR="00D91BA6" w:rsidRPr="00BA7F2C">
              <w:rPr>
                <w:lang w:eastAsia="en-US"/>
              </w:rPr>
              <w:lastRenderedPageBreak/>
              <w:t xml:space="preserve">ceļā uz LAD reģionālo pārvaldi. </w:t>
            </w:r>
            <w:r w:rsidR="00D91BA6" w:rsidRPr="00BA7F2C">
              <w:t>Līdz šim ik gadu lauksaimnieku iesniegumos tiek konstatēti lauku pārklājumi vairāk nekā 7900 laukiem un pārdeklarācijas vairāk nekā 21000 laukiem. Šādi lauku pārklāšanās vai pārdeklarāciju gadījumi pieprasa veikt izmaiņas iesniegumos, kas rada administratīvo slogu lauksaimniekiem, kuri vienoto iesniegumu snieguši LAD papīra formā. Turklāt par lauksaimniecības zemes platības samazināšanu iesniegumā, salīdzinājumā ar sākotnēji iesniegumā deklarēto, ir jāpiemēro sankcijas.</w:t>
            </w:r>
          </w:p>
          <w:p w14:paraId="0A41FADB" w14:textId="72AAF5D6" w:rsidR="003934F5" w:rsidRPr="00BA7F2C" w:rsidRDefault="00F70861" w:rsidP="003934F5">
            <w:pPr>
              <w:jc w:val="both"/>
              <w:rPr>
                <w:lang w:eastAsia="en-US"/>
              </w:rPr>
            </w:pPr>
            <w:r w:rsidRPr="00BA7F2C">
              <w:rPr>
                <w:lang w:eastAsia="en-US"/>
              </w:rPr>
              <w:t xml:space="preserve">EPS </w:t>
            </w:r>
            <w:r w:rsidR="00BE0CF5" w:rsidRPr="00BA7F2C">
              <w:rPr>
                <w:lang w:eastAsia="en-US"/>
              </w:rPr>
              <w:t xml:space="preserve">izmantošanas veicināšana ievērojami mazinās administratīvo slogu </w:t>
            </w:r>
            <w:r w:rsidRPr="00BA7F2C">
              <w:rPr>
                <w:lang w:eastAsia="en-US"/>
              </w:rPr>
              <w:t xml:space="preserve"> </w:t>
            </w:r>
            <w:r w:rsidR="00BE0CF5" w:rsidRPr="00BA7F2C">
              <w:rPr>
                <w:lang w:eastAsia="en-US"/>
              </w:rPr>
              <w:t xml:space="preserve">lauksaimnieku </w:t>
            </w:r>
            <w:r w:rsidRPr="00BA7F2C">
              <w:rPr>
                <w:lang w:eastAsia="en-US"/>
              </w:rPr>
              <w:t xml:space="preserve">grupai, </w:t>
            </w:r>
            <w:r w:rsidR="00BE0CF5" w:rsidRPr="00BA7F2C">
              <w:rPr>
                <w:lang w:eastAsia="en-US"/>
              </w:rPr>
              <w:t xml:space="preserve">kuri 2015. gadā ir pieteikušies dalībai mazo lauksaimnieku shēmā (15 886 lauksaimnieki), </w:t>
            </w:r>
            <w:r w:rsidRPr="00BA7F2C">
              <w:rPr>
                <w:lang w:eastAsia="en-US"/>
              </w:rPr>
              <w:t>jo</w:t>
            </w:r>
            <w:r w:rsidR="00D35918" w:rsidRPr="00BA7F2C">
              <w:rPr>
                <w:lang w:eastAsia="en-US"/>
              </w:rPr>
              <w:t>,</w:t>
            </w:r>
            <w:r w:rsidR="003934F5" w:rsidRPr="00BA7F2C">
              <w:rPr>
                <w:lang w:eastAsia="en-US"/>
              </w:rPr>
              <w:t xml:space="preserve"> lai turpinātu dalību šajā shēmā, lauksaimniek</w:t>
            </w:r>
            <w:r w:rsidRPr="00BA7F2C">
              <w:rPr>
                <w:lang w:eastAsia="en-US"/>
              </w:rPr>
              <w:t>a</w:t>
            </w:r>
            <w:r w:rsidR="003934F5" w:rsidRPr="00BA7F2C">
              <w:rPr>
                <w:lang w:eastAsia="en-US"/>
              </w:rPr>
              <w:t xml:space="preserve">m </w:t>
            </w:r>
            <w:r w:rsidR="00D35918" w:rsidRPr="00BA7F2C">
              <w:rPr>
                <w:lang w:eastAsia="en-US"/>
              </w:rPr>
              <w:t xml:space="preserve">iesniegums </w:t>
            </w:r>
            <w:r w:rsidR="003934F5" w:rsidRPr="00BA7F2C">
              <w:rPr>
                <w:lang w:eastAsia="en-US"/>
              </w:rPr>
              <w:t xml:space="preserve">būs </w:t>
            </w:r>
            <w:r w:rsidRPr="00BA7F2C">
              <w:rPr>
                <w:lang w:eastAsia="en-US"/>
              </w:rPr>
              <w:t xml:space="preserve">jāiesniedz </w:t>
            </w:r>
            <w:r w:rsidR="003934F5" w:rsidRPr="00BA7F2C">
              <w:rPr>
                <w:lang w:eastAsia="en-US"/>
              </w:rPr>
              <w:t>tikai</w:t>
            </w:r>
            <w:r w:rsidR="00BE0CF5" w:rsidRPr="00BA7F2C">
              <w:rPr>
                <w:lang w:eastAsia="en-US"/>
              </w:rPr>
              <w:t>,</w:t>
            </w:r>
            <w:r w:rsidRPr="00BA7F2C">
              <w:rPr>
                <w:lang w:eastAsia="en-US"/>
              </w:rPr>
              <w:t xml:space="preserve"> lai apstiprinātu, ka tas turpina</w:t>
            </w:r>
            <w:r w:rsidR="003934F5" w:rsidRPr="00BA7F2C">
              <w:rPr>
                <w:lang w:eastAsia="en-US"/>
              </w:rPr>
              <w:t xml:space="preserve"> dalību shēmā arī kārtējā gadā</w:t>
            </w:r>
            <w:r w:rsidR="00D35918" w:rsidRPr="00BA7F2C">
              <w:rPr>
                <w:lang w:eastAsia="en-US"/>
              </w:rPr>
              <w:t>,</w:t>
            </w:r>
            <w:r w:rsidR="003934F5" w:rsidRPr="00BA7F2C">
              <w:rPr>
                <w:lang w:eastAsia="en-US"/>
              </w:rPr>
              <w:t xml:space="preserve"> un norād</w:t>
            </w:r>
            <w:r w:rsidRPr="00BA7F2C">
              <w:rPr>
                <w:lang w:eastAsia="en-US"/>
              </w:rPr>
              <w:t>ī</w:t>
            </w:r>
            <w:r w:rsidR="003934F5" w:rsidRPr="00BA7F2C">
              <w:rPr>
                <w:lang w:eastAsia="en-US"/>
              </w:rPr>
              <w:t>t</w:t>
            </w:r>
            <w:r w:rsidRPr="00BA7F2C">
              <w:rPr>
                <w:lang w:eastAsia="en-US"/>
              </w:rPr>
              <w:t>u</w:t>
            </w:r>
            <w:r w:rsidR="003934F5" w:rsidRPr="00BA7F2C">
              <w:rPr>
                <w:lang w:eastAsia="en-US"/>
              </w:rPr>
              <w:t>, ka 2015. gadā atbalstam pieteiktās platības nav mainījušās.</w:t>
            </w:r>
          </w:p>
          <w:p w14:paraId="204162A7" w14:textId="77777777" w:rsidR="003934F5" w:rsidRPr="00BA7F2C" w:rsidRDefault="003934F5" w:rsidP="003934F5">
            <w:pPr>
              <w:jc w:val="both"/>
              <w:rPr>
                <w:lang w:eastAsia="en-US"/>
              </w:rPr>
            </w:pPr>
          </w:p>
          <w:p w14:paraId="077251E6" w14:textId="77777777" w:rsidR="00BE0938" w:rsidRPr="00BA7F2C" w:rsidRDefault="00A92568" w:rsidP="00D35918">
            <w:pPr>
              <w:jc w:val="both"/>
            </w:pPr>
            <w:r w:rsidRPr="00BA7F2C">
              <w:rPr>
                <w:lang w:eastAsia="en-US"/>
              </w:rPr>
              <w:t>Pārējie noteikumu nosacījumi nerada</w:t>
            </w:r>
            <w:r w:rsidR="00625D19" w:rsidRPr="00BA7F2C">
              <w:rPr>
                <w:lang w:eastAsia="en-US"/>
              </w:rPr>
              <w:t xml:space="preserve"> papildu</w:t>
            </w:r>
            <w:r w:rsidRPr="00BA7F2C">
              <w:rPr>
                <w:lang w:eastAsia="en-US"/>
              </w:rPr>
              <w:t xml:space="preserve"> informācijas sniegšanas prasības un </w:t>
            </w:r>
            <w:r w:rsidR="00D35918" w:rsidRPr="00BA7F2C">
              <w:rPr>
                <w:lang w:eastAsia="en-US"/>
              </w:rPr>
              <w:t xml:space="preserve">līdz ar to neveido </w:t>
            </w:r>
            <w:r w:rsidRPr="00BA7F2C">
              <w:rPr>
                <w:lang w:eastAsia="en-US"/>
              </w:rPr>
              <w:t xml:space="preserve">administratīvo slogu. </w:t>
            </w:r>
          </w:p>
        </w:tc>
      </w:tr>
      <w:tr w:rsidR="007F70E3" w:rsidRPr="00C87DA2" w14:paraId="52293011" w14:textId="77777777" w:rsidTr="00B03BF9">
        <w:trPr>
          <w:trHeight w:val="510"/>
        </w:trPr>
        <w:tc>
          <w:tcPr>
            <w:tcW w:w="454" w:type="dxa"/>
            <w:gridSpan w:val="2"/>
          </w:tcPr>
          <w:p w14:paraId="2B128635" w14:textId="77777777" w:rsidR="007F70E3" w:rsidRPr="00C87DA2" w:rsidRDefault="007F70E3" w:rsidP="00456CB0">
            <w:r w:rsidRPr="00C87DA2">
              <w:lastRenderedPageBreak/>
              <w:t>3.</w:t>
            </w:r>
          </w:p>
        </w:tc>
        <w:tc>
          <w:tcPr>
            <w:tcW w:w="2808" w:type="dxa"/>
            <w:gridSpan w:val="2"/>
          </w:tcPr>
          <w:p w14:paraId="00B3623E" w14:textId="77777777" w:rsidR="007F70E3" w:rsidRPr="00C87DA2" w:rsidRDefault="007F70E3" w:rsidP="00456CB0">
            <w:r w:rsidRPr="00C87DA2">
              <w:t>Administratīvo izmaksu monetārs novērtējums</w:t>
            </w:r>
          </w:p>
        </w:tc>
        <w:tc>
          <w:tcPr>
            <w:tcW w:w="5957" w:type="dxa"/>
            <w:gridSpan w:val="2"/>
          </w:tcPr>
          <w:p w14:paraId="7CCCA6D5" w14:textId="77777777" w:rsidR="007F70E3" w:rsidRPr="00C87DA2" w:rsidRDefault="00116422" w:rsidP="002B55AA">
            <w:pPr>
              <w:jc w:val="both"/>
              <w:rPr>
                <w:lang w:eastAsia="en-US"/>
              </w:rPr>
            </w:pPr>
            <w:bookmarkStart w:id="3" w:name="p-468669"/>
            <w:bookmarkStart w:id="4" w:name="p24"/>
            <w:bookmarkEnd w:id="3"/>
            <w:bookmarkEnd w:id="4"/>
            <w:r w:rsidRPr="00C87DA2">
              <w:rPr>
                <w:lang w:eastAsia="en-US"/>
              </w:rPr>
              <w:t xml:space="preserve">Noteikumu </w:t>
            </w:r>
            <w:r w:rsidR="002B55AA" w:rsidRPr="00C87DA2">
              <w:rPr>
                <w:lang w:eastAsia="en-US"/>
              </w:rPr>
              <w:t xml:space="preserve">projektā </w:t>
            </w:r>
            <w:r w:rsidR="00E35C41" w:rsidRPr="00C87DA2">
              <w:rPr>
                <w:lang w:eastAsia="en-US"/>
              </w:rPr>
              <w:t>ietvertie</w:t>
            </w:r>
            <w:r w:rsidRPr="00C87DA2">
              <w:rPr>
                <w:lang w:eastAsia="en-US"/>
              </w:rPr>
              <w:t xml:space="preserve"> nosacījumi neradīs jaunus obligātos informācijas sniegšanas pienākumus un nepalielinās esošo informācijas sniegšanas prasību apjomu, </w:t>
            </w:r>
            <w:r w:rsidR="00E35C41" w:rsidRPr="00C87DA2">
              <w:rPr>
                <w:lang w:eastAsia="en-US"/>
              </w:rPr>
              <w:t>tāpēc</w:t>
            </w:r>
            <w:r w:rsidRPr="00C87DA2">
              <w:rPr>
                <w:lang w:eastAsia="en-US"/>
              </w:rPr>
              <w:t xml:space="preserve"> netiks </w:t>
            </w:r>
            <w:r w:rsidR="00E35C41" w:rsidRPr="00C87DA2">
              <w:rPr>
                <w:lang w:eastAsia="en-US"/>
              </w:rPr>
              <w:t>uzlikts</w:t>
            </w:r>
            <w:r w:rsidRPr="00C87DA2">
              <w:rPr>
                <w:lang w:eastAsia="en-US"/>
              </w:rPr>
              <w:t xml:space="preserve"> papildu administratīvais slogs un neradīsies administratīvās izmaksas.</w:t>
            </w:r>
          </w:p>
        </w:tc>
      </w:tr>
      <w:tr w:rsidR="007F70E3" w:rsidRPr="00C87DA2" w14:paraId="7164ABC7" w14:textId="77777777" w:rsidTr="00B03BF9">
        <w:trPr>
          <w:trHeight w:val="345"/>
        </w:trPr>
        <w:tc>
          <w:tcPr>
            <w:tcW w:w="454" w:type="dxa"/>
            <w:gridSpan w:val="2"/>
          </w:tcPr>
          <w:p w14:paraId="1125D6C4" w14:textId="77777777" w:rsidR="007F70E3" w:rsidRPr="00C87DA2" w:rsidRDefault="007F70E3" w:rsidP="00456CB0">
            <w:r w:rsidRPr="00C87DA2">
              <w:t>4.</w:t>
            </w:r>
          </w:p>
        </w:tc>
        <w:tc>
          <w:tcPr>
            <w:tcW w:w="2808" w:type="dxa"/>
            <w:gridSpan w:val="2"/>
          </w:tcPr>
          <w:p w14:paraId="73ACE7D4" w14:textId="77777777" w:rsidR="007F70E3" w:rsidRPr="00C87DA2" w:rsidRDefault="007F70E3" w:rsidP="00456CB0">
            <w:r w:rsidRPr="00C87DA2">
              <w:t>Cita informācija</w:t>
            </w:r>
          </w:p>
        </w:tc>
        <w:tc>
          <w:tcPr>
            <w:tcW w:w="5957" w:type="dxa"/>
            <w:gridSpan w:val="2"/>
          </w:tcPr>
          <w:p w14:paraId="4B46ACEC" w14:textId="77777777" w:rsidR="007F70E3" w:rsidRPr="00C87DA2" w:rsidRDefault="007F70E3" w:rsidP="00456CB0">
            <w:pPr>
              <w:spacing w:before="100" w:beforeAutospacing="1" w:after="100" w:afterAutospacing="1" w:line="360" w:lineRule="auto"/>
            </w:pPr>
            <w:r w:rsidRPr="00C87DA2">
              <w:t>Nav.</w:t>
            </w:r>
          </w:p>
        </w:tc>
      </w:tr>
    </w:tbl>
    <w:p w14:paraId="3E1EED86" w14:textId="77777777" w:rsidR="00472BD9" w:rsidRPr="00EE5EB2" w:rsidRDefault="00472BD9" w:rsidP="00472BD9">
      <w:r w:rsidRPr="00EE5EB2">
        <w:t> </w:t>
      </w:r>
    </w:p>
    <w:tbl>
      <w:tblPr>
        <w:tblW w:w="524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26"/>
        <w:gridCol w:w="1348"/>
        <w:gridCol w:w="1304"/>
        <w:gridCol w:w="1317"/>
        <w:gridCol w:w="1420"/>
        <w:gridCol w:w="1275"/>
      </w:tblGrid>
      <w:tr w:rsidR="00472BD9" w:rsidRPr="00EE5EB2" w14:paraId="489DC020" w14:textId="77777777" w:rsidTr="008B65A2">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38B0DD0" w14:textId="77777777" w:rsidR="00472BD9" w:rsidRPr="00EE5EB2" w:rsidRDefault="00472BD9" w:rsidP="000F1278">
            <w:pPr>
              <w:rPr>
                <w:b/>
                <w:bCs/>
              </w:rPr>
            </w:pPr>
            <w:r w:rsidRPr="00EE5EB2">
              <w:rPr>
                <w:b/>
                <w:bCs/>
              </w:rPr>
              <w:t>III. Tiesību akta projekta ietekme uz valsts budžetu un pašvaldību budžetiem</w:t>
            </w:r>
          </w:p>
        </w:tc>
      </w:tr>
      <w:tr w:rsidR="00472BD9" w:rsidRPr="00EE5EB2" w14:paraId="218B8B47" w14:textId="77777777" w:rsidTr="008B65A2">
        <w:trPr>
          <w:jc w:val="center"/>
        </w:trPr>
        <w:tc>
          <w:tcPr>
            <w:tcW w:w="1489" w:type="pct"/>
            <w:vMerge w:val="restart"/>
            <w:tcBorders>
              <w:top w:val="outset" w:sz="6" w:space="0" w:color="414142"/>
              <w:left w:val="outset" w:sz="6" w:space="0" w:color="414142"/>
              <w:bottom w:val="outset" w:sz="6" w:space="0" w:color="414142"/>
              <w:right w:val="outset" w:sz="6" w:space="0" w:color="414142"/>
            </w:tcBorders>
            <w:vAlign w:val="center"/>
            <w:hideMark/>
          </w:tcPr>
          <w:p w14:paraId="66E0641D" w14:textId="77777777" w:rsidR="00472BD9" w:rsidRPr="00EE5EB2" w:rsidRDefault="00472BD9" w:rsidP="000F1278">
            <w:pPr>
              <w:rPr>
                <w:b/>
                <w:bCs/>
              </w:rPr>
            </w:pPr>
            <w:r w:rsidRPr="00EE5EB2">
              <w:rPr>
                <w:b/>
                <w:bCs/>
              </w:rPr>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96D9A3B" w14:textId="77777777" w:rsidR="00472BD9" w:rsidRPr="00EE5EB2" w:rsidRDefault="00472BD9" w:rsidP="00472BD9">
            <w:pPr>
              <w:rPr>
                <w:b/>
                <w:bCs/>
              </w:rPr>
            </w:pPr>
            <w:r w:rsidRPr="00EE5EB2">
              <w:rPr>
                <w:b/>
                <w:bCs/>
              </w:rPr>
              <w:t>201</w:t>
            </w:r>
            <w:r>
              <w:rPr>
                <w:b/>
                <w:bCs/>
              </w:rPr>
              <w:t>6</w:t>
            </w:r>
          </w:p>
        </w:tc>
        <w:tc>
          <w:tcPr>
            <w:tcW w:w="2114" w:type="pct"/>
            <w:gridSpan w:val="3"/>
            <w:tcBorders>
              <w:top w:val="outset" w:sz="6" w:space="0" w:color="414142"/>
              <w:left w:val="outset" w:sz="6" w:space="0" w:color="414142"/>
              <w:bottom w:val="outset" w:sz="6" w:space="0" w:color="414142"/>
              <w:right w:val="outset" w:sz="6" w:space="0" w:color="414142"/>
            </w:tcBorders>
            <w:vAlign w:val="center"/>
            <w:hideMark/>
          </w:tcPr>
          <w:p w14:paraId="0CC2A047" w14:textId="77777777" w:rsidR="00472BD9" w:rsidRPr="00EE5EB2" w:rsidRDefault="00472BD9" w:rsidP="000F1278">
            <w:r w:rsidRPr="00EE5EB2">
              <w:t>Turpmākie trīs gadi (</w:t>
            </w:r>
            <w:r w:rsidRPr="00EE5EB2">
              <w:rPr>
                <w:i/>
                <w:iCs/>
              </w:rPr>
              <w:t>euro</w:t>
            </w:r>
            <w:r w:rsidRPr="00EE5EB2">
              <w:t>)</w:t>
            </w:r>
          </w:p>
        </w:tc>
      </w:tr>
      <w:tr w:rsidR="00472BD9" w:rsidRPr="00EE5EB2" w14:paraId="597C2425" w14:textId="77777777" w:rsidTr="008B65A2">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14:paraId="016AE136" w14:textId="77777777" w:rsidR="00472BD9" w:rsidRPr="00EE5EB2" w:rsidRDefault="00472BD9" w:rsidP="000F1278">
            <w:pPr>
              <w:rPr>
                <w:b/>
                <w:bCs/>
              </w:rPr>
            </w:pPr>
          </w:p>
        </w:tc>
        <w:tc>
          <w:tcPr>
            <w:tcW w:w="1397" w:type="pct"/>
            <w:gridSpan w:val="2"/>
            <w:vMerge/>
            <w:tcBorders>
              <w:top w:val="outset" w:sz="6" w:space="0" w:color="414142"/>
              <w:left w:val="outset" w:sz="6" w:space="0" w:color="414142"/>
              <w:bottom w:val="outset" w:sz="6" w:space="0" w:color="414142"/>
              <w:right w:val="outset" w:sz="6" w:space="0" w:color="414142"/>
            </w:tcBorders>
            <w:vAlign w:val="center"/>
            <w:hideMark/>
          </w:tcPr>
          <w:p w14:paraId="7C4E93DA" w14:textId="77777777" w:rsidR="00472BD9" w:rsidRPr="00EE5EB2" w:rsidRDefault="00472BD9" w:rsidP="000F1278">
            <w:pPr>
              <w:rPr>
                <w:b/>
                <w:bCs/>
              </w:rPr>
            </w:pP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6D8B1E16" w14:textId="77777777" w:rsidR="00472BD9" w:rsidRPr="00EE5EB2" w:rsidRDefault="00472BD9" w:rsidP="00472BD9">
            <w:pPr>
              <w:rPr>
                <w:b/>
                <w:bCs/>
              </w:rPr>
            </w:pPr>
            <w:r w:rsidRPr="00EE5EB2">
              <w:rPr>
                <w:b/>
                <w:bCs/>
              </w:rPr>
              <w:t>201</w:t>
            </w:r>
            <w:r>
              <w:rPr>
                <w:b/>
                <w:bCs/>
              </w:rPr>
              <w:t>7</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D0E1C2B" w14:textId="77777777" w:rsidR="00472BD9" w:rsidRPr="00EE5EB2" w:rsidRDefault="00472BD9" w:rsidP="00472BD9">
            <w:pPr>
              <w:rPr>
                <w:b/>
                <w:bCs/>
              </w:rPr>
            </w:pPr>
            <w:r w:rsidRPr="00EE5EB2">
              <w:rPr>
                <w:b/>
                <w:bCs/>
              </w:rPr>
              <w:t>201</w:t>
            </w:r>
            <w:r>
              <w:rPr>
                <w:b/>
                <w:bCs/>
              </w:rPr>
              <w:t>8</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715B5FEE" w14:textId="77777777" w:rsidR="00472BD9" w:rsidRPr="00EE5EB2" w:rsidRDefault="00472BD9" w:rsidP="000F1278">
            <w:pPr>
              <w:rPr>
                <w:b/>
                <w:bCs/>
              </w:rPr>
            </w:pPr>
            <w:r w:rsidRPr="00EE5EB2">
              <w:rPr>
                <w:b/>
                <w:bCs/>
              </w:rPr>
              <w:t>2</w:t>
            </w:r>
            <w:r>
              <w:rPr>
                <w:b/>
                <w:bCs/>
              </w:rPr>
              <w:t>019</w:t>
            </w:r>
          </w:p>
        </w:tc>
      </w:tr>
      <w:tr w:rsidR="00472BD9" w:rsidRPr="00EE5EB2" w14:paraId="58BCE952" w14:textId="77777777" w:rsidTr="008B65A2">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14:paraId="0A8394DC" w14:textId="77777777" w:rsidR="00472BD9" w:rsidRPr="00EE5EB2" w:rsidRDefault="00472BD9" w:rsidP="000F1278">
            <w:pPr>
              <w:rPr>
                <w:b/>
                <w:bCs/>
              </w:rPr>
            </w:pP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74F2613C" w14:textId="77777777" w:rsidR="00472BD9" w:rsidRPr="00EE5EB2" w:rsidRDefault="00472BD9" w:rsidP="000F1278">
            <w:r w:rsidRPr="00EE5EB2">
              <w:t>saskaņā 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189262C" w14:textId="77777777" w:rsidR="00472BD9" w:rsidRPr="00EE5EB2" w:rsidRDefault="00472BD9" w:rsidP="000F1278">
            <w:r w:rsidRPr="00EE5EB2">
              <w:t>izmaiņas kārtējā gadā, salīdzinot ar valsts budžetu kārtējam gadam</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558A24B3" w14:textId="77777777" w:rsidR="00472BD9" w:rsidRPr="00EE5EB2" w:rsidRDefault="00472BD9" w:rsidP="000F1278">
            <w:r w:rsidRPr="00EE5EB2">
              <w:t>izmaiņas, salīdzinot ar kārtējo (n)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FAEC224" w14:textId="77777777" w:rsidR="00472BD9" w:rsidRPr="00EE5EB2" w:rsidRDefault="00472BD9" w:rsidP="000F1278">
            <w:r w:rsidRPr="00EE5EB2">
              <w:t>izmaiņas, salīdzinot ar kārtējo (n) gadu</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5E5AB41F" w14:textId="77777777" w:rsidR="00472BD9" w:rsidRPr="00EE5EB2" w:rsidRDefault="00472BD9" w:rsidP="000F1278">
            <w:r w:rsidRPr="00EE5EB2">
              <w:t>izmaiņas, salīdzinot ar kārtējo (n) gadu</w:t>
            </w:r>
          </w:p>
        </w:tc>
      </w:tr>
      <w:tr w:rsidR="00472BD9" w:rsidRPr="00EE5EB2" w14:paraId="7898E527"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vAlign w:val="center"/>
            <w:hideMark/>
          </w:tcPr>
          <w:p w14:paraId="624FC362" w14:textId="77777777" w:rsidR="00472BD9" w:rsidRPr="00EE5EB2" w:rsidRDefault="00472BD9" w:rsidP="000F1278">
            <w:r w:rsidRPr="00EE5EB2">
              <w:t>1</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9076337" w14:textId="77777777" w:rsidR="00472BD9" w:rsidRPr="00EE5EB2" w:rsidRDefault="00472BD9" w:rsidP="000F1278">
            <w:r w:rsidRPr="00EE5EB2">
              <w:t>2</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B75FBF1" w14:textId="77777777" w:rsidR="00472BD9" w:rsidRPr="00EE5EB2" w:rsidRDefault="00472BD9" w:rsidP="000F1278">
            <w:r w:rsidRPr="00EE5EB2">
              <w:t>3</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184F008E" w14:textId="77777777" w:rsidR="00472BD9" w:rsidRPr="00EE5EB2" w:rsidRDefault="00472BD9" w:rsidP="000F1278">
            <w:r w:rsidRPr="00EE5EB2">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9D4FD50" w14:textId="77777777" w:rsidR="00472BD9" w:rsidRPr="00EE5EB2" w:rsidRDefault="00472BD9" w:rsidP="000F1278">
            <w:r w:rsidRPr="00EE5EB2">
              <w:t>5</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6B06A29A" w14:textId="77777777" w:rsidR="00472BD9" w:rsidRPr="00EE5EB2" w:rsidRDefault="00472BD9" w:rsidP="000F1278">
            <w:r w:rsidRPr="00EE5EB2">
              <w:t>6</w:t>
            </w:r>
          </w:p>
        </w:tc>
      </w:tr>
      <w:tr w:rsidR="009F77EF" w:rsidRPr="00EE5EB2" w14:paraId="2D1B64E3"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1C9C0913" w14:textId="77777777" w:rsidR="009F77EF" w:rsidRPr="00EE5EB2" w:rsidRDefault="009F77EF" w:rsidP="00472BD9">
            <w:pPr>
              <w:ind w:left="104"/>
            </w:pPr>
            <w:r w:rsidRPr="00EE5EB2">
              <w:t>1. Budžeta ieņēmumi:</w:t>
            </w:r>
          </w:p>
        </w:tc>
        <w:tc>
          <w:tcPr>
            <w:tcW w:w="710" w:type="pct"/>
            <w:tcBorders>
              <w:top w:val="outset" w:sz="6" w:space="0" w:color="414142"/>
              <w:left w:val="outset" w:sz="6" w:space="0" w:color="414142"/>
              <w:bottom w:val="outset" w:sz="6" w:space="0" w:color="414142"/>
              <w:right w:val="outset" w:sz="6" w:space="0" w:color="414142"/>
            </w:tcBorders>
            <w:hideMark/>
          </w:tcPr>
          <w:p w14:paraId="2914D3C7" w14:textId="77777777" w:rsidR="009F77EF" w:rsidRPr="00EE5EB2" w:rsidRDefault="009F77EF" w:rsidP="003C2A39">
            <w:r>
              <w:t>222 322 345</w:t>
            </w:r>
          </w:p>
        </w:tc>
        <w:tc>
          <w:tcPr>
            <w:tcW w:w="687" w:type="pct"/>
            <w:tcBorders>
              <w:top w:val="outset" w:sz="6" w:space="0" w:color="414142"/>
              <w:left w:val="outset" w:sz="6" w:space="0" w:color="414142"/>
              <w:bottom w:val="outset" w:sz="6" w:space="0" w:color="414142"/>
              <w:right w:val="outset" w:sz="6" w:space="0" w:color="414142"/>
            </w:tcBorders>
            <w:hideMark/>
          </w:tcPr>
          <w:p w14:paraId="1F0D43C6" w14:textId="77777777" w:rsidR="009F77EF" w:rsidRPr="00EE5EB2" w:rsidRDefault="009F77EF" w:rsidP="00472BD9">
            <w:r w:rsidRPr="00EE5EB2">
              <w:t>0</w:t>
            </w:r>
          </w:p>
        </w:tc>
        <w:tc>
          <w:tcPr>
            <w:tcW w:w="694" w:type="pct"/>
            <w:tcBorders>
              <w:top w:val="outset" w:sz="6" w:space="0" w:color="414142"/>
              <w:left w:val="outset" w:sz="6" w:space="0" w:color="414142"/>
              <w:bottom w:val="outset" w:sz="6" w:space="0" w:color="414142"/>
              <w:right w:val="outset" w:sz="6" w:space="0" w:color="414142"/>
            </w:tcBorders>
          </w:tcPr>
          <w:p w14:paraId="5AEDCB89" w14:textId="77777777" w:rsidR="009F77EF" w:rsidRPr="00EE5EB2" w:rsidRDefault="009F77EF" w:rsidP="003C2A39">
            <w:r>
              <w:t>8 144 789</w:t>
            </w:r>
          </w:p>
        </w:tc>
        <w:tc>
          <w:tcPr>
            <w:tcW w:w="748" w:type="pct"/>
            <w:tcBorders>
              <w:top w:val="outset" w:sz="6" w:space="0" w:color="414142"/>
              <w:left w:val="outset" w:sz="6" w:space="0" w:color="414142"/>
              <w:bottom w:val="outset" w:sz="6" w:space="0" w:color="414142"/>
              <w:right w:val="outset" w:sz="6" w:space="0" w:color="414142"/>
            </w:tcBorders>
          </w:tcPr>
          <w:p w14:paraId="6FA620FB" w14:textId="77777777" w:rsidR="009F77EF" w:rsidRPr="00EE5EB2" w:rsidRDefault="009F77EF" w:rsidP="00472BD9">
            <w:r w:rsidRPr="00EE5EB2">
              <w:t xml:space="preserve"> </w:t>
            </w:r>
            <w:r>
              <w:t>32 969 655</w:t>
            </w:r>
          </w:p>
        </w:tc>
        <w:tc>
          <w:tcPr>
            <w:tcW w:w="672" w:type="pct"/>
            <w:tcBorders>
              <w:top w:val="outset" w:sz="6" w:space="0" w:color="414142"/>
              <w:left w:val="outset" w:sz="6" w:space="0" w:color="414142"/>
              <w:bottom w:val="outset" w:sz="6" w:space="0" w:color="414142"/>
              <w:right w:val="outset" w:sz="6" w:space="0" w:color="414142"/>
            </w:tcBorders>
            <w:hideMark/>
          </w:tcPr>
          <w:p w14:paraId="534C31B2" w14:textId="77777777" w:rsidR="009F77EF" w:rsidRPr="00C7034F" w:rsidRDefault="009F77EF" w:rsidP="000F1278">
            <w:r w:rsidRPr="00C7034F">
              <w:t xml:space="preserve"> 50 620 659</w:t>
            </w:r>
          </w:p>
        </w:tc>
      </w:tr>
      <w:tr w:rsidR="009F77EF" w:rsidRPr="00EE5EB2" w14:paraId="1904B1DB"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0EFA2F89" w14:textId="77777777" w:rsidR="009F77EF" w:rsidRPr="00EE5EB2" w:rsidRDefault="009F77EF" w:rsidP="00472BD9">
            <w:r w:rsidRPr="00EE5EB2">
              <w:t>1.1. valsts pamatbudžets, tai skaitā ieņēmumi no maksas pakalpojumiem un citi pašu ieņēmumi</w:t>
            </w:r>
          </w:p>
        </w:tc>
        <w:tc>
          <w:tcPr>
            <w:tcW w:w="710" w:type="pct"/>
            <w:tcBorders>
              <w:top w:val="outset" w:sz="6" w:space="0" w:color="414142"/>
              <w:left w:val="outset" w:sz="6" w:space="0" w:color="414142"/>
              <w:bottom w:val="outset" w:sz="6" w:space="0" w:color="414142"/>
              <w:right w:val="outset" w:sz="6" w:space="0" w:color="414142"/>
            </w:tcBorders>
            <w:hideMark/>
          </w:tcPr>
          <w:p w14:paraId="2EFE50CB" w14:textId="77777777" w:rsidR="009F77EF" w:rsidRPr="00EE5EB2" w:rsidRDefault="009F77EF" w:rsidP="00472BD9">
            <w:r>
              <w:t>222 322 345</w:t>
            </w:r>
          </w:p>
          <w:p w14:paraId="6D6E5429" w14:textId="77777777" w:rsidR="009F77EF" w:rsidRPr="00EE5EB2" w:rsidRDefault="009F77EF" w:rsidP="00472BD9"/>
        </w:tc>
        <w:tc>
          <w:tcPr>
            <w:tcW w:w="687" w:type="pct"/>
            <w:tcBorders>
              <w:top w:val="outset" w:sz="6" w:space="0" w:color="414142"/>
              <w:left w:val="outset" w:sz="6" w:space="0" w:color="414142"/>
              <w:bottom w:val="outset" w:sz="6" w:space="0" w:color="414142"/>
              <w:right w:val="outset" w:sz="6" w:space="0" w:color="414142"/>
            </w:tcBorders>
            <w:hideMark/>
          </w:tcPr>
          <w:p w14:paraId="3C9F8F9F" w14:textId="77777777" w:rsidR="009F77EF" w:rsidRPr="00EE5EB2" w:rsidRDefault="009F77EF" w:rsidP="00472BD9">
            <w:r w:rsidRPr="00EE5EB2">
              <w:t>0</w:t>
            </w:r>
          </w:p>
        </w:tc>
        <w:tc>
          <w:tcPr>
            <w:tcW w:w="694" w:type="pct"/>
            <w:tcBorders>
              <w:top w:val="outset" w:sz="6" w:space="0" w:color="414142"/>
              <w:left w:val="outset" w:sz="6" w:space="0" w:color="414142"/>
              <w:bottom w:val="outset" w:sz="6" w:space="0" w:color="414142"/>
              <w:right w:val="outset" w:sz="6" w:space="0" w:color="414142"/>
            </w:tcBorders>
          </w:tcPr>
          <w:p w14:paraId="5055A1CD" w14:textId="77777777" w:rsidR="009F77EF" w:rsidRPr="00EE5EB2" w:rsidRDefault="009F77EF" w:rsidP="00472BD9">
            <w:r>
              <w:t>8 144 789</w:t>
            </w:r>
          </w:p>
        </w:tc>
        <w:tc>
          <w:tcPr>
            <w:tcW w:w="748" w:type="pct"/>
            <w:tcBorders>
              <w:top w:val="outset" w:sz="6" w:space="0" w:color="414142"/>
              <w:left w:val="outset" w:sz="6" w:space="0" w:color="414142"/>
              <w:bottom w:val="outset" w:sz="6" w:space="0" w:color="414142"/>
              <w:right w:val="outset" w:sz="6" w:space="0" w:color="414142"/>
            </w:tcBorders>
          </w:tcPr>
          <w:p w14:paraId="002D038D" w14:textId="77777777" w:rsidR="009F77EF" w:rsidRPr="00EE5EB2" w:rsidRDefault="009F77EF" w:rsidP="003C2A39">
            <w:r w:rsidRPr="00EE5EB2">
              <w:t xml:space="preserve"> </w:t>
            </w:r>
            <w:r>
              <w:t>32 969 655</w:t>
            </w:r>
          </w:p>
        </w:tc>
        <w:tc>
          <w:tcPr>
            <w:tcW w:w="672" w:type="pct"/>
            <w:tcBorders>
              <w:top w:val="outset" w:sz="6" w:space="0" w:color="414142"/>
              <w:left w:val="outset" w:sz="6" w:space="0" w:color="414142"/>
              <w:bottom w:val="outset" w:sz="6" w:space="0" w:color="414142"/>
              <w:right w:val="outset" w:sz="6" w:space="0" w:color="414142"/>
            </w:tcBorders>
            <w:hideMark/>
          </w:tcPr>
          <w:p w14:paraId="59EDF60A" w14:textId="77777777" w:rsidR="009F77EF" w:rsidRDefault="009F77EF" w:rsidP="000F1278">
            <w:r w:rsidRPr="00C7034F">
              <w:t xml:space="preserve"> 50 620 659</w:t>
            </w:r>
          </w:p>
        </w:tc>
      </w:tr>
      <w:tr w:rsidR="00472BD9" w:rsidRPr="00EE5EB2" w14:paraId="4B6CE5A0"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6427E6B6" w14:textId="77777777" w:rsidR="00472BD9" w:rsidRPr="00EE5EB2" w:rsidRDefault="00472BD9" w:rsidP="00472BD9">
            <w:r w:rsidRPr="00EE5EB2">
              <w:t>1.2. valsts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14:paraId="69CAD13F" w14:textId="77777777" w:rsidR="00472BD9" w:rsidRPr="00EE5EB2" w:rsidRDefault="00472BD9" w:rsidP="00472BD9">
            <w:r w:rsidRPr="00EE5EB2">
              <w:t> 0</w:t>
            </w:r>
          </w:p>
        </w:tc>
        <w:tc>
          <w:tcPr>
            <w:tcW w:w="687" w:type="pct"/>
            <w:tcBorders>
              <w:top w:val="outset" w:sz="6" w:space="0" w:color="414142"/>
              <w:left w:val="outset" w:sz="6" w:space="0" w:color="414142"/>
              <w:bottom w:val="outset" w:sz="6" w:space="0" w:color="414142"/>
              <w:right w:val="outset" w:sz="6" w:space="0" w:color="414142"/>
            </w:tcBorders>
            <w:hideMark/>
          </w:tcPr>
          <w:p w14:paraId="24CA44C4" w14:textId="77777777" w:rsidR="00472BD9" w:rsidRPr="00EE5EB2" w:rsidRDefault="00472BD9"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7EBCD5BC" w14:textId="77777777" w:rsidR="00472BD9" w:rsidRPr="00EE5EB2" w:rsidRDefault="00472BD9" w:rsidP="00472BD9">
            <w:r w:rsidRPr="00EE5EB2">
              <w:t> 0</w:t>
            </w:r>
          </w:p>
        </w:tc>
        <w:tc>
          <w:tcPr>
            <w:tcW w:w="748" w:type="pct"/>
            <w:tcBorders>
              <w:top w:val="outset" w:sz="6" w:space="0" w:color="414142"/>
              <w:left w:val="outset" w:sz="6" w:space="0" w:color="414142"/>
              <w:bottom w:val="outset" w:sz="6" w:space="0" w:color="414142"/>
              <w:right w:val="outset" w:sz="6" w:space="0" w:color="414142"/>
            </w:tcBorders>
          </w:tcPr>
          <w:p w14:paraId="2D6098E4" w14:textId="77777777" w:rsidR="00472BD9" w:rsidRPr="00EE5EB2" w:rsidRDefault="00472BD9" w:rsidP="00472BD9">
            <w:r w:rsidRPr="00EE5EB2">
              <w:t> 0</w:t>
            </w:r>
          </w:p>
        </w:tc>
        <w:tc>
          <w:tcPr>
            <w:tcW w:w="672" w:type="pct"/>
            <w:tcBorders>
              <w:top w:val="outset" w:sz="6" w:space="0" w:color="414142"/>
              <w:left w:val="outset" w:sz="6" w:space="0" w:color="414142"/>
              <w:bottom w:val="outset" w:sz="6" w:space="0" w:color="414142"/>
              <w:right w:val="outset" w:sz="6" w:space="0" w:color="414142"/>
            </w:tcBorders>
            <w:hideMark/>
          </w:tcPr>
          <w:p w14:paraId="6DD62596" w14:textId="77777777" w:rsidR="00472BD9" w:rsidRPr="00EE5EB2" w:rsidRDefault="00472BD9" w:rsidP="00472BD9">
            <w:r w:rsidRPr="00EE5EB2">
              <w:t> 0</w:t>
            </w:r>
          </w:p>
        </w:tc>
      </w:tr>
      <w:tr w:rsidR="00472BD9" w:rsidRPr="00EE5EB2" w14:paraId="37D21A6B"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2BB207F6" w14:textId="77777777" w:rsidR="00472BD9" w:rsidRPr="00EE5EB2" w:rsidRDefault="00472BD9" w:rsidP="00472BD9">
            <w:r w:rsidRPr="00EE5EB2">
              <w:t>1.3.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14:paraId="67E8443A" w14:textId="77777777" w:rsidR="00472BD9" w:rsidRPr="00EE5EB2" w:rsidRDefault="00472BD9" w:rsidP="00472BD9">
            <w:r w:rsidRPr="00EE5EB2">
              <w:t> 0</w:t>
            </w:r>
          </w:p>
        </w:tc>
        <w:tc>
          <w:tcPr>
            <w:tcW w:w="687" w:type="pct"/>
            <w:tcBorders>
              <w:top w:val="outset" w:sz="6" w:space="0" w:color="414142"/>
              <w:left w:val="outset" w:sz="6" w:space="0" w:color="414142"/>
              <w:bottom w:val="outset" w:sz="6" w:space="0" w:color="414142"/>
              <w:right w:val="outset" w:sz="6" w:space="0" w:color="414142"/>
            </w:tcBorders>
            <w:hideMark/>
          </w:tcPr>
          <w:p w14:paraId="548E596F" w14:textId="77777777" w:rsidR="00472BD9" w:rsidRPr="00EE5EB2" w:rsidRDefault="00472BD9"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7409D488" w14:textId="77777777" w:rsidR="00472BD9" w:rsidRPr="00EE5EB2" w:rsidRDefault="00472BD9" w:rsidP="00472BD9">
            <w:r w:rsidRPr="00EE5EB2">
              <w:t> 0</w:t>
            </w:r>
          </w:p>
        </w:tc>
        <w:tc>
          <w:tcPr>
            <w:tcW w:w="748" w:type="pct"/>
            <w:tcBorders>
              <w:top w:val="outset" w:sz="6" w:space="0" w:color="414142"/>
              <w:left w:val="outset" w:sz="6" w:space="0" w:color="414142"/>
              <w:bottom w:val="outset" w:sz="6" w:space="0" w:color="414142"/>
              <w:right w:val="outset" w:sz="6" w:space="0" w:color="414142"/>
            </w:tcBorders>
          </w:tcPr>
          <w:p w14:paraId="382B641C" w14:textId="77777777" w:rsidR="00472BD9" w:rsidRPr="00EE5EB2" w:rsidRDefault="00472BD9" w:rsidP="00472BD9">
            <w:r w:rsidRPr="00EE5EB2">
              <w:t> 0</w:t>
            </w:r>
          </w:p>
        </w:tc>
        <w:tc>
          <w:tcPr>
            <w:tcW w:w="672" w:type="pct"/>
            <w:tcBorders>
              <w:top w:val="outset" w:sz="6" w:space="0" w:color="414142"/>
              <w:left w:val="outset" w:sz="6" w:space="0" w:color="414142"/>
              <w:bottom w:val="outset" w:sz="6" w:space="0" w:color="414142"/>
              <w:right w:val="outset" w:sz="6" w:space="0" w:color="414142"/>
            </w:tcBorders>
            <w:hideMark/>
          </w:tcPr>
          <w:p w14:paraId="73AC6601" w14:textId="77777777" w:rsidR="00472BD9" w:rsidRPr="00EE5EB2" w:rsidRDefault="00472BD9" w:rsidP="00472BD9">
            <w:r w:rsidRPr="00EE5EB2">
              <w:t> 0</w:t>
            </w:r>
          </w:p>
        </w:tc>
      </w:tr>
      <w:tr w:rsidR="00472BD9" w:rsidRPr="00EE5EB2" w14:paraId="6FB1FE72"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124C3DA3" w14:textId="77777777" w:rsidR="00472BD9" w:rsidRPr="00EE5EB2" w:rsidRDefault="00472BD9" w:rsidP="00472BD9">
            <w:r w:rsidRPr="00EE5EB2">
              <w:t>2. Budžeta izdevumi:</w:t>
            </w:r>
          </w:p>
        </w:tc>
        <w:tc>
          <w:tcPr>
            <w:tcW w:w="710" w:type="pct"/>
            <w:tcBorders>
              <w:top w:val="outset" w:sz="6" w:space="0" w:color="414142"/>
              <w:left w:val="outset" w:sz="6" w:space="0" w:color="414142"/>
              <w:bottom w:val="outset" w:sz="6" w:space="0" w:color="414142"/>
              <w:right w:val="outset" w:sz="6" w:space="0" w:color="414142"/>
            </w:tcBorders>
            <w:hideMark/>
          </w:tcPr>
          <w:p w14:paraId="11E543A0" w14:textId="77777777" w:rsidR="00472BD9" w:rsidRPr="00EE5EB2" w:rsidRDefault="003C2A39" w:rsidP="00472BD9">
            <w:r>
              <w:t>229 533 341</w:t>
            </w:r>
          </w:p>
        </w:tc>
        <w:tc>
          <w:tcPr>
            <w:tcW w:w="687" w:type="pct"/>
            <w:tcBorders>
              <w:top w:val="outset" w:sz="6" w:space="0" w:color="414142"/>
              <w:left w:val="outset" w:sz="6" w:space="0" w:color="414142"/>
              <w:bottom w:val="outset" w:sz="6" w:space="0" w:color="414142"/>
              <w:right w:val="outset" w:sz="6" w:space="0" w:color="414142"/>
            </w:tcBorders>
            <w:hideMark/>
          </w:tcPr>
          <w:p w14:paraId="23600773" w14:textId="77777777" w:rsidR="00472BD9" w:rsidRPr="00EE5EB2" w:rsidRDefault="00472BD9" w:rsidP="00472BD9">
            <w:r w:rsidRPr="00EE5EB2">
              <w:t xml:space="preserve"> 0</w:t>
            </w:r>
          </w:p>
        </w:tc>
        <w:tc>
          <w:tcPr>
            <w:tcW w:w="694" w:type="pct"/>
            <w:tcBorders>
              <w:top w:val="outset" w:sz="6" w:space="0" w:color="414142"/>
              <w:left w:val="outset" w:sz="6" w:space="0" w:color="414142"/>
              <w:bottom w:val="outset" w:sz="6" w:space="0" w:color="414142"/>
              <w:right w:val="outset" w:sz="6" w:space="0" w:color="414142"/>
            </w:tcBorders>
          </w:tcPr>
          <w:p w14:paraId="360A94B4" w14:textId="77777777" w:rsidR="00472BD9" w:rsidRPr="00EE5EB2" w:rsidRDefault="00472BD9" w:rsidP="003C2A39">
            <w:r w:rsidRPr="00EE5EB2">
              <w:t> </w:t>
            </w:r>
            <w:r w:rsidR="003C2A39">
              <w:t>1 442 175</w:t>
            </w:r>
          </w:p>
        </w:tc>
        <w:tc>
          <w:tcPr>
            <w:tcW w:w="748" w:type="pct"/>
            <w:tcBorders>
              <w:top w:val="outset" w:sz="6" w:space="0" w:color="414142"/>
              <w:left w:val="outset" w:sz="6" w:space="0" w:color="414142"/>
              <w:bottom w:val="outset" w:sz="6" w:space="0" w:color="414142"/>
              <w:right w:val="outset" w:sz="6" w:space="0" w:color="414142"/>
            </w:tcBorders>
          </w:tcPr>
          <w:p w14:paraId="4EF793A2" w14:textId="77777777" w:rsidR="00472BD9" w:rsidRPr="00EE5EB2" w:rsidRDefault="00472BD9" w:rsidP="00472BD9">
            <w:r w:rsidRPr="00EE5EB2">
              <w:t> </w:t>
            </w:r>
            <w:r w:rsidR="003C2A39">
              <w:t>25 758 659</w:t>
            </w:r>
          </w:p>
        </w:tc>
        <w:tc>
          <w:tcPr>
            <w:tcW w:w="672" w:type="pct"/>
            <w:tcBorders>
              <w:top w:val="outset" w:sz="6" w:space="0" w:color="414142"/>
              <w:left w:val="outset" w:sz="6" w:space="0" w:color="414142"/>
              <w:bottom w:val="outset" w:sz="6" w:space="0" w:color="414142"/>
              <w:right w:val="outset" w:sz="6" w:space="0" w:color="414142"/>
            </w:tcBorders>
            <w:hideMark/>
          </w:tcPr>
          <w:p w14:paraId="0AE78A51" w14:textId="77777777" w:rsidR="00472BD9" w:rsidRPr="00EE5EB2" w:rsidRDefault="00472BD9" w:rsidP="00472BD9">
            <w:r w:rsidRPr="00EE5EB2">
              <w:t> </w:t>
            </w:r>
            <w:r w:rsidR="009F77EF" w:rsidRPr="009F77EF">
              <w:t>50 620 659</w:t>
            </w:r>
          </w:p>
        </w:tc>
      </w:tr>
      <w:tr w:rsidR="00472BD9" w:rsidRPr="00EE5EB2" w14:paraId="02A7478F"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1A7B3E06" w14:textId="77777777" w:rsidR="00472BD9" w:rsidRPr="00EE5EB2" w:rsidRDefault="00472BD9" w:rsidP="00472BD9">
            <w:r w:rsidRPr="00EE5EB2">
              <w:lastRenderedPageBreak/>
              <w:t>2.1. valsts pamatbudžets</w:t>
            </w:r>
          </w:p>
        </w:tc>
        <w:tc>
          <w:tcPr>
            <w:tcW w:w="710" w:type="pct"/>
            <w:tcBorders>
              <w:top w:val="outset" w:sz="6" w:space="0" w:color="414142"/>
              <w:left w:val="outset" w:sz="6" w:space="0" w:color="414142"/>
              <w:bottom w:val="outset" w:sz="6" w:space="0" w:color="414142"/>
              <w:right w:val="outset" w:sz="6" w:space="0" w:color="414142"/>
            </w:tcBorders>
            <w:hideMark/>
          </w:tcPr>
          <w:p w14:paraId="05072128" w14:textId="77777777" w:rsidR="00472BD9" w:rsidRPr="00EE5EB2" w:rsidRDefault="003C2A39" w:rsidP="00472BD9">
            <w:r>
              <w:t>229 533 341</w:t>
            </w:r>
          </w:p>
        </w:tc>
        <w:tc>
          <w:tcPr>
            <w:tcW w:w="687" w:type="pct"/>
            <w:tcBorders>
              <w:top w:val="outset" w:sz="6" w:space="0" w:color="414142"/>
              <w:left w:val="outset" w:sz="6" w:space="0" w:color="414142"/>
              <w:bottom w:val="outset" w:sz="6" w:space="0" w:color="414142"/>
              <w:right w:val="outset" w:sz="6" w:space="0" w:color="414142"/>
            </w:tcBorders>
            <w:hideMark/>
          </w:tcPr>
          <w:p w14:paraId="7D8FBF1D" w14:textId="77777777" w:rsidR="00472BD9" w:rsidRPr="00EE5EB2" w:rsidRDefault="00472BD9" w:rsidP="00472BD9">
            <w:r w:rsidRPr="00EE5EB2">
              <w:t xml:space="preserve"> 0</w:t>
            </w:r>
          </w:p>
        </w:tc>
        <w:tc>
          <w:tcPr>
            <w:tcW w:w="694" w:type="pct"/>
            <w:tcBorders>
              <w:top w:val="outset" w:sz="6" w:space="0" w:color="414142"/>
              <w:left w:val="outset" w:sz="6" w:space="0" w:color="414142"/>
              <w:bottom w:val="outset" w:sz="6" w:space="0" w:color="414142"/>
              <w:right w:val="outset" w:sz="6" w:space="0" w:color="414142"/>
            </w:tcBorders>
          </w:tcPr>
          <w:p w14:paraId="0EA3B599" w14:textId="77777777" w:rsidR="00472BD9" w:rsidRPr="00EE5EB2" w:rsidRDefault="00472BD9" w:rsidP="003C2A39">
            <w:r w:rsidRPr="00EE5EB2">
              <w:t> </w:t>
            </w:r>
            <w:r w:rsidR="003C2A39">
              <w:t>1 442 175</w:t>
            </w:r>
          </w:p>
        </w:tc>
        <w:tc>
          <w:tcPr>
            <w:tcW w:w="748" w:type="pct"/>
            <w:tcBorders>
              <w:top w:val="outset" w:sz="6" w:space="0" w:color="414142"/>
              <w:left w:val="outset" w:sz="6" w:space="0" w:color="414142"/>
              <w:bottom w:val="outset" w:sz="6" w:space="0" w:color="414142"/>
              <w:right w:val="outset" w:sz="6" w:space="0" w:color="414142"/>
            </w:tcBorders>
          </w:tcPr>
          <w:p w14:paraId="397A5E03" w14:textId="77777777" w:rsidR="00472BD9" w:rsidRPr="00EE5EB2" w:rsidRDefault="00472BD9" w:rsidP="003C2A39">
            <w:r w:rsidRPr="00EE5EB2">
              <w:t> </w:t>
            </w:r>
            <w:r w:rsidR="003C2A39">
              <w:t>25 758 659</w:t>
            </w:r>
          </w:p>
        </w:tc>
        <w:tc>
          <w:tcPr>
            <w:tcW w:w="672" w:type="pct"/>
            <w:tcBorders>
              <w:top w:val="outset" w:sz="6" w:space="0" w:color="414142"/>
              <w:left w:val="outset" w:sz="6" w:space="0" w:color="414142"/>
              <w:bottom w:val="outset" w:sz="6" w:space="0" w:color="414142"/>
              <w:right w:val="outset" w:sz="6" w:space="0" w:color="414142"/>
            </w:tcBorders>
            <w:hideMark/>
          </w:tcPr>
          <w:p w14:paraId="2675721B" w14:textId="77777777" w:rsidR="00472BD9" w:rsidRPr="00EE5EB2" w:rsidRDefault="00472BD9" w:rsidP="009F77EF">
            <w:r w:rsidRPr="00EE5EB2">
              <w:t> </w:t>
            </w:r>
            <w:r w:rsidR="009F77EF">
              <w:t>50 620 659</w:t>
            </w:r>
          </w:p>
        </w:tc>
      </w:tr>
      <w:tr w:rsidR="00472BD9" w:rsidRPr="00EE5EB2" w14:paraId="6483429C"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6670F2F1" w14:textId="77777777" w:rsidR="00472BD9" w:rsidRPr="00EE5EB2" w:rsidRDefault="00472BD9" w:rsidP="00472BD9">
            <w:r w:rsidRPr="00EE5EB2">
              <w:t>2.2. valsts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14:paraId="1624F806" w14:textId="77777777" w:rsidR="00472BD9" w:rsidRPr="00EE5EB2" w:rsidRDefault="00472BD9" w:rsidP="00472BD9">
            <w:r w:rsidRPr="00EE5EB2">
              <w:t> 0</w:t>
            </w:r>
          </w:p>
        </w:tc>
        <w:tc>
          <w:tcPr>
            <w:tcW w:w="687" w:type="pct"/>
            <w:tcBorders>
              <w:top w:val="outset" w:sz="6" w:space="0" w:color="414142"/>
              <w:left w:val="outset" w:sz="6" w:space="0" w:color="414142"/>
              <w:bottom w:val="outset" w:sz="6" w:space="0" w:color="414142"/>
              <w:right w:val="outset" w:sz="6" w:space="0" w:color="414142"/>
            </w:tcBorders>
            <w:hideMark/>
          </w:tcPr>
          <w:p w14:paraId="234BBAF3" w14:textId="77777777" w:rsidR="00472BD9" w:rsidRPr="00EE5EB2" w:rsidRDefault="00472BD9"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2B4FBBAB" w14:textId="77777777" w:rsidR="00472BD9" w:rsidRPr="00EE5EB2" w:rsidRDefault="00472BD9" w:rsidP="00472BD9">
            <w:r w:rsidRPr="00EE5EB2">
              <w:t> 0</w:t>
            </w:r>
          </w:p>
        </w:tc>
        <w:tc>
          <w:tcPr>
            <w:tcW w:w="748" w:type="pct"/>
            <w:tcBorders>
              <w:top w:val="outset" w:sz="6" w:space="0" w:color="414142"/>
              <w:left w:val="outset" w:sz="6" w:space="0" w:color="414142"/>
              <w:bottom w:val="outset" w:sz="6" w:space="0" w:color="414142"/>
              <w:right w:val="outset" w:sz="6" w:space="0" w:color="414142"/>
            </w:tcBorders>
          </w:tcPr>
          <w:p w14:paraId="2CDF5C39" w14:textId="77777777" w:rsidR="00472BD9" w:rsidRPr="00EE5EB2" w:rsidRDefault="00472BD9" w:rsidP="00472BD9">
            <w:r w:rsidRPr="00EE5EB2">
              <w:t> 0</w:t>
            </w:r>
          </w:p>
        </w:tc>
        <w:tc>
          <w:tcPr>
            <w:tcW w:w="672" w:type="pct"/>
            <w:tcBorders>
              <w:top w:val="outset" w:sz="6" w:space="0" w:color="414142"/>
              <w:left w:val="outset" w:sz="6" w:space="0" w:color="414142"/>
              <w:bottom w:val="outset" w:sz="6" w:space="0" w:color="414142"/>
              <w:right w:val="outset" w:sz="6" w:space="0" w:color="414142"/>
            </w:tcBorders>
            <w:hideMark/>
          </w:tcPr>
          <w:p w14:paraId="0FE1CD07" w14:textId="77777777" w:rsidR="00472BD9" w:rsidRPr="00EE5EB2" w:rsidRDefault="00472BD9" w:rsidP="00472BD9">
            <w:r w:rsidRPr="00EE5EB2">
              <w:t> 0</w:t>
            </w:r>
          </w:p>
        </w:tc>
      </w:tr>
      <w:tr w:rsidR="00472BD9" w:rsidRPr="00EE5EB2" w14:paraId="6EA2DBF9"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1A9F35F0" w14:textId="77777777" w:rsidR="00472BD9" w:rsidRPr="00EE5EB2" w:rsidRDefault="00472BD9" w:rsidP="00472BD9">
            <w:r w:rsidRPr="00EE5EB2">
              <w:t>2.3.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14:paraId="68E4F4CD" w14:textId="77777777" w:rsidR="00472BD9" w:rsidRPr="00EE5EB2" w:rsidRDefault="00472BD9" w:rsidP="00472BD9">
            <w:r w:rsidRPr="00EE5EB2">
              <w:t> 0</w:t>
            </w:r>
          </w:p>
        </w:tc>
        <w:tc>
          <w:tcPr>
            <w:tcW w:w="687" w:type="pct"/>
            <w:tcBorders>
              <w:top w:val="outset" w:sz="6" w:space="0" w:color="414142"/>
              <w:left w:val="outset" w:sz="6" w:space="0" w:color="414142"/>
              <w:bottom w:val="outset" w:sz="6" w:space="0" w:color="414142"/>
              <w:right w:val="outset" w:sz="6" w:space="0" w:color="414142"/>
            </w:tcBorders>
            <w:hideMark/>
          </w:tcPr>
          <w:p w14:paraId="32905AA7" w14:textId="77777777" w:rsidR="00472BD9" w:rsidRPr="00EE5EB2" w:rsidRDefault="00472BD9"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66F28E02" w14:textId="77777777" w:rsidR="00472BD9" w:rsidRPr="00EE5EB2" w:rsidRDefault="00472BD9" w:rsidP="00472BD9">
            <w:r w:rsidRPr="00EE5EB2">
              <w:t> 0</w:t>
            </w:r>
          </w:p>
        </w:tc>
        <w:tc>
          <w:tcPr>
            <w:tcW w:w="748" w:type="pct"/>
            <w:tcBorders>
              <w:top w:val="outset" w:sz="6" w:space="0" w:color="414142"/>
              <w:left w:val="outset" w:sz="6" w:space="0" w:color="414142"/>
              <w:bottom w:val="outset" w:sz="6" w:space="0" w:color="414142"/>
              <w:right w:val="outset" w:sz="6" w:space="0" w:color="414142"/>
            </w:tcBorders>
          </w:tcPr>
          <w:p w14:paraId="023EDEA9" w14:textId="77777777" w:rsidR="00472BD9" w:rsidRPr="00EE5EB2" w:rsidRDefault="00472BD9" w:rsidP="00472BD9">
            <w:r w:rsidRPr="00EE5EB2">
              <w:t> 0</w:t>
            </w:r>
          </w:p>
        </w:tc>
        <w:tc>
          <w:tcPr>
            <w:tcW w:w="672" w:type="pct"/>
            <w:tcBorders>
              <w:top w:val="outset" w:sz="6" w:space="0" w:color="414142"/>
              <w:left w:val="outset" w:sz="6" w:space="0" w:color="414142"/>
              <w:bottom w:val="outset" w:sz="6" w:space="0" w:color="414142"/>
              <w:right w:val="outset" w:sz="6" w:space="0" w:color="414142"/>
            </w:tcBorders>
            <w:hideMark/>
          </w:tcPr>
          <w:p w14:paraId="40F0BD81" w14:textId="77777777" w:rsidR="00472BD9" w:rsidRPr="00EE5EB2" w:rsidRDefault="00472BD9" w:rsidP="00472BD9">
            <w:r w:rsidRPr="00EE5EB2">
              <w:t> 0</w:t>
            </w:r>
          </w:p>
        </w:tc>
      </w:tr>
      <w:tr w:rsidR="009F77EF" w:rsidRPr="00EE5EB2" w14:paraId="353F525B"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78DDD5B1" w14:textId="77777777" w:rsidR="009F77EF" w:rsidRPr="00EE5EB2" w:rsidRDefault="009F77EF" w:rsidP="00472BD9">
            <w:r w:rsidRPr="00EE5EB2">
              <w:t>3. Finansiālā ietekme:</w:t>
            </w:r>
          </w:p>
        </w:tc>
        <w:tc>
          <w:tcPr>
            <w:tcW w:w="710" w:type="pct"/>
            <w:tcBorders>
              <w:top w:val="outset" w:sz="6" w:space="0" w:color="414142"/>
              <w:left w:val="outset" w:sz="6" w:space="0" w:color="414142"/>
              <w:bottom w:val="outset" w:sz="6" w:space="0" w:color="414142"/>
              <w:right w:val="outset" w:sz="6" w:space="0" w:color="414142"/>
            </w:tcBorders>
            <w:hideMark/>
          </w:tcPr>
          <w:p w14:paraId="715BD96A" w14:textId="77777777" w:rsidR="009F77EF" w:rsidRPr="00EE5EB2" w:rsidRDefault="009F77EF" w:rsidP="003C2A39">
            <w:r w:rsidRPr="00EE5EB2">
              <w:t>-</w:t>
            </w:r>
            <w:r>
              <w:t>7 210 996</w:t>
            </w:r>
          </w:p>
        </w:tc>
        <w:tc>
          <w:tcPr>
            <w:tcW w:w="687" w:type="pct"/>
            <w:tcBorders>
              <w:top w:val="outset" w:sz="6" w:space="0" w:color="414142"/>
              <w:left w:val="outset" w:sz="6" w:space="0" w:color="414142"/>
              <w:bottom w:val="outset" w:sz="6" w:space="0" w:color="414142"/>
              <w:right w:val="outset" w:sz="6" w:space="0" w:color="414142"/>
            </w:tcBorders>
            <w:hideMark/>
          </w:tcPr>
          <w:p w14:paraId="6BB0A9EC" w14:textId="77777777" w:rsidR="009F77EF" w:rsidRPr="00EE5EB2" w:rsidRDefault="009F77EF"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7373AAA8" w14:textId="77777777" w:rsidR="009F77EF" w:rsidRPr="00EE5EB2" w:rsidRDefault="009F77EF" w:rsidP="003C2A39">
            <w:r>
              <w:t xml:space="preserve"> 6 702 614</w:t>
            </w:r>
          </w:p>
        </w:tc>
        <w:tc>
          <w:tcPr>
            <w:tcW w:w="748" w:type="pct"/>
            <w:tcBorders>
              <w:top w:val="outset" w:sz="6" w:space="0" w:color="414142"/>
              <w:left w:val="outset" w:sz="6" w:space="0" w:color="414142"/>
              <w:bottom w:val="outset" w:sz="6" w:space="0" w:color="414142"/>
              <w:right w:val="outset" w:sz="6" w:space="0" w:color="414142"/>
            </w:tcBorders>
          </w:tcPr>
          <w:p w14:paraId="3766ECD6" w14:textId="77777777" w:rsidR="009F77EF" w:rsidRPr="004D3244" w:rsidRDefault="009F77EF" w:rsidP="000F1278">
            <w:r w:rsidRPr="004D3244">
              <w:t>7 210 996</w:t>
            </w:r>
          </w:p>
        </w:tc>
        <w:tc>
          <w:tcPr>
            <w:tcW w:w="672" w:type="pct"/>
            <w:tcBorders>
              <w:top w:val="outset" w:sz="6" w:space="0" w:color="414142"/>
              <w:left w:val="outset" w:sz="6" w:space="0" w:color="414142"/>
              <w:bottom w:val="outset" w:sz="6" w:space="0" w:color="414142"/>
              <w:right w:val="outset" w:sz="6" w:space="0" w:color="414142"/>
            </w:tcBorders>
            <w:hideMark/>
          </w:tcPr>
          <w:p w14:paraId="0298A6B0" w14:textId="3D7683DC" w:rsidR="009F77EF" w:rsidRPr="004D3244" w:rsidRDefault="00BA7F2C" w:rsidP="00F20C69">
            <w:r>
              <w:t xml:space="preserve"> </w:t>
            </w:r>
            <w:r w:rsidR="00F20C69">
              <w:t>0</w:t>
            </w:r>
          </w:p>
        </w:tc>
      </w:tr>
      <w:tr w:rsidR="009F77EF" w:rsidRPr="00EE5EB2" w14:paraId="598657E9"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59472B2D" w14:textId="77777777" w:rsidR="009F77EF" w:rsidRPr="00EE5EB2" w:rsidRDefault="009F77EF" w:rsidP="00472BD9">
            <w:r w:rsidRPr="00EE5EB2">
              <w:t>3.1. valsts pamatbudžets</w:t>
            </w:r>
          </w:p>
        </w:tc>
        <w:tc>
          <w:tcPr>
            <w:tcW w:w="710" w:type="pct"/>
            <w:tcBorders>
              <w:top w:val="outset" w:sz="6" w:space="0" w:color="414142"/>
              <w:left w:val="outset" w:sz="6" w:space="0" w:color="414142"/>
              <w:bottom w:val="outset" w:sz="6" w:space="0" w:color="414142"/>
              <w:right w:val="outset" w:sz="6" w:space="0" w:color="414142"/>
            </w:tcBorders>
            <w:hideMark/>
          </w:tcPr>
          <w:p w14:paraId="1A503E15" w14:textId="77777777" w:rsidR="009F77EF" w:rsidRPr="00EE5EB2" w:rsidRDefault="009F77EF" w:rsidP="003C2A39">
            <w:r w:rsidRPr="00EE5EB2">
              <w:t>-</w:t>
            </w:r>
            <w:r>
              <w:t>7 210 996</w:t>
            </w:r>
          </w:p>
        </w:tc>
        <w:tc>
          <w:tcPr>
            <w:tcW w:w="687" w:type="pct"/>
            <w:tcBorders>
              <w:top w:val="outset" w:sz="6" w:space="0" w:color="414142"/>
              <w:left w:val="outset" w:sz="6" w:space="0" w:color="414142"/>
              <w:bottom w:val="outset" w:sz="6" w:space="0" w:color="414142"/>
              <w:right w:val="outset" w:sz="6" w:space="0" w:color="414142"/>
            </w:tcBorders>
            <w:hideMark/>
          </w:tcPr>
          <w:p w14:paraId="136A7237" w14:textId="77777777" w:rsidR="009F77EF" w:rsidRPr="00EE5EB2" w:rsidRDefault="009F77EF"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75AC5F80" w14:textId="77777777" w:rsidR="009F77EF" w:rsidRPr="00EE5EB2" w:rsidRDefault="009F77EF" w:rsidP="003C2A39">
            <w:r w:rsidRPr="00EE5EB2">
              <w:t xml:space="preserve"> </w:t>
            </w:r>
            <w:r>
              <w:t>6 702 614</w:t>
            </w:r>
          </w:p>
        </w:tc>
        <w:tc>
          <w:tcPr>
            <w:tcW w:w="748" w:type="pct"/>
            <w:tcBorders>
              <w:top w:val="outset" w:sz="6" w:space="0" w:color="414142"/>
              <w:left w:val="outset" w:sz="6" w:space="0" w:color="414142"/>
              <w:bottom w:val="outset" w:sz="6" w:space="0" w:color="414142"/>
              <w:right w:val="outset" w:sz="6" w:space="0" w:color="414142"/>
            </w:tcBorders>
          </w:tcPr>
          <w:p w14:paraId="70D8A231" w14:textId="77777777" w:rsidR="009F77EF" w:rsidRDefault="009F77EF" w:rsidP="000F1278">
            <w:r w:rsidRPr="004D3244">
              <w:t>7 210 996</w:t>
            </w:r>
          </w:p>
        </w:tc>
        <w:tc>
          <w:tcPr>
            <w:tcW w:w="672" w:type="pct"/>
            <w:tcBorders>
              <w:top w:val="outset" w:sz="6" w:space="0" w:color="414142"/>
              <w:left w:val="outset" w:sz="6" w:space="0" w:color="414142"/>
              <w:bottom w:val="outset" w:sz="6" w:space="0" w:color="414142"/>
              <w:right w:val="outset" w:sz="6" w:space="0" w:color="414142"/>
            </w:tcBorders>
            <w:hideMark/>
          </w:tcPr>
          <w:p w14:paraId="41D312D5" w14:textId="77777777" w:rsidR="009F77EF" w:rsidRDefault="00F613AD" w:rsidP="00F613AD">
            <w:r>
              <w:t xml:space="preserve"> </w:t>
            </w:r>
            <w:r w:rsidR="009F77EF" w:rsidRPr="004D3244">
              <w:t>0</w:t>
            </w:r>
          </w:p>
        </w:tc>
      </w:tr>
      <w:tr w:rsidR="00472BD9" w:rsidRPr="00EE5EB2" w14:paraId="29C7B9F9"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11E75A04" w14:textId="77777777" w:rsidR="00472BD9" w:rsidRPr="00EE5EB2" w:rsidRDefault="00472BD9" w:rsidP="00472BD9">
            <w:r w:rsidRPr="00EE5EB2">
              <w:t>3.2.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14:paraId="73751328" w14:textId="77777777" w:rsidR="00472BD9" w:rsidRPr="00EE5EB2" w:rsidRDefault="00472BD9" w:rsidP="00472BD9">
            <w:r w:rsidRPr="00EE5EB2">
              <w:t> 0</w:t>
            </w:r>
          </w:p>
        </w:tc>
        <w:tc>
          <w:tcPr>
            <w:tcW w:w="687" w:type="pct"/>
            <w:tcBorders>
              <w:top w:val="outset" w:sz="6" w:space="0" w:color="414142"/>
              <w:left w:val="outset" w:sz="6" w:space="0" w:color="414142"/>
              <w:bottom w:val="outset" w:sz="6" w:space="0" w:color="414142"/>
              <w:right w:val="outset" w:sz="6" w:space="0" w:color="414142"/>
            </w:tcBorders>
            <w:hideMark/>
          </w:tcPr>
          <w:p w14:paraId="6D6CDF36" w14:textId="77777777" w:rsidR="00472BD9" w:rsidRPr="00EE5EB2" w:rsidRDefault="00472BD9"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04BC1A39" w14:textId="77777777" w:rsidR="00472BD9" w:rsidRPr="00EE5EB2" w:rsidRDefault="00472BD9" w:rsidP="00472BD9">
            <w:r w:rsidRPr="00EE5EB2">
              <w:t> 0</w:t>
            </w:r>
          </w:p>
        </w:tc>
        <w:tc>
          <w:tcPr>
            <w:tcW w:w="748" w:type="pct"/>
            <w:tcBorders>
              <w:top w:val="outset" w:sz="6" w:space="0" w:color="414142"/>
              <w:left w:val="outset" w:sz="6" w:space="0" w:color="414142"/>
              <w:bottom w:val="outset" w:sz="6" w:space="0" w:color="414142"/>
              <w:right w:val="outset" w:sz="6" w:space="0" w:color="414142"/>
            </w:tcBorders>
          </w:tcPr>
          <w:p w14:paraId="3F46BD12" w14:textId="77777777" w:rsidR="00472BD9" w:rsidRPr="00EE5EB2" w:rsidRDefault="00472BD9" w:rsidP="00472BD9">
            <w:r w:rsidRPr="00EE5EB2">
              <w:t> 0</w:t>
            </w:r>
          </w:p>
        </w:tc>
        <w:tc>
          <w:tcPr>
            <w:tcW w:w="672" w:type="pct"/>
            <w:tcBorders>
              <w:top w:val="outset" w:sz="6" w:space="0" w:color="414142"/>
              <w:left w:val="outset" w:sz="6" w:space="0" w:color="414142"/>
              <w:bottom w:val="outset" w:sz="6" w:space="0" w:color="414142"/>
              <w:right w:val="outset" w:sz="6" w:space="0" w:color="414142"/>
            </w:tcBorders>
            <w:hideMark/>
          </w:tcPr>
          <w:p w14:paraId="17D03681" w14:textId="77777777" w:rsidR="00472BD9" w:rsidRPr="00EE5EB2" w:rsidRDefault="00472BD9" w:rsidP="00472BD9">
            <w:r w:rsidRPr="00EE5EB2">
              <w:t> 0</w:t>
            </w:r>
          </w:p>
        </w:tc>
      </w:tr>
      <w:tr w:rsidR="00472BD9" w:rsidRPr="00EE5EB2" w14:paraId="56D45CA2" w14:textId="77777777" w:rsidTr="008B65A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6E364764" w14:textId="77777777" w:rsidR="00472BD9" w:rsidRPr="00EE5EB2" w:rsidRDefault="00472BD9" w:rsidP="00472BD9">
            <w:r w:rsidRPr="00EE5EB2">
              <w:t>3.3.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14:paraId="335DC18A" w14:textId="77777777" w:rsidR="00472BD9" w:rsidRPr="00EE5EB2" w:rsidRDefault="00472BD9" w:rsidP="00472BD9">
            <w:r w:rsidRPr="00EE5EB2">
              <w:t> 0</w:t>
            </w:r>
          </w:p>
        </w:tc>
        <w:tc>
          <w:tcPr>
            <w:tcW w:w="687" w:type="pct"/>
            <w:tcBorders>
              <w:top w:val="outset" w:sz="6" w:space="0" w:color="414142"/>
              <w:left w:val="outset" w:sz="6" w:space="0" w:color="414142"/>
              <w:bottom w:val="outset" w:sz="6" w:space="0" w:color="414142"/>
              <w:right w:val="outset" w:sz="6" w:space="0" w:color="414142"/>
            </w:tcBorders>
            <w:hideMark/>
          </w:tcPr>
          <w:p w14:paraId="2ED68880" w14:textId="77777777" w:rsidR="00472BD9" w:rsidRPr="00EE5EB2" w:rsidRDefault="00472BD9"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hideMark/>
          </w:tcPr>
          <w:p w14:paraId="773F6745" w14:textId="77777777" w:rsidR="00472BD9" w:rsidRPr="00EE5EB2" w:rsidRDefault="00472BD9" w:rsidP="00472BD9">
            <w:r w:rsidRPr="00EE5EB2">
              <w:t> 0</w:t>
            </w:r>
          </w:p>
        </w:tc>
        <w:tc>
          <w:tcPr>
            <w:tcW w:w="748" w:type="pct"/>
            <w:tcBorders>
              <w:top w:val="outset" w:sz="6" w:space="0" w:color="414142"/>
              <w:left w:val="outset" w:sz="6" w:space="0" w:color="414142"/>
              <w:bottom w:val="outset" w:sz="6" w:space="0" w:color="414142"/>
              <w:right w:val="outset" w:sz="6" w:space="0" w:color="414142"/>
            </w:tcBorders>
            <w:hideMark/>
          </w:tcPr>
          <w:p w14:paraId="5669BAED" w14:textId="77777777" w:rsidR="00472BD9" w:rsidRPr="00EE5EB2" w:rsidRDefault="00472BD9" w:rsidP="00472BD9">
            <w:r w:rsidRPr="00EE5EB2">
              <w:t> 0</w:t>
            </w:r>
          </w:p>
        </w:tc>
        <w:tc>
          <w:tcPr>
            <w:tcW w:w="672" w:type="pct"/>
            <w:tcBorders>
              <w:top w:val="outset" w:sz="6" w:space="0" w:color="414142"/>
              <w:left w:val="outset" w:sz="6" w:space="0" w:color="414142"/>
              <w:bottom w:val="outset" w:sz="6" w:space="0" w:color="414142"/>
              <w:right w:val="outset" w:sz="6" w:space="0" w:color="414142"/>
            </w:tcBorders>
            <w:hideMark/>
          </w:tcPr>
          <w:p w14:paraId="3134EF7D" w14:textId="77777777" w:rsidR="00472BD9" w:rsidRPr="00EE5EB2" w:rsidRDefault="00472BD9" w:rsidP="00472BD9">
            <w:r w:rsidRPr="00EE5EB2">
              <w:t> 0</w:t>
            </w:r>
          </w:p>
        </w:tc>
      </w:tr>
      <w:tr w:rsidR="009F77EF" w:rsidRPr="00EE5EB2" w14:paraId="730AC793" w14:textId="77777777" w:rsidTr="008B65A2">
        <w:trPr>
          <w:jc w:val="center"/>
        </w:trPr>
        <w:tc>
          <w:tcPr>
            <w:tcW w:w="1489" w:type="pct"/>
            <w:vMerge w:val="restart"/>
            <w:tcBorders>
              <w:top w:val="outset" w:sz="6" w:space="0" w:color="414142"/>
              <w:left w:val="outset" w:sz="6" w:space="0" w:color="414142"/>
              <w:bottom w:val="outset" w:sz="6" w:space="0" w:color="414142"/>
              <w:right w:val="outset" w:sz="6" w:space="0" w:color="414142"/>
            </w:tcBorders>
            <w:hideMark/>
          </w:tcPr>
          <w:p w14:paraId="2BF2A4F8" w14:textId="77777777" w:rsidR="009F77EF" w:rsidRPr="00EE5EB2" w:rsidRDefault="009F77EF" w:rsidP="00472BD9">
            <w:r w:rsidRPr="00EE5EB2">
              <w:t>4. Finanšu līdzekļi papildu izdevumu finansēšanai (kompensējošu izdevumu samazinājumu norāda ar "+" zīmi)</w:t>
            </w:r>
          </w:p>
        </w:tc>
        <w:tc>
          <w:tcPr>
            <w:tcW w:w="710" w:type="pct"/>
            <w:vMerge w:val="restart"/>
            <w:tcBorders>
              <w:top w:val="outset" w:sz="6" w:space="0" w:color="414142"/>
              <w:left w:val="outset" w:sz="6" w:space="0" w:color="414142"/>
              <w:bottom w:val="outset" w:sz="6" w:space="0" w:color="414142"/>
              <w:right w:val="outset" w:sz="6" w:space="0" w:color="414142"/>
            </w:tcBorders>
            <w:hideMark/>
          </w:tcPr>
          <w:p w14:paraId="16AF8A13" w14:textId="77777777" w:rsidR="009F77EF" w:rsidRPr="00EE5EB2" w:rsidRDefault="009F77EF" w:rsidP="00472BD9">
            <w:r>
              <w:t>7 210 996</w:t>
            </w:r>
          </w:p>
        </w:tc>
        <w:tc>
          <w:tcPr>
            <w:tcW w:w="687" w:type="pct"/>
            <w:tcBorders>
              <w:top w:val="outset" w:sz="6" w:space="0" w:color="414142"/>
              <w:left w:val="outset" w:sz="6" w:space="0" w:color="414142"/>
              <w:bottom w:val="outset" w:sz="6" w:space="0" w:color="414142"/>
              <w:right w:val="outset" w:sz="6" w:space="0" w:color="414142"/>
            </w:tcBorders>
            <w:hideMark/>
          </w:tcPr>
          <w:p w14:paraId="6750B56B" w14:textId="77777777" w:rsidR="009F77EF" w:rsidRPr="00EE5EB2" w:rsidRDefault="009F77EF"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hideMark/>
          </w:tcPr>
          <w:p w14:paraId="1E4CC4C2" w14:textId="77777777" w:rsidR="009F77EF" w:rsidRPr="00535533" w:rsidRDefault="00F613AD" w:rsidP="00F20C69">
            <w:r>
              <w:t xml:space="preserve"> 0</w:t>
            </w:r>
          </w:p>
        </w:tc>
        <w:tc>
          <w:tcPr>
            <w:tcW w:w="748" w:type="pct"/>
            <w:tcBorders>
              <w:top w:val="outset" w:sz="6" w:space="0" w:color="414142"/>
              <w:left w:val="outset" w:sz="6" w:space="0" w:color="414142"/>
              <w:bottom w:val="outset" w:sz="6" w:space="0" w:color="414142"/>
              <w:right w:val="outset" w:sz="6" w:space="0" w:color="414142"/>
            </w:tcBorders>
            <w:hideMark/>
          </w:tcPr>
          <w:p w14:paraId="0224F5C3" w14:textId="77777777" w:rsidR="009F77EF" w:rsidRPr="007D6C92" w:rsidRDefault="00F613AD" w:rsidP="00F20C69">
            <w:r>
              <w:t xml:space="preserve"> 0</w:t>
            </w:r>
          </w:p>
        </w:tc>
        <w:tc>
          <w:tcPr>
            <w:tcW w:w="672" w:type="pct"/>
            <w:tcBorders>
              <w:top w:val="outset" w:sz="6" w:space="0" w:color="414142"/>
              <w:left w:val="outset" w:sz="6" w:space="0" w:color="414142"/>
              <w:bottom w:val="outset" w:sz="6" w:space="0" w:color="414142"/>
              <w:right w:val="outset" w:sz="6" w:space="0" w:color="414142"/>
            </w:tcBorders>
            <w:hideMark/>
          </w:tcPr>
          <w:p w14:paraId="5EF4DE8E" w14:textId="77777777" w:rsidR="009F77EF" w:rsidRPr="007D6C92" w:rsidRDefault="00F613AD" w:rsidP="00F20C69">
            <w:r>
              <w:t xml:space="preserve"> </w:t>
            </w:r>
            <w:r w:rsidR="00F20C69">
              <w:t>0</w:t>
            </w:r>
          </w:p>
        </w:tc>
      </w:tr>
      <w:tr w:rsidR="009F77EF" w:rsidRPr="00EE5EB2" w14:paraId="47E60FE3" w14:textId="77777777" w:rsidTr="009F77EF">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14:paraId="7F974903" w14:textId="77777777" w:rsidR="009F77EF" w:rsidRPr="00EE5EB2" w:rsidRDefault="009F77EF" w:rsidP="00472BD9"/>
        </w:tc>
        <w:tc>
          <w:tcPr>
            <w:tcW w:w="710" w:type="pct"/>
            <w:vMerge/>
            <w:tcBorders>
              <w:top w:val="outset" w:sz="6" w:space="0" w:color="414142"/>
              <w:left w:val="outset" w:sz="6" w:space="0" w:color="414142"/>
              <w:bottom w:val="outset" w:sz="6" w:space="0" w:color="414142"/>
              <w:right w:val="outset" w:sz="6" w:space="0" w:color="414142"/>
            </w:tcBorders>
            <w:vAlign w:val="center"/>
            <w:hideMark/>
          </w:tcPr>
          <w:p w14:paraId="69D8E69B" w14:textId="77777777" w:rsidR="009F77EF" w:rsidRPr="00EE5EB2" w:rsidRDefault="009F77EF" w:rsidP="00472BD9"/>
        </w:tc>
        <w:tc>
          <w:tcPr>
            <w:tcW w:w="687" w:type="pct"/>
            <w:tcBorders>
              <w:top w:val="outset" w:sz="6" w:space="0" w:color="414142"/>
              <w:left w:val="outset" w:sz="6" w:space="0" w:color="414142"/>
              <w:bottom w:val="outset" w:sz="6" w:space="0" w:color="414142"/>
              <w:right w:val="outset" w:sz="6" w:space="0" w:color="414142"/>
            </w:tcBorders>
            <w:hideMark/>
          </w:tcPr>
          <w:p w14:paraId="4113C584" w14:textId="77777777" w:rsidR="009F77EF" w:rsidRPr="00EE5EB2" w:rsidRDefault="009F77EF" w:rsidP="00472BD9">
            <w:r w:rsidRPr="00EE5EB2">
              <w:t> 0</w:t>
            </w:r>
          </w:p>
        </w:tc>
        <w:tc>
          <w:tcPr>
            <w:tcW w:w="694" w:type="pct"/>
            <w:tcBorders>
              <w:top w:val="outset" w:sz="6" w:space="0" w:color="414142"/>
              <w:left w:val="outset" w:sz="6" w:space="0" w:color="414142"/>
              <w:bottom w:val="outset" w:sz="6" w:space="0" w:color="414142"/>
              <w:right w:val="outset" w:sz="6" w:space="0" w:color="414142"/>
            </w:tcBorders>
          </w:tcPr>
          <w:p w14:paraId="2E8D2070" w14:textId="77777777" w:rsidR="009F77EF" w:rsidRPr="006A15DA" w:rsidRDefault="009F77EF" w:rsidP="000F1278">
            <w:r w:rsidRPr="006A15DA">
              <w:t xml:space="preserve"> 0</w:t>
            </w:r>
          </w:p>
        </w:tc>
        <w:tc>
          <w:tcPr>
            <w:tcW w:w="748" w:type="pct"/>
            <w:tcBorders>
              <w:top w:val="outset" w:sz="6" w:space="0" w:color="414142"/>
              <w:left w:val="outset" w:sz="6" w:space="0" w:color="414142"/>
              <w:bottom w:val="outset" w:sz="6" w:space="0" w:color="414142"/>
              <w:right w:val="outset" w:sz="6" w:space="0" w:color="414142"/>
            </w:tcBorders>
          </w:tcPr>
          <w:p w14:paraId="7722271A" w14:textId="77777777" w:rsidR="009F77EF" w:rsidRPr="006A15DA" w:rsidRDefault="009F77EF" w:rsidP="000F1278">
            <w:r w:rsidRPr="006A15DA">
              <w:t xml:space="preserve"> 0</w:t>
            </w:r>
          </w:p>
        </w:tc>
        <w:tc>
          <w:tcPr>
            <w:tcW w:w="672" w:type="pct"/>
            <w:tcBorders>
              <w:top w:val="outset" w:sz="6" w:space="0" w:color="414142"/>
              <w:left w:val="outset" w:sz="6" w:space="0" w:color="414142"/>
              <w:bottom w:val="outset" w:sz="6" w:space="0" w:color="414142"/>
              <w:right w:val="outset" w:sz="6" w:space="0" w:color="414142"/>
            </w:tcBorders>
          </w:tcPr>
          <w:p w14:paraId="7442F60C" w14:textId="77777777" w:rsidR="009F77EF" w:rsidRDefault="009F77EF" w:rsidP="000F1278">
            <w:r w:rsidRPr="006A15DA">
              <w:t xml:space="preserve"> 0</w:t>
            </w:r>
          </w:p>
        </w:tc>
      </w:tr>
      <w:tr w:rsidR="00472BD9" w:rsidRPr="00EE5EB2" w14:paraId="3B88B2F4" w14:textId="77777777" w:rsidTr="008B65A2">
        <w:trPr>
          <w:jc w:val="center"/>
        </w:trPr>
        <w:tc>
          <w:tcPr>
            <w:tcW w:w="1489" w:type="pct"/>
            <w:vMerge/>
            <w:tcBorders>
              <w:top w:val="outset" w:sz="6" w:space="0" w:color="414142"/>
              <w:left w:val="outset" w:sz="6" w:space="0" w:color="414142"/>
              <w:bottom w:val="single" w:sz="4" w:space="0" w:color="auto"/>
              <w:right w:val="outset" w:sz="6" w:space="0" w:color="414142"/>
            </w:tcBorders>
            <w:vAlign w:val="center"/>
            <w:hideMark/>
          </w:tcPr>
          <w:p w14:paraId="5FFC5619" w14:textId="77777777" w:rsidR="00472BD9" w:rsidRPr="00EE5EB2" w:rsidRDefault="00472BD9" w:rsidP="00472BD9"/>
        </w:tc>
        <w:tc>
          <w:tcPr>
            <w:tcW w:w="710" w:type="pct"/>
            <w:vMerge/>
            <w:tcBorders>
              <w:top w:val="outset" w:sz="6" w:space="0" w:color="414142"/>
              <w:left w:val="outset" w:sz="6" w:space="0" w:color="414142"/>
              <w:bottom w:val="single" w:sz="4" w:space="0" w:color="auto"/>
              <w:right w:val="outset" w:sz="6" w:space="0" w:color="414142"/>
            </w:tcBorders>
            <w:vAlign w:val="center"/>
            <w:hideMark/>
          </w:tcPr>
          <w:p w14:paraId="6E7FE6BA" w14:textId="77777777" w:rsidR="00472BD9" w:rsidRPr="00EE5EB2" w:rsidRDefault="00472BD9" w:rsidP="00472BD9"/>
        </w:tc>
        <w:tc>
          <w:tcPr>
            <w:tcW w:w="687" w:type="pct"/>
            <w:tcBorders>
              <w:top w:val="outset" w:sz="6" w:space="0" w:color="414142"/>
              <w:left w:val="outset" w:sz="6" w:space="0" w:color="414142"/>
              <w:bottom w:val="single" w:sz="4" w:space="0" w:color="auto"/>
              <w:right w:val="outset" w:sz="6" w:space="0" w:color="414142"/>
            </w:tcBorders>
            <w:hideMark/>
          </w:tcPr>
          <w:p w14:paraId="3BC3721E" w14:textId="77777777" w:rsidR="00472BD9" w:rsidRPr="00EE5EB2" w:rsidRDefault="00472BD9" w:rsidP="00472BD9">
            <w:r w:rsidRPr="00EE5EB2">
              <w:t> 0</w:t>
            </w:r>
          </w:p>
        </w:tc>
        <w:tc>
          <w:tcPr>
            <w:tcW w:w="694" w:type="pct"/>
            <w:tcBorders>
              <w:top w:val="outset" w:sz="6" w:space="0" w:color="414142"/>
              <w:left w:val="outset" w:sz="6" w:space="0" w:color="414142"/>
              <w:bottom w:val="single" w:sz="4" w:space="0" w:color="auto"/>
              <w:right w:val="outset" w:sz="6" w:space="0" w:color="414142"/>
            </w:tcBorders>
            <w:hideMark/>
          </w:tcPr>
          <w:p w14:paraId="53FDCF2D" w14:textId="77777777" w:rsidR="00472BD9" w:rsidRPr="00EE5EB2" w:rsidRDefault="00472BD9" w:rsidP="00472BD9">
            <w:r w:rsidRPr="00EE5EB2">
              <w:t> 0</w:t>
            </w:r>
          </w:p>
        </w:tc>
        <w:tc>
          <w:tcPr>
            <w:tcW w:w="748" w:type="pct"/>
            <w:tcBorders>
              <w:top w:val="outset" w:sz="6" w:space="0" w:color="414142"/>
              <w:left w:val="outset" w:sz="6" w:space="0" w:color="414142"/>
              <w:bottom w:val="single" w:sz="4" w:space="0" w:color="auto"/>
              <w:right w:val="outset" w:sz="6" w:space="0" w:color="414142"/>
            </w:tcBorders>
            <w:hideMark/>
          </w:tcPr>
          <w:p w14:paraId="4B01C8DD" w14:textId="77777777" w:rsidR="00472BD9" w:rsidRPr="00EE5EB2" w:rsidRDefault="00472BD9" w:rsidP="00472BD9">
            <w:r w:rsidRPr="00EE5EB2">
              <w:t> 0</w:t>
            </w:r>
          </w:p>
        </w:tc>
        <w:tc>
          <w:tcPr>
            <w:tcW w:w="672" w:type="pct"/>
            <w:tcBorders>
              <w:top w:val="outset" w:sz="6" w:space="0" w:color="414142"/>
              <w:left w:val="outset" w:sz="6" w:space="0" w:color="414142"/>
              <w:bottom w:val="single" w:sz="4" w:space="0" w:color="auto"/>
              <w:right w:val="outset" w:sz="6" w:space="0" w:color="414142"/>
            </w:tcBorders>
            <w:hideMark/>
          </w:tcPr>
          <w:p w14:paraId="1E83A61F" w14:textId="77777777" w:rsidR="00472BD9" w:rsidRPr="00EE5EB2" w:rsidRDefault="00472BD9" w:rsidP="00472BD9">
            <w:r w:rsidRPr="00EE5EB2">
              <w:t> 0</w:t>
            </w:r>
          </w:p>
        </w:tc>
      </w:tr>
      <w:tr w:rsidR="00472BD9" w:rsidRPr="00EE5EB2" w14:paraId="56154860" w14:textId="77777777" w:rsidTr="008B65A2">
        <w:trPr>
          <w:trHeight w:val="609"/>
          <w:jc w:val="center"/>
        </w:trPr>
        <w:tc>
          <w:tcPr>
            <w:tcW w:w="1489" w:type="pct"/>
            <w:tcBorders>
              <w:top w:val="single" w:sz="4" w:space="0" w:color="auto"/>
              <w:left w:val="single" w:sz="4" w:space="0" w:color="auto"/>
              <w:bottom w:val="single" w:sz="4" w:space="0" w:color="auto"/>
              <w:right w:val="single" w:sz="4" w:space="0" w:color="auto"/>
            </w:tcBorders>
            <w:hideMark/>
          </w:tcPr>
          <w:p w14:paraId="0645FD41" w14:textId="77777777" w:rsidR="00472BD9" w:rsidRPr="00EE5EB2" w:rsidRDefault="00472BD9" w:rsidP="00472BD9">
            <w:r w:rsidRPr="00EE5EB2">
              <w:t>5. Precizēta finansiālā ietekme:</w:t>
            </w:r>
          </w:p>
        </w:tc>
        <w:tc>
          <w:tcPr>
            <w:tcW w:w="710" w:type="pct"/>
            <w:tcBorders>
              <w:top w:val="single" w:sz="4" w:space="0" w:color="auto"/>
              <w:left w:val="single" w:sz="4" w:space="0" w:color="auto"/>
              <w:bottom w:val="single" w:sz="4" w:space="0" w:color="auto"/>
              <w:right w:val="single" w:sz="4" w:space="0" w:color="auto"/>
            </w:tcBorders>
            <w:hideMark/>
          </w:tcPr>
          <w:p w14:paraId="46116C72" w14:textId="77777777" w:rsidR="00472BD9" w:rsidRPr="00EE5EB2" w:rsidRDefault="003C2A39" w:rsidP="00472BD9">
            <w:r>
              <w:t>0</w:t>
            </w:r>
          </w:p>
        </w:tc>
        <w:tc>
          <w:tcPr>
            <w:tcW w:w="687" w:type="pct"/>
            <w:tcBorders>
              <w:top w:val="single" w:sz="4" w:space="0" w:color="auto"/>
              <w:left w:val="single" w:sz="4" w:space="0" w:color="auto"/>
              <w:bottom w:val="single" w:sz="4" w:space="0" w:color="auto"/>
              <w:right w:val="single" w:sz="4" w:space="0" w:color="auto"/>
            </w:tcBorders>
            <w:hideMark/>
          </w:tcPr>
          <w:p w14:paraId="257A3658" w14:textId="77777777" w:rsidR="00472BD9" w:rsidRPr="00EE5EB2" w:rsidRDefault="00472BD9" w:rsidP="00472BD9">
            <w:r w:rsidRPr="00EE5EB2">
              <w:t xml:space="preserve"> 0</w:t>
            </w:r>
          </w:p>
        </w:tc>
        <w:tc>
          <w:tcPr>
            <w:tcW w:w="694" w:type="pct"/>
            <w:tcBorders>
              <w:top w:val="single" w:sz="4" w:space="0" w:color="auto"/>
              <w:left w:val="single" w:sz="4" w:space="0" w:color="auto"/>
              <w:bottom w:val="single" w:sz="4" w:space="0" w:color="auto"/>
              <w:right w:val="single" w:sz="4" w:space="0" w:color="auto"/>
            </w:tcBorders>
          </w:tcPr>
          <w:p w14:paraId="5C839B25" w14:textId="77777777" w:rsidR="00472BD9" w:rsidRPr="00EE5EB2" w:rsidRDefault="00472BD9" w:rsidP="003C2A39">
            <w:r w:rsidRPr="00EE5EB2">
              <w:t xml:space="preserve"> </w:t>
            </w:r>
            <w:r w:rsidR="003C2A39">
              <w:t>0</w:t>
            </w:r>
          </w:p>
        </w:tc>
        <w:tc>
          <w:tcPr>
            <w:tcW w:w="748" w:type="pct"/>
            <w:tcBorders>
              <w:top w:val="single" w:sz="4" w:space="0" w:color="auto"/>
              <w:left w:val="single" w:sz="4" w:space="0" w:color="auto"/>
              <w:bottom w:val="single" w:sz="4" w:space="0" w:color="auto"/>
              <w:right w:val="single" w:sz="4" w:space="0" w:color="auto"/>
            </w:tcBorders>
          </w:tcPr>
          <w:p w14:paraId="3FE3B7BA" w14:textId="77777777" w:rsidR="00472BD9" w:rsidRPr="00EE5EB2" w:rsidRDefault="00472BD9" w:rsidP="00472BD9">
            <w:r w:rsidRPr="00EE5EB2">
              <w:t xml:space="preserve"> 0</w:t>
            </w:r>
          </w:p>
        </w:tc>
        <w:tc>
          <w:tcPr>
            <w:tcW w:w="672" w:type="pct"/>
            <w:tcBorders>
              <w:top w:val="single" w:sz="4" w:space="0" w:color="auto"/>
              <w:left w:val="single" w:sz="4" w:space="0" w:color="auto"/>
              <w:bottom w:val="single" w:sz="4" w:space="0" w:color="auto"/>
              <w:right w:val="single" w:sz="4" w:space="0" w:color="auto"/>
            </w:tcBorders>
            <w:hideMark/>
          </w:tcPr>
          <w:p w14:paraId="1E0C39E2" w14:textId="77777777" w:rsidR="00472BD9" w:rsidRPr="00EE5EB2" w:rsidRDefault="00472BD9" w:rsidP="00472BD9">
            <w:r w:rsidRPr="00EE5EB2">
              <w:t xml:space="preserve"> 0</w:t>
            </w:r>
          </w:p>
        </w:tc>
      </w:tr>
      <w:tr w:rsidR="00472BD9" w:rsidRPr="00EE5EB2" w14:paraId="01EED9B4" w14:textId="77777777" w:rsidTr="008B65A2">
        <w:trPr>
          <w:trHeight w:val="281"/>
          <w:jc w:val="center"/>
        </w:trPr>
        <w:tc>
          <w:tcPr>
            <w:tcW w:w="1489" w:type="pct"/>
            <w:tcBorders>
              <w:top w:val="single" w:sz="4" w:space="0" w:color="auto"/>
              <w:left w:val="outset" w:sz="6" w:space="0" w:color="414142"/>
              <w:bottom w:val="outset" w:sz="6" w:space="0" w:color="414142"/>
              <w:right w:val="single" w:sz="4" w:space="0" w:color="auto"/>
            </w:tcBorders>
            <w:hideMark/>
          </w:tcPr>
          <w:p w14:paraId="09866A56" w14:textId="77777777" w:rsidR="00472BD9" w:rsidRPr="00EE5EB2" w:rsidRDefault="00472BD9" w:rsidP="00472BD9">
            <w:r w:rsidRPr="00EE5EB2">
              <w:t>5.1. valsts pamatbudžets</w:t>
            </w:r>
          </w:p>
        </w:tc>
        <w:tc>
          <w:tcPr>
            <w:tcW w:w="710" w:type="pct"/>
            <w:tcBorders>
              <w:top w:val="single" w:sz="4" w:space="0" w:color="auto"/>
              <w:left w:val="single" w:sz="4" w:space="0" w:color="auto"/>
              <w:bottom w:val="single" w:sz="4" w:space="0" w:color="auto"/>
              <w:right w:val="single" w:sz="4" w:space="0" w:color="auto"/>
            </w:tcBorders>
            <w:hideMark/>
          </w:tcPr>
          <w:p w14:paraId="04AA2875" w14:textId="77777777" w:rsidR="00472BD9" w:rsidRPr="00EE5EB2" w:rsidRDefault="003C2A39" w:rsidP="00472BD9">
            <w:r>
              <w:t>0</w:t>
            </w:r>
          </w:p>
        </w:tc>
        <w:tc>
          <w:tcPr>
            <w:tcW w:w="687" w:type="pct"/>
            <w:tcBorders>
              <w:top w:val="single" w:sz="4" w:space="0" w:color="auto"/>
              <w:left w:val="single" w:sz="4" w:space="0" w:color="auto"/>
              <w:bottom w:val="single" w:sz="4" w:space="0" w:color="auto"/>
              <w:right w:val="single" w:sz="4" w:space="0" w:color="auto"/>
            </w:tcBorders>
          </w:tcPr>
          <w:p w14:paraId="0EDEC15C" w14:textId="77777777" w:rsidR="00472BD9" w:rsidRPr="00EE5EB2" w:rsidRDefault="00472BD9" w:rsidP="00472BD9">
            <w:r w:rsidRPr="00EE5EB2">
              <w:t xml:space="preserve"> 0</w:t>
            </w:r>
          </w:p>
        </w:tc>
        <w:tc>
          <w:tcPr>
            <w:tcW w:w="694" w:type="pct"/>
            <w:tcBorders>
              <w:top w:val="single" w:sz="4" w:space="0" w:color="auto"/>
              <w:left w:val="single" w:sz="4" w:space="0" w:color="auto"/>
              <w:bottom w:val="single" w:sz="4" w:space="0" w:color="auto"/>
              <w:right w:val="single" w:sz="4" w:space="0" w:color="auto"/>
            </w:tcBorders>
          </w:tcPr>
          <w:p w14:paraId="12ACAA63" w14:textId="77777777" w:rsidR="00472BD9" w:rsidRPr="00EE5EB2" w:rsidRDefault="00472BD9" w:rsidP="003C2A39">
            <w:r w:rsidRPr="00EE5EB2">
              <w:t xml:space="preserve"> </w:t>
            </w:r>
            <w:r w:rsidR="003C2A39">
              <w:t>0</w:t>
            </w:r>
          </w:p>
        </w:tc>
        <w:tc>
          <w:tcPr>
            <w:tcW w:w="748" w:type="pct"/>
            <w:tcBorders>
              <w:top w:val="single" w:sz="4" w:space="0" w:color="auto"/>
              <w:left w:val="single" w:sz="4" w:space="0" w:color="auto"/>
              <w:bottom w:val="single" w:sz="4" w:space="0" w:color="auto"/>
              <w:right w:val="single" w:sz="4" w:space="0" w:color="auto"/>
            </w:tcBorders>
          </w:tcPr>
          <w:p w14:paraId="051141C7" w14:textId="77777777" w:rsidR="00472BD9" w:rsidRPr="00EE5EB2" w:rsidRDefault="00472BD9" w:rsidP="00472BD9">
            <w:r w:rsidRPr="00EE5EB2">
              <w:t xml:space="preserve"> 0</w:t>
            </w:r>
          </w:p>
        </w:tc>
        <w:tc>
          <w:tcPr>
            <w:tcW w:w="672" w:type="pct"/>
            <w:tcBorders>
              <w:top w:val="single" w:sz="4" w:space="0" w:color="auto"/>
              <w:left w:val="single" w:sz="4" w:space="0" w:color="auto"/>
              <w:bottom w:val="single" w:sz="4" w:space="0" w:color="auto"/>
              <w:right w:val="single" w:sz="4" w:space="0" w:color="auto"/>
            </w:tcBorders>
          </w:tcPr>
          <w:p w14:paraId="02153069" w14:textId="77777777" w:rsidR="00472BD9" w:rsidRPr="00EE5EB2" w:rsidRDefault="00472BD9" w:rsidP="00472BD9">
            <w:r w:rsidRPr="00EE5EB2">
              <w:t xml:space="preserve"> 0</w:t>
            </w:r>
          </w:p>
        </w:tc>
      </w:tr>
      <w:tr w:rsidR="00472BD9" w:rsidRPr="00EE5EB2" w14:paraId="4311E93D" w14:textId="77777777" w:rsidTr="008B65A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432292A7" w14:textId="77777777" w:rsidR="00472BD9" w:rsidRPr="00EE5EB2" w:rsidRDefault="00472BD9" w:rsidP="00472BD9">
            <w:r w:rsidRPr="00EE5EB2">
              <w:t>5.2. speciālais budžets</w:t>
            </w:r>
          </w:p>
        </w:tc>
        <w:tc>
          <w:tcPr>
            <w:tcW w:w="710" w:type="pct"/>
            <w:tcBorders>
              <w:top w:val="single" w:sz="4" w:space="0" w:color="auto"/>
              <w:left w:val="single" w:sz="4" w:space="0" w:color="auto"/>
              <w:bottom w:val="single" w:sz="4" w:space="0" w:color="auto"/>
              <w:right w:val="single" w:sz="4" w:space="0" w:color="auto"/>
            </w:tcBorders>
            <w:hideMark/>
          </w:tcPr>
          <w:p w14:paraId="2060ED5A" w14:textId="77777777" w:rsidR="00472BD9" w:rsidRPr="00EE5EB2" w:rsidRDefault="00472BD9" w:rsidP="00472BD9"/>
        </w:tc>
        <w:tc>
          <w:tcPr>
            <w:tcW w:w="687" w:type="pct"/>
            <w:tcBorders>
              <w:top w:val="single" w:sz="4" w:space="0" w:color="auto"/>
              <w:left w:val="single" w:sz="4" w:space="0" w:color="auto"/>
              <w:bottom w:val="single" w:sz="4" w:space="0" w:color="auto"/>
              <w:right w:val="single" w:sz="4" w:space="0" w:color="auto"/>
            </w:tcBorders>
            <w:hideMark/>
          </w:tcPr>
          <w:p w14:paraId="417E5BFA" w14:textId="77777777" w:rsidR="00472BD9" w:rsidRPr="00EE5EB2" w:rsidRDefault="00472BD9" w:rsidP="00472BD9">
            <w:r w:rsidRPr="00EE5EB2">
              <w:t> 0</w:t>
            </w:r>
          </w:p>
        </w:tc>
        <w:tc>
          <w:tcPr>
            <w:tcW w:w="694" w:type="pct"/>
            <w:tcBorders>
              <w:top w:val="single" w:sz="4" w:space="0" w:color="auto"/>
              <w:left w:val="single" w:sz="4" w:space="0" w:color="auto"/>
              <w:bottom w:val="single" w:sz="4" w:space="0" w:color="auto"/>
              <w:right w:val="single" w:sz="4" w:space="0" w:color="auto"/>
            </w:tcBorders>
            <w:hideMark/>
          </w:tcPr>
          <w:p w14:paraId="279B6E32" w14:textId="77777777" w:rsidR="00472BD9" w:rsidRPr="00EE5EB2" w:rsidRDefault="00472BD9" w:rsidP="00472BD9">
            <w:r w:rsidRPr="00EE5EB2">
              <w:t> 0</w:t>
            </w:r>
          </w:p>
        </w:tc>
        <w:tc>
          <w:tcPr>
            <w:tcW w:w="748" w:type="pct"/>
            <w:tcBorders>
              <w:top w:val="single" w:sz="4" w:space="0" w:color="auto"/>
              <w:left w:val="single" w:sz="4" w:space="0" w:color="auto"/>
              <w:bottom w:val="single" w:sz="4" w:space="0" w:color="auto"/>
              <w:right w:val="single" w:sz="4" w:space="0" w:color="auto"/>
            </w:tcBorders>
            <w:hideMark/>
          </w:tcPr>
          <w:p w14:paraId="10DF4EFB" w14:textId="77777777" w:rsidR="00472BD9" w:rsidRPr="00EE5EB2" w:rsidRDefault="00472BD9" w:rsidP="00472BD9">
            <w:r w:rsidRPr="00EE5EB2">
              <w:t> 0</w:t>
            </w:r>
          </w:p>
        </w:tc>
        <w:tc>
          <w:tcPr>
            <w:tcW w:w="672" w:type="pct"/>
            <w:tcBorders>
              <w:top w:val="single" w:sz="4" w:space="0" w:color="auto"/>
              <w:left w:val="single" w:sz="4" w:space="0" w:color="auto"/>
              <w:bottom w:val="single" w:sz="4" w:space="0" w:color="auto"/>
              <w:right w:val="single" w:sz="4" w:space="0" w:color="auto"/>
            </w:tcBorders>
            <w:hideMark/>
          </w:tcPr>
          <w:p w14:paraId="61E5AC5A" w14:textId="77777777" w:rsidR="00472BD9" w:rsidRPr="00EE5EB2" w:rsidRDefault="00472BD9" w:rsidP="00472BD9">
            <w:r w:rsidRPr="00EE5EB2">
              <w:t> 0</w:t>
            </w:r>
          </w:p>
        </w:tc>
      </w:tr>
      <w:tr w:rsidR="00472BD9" w:rsidRPr="00EE5EB2" w14:paraId="58FF1F70" w14:textId="77777777" w:rsidTr="008B65A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212D9C42" w14:textId="77777777" w:rsidR="00472BD9" w:rsidRPr="00EE5EB2" w:rsidRDefault="00472BD9" w:rsidP="00472BD9">
            <w:r w:rsidRPr="00EE5EB2">
              <w:t>5.3. pašvaldību budžets</w:t>
            </w:r>
          </w:p>
        </w:tc>
        <w:tc>
          <w:tcPr>
            <w:tcW w:w="710" w:type="pct"/>
            <w:tcBorders>
              <w:top w:val="single" w:sz="4" w:space="0" w:color="auto"/>
              <w:left w:val="single" w:sz="4" w:space="0" w:color="auto"/>
              <w:bottom w:val="single" w:sz="4" w:space="0" w:color="auto"/>
              <w:right w:val="single" w:sz="4" w:space="0" w:color="auto"/>
            </w:tcBorders>
            <w:hideMark/>
          </w:tcPr>
          <w:p w14:paraId="6DD0544F" w14:textId="77777777" w:rsidR="00472BD9" w:rsidRPr="00EE5EB2" w:rsidRDefault="00472BD9" w:rsidP="00472BD9"/>
        </w:tc>
        <w:tc>
          <w:tcPr>
            <w:tcW w:w="687" w:type="pct"/>
            <w:tcBorders>
              <w:top w:val="single" w:sz="4" w:space="0" w:color="auto"/>
              <w:left w:val="single" w:sz="4" w:space="0" w:color="auto"/>
              <w:bottom w:val="single" w:sz="4" w:space="0" w:color="auto"/>
              <w:right w:val="single" w:sz="4" w:space="0" w:color="auto"/>
            </w:tcBorders>
            <w:hideMark/>
          </w:tcPr>
          <w:p w14:paraId="6C3F4DB6" w14:textId="77777777" w:rsidR="00472BD9" w:rsidRPr="00EE5EB2" w:rsidRDefault="00472BD9" w:rsidP="00472BD9">
            <w:r w:rsidRPr="00EE5EB2">
              <w:t> 0</w:t>
            </w:r>
          </w:p>
        </w:tc>
        <w:tc>
          <w:tcPr>
            <w:tcW w:w="694" w:type="pct"/>
            <w:tcBorders>
              <w:top w:val="single" w:sz="4" w:space="0" w:color="auto"/>
              <w:left w:val="single" w:sz="4" w:space="0" w:color="auto"/>
              <w:bottom w:val="single" w:sz="4" w:space="0" w:color="auto"/>
              <w:right w:val="single" w:sz="4" w:space="0" w:color="auto"/>
            </w:tcBorders>
            <w:hideMark/>
          </w:tcPr>
          <w:p w14:paraId="5395386D" w14:textId="77777777" w:rsidR="00472BD9" w:rsidRPr="00EE5EB2" w:rsidRDefault="00472BD9" w:rsidP="00472BD9">
            <w:r w:rsidRPr="00EE5EB2">
              <w:t> 0</w:t>
            </w:r>
          </w:p>
        </w:tc>
        <w:tc>
          <w:tcPr>
            <w:tcW w:w="748" w:type="pct"/>
            <w:tcBorders>
              <w:top w:val="single" w:sz="4" w:space="0" w:color="auto"/>
              <w:left w:val="single" w:sz="4" w:space="0" w:color="auto"/>
              <w:bottom w:val="single" w:sz="4" w:space="0" w:color="auto"/>
              <w:right w:val="single" w:sz="4" w:space="0" w:color="auto"/>
            </w:tcBorders>
            <w:hideMark/>
          </w:tcPr>
          <w:p w14:paraId="1EA28A70" w14:textId="77777777" w:rsidR="00472BD9" w:rsidRPr="00EE5EB2" w:rsidRDefault="00472BD9" w:rsidP="00472BD9">
            <w:r w:rsidRPr="00EE5EB2">
              <w:t> 0</w:t>
            </w:r>
          </w:p>
        </w:tc>
        <w:tc>
          <w:tcPr>
            <w:tcW w:w="672" w:type="pct"/>
            <w:tcBorders>
              <w:top w:val="single" w:sz="4" w:space="0" w:color="auto"/>
              <w:left w:val="single" w:sz="4" w:space="0" w:color="auto"/>
              <w:bottom w:val="single" w:sz="4" w:space="0" w:color="auto"/>
              <w:right w:val="single" w:sz="4" w:space="0" w:color="auto"/>
            </w:tcBorders>
            <w:hideMark/>
          </w:tcPr>
          <w:p w14:paraId="5CA5A02F" w14:textId="77777777" w:rsidR="00472BD9" w:rsidRPr="00EE5EB2" w:rsidRDefault="00472BD9" w:rsidP="00472BD9">
            <w:r w:rsidRPr="00EE5EB2">
              <w:t> 0</w:t>
            </w:r>
          </w:p>
        </w:tc>
      </w:tr>
      <w:tr w:rsidR="00472BD9" w:rsidRPr="00EE5EB2" w14:paraId="12F1A293" w14:textId="77777777" w:rsidTr="008B65A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4E65E8E6" w14:textId="77777777" w:rsidR="00472BD9" w:rsidRPr="00EE5EB2" w:rsidRDefault="00472BD9" w:rsidP="00472BD9">
            <w:r w:rsidRPr="00EE5EB2">
              <w:t>6. Detalizēts ieņēmumu un izdevumu aprēķins (ja nepieciešams, detalizētu ieņēmumu un izdevumu aprēķinu var pievienot anotācijas pielikumā):</w:t>
            </w:r>
          </w:p>
        </w:tc>
        <w:tc>
          <w:tcPr>
            <w:tcW w:w="3511" w:type="pct"/>
            <w:gridSpan w:val="5"/>
            <w:vMerge w:val="restart"/>
            <w:tcBorders>
              <w:top w:val="single" w:sz="4" w:space="0" w:color="auto"/>
              <w:left w:val="single" w:sz="4" w:space="0" w:color="auto"/>
              <w:bottom w:val="single" w:sz="4" w:space="0" w:color="auto"/>
              <w:right w:val="single" w:sz="4" w:space="0" w:color="auto"/>
            </w:tcBorders>
            <w:hideMark/>
          </w:tcPr>
          <w:p w14:paraId="36A497E5" w14:textId="77777777" w:rsidR="00472BD9" w:rsidRPr="00EE5EB2" w:rsidRDefault="009F77EF" w:rsidP="00472BD9">
            <w:pPr>
              <w:spacing w:before="120"/>
            </w:pPr>
            <w:r>
              <w:t>20</w:t>
            </w:r>
            <w:r w:rsidR="00472BD9" w:rsidRPr="00EE5EB2">
              <w:t xml:space="preserve">16.gadā kopējie izdevumi </w:t>
            </w:r>
            <w:r w:rsidR="00D35918" w:rsidRPr="00EE5EB2">
              <w:t xml:space="preserve">EUR </w:t>
            </w:r>
            <w:r>
              <w:t>229 533 341</w:t>
            </w:r>
            <w:r w:rsidR="00472BD9" w:rsidRPr="00EE5EB2">
              <w:t xml:space="preserve"> apmērā, tai skaitā:</w:t>
            </w:r>
          </w:p>
          <w:p w14:paraId="63640BF3" w14:textId="77777777" w:rsidR="00472BD9" w:rsidRPr="00EE5EB2" w:rsidRDefault="00D35918" w:rsidP="000F61AD">
            <w:pPr>
              <w:pStyle w:val="Sarakstarindkopa"/>
              <w:numPr>
                <w:ilvl w:val="0"/>
                <w:numId w:val="14"/>
              </w:numPr>
              <w:rPr>
                <w:sz w:val="24"/>
                <w:szCs w:val="24"/>
              </w:rPr>
            </w:pPr>
            <w:r>
              <w:rPr>
                <w:rFonts w:ascii="Times New Roman" w:hAnsi="Times New Roman"/>
                <w:sz w:val="24"/>
                <w:szCs w:val="24"/>
              </w:rPr>
              <w:t>t</w:t>
            </w:r>
            <w:r w:rsidR="00472BD9" w:rsidRPr="00EE5EB2">
              <w:rPr>
                <w:rFonts w:ascii="Times New Roman" w:hAnsi="Times New Roman"/>
                <w:sz w:val="24"/>
                <w:szCs w:val="24"/>
              </w:rPr>
              <w:t xml:space="preserve">iešie maksājumi </w:t>
            </w:r>
            <w:r w:rsidRPr="00EE5EB2">
              <w:rPr>
                <w:rFonts w:ascii="Times New Roman" w:hAnsi="Times New Roman"/>
                <w:sz w:val="24"/>
                <w:szCs w:val="24"/>
              </w:rPr>
              <w:t xml:space="preserve">EUR </w:t>
            </w:r>
            <w:r w:rsidR="00472BD9" w:rsidRPr="00EE5EB2">
              <w:rPr>
                <w:rFonts w:ascii="Times New Roman" w:hAnsi="Times New Roman"/>
                <w:sz w:val="24"/>
                <w:szCs w:val="24"/>
              </w:rPr>
              <w:t>222 322 345 apmērā;</w:t>
            </w:r>
          </w:p>
          <w:p w14:paraId="102B485D" w14:textId="77777777" w:rsidR="00472BD9" w:rsidRPr="00EE5EB2" w:rsidRDefault="00D35918" w:rsidP="000F61AD">
            <w:pPr>
              <w:pStyle w:val="Sarakstarindkopa"/>
              <w:numPr>
                <w:ilvl w:val="0"/>
                <w:numId w:val="14"/>
              </w:numPr>
              <w:rPr>
                <w:sz w:val="24"/>
                <w:szCs w:val="24"/>
              </w:rPr>
            </w:pPr>
            <w:r>
              <w:rPr>
                <w:rFonts w:ascii="Times New Roman" w:hAnsi="Times New Roman"/>
                <w:sz w:val="24"/>
                <w:szCs w:val="24"/>
              </w:rPr>
              <w:t>p</w:t>
            </w:r>
            <w:r w:rsidR="00472BD9" w:rsidRPr="00EE5EB2">
              <w:rPr>
                <w:rFonts w:ascii="Times New Roman" w:hAnsi="Times New Roman"/>
                <w:sz w:val="24"/>
                <w:szCs w:val="24"/>
              </w:rPr>
              <w:t xml:space="preserve">ārejas posma valsts atbalsts </w:t>
            </w:r>
            <w:r w:rsidRPr="00EE5EB2">
              <w:rPr>
                <w:rFonts w:ascii="Times New Roman" w:hAnsi="Times New Roman"/>
                <w:sz w:val="24"/>
                <w:szCs w:val="24"/>
              </w:rPr>
              <w:t>EUR</w:t>
            </w:r>
            <w:r>
              <w:rPr>
                <w:rFonts w:ascii="Times New Roman" w:hAnsi="Times New Roman"/>
                <w:sz w:val="24"/>
                <w:szCs w:val="24"/>
              </w:rPr>
              <w:t xml:space="preserve"> </w:t>
            </w:r>
            <w:r w:rsidR="009F77EF">
              <w:rPr>
                <w:rFonts w:ascii="Times New Roman" w:hAnsi="Times New Roman"/>
                <w:sz w:val="24"/>
                <w:szCs w:val="24"/>
              </w:rPr>
              <w:t>7 210 996</w:t>
            </w:r>
            <w:r w:rsidR="00472BD9" w:rsidRPr="00EE5EB2">
              <w:rPr>
                <w:rFonts w:ascii="Times New Roman" w:hAnsi="Times New Roman"/>
                <w:sz w:val="24"/>
                <w:szCs w:val="24"/>
              </w:rPr>
              <w:t xml:space="preserve"> apmērā.</w:t>
            </w:r>
          </w:p>
          <w:p w14:paraId="6783DE84" w14:textId="77777777" w:rsidR="00472BD9" w:rsidRPr="00EE5EB2" w:rsidRDefault="00472BD9" w:rsidP="00472BD9">
            <w:pPr>
              <w:spacing w:before="120"/>
            </w:pPr>
            <w:r w:rsidRPr="00EE5EB2">
              <w:t xml:space="preserve">2017.gadā kopējie izdevumi </w:t>
            </w:r>
            <w:r w:rsidR="00D35918" w:rsidRPr="00EE5EB2">
              <w:t>EUR</w:t>
            </w:r>
            <w:r w:rsidR="00D35918">
              <w:t xml:space="preserve"> </w:t>
            </w:r>
            <w:r w:rsidR="009F77EF">
              <w:t>230 975 516</w:t>
            </w:r>
            <w:r w:rsidRPr="00EE5EB2">
              <w:t xml:space="preserve"> apmērā;</w:t>
            </w:r>
          </w:p>
          <w:p w14:paraId="48FC59C6" w14:textId="77777777" w:rsidR="00472BD9" w:rsidRPr="00EE5EB2" w:rsidRDefault="00D35918" w:rsidP="000F61AD">
            <w:pPr>
              <w:pStyle w:val="Sarakstarindkopa"/>
              <w:numPr>
                <w:ilvl w:val="0"/>
                <w:numId w:val="15"/>
              </w:numPr>
              <w:rPr>
                <w:sz w:val="24"/>
                <w:szCs w:val="24"/>
              </w:rPr>
            </w:pPr>
            <w:r>
              <w:rPr>
                <w:rFonts w:ascii="Times New Roman" w:hAnsi="Times New Roman"/>
                <w:sz w:val="24"/>
                <w:szCs w:val="24"/>
              </w:rPr>
              <w:t>t</w:t>
            </w:r>
            <w:r w:rsidR="00472BD9" w:rsidRPr="00EE5EB2">
              <w:rPr>
                <w:rFonts w:ascii="Times New Roman" w:hAnsi="Times New Roman"/>
                <w:sz w:val="24"/>
                <w:szCs w:val="24"/>
              </w:rPr>
              <w:t xml:space="preserve">iešie maksājumi </w:t>
            </w:r>
            <w:r w:rsidRPr="00EE5EB2">
              <w:rPr>
                <w:rFonts w:ascii="Times New Roman" w:hAnsi="Times New Roman"/>
                <w:sz w:val="24"/>
                <w:szCs w:val="24"/>
              </w:rPr>
              <w:t xml:space="preserve">EUR </w:t>
            </w:r>
            <w:r w:rsidR="00472BD9" w:rsidRPr="00EE5EB2">
              <w:rPr>
                <w:rFonts w:ascii="Times New Roman" w:hAnsi="Times New Roman"/>
                <w:sz w:val="24"/>
                <w:szCs w:val="24"/>
              </w:rPr>
              <w:t>230 467 134 apmērā;</w:t>
            </w:r>
          </w:p>
          <w:p w14:paraId="140CE962" w14:textId="77777777" w:rsidR="00472BD9" w:rsidRPr="009F77EF" w:rsidRDefault="00D35918" w:rsidP="000F61AD">
            <w:pPr>
              <w:pStyle w:val="Sarakstarindkopa"/>
              <w:numPr>
                <w:ilvl w:val="0"/>
                <w:numId w:val="15"/>
              </w:numPr>
              <w:rPr>
                <w:sz w:val="24"/>
                <w:szCs w:val="24"/>
              </w:rPr>
            </w:pPr>
            <w:r>
              <w:rPr>
                <w:rFonts w:ascii="Times New Roman" w:hAnsi="Times New Roman"/>
                <w:sz w:val="24"/>
                <w:szCs w:val="24"/>
              </w:rPr>
              <w:t>p</w:t>
            </w:r>
            <w:r w:rsidR="00472BD9" w:rsidRPr="00EE5EB2">
              <w:rPr>
                <w:rFonts w:ascii="Times New Roman" w:hAnsi="Times New Roman"/>
                <w:sz w:val="24"/>
                <w:szCs w:val="24"/>
              </w:rPr>
              <w:t xml:space="preserve">ārejas posma valsts atbalsts </w:t>
            </w:r>
            <w:r w:rsidRPr="00EE5EB2">
              <w:rPr>
                <w:rFonts w:ascii="Times New Roman" w:hAnsi="Times New Roman"/>
                <w:sz w:val="24"/>
                <w:szCs w:val="24"/>
              </w:rPr>
              <w:t>EUR</w:t>
            </w:r>
            <w:r>
              <w:rPr>
                <w:rFonts w:ascii="Times New Roman" w:hAnsi="Times New Roman"/>
                <w:sz w:val="24"/>
                <w:szCs w:val="24"/>
              </w:rPr>
              <w:t xml:space="preserve"> </w:t>
            </w:r>
            <w:r w:rsidR="009F77EF">
              <w:rPr>
                <w:rFonts w:ascii="Times New Roman" w:hAnsi="Times New Roman"/>
                <w:sz w:val="24"/>
                <w:szCs w:val="24"/>
              </w:rPr>
              <w:t>508 382</w:t>
            </w:r>
            <w:r w:rsidR="00472BD9" w:rsidRPr="00EE5EB2">
              <w:rPr>
                <w:rFonts w:ascii="Times New Roman" w:hAnsi="Times New Roman"/>
                <w:sz w:val="24"/>
                <w:szCs w:val="24"/>
              </w:rPr>
              <w:t xml:space="preserve"> apmērā.</w:t>
            </w:r>
          </w:p>
          <w:p w14:paraId="4E621005" w14:textId="77777777" w:rsidR="009F77EF" w:rsidRPr="00EE5EB2" w:rsidRDefault="009F77EF" w:rsidP="009F77EF">
            <w:pPr>
              <w:spacing w:before="120"/>
            </w:pPr>
            <w:r w:rsidRPr="00EE5EB2">
              <w:t>201</w:t>
            </w:r>
            <w:r>
              <w:t>8</w:t>
            </w:r>
            <w:r w:rsidRPr="00EE5EB2">
              <w:t xml:space="preserve">.gadā kopējie izdevumi </w:t>
            </w:r>
            <w:r w:rsidR="00D35918" w:rsidRPr="00EE5EB2">
              <w:t xml:space="preserve">EUR </w:t>
            </w:r>
            <w:r>
              <w:t>255 292 000</w:t>
            </w:r>
            <w:r w:rsidRPr="00EE5EB2">
              <w:t xml:space="preserve"> apmērā;</w:t>
            </w:r>
          </w:p>
          <w:p w14:paraId="230D6B3B" w14:textId="77777777" w:rsidR="009F77EF" w:rsidRPr="009F77EF" w:rsidRDefault="00D35918" w:rsidP="000F61AD">
            <w:pPr>
              <w:pStyle w:val="Sarakstarindkopa"/>
              <w:numPr>
                <w:ilvl w:val="0"/>
                <w:numId w:val="16"/>
              </w:numPr>
              <w:rPr>
                <w:sz w:val="24"/>
                <w:szCs w:val="24"/>
              </w:rPr>
            </w:pPr>
            <w:r>
              <w:rPr>
                <w:rFonts w:ascii="Times New Roman" w:hAnsi="Times New Roman"/>
                <w:sz w:val="24"/>
                <w:szCs w:val="24"/>
              </w:rPr>
              <w:t>t</w:t>
            </w:r>
            <w:r w:rsidR="009F77EF" w:rsidRPr="00EE5EB2">
              <w:rPr>
                <w:rFonts w:ascii="Times New Roman" w:hAnsi="Times New Roman"/>
                <w:sz w:val="24"/>
                <w:szCs w:val="24"/>
              </w:rPr>
              <w:t xml:space="preserve">iešie maksājumi </w:t>
            </w:r>
            <w:r w:rsidRPr="00EE5EB2">
              <w:rPr>
                <w:rFonts w:ascii="Times New Roman" w:hAnsi="Times New Roman"/>
                <w:sz w:val="24"/>
                <w:szCs w:val="24"/>
              </w:rPr>
              <w:t>EUR</w:t>
            </w:r>
            <w:r w:rsidRPr="009F77EF">
              <w:rPr>
                <w:rFonts w:ascii="Times New Roman" w:hAnsi="Times New Roman"/>
                <w:sz w:val="24"/>
                <w:szCs w:val="24"/>
              </w:rPr>
              <w:t xml:space="preserve"> </w:t>
            </w:r>
            <w:r w:rsidR="009F77EF" w:rsidRPr="009F77EF">
              <w:rPr>
                <w:rFonts w:ascii="Times New Roman" w:hAnsi="Times New Roman"/>
                <w:sz w:val="24"/>
                <w:szCs w:val="24"/>
              </w:rPr>
              <w:t xml:space="preserve">255 292 000 </w:t>
            </w:r>
            <w:r w:rsidR="009F77EF" w:rsidRPr="00EE5EB2">
              <w:rPr>
                <w:rFonts w:ascii="Times New Roman" w:hAnsi="Times New Roman"/>
                <w:sz w:val="24"/>
                <w:szCs w:val="24"/>
              </w:rPr>
              <w:t>apmērā</w:t>
            </w:r>
            <w:r w:rsidR="009F77EF">
              <w:rPr>
                <w:rFonts w:ascii="Times New Roman" w:hAnsi="Times New Roman"/>
                <w:sz w:val="24"/>
                <w:szCs w:val="24"/>
              </w:rPr>
              <w:t>.</w:t>
            </w:r>
          </w:p>
          <w:p w14:paraId="54D780FC" w14:textId="77777777" w:rsidR="009F77EF" w:rsidRPr="00EE5EB2" w:rsidRDefault="009F77EF" w:rsidP="009F77EF">
            <w:pPr>
              <w:spacing w:before="120"/>
            </w:pPr>
            <w:r w:rsidRPr="00EE5EB2">
              <w:t>201</w:t>
            </w:r>
            <w:r>
              <w:t>9</w:t>
            </w:r>
            <w:r w:rsidRPr="00EE5EB2">
              <w:t xml:space="preserve">.gadā kopējie izdevumi </w:t>
            </w:r>
            <w:r w:rsidR="00D35918" w:rsidRPr="00EE5EB2">
              <w:t>EUR</w:t>
            </w:r>
            <w:r w:rsidR="00D35918">
              <w:t xml:space="preserve"> </w:t>
            </w:r>
            <w:r>
              <w:t>280 154 000</w:t>
            </w:r>
            <w:r w:rsidRPr="00EE5EB2">
              <w:t xml:space="preserve"> apmērā;</w:t>
            </w:r>
          </w:p>
          <w:p w14:paraId="6A7C397B" w14:textId="77777777" w:rsidR="009F77EF" w:rsidRPr="00EE5EB2" w:rsidRDefault="00D35918" w:rsidP="000F61AD">
            <w:pPr>
              <w:pStyle w:val="Sarakstarindkopa"/>
              <w:numPr>
                <w:ilvl w:val="0"/>
                <w:numId w:val="17"/>
              </w:numPr>
              <w:rPr>
                <w:sz w:val="24"/>
                <w:szCs w:val="24"/>
              </w:rPr>
            </w:pPr>
            <w:r>
              <w:rPr>
                <w:rFonts w:ascii="Times New Roman" w:hAnsi="Times New Roman"/>
                <w:sz w:val="24"/>
                <w:szCs w:val="24"/>
              </w:rPr>
              <w:t>t</w:t>
            </w:r>
            <w:r w:rsidR="009F77EF" w:rsidRPr="00EE5EB2">
              <w:rPr>
                <w:rFonts w:ascii="Times New Roman" w:hAnsi="Times New Roman"/>
                <w:sz w:val="24"/>
                <w:szCs w:val="24"/>
              </w:rPr>
              <w:t xml:space="preserve">iešie maksājumi </w:t>
            </w:r>
            <w:r w:rsidRPr="00EE5EB2">
              <w:rPr>
                <w:rFonts w:ascii="Times New Roman" w:hAnsi="Times New Roman"/>
                <w:sz w:val="24"/>
                <w:szCs w:val="24"/>
              </w:rPr>
              <w:t>EUR</w:t>
            </w:r>
            <w:r w:rsidRPr="009F77EF">
              <w:rPr>
                <w:rFonts w:ascii="Times New Roman" w:hAnsi="Times New Roman"/>
                <w:sz w:val="24"/>
                <w:szCs w:val="24"/>
              </w:rPr>
              <w:t xml:space="preserve"> </w:t>
            </w:r>
            <w:r w:rsidR="009F77EF" w:rsidRPr="009F77EF">
              <w:rPr>
                <w:rFonts w:ascii="Times New Roman" w:hAnsi="Times New Roman"/>
                <w:sz w:val="24"/>
                <w:szCs w:val="24"/>
              </w:rPr>
              <w:t xml:space="preserve">280 154 000 </w:t>
            </w:r>
            <w:r w:rsidR="009F77EF" w:rsidRPr="00EE5EB2">
              <w:rPr>
                <w:rFonts w:ascii="Times New Roman" w:hAnsi="Times New Roman"/>
                <w:sz w:val="24"/>
                <w:szCs w:val="24"/>
              </w:rPr>
              <w:t>apmērā</w:t>
            </w:r>
            <w:r w:rsidR="009F77EF">
              <w:rPr>
                <w:rFonts w:ascii="Times New Roman" w:hAnsi="Times New Roman"/>
                <w:sz w:val="24"/>
                <w:szCs w:val="24"/>
              </w:rPr>
              <w:t>.</w:t>
            </w:r>
          </w:p>
          <w:p w14:paraId="3AB62024" w14:textId="77777777" w:rsidR="009F77EF" w:rsidRPr="009F77EF" w:rsidRDefault="009F77EF" w:rsidP="009F77EF"/>
          <w:p w14:paraId="77FBD39A" w14:textId="77777777" w:rsidR="00472BD9" w:rsidRPr="00EE5EB2" w:rsidRDefault="00472BD9" w:rsidP="001078E8">
            <w:pPr>
              <w:jc w:val="both"/>
            </w:pPr>
            <w:r w:rsidRPr="00EE5EB2">
              <w:t xml:space="preserve">Finansējums pārejas posma valsts atbalstam norādīts saskaņā ar Ministru kabineta 2014.gada 16.septembra (prot.Nr.49, 63.§ </w:t>
            </w:r>
            <w:r w:rsidR="009F77EF">
              <w:t xml:space="preserve">4.punkta) pieņemtajiem lēmumiem, kā arī ņemot vērā </w:t>
            </w:r>
            <w:r w:rsidR="00922563">
              <w:t xml:space="preserve">Ministra kabineta </w:t>
            </w:r>
            <w:r w:rsidR="00F270A8" w:rsidRPr="003A251F">
              <w:t>2014.</w:t>
            </w:r>
            <w:r w:rsidR="00F270A8">
              <w:t xml:space="preserve"> </w:t>
            </w:r>
            <w:r w:rsidR="00F270A8" w:rsidRPr="003A251F">
              <w:t>gada 4.</w:t>
            </w:r>
            <w:r w:rsidR="00F270A8">
              <w:t xml:space="preserve"> </w:t>
            </w:r>
            <w:r w:rsidR="00F270A8" w:rsidRPr="003A251F">
              <w:t xml:space="preserve">februāra </w:t>
            </w:r>
            <w:r w:rsidR="00922563">
              <w:t>noteikumus Nr.73 „</w:t>
            </w:r>
            <w:r w:rsidR="009F77EF" w:rsidRPr="009F77EF">
              <w:t>Valsts atbalsta piešķiršanas kārtība vaislas lauksaimniecības dzīvnieku ierakstīšanai ciltsgrāmatā, kā arī to ģenētiskās kvalitātes noteikšanai un produktivitātes datu izvērtēšanai</w:t>
            </w:r>
            <w:r w:rsidR="00922563">
              <w:t xml:space="preserve">”, </w:t>
            </w:r>
            <w:r w:rsidR="00D35918">
              <w:t xml:space="preserve">ar </w:t>
            </w:r>
            <w:r w:rsidR="00922563">
              <w:t>kur</w:t>
            </w:r>
            <w:r w:rsidR="00D35918">
              <w:t>iem</w:t>
            </w:r>
            <w:r w:rsidR="00922563">
              <w:t xml:space="preserve"> tiek novirzīta daļa no </w:t>
            </w:r>
            <w:r w:rsidR="00922563" w:rsidRPr="00EE5EB2">
              <w:t>pārejas posma valsts atbalsta</w:t>
            </w:r>
            <w:r w:rsidR="00922563">
              <w:t>.</w:t>
            </w:r>
          </w:p>
        </w:tc>
      </w:tr>
      <w:tr w:rsidR="00472BD9" w:rsidRPr="00EE5EB2" w14:paraId="4BED3ABA" w14:textId="77777777" w:rsidTr="008B65A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5AF69CF8" w14:textId="77777777" w:rsidR="00472BD9" w:rsidRPr="00EE5EB2" w:rsidRDefault="00472BD9" w:rsidP="00472BD9">
            <w:r w:rsidRPr="00EE5EB2">
              <w:t>6.1. detalizēts ieņēmumu aprēķins</w:t>
            </w:r>
          </w:p>
        </w:tc>
        <w:tc>
          <w:tcPr>
            <w:tcW w:w="3511" w:type="pct"/>
            <w:gridSpan w:val="5"/>
            <w:vMerge/>
            <w:tcBorders>
              <w:top w:val="single" w:sz="4" w:space="0" w:color="auto"/>
              <w:left w:val="single" w:sz="4" w:space="0" w:color="auto"/>
              <w:bottom w:val="single" w:sz="4" w:space="0" w:color="auto"/>
              <w:right w:val="single" w:sz="4" w:space="0" w:color="auto"/>
            </w:tcBorders>
            <w:vAlign w:val="center"/>
            <w:hideMark/>
          </w:tcPr>
          <w:p w14:paraId="41F0BF71" w14:textId="77777777" w:rsidR="00472BD9" w:rsidRPr="00EE5EB2" w:rsidRDefault="00472BD9" w:rsidP="00472BD9"/>
        </w:tc>
      </w:tr>
      <w:tr w:rsidR="00472BD9" w:rsidRPr="00EE5EB2" w14:paraId="060B3F34" w14:textId="77777777" w:rsidTr="008B65A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66F2C1E4" w14:textId="77777777" w:rsidR="00472BD9" w:rsidRPr="00EE5EB2" w:rsidRDefault="00472BD9" w:rsidP="00472BD9">
            <w:r w:rsidRPr="00EE5EB2">
              <w:t>6.2. detalizēts izdevumu aprēķins</w:t>
            </w:r>
          </w:p>
        </w:tc>
        <w:tc>
          <w:tcPr>
            <w:tcW w:w="3511" w:type="pct"/>
            <w:gridSpan w:val="5"/>
            <w:vMerge/>
            <w:tcBorders>
              <w:top w:val="single" w:sz="4" w:space="0" w:color="auto"/>
              <w:left w:val="single" w:sz="4" w:space="0" w:color="auto"/>
              <w:bottom w:val="single" w:sz="4" w:space="0" w:color="auto"/>
              <w:right w:val="single" w:sz="4" w:space="0" w:color="auto"/>
            </w:tcBorders>
            <w:vAlign w:val="center"/>
            <w:hideMark/>
          </w:tcPr>
          <w:p w14:paraId="0A053D3F" w14:textId="77777777" w:rsidR="00472BD9" w:rsidRPr="00EE5EB2" w:rsidRDefault="00472BD9" w:rsidP="00472BD9"/>
        </w:tc>
      </w:tr>
      <w:tr w:rsidR="00472BD9" w:rsidRPr="00EE5EB2" w14:paraId="490FE1E2" w14:textId="77777777" w:rsidTr="008B65A2">
        <w:trPr>
          <w:trHeight w:val="555"/>
          <w:jc w:val="center"/>
        </w:trPr>
        <w:tc>
          <w:tcPr>
            <w:tcW w:w="1489" w:type="pct"/>
            <w:tcBorders>
              <w:top w:val="outset" w:sz="6" w:space="0" w:color="414142"/>
              <w:left w:val="outset" w:sz="6" w:space="0" w:color="414142"/>
              <w:bottom w:val="outset" w:sz="6" w:space="0" w:color="414142"/>
              <w:right w:val="outset" w:sz="6" w:space="0" w:color="414142"/>
            </w:tcBorders>
            <w:hideMark/>
          </w:tcPr>
          <w:p w14:paraId="788472E5" w14:textId="77777777" w:rsidR="00472BD9" w:rsidRPr="00EE5EB2" w:rsidRDefault="00472BD9" w:rsidP="00472BD9">
            <w:r w:rsidRPr="00EE5EB2">
              <w:t>7. Cita informācija</w:t>
            </w:r>
          </w:p>
        </w:tc>
        <w:tc>
          <w:tcPr>
            <w:tcW w:w="3511" w:type="pct"/>
            <w:gridSpan w:val="5"/>
            <w:tcBorders>
              <w:top w:val="single" w:sz="4" w:space="0" w:color="auto"/>
              <w:left w:val="outset" w:sz="6" w:space="0" w:color="414142"/>
              <w:bottom w:val="outset" w:sz="6" w:space="0" w:color="414142"/>
              <w:right w:val="outset" w:sz="6" w:space="0" w:color="414142"/>
            </w:tcBorders>
            <w:hideMark/>
          </w:tcPr>
          <w:p w14:paraId="0C38C690" w14:textId="77777777" w:rsidR="00472BD9" w:rsidRDefault="00D35918" w:rsidP="00922563">
            <w:pPr>
              <w:jc w:val="both"/>
            </w:pPr>
            <w:r>
              <w:t>Saistībā ar t</w:t>
            </w:r>
            <w:r w:rsidR="00472BD9" w:rsidRPr="00EE5EB2">
              <w:t>iešo maksājumu shēm</w:t>
            </w:r>
            <w:r>
              <w:t>u</w:t>
            </w:r>
            <w:r w:rsidR="00472BD9" w:rsidRPr="00EE5EB2">
              <w:t xml:space="preserve"> atbalsta saņēmējiem 201</w:t>
            </w:r>
            <w:r w:rsidR="00472BD9">
              <w:t>6</w:t>
            </w:r>
            <w:r w:rsidR="00472BD9" w:rsidRPr="00EE5EB2">
              <w:t xml:space="preserve">.gadā tiks izmaksāts atbalsts </w:t>
            </w:r>
            <w:r w:rsidR="00922563">
              <w:t>229 533 341</w:t>
            </w:r>
            <w:r w:rsidR="00994366">
              <w:t xml:space="preserve"> </w:t>
            </w:r>
            <w:r w:rsidR="00472BD9" w:rsidRPr="00EE5EB2">
              <w:rPr>
                <w:i/>
              </w:rPr>
              <w:t xml:space="preserve">euro </w:t>
            </w:r>
            <w:r w:rsidR="00472BD9" w:rsidRPr="00EE5EB2">
              <w:t>apmērā no Zemkopības ministrijas budžeta programmas 64.00.00. „Eiropas Lauksaimniecības garantiju fonda (ELGF) projektu un pasākumu īstenošana” apakšprogrammas 64.08.00. „Izdevumi Eiropas Lauksaimniecības garantiju fonda (ELGF) projektu un pasākumu īstenošanai (2014–2020)” 201</w:t>
            </w:r>
            <w:r w:rsidR="00922563">
              <w:t>6</w:t>
            </w:r>
            <w:r w:rsidR="00472BD9" w:rsidRPr="00EE5EB2">
              <w:t>.gada budžeta līdzekļiem.</w:t>
            </w:r>
          </w:p>
          <w:p w14:paraId="79263017" w14:textId="77777777" w:rsidR="007A07DD" w:rsidRPr="00EE5EB2" w:rsidRDefault="007A07DD" w:rsidP="00922563">
            <w:pPr>
              <w:jc w:val="both"/>
            </w:pPr>
            <w:r>
              <w:lastRenderedPageBreak/>
              <w:t>N</w:t>
            </w:r>
            <w:r w:rsidRPr="00EA38D4">
              <w:t>oteikumu projektā paredzētā atbalsta finansējums 2017. – 2019.gadam ir paredzēts Zemkopības ministrijas 2017. – 2019.gada budžeta bāzes izdevumos</w:t>
            </w:r>
            <w:r>
              <w:t>.</w:t>
            </w:r>
          </w:p>
        </w:tc>
      </w:tr>
    </w:tbl>
    <w:p w14:paraId="01597AF0" w14:textId="77777777" w:rsidR="00472BD9" w:rsidRPr="00C87DA2" w:rsidRDefault="00472BD9" w:rsidP="005D5A78">
      <w:pPr>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7"/>
        <w:gridCol w:w="6131"/>
      </w:tblGrid>
      <w:tr w:rsidR="000933B1" w:rsidRPr="00C87DA2" w14:paraId="5B376259" w14:textId="77777777" w:rsidTr="000933B1">
        <w:tc>
          <w:tcPr>
            <w:tcW w:w="5000" w:type="pct"/>
            <w:gridSpan w:val="3"/>
          </w:tcPr>
          <w:p w14:paraId="60CE08E0" w14:textId="77777777" w:rsidR="000933B1" w:rsidRPr="00C87DA2" w:rsidRDefault="007F70E3" w:rsidP="007C583E">
            <w:pPr>
              <w:rPr>
                <w:b/>
                <w:bCs/>
              </w:rPr>
            </w:pPr>
            <w:r w:rsidRPr="00C87DA2">
              <w:t> </w:t>
            </w:r>
            <w:r w:rsidR="000933B1" w:rsidRPr="00C87DA2">
              <w:rPr>
                <w:b/>
                <w:bCs/>
              </w:rPr>
              <w:t>V. Tiesību akta projekta atbilstība Latvijas Republikas starptautiskajām saistībām</w:t>
            </w:r>
          </w:p>
        </w:tc>
      </w:tr>
      <w:tr w:rsidR="000933B1" w:rsidRPr="00C87DA2" w14:paraId="70829089" w14:textId="77777777" w:rsidTr="00B02542">
        <w:tc>
          <w:tcPr>
            <w:tcW w:w="249" w:type="pct"/>
          </w:tcPr>
          <w:p w14:paraId="76C4E7FD" w14:textId="77777777" w:rsidR="000933B1" w:rsidRPr="00C87DA2" w:rsidRDefault="000933B1" w:rsidP="007C583E">
            <w:r w:rsidRPr="00C87DA2">
              <w:t>1.</w:t>
            </w:r>
          </w:p>
        </w:tc>
        <w:tc>
          <w:tcPr>
            <w:tcW w:w="1425" w:type="pct"/>
          </w:tcPr>
          <w:p w14:paraId="7B04D82E" w14:textId="77777777" w:rsidR="000933B1" w:rsidRPr="00C87DA2" w:rsidRDefault="000933B1" w:rsidP="007C583E">
            <w:r w:rsidRPr="00C87DA2">
              <w:t>Saistības pret Eiropas Savienību</w:t>
            </w:r>
          </w:p>
        </w:tc>
        <w:tc>
          <w:tcPr>
            <w:tcW w:w="3326" w:type="pct"/>
          </w:tcPr>
          <w:p w14:paraId="03E665E9" w14:textId="77777777" w:rsidR="00625D19" w:rsidRDefault="00BE0938" w:rsidP="00625D19">
            <w:pPr>
              <w:jc w:val="both"/>
              <w:rPr>
                <w:lang w:eastAsia="en-US"/>
              </w:rPr>
            </w:pPr>
            <w:r w:rsidRPr="00C87DA2">
              <w:t>Noteikumu projekts ir sagatavots, pamatojoties uz</w:t>
            </w:r>
            <w:r w:rsidRPr="00C87DA2">
              <w:rPr>
                <w:lang w:eastAsia="en-US"/>
              </w:rPr>
              <w:t xml:space="preserve"> </w:t>
            </w:r>
            <w:r w:rsidR="00D35918">
              <w:rPr>
                <w:lang w:eastAsia="en-US"/>
              </w:rPr>
              <w:t xml:space="preserve">šādām </w:t>
            </w:r>
            <w:r w:rsidRPr="00C87DA2">
              <w:rPr>
                <w:lang w:eastAsia="en-US"/>
              </w:rPr>
              <w:t>regul</w:t>
            </w:r>
            <w:r w:rsidR="00625D19">
              <w:rPr>
                <w:lang w:eastAsia="en-US"/>
              </w:rPr>
              <w:t>ām:</w:t>
            </w:r>
          </w:p>
          <w:p w14:paraId="38E03F3C" w14:textId="77777777" w:rsidR="00625D19" w:rsidRDefault="00D35918" w:rsidP="00625D19">
            <w:pPr>
              <w:jc w:val="both"/>
              <w:rPr>
                <w:lang w:eastAsia="en-US"/>
              </w:rPr>
            </w:pPr>
            <w:r>
              <w:rPr>
                <w:lang w:eastAsia="en-US"/>
              </w:rPr>
              <w:t>1)</w:t>
            </w:r>
            <w:r w:rsidR="00625D19">
              <w:rPr>
                <w:lang w:eastAsia="en-US"/>
              </w:rPr>
              <w:t xml:space="preserve"> </w:t>
            </w:r>
            <w:r w:rsidR="00625D19" w:rsidRPr="00625D19">
              <w:rPr>
                <w:lang w:eastAsia="en-US"/>
              </w:rPr>
              <w:t>Eiropas Parlamenta un Padomes 2013.gada 17.decembra Regul</w:t>
            </w:r>
            <w:r w:rsidR="00625D19">
              <w:rPr>
                <w:lang w:eastAsia="en-US"/>
              </w:rPr>
              <w:t>u</w:t>
            </w:r>
            <w:r w:rsidR="00625D19" w:rsidRPr="00625D19">
              <w:rPr>
                <w:lang w:eastAsia="en-US"/>
              </w:rPr>
              <w:t xml:space="preserve"> (ES) Nr.1306/2013 par kopējās lauksaimniecības politikas finansēšanu, pārvaldību un uzraudzību un Padomes Regulu (EEK) Nr.352/78, (EK) Nr.165/94, (EK) Nr.2799/98, (EK) Nr.814/2000, (EK) Nr.1290/2005 un (EK) Nr.485/2008 atcelšanu (turpmāk – regula Nr.1306/2013)</w:t>
            </w:r>
            <w:r w:rsidR="00625D19">
              <w:rPr>
                <w:lang w:eastAsia="en-US"/>
              </w:rPr>
              <w:t>;</w:t>
            </w:r>
          </w:p>
          <w:p w14:paraId="0DE6C55B" w14:textId="77777777" w:rsidR="00625D19" w:rsidRPr="00C87DA2" w:rsidRDefault="00D35918" w:rsidP="00625D19">
            <w:pPr>
              <w:jc w:val="both"/>
              <w:rPr>
                <w:lang w:eastAsia="en-US"/>
              </w:rPr>
            </w:pPr>
            <w:r>
              <w:rPr>
                <w:lang w:eastAsia="en-US"/>
              </w:rPr>
              <w:t>2)</w:t>
            </w:r>
            <w:r w:rsidR="00625D19">
              <w:rPr>
                <w:lang w:eastAsia="en-US"/>
              </w:rPr>
              <w:t xml:space="preserve"> r</w:t>
            </w:r>
            <w:r w:rsidR="00625D19" w:rsidRPr="00C87DA2">
              <w:rPr>
                <w:lang w:eastAsia="en-US"/>
              </w:rPr>
              <w:t>egul</w:t>
            </w:r>
            <w:r w:rsidR="00625D19">
              <w:rPr>
                <w:lang w:eastAsia="en-US"/>
              </w:rPr>
              <w:t>u</w:t>
            </w:r>
            <w:r w:rsidR="00625D19" w:rsidRPr="00C87DA2">
              <w:rPr>
                <w:lang w:eastAsia="en-US"/>
              </w:rPr>
              <w:t xml:space="preserve"> Nr.</w:t>
            </w:r>
            <w:r w:rsidR="00625D19" w:rsidRPr="00C87DA2">
              <w:t>1307/2013</w:t>
            </w:r>
            <w:r w:rsidR="00625D19">
              <w:t>;</w:t>
            </w:r>
          </w:p>
          <w:p w14:paraId="692DDE64" w14:textId="77777777" w:rsidR="00625D19" w:rsidRDefault="00D35918" w:rsidP="00625D19">
            <w:pPr>
              <w:jc w:val="both"/>
              <w:rPr>
                <w:lang w:eastAsia="en-US"/>
              </w:rPr>
            </w:pPr>
            <w:r>
              <w:rPr>
                <w:lang w:eastAsia="en-US"/>
              </w:rPr>
              <w:t>3)</w:t>
            </w:r>
            <w:r w:rsidR="00625D19">
              <w:rPr>
                <w:lang w:eastAsia="en-US"/>
              </w:rPr>
              <w:t xml:space="preserve"> </w:t>
            </w:r>
            <w:r w:rsidR="00625D19" w:rsidRPr="00EE5EB2">
              <w:rPr>
                <w:lang w:eastAsia="en-US"/>
              </w:rPr>
              <w:t>Deleģēt</w:t>
            </w:r>
            <w:r w:rsidR="00625D19">
              <w:rPr>
                <w:lang w:eastAsia="en-US"/>
              </w:rPr>
              <w:t>o</w:t>
            </w:r>
            <w:r w:rsidR="00625D19" w:rsidRPr="00EE5EB2">
              <w:rPr>
                <w:lang w:eastAsia="en-US"/>
              </w:rPr>
              <w:t xml:space="preserve"> regul</w:t>
            </w:r>
            <w:r w:rsidR="00625D19">
              <w:rPr>
                <w:lang w:eastAsia="en-US"/>
              </w:rPr>
              <w:t xml:space="preserve">u </w:t>
            </w:r>
            <w:r w:rsidR="00625D19" w:rsidRPr="00EE5EB2">
              <w:rPr>
                <w:lang w:eastAsia="en-US"/>
              </w:rPr>
              <w:t>(ES) Nr.639/2014, ar ko papildina Eiropas Parlamenta un Padomes Regulu (ES) Nr.1307/2013, ar ko izveido noteikumus par lauksaimniekiem paredzētiem tiešajiem maksājumiem, kurus veic saskaņā ar kopējās lauksaimniecības politikas atbalsta shēmām, un ar kuru groza minētās regulas X pielikumu (turpmāk – regula Nr.639/2014)</w:t>
            </w:r>
            <w:r w:rsidR="00625D19">
              <w:rPr>
                <w:lang w:eastAsia="en-US"/>
              </w:rPr>
              <w:t>;</w:t>
            </w:r>
          </w:p>
          <w:p w14:paraId="1FB99439" w14:textId="77777777" w:rsidR="00625D19" w:rsidRDefault="00D35918" w:rsidP="00625D19">
            <w:pPr>
              <w:jc w:val="both"/>
              <w:rPr>
                <w:lang w:eastAsia="en-US"/>
              </w:rPr>
            </w:pPr>
            <w:r>
              <w:rPr>
                <w:lang w:eastAsia="en-US"/>
              </w:rPr>
              <w:t>4)</w:t>
            </w:r>
            <w:r w:rsidR="00625D19">
              <w:rPr>
                <w:lang w:eastAsia="en-US"/>
              </w:rPr>
              <w:t xml:space="preserve"> </w:t>
            </w:r>
            <w:r w:rsidR="006E4FA1" w:rsidRPr="006E4FA1">
              <w:rPr>
                <w:lang w:eastAsia="en-US"/>
              </w:rPr>
              <w:t>Komisijas 2014.gada 11.marta Deleģēto regulu (ES) Nr.640/2014, ar ko papildina Eiropas Parlamenta un Padomes Regulu (ES) Nr.1306/2013 attiecībā uz integrēto administrācijas un kontroles sistēmu, maksājumu atteikšanas vai atsaukšanas nosacījumiem un administratīvajiem sodiem, kas piemērojami tiešo maksājumu, lauku attīstības atbalsta un savstarpējās atbilstības kontekstā (turpmāk – regula Nr.640/2014);</w:t>
            </w:r>
          </w:p>
          <w:p w14:paraId="2D7805C8" w14:textId="77777777" w:rsidR="000933B1" w:rsidRPr="00C87DA2" w:rsidRDefault="00D35918" w:rsidP="00625D19">
            <w:pPr>
              <w:jc w:val="both"/>
            </w:pPr>
            <w:r>
              <w:rPr>
                <w:lang w:eastAsia="en-US"/>
              </w:rPr>
              <w:t>5)</w:t>
            </w:r>
            <w:r w:rsidR="00625D19">
              <w:rPr>
                <w:lang w:eastAsia="en-US"/>
              </w:rPr>
              <w:t xml:space="preserve"> </w:t>
            </w:r>
            <w:r w:rsidR="00A92568" w:rsidRPr="00C87DA2">
              <w:rPr>
                <w:lang w:eastAsia="en-US"/>
              </w:rPr>
              <w:t xml:space="preserve">regulu </w:t>
            </w:r>
            <w:r w:rsidR="00754BBF" w:rsidRPr="00C87DA2">
              <w:t xml:space="preserve">Nr. </w:t>
            </w:r>
            <w:r w:rsidR="00754BBF">
              <w:rPr>
                <w:lang w:eastAsia="en-US"/>
              </w:rPr>
              <w:t>8</w:t>
            </w:r>
            <w:r w:rsidR="00754BBF" w:rsidRPr="00C87DA2">
              <w:rPr>
                <w:lang w:eastAsia="en-US"/>
              </w:rPr>
              <w:t>0</w:t>
            </w:r>
            <w:r w:rsidR="00754BBF">
              <w:rPr>
                <w:lang w:eastAsia="en-US"/>
              </w:rPr>
              <w:t>9</w:t>
            </w:r>
            <w:r w:rsidR="00754BBF" w:rsidRPr="00C87DA2">
              <w:rPr>
                <w:lang w:eastAsia="en-US"/>
              </w:rPr>
              <w:t>/2014</w:t>
            </w:r>
            <w:r w:rsidR="00E35C41" w:rsidRPr="00C87DA2">
              <w:rPr>
                <w:lang w:eastAsia="en-US"/>
              </w:rPr>
              <w:t>.</w:t>
            </w:r>
          </w:p>
        </w:tc>
      </w:tr>
      <w:tr w:rsidR="000933B1" w:rsidRPr="00C87DA2" w14:paraId="037573EC" w14:textId="77777777" w:rsidTr="00B02542">
        <w:tc>
          <w:tcPr>
            <w:tcW w:w="249" w:type="pct"/>
          </w:tcPr>
          <w:p w14:paraId="5BEFD187" w14:textId="77777777" w:rsidR="000933B1" w:rsidRPr="00C87DA2" w:rsidRDefault="000933B1" w:rsidP="007C583E">
            <w:r w:rsidRPr="00C87DA2">
              <w:t>2.</w:t>
            </w:r>
          </w:p>
        </w:tc>
        <w:tc>
          <w:tcPr>
            <w:tcW w:w="1425" w:type="pct"/>
          </w:tcPr>
          <w:p w14:paraId="1A460854" w14:textId="77777777" w:rsidR="000933B1" w:rsidRPr="00C87DA2" w:rsidRDefault="000933B1" w:rsidP="007C583E">
            <w:r w:rsidRPr="00C87DA2">
              <w:t>Citas starptautiskās saistības</w:t>
            </w:r>
          </w:p>
        </w:tc>
        <w:tc>
          <w:tcPr>
            <w:tcW w:w="3326" w:type="pct"/>
          </w:tcPr>
          <w:p w14:paraId="0BBA41A8" w14:textId="77777777" w:rsidR="000933B1" w:rsidRPr="00C87DA2" w:rsidRDefault="000933B1" w:rsidP="007C583E">
            <w:r w:rsidRPr="00C87DA2">
              <w:t>Nav</w:t>
            </w:r>
          </w:p>
        </w:tc>
      </w:tr>
      <w:tr w:rsidR="000933B1" w:rsidRPr="00C87DA2" w14:paraId="0993649A" w14:textId="77777777" w:rsidTr="00B02542">
        <w:tc>
          <w:tcPr>
            <w:tcW w:w="249" w:type="pct"/>
          </w:tcPr>
          <w:p w14:paraId="4BECC674" w14:textId="77777777" w:rsidR="000933B1" w:rsidRPr="00C87DA2" w:rsidRDefault="000933B1" w:rsidP="007C583E">
            <w:r w:rsidRPr="00C87DA2">
              <w:t>3.</w:t>
            </w:r>
          </w:p>
        </w:tc>
        <w:tc>
          <w:tcPr>
            <w:tcW w:w="1425" w:type="pct"/>
          </w:tcPr>
          <w:p w14:paraId="55861FF0" w14:textId="77777777" w:rsidR="000933B1" w:rsidRPr="00C87DA2" w:rsidRDefault="000933B1" w:rsidP="007C583E">
            <w:r w:rsidRPr="00C87DA2">
              <w:t>Cita informācija</w:t>
            </w:r>
          </w:p>
        </w:tc>
        <w:tc>
          <w:tcPr>
            <w:tcW w:w="3326" w:type="pct"/>
          </w:tcPr>
          <w:p w14:paraId="15842530" w14:textId="77777777" w:rsidR="000933B1" w:rsidRPr="00C87DA2" w:rsidRDefault="000933B1" w:rsidP="007C583E">
            <w:r w:rsidRPr="00C87DA2">
              <w:t>Nav</w:t>
            </w:r>
          </w:p>
        </w:tc>
      </w:tr>
    </w:tbl>
    <w:p w14:paraId="76872A54" w14:textId="77777777" w:rsidR="00E92688" w:rsidRPr="00C87DA2" w:rsidRDefault="00E92688" w:rsidP="006B42E1">
      <w:pPr>
        <w:ind w:firstLine="300"/>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2221"/>
        <w:gridCol w:w="1058"/>
        <w:gridCol w:w="264"/>
        <w:gridCol w:w="3209"/>
      </w:tblGrid>
      <w:tr w:rsidR="000933B1" w:rsidRPr="00C87DA2" w14:paraId="6F7820FC" w14:textId="77777777" w:rsidTr="000933B1">
        <w:tc>
          <w:tcPr>
            <w:tcW w:w="5000" w:type="pct"/>
            <w:gridSpan w:val="5"/>
          </w:tcPr>
          <w:p w14:paraId="3A6FD62C" w14:textId="77777777" w:rsidR="000933B1" w:rsidRPr="00C87DA2" w:rsidRDefault="000933B1" w:rsidP="007C583E">
            <w:pPr>
              <w:rPr>
                <w:b/>
                <w:bCs/>
              </w:rPr>
            </w:pPr>
            <w:r w:rsidRPr="00C87DA2">
              <w:rPr>
                <w:b/>
                <w:bCs/>
              </w:rPr>
              <w:t>1.tabula</w:t>
            </w:r>
            <w:r w:rsidRPr="00C87DA2">
              <w:rPr>
                <w:b/>
                <w:bCs/>
              </w:rPr>
              <w:br/>
              <w:t>Tiesību akta projekta atbilstība ES tiesību aktiem</w:t>
            </w:r>
          </w:p>
        </w:tc>
      </w:tr>
      <w:tr w:rsidR="000933B1" w:rsidRPr="00C87DA2" w14:paraId="2AC5FAA6" w14:textId="77777777" w:rsidTr="00601BE0">
        <w:tc>
          <w:tcPr>
            <w:tcW w:w="1337" w:type="pct"/>
          </w:tcPr>
          <w:p w14:paraId="6E965CEE" w14:textId="77777777" w:rsidR="000933B1" w:rsidRPr="00C87DA2" w:rsidRDefault="000933B1" w:rsidP="007C583E">
            <w:r w:rsidRPr="00C87DA2">
              <w:t>Attiecīgā ES tiesību akta datums, numurs un nosaukums</w:t>
            </w:r>
          </w:p>
        </w:tc>
        <w:tc>
          <w:tcPr>
            <w:tcW w:w="3663" w:type="pct"/>
            <w:gridSpan w:val="4"/>
            <w:shd w:val="clear" w:color="auto" w:fill="auto"/>
          </w:tcPr>
          <w:p w14:paraId="1977FA31" w14:textId="77777777" w:rsidR="00735373" w:rsidRPr="00C87DA2" w:rsidRDefault="00625D19" w:rsidP="00625D19">
            <w:pPr>
              <w:jc w:val="both"/>
              <w:rPr>
                <w:lang w:eastAsia="en-US"/>
              </w:rPr>
            </w:pPr>
            <w:r w:rsidRPr="00C87DA2">
              <w:rPr>
                <w:lang w:eastAsia="en-US"/>
              </w:rPr>
              <w:t>Regula Nr.</w:t>
            </w:r>
            <w:r>
              <w:t>1306</w:t>
            </w:r>
            <w:r w:rsidRPr="00C87DA2">
              <w:t>/2013</w:t>
            </w:r>
            <w:r w:rsidR="00D35918">
              <w:t>,</w:t>
            </w:r>
            <w:r>
              <w:t xml:space="preserve"> r</w:t>
            </w:r>
            <w:r w:rsidR="00C6589D" w:rsidRPr="00C87DA2">
              <w:rPr>
                <w:lang w:eastAsia="en-US"/>
              </w:rPr>
              <w:t>egula Nr.</w:t>
            </w:r>
            <w:r w:rsidR="00C6589D" w:rsidRPr="00C87DA2">
              <w:t>1307/2013</w:t>
            </w:r>
            <w:r w:rsidR="00D35918">
              <w:t>,</w:t>
            </w:r>
            <w:r>
              <w:t xml:space="preserve"> r</w:t>
            </w:r>
            <w:r w:rsidR="009B4B6D" w:rsidRPr="00C87DA2">
              <w:rPr>
                <w:lang w:eastAsia="en-US"/>
              </w:rPr>
              <w:t>egula Nr.</w:t>
            </w:r>
            <w:r w:rsidR="005C0E11" w:rsidRPr="00C87DA2">
              <w:rPr>
                <w:lang w:eastAsia="en-US"/>
              </w:rPr>
              <w:t xml:space="preserve"> </w:t>
            </w:r>
            <w:r w:rsidR="00F23063" w:rsidRPr="00C87DA2">
              <w:t>639/2014</w:t>
            </w:r>
            <w:r w:rsidR="00D35918">
              <w:t>,</w:t>
            </w:r>
            <w:r>
              <w:t xml:space="preserve"> r</w:t>
            </w:r>
            <w:r w:rsidR="002B55AA" w:rsidRPr="00C87DA2">
              <w:t xml:space="preserve">egula Nr. </w:t>
            </w:r>
            <w:r w:rsidR="00F23063" w:rsidRPr="00C87DA2">
              <w:rPr>
                <w:lang w:eastAsia="en-US"/>
              </w:rPr>
              <w:t>640/2014</w:t>
            </w:r>
            <w:r w:rsidR="00D35918">
              <w:rPr>
                <w:lang w:eastAsia="en-US"/>
              </w:rPr>
              <w:t xml:space="preserve"> un</w:t>
            </w:r>
            <w:r>
              <w:rPr>
                <w:lang w:eastAsia="en-US"/>
              </w:rPr>
              <w:t xml:space="preserve"> r</w:t>
            </w:r>
            <w:r w:rsidR="006856B7" w:rsidRPr="00C87DA2">
              <w:t xml:space="preserve">egula Nr. </w:t>
            </w:r>
            <w:r w:rsidR="006856B7">
              <w:rPr>
                <w:lang w:eastAsia="en-US"/>
              </w:rPr>
              <w:t>8</w:t>
            </w:r>
            <w:r w:rsidR="006856B7" w:rsidRPr="00C87DA2">
              <w:rPr>
                <w:lang w:eastAsia="en-US"/>
              </w:rPr>
              <w:t>0</w:t>
            </w:r>
            <w:r w:rsidR="006856B7">
              <w:rPr>
                <w:lang w:eastAsia="en-US"/>
              </w:rPr>
              <w:t>9</w:t>
            </w:r>
            <w:r w:rsidR="006856B7" w:rsidRPr="00C87DA2">
              <w:rPr>
                <w:lang w:eastAsia="en-US"/>
              </w:rPr>
              <w:t>/2014</w:t>
            </w:r>
          </w:p>
        </w:tc>
      </w:tr>
      <w:tr w:rsidR="000933B1" w:rsidRPr="00C87DA2" w14:paraId="0EE26711" w14:textId="77777777" w:rsidTr="00601BE0">
        <w:tc>
          <w:tcPr>
            <w:tcW w:w="1337" w:type="pct"/>
          </w:tcPr>
          <w:p w14:paraId="082D8BC6" w14:textId="77777777" w:rsidR="000933B1" w:rsidRPr="00C87DA2" w:rsidRDefault="000933B1" w:rsidP="007C583E">
            <w:r w:rsidRPr="00C87DA2">
              <w:t>A</w:t>
            </w:r>
          </w:p>
        </w:tc>
        <w:tc>
          <w:tcPr>
            <w:tcW w:w="1205" w:type="pct"/>
          </w:tcPr>
          <w:p w14:paraId="5657D9C2" w14:textId="77777777" w:rsidR="000933B1" w:rsidRPr="00C87DA2" w:rsidRDefault="000933B1" w:rsidP="007C583E">
            <w:r w:rsidRPr="00C87DA2">
              <w:t>B</w:t>
            </w:r>
          </w:p>
        </w:tc>
        <w:tc>
          <w:tcPr>
            <w:tcW w:w="574" w:type="pct"/>
          </w:tcPr>
          <w:p w14:paraId="0349D57A" w14:textId="77777777" w:rsidR="000933B1" w:rsidRPr="00C87DA2" w:rsidRDefault="000933B1" w:rsidP="007C583E">
            <w:r w:rsidRPr="00C87DA2">
              <w:t>C</w:t>
            </w:r>
          </w:p>
        </w:tc>
        <w:tc>
          <w:tcPr>
            <w:tcW w:w="1884" w:type="pct"/>
            <w:gridSpan w:val="2"/>
          </w:tcPr>
          <w:p w14:paraId="428F4F4F" w14:textId="77777777" w:rsidR="000933B1" w:rsidRPr="00C87DA2" w:rsidRDefault="000933B1" w:rsidP="007C583E">
            <w:r w:rsidRPr="00C87DA2">
              <w:t>D</w:t>
            </w:r>
          </w:p>
        </w:tc>
      </w:tr>
      <w:tr w:rsidR="00601BE0" w:rsidRPr="00C87DA2" w14:paraId="558002A5" w14:textId="77777777" w:rsidTr="00601BE0">
        <w:tc>
          <w:tcPr>
            <w:tcW w:w="1337" w:type="pct"/>
          </w:tcPr>
          <w:p w14:paraId="1E98A7BB" w14:textId="77777777" w:rsidR="00601BE0" w:rsidRPr="00C87DA2" w:rsidRDefault="00601BE0" w:rsidP="00601BE0">
            <w:pPr>
              <w:rPr>
                <w:bCs/>
              </w:rPr>
            </w:pPr>
            <w:r w:rsidRPr="00C87DA2">
              <w:rPr>
                <w:bCs/>
              </w:rPr>
              <w:t xml:space="preserve">Regulas </w:t>
            </w:r>
            <w:r>
              <w:t>Nr.130</w:t>
            </w:r>
            <w:r w:rsidR="0014071E">
              <w:t>6</w:t>
            </w:r>
            <w:r>
              <w:t xml:space="preserve">/2013 </w:t>
            </w:r>
            <w:r w:rsidRPr="00C87DA2">
              <w:t>7</w:t>
            </w:r>
            <w:r>
              <w:t>2</w:t>
            </w:r>
            <w:r w:rsidRPr="00C87DA2">
              <w:t>.pant</w:t>
            </w:r>
            <w:r>
              <w:t>a 3</w:t>
            </w:r>
            <w:r w:rsidRPr="00C87DA2">
              <w:t>.</w:t>
            </w:r>
            <w:r>
              <w:t xml:space="preserve"> un 4.</w:t>
            </w:r>
            <w:r w:rsidRPr="00C87DA2">
              <w:t xml:space="preserve"> punkts</w:t>
            </w:r>
          </w:p>
        </w:tc>
        <w:tc>
          <w:tcPr>
            <w:tcW w:w="1205" w:type="pct"/>
          </w:tcPr>
          <w:p w14:paraId="61677F62" w14:textId="77777777" w:rsidR="00601BE0" w:rsidRPr="00C87DA2" w:rsidRDefault="00601BE0" w:rsidP="0014071E">
            <w:r w:rsidRPr="00C87DA2">
              <w:t>1.</w:t>
            </w:r>
            <w:r w:rsidR="0014071E">
              <w:t>2</w:t>
            </w:r>
            <w:r w:rsidRPr="00C87DA2">
              <w:t>. apakšpunkts</w:t>
            </w:r>
          </w:p>
        </w:tc>
        <w:tc>
          <w:tcPr>
            <w:tcW w:w="574" w:type="pct"/>
          </w:tcPr>
          <w:p w14:paraId="5A8EB342" w14:textId="77777777" w:rsidR="00601BE0" w:rsidRPr="00C87DA2" w:rsidRDefault="00601BE0" w:rsidP="00601BE0">
            <w:r w:rsidRPr="00C87DA2">
              <w:t>Ieviests pilnībā.</w:t>
            </w:r>
          </w:p>
        </w:tc>
        <w:tc>
          <w:tcPr>
            <w:tcW w:w="1884" w:type="pct"/>
            <w:gridSpan w:val="2"/>
          </w:tcPr>
          <w:p w14:paraId="2F7FD0F5" w14:textId="77777777" w:rsidR="00601BE0" w:rsidRPr="00C87DA2" w:rsidRDefault="00601BE0" w:rsidP="00601BE0">
            <w:r w:rsidRPr="00C87DA2">
              <w:t>Neparedz stingrākas prasības kā ES tiesību normas.</w:t>
            </w:r>
          </w:p>
        </w:tc>
      </w:tr>
      <w:tr w:rsidR="00601BE0" w:rsidRPr="00C87DA2" w14:paraId="4EEDA9AD" w14:textId="77777777" w:rsidTr="00601BE0">
        <w:tc>
          <w:tcPr>
            <w:tcW w:w="1337" w:type="pct"/>
          </w:tcPr>
          <w:p w14:paraId="2AF26443" w14:textId="77777777" w:rsidR="00601BE0" w:rsidRPr="00C87DA2" w:rsidRDefault="00601BE0" w:rsidP="00601BE0">
            <w:pPr>
              <w:rPr>
                <w:bCs/>
              </w:rPr>
            </w:pPr>
          </w:p>
        </w:tc>
        <w:tc>
          <w:tcPr>
            <w:tcW w:w="1205" w:type="pct"/>
          </w:tcPr>
          <w:p w14:paraId="2FFD1C88" w14:textId="77777777" w:rsidR="00601BE0" w:rsidRPr="00C87DA2" w:rsidRDefault="00601BE0" w:rsidP="00601BE0"/>
        </w:tc>
        <w:tc>
          <w:tcPr>
            <w:tcW w:w="574" w:type="pct"/>
          </w:tcPr>
          <w:p w14:paraId="1C3C5E1B" w14:textId="77777777" w:rsidR="00601BE0" w:rsidRPr="00C87DA2" w:rsidRDefault="00601BE0" w:rsidP="00601BE0"/>
        </w:tc>
        <w:tc>
          <w:tcPr>
            <w:tcW w:w="1884" w:type="pct"/>
            <w:gridSpan w:val="2"/>
          </w:tcPr>
          <w:p w14:paraId="52F2FD56" w14:textId="77777777" w:rsidR="00601BE0" w:rsidRPr="00C87DA2" w:rsidRDefault="00601BE0" w:rsidP="00601BE0"/>
        </w:tc>
      </w:tr>
      <w:tr w:rsidR="00BB4B83" w:rsidRPr="00C87DA2" w14:paraId="3FC8ADF5" w14:textId="77777777" w:rsidTr="00601BE0">
        <w:tc>
          <w:tcPr>
            <w:tcW w:w="1337" w:type="pct"/>
          </w:tcPr>
          <w:p w14:paraId="0E933F19" w14:textId="77777777" w:rsidR="00BB4B83" w:rsidRPr="00C87DA2" w:rsidRDefault="00BB4B83" w:rsidP="00BB4B83">
            <w:pPr>
              <w:rPr>
                <w:bCs/>
              </w:rPr>
            </w:pPr>
            <w:r w:rsidRPr="00C87DA2">
              <w:rPr>
                <w:bCs/>
              </w:rPr>
              <w:t xml:space="preserve">Regulas </w:t>
            </w:r>
            <w:r w:rsidRPr="00BB4B83">
              <w:rPr>
                <w:bCs/>
              </w:rPr>
              <w:t>Nr. 640/2014 13.pant</w:t>
            </w:r>
            <w:r>
              <w:rPr>
                <w:bCs/>
              </w:rPr>
              <w:t>s</w:t>
            </w:r>
          </w:p>
        </w:tc>
        <w:tc>
          <w:tcPr>
            <w:tcW w:w="1205" w:type="pct"/>
          </w:tcPr>
          <w:p w14:paraId="41E84F1D" w14:textId="77777777" w:rsidR="00BB4B83" w:rsidRPr="00C87DA2" w:rsidRDefault="00BB4B83" w:rsidP="001929D2">
            <w:r w:rsidRPr="00C87DA2">
              <w:t>1.</w:t>
            </w:r>
            <w:r w:rsidR="001929D2">
              <w:t>4</w:t>
            </w:r>
            <w:r w:rsidRPr="00C87DA2">
              <w:t>. apakšpunkts</w:t>
            </w:r>
          </w:p>
        </w:tc>
        <w:tc>
          <w:tcPr>
            <w:tcW w:w="574" w:type="pct"/>
          </w:tcPr>
          <w:p w14:paraId="082FEBBF" w14:textId="77777777" w:rsidR="00BB4B83" w:rsidRPr="00C87DA2" w:rsidRDefault="00BB4B83" w:rsidP="00BB4B83">
            <w:r w:rsidRPr="00C87DA2">
              <w:t>Ieviests pilnībā.</w:t>
            </w:r>
          </w:p>
        </w:tc>
        <w:tc>
          <w:tcPr>
            <w:tcW w:w="1884" w:type="pct"/>
            <w:gridSpan w:val="2"/>
          </w:tcPr>
          <w:p w14:paraId="3173BA8E" w14:textId="77777777" w:rsidR="00BB4B83" w:rsidRPr="00C87DA2" w:rsidRDefault="00BB4B83" w:rsidP="00BB4B83">
            <w:r w:rsidRPr="00C87DA2">
              <w:t>Neparedz stingrākas prasības kā ES tiesību normas.</w:t>
            </w:r>
          </w:p>
        </w:tc>
      </w:tr>
      <w:tr w:rsidR="0090301C" w:rsidRPr="00C87DA2" w14:paraId="49DB08E5" w14:textId="77777777" w:rsidTr="00601BE0">
        <w:tc>
          <w:tcPr>
            <w:tcW w:w="1337" w:type="pct"/>
          </w:tcPr>
          <w:p w14:paraId="10C657B7" w14:textId="77777777" w:rsidR="0090301C" w:rsidRPr="00C87DA2" w:rsidRDefault="0090301C" w:rsidP="00CB177C">
            <w:pPr>
              <w:rPr>
                <w:bCs/>
              </w:rPr>
            </w:pPr>
            <w:r>
              <w:rPr>
                <w:bCs/>
              </w:rPr>
              <w:t>R</w:t>
            </w:r>
            <w:r w:rsidRPr="0090301C">
              <w:rPr>
                <w:bCs/>
              </w:rPr>
              <w:t>egulas Nr. 809/2014 15. panta 2.punkt</w:t>
            </w:r>
            <w:r w:rsidR="00CB177C">
              <w:rPr>
                <w:bCs/>
              </w:rPr>
              <w:t>s</w:t>
            </w:r>
          </w:p>
        </w:tc>
        <w:tc>
          <w:tcPr>
            <w:tcW w:w="1205" w:type="pct"/>
          </w:tcPr>
          <w:p w14:paraId="241FB471" w14:textId="77777777" w:rsidR="0090301C" w:rsidRPr="00C87DA2" w:rsidRDefault="0090301C" w:rsidP="001929D2">
            <w:r w:rsidRPr="00C87DA2">
              <w:t>1.</w:t>
            </w:r>
            <w:r w:rsidR="001929D2">
              <w:t>4</w:t>
            </w:r>
            <w:r w:rsidRPr="00C87DA2">
              <w:t>. apakšpunkts</w:t>
            </w:r>
          </w:p>
        </w:tc>
        <w:tc>
          <w:tcPr>
            <w:tcW w:w="574" w:type="pct"/>
          </w:tcPr>
          <w:p w14:paraId="6F5A05ED" w14:textId="77777777" w:rsidR="0090301C" w:rsidRPr="00C87DA2" w:rsidRDefault="0090301C" w:rsidP="0090301C">
            <w:r w:rsidRPr="00C87DA2">
              <w:t>Ieviests pilnībā.</w:t>
            </w:r>
          </w:p>
        </w:tc>
        <w:tc>
          <w:tcPr>
            <w:tcW w:w="1884" w:type="pct"/>
            <w:gridSpan w:val="2"/>
          </w:tcPr>
          <w:p w14:paraId="6BA23BBF" w14:textId="77777777" w:rsidR="0090301C" w:rsidRPr="00C87DA2" w:rsidRDefault="0090301C" w:rsidP="0090301C">
            <w:r w:rsidRPr="00C87DA2">
              <w:t>Neparedz stingrākas prasības kā ES tiesību normas.</w:t>
            </w:r>
          </w:p>
        </w:tc>
      </w:tr>
      <w:tr w:rsidR="001929D2" w:rsidRPr="00C87DA2" w14:paraId="42532935" w14:textId="77777777" w:rsidTr="00601BE0">
        <w:tc>
          <w:tcPr>
            <w:tcW w:w="1337" w:type="pct"/>
          </w:tcPr>
          <w:p w14:paraId="72F1126E" w14:textId="77777777" w:rsidR="001929D2" w:rsidRDefault="001929D2" w:rsidP="001929D2">
            <w:pPr>
              <w:rPr>
                <w:bCs/>
              </w:rPr>
            </w:pPr>
            <w:r w:rsidRPr="00EE5EB2">
              <w:t>Regulas Nr.1307/2013</w:t>
            </w:r>
            <w:r>
              <w:t xml:space="preserve"> 9. panta </w:t>
            </w:r>
            <w:r w:rsidRPr="006E08AE">
              <w:t xml:space="preserve">2. punkta trešās daļas "b" </w:t>
            </w:r>
            <w:r>
              <w:t>un “c” apakšpunkts</w:t>
            </w:r>
          </w:p>
        </w:tc>
        <w:tc>
          <w:tcPr>
            <w:tcW w:w="1205" w:type="pct"/>
          </w:tcPr>
          <w:p w14:paraId="255CEC9D" w14:textId="77777777" w:rsidR="001929D2" w:rsidRPr="00C87DA2" w:rsidRDefault="001929D2" w:rsidP="001929D2">
            <w:r w:rsidRPr="00C87DA2">
              <w:t>1.</w:t>
            </w:r>
            <w:r>
              <w:t>11</w:t>
            </w:r>
            <w:r w:rsidRPr="00C87DA2">
              <w:t>. apakšpunkts</w:t>
            </w:r>
          </w:p>
        </w:tc>
        <w:tc>
          <w:tcPr>
            <w:tcW w:w="574" w:type="pct"/>
          </w:tcPr>
          <w:p w14:paraId="78EE172D" w14:textId="77777777" w:rsidR="001929D2" w:rsidRPr="00C87DA2" w:rsidRDefault="001929D2" w:rsidP="001929D2">
            <w:r w:rsidRPr="00C87DA2">
              <w:t>Ieviests pilnībā</w:t>
            </w:r>
          </w:p>
        </w:tc>
        <w:tc>
          <w:tcPr>
            <w:tcW w:w="1884" w:type="pct"/>
            <w:gridSpan w:val="2"/>
          </w:tcPr>
          <w:p w14:paraId="60FC18E0" w14:textId="77777777" w:rsidR="001929D2" w:rsidRPr="00C87DA2" w:rsidRDefault="001929D2" w:rsidP="001929D2">
            <w:r w:rsidRPr="00C87DA2">
              <w:t>Neparedz stingrākas prasības kā ES tiesību normas.</w:t>
            </w:r>
          </w:p>
        </w:tc>
      </w:tr>
      <w:tr w:rsidR="001929D2" w:rsidRPr="00C87DA2" w14:paraId="5886DB70" w14:textId="77777777" w:rsidTr="00601BE0">
        <w:tc>
          <w:tcPr>
            <w:tcW w:w="1337" w:type="pct"/>
          </w:tcPr>
          <w:p w14:paraId="0B60BC4F" w14:textId="77777777" w:rsidR="001929D2" w:rsidRDefault="00A272D6" w:rsidP="001929D2">
            <w:pPr>
              <w:rPr>
                <w:bCs/>
              </w:rPr>
            </w:pPr>
            <w:r>
              <w:lastRenderedPageBreak/>
              <w:t>R</w:t>
            </w:r>
            <w:r w:rsidRPr="0043503F">
              <w:t>egulas Nr. 639/2014 11. pant</w:t>
            </w:r>
            <w:r>
              <w:t>a 1. punkts</w:t>
            </w:r>
          </w:p>
        </w:tc>
        <w:tc>
          <w:tcPr>
            <w:tcW w:w="1205" w:type="pct"/>
          </w:tcPr>
          <w:p w14:paraId="1924E550" w14:textId="77777777" w:rsidR="001929D2" w:rsidRPr="00C87DA2" w:rsidRDefault="001929D2" w:rsidP="001929D2">
            <w:r w:rsidRPr="00C87DA2">
              <w:t>1.</w:t>
            </w:r>
            <w:r>
              <w:t>12</w:t>
            </w:r>
            <w:r w:rsidRPr="00C87DA2">
              <w:t>. apakšpunkts</w:t>
            </w:r>
          </w:p>
        </w:tc>
        <w:tc>
          <w:tcPr>
            <w:tcW w:w="574" w:type="pct"/>
          </w:tcPr>
          <w:p w14:paraId="377DF3E6" w14:textId="77777777" w:rsidR="001929D2" w:rsidRPr="00C87DA2" w:rsidRDefault="001929D2" w:rsidP="001929D2">
            <w:r w:rsidRPr="00C87DA2">
              <w:t>Ieviests pilnībā</w:t>
            </w:r>
          </w:p>
        </w:tc>
        <w:tc>
          <w:tcPr>
            <w:tcW w:w="1884" w:type="pct"/>
            <w:gridSpan w:val="2"/>
          </w:tcPr>
          <w:p w14:paraId="76027D1E" w14:textId="77777777" w:rsidR="001929D2" w:rsidRPr="00C87DA2" w:rsidRDefault="001929D2" w:rsidP="001929D2">
            <w:r w:rsidRPr="00C87DA2">
              <w:t>Neparedz stingrākas prasības kā ES tiesību normas.</w:t>
            </w:r>
          </w:p>
        </w:tc>
      </w:tr>
      <w:tr w:rsidR="001929D2" w:rsidRPr="00C87DA2" w14:paraId="021F70A1" w14:textId="77777777" w:rsidTr="00601BE0">
        <w:tc>
          <w:tcPr>
            <w:tcW w:w="1337" w:type="pct"/>
          </w:tcPr>
          <w:p w14:paraId="489D351F" w14:textId="77777777" w:rsidR="001929D2" w:rsidRPr="00EE5EB2" w:rsidRDefault="001929D2" w:rsidP="001929D2">
            <w:r>
              <w:t>R</w:t>
            </w:r>
            <w:r w:rsidRPr="0043503F">
              <w:t>egulas Nr. 639/2014 11. pant</w:t>
            </w:r>
            <w:r>
              <w:t>a 1. punkts</w:t>
            </w:r>
          </w:p>
        </w:tc>
        <w:tc>
          <w:tcPr>
            <w:tcW w:w="1205" w:type="pct"/>
          </w:tcPr>
          <w:p w14:paraId="520BD382" w14:textId="77777777" w:rsidR="001929D2" w:rsidRPr="00C87DA2" w:rsidRDefault="001929D2" w:rsidP="001929D2">
            <w:r w:rsidRPr="00C87DA2">
              <w:t>1.</w:t>
            </w:r>
            <w:r>
              <w:t>20</w:t>
            </w:r>
            <w:r w:rsidRPr="00C87DA2">
              <w:t>. apakšpunkts</w:t>
            </w:r>
          </w:p>
        </w:tc>
        <w:tc>
          <w:tcPr>
            <w:tcW w:w="574" w:type="pct"/>
          </w:tcPr>
          <w:p w14:paraId="2ABDF5A0" w14:textId="77777777" w:rsidR="001929D2" w:rsidRPr="00C87DA2" w:rsidRDefault="001929D2" w:rsidP="001929D2">
            <w:r w:rsidRPr="00C87DA2">
              <w:t>Ieviests pilnībā</w:t>
            </w:r>
          </w:p>
        </w:tc>
        <w:tc>
          <w:tcPr>
            <w:tcW w:w="1884" w:type="pct"/>
            <w:gridSpan w:val="2"/>
          </w:tcPr>
          <w:p w14:paraId="5484B4F8" w14:textId="77777777" w:rsidR="001929D2" w:rsidRPr="00C87DA2" w:rsidRDefault="001929D2" w:rsidP="001929D2">
            <w:r w:rsidRPr="00C87DA2">
              <w:t>Neparedz stingrākas prasības kā ES tiesību normas.</w:t>
            </w:r>
          </w:p>
        </w:tc>
      </w:tr>
      <w:tr w:rsidR="001929D2" w:rsidRPr="00C87DA2" w14:paraId="37321DA9" w14:textId="77777777" w:rsidTr="00601BE0">
        <w:tc>
          <w:tcPr>
            <w:tcW w:w="1337" w:type="pct"/>
          </w:tcPr>
          <w:p w14:paraId="0B307E7F" w14:textId="77777777" w:rsidR="001929D2" w:rsidRDefault="001929D2" w:rsidP="001929D2">
            <w:pPr>
              <w:rPr>
                <w:bCs/>
              </w:rPr>
            </w:pPr>
            <w:r w:rsidRPr="00EE5EB2">
              <w:t>Regulas Nr.1307/2013</w:t>
            </w:r>
            <w:r>
              <w:t xml:space="preserve"> </w:t>
            </w:r>
            <w:r w:rsidRPr="00C87DA2">
              <w:t>4</w:t>
            </w:r>
            <w:r>
              <w:t>6. panta 2. punkta “i” apakšpunkts</w:t>
            </w:r>
          </w:p>
        </w:tc>
        <w:tc>
          <w:tcPr>
            <w:tcW w:w="1205" w:type="pct"/>
          </w:tcPr>
          <w:p w14:paraId="5E7195D8" w14:textId="77777777" w:rsidR="001929D2" w:rsidRPr="00C87DA2" w:rsidRDefault="001929D2" w:rsidP="00A272D6">
            <w:r w:rsidRPr="00C87DA2">
              <w:t>1.</w:t>
            </w:r>
            <w:r>
              <w:t>3</w:t>
            </w:r>
            <w:r w:rsidR="00A272D6">
              <w:t>3</w:t>
            </w:r>
            <w:r w:rsidRPr="00C87DA2">
              <w:t>. apakšpunkts</w:t>
            </w:r>
          </w:p>
        </w:tc>
        <w:tc>
          <w:tcPr>
            <w:tcW w:w="574" w:type="pct"/>
          </w:tcPr>
          <w:p w14:paraId="468E69C8" w14:textId="77777777" w:rsidR="001929D2" w:rsidRPr="00C87DA2" w:rsidRDefault="001929D2" w:rsidP="001929D2">
            <w:r w:rsidRPr="00C87DA2">
              <w:t>Ieviests pilnībā</w:t>
            </w:r>
          </w:p>
        </w:tc>
        <w:tc>
          <w:tcPr>
            <w:tcW w:w="1884" w:type="pct"/>
            <w:gridSpan w:val="2"/>
          </w:tcPr>
          <w:p w14:paraId="607D04E8" w14:textId="77777777" w:rsidR="001929D2" w:rsidRPr="00C87DA2" w:rsidRDefault="001929D2" w:rsidP="001929D2">
            <w:r w:rsidRPr="00C87DA2">
              <w:t>Neparedz stingrākas prasības kā ES tiesību normas.</w:t>
            </w:r>
          </w:p>
        </w:tc>
      </w:tr>
      <w:tr w:rsidR="001929D2" w:rsidRPr="00C87DA2" w14:paraId="799BBF4B" w14:textId="77777777" w:rsidTr="00601BE0">
        <w:tc>
          <w:tcPr>
            <w:tcW w:w="1337" w:type="pct"/>
          </w:tcPr>
          <w:p w14:paraId="18A8AD05" w14:textId="77777777" w:rsidR="001929D2" w:rsidRPr="00EE5EB2" w:rsidRDefault="001929D2" w:rsidP="001929D2">
            <w:r w:rsidRPr="00C87DA2">
              <w:t>Regulas Nr. 6</w:t>
            </w:r>
            <w:r>
              <w:t>39</w:t>
            </w:r>
            <w:r w:rsidRPr="00C87DA2">
              <w:t xml:space="preserve">/2014 </w:t>
            </w:r>
            <w:r>
              <w:t>45</w:t>
            </w:r>
            <w:r w:rsidRPr="00C87DA2">
              <w:t>.</w:t>
            </w:r>
            <w:r>
              <w:t xml:space="preserve"> </w:t>
            </w:r>
            <w:r w:rsidRPr="00C87DA2">
              <w:t xml:space="preserve">panta </w:t>
            </w:r>
            <w:r>
              <w:t>9</w:t>
            </w:r>
            <w:r w:rsidRPr="00C87DA2">
              <w:t>.</w:t>
            </w:r>
            <w:r>
              <w:t xml:space="preserve"> punkts</w:t>
            </w:r>
          </w:p>
        </w:tc>
        <w:tc>
          <w:tcPr>
            <w:tcW w:w="1205" w:type="pct"/>
          </w:tcPr>
          <w:p w14:paraId="1A025D61" w14:textId="77777777" w:rsidR="001929D2" w:rsidRPr="00C87DA2" w:rsidRDefault="001929D2" w:rsidP="00A272D6">
            <w:r w:rsidRPr="00C87DA2">
              <w:t>1.</w:t>
            </w:r>
            <w:r>
              <w:t>3</w:t>
            </w:r>
            <w:r w:rsidR="00A272D6">
              <w:t>3</w:t>
            </w:r>
            <w:r w:rsidRPr="00C87DA2">
              <w:t>. apakšpunkts</w:t>
            </w:r>
          </w:p>
        </w:tc>
        <w:tc>
          <w:tcPr>
            <w:tcW w:w="574" w:type="pct"/>
          </w:tcPr>
          <w:p w14:paraId="67C50D6E" w14:textId="77777777" w:rsidR="001929D2" w:rsidRPr="00C87DA2" w:rsidRDefault="001929D2" w:rsidP="001929D2">
            <w:r w:rsidRPr="00C87DA2">
              <w:t>Ieviests pilnībā</w:t>
            </w:r>
          </w:p>
        </w:tc>
        <w:tc>
          <w:tcPr>
            <w:tcW w:w="1884" w:type="pct"/>
            <w:gridSpan w:val="2"/>
          </w:tcPr>
          <w:p w14:paraId="0DA121D6" w14:textId="77777777" w:rsidR="001929D2" w:rsidRPr="00C87DA2" w:rsidRDefault="001929D2" w:rsidP="001929D2">
            <w:r w:rsidRPr="00C87DA2">
              <w:t>Neparedz stingrākas prasības kā ES tiesību normas.</w:t>
            </w:r>
          </w:p>
        </w:tc>
      </w:tr>
      <w:tr w:rsidR="001929D2" w:rsidRPr="00C87DA2" w14:paraId="0AF818B5" w14:textId="77777777" w:rsidTr="002576FA">
        <w:tc>
          <w:tcPr>
            <w:tcW w:w="1337" w:type="pct"/>
          </w:tcPr>
          <w:p w14:paraId="6706950F" w14:textId="77777777" w:rsidR="001929D2" w:rsidRPr="00C87DA2" w:rsidRDefault="001929D2" w:rsidP="001929D2">
            <w:r w:rsidRPr="00C87DA2">
              <w:rPr>
                <w:bCs/>
              </w:rPr>
              <w:t>Regulas</w:t>
            </w:r>
            <w:r w:rsidRPr="00D0026B">
              <w:t xml:space="preserve"> </w:t>
            </w:r>
            <w:r>
              <w:t>Nr.809/2014 17.</w:t>
            </w:r>
            <w:r w:rsidRPr="00D0026B">
              <w:t>pant</w:t>
            </w:r>
            <w:r>
              <w:t>a 1. un 2. punkts</w:t>
            </w:r>
          </w:p>
        </w:tc>
        <w:tc>
          <w:tcPr>
            <w:tcW w:w="1205" w:type="pct"/>
          </w:tcPr>
          <w:p w14:paraId="02914130" w14:textId="77777777" w:rsidR="001929D2" w:rsidRPr="00C87DA2" w:rsidRDefault="001929D2" w:rsidP="00A272D6">
            <w:r>
              <w:t>1.5</w:t>
            </w:r>
            <w:r w:rsidR="00A272D6">
              <w:t>8</w:t>
            </w:r>
            <w:r w:rsidRPr="00C87DA2">
              <w:t xml:space="preserve"> apakšpunkts</w:t>
            </w:r>
          </w:p>
        </w:tc>
        <w:tc>
          <w:tcPr>
            <w:tcW w:w="574" w:type="pct"/>
          </w:tcPr>
          <w:p w14:paraId="197E6EA9" w14:textId="77777777" w:rsidR="001929D2" w:rsidRPr="00C87DA2" w:rsidRDefault="001929D2" w:rsidP="001929D2">
            <w:r w:rsidRPr="00C87DA2">
              <w:t>Ieviests pilnībā.</w:t>
            </w:r>
          </w:p>
        </w:tc>
        <w:tc>
          <w:tcPr>
            <w:tcW w:w="1884" w:type="pct"/>
            <w:gridSpan w:val="2"/>
          </w:tcPr>
          <w:p w14:paraId="226800EC" w14:textId="77777777" w:rsidR="001929D2" w:rsidRPr="00C87DA2" w:rsidRDefault="001929D2" w:rsidP="001929D2">
            <w:r w:rsidRPr="00C87DA2">
              <w:t>Neparedz stingrākas prasības kā ES tiesību normas.</w:t>
            </w:r>
          </w:p>
        </w:tc>
      </w:tr>
      <w:tr w:rsidR="001929D2" w:rsidRPr="00C87DA2" w14:paraId="50941888" w14:textId="77777777" w:rsidTr="00601BE0">
        <w:tc>
          <w:tcPr>
            <w:tcW w:w="1337" w:type="pct"/>
          </w:tcPr>
          <w:p w14:paraId="6AD8895B" w14:textId="77777777" w:rsidR="001929D2" w:rsidRPr="00C87DA2" w:rsidRDefault="001929D2" w:rsidP="001929D2">
            <w:r>
              <w:rPr>
                <w:bCs/>
              </w:rPr>
              <w:t>Regulas Nr. 809/2014 14</w:t>
            </w:r>
            <w:r w:rsidRPr="0090301C">
              <w:rPr>
                <w:bCs/>
              </w:rPr>
              <w:t xml:space="preserve">. panta </w:t>
            </w:r>
            <w:r>
              <w:rPr>
                <w:bCs/>
              </w:rPr>
              <w:t>1</w:t>
            </w:r>
            <w:r w:rsidRPr="0090301C">
              <w:rPr>
                <w:bCs/>
              </w:rPr>
              <w:t>.punkt</w:t>
            </w:r>
            <w:r>
              <w:rPr>
                <w:bCs/>
              </w:rPr>
              <w:t>s</w:t>
            </w:r>
          </w:p>
        </w:tc>
        <w:tc>
          <w:tcPr>
            <w:tcW w:w="1205" w:type="pct"/>
          </w:tcPr>
          <w:p w14:paraId="101A4B58" w14:textId="77777777" w:rsidR="001929D2" w:rsidRPr="00C87DA2" w:rsidRDefault="001929D2" w:rsidP="00A272D6">
            <w:r w:rsidRPr="00C87DA2">
              <w:t>1.</w:t>
            </w:r>
            <w:r w:rsidR="00A272D6">
              <w:t>59</w:t>
            </w:r>
            <w:r w:rsidRPr="00C87DA2">
              <w:t>. apakšpunkts</w:t>
            </w:r>
          </w:p>
        </w:tc>
        <w:tc>
          <w:tcPr>
            <w:tcW w:w="574" w:type="pct"/>
          </w:tcPr>
          <w:p w14:paraId="5BC91601" w14:textId="77777777" w:rsidR="001929D2" w:rsidRPr="00C87DA2" w:rsidRDefault="001929D2" w:rsidP="001929D2">
            <w:r w:rsidRPr="00C87DA2">
              <w:t>Ieviests pilnībā</w:t>
            </w:r>
          </w:p>
        </w:tc>
        <w:tc>
          <w:tcPr>
            <w:tcW w:w="1884" w:type="pct"/>
            <w:gridSpan w:val="2"/>
          </w:tcPr>
          <w:p w14:paraId="4C5E168E" w14:textId="77777777" w:rsidR="001929D2" w:rsidRPr="00C87DA2" w:rsidRDefault="001929D2" w:rsidP="001929D2">
            <w:r w:rsidRPr="00C87DA2">
              <w:t>Neparedz stingrākas prasības kā ES tiesību normas.</w:t>
            </w:r>
          </w:p>
        </w:tc>
      </w:tr>
      <w:tr w:rsidR="001929D2" w:rsidRPr="00C87DA2" w14:paraId="41E70D99" w14:textId="77777777" w:rsidTr="00601BE0">
        <w:tc>
          <w:tcPr>
            <w:tcW w:w="1337" w:type="pct"/>
          </w:tcPr>
          <w:p w14:paraId="5C7DF62B" w14:textId="77777777" w:rsidR="001929D2" w:rsidRPr="00C87DA2" w:rsidRDefault="001929D2" w:rsidP="001929D2">
            <w:r w:rsidRPr="00C87DA2">
              <w:t xml:space="preserve">Regulas </w:t>
            </w:r>
            <w:r w:rsidRPr="00EE5EB2">
              <w:t>Nr.1307/2013 36.</w:t>
            </w:r>
            <w:r>
              <w:t xml:space="preserve"> </w:t>
            </w:r>
            <w:r w:rsidRPr="00EE5EB2">
              <w:t>panta 1.</w:t>
            </w:r>
            <w:r>
              <w:t xml:space="preserve"> </w:t>
            </w:r>
            <w:r w:rsidRPr="00EE5EB2">
              <w:t>punk</w:t>
            </w:r>
            <w:r>
              <w:t>ts</w:t>
            </w:r>
          </w:p>
        </w:tc>
        <w:tc>
          <w:tcPr>
            <w:tcW w:w="1205" w:type="pct"/>
          </w:tcPr>
          <w:p w14:paraId="6759A483" w14:textId="77777777" w:rsidR="001929D2" w:rsidRPr="00C87DA2" w:rsidRDefault="001929D2" w:rsidP="00A272D6">
            <w:r w:rsidRPr="00C87DA2">
              <w:t>1.</w:t>
            </w:r>
            <w:r>
              <w:t>6</w:t>
            </w:r>
            <w:r w:rsidR="00A272D6">
              <w:t>8</w:t>
            </w:r>
            <w:r w:rsidRPr="00C87DA2">
              <w:t>. apakšpunkts</w:t>
            </w:r>
          </w:p>
        </w:tc>
        <w:tc>
          <w:tcPr>
            <w:tcW w:w="574" w:type="pct"/>
          </w:tcPr>
          <w:p w14:paraId="75092E12" w14:textId="77777777" w:rsidR="001929D2" w:rsidRPr="00C87DA2" w:rsidRDefault="001929D2" w:rsidP="001929D2">
            <w:r w:rsidRPr="00C87DA2">
              <w:t>Ieviests pilnībā</w:t>
            </w:r>
          </w:p>
        </w:tc>
        <w:tc>
          <w:tcPr>
            <w:tcW w:w="1884" w:type="pct"/>
            <w:gridSpan w:val="2"/>
          </w:tcPr>
          <w:p w14:paraId="7C396BBC" w14:textId="77777777" w:rsidR="001929D2" w:rsidRPr="00C87DA2" w:rsidRDefault="001929D2" w:rsidP="001929D2">
            <w:r w:rsidRPr="00C87DA2">
              <w:t>Neparedz stingrākas prasības kā ES tiesību normas.</w:t>
            </w:r>
          </w:p>
        </w:tc>
      </w:tr>
      <w:tr w:rsidR="001929D2" w:rsidRPr="00C87DA2" w14:paraId="227A08A1" w14:textId="77777777" w:rsidTr="00601BE0">
        <w:tc>
          <w:tcPr>
            <w:tcW w:w="1337" w:type="pct"/>
          </w:tcPr>
          <w:p w14:paraId="58017BA0" w14:textId="77777777" w:rsidR="001929D2" w:rsidRPr="00C87DA2" w:rsidRDefault="001929D2" w:rsidP="001929D2">
            <w:r w:rsidRPr="00C87DA2">
              <w:t>Kā ir izmantota ES tiesību aktā paredzētā rīcības brīvība dalībvalstij pārņemt vai ieviest noteiktas ES tiesību akta normas?</w:t>
            </w:r>
            <w:r w:rsidRPr="00C87DA2">
              <w:br/>
              <w:t>Kādēļ?</w:t>
            </w:r>
          </w:p>
        </w:tc>
        <w:tc>
          <w:tcPr>
            <w:tcW w:w="3663" w:type="pct"/>
            <w:gridSpan w:val="4"/>
            <w:shd w:val="clear" w:color="auto" w:fill="auto"/>
          </w:tcPr>
          <w:p w14:paraId="4BF0892F" w14:textId="77777777" w:rsidR="001929D2" w:rsidRDefault="001929D2" w:rsidP="001929D2">
            <w:pPr>
              <w:jc w:val="both"/>
            </w:pPr>
            <w:r w:rsidRPr="00C87DA2">
              <w:rPr>
                <w:lang w:eastAsia="en-US"/>
              </w:rPr>
              <w:t>Regula</w:t>
            </w:r>
            <w:r>
              <w:rPr>
                <w:lang w:eastAsia="en-US"/>
              </w:rPr>
              <w:t>s</w:t>
            </w:r>
            <w:r w:rsidRPr="00C87DA2">
              <w:rPr>
                <w:lang w:eastAsia="en-US"/>
              </w:rPr>
              <w:t xml:space="preserve"> Nr.</w:t>
            </w:r>
            <w:r>
              <w:t>1306</w:t>
            </w:r>
            <w:r w:rsidRPr="00C87DA2">
              <w:t>/2013</w:t>
            </w:r>
            <w:r>
              <w:t>, r</w:t>
            </w:r>
            <w:r w:rsidRPr="00C87DA2">
              <w:rPr>
                <w:lang w:eastAsia="en-US"/>
              </w:rPr>
              <w:t>egula</w:t>
            </w:r>
            <w:r>
              <w:rPr>
                <w:lang w:eastAsia="en-US"/>
              </w:rPr>
              <w:t>s</w:t>
            </w:r>
            <w:r w:rsidRPr="00C87DA2">
              <w:rPr>
                <w:lang w:eastAsia="en-US"/>
              </w:rPr>
              <w:t xml:space="preserve"> Nr.</w:t>
            </w:r>
            <w:r w:rsidRPr="00C87DA2">
              <w:t>1307/2013</w:t>
            </w:r>
            <w:r>
              <w:t>, r</w:t>
            </w:r>
            <w:r w:rsidRPr="00C87DA2">
              <w:rPr>
                <w:lang w:eastAsia="en-US"/>
              </w:rPr>
              <w:t>egula</w:t>
            </w:r>
            <w:r>
              <w:rPr>
                <w:lang w:eastAsia="en-US"/>
              </w:rPr>
              <w:t>s</w:t>
            </w:r>
            <w:r w:rsidRPr="00C87DA2">
              <w:rPr>
                <w:lang w:eastAsia="en-US"/>
              </w:rPr>
              <w:t xml:space="preserve"> Nr. </w:t>
            </w:r>
            <w:r w:rsidRPr="00C87DA2">
              <w:t>639/2014</w:t>
            </w:r>
            <w:r>
              <w:t>, r</w:t>
            </w:r>
            <w:r w:rsidRPr="00C87DA2">
              <w:t>egula</w:t>
            </w:r>
            <w:r>
              <w:t>s</w:t>
            </w:r>
            <w:r w:rsidRPr="00C87DA2">
              <w:t xml:space="preserve"> Nr. </w:t>
            </w:r>
            <w:r w:rsidRPr="00C87DA2">
              <w:rPr>
                <w:lang w:eastAsia="en-US"/>
              </w:rPr>
              <w:t>640/2014</w:t>
            </w:r>
            <w:r>
              <w:rPr>
                <w:lang w:eastAsia="en-US"/>
              </w:rPr>
              <w:t xml:space="preserve"> </w:t>
            </w:r>
            <w:r>
              <w:t>un r</w:t>
            </w:r>
            <w:r w:rsidRPr="00C87DA2">
              <w:t>egulas Nr.</w:t>
            </w:r>
            <w:r>
              <w:rPr>
                <w:lang w:eastAsia="en-US"/>
              </w:rPr>
              <w:t>80</w:t>
            </w:r>
            <w:r w:rsidRPr="00C87DA2">
              <w:rPr>
                <w:lang w:eastAsia="en-US"/>
              </w:rPr>
              <w:t>9/2014</w:t>
            </w:r>
            <w:r>
              <w:rPr>
                <w:lang w:eastAsia="en-US"/>
              </w:rPr>
              <w:t xml:space="preserve"> </w:t>
            </w:r>
            <w:r w:rsidRPr="00C87DA2">
              <w:t>nosacījumi ir jāievieš katrā dalībvalstī, lai piešķirtu atbalstu lauksaimniekiem saistībā ar tiešo maksājumu shēmām, tomēr šīs regulas dod arī vairākas iespējas dalībvalstij pārņemt vai ieviest noteiktas normas vai paredz pienākumu noteikt kārtību.</w:t>
            </w:r>
          </w:p>
          <w:p w14:paraId="65CBA4AB" w14:textId="77777777" w:rsidR="001929D2" w:rsidRDefault="001929D2" w:rsidP="001929D2">
            <w:pPr>
              <w:jc w:val="both"/>
            </w:pPr>
          </w:p>
          <w:p w14:paraId="507910BB" w14:textId="77777777" w:rsidR="001929D2" w:rsidRDefault="001929D2" w:rsidP="001929D2">
            <w:pPr>
              <w:jc w:val="both"/>
            </w:pPr>
            <w:r>
              <w:rPr>
                <w:bCs/>
              </w:rPr>
              <w:t>R</w:t>
            </w:r>
            <w:r w:rsidRPr="0090301C">
              <w:rPr>
                <w:bCs/>
              </w:rPr>
              <w:t>egulas Nr. 809/2014 15. panta 2.punkt</w:t>
            </w:r>
            <w:r>
              <w:rPr>
                <w:bCs/>
              </w:rPr>
              <w:t xml:space="preserve">s paredz dalībvalstu izvēli noteikt galīgo termiņu </w:t>
            </w:r>
            <w:r w:rsidRPr="00994B8F">
              <w:rPr>
                <w:bCs/>
              </w:rPr>
              <w:t>grozījumu</w:t>
            </w:r>
            <w:r>
              <w:rPr>
                <w:bCs/>
              </w:rPr>
              <w:t xml:space="preserve"> izdarīšanai vienotajā iesniegumā. Ar noteikumu grozījumiem kā galīgais termiņu </w:t>
            </w:r>
            <w:r w:rsidRPr="00994B8F">
              <w:rPr>
                <w:bCs/>
              </w:rPr>
              <w:t>grozījumu</w:t>
            </w:r>
            <w:r>
              <w:rPr>
                <w:bCs/>
              </w:rPr>
              <w:t xml:space="preserve"> izdarīšanai vienotajā iesniegumā tiek noteikts </w:t>
            </w:r>
            <w:r w:rsidRPr="0043503F">
              <w:rPr>
                <w:bCs/>
              </w:rPr>
              <w:t>15. jūnijs.</w:t>
            </w:r>
          </w:p>
          <w:p w14:paraId="4F83C341" w14:textId="77777777" w:rsidR="001929D2" w:rsidRDefault="001929D2" w:rsidP="001929D2">
            <w:pPr>
              <w:jc w:val="both"/>
            </w:pPr>
          </w:p>
          <w:p w14:paraId="0CE66EFB" w14:textId="77777777" w:rsidR="001929D2" w:rsidRPr="00F00685" w:rsidRDefault="001929D2" w:rsidP="001929D2">
            <w:pPr>
              <w:pStyle w:val="Pamattekstsaratkpi"/>
              <w:widowControl w:val="0"/>
              <w:spacing w:after="0"/>
              <w:ind w:left="0"/>
              <w:jc w:val="both"/>
              <w:rPr>
                <w:color w:val="000000"/>
                <w:lang w:val="lv-LV"/>
              </w:rPr>
            </w:pPr>
            <w:r w:rsidRPr="00F00685">
              <w:rPr>
                <w:lang w:val="lv-LV"/>
              </w:rPr>
              <w:t>Regulas Nr. 1307/2013 9.panta 2.punkta otrās rindkopas “b” apakšpunktā ir ietverta iespēja dalībvalstīm noteikt savu izvēli par to, kādi pierādījumi ir jāiesniedz, ja persona, kas darbojas kādā no tām nozarēm, kurām netiek piešķirti tiešie maksājumi, tomēr veic lauksaimniecisko darbību un tās lauksaimnieciskās darbības nav nenozīmīgas. Savukārt d</w:t>
            </w:r>
            <w:r w:rsidRPr="00F00685">
              <w:rPr>
                <w:color w:val="000000"/>
                <w:lang w:val="lv-LV"/>
              </w:rPr>
              <w:t>eleģētās regulas Nr. 639/2014 13.pantā noteikts, ka dalībvalstis var izstrādāt alternatīvus kritērijus, kuru</w:t>
            </w:r>
            <w:r>
              <w:rPr>
                <w:color w:val="000000"/>
                <w:lang w:val="lv-LV"/>
              </w:rPr>
              <w:t>s</w:t>
            </w:r>
            <w:r w:rsidRPr="00F00685">
              <w:rPr>
                <w:color w:val="000000"/>
                <w:lang w:val="lv-LV"/>
              </w:rPr>
              <w:t xml:space="preserve"> ievērojot lauksaimnieciskās darbības neuzskata par nenozīmīgām.</w:t>
            </w:r>
          </w:p>
          <w:p w14:paraId="7F3C48E7" w14:textId="77777777" w:rsidR="001929D2" w:rsidRPr="00F00685" w:rsidRDefault="001929D2" w:rsidP="001929D2">
            <w:pPr>
              <w:jc w:val="both"/>
            </w:pPr>
            <w:r w:rsidRPr="00F00685">
              <w:t xml:space="preserve">Šī izvēle noteikta noteikumu projekta </w:t>
            </w:r>
            <w:r>
              <w:t>1.1</w:t>
            </w:r>
            <w:r w:rsidR="00A272D6">
              <w:t>1</w:t>
            </w:r>
            <w:r w:rsidRPr="00F00685">
              <w:t xml:space="preserve">. </w:t>
            </w:r>
            <w:r>
              <w:t>apakšp</w:t>
            </w:r>
            <w:r w:rsidRPr="00F00685">
              <w:t>unktā.</w:t>
            </w:r>
          </w:p>
          <w:p w14:paraId="46C5CF30" w14:textId="77777777" w:rsidR="001929D2" w:rsidRPr="00F00685" w:rsidRDefault="001929D2" w:rsidP="001929D2">
            <w:pPr>
              <w:jc w:val="both"/>
            </w:pPr>
          </w:p>
          <w:p w14:paraId="2DAA3549" w14:textId="77777777" w:rsidR="001929D2" w:rsidRPr="000A65D1" w:rsidRDefault="001929D2" w:rsidP="001929D2">
            <w:pPr>
              <w:pStyle w:val="Pamattekstsaratkpi"/>
              <w:spacing w:after="0"/>
              <w:ind w:left="0"/>
              <w:jc w:val="both"/>
              <w:rPr>
                <w:color w:val="000000"/>
                <w:lang w:val="lv-LV"/>
              </w:rPr>
            </w:pPr>
            <w:r w:rsidRPr="00F00685">
              <w:rPr>
                <w:lang w:val="lv-LV"/>
              </w:rPr>
              <w:t xml:space="preserve">Regulas Nr.1307/2013 9.panta 2.punkta otrās rindkopas “c” apakšpunktā ir ietverta iespēja dalībvalstīm noteikt savu izvēli par to, kādi pierādījumi ir jāiesniedz, lai persona pierādītu, ka tās darījumdarbības vai uzņēmuma galvenie mērķi ir lauksaimnieciskās darbības veikšana. Savukārt deleģētās regulas </w:t>
            </w:r>
            <w:r w:rsidRPr="00F00685">
              <w:rPr>
                <w:color w:val="000000"/>
                <w:lang w:val="lv-LV"/>
              </w:rPr>
              <w:t xml:space="preserve">Nr.639/2014 </w:t>
            </w:r>
            <w:proofErr w:type="gramStart"/>
            <w:r w:rsidRPr="00F00685">
              <w:rPr>
                <w:color w:val="000000"/>
                <w:lang w:val="lv-LV"/>
              </w:rPr>
              <w:t>13.pantā</w:t>
            </w:r>
            <w:proofErr w:type="gramEnd"/>
            <w:r w:rsidRPr="00F00685">
              <w:rPr>
                <w:color w:val="000000"/>
                <w:lang w:val="lv-LV"/>
              </w:rPr>
              <w:t xml:space="preserve"> noteikts, ka dalībvalstis var izstrādāt alternatīvus kritērijus, kurus ievērojot lauksaimniecisku darbību var uzskatīt par fiziskas vai juridiskas personas darījumdarbības vai uzņēmuma galveno mērķi. Šī izvēle noteikta noteikumu projekta </w:t>
            </w:r>
            <w:r w:rsidRPr="00A231FD">
              <w:rPr>
                <w:lang w:val="lv-LV"/>
              </w:rPr>
              <w:t>1.1</w:t>
            </w:r>
            <w:r w:rsidR="00A272D6" w:rsidRPr="00A231FD">
              <w:rPr>
                <w:lang w:val="lv-LV"/>
              </w:rPr>
              <w:t>1</w:t>
            </w:r>
            <w:r w:rsidRPr="00A231FD">
              <w:rPr>
                <w:lang w:val="lv-LV"/>
              </w:rPr>
              <w:t>. apakš</w:t>
            </w:r>
            <w:r w:rsidRPr="00F00685">
              <w:rPr>
                <w:color w:val="000000"/>
                <w:lang w:val="lv-LV"/>
              </w:rPr>
              <w:t>punktā.</w:t>
            </w:r>
          </w:p>
          <w:p w14:paraId="75CB0AFB" w14:textId="77777777" w:rsidR="001929D2" w:rsidRDefault="001929D2" w:rsidP="001929D2">
            <w:pPr>
              <w:jc w:val="both"/>
            </w:pPr>
          </w:p>
          <w:p w14:paraId="09713ABE" w14:textId="77777777" w:rsidR="001929D2" w:rsidRPr="00A272D6" w:rsidRDefault="001929D2" w:rsidP="001929D2">
            <w:pPr>
              <w:pStyle w:val="Pamattekstsaratkpi"/>
              <w:widowControl w:val="0"/>
              <w:spacing w:after="0"/>
              <w:ind w:left="0"/>
              <w:jc w:val="both"/>
              <w:rPr>
                <w:lang w:val="lv-LV"/>
              </w:rPr>
            </w:pPr>
            <w:r>
              <w:rPr>
                <w:lang w:val="lv-LV" w:eastAsia="lv-LV"/>
              </w:rPr>
              <w:t>Saskaņā ar r</w:t>
            </w:r>
            <w:r w:rsidRPr="005D6FDF">
              <w:rPr>
                <w:lang w:val="lv-LV" w:eastAsia="lv-LV"/>
              </w:rPr>
              <w:t>egula</w:t>
            </w:r>
            <w:r>
              <w:rPr>
                <w:lang w:val="lv-LV" w:eastAsia="lv-LV"/>
              </w:rPr>
              <w:t>s Nr.1307/2013</w:t>
            </w:r>
            <w:r w:rsidRPr="005D6FDF">
              <w:rPr>
                <w:lang w:val="lv-LV" w:eastAsia="lv-LV"/>
              </w:rPr>
              <w:t xml:space="preserve"> 46.panta 2.punktu</w:t>
            </w:r>
            <w:r>
              <w:rPr>
                <w:lang w:val="lv-LV" w:eastAsia="lv-LV"/>
              </w:rPr>
              <w:t xml:space="preserve"> dalībvalstīm</w:t>
            </w:r>
            <w:r w:rsidRPr="005D6FDF">
              <w:rPr>
                <w:lang w:val="lv-LV" w:eastAsia="lv-LV"/>
              </w:rPr>
              <w:t xml:space="preserve"> līdz 2014.gada 1.augustam Komisijai </w:t>
            </w:r>
            <w:r>
              <w:rPr>
                <w:lang w:val="lv-LV" w:eastAsia="lv-LV"/>
              </w:rPr>
              <w:t>bija jā</w:t>
            </w:r>
            <w:r w:rsidRPr="005D6FDF">
              <w:rPr>
                <w:lang w:val="lv-LV" w:eastAsia="lv-LV"/>
              </w:rPr>
              <w:t xml:space="preserve">paziņo </w:t>
            </w:r>
            <w:r>
              <w:rPr>
                <w:lang w:val="lv-LV" w:eastAsia="lv-LV"/>
              </w:rPr>
              <w:t xml:space="preserve">sākotnējais </w:t>
            </w:r>
            <w:r w:rsidRPr="005D6FDF">
              <w:rPr>
                <w:lang w:val="lv-LV" w:eastAsia="lv-LV"/>
              </w:rPr>
              <w:t>lēmums par ekoloģiski nozīmīg</w:t>
            </w:r>
            <w:r>
              <w:rPr>
                <w:lang w:val="lv-LV" w:eastAsia="lv-LV"/>
              </w:rPr>
              <w:t>o</w:t>
            </w:r>
            <w:r w:rsidRPr="005D6FDF">
              <w:rPr>
                <w:lang w:val="lv-LV" w:eastAsia="lv-LV"/>
              </w:rPr>
              <w:t xml:space="preserve"> platīb</w:t>
            </w:r>
            <w:r>
              <w:rPr>
                <w:lang w:val="lv-LV" w:eastAsia="lv-LV"/>
              </w:rPr>
              <w:t>u izvēlēm.</w:t>
            </w:r>
            <w:r w:rsidRPr="005D6FDF">
              <w:rPr>
                <w:lang w:val="lv-LV" w:eastAsia="lv-LV"/>
              </w:rPr>
              <w:t xml:space="preserve"> </w:t>
            </w:r>
            <w:r>
              <w:rPr>
                <w:lang w:val="lv-LV" w:eastAsia="lv-LV"/>
              </w:rPr>
              <w:t xml:space="preserve"> Tomēr, p</w:t>
            </w:r>
            <w:r w:rsidRPr="001E76D3">
              <w:rPr>
                <w:lang w:val="lv-LV"/>
              </w:rPr>
              <w:t xml:space="preserve">ēc Eiropas </w:t>
            </w:r>
            <w:r w:rsidRPr="001E76D3">
              <w:rPr>
                <w:lang w:val="lv-LV"/>
              </w:rPr>
              <w:lastRenderedPageBreak/>
              <w:t xml:space="preserve">Komisijas skaidrojuma (vēstulē nr. DC/YM/vt (2014) 2327027 Lielbritānijai 2014.g. 8.jūlijā), ir atļauts dalībvalstīm nākamajos gados pēc 2014.gada </w:t>
            </w:r>
            <w:r>
              <w:rPr>
                <w:lang w:val="lv-LV"/>
              </w:rPr>
              <w:t xml:space="preserve">pievienot </w:t>
            </w:r>
            <w:r w:rsidRPr="001E76D3">
              <w:rPr>
                <w:lang w:val="lv-LV"/>
              </w:rPr>
              <w:t>jaunu vai atteikties no kādas esošā ekoloģiski nozīmīgas platības veida, tātad nav aizliegts veikt labojumus ekoloģiski nozīmīgu platību sarakstā</w:t>
            </w:r>
            <w:r>
              <w:rPr>
                <w:lang w:val="lv-LV"/>
              </w:rPr>
              <w:t xml:space="preserve">. Minētā vēstule ir ievietota EK CIRCABC dokumentu sistēmā un tajā sniegtā informācija ir saistoša visām dalībvalstīm, arī </w:t>
            </w:r>
            <w:r w:rsidRPr="001E76D3">
              <w:rPr>
                <w:lang w:val="lv-LV"/>
              </w:rPr>
              <w:t>Latvij</w:t>
            </w:r>
            <w:r>
              <w:rPr>
                <w:lang w:val="lv-LV"/>
              </w:rPr>
              <w:t>ai</w:t>
            </w:r>
            <w:r w:rsidRPr="001E76D3">
              <w:rPr>
                <w:lang w:val="lv-LV"/>
              </w:rPr>
              <w:t xml:space="preserve">. </w:t>
            </w:r>
            <w:r w:rsidRPr="008D7174">
              <w:rPr>
                <w:lang w:val="lv-LV"/>
              </w:rPr>
              <w:t xml:space="preserve">Regulas Nr. 1307/2013 44. panta 2. punkta “i” apakšpunkts nosaka, ka dalībvalsts par ekoloģiskās nozīmes platībām var atzīt arī platības, ko aizņem starpkultūras vai augsnes zaļais segums. </w:t>
            </w:r>
            <w:r w:rsidRPr="00A272D6">
              <w:rPr>
                <w:lang w:val="lv-LV"/>
              </w:rPr>
              <w:t>Latvijā 2015. gadā par ekoloģiski nozīmīgām platībām tika atzītas tikai platības ar augsnes zaļo segumu. Ar šiem grozījumiem lauksaimniekiem tiks dota iespēja izpildīt ekoloģiskās nozīmes nosacījumus arī ar platībām, ko aizņem starpkultūras, kuras saskaņā ar Regulas Nr. 639/2014 45. panta 1. punkta nosacījumiem tiek audzētas savstarpējos maisījumos.</w:t>
            </w:r>
          </w:p>
          <w:p w14:paraId="57E752BB" w14:textId="77777777" w:rsidR="001929D2" w:rsidRDefault="001929D2" w:rsidP="001929D2">
            <w:pPr>
              <w:jc w:val="both"/>
            </w:pPr>
          </w:p>
          <w:p w14:paraId="605DA341" w14:textId="77777777" w:rsidR="001929D2" w:rsidRDefault="001929D2" w:rsidP="001929D2">
            <w:pPr>
              <w:pStyle w:val="Pamattekstsaratkpi"/>
              <w:widowControl w:val="0"/>
              <w:spacing w:after="0"/>
              <w:ind w:left="0"/>
              <w:jc w:val="both"/>
              <w:rPr>
                <w:lang w:val="lv-LV"/>
              </w:rPr>
            </w:pPr>
            <w:r w:rsidRPr="00EE5EB2">
              <w:rPr>
                <w:lang w:val="lv-LV"/>
              </w:rPr>
              <w:t xml:space="preserve">Regulas Nr.1307/2013 36.panta 1.punktā ir noteikts, ka dalībvalstis, kas piemēro vienotā platībmaksājuma shēmu, var pieņemt lēmumu laikposmā no 2015. līdz 2020. gadam piešķirt pārejas posma valsts atbalstu (turpmāk </w:t>
            </w:r>
            <w:r>
              <w:rPr>
                <w:lang w:val="lv-LV"/>
              </w:rPr>
              <w:t>–</w:t>
            </w:r>
            <w:r w:rsidRPr="00EE5EB2">
              <w:rPr>
                <w:lang w:val="lv-LV"/>
              </w:rPr>
              <w:t xml:space="preserve"> PPVA). PPVA piemērošana tiek plānota līdz 2017.gadam atkarībā no valsts budžetā pieejamajiem līdzekļiem.</w:t>
            </w:r>
            <w:r>
              <w:rPr>
                <w:lang w:val="lv-LV"/>
              </w:rPr>
              <w:t xml:space="preserve"> Noteikumu projekta 1.82. apakšpunktā tiek noteiktas likmes katram PPVA veidam 2016. gadā.</w:t>
            </w:r>
          </w:p>
          <w:p w14:paraId="034CCDDB" w14:textId="77777777" w:rsidR="001929D2" w:rsidRDefault="001929D2" w:rsidP="001929D2">
            <w:pPr>
              <w:pStyle w:val="Pamattekstsaratkpi"/>
              <w:widowControl w:val="0"/>
              <w:spacing w:after="0"/>
              <w:ind w:left="0"/>
              <w:jc w:val="both"/>
              <w:rPr>
                <w:lang w:val="lv-LV"/>
              </w:rPr>
            </w:pPr>
          </w:p>
          <w:p w14:paraId="34820AD9" w14:textId="77777777" w:rsidR="001929D2" w:rsidRDefault="001929D2" w:rsidP="001929D2">
            <w:pPr>
              <w:pStyle w:val="Pamattekstsaratkpi"/>
              <w:widowControl w:val="0"/>
              <w:spacing w:after="0"/>
              <w:ind w:left="0"/>
              <w:jc w:val="both"/>
              <w:rPr>
                <w:lang w:val="lv-LV"/>
              </w:rPr>
            </w:pPr>
            <w:r w:rsidRPr="00EE5EB2">
              <w:rPr>
                <w:lang w:val="lv-LV"/>
              </w:rPr>
              <w:t xml:space="preserve">Regulas Nr.1306/2013 72.panta </w:t>
            </w:r>
            <w:r>
              <w:rPr>
                <w:lang w:val="lv-LV"/>
              </w:rPr>
              <w:t>3</w:t>
            </w:r>
            <w:r w:rsidRPr="00EE5EB2">
              <w:rPr>
                <w:lang w:val="lv-LV"/>
              </w:rPr>
              <w:t xml:space="preserve">.punktā ir </w:t>
            </w:r>
            <w:r w:rsidRPr="00D0026B">
              <w:rPr>
                <w:lang w:val="lv-LV"/>
              </w:rPr>
              <w:t>noteikt</w:t>
            </w:r>
            <w:r>
              <w:rPr>
                <w:lang w:val="lv-LV"/>
              </w:rPr>
              <w:t>a</w:t>
            </w:r>
            <w:r w:rsidRPr="00D0026B">
              <w:rPr>
                <w:lang w:val="lv-LV"/>
              </w:rPr>
              <w:t xml:space="preserve"> </w:t>
            </w:r>
            <w:r>
              <w:rPr>
                <w:lang w:val="lv-LV"/>
              </w:rPr>
              <w:t xml:space="preserve">prasība, kas precizēta </w:t>
            </w:r>
            <w:r w:rsidRPr="00D0026B">
              <w:rPr>
                <w:lang w:val="lv-LV"/>
              </w:rPr>
              <w:t>regula</w:t>
            </w:r>
            <w:r>
              <w:rPr>
                <w:lang w:val="lv-LV"/>
              </w:rPr>
              <w:t>s</w:t>
            </w:r>
            <w:r w:rsidRPr="00D0026B">
              <w:rPr>
                <w:lang w:val="lv-LV"/>
              </w:rPr>
              <w:t xml:space="preserve"> </w:t>
            </w:r>
            <w:r>
              <w:rPr>
                <w:lang w:val="lv-LV"/>
              </w:rPr>
              <w:t xml:space="preserve">Nr. 809/2017 </w:t>
            </w:r>
            <w:r w:rsidRPr="004167B3">
              <w:rPr>
                <w:lang w:val="lv-LV"/>
              </w:rPr>
              <w:t>17. pant</w:t>
            </w:r>
            <w:r>
              <w:rPr>
                <w:lang w:val="lv-LV"/>
              </w:rPr>
              <w:t xml:space="preserve">ā, </w:t>
            </w:r>
            <w:r w:rsidRPr="004167B3">
              <w:rPr>
                <w:lang w:val="lv-LV"/>
              </w:rPr>
              <w:t>nodrošināt atbalsta pretendentu ar veidlapu sagatavēm un atbilstošu grafisko materiālu, pamatojoties uz platībām, kas noteiktas iepriekšējā gadā, izmantojot ĢIS saskarni, kura ļauj apstrādāt deklarēto platību telpiskos un burtciparu datus (ģeotelpisko atbalsta pieteikuma veidlapu).</w:t>
            </w:r>
            <w:r>
              <w:rPr>
                <w:lang w:val="lv-LV"/>
              </w:rPr>
              <w:t xml:space="preserve"> Regulas Nr. 809/2017 17.panta 3.punkts nosaka pienākumu kompetentajai iestādei nodrošināt kā izvēli vai nu </w:t>
            </w:r>
            <w:r w:rsidRPr="004167B3">
              <w:rPr>
                <w:lang w:val="lv-LV"/>
              </w:rPr>
              <w:t>nepieciešamo tehnisko palīdzību</w:t>
            </w:r>
            <w:r>
              <w:rPr>
                <w:lang w:val="lv-LV"/>
              </w:rPr>
              <w:t xml:space="preserve"> lauksaimniekiem veidlapu elektroniskai aizpildīšanai (“a” apakšpunkts)</w:t>
            </w:r>
            <w:r w:rsidRPr="004167B3">
              <w:rPr>
                <w:lang w:val="lv-LV"/>
              </w:rPr>
              <w:t xml:space="preserve"> vai</w:t>
            </w:r>
            <w:r>
              <w:rPr>
                <w:lang w:val="lv-LV"/>
              </w:rPr>
              <w:t xml:space="preserve">  nodrošināt veidlapu sagataves</w:t>
            </w:r>
            <w:r w:rsidRPr="004167B3">
              <w:rPr>
                <w:lang w:val="lv-LV"/>
              </w:rPr>
              <w:t xml:space="preserve"> un atbilstošu grafisko materiālu papīra formā</w:t>
            </w:r>
            <w:r>
              <w:rPr>
                <w:lang w:val="lv-LV"/>
              </w:rPr>
              <w:t xml:space="preserve"> (“b” apakšpunkts)</w:t>
            </w:r>
            <w:r w:rsidRPr="004167B3">
              <w:rPr>
                <w:lang w:val="lv-LV"/>
              </w:rPr>
              <w:t xml:space="preserve">. </w:t>
            </w:r>
            <w:r>
              <w:rPr>
                <w:lang w:val="lv-LV"/>
              </w:rPr>
              <w:t>Turklāt ir jānodrošina viena no divām minētajām iespējām, nevis abas.</w:t>
            </w:r>
          </w:p>
          <w:p w14:paraId="152E0B73" w14:textId="77777777" w:rsidR="001929D2" w:rsidRPr="00C76044" w:rsidRDefault="001929D2" w:rsidP="00ED2B0E">
            <w:pPr>
              <w:pStyle w:val="Pamattekstsaratkpi"/>
              <w:tabs>
                <w:tab w:val="left" w:pos="993"/>
              </w:tabs>
              <w:spacing w:after="0"/>
              <w:ind w:left="0"/>
              <w:jc w:val="both"/>
              <w:rPr>
                <w:lang w:val="lv-LV"/>
              </w:rPr>
            </w:pPr>
          </w:p>
        </w:tc>
      </w:tr>
      <w:tr w:rsidR="001929D2" w:rsidRPr="00C87DA2" w14:paraId="0D8A4C6A" w14:textId="77777777" w:rsidTr="00601BE0">
        <w:tc>
          <w:tcPr>
            <w:tcW w:w="1337" w:type="pct"/>
          </w:tcPr>
          <w:p w14:paraId="3EA9D7C3" w14:textId="77777777" w:rsidR="001929D2" w:rsidRPr="00C87DA2" w:rsidRDefault="001929D2" w:rsidP="001929D2">
            <w:r w:rsidRPr="00C87DA2">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3" w:type="pct"/>
            <w:gridSpan w:val="4"/>
          </w:tcPr>
          <w:p w14:paraId="14C7346D" w14:textId="77777777" w:rsidR="001929D2" w:rsidRPr="00C87DA2" w:rsidRDefault="001929D2" w:rsidP="001929D2">
            <w:r w:rsidRPr="00C87DA2">
              <w:t>Projekts šo jomu neskar.</w:t>
            </w:r>
          </w:p>
          <w:p w14:paraId="3932F23F" w14:textId="77777777" w:rsidR="001929D2" w:rsidRPr="00C87DA2" w:rsidRDefault="001929D2" w:rsidP="001929D2"/>
          <w:p w14:paraId="72841AA6" w14:textId="77777777" w:rsidR="001929D2" w:rsidRPr="00C87DA2" w:rsidRDefault="001929D2" w:rsidP="001929D2"/>
          <w:p w14:paraId="50FF423F" w14:textId="77777777" w:rsidR="001929D2" w:rsidRPr="00C87DA2" w:rsidRDefault="001929D2" w:rsidP="001929D2"/>
          <w:p w14:paraId="6B9D531C" w14:textId="77777777" w:rsidR="001929D2" w:rsidRPr="00C87DA2" w:rsidRDefault="001929D2" w:rsidP="001929D2"/>
        </w:tc>
      </w:tr>
      <w:tr w:rsidR="001929D2" w:rsidRPr="00C87DA2" w14:paraId="7BCE9B2D" w14:textId="77777777" w:rsidTr="00601BE0">
        <w:tc>
          <w:tcPr>
            <w:tcW w:w="1337" w:type="pct"/>
          </w:tcPr>
          <w:p w14:paraId="0DA24013" w14:textId="77777777" w:rsidR="001929D2" w:rsidRPr="00C87DA2" w:rsidRDefault="001929D2" w:rsidP="001929D2">
            <w:r w:rsidRPr="00C87DA2">
              <w:t>Cita informācija</w:t>
            </w:r>
          </w:p>
        </w:tc>
        <w:tc>
          <w:tcPr>
            <w:tcW w:w="3663" w:type="pct"/>
            <w:gridSpan w:val="4"/>
          </w:tcPr>
          <w:p w14:paraId="2480C9E8" w14:textId="77777777" w:rsidR="001929D2" w:rsidRPr="00C87DA2" w:rsidRDefault="001929D2" w:rsidP="001929D2">
            <w:r w:rsidRPr="00C87DA2">
              <w:t>Nav</w:t>
            </w:r>
          </w:p>
        </w:tc>
      </w:tr>
      <w:tr w:rsidR="001929D2" w:rsidRPr="00C87DA2" w14:paraId="3F79AACE" w14:textId="77777777" w:rsidTr="000933B1">
        <w:tc>
          <w:tcPr>
            <w:tcW w:w="5000" w:type="pct"/>
            <w:gridSpan w:val="5"/>
          </w:tcPr>
          <w:p w14:paraId="4023FBA4" w14:textId="77777777" w:rsidR="001929D2" w:rsidRPr="00C87DA2" w:rsidRDefault="001929D2" w:rsidP="001929D2">
            <w:pPr>
              <w:rPr>
                <w:b/>
                <w:bCs/>
              </w:rPr>
            </w:pPr>
            <w:r w:rsidRPr="00C87DA2">
              <w:rPr>
                <w:b/>
                <w:bCs/>
              </w:rPr>
              <w:lastRenderedPageBreak/>
              <w:t>2.tabula</w:t>
            </w:r>
            <w:r w:rsidRPr="00C87DA2">
              <w:rPr>
                <w:b/>
                <w:bCs/>
              </w:rPr>
              <w:br/>
              <w:t>Ar tiesību akta projektu izpildītās vai uzņemtās saistības, kas izriet no starptautiskajiem tiesību aktiem vai starptautiskas institūcijas vai organizācijas dokumentiem.</w:t>
            </w:r>
            <w:r w:rsidRPr="00C87DA2">
              <w:rPr>
                <w:b/>
                <w:bCs/>
              </w:rPr>
              <w:br/>
              <w:t>Pasākumi šo saistību izpildei</w:t>
            </w:r>
          </w:p>
        </w:tc>
      </w:tr>
      <w:tr w:rsidR="001929D2" w:rsidRPr="00C87DA2" w14:paraId="7F2E089E" w14:textId="77777777" w:rsidTr="00601BE0">
        <w:tc>
          <w:tcPr>
            <w:tcW w:w="1337" w:type="pct"/>
          </w:tcPr>
          <w:p w14:paraId="399A6DB7" w14:textId="77777777" w:rsidR="001929D2" w:rsidRPr="00C87DA2" w:rsidRDefault="001929D2" w:rsidP="001929D2">
            <w:r w:rsidRPr="00C87DA2">
              <w:t>Attiecīgā starptautiskā tiesību akta vai starptautiskas institūcijas vai organizācijas dokumenta (turpmāk – starptautiskais dokuments) datums, numurs un nosaukums</w:t>
            </w:r>
          </w:p>
        </w:tc>
        <w:tc>
          <w:tcPr>
            <w:tcW w:w="3663" w:type="pct"/>
            <w:gridSpan w:val="4"/>
          </w:tcPr>
          <w:p w14:paraId="746FC6E4" w14:textId="77777777" w:rsidR="001929D2" w:rsidRPr="00C87DA2" w:rsidRDefault="001929D2" w:rsidP="001929D2">
            <w:r w:rsidRPr="00C87DA2">
              <w:t>Nav</w:t>
            </w:r>
          </w:p>
        </w:tc>
      </w:tr>
      <w:tr w:rsidR="001929D2" w:rsidRPr="00C87DA2" w14:paraId="28B72250" w14:textId="77777777" w:rsidTr="00601BE0">
        <w:tc>
          <w:tcPr>
            <w:tcW w:w="1337" w:type="pct"/>
          </w:tcPr>
          <w:p w14:paraId="240D95E7" w14:textId="77777777" w:rsidR="001929D2" w:rsidRPr="00C87DA2" w:rsidRDefault="001929D2" w:rsidP="001929D2">
            <w:r w:rsidRPr="00C87DA2">
              <w:t>A</w:t>
            </w:r>
          </w:p>
        </w:tc>
        <w:tc>
          <w:tcPr>
            <w:tcW w:w="1922" w:type="pct"/>
            <w:gridSpan w:val="3"/>
          </w:tcPr>
          <w:p w14:paraId="383C862D" w14:textId="77777777" w:rsidR="001929D2" w:rsidRPr="00C87DA2" w:rsidRDefault="001929D2" w:rsidP="001929D2">
            <w:r w:rsidRPr="00C87DA2">
              <w:t>B</w:t>
            </w:r>
          </w:p>
        </w:tc>
        <w:tc>
          <w:tcPr>
            <w:tcW w:w="1741" w:type="pct"/>
          </w:tcPr>
          <w:p w14:paraId="04F43C3A" w14:textId="77777777" w:rsidR="001929D2" w:rsidRPr="00C87DA2" w:rsidRDefault="001929D2" w:rsidP="001929D2">
            <w:r w:rsidRPr="00C87DA2">
              <w:t>C</w:t>
            </w:r>
          </w:p>
        </w:tc>
      </w:tr>
      <w:tr w:rsidR="001929D2" w:rsidRPr="00C87DA2" w14:paraId="1E8B6CE3" w14:textId="77777777" w:rsidTr="00601BE0">
        <w:tc>
          <w:tcPr>
            <w:tcW w:w="1337" w:type="pct"/>
          </w:tcPr>
          <w:p w14:paraId="14AC151B" w14:textId="77777777" w:rsidR="001929D2" w:rsidRPr="00C87DA2" w:rsidRDefault="001929D2" w:rsidP="001929D2">
            <w:r w:rsidRPr="00C87DA2">
              <w:t>-</w:t>
            </w:r>
          </w:p>
        </w:tc>
        <w:tc>
          <w:tcPr>
            <w:tcW w:w="1922" w:type="pct"/>
            <w:gridSpan w:val="3"/>
          </w:tcPr>
          <w:p w14:paraId="28B26F92" w14:textId="77777777" w:rsidR="001929D2" w:rsidRPr="00C87DA2" w:rsidRDefault="001929D2" w:rsidP="001929D2">
            <w:r w:rsidRPr="00C87DA2">
              <w:t>-</w:t>
            </w:r>
          </w:p>
        </w:tc>
        <w:tc>
          <w:tcPr>
            <w:tcW w:w="1741" w:type="pct"/>
          </w:tcPr>
          <w:p w14:paraId="606F07CF" w14:textId="77777777" w:rsidR="001929D2" w:rsidRPr="00C87DA2" w:rsidRDefault="001929D2" w:rsidP="001929D2">
            <w:r w:rsidRPr="00C87DA2">
              <w:t>-</w:t>
            </w:r>
          </w:p>
        </w:tc>
      </w:tr>
      <w:tr w:rsidR="001929D2" w:rsidRPr="00C87DA2" w14:paraId="59EFDF08" w14:textId="77777777" w:rsidTr="00601BE0">
        <w:tc>
          <w:tcPr>
            <w:tcW w:w="1337" w:type="pct"/>
          </w:tcPr>
          <w:p w14:paraId="65DD0E63" w14:textId="77777777" w:rsidR="001929D2" w:rsidRPr="00C87DA2" w:rsidRDefault="001929D2" w:rsidP="001929D2"/>
        </w:tc>
        <w:tc>
          <w:tcPr>
            <w:tcW w:w="1922" w:type="pct"/>
            <w:gridSpan w:val="3"/>
          </w:tcPr>
          <w:p w14:paraId="6C7DE891" w14:textId="77777777" w:rsidR="001929D2" w:rsidRPr="00C87DA2" w:rsidRDefault="001929D2" w:rsidP="001929D2"/>
        </w:tc>
        <w:tc>
          <w:tcPr>
            <w:tcW w:w="1741" w:type="pct"/>
          </w:tcPr>
          <w:p w14:paraId="35500580" w14:textId="77777777" w:rsidR="001929D2" w:rsidRPr="00C87DA2" w:rsidRDefault="001929D2" w:rsidP="001929D2"/>
        </w:tc>
      </w:tr>
      <w:tr w:rsidR="001929D2" w:rsidRPr="00C87DA2" w14:paraId="2B0541B6" w14:textId="77777777" w:rsidTr="00601BE0">
        <w:tc>
          <w:tcPr>
            <w:tcW w:w="1337" w:type="pct"/>
          </w:tcPr>
          <w:p w14:paraId="624C2672" w14:textId="77777777" w:rsidR="001929D2" w:rsidRPr="00C87DA2" w:rsidRDefault="001929D2" w:rsidP="001929D2">
            <w:r w:rsidRPr="00C87DA2">
              <w:t>Vai starptautiskajā dokumentā paredzētās saistības nav pretrunā ar jau esošajām Latvijas Republikas starptautiskajām saistībām</w:t>
            </w:r>
          </w:p>
        </w:tc>
        <w:tc>
          <w:tcPr>
            <w:tcW w:w="3663" w:type="pct"/>
            <w:gridSpan w:val="4"/>
          </w:tcPr>
          <w:p w14:paraId="1E6BDCE0" w14:textId="77777777" w:rsidR="001929D2" w:rsidRPr="00C87DA2" w:rsidRDefault="001929D2" w:rsidP="001929D2">
            <w:r w:rsidRPr="00C87DA2">
              <w:t>Projekts šo jomu neskar.</w:t>
            </w:r>
          </w:p>
        </w:tc>
      </w:tr>
      <w:tr w:rsidR="001929D2" w:rsidRPr="00C87DA2" w14:paraId="1D31FD7C" w14:textId="77777777" w:rsidTr="00601BE0">
        <w:tc>
          <w:tcPr>
            <w:tcW w:w="1337" w:type="pct"/>
          </w:tcPr>
          <w:p w14:paraId="03B6AFC6" w14:textId="77777777" w:rsidR="001929D2" w:rsidRPr="00C87DA2" w:rsidRDefault="001929D2" w:rsidP="001929D2">
            <w:r w:rsidRPr="00C87DA2">
              <w:t>Cita informācija</w:t>
            </w:r>
          </w:p>
        </w:tc>
        <w:tc>
          <w:tcPr>
            <w:tcW w:w="3663" w:type="pct"/>
            <w:gridSpan w:val="4"/>
          </w:tcPr>
          <w:p w14:paraId="1281EB71" w14:textId="77777777" w:rsidR="001929D2" w:rsidRPr="00C87DA2" w:rsidRDefault="001929D2" w:rsidP="001929D2">
            <w:r w:rsidRPr="00C87DA2">
              <w:t>Nav</w:t>
            </w:r>
          </w:p>
        </w:tc>
      </w:tr>
    </w:tbl>
    <w:p w14:paraId="21D630B3" w14:textId="77777777" w:rsidR="007F70E3" w:rsidRPr="00C87DA2" w:rsidRDefault="007F70E3" w:rsidP="006B42E1">
      <w:pPr>
        <w:ind w:firstLine="300"/>
        <w:rPr>
          <w:sz w:val="16"/>
          <w:szCs w:val="16"/>
        </w:rPr>
      </w:pPr>
      <w:r w:rsidRPr="00C87DA2">
        <w:rPr>
          <w:sz w:val="16"/>
          <w:szCs w:val="16"/>
        </w:rPr>
        <w:t> </w:t>
      </w:r>
    </w:p>
    <w:tbl>
      <w:tblPr>
        <w:tblW w:w="518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3"/>
        <w:gridCol w:w="2016"/>
        <w:gridCol w:w="6943"/>
      </w:tblGrid>
      <w:tr w:rsidR="001C1869" w:rsidRPr="00C87DA2" w14:paraId="5D84D049" w14:textId="77777777" w:rsidTr="001C186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1714C6" w14:textId="77777777" w:rsidR="001C1869" w:rsidRPr="00C87DA2" w:rsidRDefault="001C1869" w:rsidP="007C583E">
            <w:pPr>
              <w:rPr>
                <w:b/>
                <w:bCs/>
              </w:rPr>
            </w:pPr>
            <w:r w:rsidRPr="00C87DA2">
              <w:rPr>
                <w:b/>
                <w:bCs/>
              </w:rPr>
              <w:t>VI. Sabiedrības līdzdalība un komunikācijas aktivitātes</w:t>
            </w:r>
          </w:p>
        </w:tc>
      </w:tr>
      <w:tr w:rsidR="001C1869" w:rsidRPr="00C87DA2" w14:paraId="552119EC" w14:textId="77777777" w:rsidTr="001C1869">
        <w:trPr>
          <w:trHeight w:val="540"/>
          <w:jc w:val="center"/>
        </w:trPr>
        <w:tc>
          <w:tcPr>
            <w:tcW w:w="231" w:type="pct"/>
            <w:tcBorders>
              <w:top w:val="outset" w:sz="6" w:space="0" w:color="414142"/>
              <w:left w:val="outset" w:sz="6" w:space="0" w:color="414142"/>
              <w:bottom w:val="outset" w:sz="6" w:space="0" w:color="414142"/>
              <w:right w:val="outset" w:sz="6" w:space="0" w:color="414142"/>
            </w:tcBorders>
            <w:hideMark/>
          </w:tcPr>
          <w:p w14:paraId="4B3770FD" w14:textId="77777777" w:rsidR="001C1869" w:rsidRPr="00C87DA2" w:rsidRDefault="001C1869" w:rsidP="007C583E">
            <w:r w:rsidRPr="00C87DA2">
              <w:t>1.</w:t>
            </w:r>
          </w:p>
        </w:tc>
        <w:tc>
          <w:tcPr>
            <w:tcW w:w="1073" w:type="pct"/>
            <w:tcBorders>
              <w:top w:val="outset" w:sz="6" w:space="0" w:color="414142"/>
              <w:left w:val="outset" w:sz="6" w:space="0" w:color="414142"/>
              <w:bottom w:val="outset" w:sz="6" w:space="0" w:color="414142"/>
              <w:right w:val="outset" w:sz="6" w:space="0" w:color="414142"/>
            </w:tcBorders>
            <w:hideMark/>
          </w:tcPr>
          <w:p w14:paraId="28F6660A" w14:textId="77777777" w:rsidR="001C1869" w:rsidRPr="00C87DA2" w:rsidRDefault="001C1869" w:rsidP="007C583E">
            <w:r w:rsidRPr="00C87DA2">
              <w:t>Plānotās sabiedrības līdzdalības un komunikācijas aktivitātes saistībā ar projektu</w:t>
            </w:r>
          </w:p>
        </w:tc>
        <w:tc>
          <w:tcPr>
            <w:tcW w:w="3695" w:type="pct"/>
            <w:tcBorders>
              <w:top w:val="outset" w:sz="6" w:space="0" w:color="414142"/>
              <w:left w:val="outset" w:sz="6" w:space="0" w:color="414142"/>
              <w:bottom w:val="outset" w:sz="6" w:space="0" w:color="414142"/>
              <w:right w:val="outset" w:sz="6" w:space="0" w:color="414142"/>
            </w:tcBorders>
            <w:hideMark/>
          </w:tcPr>
          <w:p w14:paraId="0FB55617" w14:textId="77777777" w:rsidR="00B0757D" w:rsidRPr="00EE5EB2" w:rsidRDefault="00B0757D" w:rsidP="00B0757D">
            <w:pPr>
              <w:jc w:val="both"/>
            </w:pPr>
            <w:r w:rsidRPr="00C87DA2">
              <w:t xml:space="preserve">Noteikumu projekts </w:t>
            </w:r>
            <w:r>
              <w:t>ti</w:t>
            </w:r>
            <w:r w:rsidRPr="00C87DA2">
              <w:t>ka nosūtīts saskaņošanai lauksaimnieku sabiedriskajām organizācijām</w:t>
            </w:r>
            <w:r>
              <w:t xml:space="preserve">, kā arī </w:t>
            </w:r>
            <w:r w:rsidRPr="00EE5EB2">
              <w:t>tika organizēta tiešo maksājumu darba grupa, kurā plaši tika pārstāvētas lauksaimnieku organizācijas, dabas aizsardzības organizācijas, nozaru eksperti un citi interesenti</w:t>
            </w:r>
            <w:r w:rsidR="00BB7EB7">
              <w:t>.</w:t>
            </w:r>
            <w:r w:rsidRPr="00EE5EB2">
              <w:t xml:space="preserve"> </w:t>
            </w:r>
            <w:r w:rsidR="00BB7EB7">
              <w:t>Tās sanāksmju</w:t>
            </w:r>
            <w:r w:rsidRPr="00EE5EB2">
              <w:t xml:space="preserve"> laikā tika diskutēt</w:t>
            </w:r>
            <w:r w:rsidR="00BB7EB7">
              <w:t>s par</w:t>
            </w:r>
            <w:r>
              <w:t xml:space="preserve"> paredzēt</w:t>
            </w:r>
            <w:r w:rsidR="00BB7EB7">
              <w:t>ajiem</w:t>
            </w:r>
            <w:r>
              <w:t xml:space="preserve"> grozījumi</w:t>
            </w:r>
            <w:r w:rsidR="00BB7EB7">
              <w:t>em</w:t>
            </w:r>
            <w:r>
              <w:t xml:space="preserve"> noteikum</w:t>
            </w:r>
            <w:r w:rsidR="00BB7EB7">
              <w:t>os</w:t>
            </w:r>
            <w:r>
              <w:t>.</w:t>
            </w:r>
          </w:p>
          <w:p w14:paraId="3AB47CA2" w14:textId="77777777" w:rsidR="00B0757D" w:rsidRDefault="00B0757D" w:rsidP="003755B0">
            <w:pPr>
              <w:jc w:val="both"/>
            </w:pPr>
          </w:p>
          <w:p w14:paraId="391E293F" w14:textId="77777777" w:rsidR="001C1869" w:rsidRPr="00C87DA2" w:rsidRDefault="00B0757D" w:rsidP="00B0757D">
            <w:pPr>
              <w:jc w:val="both"/>
            </w:pPr>
            <w:r>
              <w:t>N</w:t>
            </w:r>
            <w:r w:rsidRPr="00C87DA2">
              <w:t>oteikumu projekts</w:t>
            </w:r>
            <w:r>
              <w:t xml:space="preserve"> </w:t>
            </w:r>
            <w:r w:rsidR="001C1869" w:rsidRPr="00C87DA2">
              <w:t>tik</w:t>
            </w:r>
            <w:r>
              <w:t>s</w:t>
            </w:r>
            <w:r w:rsidR="001C1869" w:rsidRPr="00C87DA2">
              <w:t xml:space="preserve"> </w:t>
            </w:r>
            <w:r>
              <w:t xml:space="preserve">arī </w:t>
            </w:r>
            <w:r w:rsidR="001C1869" w:rsidRPr="00C87DA2">
              <w:t xml:space="preserve">publicēts Zemkopības ministrijas </w:t>
            </w:r>
            <w:r w:rsidR="00B604C1" w:rsidRPr="00C87DA2">
              <w:t>tīmekļa vietnē</w:t>
            </w:r>
            <w:r>
              <w:t>.</w:t>
            </w:r>
          </w:p>
        </w:tc>
      </w:tr>
      <w:tr w:rsidR="001C1869" w:rsidRPr="00C87DA2" w14:paraId="36110AEA" w14:textId="77777777" w:rsidTr="001C1869">
        <w:trPr>
          <w:trHeight w:val="330"/>
          <w:jc w:val="center"/>
        </w:trPr>
        <w:tc>
          <w:tcPr>
            <w:tcW w:w="231" w:type="pct"/>
            <w:tcBorders>
              <w:top w:val="outset" w:sz="6" w:space="0" w:color="414142"/>
              <w:left w:val="outset" w:sz="6" w:space="0" w:color="414142"/>
              <w:bottom w:val="outset" w:sz="6" w:space="0" w:color="414142"/>
              <w:right w:val="outset" w:sz="6" w:space="0" w:color="414142"/>
            </w:tcBorders>
            <w:hideMark/>
          </w:tcPr>
          <w:p w14:paraId="71EC49E0" w14:textId="77777777" w:rsidR="001C1869" w:rsidRPr="00C87DA2" w:rsidRDefault="001C1869" w:rsidP="007C583E">
            <w:r w:rsidRPr="00C87DA2">
              <w:t>2.</w:t>
            </w:r>
          </w:p>
        </w:tc>
        <w:tc>
          <w:tcPr>
            <w:tcW w:w="1073" w:type="pct"/>
            <w:tcBorders>
              <w:top w:val="outset" w:sz="6" w:space="0" w:color="414142"/>
              <w:left w:val="outset" w:sz="6" w:space="0" w:color="414142"/>
              <w:bottom w:val="outset" w:sz="6" w:space="0" w:color="414142"/>
              <w:right w:val="outset" w:sz="6" w:space="0" w:color="414142"/>
            </w:tcBorders>
            <w:hideMark/>
          </w:tcPr>
          <w:p w14:paraId="10DAF9BC" w14:textId="77777777" w:rsidR="001C1869" w:rsidRPr="00C87DA2" w:rsidRDefault="001C1869" w:rsidP="007C583E">
            <w:r w:rsidRPr="00C87DA2">
              <w:t>Sabiedrības līdzdalība projekta izstrādē</w:t>
            </w:r>
          </w:p>
        </w:tc>
        <w:tc>
          <w:tcPr>
            <w:tcW w:w="3695" w:type="pct"/>
            <w:tcBorders>
              <w:top w:val="outset" w:sz="6" w:space="0" w:color="414142"/>
              <w:left w:val="outset" w:sz="6" w:space="0" w:color="414142"/>
              <w:bottom w:val="outset" w:sz="6" w:space="0" w:color="414142"/>
              <w:right w:val="outset" w:sz="6" w:space="0" w:color="414142"/>
            </w:tcBorders>
            <w:hideMark/>
          </w:tcPr>
          <w:p w14:paraId="3BAB4F61" w14:textId="77777777" w:rsidR="001C1869" w:rsidRPr="00C87DA2" w:rsidRDefault="001C1869" w:rsidP="007C583E">
            <w:pPr>
              <w:jc w:val="both"/>
            </w:pPr>
            <w:r w:rsidRPr="00C87DA2">
              <w:t xml:space="preserve">Pēc publicēšanas Zemkopības ministrijas </w:t>
            </w:r>
            <w:r w:rsidR="00B604C1" w:rsidRPr="00C87DA2">
              <w:t>tīmekļa vietnē</w:t>
            </w:r>
            <w:r w:rsidRPr="00C87DA2">
              <w:t xml:space="preserve"> ikvienam sabiedrības pārstāvim ir iespēja sniegt viedokli, iebildumus un priekšlikumus par </w:t>
            </w:r>
            <w:r w:rsidR="00B604C1" w:rsidRPr="00C87DA2">
              <w:t>sagatavoto n</w:t>
            </w:r>
            <w:r w:rsidRPr="00C87DA2">
              <w:t>oteikumu projektu.</w:t>
            </w:r>
          </w:p>
        </w:tc>
      </w:tr>
      <w:tr w:rsidR="001C1869" w:rsidRPr="00C87DA2" w14:paraId="750C070B" w14:textId="77777777" w:rsidTr="000F61AD">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46DC8235" w14:textId="77777777" w:rsidR="001C1869" w:rsidRPr="00C87DA2" w:rsidRDefault="001C1869" w:rsidP="007C583E">
            <w:r w:rsidRPr="00C87DA2">
              <w:t>3.</w:t>
            </w:r>
          </w:p>
        </w:tc>
        <w:tc>
          <w:tcPr>
            <w:tcW w:w="1073" w:type="pct"/>
            <w:tcBorders>
              <w:top w:val="outset" w:sz="6" w:space="0" w:color="414142"/>
              <w:left w:val="outset" w:sz="6" w:space="0" w:color="414142"/>
              <w:bottom w:val="outset" w:sz="6" w:space="0" w:color="414142"/>
              <w:right w:val="outset" w:sz="6" w:space="0" w:color="414142"/>
            </w:tcBorders>
            <w:hideMark/>
          </w:tcPr>
          <w:p w14:paraId="147C04DF" w14:textId="77777777" w:rsidR="001C1869" w:rsidRPr="00C87DA2" w:rsidRDefault="001C1869" w:rsidP="007C583E">
            <w:r w:rsidRPr="00C87DA2">
              <w:t>Sabiedrības līdzdalības rezultāti</w:t>
            </w:r>
          </w:p>
        </w:tc>
        <w:tc>
          <w:tcPr>
            <w:tcW w:w="3695" w:type="pct"/>
            <w:tcBorders>
              <w:top w:val="outset" w:sz="6" w:space="0" w:color="414142"/>
              <w:left w:val="outset" w:sz="6" w:space="0" w:color="414142"/>
              <w:bottom w:val="outset" w:sz="6" w:space="0" w:color="414142"/>
              <w:right w:val="outset" w:sz="6" w:space="0" w:color="414142"/>
            </w:tcBorders>
            <w:shd w:val="clear" w:color="auto" w:fill="auto"/>
            <w:hideMark/>
          </w:tcPr>
          <w:p w14:paraId="74D39BC7" w14:textId="77777777" w:rsidR="001C1869" w:rsidRPr="00C87DA2" w:rsidRDefault="00B604C1" w:rsidP="000F61AD">
            <w:pPr>
              <w:jc w:val="both"/>
            </w:pPr>
            <w:r w:rsidRPr="000F61AD">
              <w:t>P</w:t>
            </w:r>
            <w:r w:rsidR="001C1869" w:rsidRPr="000F61AD">
              <w:t xml:space="preserve">riekšlikumi </w:t>
            </w:r>
            <w:r w:rsidR="00306658" w:rsidRPr="000F61AD">
              <w:t xml:space="preserve">tika saņemti no </w:t>
            </w:r>
            <w:r w:rsidR="000F61AD">
              <w:t>Lauksaimnieku organizāciju sadarbības padomes</w:t>
            </w:r>
          </w:p>
        </w:tc>
      </w:tr>
      <w:tr w:rsidR="001C1869" w:rsidRPr="00C87DA2" w14:paraId="392BD16C" w14:textId="77777777" w:rsidTr="001C1869">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6977249C" w14:textId="77777777" w:rsidR="001C1869" w:rsidRPr="00C87DA2" w:rsidRDefault="001C1869" w:rsidP="007C583E">
            <w:r w:rsidRPr="00C87DA2">
              <w:t>4.</w:t>
            </w:r>
          </w:p>
        </w:tc>
        <w:tc>
          <w:tcPr>
            <w:tcW w:w="1073" w:type="pct"/>
            <w:tcBorders>
              <w:top w:val="outset" w:sz="6" w:space="0" w:color="414142"/>
              <w:left w:val="outset" w:sz="6" w:space="0" w:color="414142"/>
              <w:bottom w:val="outset" w:sz="6" w:space="0" w:color="414142"/>
              <w:right w:val="outset" w:sz="6" w:space="0" w:color="414142"/>
            </w:tcBorders>
            <w:hideMark/>
          </w:tcPr>
          <w:p w14:paraId="1AC45901" w14:textId="77777777" w:rsidR="001C1869" w:rsidRPr="00C87DA2" w:rsidRDefault="001C1869" w:rsidP="007C583E">
            <w:r w:rsidRPr="00C87DA2">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79973727" w14:textId="77777777" w:rsidR="001C1869" w:rsidRPr="00C87DA2" w:rsidRDefault="001C1869" w:rsidP="007C583E">
            <w:r w:rsidRPr="00C87DA2">
              <w:t>Nav</w:t>
            </w:r>
          </w:p>
        </w:tc>
      </w:tr>
    </w:tbl>
    <w:p w14:paraId="610DF89F" w14:textId="77777777" w:rsidR="001C1869" w:rsidRPr="00C87DA2" w:rsidRDefault="001C1869" w:rsidP="006B42E1">
      <w:pPr>
        <w:ind w:firstLine="300"/>
        <w:rPr>
          <w:sz w:val="16"/>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3444"/>
        <w:gridCol w:w="5323"/>
      </w:tblGrid>
      <w:tr w:rsidR="007F70E3" w:rsidRPr="00C87DA2" w14:paraId="74FDD912" w14:textId="77777777" w:rsidTr="00456CB0">
        <w:trPr>
          <w:trHeight w:val="375"/>
        </w:trPr>
        <w:tc>
          <w:tcPr>
            <w:tcW w:w="5000" w:type="pct"/>
            <w:gridSpan w:val="3"/>
          </w:tcPr>
          <w:p w14:paraId="7007C42D" w14:textId="77777777" w:rsidR="007F70E3" w:rsidRPr="00C87DA2" w:rsidRDefault="007F70E3" w:rsidP="00456CB0">
            <w:pPr>
              <w:spacing w:before="100" w:beforeAutospacing="1" w:after="100" w:afterAutospacing="1" w:line="360" w:lineRule="auto"/>
              <w:ind w:firstLine="300"/>
              <w:jc w:val="center"/>
              <w:rPr>
                <w:b/>
                <w:bCs/>
              </w:rPr>
            </w:pPr>
            <w:r w:rsidRPr="00C87DA2">
              <w:rPr>
                <w:b/>
                <w:bCs/>
              </w:rPr>
              <w:t>VII. Tiesību akta projekta izpildes nodrošināšana un tās ietekme uz institūcijām</w:t>
            </w:r>
          </w:p>
        </w:tc>
      </w:tr>
      <w:tr w:rsidR="007F70E3" w:rsidRPr="00C87DA2" w14:paraId="4452BF99" w14:textId="77777777" w:rsidTr="00456CB0">
        <w:trPr>
          <w:trHeight w:val="420"/>
        </w:trPr>
        <w:tc>
          <w:tcPr>
            <w:tcW w:w="245" w:type="pct"/>
          </w:tcPr>
          <w:p w14:paraId="497D88F1" w14:textId="77777777" w:rsidR="007F70E3" w:rsidRPr="00C87DA2" w:rsidRDefault="007F70E3" w:rsidP="00456CB0">
            <w:r w:rsidRPr="00C87DA2">
              <w:t>1.</w:t>
            </w:r>
          </w:p>
        </w:tc>
        <w:tc>
          <w:tcPr>
            <w:tcW w:w="1868" w:type="pct"/>
          </w:tcPr>
          <w:p w14:paraId="6FFB53B3" w14:textId="77777777" w:rsidR="007F70E3" w:rsidRPr="00C87DA2" w:rsidRDefault="007F70E3" w:rsidP="00456CB0">
            <w:r w:rsidRPr="00C87DA2">
              <w:t>Projekta izpildē iesaistītās institūcijas</w:t>
            </w:r>
          </w:p>
        </w:tc>
        <w:tc>
          <w:tcPr>
            <w:tcW w:w="2887" w:type="pct"/>
          </w:tcPr>
          <w:p w14:paraId="17C6E52D" w14:textId="77777777" w:rsidR="007F70E3" w:rsidRPr="00C87DA2" w:rsidRDefault="00306658" w:rsidP="00306658">
            <w:pPr>
              <w:jc w:val="both"/>
              <w:rPr>
                <w:lang w:eastAsia="en-US"/>
              </w:rPr>
            </w:pPr>
            <w:r w:rsidRPr="00C87DA2">
              <w:rPr>
                <w:lang w:eastAsia="en-US"/>
              </w:rPr>
              <w:t xml:space="preserve">Lauku atbalsta dienests </w:t>
            </w:r>
            <w:r w:rsidR="00B604C1" w:rsidRPr="00C87DA2">
              <w:rPr>
                <w:lang w:eastAsia="en-US"/>
              </w:rPr>
              <w:t>un</w:t>
            </w:r>
            <w:r w:rsidR="001C1869" w:rsidRPr="00C87DA2">
              <w:rPr>
                <w:lang w:eastAsia="en-US"/>
              </w:rPr>
              <w:t xml:space="preserve"> Lauksaimniecības datu centrs</w:t>
            </w:r>
            <w:r w:rsidR="007F70E3" w:rsidRPr="00C87DA2">
              <w:rPr>
                <w:lang w:eastAsia="en-US"/>
              </w:rPr>
              <w:t xml:space="preserve"> </w:t>
            </w:r>
          </w:p>
        </w:tc>
      </w:tr>
      <w:tr w:rsidR="007F70E3" w:rsidRPr="00C87DA2" w14:paraId="24712FA8" w14:textId="77777777" w:rsidTr="00456CB0">
        <w:trPr>
          <w:trHeight w:val="450"/>
        </w:trPr>
        <w:tc>
          <w:tcPr>
            <w:tcW w:w="245" w:type="pct"/>
          </w:tcPr>
          <w:p w14:paraId="358D18AA" w14:textId="77777777" w:rsidR="007F70E3" w:rsidRPr="00C87DA2" w:rsidRDefault="007F70E3" w:rsidP="00456CB0">
            <w:r w:rsidRPr="00C87DA2">
              <w:t>2.</w:t>
            </w:r>
          </w:p>
        </w:tc>
        <w:tc>
          <w:tcPr>
            <w:tcW w:w="1868" w:type="pct"/>
          </w:tcPr>
          <w:p w14:paraId="00F80190" w14:textId="77777777" w:rsidR="007F70E3" w:rsidRPr="00C87DA2" w:rsidRDefault="007F70E3" w:rsidP="00456CB0">
            <w:r w:rsidRPr="00C87DA2">
              <w:t xml:space="preserve">Projekta izpildes ietekme uz pārvaldes funkcijām un </w:t>
            </w:r>
            <w:r w:rsidRPr="00C87DA2">
              <w:lastRenderedPageBreak/>
              <w:t>institucionālo struktūru. Jaunu institūciju izveide, esošu institūciju likvidācija vai reorganizācija, to ietekme uz institūcijas cilvēkresursiem</w:t>
            </w:r>
          </w:p>
        </w:tc>
        <w:tc>
          <w:tcPr>
            <w:tcW w:w="2887" w:type="pct"/>
          </w:tcPr>
          <w:p w14:paraId="45608F95" w14:textId="77777777" w:rsidR="007F70E3" w:rsidRPr="00C87DA2" w:rsidRDefault="001C1869" w:rsidP="001C1869">
            <w:pPr>
              <w:jc w:val="both"/>
            </w:pPr>
            <w:r w:rsidRPr="00C87DA2">
              <w:rPr>
                <w:lang w:eastAsia="en-US"/>
              </w:rPr>
              <w:lastRenderedPageBreak/>
              <w:t xml:space="preserve">Projekts šo jomu neskar. </w:t>
            </w:r>
            <w:r w:rsidRPr="00C87DA2">
              <w:t>Jaunas institūcijas netiks izveidotas</w:t>
            </w:r>
            <w:r w:rsidR="00BB7EB7">
              <w:t>,</w:t>
            </w:r>
            <w:r w:rsidRPr="00C87DA2">
              <w:t xml:space="preserve"> un esošās institūcijas netiks likvidētas vai </w:t>
            </w:r>
            <w:r w:rsidRPr="00C87DA2">
              <w:lastRenderedPageBreak/>
              <w:t>reorganizētas. Projekta izpilde tiks nodrošināta ar pašreizējiem cilvēkresursiem.</w:t>
            </w:r>
          </w:p>
        </w:tc>
      </w:tr>
      <w:tr w:rsidR="007F70E3" w:rsidRPr="00C87DA2" w14:paraId="4BB4D483" w14:textId="77777777" w:rsidTr="00456CB0">
        <w:trPr>
          <w:trHeight w:val="390"/>
        </w:trPr>
        <w:tc>
          <w:tcPr>
            <w:tcW w:w="245" w:type="pct"/>
          </w:tcPr>
          <w:p w14:paraId="253E0DE2" w14:textId="77777777" w:rsidR="007F70E3" w:rsidRPr="00C87DA2" w:rsidRDefault="007F70E3" w:rsidP="00456CB0">
            <w:r w:rsidRPr="00C87DA2">
              <w:lastRenderedPageBreak/>
              <w:t>3.</w:t>
            </w:r>
          </w:p>
        </w:tc>
        <w:tc>
          <w:tcPr>
            <w:tcW w:w="1868" w:type="pct"/>
          </w:tcPr>
          <w:p w14:paraId="58A76660" w14:textId="77777777" w:rsidR="007F70E3" w:rsidRPr="00C87DA2" w:rsidRDefault="007F70E3" w:rsidP="00456CB0">
            <w:r w:rsidRPr="00C87DA2">
              <w:t>Cita informācija</w:t>
            </w:r>
          </w:p>
        </w:tc>
        <w:tc>
          <w:tcPr>
            <w:tcW w:w="2887" w:type="pct"/>
          </w:tcPr>
          <w:p w14:paraId="290F5176" w14:textId="77777777" w:rsidR="007F70E3" w:rsidRPr="00C87DA2" w:rsidRDefault="007F70E3" w:rsidP="00456CB0">
            <w:pPr>
              <w:spacing w:before="100" w:beforeAutospacing="1" w:after="100" w:afterAutospacing="1" w:line="360" w:lineRule="auto"/>
            </w:pPr>
            <w:r w:rsidRPr="00C87DA2">
              <w:t>Nav.</w:t>
            </w:r>
          </w:p>
        </w:tc>
      </w:tr>
    </w:tbl>
    <w:p w14:paraId="73498BB7" w14:textId="77777777" w:rsidR="008D3278" w:rsidRPr="00C87DA2" w:rsidRDefault="00571B0C" w:rsidP="008D3278">
      <w:pPr>
        <w:jc w:val="both"/>
        <w:rPr>
          <w:sz w:val="28"/>
          <w:szCs w:val="28"/>
          <w:lang w:eastAsia="en-US"/>
        </w:rPr>
      </w:pPr>
      <w:r w:rsidRPr="00C87DA2">
        <w:t>Anotācijas IV sadaļa –  p</w:t>
      </w:r>
      <w:r w:rsidRPr="00C87DA2">
        <w:rPr>
          <w:bCs/>
        </w:rPr>
        <w:t>rojekts šo jomu neskar.</w:t>
      </w:r>
    </w:p>
    <w:p w14:paraId="6781DB6C" w14:textId="77777777" w:rsidR="00690920" w:rsidRPr="00C87DA2" w:rsidRDefault="00690920" w:rsidP="00B03BF9">
      <w:pPr>
        <w:tabs>
          <w:tab w:val="left" w:pos="8080"/>
        </w:tabs>
        <w:jc w:val="both"/>
        <w:rPr>
          <w:lang w:eastAsia="en-US"/>
        </w:rPr>
      </w:pPr>
    </w:p>
    <w:p w14:paraId="4EBDC9BE" w14:textId="77777777" w:rsidR="00690920" w:rsidRPr="00C87DA2" w:rsidRDefault="00690920" w:rsidP="00B03BF9">
      <w:pPr>
        <w:tabs>
          <w:tab w:val="left" w:pos="8080"/>
        </w:tabs>
        <w:jc w:val="both"/>
        <w:rPr>
          <w:lang w:eastAsia="en-US"/>
        </w:rPr>
      </w:pPr>
    </w:p>
    <w:p w14:paraId="61F165F2" w14:textId="77777777" w:rsidR="001C72F1" w:rsidRPr="00C87DA2" w:rsidRDefault="007F70E3" w:rsidP="00B03BF9">
      <w:pPr>
        <w:tabs>
          <w:tab w:val="left" w:pos="8080"/>
        </w:tabs>
        <w:jc w:val="both"/>
        <w:rPr>
          <w:lang w:eastAsia="en-US"/>
        </w:rPr>
      </w:pPr>
      <w:r w:rsidRPr="00C87DA2">
        <w:rPr>
          <w:lang w:eastAsia="en-US"/>
        </w:rPr>
        <w:t xml:space="preserve">Zemkopības ministrs </w:t>
      </w:r>
      <w:r w:rsidRPr="00C87DA2">
        <w:rPr>
          <w:lang w:eastAsia="en-US"/>
        </w:rPr>
        <w:tab/>
        <w:t>J.Dūklavs</w:t>
      </w:r>
      <w:bookmarkStart w:id="5" w:name="OLE_LINK5"/>
      <w:bookmarkStart w:id="6" w:name="OLE_LINK6"/>
    </w:p>
    <w:p w14:paraId="7FBA8108" w14:textId="77777777" w:rsidR="000F61AD" w:rsidRDefault="000F61AD" w:rsidP="00394A21">
      <w:pPr>
        <w:jc w:val="both"/>
        <w:rPr>
          <w:sz w:val="20"/>
          <w:szCs w:val="20"/>
          <w:lang w:eastAsia="en-US"/>
        </w:rPr>
      </w:pPr>
    </w:p>
    <w:p w14:paraId="54B45CB8" w14:textId="77777777" w:rsidR="00D94BF2" w:rsidRDefault="00D94BF2" w:rsidP="00394A21">
      <w:pPr>
        <w:jc w:val="both"/>
        <w:rPr>
          <w:sz w:val="20"/>
          <w:szCs w:val="20"/>
          <w:lang w:eastAsia="en-US"/>
        </w:rPr>
      </w:pPr>
    </w:p>
    <w:p w14:paraId="2BB94890" w14:textId="77777777" w:rsidR="00A231FD" w:rsidRDefault="00A231FD" w:rsidP="00394A21">
      <w:pPr>
        <w:jc w:val="both"/>
        <w:rPr>
          <w:sz w:val="20"/>
          <w:szCs w:val="20"/>
          <w:lang w:eastAsia="en-US"/>
        </w:rPr>
      </w:pPr>
    </w:p>
    <w:p w14:paraId="7E21994C" w14:textId="77777777" w:rsidR="00A231FD" w:rsidRDefault="00A231FD" w:rsidP="00394A21">
      <w:pPr>
        <w:jc w:val="both"/>
        <w:rPr>
          <w:sz w:val="20"/>
          <w:szCs w:val="20"/>
          <w:lang w:eastAsia="en-US"/>
        </w:rPr>
      </w:pPr>
    </w:p>
    <w:p w14:paraId="6A02E268" w14:textId="77777777" w:rsidR="00A231FD" w:rsidRDefault="00A231FD" w:rsidP="00394A21">
      <w:pPr>
        <w:jc w:val="both"/>
        <w:rPr>
          <w:sz w:val="20"/>
          <w:szCs w:val="20"/>
          <w:lang w:eastAsia="en-US"/>
        </w:rPr>
      </w:pPr>
    </w:p>
    <w:p w14:paraId="0BB49BE8" w14:textId="77777777" w:rsidR="00A231FD" w:rsidRDefault="00A231FD" w:rsidP="00394A21">
      <w:pPr>
        <w:jc w:val="both"/>
        <w:rPr>
          <w:sz w:val="20"/>
          <w:szCs w:val="20"/>
          <w:lang w:eastAsia="en-US"/>
        </w:rPr>
      </w:pPr>
    </w:p>
    <w:p w14:paraId="2ACDCAE1" w14:textId="77777777" w:rsidR="00A231FD" w:rsidRDefault="00A231FD" w:rsidP="00394A21">
      <w:pPr>
        <w:jc w:val="both"/>
        <w:rPr>
          <w:sz w:val="20"/>
          <w:szCs w:val="20"/>
          <w:lang w:eastAsia="en-US"/>
        </w:rPr>
      </w:pPr>
    </w:p>
    <w:p w14:paraId="33ECEB09" w14:textId="77777777" w:rsidR="00A231FD" w:rsidRDefault="00A231FD" w:rsidP="00394A21">
      <w:pPr>
        <w:jc w:val="both"/>
        <w:rPr>
          <w:sz w:val="20"/>
          <w:szCs w:val="20"/>
          <w:lang w:eastAsia="en-US"/>
        </w:rPr>
      </w:pPr>
    </w:p>
    <w:p w14:paraId="2301952F" w14:textId="77777777" w:rsidR="00A231FD" w:rsidRDefault="00A231FD" w:rsidP="00394A21">
      <w:pPr>
        <w:jc w:val="both"/>
        <w:rPr>
          <w:sz w:val="20"/>
          <w:szCs w:val="20"/>
          <w:lang w:eastAsia="en-US"/>
        </w:rPr>
      </w:pPr>
    </w:p>
    <w:p w14:paraId="0EC4E88B" w14:textId="77777777" w:rsidR="00A231FD" w:rsidRDefault="00A231FD" w:rsidP="00394A21">
      <w:pPr>
        <w:jc w:val="both"/>
        <w:rPr>
          <w:sz w:val="20"/>
          <w:szCs w:val="20"/>
          <w:lang w:eastAsia="en-US"/>
        </w:rPr>
      </w:pPr>
    </w:p>
    <w:p w14:paraId="3319E660" w14:textId="77777777" w:rsidR="00A231FD" w:rsidRDefault="00A231FD" w:rsidP="00394A21">
      <w:pPr>
        <w:jc w:val="both"/>
        <w:rPr>
          <w:sz w:val="20"/>
          <w:szCs w:val="20"/>
          <w:lang w:eastAsia="en-US"/>
        </w:rPr>
      </w:pPr>
    </w:p>
    <w:p w14:paraId="03A7CE77" w14:textId="77777777" w:rsidR="00A231FD" w:rsidRDefault="00A231FD" w:rsidP="00394A21">
      <w:pPr>
        <w:jc w:val="both"/>
        <w:rPr>
          <w:sz w:val="20"/>
          <w:szCs w:val="20"/>
          <w:lang w:eastAsia="en-US"/>
        </w:rPr>
      </w:pPr>
    </w:p>
    <w:p w14:paraId="57A859AF" w14:textId="77777777" w:rsidR="00A231FD" w:rsidRDefault="00A231FD" w:rsidP="00394A21">
      <w:pPr>
        <w:jc w:val="both"/>
        <w:rPr>
          <w:sz w:val="20"/>
          <w:szCs w:val="20"/>
          <w:lang w:eastAsia="en-US"/>
        </w:rPr>
      </w:pPr>
    </w:p>
    <w:p w14:paraId="70858017" w14:textId="77777777" w:rsidR="00A231FD" w:rsidRDefault="00A231FD" w:rsidP="00394A21">
      <w:pPr>
        <w:jc w:val="both"/>
        <w:rPr>
          <w:sz w:val="20"/>
          <w:szCs w:val="20"/>
          <w:lang w:eastAsia="en-US"/>
        </w:rPr>
      </w:pPr>
    </w:p>
    <w:p w14:paraId="4C8FD350" w14:textId="77777777" w:rsidR="00A231FD" w:rsidRDefault="00A231FD" w:rsidP="00394A21">
      <w:pPr>
        <w:jc w:val="both"/>
        <w:rPr>
          <w:sz w:val="20"/>
          <w:szCs w:val="20"/>
          <w:lang w:eastAsia="en-US"/>
        </w:rPr>
      </w:pPr>
    </w:p>
    <w:p w14:paraId="44AA7FB3" w14:textId="77777777" w:rsidR="00A231FD" w:rsidRDefault="00A231FD" w:rsidP="00394A21">
      <w:pPr>
        <w:jc w:val="both"/>
        <w:rPr>
          <w:sz w:val="20"/>
          <w:szCs w:val="20"/>
          <w:lang w:eastAsia="en-US"/>
        </w:rPr>
      </w:pPr>
    </w:p>
    <w:p w14:paraId="5BF1D57C" w14:textId="77777777" w:rsidR="00A231FD" w:rsidRDefault="00A231FD" w:rsidP="00394A21">
      <w:pPr>
        <w:jc w:val="both"/>
        <w:rPr>
          <w:sz w:val="20"/>
          <w:szCs w:val="20"/>
          <w:lang w:eastAsia="en-US"/>
        </w:rPr>
      </w:pPr>
    </w:p>
    <w:p w14:paraId="6797DF9E" w14:textId="77777777" w:rsidR="00A231FD" w:rsidRDefault="00A231FD" w:rsidP="00394A21">
      <w:pPr>
        <w:jc w:val="both"/>
        <w:rPr>
          <w:sz w:val="20"/>
          <w:szCs w:val="20"/>
          <w:lang w:eastAsia="en-US"/>
        </w:rPr>
      </w:pPr>
    </w:p>
    <w:p w14:paraId="486AADFA" w14:textId="77777777" w:rsidR="00A231FD" w:rsidRDefault="00A231FD" w:rsidP="00394A21">
      <w:pPr>
        <w:jc w:val="both"/>
        <w:rPr>
          <w:sz w:val="20"/>
          <w:szCs w:val="20"/>
          <w:lang w:eastAsia="en-US"/>
        </w:rPr>
      </w:pPr>
    </w:p>
    <w:p w14:paraId="3FA13A25" w14:textId="77777777" w:rsidR="00A231FD" w:rsidRDefault="00A231FD" w:rsidP="00394A21">
      <w:pPr>
        <w:jc w:val="both"/>
        <w:rPr>
          <w:sz w:val="20"/>
          <w:szCs w:val="20"/>
          <w:lang w:eastAsia="en-US"/>
        </w:rPr>
      </w:pPr>
    </w:p>
    <w:p w14:paraId="27406D9E" w14:textId="77777777" w:rsidR="00A231FD" w:rsidRDefault="00A231FD" w:rsidP="00394A21">
      <w:pPr>
        <w:jc w:val="both"/>
        <w:rPr>
          <w:sz w:val="20"/>
          <w:szCs w:val="20"/>
          <w:lang w:eastAsia="en-US"/>
        </w:rPr>
      </w:pPr>
    </w:p>
    <w:p w14:paraId="6DBA0782" w14:textId="77777777" w:rsidR="00A231FD" w:rsidRDefault="00A231FD" w:rsidP="00394A21">
      <w:pPr>
        <w:jc w:val="both"/>
        <w:rPr>
          <w:sz w:val="20"/>
          <w:szCs w:val="20"/>
          <w:lang w:eastAsia="en-US"/>
        </w:rPr>
      </w:pPr>
    </w:p>
    <w:p w14:paraId="14BF0083" w14:textId="77777777" w:rsidR="00A231FD" w:rsidRDefault="00A231FD" w:rsidP="00394A21">
      <w:pPr>
        <w:jc w:val="both"/>
        <w:rPr>
          <w:sz w:val="20"/>
          <w:szCs w:val="20"/>
          <w:lang w:eastAsia="en-US"/>
        </w:rPr>
      </w:pPr>
    </w:p>
    <w:p w14:paraId="7E8365D9" w14:textId="77777777" w:rsidR="00A231FD" w:rsidRDefault="00A231FD" w:rsidP="00394A21">
      <w:pPr>
        <w:jc w:val="both"/>
        <w:rPr>
          <w:sz w:val="20"/>
          <w:szCs w:val="20"/>
          <w:lang w:eastAsia="en-US"/>
        </w:rPr>
      </w:pPr>
    </w:p>
    <w:p w14:paraId="11E721E2" w14:textId="77777777" w:rsidR="00A231FD" w:rsidRDefault="00A231FD" w:rsidP="00394A21">
      <w:pPr>
        <w:jc w:val="both"/>
        <w:rPr>
          <w:sz w:val="20"/>
          <w:szCs w:val="20"/>
          <w:lang w:eastAsia="en-US"/>
        </w:rPr>
      </w:pPr>
    </w:p>
    <w:p w14:paraId="6B0B8BE1" w14:textId="77777777" w:rsidR="00A231FD" w:rsidRDefault="00A231FD" w:rsidP="00394A21">
      <w:pPr>
        <w:jc w:val="both"/>
        <w:rPr>
          <w:sz w:val="20"/>
          <w:szCs w:val="20"/>
          <w:lang w:eastAsia="en-US"/>
        </w:rPr>
      </w:pPr>
    </w:p>
    <w:p w14:paraId="35021A18" w14:textId="77777777" w:rsidR="00A231FD" w:rsidRDefault="00A231FD" w:rsidP="00394A21">
      <w:pPr>
        <w:jc w:val="both"/>
        <w:rPr>
          <w:sz w:val="20"/>
          <w:szCs w:val="20"/>
          <w:lang w:eastAsia="en-US"/>
        </w:rPr>
      </w:pPr>
    </w:p>
    <w:p w14:paraId="2CAFDF2A" w14:textId="77777777" w:rsidR="00A231FD" w:rsidRDefault="00A231FD" w:rsidP="00394A21">
      <w:pPr>
        <w:jc w:val="both"/>
        <w:rPr>
          <w:sz w:val="20"/>
          <w:szCs w:val="20"/>
          <w:lang w:eastAsia="en-US"/>
        </w:rPr>
      </w:pPr>
    </w:p>
    <w:p w14:paraId="72111CEE" w14:textId="77777777" w:rsidR="00A231FD" w:rsidRDefault="00A231FD" w:rsidP="00394A21">
      <w:pPr>
        <w:jc w:val="both"/>
        <w:rPr>
          <w:sz w:val="20"/>
          <w:szCs w:val="20"/>
          <w:lang w:eastAsia="en-US"/>
        </w:rPr>
      </w:pPr>
    </w:p>
    <w:p w14:paraId="158FCC07" w14:textId="77777777" w:rsidR="00A231FD" w:rsidRDefault="00A231FD" w:rsidP="00394A21">
      <w:pPr>
        <w:jc w:val="both"/>
        <w:rPr>
          <w:sz w:val="20"/>
          <w:szCs w:val="20"/>
          <w:lang w:eastAsia="en-US"/>
        </w:rPr>
      </w:pPr>
    </w:p>
    <w:p w14:paraId="4892DBDE" w14:textId="77777777" w:rsidR="00A231FD" w:rsidRDefault="00A231FD" w:rsidP="00394A21">
      <w:pPr>
        <w:jc w:val="both"/>
        <w:rPr>
          <w:sz w:val="20"/>
          <w:szCs w:val="20"/>
          <w:lang w:eastAsia="en-US"/>
        </w:rPr>
      </w:pPr>
    </w:p>
    <w:p w14:paraId="4509BDBF" w14:textId="77777777" w:rsidR="00A231FD" w:rsidRDefault="00A231FD" w:rsidP="00394A21">
      <w:pPr>
        <w:jc w:val="both"/>
        <w:rPr>
          <w:sz w:val="20"/>
          <w:szCs w:val="20"/>
          <w:lang w:eastAsia="en-US"/>
        </w:rPr>
      </w:pPr>
    </w:p>
    <w:p w14:paraId="21C12A05" w14:textId="77777777" w:rsidR="00A231FD" w:rsidRDefault="00A231FD" w:rsidP="00394A21">
      <w:pPr>
        <w:jc w:val="both"/>
        <w:rPr>
          <w:sz w:val="20"/>
          <w:szCs w:val="20"/>
          <w:lang w:eastAsia="en-US"/>
        </w:rPr>
      </w:pPr>
    </w:p>
    <w:p w14:paraId="0A75CF4C" w14:textId="77777777" w:rsidR="00A231FD" w:rsidRDefault="00A231FD" w:rsidP="00394A21">
      <w:pPr>
        <w:jc w:val="both"/>
        <w:rPr>
          <w:sz w:val="20"/>
          <w:szCs w:val="20"/>
          <w:lang w:eastAsia="en-US"/>
        </w:rPr>
      </w:pPr>
    </w:p>
    <w:p w14:paraId="649E430A" w14:textId="77777777" w:rsidR="00A231FD" w:rsidRDefault="00A231FD" w:rsidP="00394A21">
      <w:pPr>
        <w:jc w:val="both"/>
        <w:rPr>
          <w:sz w:val="20"/>
          <w:szCs w:val="20"/>
          <w:lang w:eastAsia="en-US"/>
        </w:rPr>
      </w:pPr>
    </w:p>
    <w:p w14:paraId="267ECBD3" w14:textId="77777777" w:rsidR="00A231FD" w:rsidRDefault="00A231FD" w:rsidP="00394A21">
      <w:pPr>
        <w:jc w:val="both"/>
        <w:rPr>
          <w:sz w:val="20"/>
          <w:szCs w:val="20"/>
          <w:lang w:eastAsia="en-US"/>
        </w:rPr>
      </w:pPr>
    </w:p>
    <w:p w14:paraId="695E146C" w14:textId="77777777" w:rsidR="00A231FD" w:rsidRDefault="00A231FD" w:rsidP="00394A21">
      <w:pPr>
        <w:jc w:val="both"/>
        <w:rPr>
          <w:sz w:val="20"/>
          <w:szCs w:val="20"/>
          <w:lang w:eastAsia="en-US"/>
        </w:rPr>
      </w:pPr>
    </w:p>
    <w:p w14:paraId="59426AF8" w14:textId="77777777" w:rsidR="00A231FD" w:rsidRDefault="00A231FD" w:rsidP="00394A21">
      <w:pPr>
        <w:jc w:val="both"/>
        <w:rPr>
          <w:sz w:val="20"/>
          <w:szCs w:val="20"/>
          <w:lang w:eastAsia="en-US"/>
        </w:rPr>
      </w:pPr>
    </w:p>
    <w:p w14:paraId="640E8FF9" w14:textId="77777777" w:rsidR="00A231FD" w:rsidRDefault="00A231FD" w:rsidP="00394A21">
      <w:pPr>
        <w:jc w:val="both"/>
        <w:rPr>
          <w:sz w:val="20"/>
          <w:szCs w:val="20"/>
          <w:lang w:eastAsia="en-US"/>
        </w:rPr>
      </w:pPr>
    </w:p>
    <w:p w14:paraId="1DB6222B" w14:textId="77777777" w:rsidR="00A231FD" w:rsidRDefault="00A231FD" w:rsidP="00394A21">
      <w:pPr>
        <w:jc w:val="both"/>
        <w:rPr>
          <w:sz w:val="20"/>
          <w:szCs w:val="20"/>
          <w:lang w:eastAsia="en-US"/>
        </w:rPr>
      </w:pPr>
    </w:p>
    <w:p w14:paraId="6F4995DF" w14:textId="77777777" w:rsidR="00A231FD" w:rsidRDefault="00A231FD" w:rsidP="00394A21">
      <w:pPr>
        <w:jc w:val="both"/>
        <w:rPr>
          <w:sz w:val="20"/>
          <w:szCs w:val="20"/>
          <w:lang w:eastAsia="en-US"/>
        </w:rPr>
      </w:pPr>
    </w:p>
    <w:p w14:paraId="75078C70" w14:textId="77777777" w:rsidR="00A231FD" w:rsidRDefault="00A231FD" w:rsidP="00394A21">
      <w:pPr>
        <w:jc w:val="both"/>
        <w:rPr>
          <w:sz w:val="20"/>
          <w:szCs w:val="20"/>
          <w:lang w:eastAsia="en-US"/>
        </w:rPr>
      </w:pPr>
    </w:p>
    <w:p w14:paraId="3DA38B6A" w14:textId="77777777" w:rsidR="00A231FD" w:rsidRDefault="00A231FD" w:rsidP="00394A21">
      <w:pPr>
        <w:jc w:val="both"/>
        <w:rPr>
          <w:sz w:val="20"/>
          <w:szCs w:val="20"/>
          <w:lang w:eastAsia="en-US"/>
        </w:rPr>
      </w:pPr>
    </w:p>
    <w:p w14:paraId="46283C8C" w14:textId="77777777" w:rsidR="00A231FD" w:rsidRPr="00C87DA2" w:rsidRDefault="00A231FD" w:rsidP="00394A21">
      <w:pPr>
        <w:jc w:val="both"/>
        <w:rPr>
          <w:sz w:val="20"/>
          <w:szCs w:val="20"/>
          <w:lang w:eastAsia="en-US"/>
        </w:rPr>
      </w:pPr>
    </w:p>
    <w:bookmarkEnd w:id="5"/>
    <w:bookmarkEnd w:id="6"/>
    <w:p w14:paraId="08097902" w14:textId="77777777" w:rsidR="00A231FD" w:rsidRDefault="00A231FD" w:rsidP="00967CAC">
      <w:pPr>
        <w:jc w:val="both"/>
        <w:rPr>
          <w:sz w:val="20"/>
          <w:szCs w:val="20"/>
          <w:lang w:eastAsia="en-US"/>
        </w:rPr>
      </w:pPr>
      <w:r>
        <w:rPr>
          <w:sz w:val="20"/>
          <w:szCs w:val="20"/>
          <w:lang w:eastAsia="en-US"/>
        </w:rPr>
        <w:t>10.03.2016. 10:11</w:t>
      </w:r>
    </w:p>
    <w:p w14:paraId="43193A64" w14:textId="77777777" w:rsidR="00A231FD" w:rsidRDefault="00A231FD" w:rsidP="00967CAC">
      <w:pPr>
        <w:jc w:val="both"/>
        <w:rPr>
          <w:sz w:val="20"/>
        </w:rPr>
      </w:pPr>
      <w:r>
        <w:rPr>
          <w:sz w:val="20"/>
        </w:rPr>
        <w:fldChar w:fldCharType="begin"/>
      </w:r>
      <w:r>
        <w:rPr>
          <w:sz w:val="20"/>
        </w:rPr>
        <w:instrText xml:space="preserve"> NUMWORDS   \* MERGEFORMAT </w:instrText>
      </w:r>
      <w:r>
        <w:rPr>
          <w:sz w:val="20"/>
        </w:rPr>
        <w:fldChar w:fldCharType="separate"/>
      </w:r>
      <w:r>
        <w:rPr>
          <w:noProof/>
          <w:sz w:val="20"/>
        </w:rPr>
        <w:t>4719</w:t>
      </w:r>
      <w:r>
        <w:rPr>
          <w:sz w:val="20"/>
        </w:rPr>
        <w:fldChar w:fldCharType="end"/>
      </w:r>
    </w:p>
    <w:p w14:paraId="4271D22A" w14:textId="39E1E2FF" w:rsidR="00967CAC" w:rsidRPr="00C87DA2" w:rsidRDefault="00967CAC" w:rsidP="00967CAC">
      <w:pPr>
        <w:jc w:val="both"/>
        <w:rPr>
          <w:sz w:val="20"/>
          <w:szCs w:val="20"/>
        </w:rPr>
      </w:pPr>
      <w:bookmarkStart w:id="7" w:name="_GoBack"/>
      <w:bookmarkEnd w:id="7"/>
      <w:r w:rsidRPr="00C87DA2">
        <w:rPr>
          <w:sz w:val="20"/>
          <w:szCs w:val="20"/>
        </w:rPr>
        <w:t xml:space="preserve">Orlovskis </w:t>
      </w:r>
    </w:p>
    <w:p w14:paraId="2398723F" w14:textId="77777777" w:rsidR="007F70E3" w:rsidRPr="00E25E8D" w:rsidRDefault="00967CAC" w:rsidP="00967CAC">
      <w:pPr>
        <w:jc w:val="both"/>
        <w:rPr>
          <w:sz w:val="20"/>
          <w:szCs w:val="20"/>
        </w:rPr>
      </w:pPr>
      <w:r w:rsidRPr="00C87DA2">
        <w:rPr>
          <w:sz w:val="20"/>
          <w:szCs w:val="20"/>
        </w:rPr>
        <w:t>67027370, Andris.Orlovskis@zm.gov.lv</w:t>
      </w:r>
    </w:p>
    <w:sectPr w:rsidR="007F70E3" w:rsidRPr="00E25E8D" w:rsidSect="00A231FD">
      <w:headerReference w:type="default" r:id="rId8"/>
      <w:footerReference w:type="default" r:id="rId9"/>
      <w:footerReference w:type="first" r:id="rId10"/>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5F0E5" w14:textId="77777777" w:rsidR="006C1147" w:rsidRDefault="006C1147"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14:paraId="15A98ABB" w14:textId="77777777" w:rsidR="006C1147" w:rsidRDefault="006C1147"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0FF0" w14:textId="77777777" w:rsidR="005224C0" w:rsidRPr="00E25E8D" w:rsidRDefault="005224C0" w:rsidP="00B02542">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AE423E" w:rsidRPr="00AE423E">
      <w:rPr>
        <w:rFonts w:ascii="Times New Roman" w:eastAsia="Times New Roman" w:hAnsi="Times New Roman"/>
        <w:noProof/>
        <w:sz w:val="20"/>
        <w:szCs w:val="24"/>
        <w:lang w:eastAsia="lv-LV"/>
      </w:rPr>
      <w:t>ZMAnot_100316</w:t>
    </w:r>
    <w:r w:rsidRPr="00887CE5">
      <w:rPr>
        <w:rFonts w:ascii="Times New Roman" w:eastAsia="Times New Roman" w:hAnsi="Times New Roman"/>
        <w:noProof/>
        <w:sz w:val="20"/>
        <w:szCs w:val="20"/>
        <w:lang w:eastAsia="lv-LV"/>
      </w:rPr>
      <w:fldChar w:fldCharType="end"/>
    </w:r>
    <w:r w:rsidRPr="00887CE5">
      <w:rPr>
        <w:rFonts w:ascii="Times New Roman" w:eastAsia="Times New Roman" w:hAnsi="Times New Roman"/>
        <w:sz w:val="20"/>
        <w:szCs w:val="24"/>
        <w:lang w:eastAsia="lv-LV"/>
      </w:rPr>
      <w:t>;</w:t>
    </w:r>
    <w:r w:rsidRPr="006B42E1">
      <w:rPr>
        <w:rFonts w:ascii="Times New Roman" w:hAnsi="Times New Roman"/>
        <w:sz w:val="20"/>
      </w:rPr>
      <w:t xml:space="preserve"> </w:t>
    </w:r>
    <w:r w:rsidRPr="00481C59">
      <w:rPr>
        <w:rFonts w:ascii="Times New Roman" w:hAnsi="Times New Roman"/>
        <w:sz w:val="20"/>
      </w:rPr>
      <w:t>Grozījum</w:t>
    </w:r>
    <w:r w:rsidRPr="00CD00B8">
      <w:rPr>
        <w:rFonts w:ascii="Times New Roman" w:hAnsi="Times New Roman"/>
        <w:sz w:val="20"/>
      </w:rPr>
      <w:t>i</w:t>
    </w:r>
    <w:r w:rsidRPr="00481C59">
      <w:rPr>
        <w:rFonts w:ascii="Times New Roman" w:hAnsi="Times New Roman"/>
        <w:sz w:val="20"/>
      </w:rPr>
      <w:t xml:space="preserve"> M</w:t>
    </w:r>
    <w:r w:rsidRPr="006B42E1">
      <w:rPr>
        <w:rFonts w:ascii="Times New Roman" w:hAnsi="Times New Roman"/>
        <w:sz w:val="20"/>
      </w:rPr>
      <w:t>inistru kabineta 201</w:t>
    </w:r>
    <w:r>
      <w:rPr>
        <w:rFonts w:ascii="Times New Roman" w:hAnsi="Times New Roman"/>
        <w:sz w:val="20"/>
      </w:rPr>
      <w:t>5</w:t>
    </w:r>
    <w:r w:rsidRPr="006B42E1">
      <w:rPr>
        <w:rFonts w:ascii="Times New Roman" w:hAnsi="Times New Roman"/>
        <w:sz w:val="20"/>
      </w:rPr>
      <w:t>. gada 1</w:t>
    </w:r>
    <w:r>
      <w:rPr>
        <w:rFonts w:ascii="Times New Roman" w:hAnsi="Times New Roman"/>
        <w:sz w:val="20"/>
      </w:rPr>
      <w:t>0</w:t>
    </w:r>
    <w:r w:rsidRPr="006B42E1">
      <w:rPr>
        <w:rFonts w:ascii="Times New Roman" w:hAnsi="Times New Roman"/>
        <w:sz w:val="20"/>
      </w:rPr>
      <w:t>. marta noteikumos Nr.1</w:t>
    </w:r>
    <w:r>
      <w:rPr>
        <w:rFonts w:ascii="Times New Roman" w:hAnsi="Times New Roman"/>
        <w:sz w:val="20"/>
      </w:rPr>
      <w:t>26</w:t>
    </w:r>
    <w:r w:rsidRPr="006B42E1">
      <w:rPr>
        <w:rFonts w:ascii="Times New Roman" w:hAnsi="Times New Roman"/>
        <w:sz w:val="20"/>
      </w:rPr>
      <w:t xml:space="preserve"> „</w:t>
    </w:r>
    <w:r>
      <w:rPr>
        <w:rFonts w:ascii="Times New Roman" w:hAnsi="Times New Roman"/>
        <w:sz w:val="20"/>
      </w:rPr>
      <w:t>Tiešo maksājumu piešķiršanas kārtība lauksaimniekiem</w:t>
    </w:r>
    <w:r w:rsidRPr="006B42E1">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9D61" w14:textId="77777777" w:rsidR="005224C0" w:rsidRPr="00E25E8D" w:rsidRDefault="005224C0" w:rsidP="00B02542">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AE423E" w:rsidRPr="00AE423E">
      <w:rPr>
        <w:rFonts w:ascii="Times New Roman" w:eastAsia="Times New Roman" w:hAnsi="Times New Roman"/>
        <w:noProof/>
        <w:sz w:val="20"/>
        <w:szCs w:val="24"/>
        <w:lang w:eastAsia="lv-LV"/>
      </w:rPr>
      <w:t>ZMAnot_100316</w:t>
    </w:r>
    <w:r w:rsidRPr="00887CE5">
      <w:rPr>
        <w:rFonts w:ascii="Times New Roman" w:eastAsia="Times New Roman" w:hAnsi="Times New Roman"/>
        <w:noProof/>
        <w:sz w:val="20"/>
        <w:szCs w:val="20"/>
        <w:lang w:eastAsia="lv-LV"/>
      </w:rPr>
      <w:fldChar w:fldCharType="end"/>
    </w:r>
    <w:r w:rsidRPr="006B42E1">
      <w:rPr>
        <w:rFonts w:ascii="Times New Roman" w:hAnsi="Times New Roman"/>
        <w:sz w:val="20"/>
      </w:rPr>
      <w:t xml:space="preserve">; </w:t>
    </w:r>
    <w:r w:rsidRPr="00481C59">
      <w:rPr>
        <w:rFonts w:ascii="Times New Roman" w:hAnsi="Times New Roman"/>
        <w:sz w:val="20"/>
      </w:rPr>
      <w:t>Grozījum</w:t>
    </w:r>
    <w:r w:rsidRPr="00CD00B8">
      <w:rPr>
        <w:rFonts w:ascii="Times New Roman" w:hAnsi="Times New Roman"/>
        <w:sz w:val="20"/>
      </w:rPr>
      <w:t>i</w:t>
    </w:r>
    <w:r w:rsidRPr="00481C59">
      <w:rPr>
        <w:rFonts w:ascii="Times New Roman" w:hAnsi="Times New Roman"/>
        <w:sz w:val="20"/>
      </w:rPr>
      <w:t xml:space="preserve"> M</w:t>
    </w:r>
    <w:r w:rsidRPr="006B42E1">
      <w:rPr>
        <w:rFonts w:ascii="Times New Roman" w:hAnsi="Times New Roman"/>
        <w:sz w:val="20"/>
      </w:rPr>
      <w:t>inistru kabineta 201</w:t>
    </w:r>
    <w:r>
      <w:rPr>
        <w:rFonts w:ascii="Times New Roman" w:hAnsi="Times New Roman"/>
        <w:sz w:val="20"/>
      </w:rPr>
      <w:t>5</w:t>
    </w:r>
    <w:r w:rsidRPr="006B42E1">
      <w:rPr>
        <w:rFonts w:ascii="Times New Roman" w:hAnsi="Times New Roman"/>
        <w:sz w:val="20"/>
      </w:rPr>
      <w:t>. gada 1</w:t>
    </w:r>
    <w:r>
      <w:rPr>
        <w:rFonts w:ascii="Times New Roman" w:hAnsi="Times New Roman"/>
        <w:sz w:val="20"/>
      </w:rPr>
      <w:t>0</w:t>
    </w:r>
    <w:r w:rsidRPr="006B42E1">
      <w:rPr>
        <w:rFonts w:ascii="Times New Roman" w:hAnsi="Times New Roman"/>
        <w:sz w:val="20"/>
      </w:rPr>
      <w:t>. marta noteikumos Nr.1</w:t>
    </w:r>
    <w:r>
      <w:rPr>
        <w:rFonts w:ascii="Times New Roman" w:hAnsi="Times New Roman"/>
        <w:sz w:val="20"/>
      </w:rPr>
      <w:t>26</w:t>
    </w:r>
    <w:r w:rsidRPr="006B42E1">
      <w:rPr>
        <w:rFonts w:ascii="Times New Roman" w:hAnsi="Times New Roman"/>
        <w:sz w:val="20"/>
      </w:rPr>
      <w:t xml:space="preserve"> „</w:t>
    </w:r>
    <w:r>
      <w:rPr>
        <w:rFonts w:ascii="Times New Roman" w:hAnsi="Times New Roman"/>
        <w:sz w:val="20"/>
      </w:rPr>
      <w:t>Tiešo maksājumu piešķiršanas kārtība lauksaimniekiem</w:t>
    </w:r>
    <w:r w:rsidRPr="006B42E1">
      <w:rP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F696" w14:textId="77777777" w:rsidR="006C1147" w:rsidRDefault="006C1147"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14:paraId="1CF99F48" w14:textId="77777777" w:rsidR="006C1147" w:rsidRDefault="006C1147"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A035" w14:textId="77777777" w:rsidR="005224C0" w:rsidRPr="006B42E1" w:rsidRDefault="005224C0"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A231FD">
      <w:rPr>
        <w:rFonts w:ascii="Times New Roman" w:hAnsi="Times New Roman"/>
        <w:noProof/>
        <w:sz w:val="24"/>
        <w:szCs w:val="24"/>
      </w:rPr>
      <w:t>14</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7D0"/>
    <w:multiLevelType w:val="hybridMultilevel"/>
    <w:tmpl w:val="ACF001B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800FE"/>
    <w:multiLevelType w:val="hybridMultilevel"/>
    <w:tmpl w:val="72E8B10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1CB53F2"/>
    <w:multiLevelType w:val="hybridMultilevel"/>
    <w:tmpl w:val="64A694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4B9D13B2"/>
    <w:multiLevelType w:val="hybridMultilevel"/>
    <w:tmpl w:val="8C02C4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2"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7"/>
  </w:num>
  <w:num w:numId="5">
    <w:abstractNumId w:val="15"/>
  </w:num>
  <w:num w:numId="6">
    <w:abstractNumId w:val="14"/>
  </w:num>
  <w:num w:numId="7">
    <w:abstractNumId w:val="5"/>
  </w:num>
  <w:num w:numId="8">
    <w:abstractNumId w:val="10"/>
  </w:num>
  <w:num w:numId="9">
    <w:abstractNumId w:val="12"/>
  </w:num>
  <w:num w:numId="10">
    <w:abstractNumId w:val="16"/>
  </w:num>
  <w:num w:numId="11">
    <w:abstractNumId w:val="6"/>
  </w:num>
  <w:num w:numId="12">
    <w:abstractNumId w:val="2"/>
  </w:num>
  <w:num w:numId="13">
    <w:abstractNumId w:val="13"/>
  </w:num>
  <w:num w:numId="14">
    <w:abstractNumId w:val="0"/>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5C93"/>
    <w:rsid w:val="0001372D"/>
    <w:rsid w:val="0001589D"/>
    <w:rsid w:val="000236C9"/>
    <w:rsid w:val="00025055"/>
    <w:rsid w:val="00033E73"/>
    <w:rsid w:val="000367D3"/>
    <w:rsid w:val="000429CB"/>
    <w:rsid w:val="000440CD"/>
    <w:rsid w:val="000454C9"/>
    <w:rsid w:val="0005387C"/>
    <w:rsid w:val="00053E8D"/>
    <w:rsid w:val="00055DD9"/>
    <w:rsid w:val="00061B55"/>
    <w:rsid w:val="000654A3"/>
    <w:rsid w:val="000660FC"/>
    <w:rsid w:val="000801E3"/>
    <w:rsid w:val="00083728"/>
    <w:rsid w:val="000933B1"/>
    <w:rsid w:val="000A2248"/>
    <w:rsid w:val="000A5E3C"/>
    <w:rsid w:val="000B0D94"/>
    <w:rsid w:val="000B76F8"/>
    <w:rsid w:val="000C0408"/>
    <w:rsid w:val="000D1A41"/>
    <w:rsid w:val="000D634C"/>
    <w:rsid w:val="000E2825"/>
    <w:rsid w:val="000F0996"/>
    <w:rsid w:val="000F1278"/>
    <w:rsid w:val="000F442A"/>
    <w:rsid w:val="000F61AD"/>
    <w:rsid w:val="000F7756"/>
    <w:rsid w:val="001003A4"/>
    <w:rsid w:val="001078E8"/>
    <w:rsid w:val="0011611D"/>
    <w:rsid w:val="00116422"/>
    <w:rsid w:val="001403CB"/>
    <w:rsid w:val="0014071E"/>
    <w:rsid w:val="00143814"/>
    <w:rsid w:val="00155754"/>
    <w:rsid w:val="00157B54"/>
    <w:rsid w:val="00166F70"/>
    <w:rsid w:val="0017063B"/>
    <w:rsid w:val="0018631E"/>
    <w:rsid w:val="00186A45"/>
    <w:rsid w:val="00187981"/>
    <w:rsid w:val="001929D2"/>
    <w:rsid w:val="001945C6"/>
    <w:rsid w:val="001A1965"/>
    <w:rsid w:val="001A2064"/>
    <w:rsid w:val="001A73AF"/>
    <w:rsid w:val="001B0EE3"/>
    <w:rsid w:val="001B15B9"/>
    <w:rsid w:val="001B654C"/>
    <w:rsid w:val="001C1869"/>
    <w:rsid w:val="001C42F1"/>
    <w:rsid w:val="001C72F1"/>
    <w:rsid w:val="001C740A"/>
    <w:rsid w:val="001D4122"/>
    <w:rsid w:val="001E1ABC"/>
    <w:rsid w:val="00203394"/>
    <w:rsid w:val="002046BC"/>
    <w:rsid w:val="0022707C"/>
    <w:rsid w:val="0023046D"/>
    <w:rsid w:val="00232AA2"/>
    <w:rsid w:val="002407C0"/>
    <w:rsid w:val="00241D18"/>
    <w:rsid w:val="002451F5"/>
    <w:rsid w:val="00250AE4"/>
    <w:rsid w:val="002576FA"/>
    <w:rsid w:val="0028030B"/>
    <w:rsid w:val="00282674"/>
    <w:rsid w:val="00284694"/>
    <w:rsid w:val="00286AD9"/>
    <w:rsid w:val="00294B7F"/>
    <w:rsid w:val="00296AF9"/>
    <w:rsid w:val="002A73B3"/>
    <w:rsid w:val="002B0F0D"/>
    <w:rsid w:val="002B55AA"/>
    <w:rsid w:val="002B779B"/>
    <w:rsid w:val="002D34BA"/>
    <w:rsid w:val="002E1961"/>
    <w:rsid w:val="002E377D"/>
    <w:rsid w:val="002E5342"/>
    <w:rsid w:val="002F17FD"/>
    <w:rsid w:val="00303AD0"/>
    <w:rsid w:val="00305A1F"/>
    <w:rsid w:val="00306658"/>
    <w:rsid w:val="003255F1"/>
    <w:rsid w:val="003272BE"/>
    <w:rsid w:val="003333F8"/>
    <w:rsid w:val="00340336"/>
    <w:rsid w:val="00341401"/>
    <w:rsid w:val="003468FD"/>
    <w:rsid w:val="003501D0"/>
    <w:rsid w:val="00351860"/>
    <w:rsid w:val="0035677F"/>
    <w:rsid w:val="00357D57"/>
    <w:rsid w:val="003629E9"/>
    <w:rsid w:val="003645AF"/>
    <w:rsid w:val="00373E33"/>
    <w:rsid w:val="003755B0"/>
    <w:rsid w:val="00377E6F"/>
    <w:rsid w:val="003934F5"/>
    <w:rsid w:val="00394A21"/>
    <w:rsid w:val="0039742A"/>
    <w:rsid w:val="003A00BB"/>
    <w:rsid w:val="003B2D76"/>
    <w:rsid w:val="003B480E"/>
    <w:rsid w:val="003C096D"/>
    <w:rsid w:val="003C19BF"/>
    <w:rsid w:val="003C2A39"/>
    <w:rsid w:val="003C61B2"/>
    <w:rsid w:val="003C7418"/>
    <w:rsid w:val="003D35E6"/>
    <w:rsid w:val="003E0E8A"/>
    <w:rsid w:val="003E4FF0"/>
    <w:rsid w:val="003E6898"/>
    <w:rsid w:val="00412317"/>
    <w:rsid w:val="00413845"/>
    <w:rsid w:val="00414C2F"/>
    <w:rsid w:val="004167B3"/>
    <w:rsid w:val="00430A23"/>
    <w:rsid w:val="004329A7"/>
    <w:rsid w:val="0043503F"/>
    <w:rsid w:val="00435C2B"/>
    <w:rsid w:val="0043710A"/>
    <w:rsid w:val="00437AF9"/>
    <w:rsid w:val="00437F60"/>
    <w:rsid w:val="00443FC3"/>
    <w:rsid w:val="00454AC9"/>
    <w:rsid w:val="00456CB0"/>
    <w:rsid w:val="00461DC8"/>
    <w:rsid w:val="00472BD9"/>
    <w:rsid w:val="00474A92"/>
    <w:rsid w:val="00480F40"/>
    <w:rsid w:val="0048169E"/>
    <w:rsid w:val="00481C59"/>
    <w:rsid w:val="004854E8"/>
    <w:rsid w:val="00485F38"/>
    <w:rsid w:val="00486CF4"/>
    <w:rsid w:val="00492BA7"/>
    <w:rsid w:val="00495E0F"/>
    <w:rsid w:val="00496D42"/>
    <w:rsid w:val="004976CD"/>
    <w:rsid w:val="004A0C7F"/>
    <w:rsid w:val="004B4165"/>
    <w:rsid w:val="004B65A7"/>
    <w:rsid w:val="004D259F"/>
    <w:rsid w:val="004D37C9"/>
    <w:rsid w:val="004D5FC5"/>
    <w:rsid w:val="004D6D77"/>
    <w:rsid w:val="004E56E3"/>
    <w:rsid w:val="004E78FE"/>
    <w:rsid w:val="00507389"/>
    <w:rsid w:val="005100FC"/>
    <w:rsid w:val="005176EB"/>
    <w:rsid w:val="005224C0"/>
    <w:rsid w:val="00535882"/>
    <w:rsid w:val="00540F5A"/>
    <w:rsid w:val="00545F76"/>
    <w:rsid w:val="005604F9"/>
    <w:rsid w:val="00564E0E"/>
    <w:rsid w:val="005662CD"/>
    <w:rsid w:val="00571B0C"/>
    <w:rsid w:val="00571ECE"/>
    <w:rsid w:val="00575CB9"/>
    <w:rsid w:val="00581BCC"/>
    <w:rsid w:val="00595574"/>
    <w:rsid w:val="005A4D2F"/>
    <w:rsid w:val="005C0E11"/>
    <w:rsid w:val="005D23E6"/>
    <w:rsid w:val="005D24C7"/>
    <w:rsid w:val="005D378D"/>
    <w:rsid w:val="005D5A78"/>
    <w:rsid w:val="005D6A22"/>
    <w:rsid w:val="005D734F"/>
    <w:rsid w:val="005F77AC"/>
    <w:rsid w:val="0060161B"/>
    <w:rsid w:val="00601BE0"/>
    <w:rsid w:val="006047E5"/>
    <w:rsid w:val="006059FD"/>
    <w:rsid w:val="0061253D"/>
    <w:rsid w:val="006201C9"/>
    <w:rsid w:val="00625D19"/>
    <w:rsid w:val="00626467"/>
    <w:rsid w:val="00633DA4"/>
    <w:rsid w:val="00635E66"/>
    <w:rsid w:val="00636649"/>
    <w:rsid w:val="0063701F"/>
    <w:rsid w:val="00644109"/>
    <w:rsid w:val="00644C09"/>
    <w:rsid w:val="00646D33"/>
    <w:rsid w:val="0064763D"/>
    <w:rsid w:val="00652835"/>
    <w:rsid w:val="00664F39"/>
    <w:rsid w:val="00664FAE"/>
    <w:rsid w:val="00672CBD"/>
    <w:rsid w:val="00680131"/>
    <w:rsid w:val="006837FD"/>
    <w:rsid w:val="0068522B"/>
    <w:rsid w:val="006856B7"/>
    <w:rsid w:val="00690920"/>
    <w:rsid w:val="006910D5"/>
    <w:rsid w:val="006B42E1"/>
    <w:rsid w:val="006C0363"/>
    <w:rsid w:val="006C1147"/>
    <w:rsid w:val="006C4B98"/>
    <w:rsid w:val="006D16BC"/>
    <w:rsid w:val="006D25FF"/>
    <w:rsid w:val="006D6CE1"/>
    <w:rsid w:val="006E0A96"/>
    <w:rsid w:val="006E4FA1"/>
    <w:rsid w:val="006E63EB"/>
    <w:rsid w:val="006F3000"/>
    <w:rsid w:val="006F7F35"/>
    <w:rsid w:val="00713973"/>
    <w:rsid w:val="0071437B"/>
    <w:rsid w:val="00714C98"/>
    <w:rsid w:val="00722444"/>
    <w:rsid w:val="00724B81"/>
    <w:rsid w:val="007312E2"/>
    <w:rsid w:val="00732633"/>
    <w:rsid w:val="00735373"/>
    <w:rsid w:val="00745503"/>
    <w:rsid w:val="0075052D"/>
    <w:rsid w:val="00754BBF"/>
    <w:rsid w:val="00771659"/>
    <w:rsid w:val="00781713"/>
    <w:rsid w:val="0079065A"/>
    <w:rsid w:val="00791CEE"/>
    <w:rsid w:val="007A07DD"/>
    <w:rsid w:val="007A0B06"/>
    <w:rsid w:val="007A6396"/>
    <w:rsid w:val="007A6C0C"/>
    <w:rsid w:val="007A6DC9"/>
    <w:rsid w:val="007B0D46"/>
    <w:rsid w:val="007C583E"/>
    <w:rsid w:val="007E2B30"/>
    <w:rsid w:val="007F02CF"/>
    <w:rsid w:val="007F5FCB"/>
    <w:rsid w:val="007F70E3"/>
    <w:rsid w:val="008074FB"/>
    <w:rsid w:val="008112D0"/>
    <w:rsid w:val="0081204E"/>
    <w:rsid w:val="00814C38"/>
    <w:rsid w:val="008175FC"/>
    <w:rsid w:val="0083127D"/>
    <w:rsid w:val="008429E7"/>
    <w:rsid w:val="00844CCA"/>
    <w:rsid w:val="00851981"/>
    <w:rsid w:val="00853A03"/>
    <w:rsid w:val="008555AF"/>
    <w:rsid w:val="00860EE4"/>
    <w:rsid w:val="0086193A"/>
    <w:rsid w:val="00862E95"/>
    <w:rsid w:val="00870189"/>
    <w:rsid w:val="008764E4"/>
    <w:rsid w:val="0087677C"/>
    <w:rsid w:val="0088433C"/>
    <w:rsid w:val="00887CE5"/>
    <w:rsid w:val="00890664"/>
    <w:rsid w:val="00897A11"/>
    <w:rsid w:val="008B1CDF"/>
    <w:rsid w:val="008B65A2"/>
    <w:rsid w:val="008C7F8C"/>
    <w:rsid w:val="008D3278"/>
    <w:rsid w:val="008D6296"/>
    <w:rsid w:val="008D7174"/>
    <w:rsid w:val="008E0283"/>
    <w:rsid w:val="008E42B0"/>
    <w:rsid w:val="008F1983"/>
    <w:rsid w:val="0090301C"/>
    <w:rsid w:val="009052D7"/>
    <w:rsid w:val="009134D2"/>
    <w:rsid w:val="00922563"/>
    <w:rsid w:val="00925204"/>
    <w:rsid w:val="00927AD8"/>
    <w:rsid w:val="009338DA"/>
    <w:rsid w:val="00943588"/>
    <w:rsid w:val="00944246"/>
    <w:rsid w:val="00944C34"/>
    <w:rsid w:val="00950C32"/>
    <w:rsid w:val="00961D21"/>
    <w:rsid w:val="009634A2"/>
    <w:rsid w:val="00967CAC"/>
    <w:rsid w:val="0097323A"/>
    <w:rsid w:val="00974A85"/>
    <w:rsid w:val="009817FF"/>
    <w:rsid w:val="00987486"/>
    <w:rsid w:val="00990047"/>
    <w:rsid w:val="00993257"/>
    <w:rsid w:val="009935D4"/>
    <w:rsid w:val="00994366"/>
    <w:rsid w:val="00994B8F"/>
    <w:rsid w:val="00995988"/>
    <w:rsid w:val="009A368D"/>
    <w:rsid w:val="009A52A0"/>
    <w:rsid w:val="009B4B6D"/>
    <w:rsid w:val="009C0EB2"/>
    <w:rsid w:val="009D78AD"/>
    <w:rsid w:val="009E4973"/>
    <w:rsid w:val="009F77EF"/>
    <w:rsid w:val="009F7EBB"/>
    <w:rsid w:val="00A066F5"/>
    <w:rsid w:val="00A119B4"/>
    <w:rsid w:val="00A14FFA"/>
    <w:rsid w:val="00A231FD"/>
    <w:rsid w:val="00A23590"/>
    <w:rsid w:val="00A262B6"/>
    <w:rsid w:val="00A272D6"/>
    <w:rsid w:val="00A50B78"/>
    <w:rsid w:val="00A515E8"/>
    <w:rsid w:val="00A53224"/>
    <w:rsid w:val="00A558A2"/>
    <w:rsid w:val="00A63D1D"/>
    <w:rsid w:val="00A67CE0"/>
    <w:rsid w:val="00A738D8"/>
    <w:rsid w:val="00A77D23"/>
    <w:rsid w:val="00A90E49"/>
    <w:rsid w:val="00A92568"/>
    <w:rsid w:val="00A952E2"/>
    <w:rsid w:val="00AA6D19"/>
    <w:rsid w:val="00AB3FFB"/>
    <w:rsid w:val="00AD51E4"/>
    <w:rsid w:val="00AE3639"/>
    <w:rsid w:val="00AE423E"/>
    <w:rsid w:val="00AF2D36"/>
    <w:rsid w:val="00AF4EBE"/>
    <w:rsid w:val="00B006C8"/>
    <w:rsid w:val="00B023B3"/>
    <w:rsid w:val="00B02542"/>
    <w:rsid w:val="00B03BF9"/>
    <w:rsid w:val="00B06D15"/>
    <w:rsid w:val="00B0757D"/>
    <w:rsid w:val="00B122CE"/>
    <w:rsid w:val="00B16453"/>
    <w:rsid w:val="00B23341"/>
    <w:rsid w:val="00B242F3"/>
    <w:rsid w:val="00B25125"/>
    <w:rsid w:val="00B2738A"/>
    <w:rsid w:val="00B27603"/>
    <w:rsid w:val="00B408B4"/>
    <w:rsid w:val="00B44E21"/>
    <w:rsid w:val="00B51AC8"/>
    <w:rsid w:val="00B55BF7"/>
    <w:rsid w:val="00B604C1"/>
    <w:rsid w:val="00B62AC2"/>
    <w:rsid w:val="00B646DC"/>
    <w:rsid w:val="00B6524B"/>
    <w:rsid w:val="00B7626B"/>
    <w:rsid w:val="00B85137"/>
    <w:rsid w:val="00B879CA"/>
    <w:rsid w:val="00B95554"/>
    <w:rsid w:val="00B96D18"/>
    <w:rsid w:val="00BA2341"/>
    <w:rsid w:val="00BA7F2C"/>
    <w:rsid w:val="00BB4B83"/>
    <w:rsid w:val="00BB7EB7"/>
    <w:rsid w:val="00BC2483"/>
    <w:rsid w:val="00BC4ED4"/>
    <w:rsid w:val="00BC5022"/>
    <w:rsid w:val="00BD13D5"/>
    <w:rsid w:val="00BE0938"/>
    <w:rsid w:val="00BE0CF5"/>
    <w:rsid w:val="00C07D41"/>
    <w:rsid w:val="00C07FF5"/>
    <w:rsid w:val="00C139B4"/>
    <w:rsid w:val="00C16519"/>
    <w:rsid w:val="00C17A47"/>
    <w:rsid w:val="00C17FC8"/>
    <w:rsid w:val="00C26CAB"/>
    <w:rsid w:val="00C35638"/>
    <w:rsid w:val="00C4685A"/>
    <w:rsid w:val="00C6589D"/>
    <w:rsid w:val="00C66038"/>
    <w:rsid w:val="00C67251"/>
    <w:rsid w:val="00C70775"/>
    <w:rsid w:val="00C76044"/>
    <w:rsid w:val="00C87DA2"/>
    <w:rsid w:val="00CA6711"/>
    <w:rsid w:val="00CA7311"/>
    <w:rsid w:val="00CB177C"/>
    <w:rsid w:val="00CB3855"/>
    <w:rsid w:val="00CB5B02"/>
    <w:rsid w:val="00CB6774"/>
    <w:rsid w:val="00CC013C"/>
    <w:rsid w:val="00CC13EF"/>
    <w:rsid w:val="00CC5DD7"/>
    <w:rsid w:val="00CC5F71"/>
    <w:rsid w:val="00CC77A1"/>
    <w:rsid w:val="00CD00B8"/>
    <w:rsid w:val="00CD19FC"/>
    <w:rsid w:val="00CE0DAC"/>
    <w:rsid w:val="00D0026B"/>
    <w:rsid w:val="00D1242D"/>
    <w:rsid w:val="00D124D2"/>
    <w:rsid w:val="00D131D8"/>
    <w:rsid w:val="00D230B9"/>
    <w:rsid w:val="00D258BF"/>
    <w:rsid w:val="00D25CA4"/>
    <w:rsid w:val="00D328F5"/>
    <w:rsid w:val="00D354A7"/>
    <w:rsid w:val="00D35918"/>
    <w:rsid w:val="00D44D5B"/>
    <w:rsid w:val="00D53344"/>
    <w:rsid w:val="00D535A6"/>
    <w:rsid w:val="00D556A1"/>
    <w:rsid w:val="00D57959"/>
    <w:rsid w:val="00D73F0B"/>
    <w:rsid w:val="00D90679"/>
    <w:rsid w:val="00D9076F"/>
    <w:rsid w:val="00D91BA6"/>
    <w:rsid w:val="00D926D6"/>
    <w:rsid w:val="00D94BF2"/>
    <w:rsid w:val="00DB0800"/>
    <w:rsid w:val="00DB5BAC"/>
    <w:rsid w:val="00DC2C4C"/>
    <w:rsid w:val="00DD0A08"/>
    <w:rsid w:val="00DD50CC"/>
    <w:rsid w:val="00DF0976"/>
    <w:rsid w:val="00DF12CC"/>
    <w:rsid w:val="00DF162A"/>
    <w:rsid w:val="00DF2656"/>
    <w:rsid w:val="00E005D7"/>
    <w:rsid w:val="00E06B66"/>
    <w:rsid w:val="00E1611E"/>
    <w:rsid w:val="00E23BB9"/>
    <w:rsid w:val="00E25E8D"/>
    <w:rsid w:val="00E35C41"/>
    <w:rsid w:val="00E40C80"/>
    <w:rsid w:val="00E41DED"/>
    <w:rsid w:val="00E50236"/>
    <w:rsid w:val="00E518F8"/>
    <w:rsid w:val="00E61A0D"/>
    <w:rsid w:val="00E67821"/>
    <w:rsid w:val="00E712EF"/>
    <w:rsid w:val="00E9018B"/>
    <w:rsid w:val="00E9256A"/>
    <w:rsid w:val="00E92688"/>
    <w:rsid w:val="00E932F1"/>
    <w:rsid w:val="00E9741D"/>
    <w:rsid w:val="00EA5A85"/>
    <w:rsid w:val="00EA5F6A"/>
    <w:rsid w:val="00EB1E96"/>
    <w:rsid w:val="00EB3F83"/>
    <w:rsid w:val="00EC467B"/>
    <w:rsid w:val="00ED2B0E"/>
    <w:rsid w:val="00EE322C"/>
    <w:rsid w:val="00EE576A"/>
    <w:rsid w:val="00EF06E9"/>
    <w:rsid w:val="00EF2916"/>
    <w:rsid w:val="00EF4D41"/>
    <w:rsid w:val="00F000DC"/>
    <w:rsid w:val="00F00685"/>
    <w:rsid w:val="00F06012"/>
    <w:rsid w:val="00F065F4"/>
    <w:rsid w:val="00F118E4"/>
    <w:rsid w:val="00F14EF6"/>
    <w:rsid w:val="00F20C69"/>
    <w:rsid w:val="00F23063"/>
    <w:rsid w:val="00F270A8"/>
    <w:rsid w:val="00F40D5F"/>
    <w:rsid w:val="00F42A5A"/>
    <w:rsid w:val="00F43DD2"/>
    <w:rsid w:val="00F613AD"/>
    <w:rsid w:val="00F6286A"/>
    <w:rsid w:val="00F64CC8"/>
    <w:rsid w:val="00F65244"/>
    <w:rsid w:val="00F70253"/>
    <w:rsid w:val="00F70861"/>
    <w:rsid w:val="00F763F0"/>
    <w:rsid w:val="00F86766"/>
    <w:rsid w:val="00F95F56"/>
    <w:rsid w:val="00FC3CF9"/>
    <w:rsid w:val="00FC44B4"/>
    <w:rsid w:val="00FD233D"/>
    <w:rsid w:val="00FD6A87"/>
    <w:rsid w:val="00FD7649"/>
    <w:rsid w:val="00FF16FE"/>
    <w:rsid w:val="00FF1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5"/>
    <o:shapelayout v:ext="edit">
      <o:idmap v:ext="edit" data="1"/>
    </o:shapelayout>
  </w:shapeDefaults>
  <w:decimalSymbol w:val=","/>
  <w:listSeparator w:val=";"/>
  <w14:docId w14:val="488CA807"/>
  <w15:docId w15:val="{37B67116-5E92-4FB8-B310-0EB95F5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character" w:styleId="Vietturateksts">
    <w:name w:val="Placeholder Text"/>
    <w:basedOn w:val="Noklusjumarindkopasfonts"/>
    <w:uiPriority w:val="99"/>
    <w:semiHidden/>
    <w:rsid w:val="003B2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12612470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86D0-9550-4A28-A0B6-8FB29341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4762</Words>
  <Characters>32241</Characters>
  <Application>Microsoft Office Word</Application>
  <DocSecurity>0</DocSecurity>
  <Lines>1111</Lines>
  <Paragraphs>385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Kromane</dc:creator>
  <cp:lastModifiedBy>Sanita Žagare</cp:lastModifiedBy>
  <cp:revision>5</cp:revision>
  <cp:lastPrinted>2016-02-22T08:45:00Z</cp:lastPrinted>
  <dcterms:created xsi:type="dcterms:W3CDTF">2016-03-10T07:25:00Z</dcterms:created>
  <dcterms:modified xsi:type="dcterms:W3CDTF">2016-03-10T08:11:00Z</dcterms:modified>
</cp:coreProperties>
</file>