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bookmarkStart w:id="3" w:name="_GoBack"/>
      <w:bookmarkEnd w:id="3"/>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w:t>
      </w:r>
      <w:r w:rsidR="007B0E78">
        <w:rPr>
          <w:b/>
        </w:rPr>
        <w:t>s</w:t>
      </w:r>
      <w:r w:rsidR="002C5F6B">
        <w:rPr>
          <w:b/>
        </w:rPr>
        <w:t xml:space="preserve"> </w:t>
      </w:r>
    </w:p>
    <w:p w:rsidR="007B0E78" w:rsidRPr="00885B60" w:rsidRDefault="007B0E78" w:rsidP="007B0E78">
      <w:pPr>
        <w:jc w:val="center"/>
        <w:rPr>
          <w:b/>
          <w:color w:val="000000"/>
        </w:rPr>
      </w:pPr>
      <w:r>
        <w:rPr>
          <w:b/>
          <w:bCs/>
        </w:rPr>
        <w:t xml:space="preserve">“Par valsts kapitālsabiedrību padomju veidošanu” </w:t>
      </w:r>
    </w:p>
    <w:p w:rsidR="00B92EA3" w:rsidRPr="0044465E" w:rsidRDefault="00D570CF" w:rsidP="008D42C3">
      <w:pPr>
        <w:jc w:val="center"/>
        <w:rPr>
          <w:b/>
        </w:rPr>
      </w:pPr>
      <w:r w:rsidRPr="00053EE4">
        <w:rPr>
          <w:b/>
        </w:rPr>
        <w:t>sākotnējās ietekmes</w:t>
      </w:r>
      <w:r w:rsidRPr="00053EE4">
        <w:rPr>
          <w:b/>
          <w:color w:val="000000"/>
        </w:rPr>
        <w:t xml:space="preserve"> novērtējuma ziņojums (</w:t>
      </w:r>
      <w:r w:rsidR="00B92EA3" w:rsidRPr="00053EE4">
        <w:rPr>
          <w:b/>
        </w:rPr>
        <w:t>anotācija</w:t>
      </w:r>
      <w:r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83"/>
        <w:gridCol w:w="2291"/>
        <w:gridCol w:w="6627"/>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805794">
        <w:trPr>
          <w:trHeight w:val="18"/>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A64DF8" w:rsidP="00DD62AA">
            <w:pPr>
              <w:jc w:val="both"/>
            </w:pPr>
            <w:r>
              <w:t>Valsts pārvaldes iekārtas likuma 13.pants</w:t>
            </w:r>
            <w:r w:rsidR="00271EE3">
              <w:t>.</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8D30CA" w:rsidRDefault="0083729C" w:rsidP="00EA7E59">
            <w:pPr>
              <w:jc w:val="both"/>
            </w:pPr>
            <w:r w:rsidRPr="00A86B65">
              <w:t xml:space="preserve">Māra Kučinska </w:t>
            </w:r>
            <w:r>
              <w:t>vadītā M</w:t>
            </w:r>
            <w:r w:rsidRPr="00A86B65">
              <w:t>inistru kabineta</w:t>
            </w:r>
            <w:r>
              <w:t xml:space="preserve"> </w:t>
            </w:r>
            <w:r w:rsidR="00502459">
              <w:t>deklarācij</w:t>
            </w:r>
            <w:r w:rsidR="00EA7E59">
              <w:t>ā</w:t>
            </w:r>
            <w:r w:rsidR="00502459">
              <w:t xml:space="preserve"> </w:t>
            </w:r>
            <w:r w:rsidR="00EA7E59">
              <w:t>par iecerēto darbību 63.punktā</w:t>
            </w:r>
            <w:r w:rsidR="00502459">
              <w:t xml:space="preserve"> ir </w:t>
            </w:r>
            <w:r w:rsidR="00EA7E59">
              <w:t xml:space="preserve">noteikts uzdevums, </w:t>
            </w:r>
            <w:r w:rsidR="00502459">
              <w:t xml:space="preserve">līdz 2016.gada  </w:t>
            </w:r>
            <w:r w:rsidR="00EA7E59">
              <w:t xml:space="preserve">beigām pabeigt sarunas par Latvijas iestāšanos OECD, noslēdzot atlikušos atvērtos jautājumus. </w:t>
            </w:r>
            <w:r w:rsidR="008D30CA">
              <w:t>S</w:t>
            </w:r>
            <w:r w:rsidR="00EA7E59">
              <w:t xml:space="preserve">arunām ar OECD viens no šādiem </w:t>
            </w:r>
            <w:r w:rsidR="006C7A99">
              <w:t xml:space="preserve">atvērtajiem </w:t>
            </w:r>
            <w:r w:rsidR="00EA7E59">
              <w:t>jautājumiem ir padomju veidošana lielajās valsts kapitālsabiedrībās, kuru rādītāji atbilst likuma 106.panta pirmajā daļā noteiktajiem kritērijiem.</w:t>
            </w:r>
          </w:p>
          <w:p w:rsidR="008D30CA" w:rsidRDefault="008D30CA" w:rsidP="00EA7E59">
            <w:pPr>
              <w:jc w:val="both"/>
            </w:pPr>
          </w:p>
          <w:p w:rsidR="00EA7E59" w:rsidRDefault="00A64DF8" w:rsidP="00EA7E59">
            <w:pPr>
              <w:jc w:val="both"/>
              <w:rPr>
                <w:color w:val="000000" w:themeColor="text1"/>
              </w:rPr>
            </w:pPr>
            <w:r w:rsidRPr="00A64DF8">
              <w:rPr>
                <w:color w:val="000000" w:themeColor="text1"/>
              </w:rPr>
              <w:t>Publiskas personas kapitāla daļu un kapitālsabiedrību pārvaldības likuma (turpmāk – likums)</w:t>
            </w:r>
            <w:r w:rsidR="00EA7E59">
              <w:rPr>
                <w:color w:val="000000" w:themeColor="text1"/>
              </w:rPr>
              <w:t xml:space="preserve"> 106.panta pirmā daļa noteic kritērijus, atbilstoši kuriem kapitālsabiedrībā izveidojama padome, ja iepriekšējā pārskata gadā sabiedrības rādītāji atbilst visiem šādiem kritērijiem:</w:t>
            </w:r>
          </w:p>
          <w:p w:rsidR="00EA7E59" w:rsidRDefault="00EA7E59" w:rsidP="00EA7E59">
            <w:pPr>
              <w:pStyle w:val="ListParagraph"/>
              <w:numPr>
                <w:ilvl w:val="0"/>
                <w:numId w:val="26"/>
              </w:numPr>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Pr="00392949">
              <w:rPr>
                <w:rFonts w:ascii="Times New Roman" w:hAnsi="Times New Roman"/>
                <w:color w:val="000000" w:themeColor="text1"/>
                <w:sz w:val="24"/>
                <w:szCs w:val="24"/>
              </w:rPr>
              <w:t>eto apgrozījums ir lielāks par</w:t>
            </w:r>
            <w:r>
              <w:rPr>
                <w:rFonts w:ascii="Times New Roman" w:hAnsi="Times New Roman"/>
                <w:color w:val="000000" w:themeColor="text1"/>
                <w:sz w:val="24"/>
                <w:szCs w:val="24"/>
              </w:rPr>
              <w:t xml:space="preserve"> 21 miljonu </w:t>
            </w:r>
            <w:r w:rsidRPr="00392949">
              <w:rPr>
                <w:rFonts w:ascii="Times New Roman" w:hAnsi="Times New Roman"/>
                <w:i/>
                <w:color w:val="000000" w:themeColor="text1"/>
                <w:sz w:val="24"/>
                <w:szCs w:val="24"/>
              </w:rPr>
              <w:t>euro</w:t>
            </w:r>
            <w:r>
              <w:rPr>
                <w:rFonts w:ascii="Times New Roman" w:hAnsi="Times New Roman"/>
                <w:color w:val="000000" w:themeColor="text1"/>
                <w:sz w:val="24"/>
                <w:szCs w:val="24"/>
              </w:rPr>
              <w:t>;</w:t>
            </w:r>
          </w:p>
          <w:p w:rsidR="00EA7E59" w:rsidRDefault="00EA7E59" w:rsidP="00EA7E59">
            <w:pPr>
              <w:pStyle w:val="ListParagraph"/>
              <w:numPr>
                <w:ilvl w:val="0"/>
                <w:numId w:val="2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bilances kopsumma ir lielāka par 4 miljoniem </w:t>
            </w:r>
            <w:r w:rsidRPr="00392949">
              <w:rPr>
                <w:rFonts w:ascii="Times New Roman" w:hAnsi="Times New Roman"/>
                <w:i/>
                <w:color w:val="000000" w:themeColor="text1"/>
                <w:sz w:val="24"/>
                <w:szCs w:val="24"/>
              </w:rPr>
              <w:t>euro</w:t>
            </w:r>
            <w:r>
              <w:rPr>
                <w:rFonts w:ascii="Times New Roman" w:hAnsi="Times New Roman"/>
                <w:i/>
                <w:color w:val="000000" w:themeColor="text1"/>
                <w:sz w:val="24"/>
                <w:szCs w:val="24"/>
              </w:rPr>
              <w:t>.</w:t>
            </w:r>
          </w:p>
          <w:p w:rsidR="00EA7E59" w:rsidRDefault="00EA7E59" w:rsidP="00EA7E59">
            <w:pPr>
              <w:jc w:val="both"/>
              <w:rPr>
                <w:color w:val="000000" w:themeColor="text1"/>
              </w:rPr>
            </w:pPr>
            <w:r>
              <w:rPr>
                <w:color w:val="000000" w:themeColor="text1"/>
              </w:rPr>
              <w:t>L</w:t>
            </w:r>
            <w:r w:rsidRPr="0044465E">
              <w:rPr>
                <w:color w:val="000000" w:themeColor="text1"/>
              </w:rPr>
              <w:t xml:space="preserve">ikuma </w:t>
            </w:r>
            <w:r>
              <w:rPr>
                <w:color w:val="000000" w:themeColor="text1"/>
              </w:rPr>
              <w:t>107</w:t>
            </w:r>
            <w:r w:rsidRPr="0044465E">
              <w:rPr>
                <w:color w:val="000000" w:themeColor="text1"/>
              </w:rPr>
              <w:t>.pant</w:t>
            </w:r>
            <w:r>
              <w:rPr>
                <w:color w:val="000000" w:themeColor="text1"/>
              </w:rPr>
              <w:t xml:space="preserve">a pirmajā daļā noteikts, ka padome ir sabiedrības pārraudzības institūcija, kas pārstāv akcionāru intereses sapulču starplaikā un pārrauga valdes darbību. Likuma 107.panta otrajā daļā norādīti padomes uzdevumi, tajā skaitā bet ne tikai, iepriekš izskatīt visus jautājumus, kas ir akcionāru vai akcionāru sapulces kompetencē vai kas pēc valdes vai padomes locekļu ierosinājuma, izteikti izskatīšanai akcionāru sapulcē, un sniegt atzinumu par tiem, sniegt akcionāram priekšlikumus par sabiedrības darbības uzlabošanu. </w:t>
            </w:r>
          </w:p>
          <w:p w:rsidR="00EA7E59" w:rsidRDefault="00EA7E59" w:rsidP="002D1EC3">
            <w:pPr>
              <w:jc w:val="both"/>
            </w:pPr>
          </w:p>
          <w:p w:rsidR="00F12091" w:rsidRPr="0044465E" w:rsidRDefault="003E31C0" w:rsidP="00434D36">
            <w:pPr>
              <w:jc w:val="both"/>
              <w:rPr>
                <w:color w:val="000000" w:themeColor="text1"/>
              </w:rPr>
            </w:pPr>
            <w:r>
              <w:t xml:space="preserve">Ar rīkojuma projektu paredzēts noteikt lielo valsts kapitālsabiedrību padomju izveidošanas termiņus, lai tās </w:t>
            </w:r>
            <w:r w:rsidR="00271EE3">
              <w:t xml:space="preserve">tiktu izveidotas un varētu uzsākt pildīt </w:t>
            </w:r>
            <w:r w:rsidR="00104A6D">
              <w:t>savu</w:t>
            </w:r>
            <w:r>
              <w:t>s</w:t>
            </w:r>
            <w:r w:rsidR="00104A6D">
              <w:t xml:space="preserve"> uzdevumu</w:t>
            </w:r>
            <w:r>
              <w:t>s</w:t>
            </w:r>
            <w:r w:rsidR="00104A6D">
              <w:t xml:space="preserve"> </w:t>
            </w:r>
            <w:r w:rsidR="00271EE3">
              <w:t xml:space="preserve">2016. gada laikā, atbilstoši OECD ziņojumā par valsts kapitālsabiedrību pārvaldību Latvijā ietvertajām rekomendācijām un Latvijas Republikas Ministru Prezidentes 2016. gada 13. janvāra vēstulē OECD Korporatīvās pārvaldības komitejas un Valsts uzņēmumu pārvaldības un privatizācijas darba grupas vadītājiem sniegtajai informācijai par padomju veidošanu lielākajās valsts kapitālsabiedrībās. </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lastRenderedPageBreak/>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A140E0" w:rsidRDefault="002C24EA" w:rsidP="00150D4B">
            <w:pPr>
              <w:jc w:val="both"/>
            </w:pPr>
            <w:r>
              <w:t>Rīkojuma p</w:t>
            </w:r>
            <w:r w:rsidR="005B26E6">
              <w:t xml:space="preserve">rojektā ietvertais regulējums attiecas uz </w:t>
            </w:r>
            <w:r w:rsidR="00A140E0">
              <w:t>tām ministrijām, kuras ir lielo kapitālsabiedrību valsts kapitāla daļu turētāji – Ekonomikas ministrija, Finanšu ministrija, Satiksmes ministrija, Zemkopības ministrija.</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Pr="0044465E" w:rsidRDefault="002C2B9A" w:rsidP="0044465E">
            <w:r w:rsidRPr="0044465E">
              <w:t>Nav</w:t>
            </w:r>
          </w:p>
        </w:tc>
      </w:tr>
    </w:tbl>
    <w:p w:rsidR="002C24EA" w:rsidRDefault="002C24EA" w:rsidP="002C24EA"/>
    <w:p w:rsidR="00BD7C01" w:rsidRDefault="00BD7C01"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A140E0" w:rsidRDefault="002C24EA" w:rsidP="00A140E0">
            <w:pPr>
              <w:jc w:val="both"/>
            </w:pPr>
            <w:r>
              <w:t>Pārresoru koordinācijas centrs</w:t>
            </w:r>
            <w:r w:rsidR="00A140E0">
              <w:t>, Ekonomikas ministrija, Finanšu ministrija, Satiksmes ministrija, Zemkopības ministrija.</w:t>
            </w:r>
          </w:p>
          <w:p w:rsidR="002C24EA" w:rsidRPr="0044465E" w:rsidRDefault="002C24EA" w:rsidP="002C24EA">
            <w:pPr>
              <w:jc w:val="both"/>
            </w:pP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A15989" w:rsidRPr="0044465E" w:rsidRDefault="00A15989" w:rsidP="00A15989">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Pr="0044465E" w:rsidRDefault="002C24EA" w:rsidP="00517334">
            <w:r w:rsidRPr="0044465E">
              <w:t>Nav</w:t>
            </w:r>
          </w:p>
        </w:tc>
      </w:tr>
    </w:tbl>
    <w:p w:rsidR="002C24EA" w:rsidRDefault="002C24EA" w:rsidP="002C24EA">
      <w:pPr>
        <w:rPr>
          <w:i/>
        </w:rPr>
      </w:pPr>
    </w:p>
    <w:p w:rsidR="007763E1" w:rsidRPr="007A191D" w:rsidRDefault="007763E1" w:rsidP="0044465E">
      <w:r w:rsidRPr="007A191D">
        <w:t xml:space="preserve">Anotācijas </w:t>
      </w:r>
      <w:r w:rsidR="007A191D">
        <w:t>I</w:t>
      </w:r>
      <w:r w:rsidR="004C154A" w:rsidRPr="007A191D">
        <w:t>II</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w:t>
      </w:r>
      <w:r w:rsidR="00A229BD">
        <w:t>a vietnieks</w:t>
      </w:r>
      <w:r w:rsidRPr="0044465E">
        <w:tab/>
      </w:r>
      <w:r w:rsidRPr="0044465E">
        <w:tab/>
      </w:r>
      <w:r w:rsidR="00A229BD">
        <w:t>V.Vesperis</w:t>
      </w:r>
    </w:p>
    <w:p w:rsidR="0044465E" w:rsidRPr="007A191D" w:rsidRDefault="0044465E" w:rsidP="0044465E">
      <w:pPr>
        <w:widowControl w:val="0"/>
        <w:rPr>
          <w:sz w:val="22"/>
          <w:szCs w:val="22"/>
        </w:rPr>
      </w:pPr>
    </w:p>
    <w:p w:rsidR="00A140E0" w:rsidRPr="00BA5951" w:rsidRDefault="00A140E0" w:rsidP="00A140E0">
      <w:pPr>
        <w:rPr>
          <w:color w:val="000000"/>
          <w:sz w:val="18"/>
          <w:szCs w:val="18"/>
        </w:rPr>
      </w:pPr>
      <w:r>
        <w:rPr>
          <w:color w:val="000000"/>
          <w:sz w:val="18"/>
          <w:szCs w:val="18"/>
        </w:rPr>
        <w:t>2</w:t>
      </w:r>
      <w:r w:rsidR="00A64DF8">
        <w:rPr>
          <w:color w:val="000000"/>
          <w:sz w:val="18"/>
          <w:szCs w:val="18"/>
        </w:rPr>
        <w:t>4</w:t>
      </w:r>
      <w:r w:rsidRPr="00BA5951">
        <w:rPr>
          <w:color w:val="000000"/>
          <w:sz w:val="18"/>
          <w:szCs w:val="18"/>
        </w:rPr>
        <w:t>.03.2016</w:t>
      </w:r>
    </w:p>
    <w:p w:rsidR="00A140E0" w:rsidRPr="00BA5951" w:rsidRDefault="00213E3E" w:rsidP="00A140E0">
      <w:pPr>
        <w:rPr>
          <w:color w:val="000000"/>
          <w:sz w:val="18"/>
          <w:szCs w:val="18"/>
        </w:rPr>
      </w:pPr>
      <w:r>
        <w:rPr>
          <w:color w:val="000000"/>
          <w:sz w:val="18"/>
          <w:szCs w:val="18"/>
        </w:rPr>
        <w:t>469</w:t>
      </w:r>
    </w:p>
    <w:p w:rsidR="00A140E0" w:rsidRPr="00BA5951" w:rsidRDefault="00A140E0" w:rsidP="00A140E0">
      <w:pPr>
        <w:suppressAutoHyphens/>
        <w:rPr>
          <w:iCs/>
          <w:noProof/>
          <w:sz w:val="18"/>
          <w:szCs w:val="18"/>
          <w:lang w:bidi="lo-LA"/>
        </w:rPr>
      </w:pPr>
      <w:r>
        <w:rPr>
          <w:bCs/>
          <w:sz w:val="18"/>
          <w:szCs w:val="18"/>
        </w:rPr>
        <w:t>E.Stankevičs</w:t>
      </w:r>
      <w:r w:rsidRPr="00BA5951">
        <w:rPr>
          <w:bCs/>
          <w:sz w:val="18"/>
          <w:szCs w:val="18"/>
        </w:rPr>
        <w:t xml:space="preserve">; </w:t>
      </w:r>
      <w:r w:rsidRPr="00BA5951">
        <w:rPr>
          <w:iCs/>
          <w:noProof/>
          <w:sz w:val="18"/>
          <w:szCs w:val="18"/>
          <w:lang w:bidi="lo-LA"/>
        </w:rPr>
        <w:t>67082</w:t>
      </w:r>
      <w:r>
        <w:rPr>
          <w:iCs/>
          <w:noProof/>
          <w:sz w:val="18"/>
          <w:szCs w:val="18"/>
          <w:lang w:bidi="lo-LA"/>
        </w:rPr>
        <w:t>992</w:t>
      </w:r>
      <w:r w:rsidRPr="00BA5951">
        <w:rPr>
          <w:iCs/>
          <w:noProof/>
          <w:sz w:val="18"/>
          <w:szCs w:val="18"/>
          <w:lang w:bidi="lo-LA"/>
        </w:rPr>
        <w:t>,</w:t>
      </w:r>
    </w:p>
    <w:p w:rsidR="00A140E0" w:rsidRDefault="00943B5E" w:rsidP="00A140E0">
      <w:pPr>
        <w:jc w:val="both"/>
        <w:rPr>
          <w:iCs/>
          <w:noProof/>
          <w:sz w:val="18"/>
          <w:szCs w:val="18"/>
          <w:lang w:bidi="lo-LA"/>
        </w:rPr>
      </w:pPr>
      <w:hyperlink r:id="rId9" w:history="1">
        <w:r w:rsidR="00A140E0" w:rsidRPr="009D516F">
          <w:rPr>
            <w:rStyle w:val="Hyperlink"/>
            <w:iCs/>
            <w:noProof/>
            <w:sz w:val="18"/>
            <w:szCs w:val="18"/>
            <w:lang w:bidi="lo-LA"/>
          </w:rPr>
          <w:t>Edmunds.Stankevics@pkc.mk.gov.lv</w:t>
        </w:r>
      </w:hyperlink>
    </w:p>
    <w:p w:rsidR="0044465E" w:rsidRPr="0044465E" w:rsidRDefault="0044465E" w:rsidP="0044465E">
      <w:pPr>
        <w:rPr>
          <w:i/>
          <w:sz w:val="20"/>
          <w:szCs w:val="20"/>
        </w:rPr>
      </w:pPr>
    </w:p>
    <w:sectPr w:rsidR="0044465E" w:rsidRPr="0044465E" w:rsidSect="00805794">
      <w:headerReference w:type="even" r:id="rId10"/>
      <w:headerReference w:type="default" r:id="rId11"/>
      <w:footerReference w:type="even" r:id="rId12"/>
      <w:footerReference w:type="default" r:id="rId13"/>
      <w:footerReference w:type="first" r:id="rId14"/>
      <w:pgSz w:w="11906" w:h="16838" w:code="9"/>
      <w:pgMar w:top="709"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5E" w:rsidRDefault="00943B5E">
      <w:r>
        <w:separator/>
      </w:r>
    </w:p>
  </w:endnote>
  <w:endnote w:type="continuationSeparator" w:id="0">
    <w:p w:rsidR="00943B5E" w:rsidRDefault="009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E0" w:rsidRPr="000C0D52" w:rsidRDefault="00A140E0" w:rsidP="00A140E0">
    <w:pPr>
      <w:ind w:left="-142"/>
      <w:jc w:val="both"/>
      <w:rPr>
        <w:sz w:val="20"/>
        <w:szCs w:val="20"/>
      </w:rPr>
    </w:pPr>
    <w:r w:rsidRPr="000C0D52">
      <w:rPr>
        <w:sz w:val="20"/>
        <w:szCs w:val="20"/>
      </w:rPr>
      <w:t>PKCAnot_2</w:t>
    </w:r>
    <w:r w:rsidR="0049585D">
      <w:rPr>
        <w:sz w:val="20"/>
        <w:szCs w:val="20"/>
      </w:rPr>
      <w:t>4</w:t>
    </w:r>
    <w:r w:rsidRPr="000C0D52">
      <w:rPr>
        <w:sz w:val="20"/>
        <w:szCs w:val="20"/>
      </w:rPr>
      <w:t>0316_padome_termiņi; Ministru kabineta rīkojuma projekta „Par valsts kapitālsabiedrību padomju veidošanu”</w:t>
    </w:r>
    <w:r w:rsidRPr="000C0D52">
      <w:rPr>
        <w:color w:val="000000"/>
        <w:sz w:val="20"/>
        <w:szCs w:val="20"/>
      </w:rPr>
      <w:t xml:space="preserve"> </w:t>
    </w:r>
    <w:r w:rsidRPr="000C0D52">
      <w:rPr>
        <w:sz w:val="20"/>
        <w:szCs w:val="20"/>
      </w:rPr>
      <w:t>sākotnējās ietekmes</w:t>
    </w:r>
    <w:r w:rsidRPr="000C0D52">
      <w:rPr>
        <w:color w:val="000000"/>
        <w:sz w:val="20"/>
        <w:szCs w:val="20"/>
      </w:rPr>
      <w:t xml:space="preserve"> novērtējuma ziņojums (</w:t>
    </w:r>
    <w:r w:rsidRPr="000C0D52">
      <w:rPr>
        <w:sz w:val="20"/>
        <w:szCs w:val="20"/>
      </w:rPr>
      <w:t>anotācija)</w:t>
    </w:r>
  </w:p>
  <w:p w:rsidR="0044465E" w:rsidRPr="00A140E0" w:rsidRDefault="0044465E" w:rsidP="00A14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52" w:rsidRPr="000C0D52" w:rsidRDefault="000C0D52" w:rsidP="000C0D52">
    <w:pPr>
      <w:ind w:left="-142"/>
      <w:jc w:val="both"/>
      <w:rPr>
        <w:sz w:val="20"/>
        <w:szCs w:val="20"/>
      </w:rPr>
    </w:pPr>
    <w:r w:rsidRPr="000C0D52">
      <w:rPr>
        <w:sz w:val="20"/>
        <w:szCs w:val="20"/>
      </w:rPr>
      <w:t>PKCAnot_2</w:t>
    </w:r>
    <w:r w:rsidR="0049585D">
      <w:rPr>
        <w:sz w:val="20"/>
        <w:szCs w:val="20"/>
      </w:rPr>
      <w:t>4</w:t>
    </w:r>
    <w:r w:rsidRPr="000C0D52">
      <w:rPr>
        <w:sz w:val="20"/>
        <w:szCs w:val="20"/>
      </w:rPr>
      <w:t>0316_padome_termiņi; Ministru kabineta rīkojuma projekta „Par valsts kapitālsabiedrību padomju veidošanu”</w:t>
    </w:r>
    <w:r w:rsidRPr="000C0D52">
      <w:rPr>
        <w:color w:val="000000"/>
        <w:sz w:val="20"/>
        <w:szCs w:val="20"/>
      </w:rPr>
      <w:t xml:space="preserve"> </w:t>
    </w:r>
    <w:r w:rsidRPr="000C0D52">
      <w:rPr>
        <w:sz w:val="20"/>
        <w:szCs w:val="20"/>
      </w:rPr>
      <w:t>sākotnējās ietekmes</w:t>
    </w:r>
    <w:r w:rsidRPr="000C0D52">
      <w:rPr>
        <w:color w:val="000000"/>
        <w:sz w:val="20"/>
        <w:szCs w:val="20"/>
      </w:rPr>
      <w:t xml:space="preserve"> novērtējuma ziņojums (</w:t>
    </w:r>
    <w:r w:rsidRPr="000C0D52">
      <w:rPr>
        <w:sz w:val="20"/>
        <w:szCs w:val="20"/>
      </w:rPr>
      <w:t>anotācija)</w:t>
    </w:r>
  </w:p>
  <w:p w:rsidR="000C0D52" w:rsidRPr="000C0D52" w:rsidRDefault="000C0D52" w:rsidP="000C0D52">
    <w:pPr>
      <w:ind w:left="-142"/>
      <w:jc w:val="both"/>
      <w:rPr>
        <w:color w:val="000000"/>
        <w:sz w:val="20"/>
        <w:szCs w:val="20"/>
      </w:rPr>
    </w:pPr>
  </w:p>
  <w:p w:rsidR="000C0D52" w:rsidRDefault="000C0D52" w:rsidP="000C0D52"/>
  <w:p w:rsidR="000C0D52" w:rsidRPr="000C0D52" w:rsidRDefault="000C0D52" w:rsidP="000C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5E" w:rsidRDefault="00943B5E">
      <w:r>
        <w:separator/>
      </w:r>
    </w:p>
  </w:footnote>
  <w:footnote w:type="continuationSeparator" w:id="0">
    <w:p w:rsidR="00943B5E" w:rsidRDefault="0094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CA1D9B">
      <w:rPr>
        <w:rStyle w:val="PageNumber"/>
        <w:noProof/>
      </w:rPr>
      <w:t>2</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05005CF"/>
    <w:multiLevelType w:val="hybridMultilevel"/>
    <w:tmpl w:val="11DCA4A0"/>
    <w:lvl w:ilvl="0" w:tplc="3FCCDC24">
      <w:start w:val="1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765C68EA"/>
    <w:multiLevelType w:val="hybridMultilevel"/>
    <w:tmpl w:val="2FCC12E2"/>
    <w:lvl w:ilvl="0" w:tplc="DB6081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5"/>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26747"/>
    <w:rsid w:val="00030731"/>
    <w:rsid w:val="0003077C"/>
    <w:rsid w:val="0003085D"/>
    <w:rsid w:val="0003149C"/>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0D5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178C"/>
    <w:rsid w:val="0010186F"/>
    <w:rsid w:val="00101C50"/>
    <w:rsid w:val="001033CF"/>
    <w:rsid w:val="001038AD"/>
    <w:rsid w:val="00103AFA"/>
    <w:rsid w:val="00104A6D"/>
    <w:rsid w:val="00106021"/>
    <w:rsid w:val="0011031E"/>
    <w:rsid w:val="00110C8D"/>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A6F"/>
    <w:rsid w:val="001F0379"/>
    <w:rsid w:val="001F112D"/>
    <w:rsid w:val="001F13FD"/>
    <w:rsid w:val="001F148B"/>
    <w:rsid w:val="001F2426"/>
    <w:rsid w:val="001F3656"/>
    <w:rsid w:val="001F5450"/>
    <w:rsid w:val="001F5654"/>
    <w:rsid w:val="001F7A95"/>
    <w:rsid w:val="00200DB4"/>
    <w:rsid w:val="00201253"/>
    <w:rsid w:val="0020587A"/>
    <w:rsid w:val="00210F0E"/>
    <w:rsid w:val="00213D95"/>
    <w:rsid w:val="00213E3E"/>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1EE3"/>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2E55"/>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2949"/>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31C0"/>
    <w:rsid w:val="003E743C"/>
    <w:rsid w:val="003E7E02"/>
    <w:rsid w:val="003F086E"/>
    <w:rsid w:val="003F3C53"/>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4D36"/>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585D"/>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61F6"/>
    <w:rsid w:val="004F6708"/>
    <w:rsid w:val="004F78DA"/>
    <w:rsid w:val="0050069D"/>
    <w:rsid w:val="00502459"/>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3897"/>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38F0"/>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108E"/>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C7A99"/>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0770D"/>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31A"/>
    <w:rsid w:val="00783A23"/>
    <w:rsid w:val="007845E9"/>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0E78"/>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5794"/>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3729C"/>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30CA"/>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3B5E"/>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270"/>
    <w:rsid w:val="009703C4"/>
    <w:rsid w:val="009719CB"/>
    <w:rsid w:val="009719E6"/>
    <w:rsid w:val="00973ED1"/>
    <w:rsid w:val="00975251"/>
    <w:rsid w:val="009753A6"/>
    <w:rsid w:val="0097667D"/>
    <w:rsid w:val="00977772"/>
    <w:rsid w:val="009817ED"/>
    <w:rsid w:val="00981C31"/>
    <w:rsid w:val="00981DDE"/>
    <w:rsid w:val="00983AEF"/>
    <w:rsid w:val="0098542B"/>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DC0"/>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0E0"/>
    <w:rsid w:val="00A141D1"/>
    <w:rsid w:val="00A15555"/>
    <w:rsid w:val="00A157BC"/>
    <w:rsid w:val="00A15989"/>
    <w:rsid w:val="00A20BA0"/>
    <w:rsid w:val="00A22688"/>
    <w:rsid w:val="00A229BD"/>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4DF8"/>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936"/>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4AB4"/>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1D9B"/>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1D97"/>
    <w:rsid w:val="00D833ED"/>
    <w:rsid w:val="00D87263"/>
    <w:rsid w:val="00D900C5"/>
    <w:rsid w:val="00D91EB4"/>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62AA"/>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31AC"/>
    <w:rsid w:val="00E134A8"/>
    <w:rsid w:val="00E16955"/>
    <w:rsid w:val="00E16D99"/>
    <w:rsid w:val="00E21174"/>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A7E59"/>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37EC"/>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uiPriority w:val="22"/>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paragraph" w:customStyle="1" w:styleId="Default">
    <w:name w:val="Default"/>
    <w:rsid w:val="005D108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uiPriority w:val="22"/>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paragraph" w:customStyle="1" w:styleId="Default">
    <w:name w:val="Default"/>
    <w:rsid w:val="005D108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munds.Stankevics@pkc.mk.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86DB-8853-4416-8030-23534914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2519</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3948</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Edmunds.Stankevics@pkc.mk.gov.lv</dc:creator>
  <dc:description>guna.jermacane@vm.gov.lv,
67876167</dc:description>
  <cp:lastModifiedBy>Inta Kroja</cp:lastModifiedBy>
  <cp:revision>2</cp:revision>
  <cp:lastPrinted>2016-03-24T13:27:00Z</cp:lastPrinted>
  <dcterms:created xsi:type="dcterms:W3CDTF">2016-03-24T13:27:00Z</dcterms:created>
  <dcterms:modified xsi:type="dcterms:W3CDTF">2016-03-24T13:27:00Z</dcterms:modified>
</cp:coreProperties>
</file>