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119CB" w14:textId="31CF081A" w:rsidR="002F5305" w:rsidRPr="001C0774" w:rsidRDefault="001C0774" w:rsidP="001C0774">
      <w:pPr>
        <w:pStyle w:val="ListParagraph"/>
        <w:spacing w:after="0"/>
        <w:jc w:val="right"/>
      </w:pPr>
      <w:r>
        <w:t xml:space="preserve">1. </w:t>
      </w:r>
      <w:r w:rsidR="002F5305" w:rsidRPr="001C0774">
        <w:t>pielikums</w:t>
      </w:r>
    </w:p>
    <w:p w14:paraId="694119CC" w14:textId="77777777" w:rsidR="002F5305" w:rsidRPr="001C0774" w:rsidRDefault="002F5305" w:rsidP="002F5305">
      <w:pPr>
        <w:spacing w:after="0"/>
        <w:jc w:val="right"/>
      </w:pPr>
      <w:r w:rsidRPr="001C0774">
        <w:t>Ministru kabineta</w:t>
      </w:r>
    </w:p>
    <w:p w14:paraId="6CEB044A" w14:textId="0CB806FF" w:rsidR="001C0774" w:rsidRPr="001C0774" w:rsidRDefault="001C0774" w:rsidP="00C73551">
      <w:pPr>
        <w:spacing w:after="0"/>
        <w:jc w:val="right"/>
      </w:pPr>
      <w:bookmarkStart w:id="0" w:name="Piel_klasificeshana_darbos_un_grupas"/>
      <w:r w:rsidRPr="001C0774">
        <w:t>2016. gada  </w:t>
      </w:r>
      <w:r w:rsidR="00C802CE">
        <w:t>12.</w:t>
      </w:r>
      <w:r w:rsidRPr="001C0774">
        <w:t> </w:t>
      </w:r>
      <w:r w:rsidR="00C802CE">
        <w:t>aprīļa</w:t>
      </w:r>
    </w:p>
    <w:p w14:paraId="0F1073C9" w14:textId="7D209CA2" w:rsidR="001C0774" w:rsidRPr="001C0774" w:rsidRDefault="001C0774" w:rsidP="00C73551">
      <w:pPr>
        <w:spacing w:after="0"/>
        <w:jc w:val="right"/>
      </w:pPr>
      <w:r w:rsidRPr="001C0774">
        <w:t>noteikumiem Nr. </w:t>
      </w:r>
      <w:r w:rsidR="00C802CE">
        <w:t>211</w:t>
      </w:r>
      <w:bookmarkStart w:id="1" w:name="_GoBack"/>
      <w:bookmarkEnd w:id="1"/>
    </w:p>
    <w:p w14:paraId="694119CE" w14:textId="5120A872" w:rsidR="002F5305" w:rsidRDefault="002F5305" w:rsidP="002F5305">
      <w:pPr>
        <w:spacing w:after="0"/>
        <w:jc w:val="right"/>
      </w:pPr>
    </w:p>
    <w:p w14:paraId="694119CF" w14:textId="7FA31284" w:rsidR="002F5305" w:rsidRDefault="002F0FB1" w:rsidP="00641570">
      <w:pPr>
        <w:spacing w:after="0"/>
        <w:jc w:val="center"/>
        <w:rPr>
          <w:b/>
        </w:rPr>
      </w:pPr>
      <w:r w:rsidRPr="00D20AD7">
        <w:rPr>
          <w:b/>
        </w:rPr>
        <w:t>Būvdarbu veid</w:t>
      </w:r>
      <w:r>
        <w:rPr>
          <w:b/>
        </w:rPr>
        <w:t>u k</w:t>
      </w:r>
      <w:r w:rsidR="002F5305">
        <w:rPr>
          <w:b/>
        </w:rPr>
        <w:t>valificēšana</w:t>
      </w:r>
      <w:r w:rsidR="002F5305" w:rsidRPr="00D20AD7">
        <w:rPr>
          <w:b/>
        </w:rPr>
        <w:t xml:space="preserve"> atbilstoši </w:t>
      </w:r>
      <w:r w:rsidR="002F5305">
        <w:rPr>
          <w:b/>
        </w:rPr>
        <w:t xml:space="preserve">būvuzņēmuma </w:t>
      </w:r>
      <w:r w:rsidR="002F5305" w:rsidRPr="00D20AD7">
        <w:rPr>
          <w:b/>
        </w:rPr>
        <w:t>pieredzei būvju klasēs un grupās</w:t>
      </w:r>
    </w:p>
    <w:p w14:paraId="64E7DFE7" w14:textId="77777777" w:rsidR="0000757E" w:rsidRDefault="0000757E" w:rsidP="00641570">
      <w:pPr>
        <w:spacing w:after="0"/>
        <w:jc w:val="center"/>
        <w:rPr>
          <w:b/>
        </w:rPr>
      </w:pP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418"/>
        <w:gridCol w:w="1672"/>
      </w:tblGrid>
      <w:tr w:rsidR="002F5305" w:rsidRPr="00596E5E" w14:paraId="694119D5" w14:textId="77777777" w:rsidTr="002F0FB1">
        <w:trPr>
          <w:trHeight w:val="114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089D" w14:textId="77777777" w:rsidR="0000757E" w:rsidRDefault="0000757E" w:rsidP="0000757E">
            <w:pPr>
              <w:spacing w:after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Darbu veidi/</w:t>
            </w:r>
          </w:p>
          <w:p w14:paraId="694119D0" w14:textId="0EB82BA4" w:rsidR="002F5305" w:rsidRPr="0000757E" w:rsidRDefault="002F5305" w:rsidP="0000757E">
            <w:pPr>
              <w:spacing w:after="0"/>
              <w:jc w:val="center"/>
              <w:rPr>
                <w:bCs/>
                <w:color w:val="000000"/>
                <w:sz w:val="27"/>
                <w:szCs w:val="27"/>
              </w:rPr>
            </w:pPr>
            <w:r w:rsidRPr="0000757E">
              <w:rPr>
                <w:bCs/>
                <w:color w:val="000000"/>
                <w:sz w:val="27"/>
                <w:szCs w:val="27"/>
              </w:rPr>
              <w:t>Būvju veidi</w:t>
            </w:r>
            <w:r w:rsidR="00C72B76" w:rsidRPr="0000757E">
              <w:rPr>
                <w:bCs/>
                <w:color w:val="000000"/>
                <w:sz w:val="27"/>
                <w:szCs w:val="27"/>
                <w:vertAlign w:val="superscript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D1" w14:textId="77777777" w:rsidR="002F5305" w:rsidRPr="0000757E" w:rsidRDefault="002F5305" w:rsidP="0000757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0757E">
              <w:rPr>
                <w:bCs/>
                <w:color w:val="000000"/>
                <w:sz w:val="27"/>
                <w:szCs w:val="27"/>
              </w:rPr>
              <w:t>Jaunu būvju būvniecība, pārbūve, atjaunošana, novietošana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D2" w14:textId="76F279A5" w:rsidR="002F5305" w:rsidRPr="0000757E" w:rsidRDefault="002F5305" w:rsidP="0000757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0757E">
              <w:rPr>
                <w:bCs/>
                <w:color w:val="000000"/>
                <w:sz w:val="27"/>
                <w:szCs w:val="27"/>
              </w:rPr>
              <w:t>Restaurācija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D3" w14:textId="4A6EE84D" w:rsidR="002F5305" w:rsidRPr="0000757E" w:rsidRDefault="002F5305" w:rsidP="0000757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0757E">
              <w:rPr>
                <w:bCs/>
                <w:color w:val="000000"/>
                <w:sz w:val="27"/>
                <w:szCs w:val="27"/>
              </w:rPr>
              <w:t>Nojauk</w:t>
            </w:r>
            <w:r w:rsidR="0000757E">
              <w:rPr>
                <w:bCs/>
                <w:color w:val="000000"/>
                <w:sz w:val="27"/>
                <w:szCs w:val="27"/>
              </w:rPr>
              <w:softHyphen/>
            </w:r>
            <w:r w:rsidRPr="0000757E">
              <w:rPr>
                <w:bCs/>
                <w:color w:val="000000"/>
                <w:sz w:val="27"/>
                <w:szCs w:val="27"/>
              </w:rPr>
              <w:t>šana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D4" w14:textId="457642A7" w:rsidR="002F5305" w:rsidRPr="0000757E" w:rsidRDefault="002F5305" w:rsidP="0000757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0757E">
              <w:rPr>
                <w:bCs/>
                <w:color w:val="000000"/>
                <w:sz w:val="27"/>
                <w:szCs w:val="27"/>
              </w:rPr>
              <w:t>Vienkāršotā fasādes atjaunošana</w:t>
            </w:r>
          </w:p>
        </w:tc>
      </w:tr>
      <w:tr w:rsidR="002F5305" w:rsidRPr="00596E5E" w14:paraId="694119D8" w14:textId="77777777" w:rsidTr="002F0FB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D6" w14:textId="77777777" w:rsidR="002F5305" w:rsidRPr="00596E5E" w:rsidRDefault="002F5305" w:rsidP="0078081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D7" w14:textId="2E858C97" w:rsidR="002F5305" w:rsidRPr="00596E5E" w:rsidRDefault="002F5305" w:rsidP="00780816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96E5E">
              <w:rPr>
                <w:b/>
                <w:bCs/>
                <w:color w:val="000000"/>
                <w:sz w:val="27"/>
                <w:szCs w:val="27"/>
              </w:rPr>
              <w:t>I grupas būves</w:t>
            </w:r>
            <w:r w:rsidR="00C72B76" w:rsidRPr="00C72B76">
              <w:rPr>
                <w:bCs/>
                <w:color w:val="000000"/>
                <w:sz w:val="27"/>
                <w:szCs w:val="27"/>
                <w:vertAlign w:val="superscript"/>
              </w:rPr>
              <w:t>3</w:t>
            </w:r>
          </w:p>
        </w:tc>
      </w:tr>
      <w:tr w:rsidR="002F5305" w:rsidRPr="00596E5E" w14:paraId="694119DE" w14:textId="77777777" w:rsidTr="002F0FB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D9" w14:textId="77777777" w:rsidR="002F5305" w:rsidRPr="00596E5E" w:rsidRDefault="002F5305" w:rsidP="00780816">
            <w:pPr>
              <w:jc w:val="both"/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 xml:space="preserve">Ēkas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DA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DB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DC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DD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2F5305" w:rsidRPr="00596E5E" w14:paraId="694119E4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DF" w14:textId="77777777" w:rsidR="002F5305" w:rsidRPr="00596E5E" w:rsidRDefault="002F5305" w:rsidP="0078081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Autoceļi un ielas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E0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E1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E2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E3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2F5305" w:rsidRPr="00596E5E" w14:paraId="694119EA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E5" w14:textId="2F341F42" w:rsidR="00596E5E" w:rsidRPr="00596E5E" w:rsidRDefault="002F5305" w:rsidP="002F0FB1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Dzelzceļa būves (valsts, pašvaldību un privāt</w:t>
            </w:r>
            <w:r w:rsidR="002F0FB1">
              <w:rPr>
                <w:color w:val="000000"/>
                <w:sz w:val="27"/>
                <w:szCs w:val="27"/>
              </w:rPr>
              <w:t>ās</w:t>
            </w:r>
            <w:r w:rsidRPr="00596E5E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E6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E7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E8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E9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2F5305" w:rsidRPr="00596E5E" w14:paraId="694119F0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EB" w14:textId="77777777" w:rsidR="002F5305" w:rsidRPr="00596E5E" w:rsidRDefault="002F5305" w:rsidP="0078081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Elektronisko sakaru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EC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ED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EE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EF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2F5305" w:rsidRPr="00596E5E" w14:paraId="694119F6" w14:textId="77777777" w:rsidTr="002F0FB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F1" w14:textId="77777777" w:rsidR="002F5305" w:rsidRPr="00596E5E" w:rsidRDefault="002F5305" w:rsidP="0078081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Enerģijas ražošanas, glabāšanas, pārvades un sadales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F2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F3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F4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F5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2F5305" w:rsidRPr="00596E5E" w14:paraId="694119FC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F7" w14:textId="77777777" w:rsidR="002F5305" w:rsidRPr="00596E5E" w:rsidRDefault="002F5305" w:rsidP="0078081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Hidrotehniskās un meliorācijas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F8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F9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9FA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9FB" w14:textId="77777777"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02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9FD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Ar radiācijas drošību saistītās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9FE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9FF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00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01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08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03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Būves Latvijas Republikas teritoriālajos ūdeņos un ekskluzīvajā ekonomiskajā zonā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04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05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06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07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0E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A09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Ostu hidrotehniskās, siltumenerģijas, gāzes un citas atsevišķi neklasificētas inženierbūves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A0A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A0B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11A0C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A0D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</w:tbl>
    <w:p w14:paraId="3E7C10BD" w14:textId="6250D0D5" w:rsidR="002F0FB1" w:rsidRDefault="002F0FB1"/>
    <w:p w14:paraId="516861F4" w14:textId="77777777" w:rsidR="002F0FB1" w:rsidRDefault="002F0FB1">
      <w:pPr>
        <w:spacing w:after="0"/>
      </w:pPr>
      <w:r>
        <w:br w:type="page"/>
      </w:r>
    </w:p>
    <w:p w14:paraId="7F0E4A99" w14:textId="77777777" w:rsidR="002F0FB1" w:rsidRDefault="002F0FB1"/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418"/>
        <w:gridCol w:w="1672"/>
      </w:tblGrid>
      <w:tr w:rsidR="00F135BD" w:rsidRPr="00596E5E" w14:paraId="69411A11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0F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10" w14:textId="546F575E" w:rsidR="00F135BD" w:rsidRPr="00596E5E" w:rsidRDefault="00F135BD" w:rsidP="00F135BD">
            <w:pPr>
              <w:jc w:val="center"/>
              <w:rPr>
                <w:rFonts w:ascii="Segoe UI Symbol" w:hAnsi="Segoe UI Symbol" w:cs="Segoe UI Symbol"/>
                <w:color w:val="000000"/>
                <w:sz w:val="27"/>
                <w:szCs w:val="27"/>
              </w:rPr>
            </w:pPr>
            <w:r w:rsidRPr="00596E5E">
              <w:rPr>
                <w:b/>
                <w:bCs/>
                <w:color w:val="000000"/>
                <w:sz w:val="27"/>
                <w:szCs w:val="27"/>
              </w:rPr>
              <w:t>II grupas būves</w:t>
            </w:r>
            <w:r w:rsidR="00C72B76" w:rsidRPr="00C72B76">
              <w:rPr>
                <w:bCs/>
                <w:color w:val="000000"/>
                <w:sz w:val="27"/>
                <w:szCs w:val="27"/>
                <w:vertAlign w:val="superscript"/>
              </w:rPr>
              <w:t>3</w:t>
            </w:r>
          </w:p>
        </w:tc>
      </w:tr>
      <w:tr w:rsidR="00F135BD" w:rsidRPr="00596E5E" w14:paraId="69411A17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12" w14:textId="77777777" w:rsidR="00F135BD" w:rsidRPr="00596E5E" w:rsidRDefault="00F135BD" w:rsidP="00F135BD">
            <w:pPr>
              <w:jc w:val="both"/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 xml:space="preserve">Ēkas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9411A13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1A14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1A15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16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1D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18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Autoceļi un ielas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19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1A1A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1A1B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1C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23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1E" w14:textId="7A9A6E25" w:rsidR="00F135BD" w:rsidRPr="00596E5E" w:rsidRDefault="00F135BD" w:rsidP="002F0FB1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Dzelzceļa būves (valsts, pašvaldību un privāt</w:t>
            </w:r>
            <w:r w:rsidR="002F0FB1">
              <w:rPr>
                <w:color w:val="000000"/>
                <w:sz w:val="27"/>
                <w:szCs w:val="27"/>
              </w:rPr>
              <w:t>ās</w:t>
            </w:r>
            <w:r w:rsidRPr="00596E5E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1F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20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21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22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29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24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Elektronisko sakaru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25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26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27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28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2F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2A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Enerģijas ražošanas, glabāšanas, pārvades un sadales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2B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2C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2D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2E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35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30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Hidrotehniskās un meliorācijas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31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32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33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34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3B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36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Ar radiācijas drošību saistītās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37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38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39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3A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41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3C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Būves Latvijas Republikas teritoriālajos ūdeņos un ekskluzīvajā ekonomiskajā zonā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3D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3E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3F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40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47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42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Ostu hidrotehniskās, siltumenerģijas, gāzes un citas atsevišķi neklasificētas inženierbūves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43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44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45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46" w14:textId="77777777"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4A" w14:textId="77777777" w:rsidTr="002F0FB1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48" w14:textId="77777777"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49" w14:textId="24ADC5DE" w:rsidR="00F135BD" w:rsidRPr="00596E5E" w:rsidRDefault="00F135BD" w:rsidP="00F135BD">
            <w:pPr>
              <w:jc w:val="center"/>
              <w:rPr>
                <w:rFonts w:ascii="Segoe UI Symbol" w:hAnsi="Segoe UI Symbol" w:cs="Segoe UI Symbol"/>
                <w:color w:val="000000"/>
                <w:sz w:val="27"/>
                <w:szCs w:val="27"/>
              </w:rPr>
            </w:pPr>
            <w:r w:rsidRPr="00596E5E">
              <w:rPr>
                <w:b/>
                <w:bCs/>
                <w:color w:val="000000"/>
                <w:sz w:val="27"/>
                <w:szCs w:val="27"/>
              </w:rPr>
              <w:t>III grupas būves</w:t>
            </w:r>
            <w:r w:rsidR="00C72B76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C72B76" w:rsidRPr="00C72B76">
              <w:rPr>
                <w:bCs/>
                <w:color w:val="000000"/>
                <w:sz w:val="27"/>
                <w:szCs w:val="27"/>
                <w:vertAlign w:val="superscript"/>
              </w:rPr>
              <w:t>3</w:t>
            </w:r>
          </w:p>
        </w:tc>
      </w:tr>
      <w:tr w:rsidR="00F135BD" w:rsidRPr="00596E5E" w14:paraId="69411A50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4B" w14:textId="77777777" w:rsidR="00F135BD" w:rsidRPr="00596E5E" w:rsidRDefault="00F135BD" w:rsidP="006F57D6">
            <w:pPr>
              <w:jc w:val="both"/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 xml:space="preserve">Ēkas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9411A4C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1A4D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1A4E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4F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56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51" w14:textId="77777777"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Autoceļi un ielas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52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1A53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1A54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55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5C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57" w14:textId="062354EC" w:rsidR="00F135BD" w:rsidRPr="00596E5E" w:rsidRDefault="00F135BD" w:rsidP="002F0FB1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Dzelzceļa būves (valsts, pašvaldību un privāt</w:t>
            </w:r>
            <w:r w:rsidR="002F0FB1">
              <w:rPr>
                <w:color w:val="000000"/>
                <w:sz w:val="27"/>
                <w:szCs w:val="27"/>
              </w:rPr>
              <w:t>ās</w:t>
            </w:r>
            <w:r w:rsidRPr="00596E5E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58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59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5A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5B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62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5D" w14:textId="77777777"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Elektronisko sakaru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5E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5F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60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61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68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63" w14:textId="77777777"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Enerģijas ražošanas, glabāšanas, pārvades un sadales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64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65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66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67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6E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69" w14:textId="77777777"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Hidrotehniskās un meliorācijas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6A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6B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6C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6D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74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6F" w14:textId="77777777"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lastRenderedPageBreak/>
              <w:t>Ar radiācijas drošību saistītās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70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71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72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73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7A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75" w14:textId="77777777"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Būves Latvijas Republikas teritoriālajos ūdeņos un ekskluzīvajā ekonomiskajā zonā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76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77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78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79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14:paraId="69411A80" w14:textId="77777777" w:rsidTr="002F0FB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7B" w14:textId="77777777"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Ostu hidrotehniskās, siltumenerģijas, gāzes un citas atsevišķi neklasificētas inženierbūves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411A7C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7D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1A7E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A7F" w14:textId="77777777"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bookmarkEnd w:id="0"/>
    </w:tbl>
    <w:p w14:paraId="69411A81" w14:textId="77777777" w:rsidR="00F135BD" w:rsidRPr="002F0FB1" w:rsidRDefault="00F135BD" w:rsidP="002F5305">
      <w:pPr>
        <w:ind w:right="-1"/>
        <w:rPr>
          <w:bCs/>
          <w:sz w:val="24"/>
          <w:szCs w:val="24"/>
        </w:rPr>
      </w:pPr>
    </w:p>
    <w:p w14:paraId="147D91B1" w14:textId="45F42169" w:rsidR="002F0FB1" w:rsidRPr="002F0FB1" w:rsidRDefault="002F0FB1" w:rsidP="002F5305">
      <w:pPr>
        <w:ind w:right="-1"/>
        <w:rPr>
          <w:bCs/>
          <w:sz w:val="24"/>
          <w:szCs w:val="24"/>
        </w:rPr>
      </w:pPr>
      <w:r w:rsidRPr="002F0FB1">
        <w:rPr>
          <w:bCs/>
          <w:sz w:val="24"/>
          <w:szCs w:val="24"/>
        </w:rPr>
        <w:t>Piezīmes.</w:t>
      </w:r>
    </w:p>
    <w:p w14:paraId="3E19FF67" w14:textId="55B9B753" w:rsidR="00D654DD" w:rsidRPr="00AA371A" w:rsidRDefault="00D654DD" w:rsidP="002F0FB1">
      <w:pPr>
        <w:ind w:right="-1" w:firstLine="709"/>
        <w:jc w:val="both"/>
        <w:rPr>
          <w:bCs/>
          <w:sz w:val="24"/>
          <w:szCs w:val="24"/>
        </w:rPr>
      </w:pPr>
      <w:r w:rsidRPr="00D654DD">
        <w:rPr>
          <w:bCs/>
          <w:sz w:val="24"/>
          <w:szCs w:val="24"/>
          <w:vertAlign w:val="superscript"/>
        </w:rPr>
        <w:t>1</w:t>
      </w:r>
      <w:r w:rsidR="001D7049">
        <w:rPr>
          <w:bCs/>
          <w:sz w:val="24"/>
          <w:szCs w:val="24"/>
        </w:rPr>
        <w:t> </w:t>
      </w:r>
      <w:r w:rsidR="008B185C">
        <w:rPr>
          <w:bCs/>
          <w:sz w:val="24"/>
          <w:szCs w:val="24"/>
        </w:rPr>
        <w:t>Būvdarbu veidus k</w:t>
      </w:r>
      <w:r>
        <w:rPr>
          <w:bCs/>
          <w:sz w:val="24"/>
          <w:szCs w:val="24"/>
        </w:rPr>
        <w:t>lasificē</w:t>
      </w:r>
      <w:r w:rsidR="008B185C">
        <w:rPr>
          <w:bCs/>
          <w:sz w:val="24"/>
          <w:szCs w:val="24"/>
        </w:rPr>
        <w:t xml:space="preserve"> saskaņā ar</w:t>
      </w:r>
      <w:r>
        <w:rPr>
          <w:bCs/>
          <w:sz w:val="24"/>
          <w:szCs w:val="24"/>
        </w:rPr>
        <w:t xml:space="preserve"> būvdarbu grup</w:t>
      </w:r>
      <w:r w:rsidR="008B185C">
        <w:rPr>
          <w:bCs/>
          <w:sz w:val="24"/>
          <w:szCs w:val="24"/>
        </w:rPr>
        <w:t>ām</w:t>
      </w:r>
      <w:r w:rsidRPr="00AA371A">
        <w:rPr>
          <w:bCs/>
          <w:sz w:val="24"/>
          <w:szCs w:val="24"/>
        </w:rPr>
        <w:t>: jaunu būvju būvniecīb</w:t>
      </w:r>
      <w:r w:rsidR="008B185C">
        <w:rPr>
          <w:bCs/>
          <w:sz w:val="24"/>
          <w:szCs w:val="24"/>
        </w:rPr>
        <w:t>a</w:t>
      </w:r>
      <w:r w:rsidRPr="00AA371A">
        <w:rPr>
          <w:bCs/>
          <w:sz w:val="24"/>
          <w:szCs w:val="24"/>
        </w:rPr>
        <w:t>, esošu būvju pārbūv</w:t>
      </w:r>
      <w:r w:rsidR="008B185C">
        <w:rPr>
          <w:bCs/>
          <w:sz w:val="24"/>
          <w:szCs w:val="24"/>
        </w:rPr>
        <w:t>e</w:t>
      </w:r>
      <w:r w:rsidRPr="00AA371A">
        <w:rPr>
          <w:bCs/>
          <w:sz w:val="24"/>
          <w:szCs w:val="24"/>
        </w:rPr>
        <w:t>, atjaunošan</w:t>
      </w:r>
      <w:r w:rsidR="008B185C">
        <w:rPr>
          <w:bCs/>
          <w:sz w:val="24"/>
          <w:szCs w:val="24"/>
        </w:rPr>
        <w:t>a</w:t>
      </w:r>
      <w:r w:rsidRPr="00AA371A">
        <w:rPr>
          <w:bCs/>
          <w:sz w:val="24"/>
          <w:szCs w:val="24"/>
        </w:rPr>
        <w:t xml:space="preserve"> un novietošan</w:t>
      </w:r>
      <w:r w:rsidR="008B185C">
        <w:rPr>
          <w:bCs/>
          <w:sz w:val="24"/>
          <w:szCs w:val="24"/>
        </w:rPr>
        <w:t>a</w:t>
      </w:r>
      <w:r w:rsidRPr="00AA371A">
        <w:rPr>
          <w:bCs/>
          <w:sz w:val="24"/>
          <w:szCs w:val="24"/>
        </w:rPr>
        <w:t xml:space="preserve"> (1), res</w:t>
      </w:r>
      <w:r w:rsidR="001D7049">
        <w:rPr>
          <w:bCs/>
          <w:sz w:val="24"/>
          <w:szCs w:val="24"/>
        </w:rPr>
        <w:t>taurācij</w:t>
      </w:r>
      <w:r w:rsidR="008B185C">
        <w:rPr>
          <w:bCs/>
          <w:sz w:val="24"/>
          <w:szCs w:val="24"/>
        </w:rPr>
        <w:t>a</w:t>
      </w:r>
      <w:r w:rsidR="001D7049">
        <w:rPr>
          <w:bCs/>
          <w:sz w:val="24"/>
          <w:szCs w:val="24"/>
        </w:rPr>
        <w:t xml:space="preserve"> (2) un nojaukšan</w:t>
      </w:r>
      <w:r w:rsidR="008B185C">
        <w:rPr>
          <w:bCs/>
          <w:sz w:val="24"/>
          <w:szCs w:val="24"/>
        </w:rPr>
        <w:t>a</w:t>
      </w:r>
      <w:r w:rsidR="001D7049">
        <w:rPr>
          <w:bCs/>
          <w:sz w:val="24"/>
          <w:szCs w:val="24"/>
        </w:rPr>
        <w:t xml:space="preserve"> (3)</w:t>
      </w:r>
      <w:r>
        <w:rPr>
          <w:bCs/>
          <w:sz w:val="24"/>
          <w:szCs w:val="24"/>
        </w:rPr>
        <w:t xml:space="preserve"> atbilstoši Būvniecības likumam,</w:t>
      </w:r>
      <w:r w:rsidRPr="00AA371A">
        <w:rPr>
          <w:bCs/>
          <w:sz w:val="24"/>
          <w:szCs w:val="24"/>
        </w:rPr>
        <w:t xml:space="preserve"> kā </w:t>
      </w:r>
      <w:r w:rsidR="001D7049">
        <w:rPr>
          <w:bCs/>
          <w:sz w:val="24"/>
          <w:szCs w:val="24"/>
        </w:rPr>
        <w:t>arī vienkāršotā atjaunošan</w:t>
      </w:r>
      <w:r w:rsidR="008B185C">
        <w:rPr>
          <w:bCs/>
          <w:sz w:val="24"/>
          <w:szCs w:val="24"/>
        </w:rPr>
        <w:t>a</w:t>
      </w:r>
      <w:r w:rsidR="001D7049">
        <w:rPr>
          <w:bCs/>
          <w:sz w:val="24"/>
          <w:szCs w:val="24"/>
        </w:rPr>
        <w:t xml:space="preserve"> (4)</w:t>
      </w:r>
      <w:r w:rsidRPr="00AA371A">
        <w:rPr>
          <w:bCs/>
          <w:sz w:val="24"/>
          <w:szCs w:val="24"/>
        </w:rPr>
        <w:t xml:space="preserve"> atbilstoši </w:t>
      </w:r>
      <w:r>
        <w:rPr>
          <w:bCs/>
          <w:sz w:val="24"/>
          <w:szCs w:val="24"/>
        </w:rPr>
        <w:t>Ministru kabineta</w:t>
      </w:r>
      <w:r w:rsidRPr="00AA371A">
        <w:rPr>
          <w:bCs/>
          <w:sz w:val="24"/>
          <w:szCs w:val="24"/>
        </w:rPr>
        <w:t xml:space="preserve"> 2014.</w:t>
      </w:r>
      <w:r w:rsidR="002F0FB1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gada 2.</w:t>
      </w:r>
      <w:r w:rsidR="002F0FB1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septembra </w:t>
      </w:r>
      <w:r w:rsidRPr="00AA371A">
        <w:rPr>
          <w:bCs/>
          <w:sz w:val="24"/>
          <w:szCs w:val="24"/>
        </w:rPr>
        <w:t>noteikumu Nr. 529</w:t>
      </w:r>
      <w:r>
        <w:rPr>
          <w:bCs/>
          <w:sz w:val="24"/>
          <w:szCs w:val="24"/>
        </w:rPr>
        <w:t xml:space="preserve"> </w:t>
      </w:r>
      <w:r w:rsidR="002F0FB1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>Ēku būvnoteikumi</w:t>
      </w:r>
      <w:r w:rsidR="002F0FB1">
        <w:rPr>
          <w:bCs/>
          <w:sz w:val="24"/>
          <w:szCs w:val="24"/>
        </w:rPr>
        <w:t>"</w:t>
      </w:r>
      <w:r w:rsidRPr="00AA371A">
        <w:rPr>
          <w:bCs/>
          <w:sz w:val="24"/>
          <w:szCs w:val="24"/>
        </w:rPr>
        <w:t xml:space="preserve"> 36.1.</w:t>
      </w:r>
      <w:r>
        <w:rPr>
          <w:bCs/>
          <w:sz w:val="24"/>
          <w:szCs w:val="24"/>
        </w:rPr>
        <w:t xml:space="preserve"> apakšpunktam un</w:t>
      </w:r>
      <w:r w:rsidRPr="00AA371A">
        <w:rPr>
          <w:bCs/>
          <w:sz w:val="24"/>
          <w:szCs w:val="24"/>
        </w:rPr>
        <w:t xml:space="preserve"> 37. un 38.</w:t>
      </w:r>
      <w:r w:rsidR="002F0FB1">
        <w:rPr>
          <w:bCs/>
          <w:sz w:val="24"/>
          <w:szCs w:val="24"/>
        </w:rPr>
        <w:t> </w:t>
      </w:r>
      <w:r w:rsidRPr="00AA371A">
        <w:rPr>
          <w:bCs/>
          <w:sz w:val="24"/>
          <w:szCs w:val="24"/>
        </w:rPr>
        <w:t>punk</w:t>
      </w:r>
      <w:r>
        <w:rPr>
          <w:bCs/>
          <w:sz w:val="24"/>
          <w:szCs w:val="24"/>
        </w:rPr>
        <w:t>tam</w:t>
      </w:r>
      <w:r w:rsidR="008B185C">
        <w:rPr>
          <w:bCs/>
          <w:sz w:val="24"/>
          <w:szCs w:val="24"/>
        </w:rPr>
        <w:t>.</w:t>
      </w:r>
    </w:p>
    <w:p w14:paraId="220CCCEA" w14:textId="3FBE2A13" w:rsidR="00D654DD" w:rsidRDefault="00D654DD" w:rsidP="002F0FB1">
      <w:pPr>
        <w:ind w:right="-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vertAlign w:val="superscript"/>
        </w:rPr>
        <w:t>2</w:t>
      </w:r>
      <w:r w:rsidR="001D7049">
        <w:rPr>
          <w:bCs/>
          <w:sz w:val="24"/>
          <w:szCs w:val="24"/>
        </w:rPr>
        <w:t> </w:t>
      </w:r>
      <w:r w:rsidR="002F0FB1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ūvju veidi norādīti atbilstoši </w:t>
      </w:r>
      <w:r w:rsidRPr="00AA371A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inistru kabineta </w:t>
      </w:r>
      <w:r w:rsidRPr="00AA371A">
        <w:rPr>
          <w:bCs/>
          <w:sz w:val="24"/>
          <w:szCs w:val="24"/>
        </w:rPr>
        <w:t>2014</w:t>
      </w:r>
      <w:r>
        <w:rPr>
          <w:bCs/>
          <w:sz w:val="24"/>
          <w:szCs w:val="24"/>
        </w:rPr>
        <w:t>.</w:t>
      </w:r>
      <w:r w:rsidR="002F0FB1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gada 19.</w:t>
      </w:r>
      <w:r w:rsidR="002F0FB1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augusta</w:t>
      </w:r>
      <w:r w:rsidRPr="00AA371A">
        <w:rPr>
          <w:bCs/>
          <w:sz w:val="24"/>
          <w:szCs w:val="24"/>
        </w:rPr>
        <w:t xml:space="preserve"> noteikumu Nr. 500 </w:t>
      </w:r>
      <w:r w:rsidR="002F0FB1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>Vispārīgie būvnoteikumi</w:t>
      </w:r>
      <w:r w:rsidR="002F0FB1">
        <w:rPr>
          <w:bCs/>
          <w:sz w:val="24"/>
          <w:szCs w:val="24"/>
        </w:rPr>
        <w:t>"</w:t>
      </w:r>
      <w:r w:rsidRPr="00AA371A">
        <w:rPr>
          <w:bCs/>
          <w:sz w:val="24"/>
          <w:szCs w:val="24"/>
        </w:rPr>
        <w:t xml:space="preserve"> 1.</w:t>
      </w:r>
      <w:r>
        <w:rPr>
          <w:bCs/>
          <w:sz w:val="24"/>
          <w:szCs w:val="24"/>
        </w:rPr>
        <w:t> </w:t>
      </w:r>
      <w:r w:rsidRPr="00AA371A">
        <w:rPr>
          <w:bCs/>
          <w:sz w:val="24"/>
          <w:szCs w:val="24"/>
        </w:rPr>
        <w:t>pielikum</w:t>
      </w:r>
      <w:r>
        <w:rPr>
          <w:bCs/>
          <w:sz w:val="24"/>
          <w:szCs w:val="24"/>
        </w:rPr>
        <w:t xml:space="preserve">am. </w:t>
      </w:r>
    </w:p>
    <w:p w14:paraId="243BF90A" w14:textId="62C83E0B" w:rsidR="00D654DD" w:rsidRDefault="00D654DD" w:rsidP="002F0FB1">
      <w:pPr>
        <w:ind w:right="-1" w:firstLine="709"/>
        <w:jc w:val="both"/>
        <w:rPr>
          <w:bCs/>
          <w:sz w:val="24"/>
          <w:szCs w:val="24"/>
        </w:rPr>
      </w:pPr>
      <w:r w:rsidRPr="00D654DD">
        <w:rPr>
          <w:bCs/>
          <w:sz w:val="24"/>
          <w:szCs w:val="24"/>
          <w:vertAlign w:val="superscript"/>
        </w:rPr>
        <w:t>3</w:t>
      </w:r>
      <w:r w:rsidR="001D7049" w:rsidRPr="001D7049">
        <w:rPr>
          <w:bCs/>
          <w:sz w:val="24"/>
          <w:szCs w:val="24"/>
        </w:rPr>
        <w:t> </w:t>
      </w:r>
      <w:r w:rsidR="002F0FB1">
        <w:rPr>
          <w:bCs/>
          <w:sz w:val="24"/>
          <w:szCs w:val="24"/>
        </w:rPr>
        <w:t>B</w:t>
      </w:r>
      <w:r w:rsidRPr="00AA371A">
        <w:rPr>
          <w:bCs/>
          <w:sz w:val="24"/>
          <w:szCs w:val="24"/>
        </w:rPr>
        <w:t>ūvju grup</w:t>
      </w:r>
      <w:r>
        <w:rPr>
          <w:bCs/>
          <w:sz w:val="24"/>
          <w:szCs w:val="24"/>
        </w:rPr>
        <w:t>as norādītas</w:t>
      </w:r>
      <w:r w:rsidRPr="00AA371A">
        <w:rPr>
          <w:bCs/>
          <w:sz w:val="24"/>
          <w:szCs w:val="24"/>
        </w:rPr>
        <w:t xml:space="preserve"> atbilstoši </w:t>
      </w:r>
      <w:r>
        <w:rPr>
          <w:bCs/>
          <w:sz w:val="24"/>
          <w:szCs w:val="24"/>
        </w:rPr>
        <w:t xml:space="preserve">Ministru kabineta </w:t>
      </w:r>
      <w:r w:rsidRPr="00AA371A">
        <w:rPr>
          <w:bCs/>
          <w:sz w:val="24"/>
          <w:szCs w:val="24"/>
        </w:rPr>
        <w:t>2014</w:t>
      </w:r>
      <w:r>
        <w:rPr>
          <w:bCs/>
          <w:sz w:val="24"/>
          <w:szCs w:val="24"/>
        </w:rPr>
        <w:t>.</w:t>
      </w:r>
      <w:r w:rsidR="001D7049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gada 19.</w:t>
      </w:r>
      <w:r w:rsidR="001D7049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augusta</w:t>
      </w:r>
      <w:r w:rsidRPr="00AA371A">
        <w:rPr>
          <w:bCs/>
          <w:sz w:val="24"/>
          <w:szCs w:val="24"/>
        </w:rPr>
        <w:t xml:space="preserve"> noteikumu Nr. 500 </w:t>
      </w:r>
      <w:r w:rsidR="001D7049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>Vispārīgie būvnoteikumi</w:t>
      </w:r>
      <w:r w:rsidR="001D7049">
        <w:rPr>
          <w:bCs/>
          <w:sz w:val="24"/>
          <w:szCs w:val="24"/>
        </w:rPr>
        <w:t>"</w:t>
      </w:r>
      <w:r w:rsidRPr="00AA371A">
        <w:rPr>
          <w:bCs/>
          <w:sz w:val="24"/>
          <w:szCs w:val="24"/>
        </w:rPr>
        <w:t xml:space="preserve"> 1.</w:t>
      </w:r>
      <w:r w:rsidR="001D7049">
        <w:rPr>
          <w:bCs/>
          <w:sz w:val="24"/>
          <w:szCs w:val="24"/>
        </w:rPr>
        <w:t> </w:t>
      </w:r>
      <w:r w:rsidRPr="00AA371A">
        <w:rPr>
          <w:bCs/>
          <w:sz w:val="24"/>
          <w:szCs w:val="24"/>
        </w:rPr>
        <w:t>pielikum</w:t>
      </w:r>
      <w:r>
        <w:rPr>
          <w:bCs/>
          <w:sz w:val="24"/>
          <w:szCs w:val="24"/>
        </w:rPr>
        <w:t>am</w:t>
      </w:r>
      <w:r w:rsidR="007E32E2">
        <w:rPr>
          <w:bCs/>
          <w:sz w:val="24"/>
          <w:szCs w:val="24"/>
        </w:rPr>
        <w:t>.</w:t>
      </w:r>
    </w:p>
    <w:p w14:paraId="36DCC398" w14:textId="77777777" w:rsidR="001C0774" w:rsidRPr="00C514FD" w:rsidRDefault="001C077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486E8B" w14:textId="77777777" w:rsidR="001C0774" w:rsidRPr="00C514FD" w:rsidRDefault="001C077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C5998C" w14:textId="77777777" w:rsidR="001C0774" w:rsidRPr="00C514FD" w:rsidRDefault="001C0774" w:rsidP="001C077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6A05B89" w14:textId="77777777" w:rsidR="001C0774" w:rsidRDefault="001C0774" w:rsidP="001C0774">
      <w:pPr>
        <w:tabs>
          <w:tab w:val="left" w:pos="6521"/>
          <w:tab w:val="right" w:pos="8820"/>
        </w:tabs>
        <w:spacing w:after="0"/>
        <w:ind w:firstLine="709"/>
      </w:pPr>
      <w:r>
        <w:t>Ministru prezidenta biedrs,</w:t>
      </w:r>
    </w:p>
    <w:p w14:paraId="00E48225" w14:textId="77777777" w:rsidR="001C0774" w:rsidRPr="00C514FD" w:rsidRDefault="001C0774" w:rsidP="001C0774">
      <w:pPr>
        <w:tabs>
          <w:tab w:val="left" w:pos="6521"/>
          <w:tab w:val="right" w:pos="8820"/>
        </w:tabs>
        <w:spacing w:after="0"/>
        <w:ind w:firstLine="709"/>
      </w:pPr>
      <w:r>
        <w:t>ekonomikas ministrs</w:t>
      </w:r>
      <w:r>
        <w:tab/>
        <w:t xml:space="preserve">Arvils </w:t>
      </w:r>
      <w:proofErr w:type="spellStart"/>
      <w:r>
        <w:t>Ašeradens</w:t>
      </w:r>
      <w:proofErr w:type="spellEnd"/>
    </w:p>
    <w:p w14:paraId="21EA3459" w14:textId="277461E8" w:rsidR="001C0774" w:rsidRPr="00AA371A" w:rsidRDefault="001C0774" w:rsidP="001C0774">
      <w:pPr>
        <w:spacing w:after="0"/>
        <w:ind w:right="-1"/>
        <w:rPr>
          <w:bCs/>
          <w:sz w:val="24"/>
          <w:szCs w:val="24"/>
        </w:rPr>
      </w:pPr>
    </w:p>
    <w:sectPr w:rsidR="001C0774" w:rsidRPr="00AA371A" w:rsidSect="00CE371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11A97" w14:textId="77777777" w:rsidR="005E3EF6" w:rsidRDefault="005E3EF6" w:rsidP="00CE3713">
      <w:pPr>
        <w:spacing w:after="0"/>
      </w:pPr>
      <w:r>
        <w:separator/>
      </w:r>
    </w:p>
  </w:endnote>
  <w:endnote w:type="continuationSeparator" w:id="0">
    <w:p w14:paraId="69411A98" w14:textId="77777777" w:rsidR="005E3EF6" w:rsidRDefault="005E3EF6" w:rsidP="00CE3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C5B4" w14:textId="77777777" w:rsidR="001C0774" w:rsidRPr="001C0774" w:rsidRDefault="001C0774" w:rsidP="001C0774">
    <w:pPr>
      <w:pStyle w:val="Footer"/>
      <w:rPr>
        <w:sz w:val="16"/>
        <w:szCs w:val="16"/>
      </w:rPr>
    </w:pPr>
    <w:r w:rsidRPr="001C0774">
      <w:rPr>
        <w:sz w:val="16"/>
        <w:szCs w:val="16"/>
      </w:rPr>
      <w:t>N0177_6p1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9695" w14:textId="7F0A6833" w:rsidR="001C0774" w:rsidRPr="001C0774" w:rsidRDefault="001C0774">
    <w:pPr>
      <w:pStyle w:val="Footer"/>
      <w:rPr>
        <w:sz w:val="16"/>
        <w:szCs w:val="16"/>
      </w:rPr>
    </w:pPr>
    <w:r w:rsidRPr="001C0774">
      <w:rPr>
        <w:sz w:val="16"/>
        <w:szCs w:val="16"/>
      </w:rPr>
      <w:t>N0177_6p1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11A95" w14:textId="77777777" w:rsidR="005E3EF6" w:rsidRDefault="005E3EF6" w:rsidP="00CE3713">
      <w:pPr>
        <w:spacing w:after="0"/>
      </w:pPr>
      <w:r>
        <w:separator/>
      </w:r>
    </w:p>
  </w:footnote>
  <w:footnote w:type="continuationSeparator" w:id="0">
    <w:p w14:paraId="69411A96" w14:textId="77777777" w:rsidR="005E3EF6" w:rsidRDefault="005E3EF6" w:rsidP="00CE3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533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9411A99" w14:textId="77777777" w:rsidR="00CE3713" w:rsidRPr="001C0774" w:rsidRDefault="00CE3713">
        <w:pPr>
          <w:pStyle w:val="Header"/>
          <w:jc w:val="center"/>
          <w:rPr>
            <w:sz w:val="24"/>
            <w:szCs w:val="24"/>
          </w:rPr>
        </w:pPr>
        <w:r w:rsidRPr="001C0774">
          <w:rPr>
            <w:sz w:val="24"/>
            <w:szCs w:val="24"/>
          </w:rPr>
          <w:fldChar w:fldCharType="begin"/>
        </w:r>
        <w:r w:rsidRPr="001C0774">
          <w:rPr>
            <w:sz w:val="24"/>
            <w:szCs w:val="24"/>
          </w:rPr>
          <w:instrText xml:space="preserve"> PAGE   \* MERGEFORMAT </w:instrText>
        </w:r>
        <w:r w:rsidRPr="001C0774">
          <w:rPr>
            <w:sz w:val="24"/>
            <w:szCs w:val="24"/>
          </w:rPr>
          <w:fldChar w:fldCharType="separate"/>
        </w:r>
        <w:r w:rsidR="00C802CE">
          <w:rPr>
            <w:noProof/>
            <w:sz w:val="24"/>
            <w:szCs w:val="24"/>
          </w:rPr>
          <w:t>3</w:t>
        </w:r>
        <w:r w:rsidRPr="001C0774">
          <w:rPr>
            <w:noProof/>
            <w:sz w:val="24"/>
            <w:szCs w:val="24"/>
          </w:rPr>
          <w:fldChar w:fldCharType="end"/>
        </w:r>
      </w:p>
    </w:sdtContent>
  </w:sdt>
  <w:p w14:paraId="69411A9A" w14:textId="77777777" w:rsidR="00CE3713" w:rsidRDefault="00CE3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6"/>
    <w:multiLevelType w:val="hybridMultilevel"/>
    <w:tmpl w:val="245891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05"/>
    <w:rsid w:val="0000757E"/>
    <w:rsid w:val="000654F9"/>
    <w:rsid w:val="001C0774"/>
    <w:rsid w:val="001D7049"/>
    <w:rsid w:val="00251393"/>
    <w:rsid w:val="002A0F95"/>
    <w:rsid w:val="002F0FB1"/>
    <w:rsid w:val="002F5305"/>
    <w:rsid w:val="00314F8E"/>
    <w:rsid w:val="00323D86"/>
    <w:rsid w:val="00332A7B"/>
    <w:rsid w:val="0034483A"/>
    <w:rsid w:val="003C320F"/>
    <w:rsid w:val="005657FB"/>
    <w:rsid w:val="00596E5E"/>
    <w:rsid w:val="005E3EF6"/>
    <w:rsid w:val="005F325A"/>
    <w:rsid w:val="00641570"/>
    <w:rsid w:val="00643B8D"/>
    <w:rsid w:val="007E32E2"/>
    <w:rsid w:val="00833E01"/>
    <w:rsid w:val="00865078"/>
    <w:rsid w:val="008B185C"/>
    <w:rsid w:val="009537FC"/>
    <w:rsid w:val="009E508F"/>
    <w:rsid w:val="009F12D0"/>
    <w:rsid w:val="00B25104"/>
    <w:rsid w:val="00BC5BC1"/>
    <w:rsid w:val="00BC67D8"/>
    <w:rsid w:val="00C02566"/>
    <w:rsid w:val="00C37731"/>
    <w:rsid w:val="00C61D78"/>
    <w:rsid w:val="00C72B76"/>
    <w:rsid w:val="00C802CE"/>
    <w:rsid w:val="00CA7A34"/>
    <w:rsid w:val="00CE3713"/>
    <w:rsid w:val="00CF3F13"/>
    <w:rsid w:val="00D323B4"/>
    <w:rsid w:val="00D654DD"/>
    <w:rsid w:val="00DC35CF"/>
    <w:rsid w:val="00F135BD"/>
    <w:rsid w:val="00F27B75"/>
    <w:rsid w:val="00F33A83"/>
    <w:rsid w:val="00F360C1"/>
    <w:rsid w:val="00F914FE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41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05"/>
    <w:pPr>
      <w:spacing w:after="120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1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713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CE371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713"/>
    <w:rPr>
      <w:szCs w:val="28"/>
    </w:rPr>
  </w:style>
  <w:style w:type="paragraph" w:styleId="ListParagraph">
    <w:name w:val="List Paragraph"/>
    <w:basedOn w:val="Normal"/>
    <w:uiPriority w:val="34"/>
    <w:qFormat/>
    <w:rsid w:val="001C0774"/>
    <w:pPr>
      <w:ind w:left="720"/>
      <w:contextualSpacing/>
    </w:pPr>
  </w:style>
  <w:style w:type="paragraph" w:customStyle="1" w:styleId="naisf">
    <w:name w:val="naisf"/>
    <w:basedOn w:val="Normal"/>
    <w:rsid w:val="001C0774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05"/>
    <w:pPr>
      <w:spacing w:after="120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1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713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CE371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713"/>
    <w:rPr>
      <w:szCs w:val="28"/>
    </w:rPr>
  </w:style>
  <w:style w:type="paragraph" w:styleId="ListParagraph">
    <w:name w:val="List Paragraph"/>
    <w:basedOn w:val="Normal"/>
    <w:uiPriority w:val="34"/>
    <w:qFormat/>
    <w:rsid w:val="001C0774"/>
    <w:pPr>
      <w:ind w:left="720"/>
      <w:contextualSpacing/>
    </w:pPr>
  </w:style>
  <w:style w:type="paragraph" w:customStyle="1" w:styleId="naisf">
    <w:name w:val="naisf"/>
    <w:basedOn w:val="Normal"/>
    <w:rsid w:val="001C0774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Būvkomersantu klasifikācijas noteikumi</vt:lpstr>
    </vt:vector>
  </TitlesOfParts>
  <Manager/>
  <Company>Latvijas Republikas Ekonomikas ministrija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Būvkomersantu klasifikācijas noteikumi</dc:title>
  <dc:subject>Ministru kabineta noteikumu 1.pielikums</dc:subject>
  <dc:creator>Brigita Ķirule-Vīksne</dc:creator>
  <cp:keywords/>
  <dc:description>Brigita.Kirule-Viksne@em.gov.lv, +371 67013051</dc:description>
  <cp:lastModifiedBy>Leontīne Babkina</cp:lastModifiedBy>
  <cp:revision>15</cp:revision>
  <cp:lastPrinted>2016-02-25T13:15:00Z</cp:lastPrinted>
  <dcterms:created xsi:type="dcterms:W3CDTF">2016-01-28T08:23:00Z</dcterms:created>
  <dcterms:modified xsi:type="dcterms:W3CDTF">2016-04-13T11:48:00Z</dcterms:modified>
</cp:coreProperties>
</file>