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99BF7" w14:textId="77777777" w:rsidR="000F7F53" w:rsidRPr="00CC3352" w:rsidRDefault="000F7F53" w:rsidP="004B2B77">
      <w:pPr>
        <w:spacing w:after="0" w:line="240" w:lineRule="auto"/>
        <w:jc w:val="center"/>
        <w:outlineLvl w:val="2"/>
        <w:rPr>
          <w:rFonts w:ascii="Times New Roman" w:eastAsia="Times New Roman" w:hAnsi="Times New Roman"/>
          <w:b/>
          <w:bCs/>
          <w:sz w:val="24"/>
          <w:szCs w:val="24"/>
          <w:lang w:eastAsia="lv-LV"/>
        </w:rPr>
      </w:pPr>
      <w:bookmarkStart w:id="0" w:name="b"/>
      <w:bookmarkEnd w:id="0"/>
      <w:r w:rsidRPr="00CC3352">
        <w:rPr>
          <w:rFonts w:ascii="Times New Roman" w:eastAsia="Times New Roman" w:hAnsi="Times New Roman"/>
          <w:b/>
          <w:bCs/>
          <w:sz w:val="24"/>
          <w:szCs w:val="24"/>
          <w:lang w:eastAsia="lv-LV"/>
        </w:rPr>
        <w:t>Likumprojekta „</w:t>
      </w:r>
      <w:r w:rsidR="00DD426C">
        <w:rPr>
          <w:rFonts w:ascii="Times New Roman" w:hAnsi="Times New Roman"/>
          <w:b/>
          <w:sz w:val="24"/>
          <w:szCs w:val="24"/>
        </w:rPr>
        <w:t>Grozījum</w:t>
      </w:r>
      <w:r w:rsidR="00C532B8">
        <w:rPr>
          <w:rFonts w:ascii="Times New Roman" w:hAnsi="Times New Roman"/>
          <w:b/>
          <w:sz w:val="24"/>
          <w:szCs w:val="24"/>
        </w:rPr>
        <w:t>i likumā</w:t>
      </w:r>
      <w:r w:rsidR="00A94539">
        <w:rPr>
          <w:rFonts w:ascii="Times New Roman" w:hAnsi="Times New Roman"/>
          <w:b/>
          <w:sz w:val="24"/>
          <w:szCs w:val="24"/>
        </w:rPr>
        <w:t xml:space="preserve"> </w:t>
      </w:r>
      <w:r w:rsidR="00C532B8">
        <w:rPr>
          <w:rFonts w:ascii="Times New Roman" w:hAnsi="Times New Roman"/>
          <w:b/>
          <w:sz w:val="24"/>
          <w:szCs w:val="24"/>
        </w:rPr>
        <w:t>“P</w:t>
      </w:r>
      <w:r w:rsidR="004B2B77" w:rsidRPr="004B2B77">
        <w:rPr>
          <w:rFonts w:ascii="Times New Roman" w:hAnsi="Times New Roman"/>
          <w:b/>
          <w:bCs/>
          <w:sz w:val="24"/>
          <w:szCs w:val="24"/>
        </w:rPr>
        <w:t>ar norēķinu galīgumu maksājumu un finanšu instrumentu norēķinu sistēmās</w:t>
      </w:r>
      <w:r w:rsidR="00C532B8">
        <w:rPr>
          <w:rFonts w:ascii="Times New Roman" w:hAnsi="Times New Roman"/>
          <w:b/>
          <w:bCs/>
          <w:sz w:val="24"/>
          <w:szCs w:val="24"/>
        </w:rPr>
        <w:t>”</w:t>
      </w:r>
      <w:r w:rsidRPr="00CC3352">
        <w:rPr>
          <w:rFonts w:ascii="Times New Roman" w:eastAsia="Times New Roman" w:hAnsi="Times New Roman"/>
          <w:b/>
          <w:bCs/>
          <w:sz w:val="24"/>
          <w:szCs w:val="24"/>
          <w:lang w:eastAsia="lv-LV"/>
        </w:rPr>
        <w:t>”</w:t>
      </w:r>
      <w:r w:rsidR="004B2B77">
        <w:rPr>
          <w:rFonts w:ascii="Times New Roman" w:eastAsia="Times New Roman" w:hAnsi="Times New Roman"/>
          <w:b/>
          <w:bCs/>
          <w:sz w:val="24"/>
          <w:szCs w:val="24"/>
          <w:lang w:eastAsia="lv-LV"/>
        </w:rPr>
        <w:t xml:space="preserve"> </w:t>
      </w:r>
      <w:r w:rsidRPr="00CC3352">
        <w:rPr>
          <w:rFonts w:ascii="Times New Roman" w:eastAsia="Times New Roman" w:hAnsi="Times New Roman"/>
          <w:b/>
          <w:bCs/>
          <w:sz w:val="24"/>
          <w:szCs w:val="24"/>
          <w:lang w:eastAsia="lv-LV"/>
        </w:rPr>
        <w:t>sākotnējās ietekmes novērtējuma ziņojums (anotācija)</w:t>
      </w:r>
    </w:p>
    <w:p w14:paraId="556137F5" w14:textId="77777777" w:rsidR="000F7F53" w:rsidRPr="00CC3352" w:rsidRDefault="000F7F53" w:rsidP="000F7F53">
      <w:pPr>
        <w:spacing w:after="0" w:line="240" w:lineRule="auto"/>
        <w:rPr>
          <w:rFonts w:ascii="Times New Roman" w:eastAsia="Times New Roman" w:hAnsi="Times New Roman"/>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3"/>
        <w:gridCol w:w="2565"/>
        <w:gridCol w:w="5278"/>
      </w:tblGrid>
      <w:tr w:rsidR="000F7F53" w:rsidRPr="00CC3352" w14:paraId="31C814C2" w14:textId="77777777" w:rsidTr="00EC5ACB">
        <w:trPr>
          <w:trHeight w:val="405"/>
          <w:tblCellSpacing w:w="15" w:type="dxa"/>
        </w:trPr>
        <w:tc>
          <w:tcPr>
            <w:tcW w:w="0" w:type="auto"/>
            <w:gridSpan w:val="3"/>
            <w:vAlign w:val="center"/>
            <w:hideMark/>
          </w:tcPr>
          <w:p w14:paraId="0DAC9B22" w14:textId="77777777" w:rsidR="000F7F53" w:rsidRPr="00CC3352" w:rsidRDefault="000F7F53" w:rsidP="00EC5ACB">
            <w:pPr>
              <w:spacing w:after="0" w:line="240" w:lineRule="auto"/>
              <w:jc w:val="center"/>
              <w:rPr>
                <w:rFonts w:ascii="Times New Roman" w:eastAsia="Times New Roman" w:hAnsi="Times New Roman"/>
                <w:b/>
                <w:bCs/>
                <w:sz w:val="24"/>
                <w:szCs w:val="24"/>
              </w:rPr>
            </w:pPr>
            <w:r w:rsidRPr="00CC3352">
              <w:rPr>
                <w:rFonts w:ascii="Times New Roman" w:eastAsia="Times New Roman" w:hAnsi="Times New Roman"/>
                <w:b/>
                <w:bCs/>
                <w:sz w:val="24"/>
                <w:szCs w:val="24"/>
              </w:rPr>
              <w:t>I. Tiesību akta projekta izstrādes nepieciešamība</w:t>
            </w:r>
          </w:p>
        </w:tc>
      </w:tr>
      <w:tr w:rsidR="000F7F53" w:rsidRPr="00CC3352" w14:paraId="53195CF6" w14:textId="77777777" w:rsidTr="00EC5ACB">
        <w:trPr>
          <w:trHeight w:val="405"/>
          <w:tblCellSpacing w:w="15" w:type="dxa"/>
        </w:trPr>
        <w:tc>
          <w:tcPr>
            <w:tcW w:w="250" w:type="pct"/>
            <w:hideMark/>
          </w:tcPr>
          <w:p w14:paraId="63D13329" w14:textId="77777777" w:rsidR="000F7F53" w:rsidRPr="00CC3352" w:rsidRDefault="000F7F53" w:rsidP="00EC5ACB">
            <w:pPr>
              <w:spacing w:after="0" w:line="240" w:lineRule="auto"/>
              <w:jc w:val="center"/>
              <w:rPr>
                <w:rFonts w:ascii="Times New Roman" w:eastAsia="Times New Roman" w:hAnsi="Times New Roman"/>
                <w:sz w:val="24"/>
                <w:szCs w:val="24"/>
              </w:rPr>
            </w:pPr>
            <w:r w:rsidRPr="00CC3352">
              <w:rPr>
                <w:rFonts w:ascii="Times New Roman" w:eastAsia="Times New Roman" w:hAnsi="Times New Roman"/>
                <w:sz w:val="24"/>
                <w:szCs w:val="24"/>
              </w:rPr>
              <w:t>1.</w:t>
            </w:r>
          </w:p>
        </w:tc>
        <w:tc>
          <w:tcPr>
            <w:tcW w:w="1550" w:type="pct"/>
            <w:hideMark/>
          </w:tcPr>
          <w:p w14:paraId="6BA4A02E"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Pamatojums</w:t>
            </w:r>
          </w:p>
        </w:tc>
        <w:tc>
          <w:tcPr>
            <w:tcW w:w="3200" w:type="pct"/>
            <w:hideMark/>
          </w:tcPr>
          <w:p w14:paraId="25A20152" w14:textId="77777777" w:rsidR="000F7F53" w:rsidRPr="00DF332C" w:rsidRDefault="004B2B77" w:rsidP="00E71DD0">
            <w:pPr>
              <w:pStyle w:val="doc-ti"/>
              <w:spacing w:before="0" w:beforeAutospacing="0" w:after="0" w:afterAutospacing="0"/>
              <w:jc w:val="both"/>
              <w:rPr>
                <w:lang w:val="lv-LV"/>
              </w:rPr>
            </w:pPr>
            <w:r w:rsidRPr="00DF332C">
              <w:rPr>
                <w:rFonts w:eastAsia="Calibri"/>
                <w:lang w:val="lv-LV"/>
              </w:rPr>
              <w:t>Likumprojekts</w:t>
            </w:r>
            <w:r w:rsidR="00C532B8">
              <w:rPr>
                <w:rFonts w:eastAsia="Calibri"/>
                <w:lang w:val="lv-LV"/>
              </w:rPr>
              <w:t xml:space="preserve"> “Grozījumi likumā “Par norēķinu galīgumu maksājumu un finanšu instrumentu norēķinu sistēmās” (turpmāk – likumprojekts) </w:t>
            </w:r>
            <w:r w:rsidRPr="00DF332C">
              <w:rPr>
                <w:rFonts w:eastAsia="Calibri"/>
                <w:lang w:val="lv-LV"/>
              </w:rPr>
              <w:t xml:space="preserve">izstrādāts, lai nodrošinātu </w:t>
            </w:r>
            <w:r w:rsidRPr="00DF332C">
              <w:rPr>
                <w:color w:val="000000"/>
                <w:lang w:val="lv-LV"/>
              </w:rPr>
              <w:t xml:space="preserve">Eiropas Parlamenta un Padomes </w:t>
            </w:r>
            <w:r w:rsidRPr="00DF332C">
              <w:rPr>
                <w:rFonts w:eastAsia="Calibri"/>
                <w:lang w:val="lv-LV"/>
              </w:rPr>
              <w:t>regulas</w:t>
            </w:r>
            <w:r w:rsidRPr="00DF332C">
              <w:rPr>
                <w:color w:val="000000"/>
                <w:lang w:val="lv-LV"/>
              </w:rPr>
              <w:t xml:space="preserve"> (ES) Nr. 909/2014</w:t>
            </w:r>
            <w:r w:rsidRPr="00DF332C">
              <w:rPr>
                <w:rFonts w:eastAsia="Calibri"/>
                <w:lang w:val="lv-LV"/>
              </w:rPr>
              <w:t xml:space="preserve"> par vērtspapīru norēķinu uzlabošanu Eiropas Savienība, centrālajiem vērtspapīru depozitārijiem </w:t>
            </w:r>
            <w:r w:rsidRPr="00DF332C">
              <w:rPr>
                <w:color w:val="000000"/>
                <w:lang w:val="lv-LV"/>
              </w:rPr>
              <w:t>un grozījumiem Direktīvās 98/26/EK un 2014/65/ES</w:t>
            </w:r>
            <w:r w:rsidR="00E71DD0">
              <w:rPr>
                <w:color w:val="000000"/>
                <w:lang w:val="lv-LV"/>
              </w:rPr>
              <w:t xml:space="preserve"> </w:t>
            </w:r>
            <w:r w:rsidRPr="00DF332C">
              <w:rPr>
                <w:color w:val="000000"/>
                <w:lang w:val="lv-LV"/>
              </w:rPr>
              <w:t>un Regulā (ES) Nr. 236/2012,</w:t>
            </w:r>
            <w:r w:rsidRPr="00DF332C">
              <w:rPr>
                <w:rFonts w:eastAsia="Calibri"/>
                <w:lang w:val="lv-LV"/>
              </w:rPr>
              <w:t xml:space="preserve"> 70.panta</w:t>
            </w:r>
            <w:r w:rsidR="00DF332C">
              <w:rPr>
                <w:rFonts w:eastAsia="Calibri"/>
                <w:lang w:val="lv-LV"/>
              </w:rPr>
              <w:t xml:space="preserve"> pirmās daļas</w:t>
            </w:r>
            <w:r w:rsidRPr="00DF332C">
              <w:rPr>
                <w:rFonts w:eastAsia="Calibri"/>
                <w:lang w:val="lv-LV"/>
              </w:rPr>
              <w:t xml:space="preserve"> ieviešanu.</w:t>
            </w:r>
          </w:p>
        </w:tc>
      </w:tr>
      <w:tr w:rsidR="000F7F53" w:rsidRPr="00CC3352" w14:paraId="11EC88FF" w14:textId="77777777" w:rsidTr="00EC5ACB">
        <w:trPr>
          <w:trHeight w:val="465"/>
          <w:tblCellSpacing w:w="15" w:type="dxa"/>
        </w:trPr>
        <w:tc>
          <w:tcPr>
            <w:tcW w:w="250" w:type="pct"/>
            <w:hideMark/>
          </w:tcPr>
          <w:p w14:paraId="0F102FB9" w14:textId="77777777" w:rsidR="000F7F53" w:rsidRPr="00CC3352" w:rsidRDefault="000F7F53" w:rsidP="00EC5ACB">
            <w:pPr>
              <w:spacing w:after="0" w:line="240" w:lineRule="auto"/>
              <w:jc w:val="center"/>
              <w:rPr>
                <w:rFonts w:ascii="Times New Roman" w:eastAsia="Times New Roman" w:hAnsi="Times New Roman"/>
                <w:sz w:val="24"/>
                <w:szCs w:val="24"/>
              </w:rPr>
            </w:pPr>
            <w:r w:rsidRPr="00CC3352">
              <w:rPr>
                <w:rFonts w:ascii="Times New Roman" w:eastAsia="Times New Roman" w:hAnsi="Times New Roman"/>
                <w:sz w:val="24"/>
                <w:szCs w:val="24"/>
              </w:rPr>
              <w:t>2.</w:t>
            </w:r>
          </w:p>
        </w:tc>
        <w:tc>
          <w:tcPr>
            <w:tcW w:w="1550" w:type="pct"/>
            <w:hideMark/>
          </w:tcPr>
          <w:p w14:paraId="7B038453" w14:textId="77777777" w:rsidR="000F7F53" w:rsidRPr="00CC3352" w:rsidRDefault="000F7F53" w:rsidP="00B85AE1">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Pašreizējā situācija un problēmas, kuru risināšanai tiesību akta projekts izstrādāts, tiesiskā regulējuma mērķis un būtība</w:t>
            </w:r>
          </w:p>
        </w:tc>
        <w:tc>
          <w:tcPr>
            <w:tcW w:w="3200" w:type="pct"/>
            <w:hideMark/>
          </w:tcPr>
          <w:p w14:paraId="50F8663A" w14:textId="77777777" w:rsidR="000F7F53" w:rsidRDefault="00BA6919" w:rsidP="00CD39DB">
            <w:pPr>
              <w:spacing w:after="0" w:line="240" w:lineRule="auto"/>
              <w:jc w:val="both"/>
              <w:rPr>
                <w:rFonts w:ascii="Times New Roman" w:hAnsi="Times New Roman"/>
                <w:bCs/>
                <w:color w:val="000000" w:themeColor="text1"/>
                <w:sz w:val="24"/>
                <w:szCs w:val="24"/>
              </w:rPr>
            </w:pPr>
            <w:r w:rsidRPr="00B85AE1">
              <w:rPr>
                <w:rFonts w:ascii="Times New Roman" w:hAnsi="Times New Roman"/>
                <w:color w:val="000000" w:themeColor="text1"/>
                <w:sz w:val="24"/>
                <w:szCs w:val="24"/>
              </w:rPr>
              <w:t>Ar Eiropas Parlamenta un Padomes  regulas (ES) Nr. 909/2014</w:t>
            </w:r>
            <w:r w:rsidR="00DF332C">
              <w:rPr>
                <w:rFonts w:ascii="Times New Roman" w:hAnsi="Times New Roman"/>
                <w:color w:val="000000" w:themeColor="text1"/>
                <w:sz w:val="24"/>
                <w:szCs w:val="24"/>
              </w:rPr>
              <w:t xml:space="preserve"> 70.panta pirmo daļu</w:t>
            </w:r>
            <w:r w:rsidRPr="00B85AE1">
              <w:rPr>
                <w:rFonts w:ascii="Times New Roman" w:hAnsi="Times New Roman"/>
                <w:color w:val="000000" w:themeColor="text1"/>
                <w:sz w:val="24"/>
                <w:szCs w:val="24"/>
              </w:rPr>
              <w:t xml:space="preserve"> tiek izdarīti grozījumi </w:t>
            </w:r>
            <w:r w:rsidR="00B85AE1" w:rsidRPr="00B85AE1">
              <w:rPr>
                <w:rFonts w:ascii="Times New Roman" w:hAnsi="Times New Roman"/>
                <w:color w:val="000000" w:themeColor="text1"/>
                <w:sz w:val="24"/>
                <w:szCs w:val="24"/>
              </w:rPr>
              <w:t xml:space="preserve">Eiropas </w:t>
            </w:r>
            <w:r w:rsidRPr="00B85AE1">
              <w:rPr>
                <w:rStyle w:val="Strong"/>
                <w:rFonts w:ascii="Times New Roman" w:hAnsi="Times New Roman"/>
                <w:b w:val="0"/>
                <w:color w:val="000000" w:themeColor="text1"/>
                <w:sz w:val="24"/>
                <w:szCs w:val="24"/>
              </w:rPr>
              <w:t>Parlamenta un Padomes Direktīva</w:t>
            </w:r>
            <w:r w:rsidR="00B85AE1" w:rsidRPr="00B85AE1">
              <w:rPr>
                <w:rStyle w:val="Strong"/>
                <w:rFonts w:ascii="Times New Roman" w:hAnsi="Times New Roman"/>
                <w:b w:val="0"/>
                <w:color w:val="000000" w:themeColor="text1"/>
                <w:sz w:val="24"/>
                <w:szCs w:val="24"/>
              </w:rPr>
              <w:t>s</w:t>
            </w:r>
            <w:r w:rsidRPr="00B85AE1">
              <w:rPr>
                <w:rStyle w:val="Strong"/>
                <w:rFonts w:ascii="Times New Roman" w:hAnsi="Times New Roman"/>
                <w:b w:val="0"/>
                <w:color w:val="000000" w:themeColor="text1"/>
                <w:sz w:val="24"/>
                <w:szCs w:val="24"/>
              </w:rPr>
              <w:t xml:space="preserve"> 98/26/EK (1998. gada 19. maijs) par norēķinu galīgumu maksājumu un vērtspapīru norēķinu sistēmās</w:t>
            </w:r>
            <w:r w:rsidR="00B85AE1" w:rsidRPr="00B85AE1">
              <w:rPr>
                <w:rStyle w:val="Strong"/>
                <w:rFonts w:ascii="Times New Roman" w:hAnsi="Times New Roman"/>
                <w:b w:val="0"/>
                <w:color w:val="000000" w:themeColor="text1"/>
                <w:sz w:val="24"/>
                <w:szCs w:val="24"/>
              </w:rPr>
              <w:t xml:space="preserve"> 2.panta “a” apakšpunktā, precizējot vienu no</w:t>
            </w:r>
            <w:r w:rsidR="00B85AE1" w:rsidRPr="00B85AE1">
              <w:rPr>
                <w:rStyle w:val="Strong"/>
                <w:rFonts w:ascii="Times New Roman" w:hAnsi="Times New Roman"/>
                <w:color w:val="000000" w:themeColor="text1"/>
                <w:sz w:val="24"/>
                <w:szCs w:val="24"/>
              </w:rPr>
              <w:t xml:space="preserve"> </w:t>
            </w:r>
            <w:r w:rsidR="00B85AE1" w:rsidRPr="00B85AE1">
              <w:rPr>
                <w:rFonts w:ascii="Times New Roman" w:hAnsi="Times New Roman"/>
                <w:bCs/>
                <w:color w:val="000000" w:themeColor="text1"/>
                <w:sz w:val="24"/>
                <w:szCs w:val="24"/>
              </w:rPr>
              <w:t>maksājumu un finanšu instrumentu norēķinu sistēmas d</w:t>
            </w:r>
            <w:r w:rsidR="00B85AE1">
              <w:rPr>
                <w:rFonts w:ascii="Times New Roman" w:hAnsi="Times New Roman"/>
                <w:bCs/>
                <w:color w:val="000000" w:themeColor="text1"/>
                <w:sz w:val="24"/>
                <w:szCs w:val="24"/>
              </w:rPr>
              <w:t>efinē</w:t>
            </w:r>
            <w:r w:rsidR="00B85AE1" w:rsidRPr="00B85AE1">
              <w:rPr>
                <w:rFonts w:ascii="Times New Roman" w:hAnsi="Times New Roman"/>
                <w:bCs/>
                <w:color w:val="000000" w:themeColor="text1"/>
                <w:sz w:val="24"/>
                <w:szCs w:val="24"/>
              </w:rPr>
              <w:t xml:space="preserve">jošajām pazīmēm, un nosakot, ka tā ir tāda </w:t>
            </w:r>
            <w:r w:rsidR="0072467F">
              <w:rPr>
                <w:rFonts w:ascii="Times New Roman" w:hAnsi="Times New Roman"/>
                <w:bCs/>
                <w:color w:val="000000" w:themeColor="text1"/>
                <w:sz w:val="24"/>
                <w:szCs w:val="24"/>
              </w:rPr>
              <w:t>sistēma</w:t>
            </w:r>
            <w:r w:rsidR="00B85AE1" w:rsidRPr="00B85AE1">
              <w:rPr>
                <w:rFonts w:ascii="Times New Roman" w:hAnsi="Times New Roman"/>
                <w:bCs/>
                <w:color w:val="000000" w:themeColor="text1"/>
                <w:sz w:val="24"/>
                <w:szCs w:val="24"/>
              </w:rPr>
              <w:t xml:space="preserve">, ko dalībvalsts ir darījusi zināmu Eiropas Vērtspapīru un tirgu iestādei, </w:t>
            </w:r>
            <w:r w:rsidR="00CD39DB">
              <w:rPr>
                <w:rFonts w:ascii="Times New Roman" w:hAnsi="Times New Roman"/>
                <w:bCs/>
                <w:color w:val="000000" w:themeColor="text1"/>
                <w:sz w:val="24"/>
                <w:szCs w:val="24"/>
              </w:rPr>
              <w:t xml:space="preserve">aizstājot līdzšinējā redakcijā šajā punktā </w:t>
            </w:r>
            <w:r w:rsidR="00B85AE1" w:rsidRPr="00B85AE1">
              <w:rPr>
                <w:rFonts w:ascii="Times New Roman" w:hAnsi="Times New Roman"/>
                <w:bCs/>
                <w:color w:val="000000" w:themeColor="text1"/>
                <w:sz w:val="24"/>
                <w:szCs w:val="24"/>
              </w:rPr>
              <w:t>Eiropas Komisij</w:t>
            </w:r>
            <w:r w:rsidR="00CD39DB">
              <w:rPr>
                <w:rFonts w:ascii="Times New Roman" w:hAnsi="Times New Roman"/>
                <w:bCs/>
                <w:color w:val="000000" w:themeColor="text1"/>
                <w:sz w:val="24"/>
                <w:szCs w:val="24"/>
              </w:rPr>
              <w:t xml:space="preserve">u. </w:t>
            </w:r>
          </w:p>
          <w:p w14:paraId="6476A57F" w14:textId="77777777" w:rsidR="002C3A74" w:rsidRDefault="002C3A74" w:rsidP="00CD39DB">
            <w:pPr>
              <w:spacing w:after="0" w:line="240" w:lineRule="auto"/>
              <w:jc w:val="both"/>
              <w:rPr>
                <w:rFonts w:ascii="Times New Roman" w:hAnsi="Times New Roman"/>
                <w:bCs/>
                <w:color w:val="000000" w:themeColor="text1"/>
                <w:sz w:val="24"/>
                <w:szCs w:val="24"/>
              </w:rPr>
            </w:pPr>
          </w:p>
          <w:p w14:paraId="36B7DE97" w14:textId="77777777" w:rsidR="002C3A74" w:rsidRDefault="002C3A74" w:rsidP="00CD39DB">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Likumprojekts precizē sistēmas definīciju, kā vienu no sistēmu definējošām pazīmēm nosakot to, ka tā ir sistēma, kuru Latvija vai cita dalībvalsts, saskaņā ar kuras likumiem sistēma darbojas, to noteikusi par sistēmu un par šo lēmumu ir informējusi </w:t>
            </w:r>
            <w:r w:rsidR="0072467F">
              <w:rPr>
                <w:rFonts w:ascii="Times New Roman" w:hAnsi="Times New Roman"/>
                <w:bCs/>
                <w:color w:val="000000" w:themeColor="text1"/>
                <w:sz w:val="24"/>
                <w:szCs w:val="24"/>
              </w:rPr>
              <w:t>Eiropas Vērtspapīru un tirgu iestādi</w:t>
            </w:r>
            <w:r>
              <w:rPr>
                <w:rFonts w:ascii="Times New Roman" w:hAnsi="Times New Roman"/>
                <w:bCs/>
                <w:color w:val="000000" w:themeColor="text1"/>
                <w:sz w:val="24"/>
                <w:szCs w:val="24"/>
              </w:rPr>
              <w:t xml:space="preserve">. </w:t>
            </w:r>
          </w:p>
          <w:p w14:paraId="46E31E72" w14:textId="77777777" w:rsidR="002C3A74" w:rsidRDefault="002C3A74" w:rsidP="00CD39DB">
            <w:pPr>
              <w:spacing w:after="0" w:line="240" w:lineRule="auto"/>
              <w:jc w:val="both"/>
              <w:rPr>
                <w:rFonts w:ascii="Times New Roman" w:hAnsi="Times New Roman"/>
                <w:bCs/>
                <w:color w:val="000000" w:themeColor="text1"/>
                <w:sz w:val="24"/>
                <w:szCs w:val="24"/>
              </w:rPr>
            </w:pPr>
          </w:p>
          <w:p w14:paraId="1213E238" w14:textId="77777777" w:rsidR="002C3A74" w:rsidRDefault="002C3A74" w:rsidP="00CD39DB">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Vienlaikus veikti precizējumi arī likuma “Par norēķinu galīgumu maksājumu un finanšu instrumentu sistēmās” 3.panta 1.punktā, 11.panta trešās daļas 2.punktā un 20.pantā, aktualizējot šīs normas atbilstoši precizētajai definīcijai. </w:t>
            </w:r>
          </w:p>
          <w:p w14:paraId="1FDA39EA" w14:textId="77777777" w:rsidR="002C3A74" w:rsidRPr="00CC3352" w:rsidRDefault="002C3A74" w:rsidP="002C3A74">
            <w:pPr>
              <w:spacing w:after="0" w:line="240" w:lineRule="auto"/>
              <w:jc w:val="both"/>
              <w:rPr>
                <w:rFonts w:ascii="Times New Roman" w:eastAsia="Times New Roman" w:hAnsi="Times New Roman"/>
                <w:sz w:val="24"/>
                <w:szCs w:val="24"/>
              </w:rPr>
            </w:pPr>
          </w:p>
        </w:tc>
      </w:tr>
      <w:tr w:rsidR="000F7F53" w:rsidRPr="00CC3352" w14:paraId="50D28650" w14:textId="77777777" w:rsidTr="00EC5ACB">
        <w:trPr>
          <w:trHeight w:val="465"/>
          <w:tblCellSpacing w:w="15" w:type="dxa"/>
        </w:trPr>
        <w:tc>
          <w:tcPr>
            <w:tcW w:w="250" w:type="pct"/>
            <w:hideMark/>
          </w:tcPr>
          <w:p w14:paraId="3A5060F3" w14:textId="77777777" w:rsidR="000F7F53" w:rsidRPr="00CC3352" w:rsidRDefault="000F7F53" w:rsidP="00EC5ACB">
            <w:pPr>
              <w:spacing w:after="0" w:line="240" w:lineRule="auto"/>
              <w:jc w:val="center"/>
              <w:rPr>
                <w:rFonts w:ascii="Times New Roman" w:eastAsia="Times New Roman" w:hAnsi="Times New Roman"/>
                <w:sz w:val="24"/>
                <w:szCs w:val="24"/>
              </w:rPr>
            </w:pPr>
            <w:r w:rsidRPr="00CC3352">
              <w:rPr>
                <w:rFonts w:ascii="Times New Roman" w:eastAsia="Times New Roman" w:hAnsi="Times New Roman"/>
                <w:sz w:val="24"/>
                <w:szCs w:val="24"/>
              </w:rPr>
              <w:t>3.</w:t>
            </w:r>
          </w:p>
        </w:tc>
        <w:tc>
          <w:tcPr>
            <w:tcW w:w="1550" w:type="pct"/>
            <w:hideMark/>
          </w:tcPr>
          <w:p w14:paraId="38A41A9A" w14:textId="77777777" w:rsidR="000F7F53" w:rsidRPr="00DF332C" w:rsidRDefault="000F7F53" w:rsidP="00EC5ACB">
            <w:pPr>
              <w:spacing w:after="0" w:line="240" w:lineRule="auto"/>
              <w:rPr>
                <w:rFonts w:ascii="Times New Roman" w:eastAsia="Times New Roman" w:hAnsi="Times New Roman"/>
                <w:sz w:val="24"/>
                <w:szCs w:val="24"/>
              </w:rPr>
            </w:pPr>
            <w:r w:rsidRPr="00DF332C">
              <w:rPr>
                <w:rFonts w:ascii="Times New Roman" w:eastAsia="Times New Roman" w:hAnsi="Times New Roman"/>
                <w:sz w:val="24"/>
                <w:szCs w:val="24"/>
              </w:rPr>
              <w:t>Projekta izstrādē iesaistītās institūcijas</w:t>
            </w:r>
          </w:p>
        </w:tc>
        <w:tc>
          <w:tcPr>
            <w:tcW w:w="3200" w:type="pct"/>
            <w:hideMark/>
          </w:tcPr>
          <w:p w14:paraId="0A9D5500" w14:textId="77777777" w:rsidR="000F7F53" w:rsidRPr="00DF332C" w:rsidRDefault="004B2B77" w:rsidP="00EC5ACB">
            <w:pPr>
              <w:spacing w:after="0" w:line="240" w:lineRule="auto"/>
              <w:rPr>
                <w:rFonts w:ascii="Times New Roman" w:eastAsia="Times New Roman" w:hAnsi="Times New Roman"/>
                <w:sz w:val="24"/>
                <w:szCs w:val="24"/>
              </w:rPr>
            </w:pPr>
            <w:r w:rsidRPr="00DF332C">
              <w:rPr>
                <w:rFonts w:ascii="Times New Roman" w:hAnsi="Times New Roman"/>
                <w:sz w:val="24"/>
                <w:szCs w:val="24"/>
              </w:rPr>
              <w:t>Finanšu un kapitāla tirgus komisija</w:t>
            </w:r>
          </w:p>
        </w:tc>
      </w:tr>
      <w:tr w:rsidR="000F7F53" w:rsidRPr="00CC3352" w14:paraId="2D7D9B90" w14:textId="77777777" w:rsidTr="00EC5ACB">
        <w:trPr>
          <w:tblCellSpacing w:w="15" w:type="dxa"/>
        </w:trPr>
        <w:tc>
          <w:tcPr>
            <w:tcW w:w="250" w:type="pct"/>
            <w:hideMark/>
          </w:tcPr>
          <w:p w14:paraId="37779670" w14:textId="77777777" w:rsidR="000F7F53" w:rsidRPr="00CC3352" w:rsidRDefault="000F7F53" w:rsidP="00EC5ACB">
            <w:pPr>
              <w:spacing w:after="0" w:line="240" w:lineRule="auto"/>
              <w:jc w:val="center"/>
              <w:rPr>
                <w:rFonts w:ascii="Times New Roman" w:eastAsia="Times New Roman" w:hAnsi="Times New Roman"/>
                <w:sz w:val="24"/>
                <w:szCs w:val="24"/>
              </w:rPr>
            </w:pPr>
            <w:r w:rsidRPr="00CC3352">
              <w:rPr>
                <w:rFonts w:ascii="Times New Roman" w:eastAsia="Times New Roman" w:hAnsi="Times New Roman"/>
                <w:sz w:val="24"/>
                <w:szCs w:val="24"/>
              </w:rPr>
              <w:t>4.</w:t>
            </w:r>
          </w:p>
        </w:tc>
        <w:tc>
          <w:tcPr>
            <w:tcW w:w="1550" w:type="pct"/>
            <w:hideMark/>
          </w:tcPr>
          <w:p w14:paraId="01D30555"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Cita informācija</w:t>
            </w:r>
          </w:p>
        </w:tc>
        <w:tc>
          <w:tcPr>
            <w:tcW w:w="3200" w:type="pct"/>
            <w:hideMark/>
          </w:tcPr>
          <w:p w14:paraId="17803BAA" w14:textId="77777777" w:rsidR="000F7F53" w:rsidRPr="00CC3352" w:rsidRDefault="00CB05CC" w:rsidP="00EC5ACB">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Nav</w:t>
            </w:r>
          </w:p>
        </w:tc>
      </w:tr>
    </w:tbl>
    <w:p w14:paraId="46C5B3A3" w14:textId="77777777" w:rsidR="000F7F53" w:rsidRPr="00CC3352" w:rsidRDefault="000F7F53" w:rsidP="000F7F53">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3"/>
        <w:gridCol w:w="2565"/>
        <w:gridCol w:w="5278"/>
      </w:tblGrid>
      <w:tr w:rsidR="000F7F53" w:rsidRPr="00CC3352" w14:paraId="11E65362" w14:textId="77777777" w:rsidTr="00EC5ACB">
        <w:trPr>
          <w:trHeight w:val="555"/>
          <w:tblCellSpacing w:w="15" w:type="dxa"/>
        </w:trPr>
        <w:tc>
          <w:tcPr>
            <w:tcW w:w="0" w:type="auto"/>
            <w:gridSpan w:val="3"/>
            <w:vAlign w:val="center"/>
            <w:hideMark/>
          </w:tcPr>
          <w:p w14:paraId="29894344" w14:textId="77777777" w:rsidR="000F7F53" w:rsidRPr="00CC3352" w:rsidRDefault="000F7F53" w:rsidP="00EC5ACB">
            <w:pPr>
              <w:spacing w:after="0" w:line="240" w:lineRule="auto"/>
              <w:jc w:val="center"/>
              <w:rPr>
                <w:rFonts w:ascii="Times New Roman" w:eastAsia="Times New Roman" w:hAnsi="Times New Roman"/>
                <w:b/>
                <w:bCs/>
                <w:sz w:val="24"/>
                <w:szCs w:val="24"/>
              </w:rPr>
            </w:pPr>
            <w:r w:rsidRPr="00CC3352">
              <w:rPr>
                <w:rFonts w:ascii="Times New Roman" w:eastAsia="Times New Roman" w:hAnsi="Times New Roman"/>
                <w:b/>
                <w:bCs/>
                <w:sz w:val="24"/>
                <w:szCs w:val="24"/>
              </w:rPr>
              <w:t>II. Tiesību akta projekta ietekme uz sabiedrību, tautsaimniecības attīstību un administratīvo slogu</w:t>
            </w:r>
          </w:p>
        </w:tc>
      </w:tr>
      <w:tr w:rsidR="000F7F53" w:rsidRPr="00CC3352" w14:paraId="08C9DD71" w14:textId="77777777" w:rsidTr="00EC5ACB">
        <w:trPr>
          <w:trHeight w:val="465"/>
          <w:tblCellSpacing w:w="15" w:type="dxa"/>
        </w:trPr>
        <w:tc>
          <w:tcPr>
            <w:tcW w:w="250" w:type="pct"/>
            <w:hideMark/>
          </w:tcPr>
          <w:p w14:paraId="4C199B9C"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lastRenderedPageBreak/>
              <w:t>1.</w:t>
            </w:r>
          </w:p>
        </w:tc>
        <w:tc>
          <w:tcPr>
            <w:tcW w:w="1550" w:type="pct"/>
            <w:hideMark/>
          </w:tcPr>
          <w:p w14:paraId="0D7394AE"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 xml:space="preserve">Sabiedrības </w:t>
            </w:r>
            <w:proofErr w:type="spellStart"/>
            <w:r w:rsidRPr="00CC3352">
              <w:rPr>
                <w:rFonts w:ascii="Times New Roman" w:eastAsia="Times New Roman" w:hAnsi="Times New Roman"/>
                <w:sz w:val="24"/>
                <w:szCs w:val="24"/>
              </w:rPr>
              <w:t>mērķgrupas</w:t>
            </w:r>
            <w:proofErr w:type="spellEnd"/>
            <w:r w:rsidRPr="00CC3352">
              <w:rPr>
                <w:rFonts w:ascii="Times New Roman" w:eastAsia="Times New Roman" w:hAnsi="Times New Roman"/>
                <w:sz w:val="24"/>
                <w:szCs w:val="24"/>
              </w:rPr>
              <w:t>, kuras tiesiskais regulējums ietekmē vai varētu ietekmēt</w:t>
            </w:r>
          </w:p>
        </w:tc>
        <w:tc>
          <w:tcPr>
            <w:tcW w:w="3200" w:type="pct"/>
            <w:hideMark/>
          </w:tcPr>
          <w:p w14:paraId="261B84FE" w14:textId="481BE000" w:rsidR="000F7F53" w:rsidRPr="00CC3352" w:rsidRDefault="000056EA" w:rsidP="00EC5ACB">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Nav</w:t>
            </w:r>
          </w:p>
        </w:tc>
      </w:tr>
      <w:tr w:rsidR="000F7F53" w:rsidRPr="00CC3352" w14:paraId="53F8BD0D" w14:textId="77777777" w:rsidTr="00EC5ACB">
        <w:trPr>
          <w:trHeight w:val="510"/>
          <w:tblCellSpacing w:w="15" w:type="dxa"/>
        </w:trPr>
        <w:tc>
          <w:tcPr>
            <w:tcW w:w="250" w:type="pct"/>
            <w:hideMark/>
          </w:tcPr>
          <w:p w14:paraId="4340F15F"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2.</w:t>
            </w:r>
          </w:p>
        </w:tc>
        <w:tc>
          <w:tcPr>
            <w:tcW w:w="1550" w:type="pct"/>
            <w:hideMark/>
          </w:tcPr>
          <w:p w14:paraId="2D78A1A1"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Tiesiskā regulējuma ietekme uz tautsaimniecību un administratīvo slogu</w:t>
            </w:r>
          </w:p>
        </w:tc>
        <w:tc>
          <w:tcPr>
            <w:tcW w:w="3200" w:type="pct"/>
            <w:hideMark/>
          </w:tcPr>
          <w:p w14:paraId="07DD6858" w14:textId="77777777" w:rsidR="000F7F53" w:rsidRPr="00CC3352" w:rsidRDefault="00DF332C" w:rsidP="00EC5AC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Likumprojektam nav ietekme uz tautsaimniecību un administratīvo slogu. </w:t>
            </w:r>
          </w:p>
        </w:tc>
      </w:tr>
      <w:tr w:rsidR="000F7F53" w:rsidRPr="00CC3352" w14:paraId="2838D87C" w14:textId="77777777" w:rsidTr="00EC5ACB">
        <w:trPr>
          <w:trHeight w:val="510"/>
          <w:tblCellSpacing w:w="15" w:type="dxa"/>
        </w:trPr>
        <w:tc>
          <w:tcPr>
            <w:tcW w:w="250" w:type="pct"/>
            <w:hideMark/>
          </w:tcPr>
          <w:p w14:paraId="087987B3"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3.</w:t>
            </w:r>
          </w:p>
        </w:tc>
        <w:tc>
          <w:tcPr>
            <w:tcW w:w="1550" w:type="pct"/>
            <w:hideMark/>
          </w:tcPr>
          <w:p w14:paraId="395787B0"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Administratīvo izmaksu monetārs novērtējums</w:t>
            </w:r>
          </w:p>
        </w:tc>
        <w:tc>
          <w:tcPr>
            <w:tcW w:w="3200" w:type="pct"/>
          </w:tcPr>
          <w:p w14:paraId="6DFD4479" w14:textId="77777777" w:rsidR="000F7F53" w:rsidRPr="00CC3352" w:rsidRDefault="00DF332C" w:rsidP="00EC5AC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Likumprojekts nerada papildu administratīvās izmaksas </w:t>
            </w:r>
          </w:p>
        </w:tc>
      </w:tr>
      <w:tr w:rsidR="000F7F53" w:rsidRPr="00CC3352" w14:paraId="5A985A03" w14:textId="77777777" w:rsidTr="00EC5ACB">
        <w:trPr>
          <w:trHeight w:val="345"/>
          <w:tblCellSpacing w:w="15" w:type="dxa"/>
        </w:trPr>
        <w:tc>
          <w:tcPr>
            <w:tcW w:w="250" w:type="pct"/>
            <w:hideMark/>
          </w:tcPr>
          <w:p w14:paraId="27D5D0B5"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4.</w:t>
            </w:r>
          </w:p>
        </w:tc>
        <w:tc>
          <w:tcPr>
            <w:tcW w:w="1550" w:type="pct"/>
            <w:hideMark/>
          </w:tcPr>
          <w:p w14:paraId="50B48A6B"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Cita informācija</w:t>
            </w:r>
          </w:p>
        </w:tc>
        <w:tc>
          <w:tcPr>
            <w:tcW w:w="3200" w:type="pct"/>
          </w:tcPr>
          <w:p w14:paraId="392EFC78" w14:textId="77777777" w:rsidR="000F7F53" w:rsidRPr="00CC3352" w:rsidRDefault="00DF332C" w:rsidP="00EC5AC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Nav </w:t>
            </w:r>
          </w:p>
        </w:tc>
      </w:tr>
    </w:tbl>
    <w:p w14:paraId="21C21DCD" w14:textId="77777777" w:rsidR="000F7F53" w:rsidRPr="00CC3352" w:rsidRDefault="000F7F53" w:rsidP="000F7F53">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0F7F53" w:rsidRPr="00CC3352" w14:paraId="633FD6B1" w14:textId="77777777" w:rsidTr="00EC5ACB">
        <w:trPr>
          <w:trHeight w:val="360"/>
          <w:tblCellSpacing w:w="15" w:type="dxa"/>
          <w:jc w:val="center"/>
        </w:trPr>
        <w:tc>
          <w:tcPr>
            <w:tcW w:w="0" w:type="auto"/>
            <w:vAlign w:val="center"/>
            <w:hideMark/>
          </w:tcPr>
          <w:p w14:paraId="2EFE0CDA" w14:textId="77777777" w:rsidR="000F7F53" w:rsidRPr="00CC3352" w:rsidRDefault="000F7F53" w:rsidP="00EC5ACB">
            <w:pPr>
              <w:spacing w:after="0" w:line="240" w:lineRule="auto"/>
              <w:jc w:val="center"/>
              <w:rPr>
                <w:rFonts w:ascii="Times New Roman" w:eastAsia="Times New Roman" w:hAnsi="Times New Roman"/>
                <w:b/>
                <w:bCs/>
                <w:sz w:val="24"/>
                <w:szCs w:val="24"/>
              </w:rPr>
            </w:pPr>
            <w:r w:rsidRPr="00CC3352">
              <w:rPr>
                <w:rFonts w:ascii="Times New Roman" w:eastAsia="Times New Roman" w:hAnsi="Times New Roman"/>
                <w:b/>
                <w:bCs/>
                <w:sz w:val="24"/>
                <w:szCs w:val="24"/>
              </w:rPr>
              <w:t>III. Tiesību akta projekta ietekme uz valsts budžetu un pašvaldību budžetiem</w:t>
            </w:r>
          </w:p>
        </w:tc>
      </w:tr>
      <w:tr w:rsidR="00DF332C" w:rsidRPr="00CC3352" w14:paraId="0CE1CD08" w14:textId="77777777" w:rsidTr="00EC5ACB">
        <w:trPr>
          <w:trHeight w:val="360"/>
          <w:tblCellSpacing w:w="15" w:type="dxa"/>
          <w:jc w:val="center"/>
        </w:trPr>
        <w:tc>
          <w:tcPr>
            <w:tcW w:w="0" w:type="auto"/>
            <w:vAlign w:val="center"/>
          </w:tcPr>
          <w:p w14:paraId="231C39CA" w14:textId="77777777" w:rsidR="00DF332C" w:rsidRPr="00DF332C" w:rsidRDefault="00DF332C" w:rsidP="00EC5ACB">
            <w:pPr>
              <w:spacing w:after="0" w:line="240" w:lineRule="auto"/>
              <w:jc w:val="center"/>
              <w:rPr>
                <w:rFonts w:ascii="Times New Roman" w:eastAsia="Times New Roman" w:hAnsi="Times New Roman"/>
                <w:bCs/>
                <w:i/>
                <w:sz w:val="24"/>
                <w:szCs w:val="24"/>
              </w:rPr>
            </w:pPr>
            <w:r>
              <w:rPr>
                <w:rFonts w:ascii="Times New Roman" w:eastAsia="Times New Roman" w:hAnsi="Times New Roman"/>
                <w:bCs/>
                <w:i/>
                <w:sz w:val="24"/>
                <w:szCs w:val="24"/>
              </w:rPr>
              <w:t>Projekts šo jomu neskar</w:t>
            </w:r>
          </w:p>
        </w:tc>
      </w:tr>
    </w:tbl>
    <w:p w14:paraId="4D836CCB" w14:textId="77777777" w:rsidR="000F7F53" w:rsidRPr="00CC3352" w:rsidRDefault="000F7F53" w:rsidP="000F7F53">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0F7F53" w:rsidRPr="00CC3352" w14:paraId="5EBFD53F" w14:textId="77777777" w:rsidTr="00EC5ACB">
        <w:trPr>
          <w:trHeight w:val="450"/>
          <w:tblCellSpacing w:w="15" w:type="dxa"/>
          <w:jc w:val="center"/>
        </w:trPr>
        <w:tc>
          <w:tcPr>
            <w:tcW w:w="0" w:type="auto"/>
            <w:vAlign w:val="center"/>
            <w:hideMark/>
          </w:tcPr>
          <w:p w14:paraId="45F18D20" w14:textId="77777777" w:rsidR="000F7F53" w:rsidRPr="00CC3352" w:rsidRDefault="000F7F53" w:rsidP="00EC5ACB">
            <w:pPr>
              <w:spacing w:after="0" w:line="240" w:lineRule="auto"/>
              <w:jc w:val="center"/>
              <w:rPr>
                <w:rFonts w:ascii="Times New Roman" w:eastAsia="Times New Roman" w:hAnsi="Times New Roman"/>
                <w:b/>
                <w:bCs/>
                <w:sz w:val="24"/>
                <w:szCs w:val="24"/>
              </w:rPr>
            </w:pPr>
            <w:r w:rsidRPr="00CC3352">
              <w:rPr>
                <w:rFonts w:ascii="Times New Roman" w:eastAsia="Times New Roman" w:hAnsi="Times New Roman"/>
                <w:b/>
                <w:bCs/>
                <w:sz w:val="24"/>
                <w:szCs w:val="24"/>
              </w:rPr>
              <w:t>IV. Tiesību akta projekta ietekme uz spēkā esošo tiesību normu sistēmu</w:t>
            </w:r>
          </w:p>
        </w:tc>
      </w:tr>
      <w:tr w:rsidR="00DF332C" w:rsidRPr="00CC3352" w14:paraId="33AC32C2" w14:textId="77777777" w:rsidTr="00EC5ACB">
        <w:trPr>
          <w:trHeight w:val="450"/>
          <w:tblCellSpacing w:w="15" w:type="dxa"/>
          <w:jc w:val="center"/>
        </w:trPr>
        <w:tc>
          <w:tcPr>
            <w:tcW w:w="0" w:type="auto"/>
            <w:vAlign w:val="center"/>
          </w:tcPr>
          <w:p w14:paraId="0064BCD0" w14:textId="77777777" w:rsidR="00DF332C" w:rsidRPr="00DF332C" w:rsidRDefault="00DF332C" w:rsidP="00EC5ACB">
            <w:pPr>
              <w:spacing w:after="0" w:line="240" w:lineRule="auto"/>
              <w:jc w:val="center"/>
              <w:rPr>
                <w:rFonts w:ascii="Times New Roman" w:eastAsia="Times New Roman" w:hAnsi="Times New Roman"/>
                <w:bCs/>
                <w:i/>
                <w:sz w:val="24"/>
                <w:szCs w:val="24"/>
              </w:rPr>
            </w:pPr>
            <w:r>
              <w:rPr>
                <w:rFonts w:ascii="Times New Roman" w:eastAsia="Times New Roman" w:hAnsi="Times New Roman"/>
                <w:bCs/>
                <w:i/>
                <w:sz w:val="24"/>
                <w:szCs w:val="24"/>
              </w:rPr>
              <w:t>Projekts šo jomu neskar</w:t>
            </w:r>
          </w:p>
        </w:tc>
      </w:tr>
    </w:tbl>
    <w:p w14:paraId="702402FC" w14:textId="77777777" w:rsidR="000F7F53" w:rsidRPr="00CC3352" w:rsidRDefault="000F7F53" w:rsidP="000F7F53">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4"/>
        <w:gridCol w:w="2401"/>
        <w:gridCol w:w="5441"/>
      </w:tblGrid>
      <w:tr w:rsidR="000F7F53" w:rsidRPr="00CC3352" w14:paraId="21440EDA" w14:textId="77777777" w:rsidTr="00EC5ACB">
        <w:trPr>
          <w:tblCellSpacing w:w="15" w:type="dxa"/>
        </w:trPr>
        <w:tc>
          <w:tcPr>
            <w:tcW w:w="0" w:type="auto"/>
            <w:gridSpan w:val="3"/>
            <w:vAlign w:val="center"/>
            <w:hideMark/>
          </w:tcPr>
          <w:p w14:paraId="309362DA" w14:textId="77777777" w:rsidR="000F7F53" w:rsidRPr="00CC3352" w:rsidRDefault="000F7F53" w:rsidP="00EC5ACB">
            <w:pPr>
              <w:spacing w:after="0" w:line="240" w:lineRule="auto"/>
              <w:jc w:val="center"/>
              <w:rPr>
                <w:rFonts w:ascii="Times New Roman" w:eastAsia="Times New Roman" w:hAnsi="Times New Roman"/>
                <w:b/>
                <w:bCs/>
                <w:sz w:val="24"/>
                <w:szCs w:val="24"/>
              </w:rPr>
            </w:pPr>
            <w:r w:rsidRPr="00CC3352">
              <w:rPr>
                <w:rFonts w:ascii="Times New Roman" w:eastAsia="Times New Roman" w:hAnsi="Times New Roman"/>
                <w:b/>
                <w:bCs/>
                <w:sz w:val="24"/>
                <w:szCs w:val="24"/>
              </w:rPr>
              <w:t>V. Tiesību akta projekta atbilstība Latvijas Republikas starptautiskajām saistībām</w:t>
            </w:r>
          </w:p>
        </w:tc>
      </w:tr>
      <w:tr w:rsidR="000F7F53" w:rsidRPr="00CC3352" w14:paraId="57588C57" w14:textId="77777777" w:rsidTr="00EC5ACB">
        <w:trPr>
          <w:tblCellSpacing w:w="15" w:type="dxa"/>
        </w:trPr>
        <w:tc>
          <w:tcPr>
            <w:tcW w:w="250" w:type="pct"/>
            <w:hideMark/>
          </w:tcPr>
          <w:p w14:paraId="4AFA89E0"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1.</w:t>
            </w:r>
          </w:p>
        </w:tc>
        <w:tc>
          <w:tcPr>
            <w:tcW w:w="4890" w:type="dxa"/>
            <w:hideMark/>
          </w:tcPr>
          <w:p w14:paraId="08883790"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Saistības pret Eiropas Savienību</w:t>
            </w:r>
          </w:p>
        </w:tc>
        <w:tc>
          <w:tcPr>
            <w:tcW w:w="3300" w:type="pct"/>
            <w:hideMark/>
          </w:tcPr>
          <w:p w14:paraId="6CC832FA" w14:textId="77777777" w:rsidR="000F7F53" w:rsidRPr="00DF332C" w:rsidRDefault="00DF332C" w:rsidP="0075246D">
            <w:pPr>
              <w:pStyle w:val="CM4"/>
              <w:jc w:val="both"/>
              <w:rPr>
                <w:rFonts w:eastAsia="Times New Roman"/>
              </w:rPr>
            </w:pPr>
            <w:r w:rsidRPr="00DF332C">
              <w:rPr>
                <w:color w:val="000000"/>
              </w:rPr>
              <w:t xml:space="preserve">Likumprojekts izstrādāts, lai nacionālajos normatīvajos aktos ieviestu </w:t>
            </w:r>
            <w:r w:rsidR="00592044" w:rsidRPr="00DF332C">
              <w:rPr>
                <w:color w:val="000000"/>
              </w:rPr>
              <w:t xml:space="preserve">Eiropas Parlamenta un Padomes  </w:t>
            </w:r>
            <w:r w:rsidR="00592044" w:rsidRPr="00DF332C">
              <w:t>regulas</w:t>
            </w:r>
            <w:r w:rsidR="00592044" w:rsidRPr="00DF332C">
              <w:rPr>
                <w:color w:val="000000"/>
              </w:rPr>
              <w:t xml:space="preserve"> (ES) Nr. 909/2014</w:t>
            </w:r>
            <w:r w:rsidR="00592044" w:rsidRPr="00DF332C">
              <w:t xml:space="preserve"> par vērtspapīru norēķinu uzlabošanu Eiropas Savienīb</w:t>
            </w:r>
            <w:r w:rsidRPr="00DF332C">
              <w:t>ā</w:t>
            </w:r>
            <w:r w:rsidR="00592044" w:rsidRPr="00DF332C">
              <w:t xml:space="preserve">, centrālajiem vērtspapīru depozitārijiem </w:t>
            </w:r>
            <w:r w:rsidR="00592044" w:rsidRPr="00DF332C">
              <w:rPr>
                <w:color w:val="000000"/>
              </w:rPr>
              <w:t>un grozījumiem Direktīvās 98/26/EK un 2014/65/ES un Regulā (ES) Nr. 236/2012,</w:t>
            </w:r>
            <w:r w:rsidR="00C532B8">
              <w:t xml:space="preserve"> 70.panta pirmā punkta prasības</w:t>
            </w:r>
            <w:r w:rsidR="0075246D">
              <w:t>, ar kurām tiek izdarīti grozījumi Direktīvas 98/26/ES 2.panta “a” apakšpunktā</w:t>
            </w:r>
            <w:r w:rsidR="00C532B8">
              <w:t>. Saskaņā ar 70.</w:t>
            </w:r>
            <w:r w:rsidR="00C532B8" w:rsidRPr="00C532B8">
              <w:rPr>
                <w:color w:val="000000"/>
              </w:rPr>
              <w:t>panta otrā punktā</w:t>
            </w:r>
            <w:r w:rsidR="0075246D">
              <w:rPr>
                <w:color w:val="000000"/>
              </w:rPr>
              <w:t xml:space="preserve"> noteikto</w:t>
            </w:r>
            <w:r w:rsidR="00C532B8" w:rsidRPr="00C532B8">
              <w:rPr>
                <w:color w:val="000000"/>
              </w:rPr>
              <w:t xml:space="preserve"> </w:t>
            </w:r>
            <w:r w:rsidR="00C532B8">
              <w:rPr>
                <w:color w:val="000000"/>
              </w:rPr>
              <w:t xml:space="preserve">dalībvalstis </w:t>
            </w:r>
            <w:r w:rsidR="00C532B8" w:rsidRPr="00C532B8">
              <w:rPr>
                <w:color w:val="000000"/>
              </w:rPr>
              <w:t xml:space="preserve">līdz 2015. gada 18. martam pieņem, publicē un paziņo Komisijai pasākumus, kas vajadzīgi, lai ievērotu </w:t>
            </w:r>
            <w:r w:rsidR="00C532B8">
              <w:rPr>
                <w:color w:val="000000"/>
              </w:rPr>
              <w:t xml:space="preserve">Direktīvas 98/26/EK </w:t>
            </w:r>
            <w:r w:rsidR="00C532B8" w:rsidRPr="00C532B8">
              <w:rPr>
                <w:color w:val="000000"/>
              </w:rPr>
              <w:t>2. panta a) punkta pirmās daļas trešo ievilkumu.</w:t>
            </w:r>
          </w:p>
        </w:tc>
      </w:tr>
      <w:tr w:rsidR="000F7F53" w:rsidRPr="00CC3352" w14:paraId="2A230CB3" w14:textId="77777777" w:rsidTr="00EC5ACB">
        <w:trPr>
          <w:tblCellSpacing w:w="15" w:type="dxa"/>
        </w:trPr>
        <w:tc>
          <w:tcPr>
            <w:tcW w:w="250" w:type="pct"/>
            <w:hideMark/>
          </w:tcPr>
          <w:p w14:paraId="7B0CD89E"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2.</w:t>
            </w:r>
          </w:p>
        </w:tc>
        <w:tc>
          <w:tcPr>
            <w:tcW w:w="4890" w:type="dxa"/>
            <w:hideMark/>
          </w:tcPr>
          <w:p w14:paraId="36DF1EA2"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Citas starptautiskās saistības</w:t>
            </w:r>
          </w:p>
        </w:tc>
        <w:tc>
          <w:tcPr>
            <w:tcW w:w="3300" w:type="pct"/>
          </w:tcPr>
          <w:p w14:paraId="28A702CC" w14:textId="77777777" w:rsidR="000F7F53" w:rsidRPr="00CC3352" w:rsidRDefault="00DF332C" w:rsidP="00EC5AC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Nav </w:t>
            </w:r>
            <w:r w:rsidR="00CB05CC">
              <w:rPr>
                <w:rFonts w:ascii="Times New Roman" w:eastAsia="Times New Roman" w:hAnsi="Times New Roman"/>
                <w:sz w:val="24"/>
                <w:szCs w:val="24"/>
              </w:rPr>
              <w:t>attiecināms</w:t>
            </w:r>
          </w:p>
        </w:tc>
      </w:tr>
      <w:tr w:rsidR="000F7F53" w:rsidRPr="00CC3352" w14:paraId="716F8BBB" w14:textId="77777777" w:rsidTr="00EC5ACB">
        <w:trPr>
          <w:tblCellSpacing w:w="15" w:type="dxa"/>
        </w:trPr>
        <w:tc>
          <w:tcPr>
            <w:tcW w:w="250" w:type="pct"/>
            <w:hideMark/>
          </w:tcPr>
          <w:p w14:paraId="1DAAF889"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3.</w:t>
            </w:r>
          </w:p>
        </w:tc>
        <w:tc>
          <w:tcPr>
            <w:tcW w:w="4890" w:type="dxa"/>
            <w:hideMark/>
          </w:tcPr>
          <w:p w14:paraId="430D5A83"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Cita informācija</w:t>
            </w:r>
          </w:p>
        </w:tc>
        <w:tc>
          <w:tcPr>
            <w:tcW w:w="3300" w:type="pct"/>
          </w:tcPr>
          <w:p w14:paraId="72563D03" w14:textId="77777777" w:rsidR="000F7F53" w:rsidRPr="00CC3352" w:rsidRDefault="00DF332C" w:rsidP="00EC5AC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Nav </w:t>
            </w:r>
          </w:p>
        </w:tc>
      </w:tr>
    </w:tbl>
    <w:p w14:paraId="5F5077A6" w14:textId="77777777" w:rsidR="000F7F53" w:rsidRPr="00CC3352" w:rsidRDefault="000F7F53" w:rsidP="000F7F53">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91"/>
        <w:gridCol w:w="1825"/>
        <w:gridCol w:w="2308"/>
        <w:gridCol w:w="2272"/>
      </w:tblGrid>
      <w:tr w:rsidR="000F7F53" w:rsidRPr="00CC3352" w14:paraId="18F557E9" w14:textId="77777777" w:rsidTr="00EC5ACB">
        <w:trPr>
          <w:tblCellSpacing w:w="15" w:type="dxa"/>
          <w:jc w:val="center"/>
        </w:trPr>
        <w:tc>
          <w:tcPr>
            <w:tcW w:w="0" w:type="auto"/>
            <w:gridSpan w:val="4"/>
            <w:vAlign w:val="center"/>
            <w:hideMark/>
          </w:tcPr>
          <w:p w14:paraId="2D0AF8BE" w14:textId="77777777" w:rsidR="000F7F53" w:rsidRPr="00CC3352" w:rsidRDefault="000F7F53" w:rsidP="00EC5ACB">
            <w:pPr>
              <w:spacing w:after="0" w:line="240" w:lineRule="auto"/>
              <w:jc w:val="center"/>
              <w:rPr>
                <w:rFonts w:ascii="Times New Roman" w:eastAsia="Times New Roman" w:hAnsi="Times New Roman"/>
                <w:b/>
                <w:bCs/>
                <w:sz w:val="24"/>
                <w:szCs w:val="24"/>
              </w:rPr>
            </w:pPr>
            <w:r w:rsidRPr="00CC3352">
              <w:rPr>
                <w:rFonts w:ascii="Times New Roman" w:eastAsia="Times New Roman" w:hAnsi="Times New Roman"/>
                <w:b/>
                <w:bCs/>
                <w:sz w:val="24"/>
                <w:szCs w:val="24"/>
              </w:rPr>
              <w:t>1.tabula</w:t>
            </w:r>
            <w:r w:rsidRPr="00CC3352">
              <w:rPr>
                <w:rFonts w:ascii="Times New Roman" w:eastAsia="Times New Roman" w:hAnsi="Times New Roman"/>
                <w:b/>
                <w:bCs/>
                <w:sz w:val="24"/>
                <w:szCs w:val="24"/>
              </w:rPr>
              <w:br/>
              <w:t>Tiesību akta projekta atbilstība ES tiesību aktiem</w:t>
            </w:r>
          </w:p>
        </w:tc>
      </w:tr>
      <w:tr w:rsidR="000F7F53" w:rsidRPr="00CC3352" w14:paraId="3C30B69E" w14:textId="77777777" w:rsidTr="00C532B8">
        <w:trPr>
          <w:tblCellSpacing w:w="15" w:type="dxa"/>
          <w:jc w:val="center"/>
        </w:trPr>
        <w:tc>
          <w:tcPr>
            <w:tcW w:w="1121" w:type="pct"/>
            <w:hideMark/>
          </w:tcPr>
          <w:p w14:paraId="173A32AE"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lastRenderedPageBreak/>
              <w:t>Attiecīgā ES tiesību akta datums, numurs un nosaukums</w:t>
            </w:r>
          </w:p>
        </w:tc>
        <w:tc>
          <w:tcPr>
            <w:tcW w:w="3825" w:type="pct"/>
            <w:gridSpan w:val="3"/>
            <w:hideMark/>
          </w:tcPr>
          <w:p w14:paraId="2EB6F70F" w14:textId="77777777" w:rsidR="000F7F53" w:rsidRPr="00C532B8" w:rsidRDefault="00DF332C" w:rsidP="00EC5ACB">
            <w:pPr>
              <w:spacing w:after="0" w:line="240" w:lineRule="auto"/>
              <w:rPr>
                <w:rFonts w:ascii="Times New Roman" w:eastAsia="Times New Roman" w:hAnsi="Times New Roman"/>
                <w:sz w:val="24"/>
                <w:szCs w:val="24"/>
              </w:rPr>
            </w:pPr>
            <w:r w:rsidRPr="00C532B8">
              <w:rPr>
                <w:rFonts w:ascii="Times New Roman" w:hAnsi="Times New Roman"/>
                <w:color w:val="000000"/>
                <w:sz w:val="24"/>
                <w:szCs w:val="24"/>
              </w:rPr>
              <w:t xml:space="preserve">Eiropas Parlamenta un Padomes </w:t>
            </w:r>
            <w:r w:rsidR="00592044" w:rsidRPr="00C532B8">
              <w:rPr>
                <w:rFonts w:ascii="Times New Roman" w:hAnsi="Times New Roman"/>
                <w:sz w:val="24"/>
                <w:szCs w:val="24"/>
              </w:rPr>
              <w:t>regula</w:t>
            </w:r>
            <w:r w:rsidR="00592044" w:rsidRPr="00C532B8">
              <w:rPr>
                <w:rFonts w:ascii="Times New Roman" w:hAnsi="Times New Roman"/>
                <w:color w:val="000000"/>
                <w:sz w:val="24"/>
                <w:szCs w:val="24"/>
              </w:rPr>
              <w:t xml:space="preserve"> (ES) Nr. 909/2014</w:t>
            </w:r>
            <w:r w:rsidR="00592044" w:rsidRPr="00C532B8">
              <w:rPr>
                <w:rFonts w:ascii="Times New Roman" w:hAnsi="Times New Roman"/>
                <w:sz w:val="24"/>
                <w:szCs w:val="24"/>
              </w:rPr>
              <w:t xml:space="preserve"> par vērtspapīru norēķinu uzlabošanu Eiropas Savienība, centrālajiem vērtspapīru depozitārijiem </w:t>
            </w:r>
            <w:r w:rsidR="00592044" w:rsidRPr="00C532B8">
              <w:rPr>
                <w:rFonts w:ascii="Times New Roman" w:hAnsi="Times New Roman"/>
                <w:color w:val="000000"/>
                <w:sz w:val="24"/>
                <w:szCs w:val="24"/>
              </w:rPr>
              <w:t>un grozījumiem Direktīvā 98/26/EK un 2014/65/ES un Regulā (ES) Nr. 236/2012</w:t>
            </w:r>
          </w:p>
        </w:tc>
      </w:tr>
      <w:tr w:rsidR="000F7F53" w:rsidRPr="00CC3352" w14:paraId="089356A4" w14:textId="77777777" w:rsidTr="00C532B8">
        <w:trPr>
          <w:tblCellSpacing w:w="15" w:type="dxa"/>
          <w:jc w:val="center"/>
        </w:trPr>
        <w:tc>
          <w:tcPr>
            <w:tcW w:w="1121" w:type="pct"/>
            <w:vAlign w:val="center"/>
            <w:hideMark/>
          </w:tcPr>
          <w:p w14:paraId="33DA9FC5" w14:textId="77777777" w:rsidR="000F7F53" w:rsidRPr="00CC3352" w:rsidRDefault="000F7F53" w:rsidP="00EC5ACB">
            <w:pPr>
              <w:spacing w:after="0" w:line="240" w:lineRule="auto"/>
              <w:jc w:val="center"/>
              <w:rPr>
                <w:rFonts w:ascii="Times New Roman" w:eastAsia="Times New Roman" w:hAnsi="Times New Roman"/>
                <w:sz w:val="24"/>
                <w:szCs w:val="24"/>
              </w:rPr>
            </w:pPr>
            <w:r w:rsidRPr="00CC3352">
              <w:rPr>
                <w:rFonts w:ascii="Times New Roman" w:eastAsia="Times New Roman" w:hAnsi="Times New Roman"/>
                <w:sz w:val="24"/>
                <w:szCs w:val="24"/>
              </w:rPr>
              <w:t>A</w:t>
            </w:r>
          </w:p>
        </w:tc>
        <w:tc>
          <w:tcPr>
            <w:tcW w:w="1090" w:type="pct"/>
            <w:vAlign w:val="center"/>
            <w:hideMark/>
          </w:tcPr>
          <w:p w14:paraId="65301045" w14:textId="77777777" w:rsidR="000F7F53" w:rsidRPr="00CC3352" w:rsidRDefault="000F7F53" w:rsidP="00EC5ACB">
            <w:pPr>
              <w:spacing w:after="0" w:line="240" w:lineRule="auto"/>
              <w:jc w:val="center"/>
              <w:rPr>
                <w:rFonts w:ascii="Times New Roman" w:eastAsia="Times New Roman" w:hAnsi="Times New Roman"/>
                <w:sz w:val="24"/>
                <w:szCs w:val="24"/>
              </w:rPr>
            </w:pPr>
            <w:r w:rsidRPr="00CC3352">
              <w:rPr>
                <w:rFonts w:ascii="Times New Roman" w:eastAsia="Times New Roman" w:hAnsi="Times New Roman"/>
                <w:sz w:val="24"/>
                <w:szCs w:val="24"/>
              </w:rPr>
              <w:t>B</w:t>
            </w:r>
          </w:p>
        </w:tc>
        <w:tc>
          <w:tcPr>
            <w:tcW w:w="1383" w:type="pct"/>
            <w:vAlign w:val="center"/>
            <w:hideMark/>
          </w:tcPr>
          <w:p w14:paraId="7FED20BF" w14:textId="77777777" w:rsidR="000F7F53" w:rsidRPr="00CC3352" w:rsidRDefault="000F7F53" w:rsidP="00EC5ACB">
            <w:pPr>
              <w:spacing w:after="0" w:line="240" w:lineRule="auto"/>
              <w:jc w:val="center"/>
              <w:rPr>
                <w:rFonts w:ascii="Times New Roman" w:eastAsia="Times New Roman" w:hAnsi="Times New Roman"/>
                <w:sz w:val="24"/>
                <w:szCs w:val="24"/>
              </w:rPr>
            </w:pPr>
            <w:r w:rsidRPr="00CC3352">
              <w:rPr>
                <w:rFonts w:ascii="Times New Roman" w:eastAsia="Times New Roman" w:hAnsi="Times New Roman"/>
                <w:sz w:val="24"/>
                <w:szCs w:val="24"/>
              </w:rPr>
              <w:t>C</w:t>
            </w:r>
          </w:p>
        </w:tc>
        <w:tc>
          <w:tcPr>
            <w:tcW w:w="1316" w:type="pct"/>
            <w:vAlign w:val="center"/>
            <w:hideMark/>
          </w:tcPr>
          <w:p w14:paraId="470E3EFD" w14:textId="77777777" w:rsidR="000F7F53" w:rsidRPr="00CC3352" w:rsidRDefault="000F7F53" w:rsidP="00EC5ACB">
            <w:pPr>
              <w:spacing w:after="0" w:line="240" w:lineRule="auto"/>
              <w:jc w:val="center"/>
              <w:rPr>
                <w:rFonts w:ascii="Times New Roman" w:eastAsia="Times New Roman" w:hAnsi="Times New Roman"/>
                <w:sz w:val="24"/>
                <w:szCs w:val="24"/>
              </w:rPr>
            </w:pPr>
            <w:r w:rsidRPr="00CC3352">
              <w:rPr>
                <w:rFonts w:ascii="Times New Roman" w:eastAsia="Times New Roman" w:hAnsi="Times New Roman"/>
                <w:sz w:val="24"/>
                <w:szCs w:val="24"/>
              </w:rPr>
              <w:t>D</w:t>
            </w:r>
          </w:p>
        </w:tc>
      </w:tr>
      <w:tr w:rsidR="000F7F53" w:rsidRPr="00CC3352" w14:paraId="199FC37F" w14:textId="77777777" w:rsidTr="00C532B8">
        <w:trPr>
          <w:tblCellSpacing w:w="15" w:type="dxa"/>
          <w:jc w:val="center"/>
        </w:trPr>
        <w:tc>
          <w:tcPr>
            <w:tcW w:w="1121" w:type="pct"/>
            <w:hideMark/>
          </w:tcPr>
          <w:p w14:paraId="176F862E"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Attiecīgā ES tiesību akta panta numurs (uzskaitot katru tiesību akta vienību – pantu, daļu, punktu, apakšpunktu)</w:t>
            </w:r>
          </w:p>
        </w:tc>
        <w:tc>
          <w:tcPr>
            <w:tcW w:w="1090" w:type="pct"/>
            <w:hideMark/>
          </w:tcPr>
          <w:p w14:paraId="2C7B59D2"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1383" w:type="pct"/>
            <w:hideMark/>
          </w:tcPr>
          <w:p w14:paraId="13318F3B"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 xml:space="preserve">Informācija par to, vai šīs tabulas A ailē minētās ES tiesību akta vienības tiek pārņemtas vai ieviestas pilnībā vai daļēji. </w:t>
            </w:r>
          </w:p>
          <w:p w14:paraId="6F5077EA"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7D152FA9"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Norāda institūciju, kas ir atbildīga par šo saistību izpildi pilnībā</w:t>
            </w:r>
          </w:p>
        </w:tc>
        <w:tc>
          <w:tcPr>
            <w:tcW w:w="1316" w:type="pct"/>
            <w:hideMark/>
          </w:tcPr>
          <w:p w14:paraId="30D256B7"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 xml:space="preserve">Informācija par to, vai šīs tabulas B ailē minētās projekta vienības paredz stingrākas prasības nekā šīs tabulas A ailē minētās ES tiesību akta vienības. </w:t>
            </w:r>
          </w:p>
          <w:p w14:paraId="105568C0"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Ja projekts satur stingrākas prasības nekā attiecīgais ES tiesību akts, norāda pamatojumu un samērīgumu.</w:t>
            </w:r>
          </w:p>
          <w:p w14:paraId="37A03F0E"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0F7F53" w:rsidRPr="00CC3352" w14:paraId="7940C281" w14:textId="77777777" w:rsidTr="00C532B8">
        <w:trPr>
          <w:tblCellSpacing w:w="15" w:type="dxa"/>
          <w:jc w:val="center"/>
        </w:trPr>
        <w:tc>
          <w:tcPr>
            <w:tcW w:w="1121" w:type="pct"/>
          </w:tcPr>
          <w:p w14:paraId="211B9696" w14:textId="77777777" w:rsidR="000F7F53" w:rsidRPr="00CC3352" w:rsidRDefault="00300322" w:rsidP="00EC5ACB">
            <w:pPr>
              <w:spacing w:after="0" w:line="240" w:lineRule="auto"/>
              <w:rPr>
                <w:rFonts w:ascii="Times New Roman" w:eastAsia="Times New Roman" w:hAnsi="Times New Roman"/>
                <w:sz w:val="24"/>
                <w:szCs w:val="24"/>
              </w:rPr>
            </w:pPr>
            <w:r>
              <w:rPr>
                <w:rFonts w:ascii="Times New Roman" w:hAnsi="Times New Roman"/>
                <w:sz w:val="26"/>
                <w:szCs w:val="26"/>
              </w:rPr>
              <w:t>Regulas</w:t>
            </w:r>
            <w:r w:rsidRPr="00592044">
              <w:rPr>
                <w:rFonts w:ascii="Times New Roman" w:hAnsi="Times New Roman"/>
                <w:color w:val="000000"/>
                <w:sz w:val="26"/>
                <w:szCs w:val="26"/>
              </w:rPr>
              <w:t xml:space="preserve"> (ES) Nr. 909/2014</w:t>
            </w:r>
            <w:r w:rsidRPr="00592044">
              <w:rPr>
                <w:rFonts w:ascii="Times New Roman" w:hAnsi="Times New Roman"/>
                <w:sz w:val="26"/>
                <w:szCs w:val="26"/>
              </w:rPr>
              <w:t xml:space="preserve"> </w:t>
            </w:r>
            <w:r>
              <w:rPr>
                <w:rFonts w:ascii="Times New Roman" w:eastAsia="Times New Roman" w:hAnsi="Times New Roman"/>
                <w:sz w:val="24"/>
                <w:szCs w:val="24"/>
              </w:rPr>
              <w:t>70.panta 1.daļa</w:t>
            </w:r>
          </w:p>
        </w:tc>
        <w:tc>
          <w:tcPr>
            <w:tcW w:w="1090" w:type="pct"/>
          </w:tcPr>
          <w:p w14:paraId="3A6CBBDA" w14:textId="77777777" w:rsidR="000F7F53" w:rsidRPr="00CC3352" w:rsidRDefault="00C532B8" w:rsidP="007524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Likumprojekta 1.pants (</w:t>
            </w:r>
            <w:r w:rsidR="0075246D">
              <w:rPr>
                <w:rFonts w:ascii="Times New Roman" w:eastAsia="Times New Roman" w:hAnsi="Times New Roman"/>
                <w:sz w:val="24"/>
                <w:szCs w:val="24"/>
              </w:rPr>
              <w:t>Likuma “Par norēķinu</w:t>
            </w:r>
            <w:r w:rsidR="0075246D" w:rsidRPr="0075246D">
              <w:rPr>
                <w:rFonts w:ascii="Times New Roman" w:eastAsia="Times New Roman" w:hAnsi="Times New Roman"/>
                <w:sz w:val="24"/>
                <w:szCs w:val="24"/>
              </w:rPr>
              <w:t xml:space="preserve"> galīgumu maksājumu un finanšu instrumentu norēķinu sistēmās</w:t>
            </w:r>
            <w:r w:rsidR="0075246D">
              <w:rPr>
                <w:rFonts w:ascii="Times New Roman" w:eastAsia="Times New Roman" w:hAnsi="Times New Roman"/>
                <w:sz w:val="24"/>
                <w:szCs w:val="24"/>
              </w:rPr>
              <w:t>” 1.panta 1.daļas “c” apakšpunkts.</w:t>
            </w:r>
          </w:p>
        </w:tc>
        <w:tc>
          <w:tcPr>
            <w:tcW w:w="1383" w:type="pct"/>
          </w:tcPr>
          <w:p w14:paraId="786F7F58" w14:textId="77777777" w:rsidR="000F7F53" w:rsidRPr="00CC3352" w:rsidRDefault="00300322" w:rsidP="00300322">
            <w:pPr>
              <w:spacing w:after="0" w:line="240" w:lineRule="auto"/>
              <w:rPr>
                <w:rFonts w:ascii="Times New Roman" w:eastAsia="Times New Roman" w:hAnsi="Times New Roman"/>
                <w:sz w:val="24"/>
                <w:szCs w:val="24"/>
              </w:rPr>
            </w:pPr>
            <w:r w:rsidRPr="00DF332C">
              <w:rPr>
                <w:rFonts w:ascii="Times New Roman" w:eastAsia="Times New Roman" w:hAnsi="Times New Roman"/>
                <w:sz w:val="24"/>
                <w:szCs w:val="24"/>
              </w:rPr>
              <w:t>ES tiesību akta vienības tiek pārņemtas pilnībā</w:t>
            </w:r>
          </w:p>
        </w:tc>
        <w:tc>
          <w:tcPr>
            <w:tcW w:w="1316" w:type="pct"/>
          </w:tcPr>
          <w:p w14:paraId="68755B69" w14:textId="77777777" w:rsidR="000F7F53" w:rsidRPr="00CC3352" w:rsidRDefault="00C532B8" w:rsidP="00EC5ACB">
            <w:pPr>
              <w:spacing w:after="0" w:line="240" w:lineRule="auto"/>
              <w:rPr>
                <w:rFonts w:ascii="Times New Roman" w:eastAsia="Times New Roman" w:hAnsi="Times New Roman"/>
                <w:sz w:val="24"/>
                <w:szCs w:val="24"/>
              </w:rPr>
            </w:pPr>
            <w:r w:rsidRPr="00C532B8">
              <w:rPr>
                <w:rFonts w:ascii="Times New Roman" w:eastAsia="Times New Roman" w:hAnsi="Times New Roman"/>
                <w:sz w:val="24"/>
                <w:szCs w:val="24"/>
              </w:rPr>
              <w:t>Projekts neparedz ieviest stingrākas prasības, kā to paredz direktīva.</w:t>
            </w:r>
          </w:p>
        </w:tc>
      </w:tr>
      <w:tr w:rsidR="00555352" w:rsidRPr="00CC3352" w14:paraId="240E7B2F" w14:textId="77777777" w:rsidTr="00C532B8">
        <w:trPr>
          <w:tblCellSpacing w:w="15" w:type="dxa"/>
          <w:jc w:val="center"/>
        </w:trPr>
        <w:tc>
          <w:tcPr>
            <w:tcW w:w="1121" w:type="pct"/>
          </w:tcPr>
          <w:p w14:paraId="4472B644" w14:textId="77777777" w:rsidR="00555352" w:rsidRDefault="00555352" w:rsidP="00555352">
            <w:pPr>
              <w:spacing w:after="0" w:line="240" w:lineRule="auto"/>
              <w:rPr>
                <w:rFonts w:ascii="Times New Roman" w:hAnsi="Times New Roman"/>
                <w:sz w:val="26"/>
                <w:szCs w:val="26"/>
              </w:rPr>
            </w:pPr>
            <w:r>
              <w:rPr>
                <w:rFonts w:ascii="Times New Roman" w:hAnsi="Times New Roman"/>
                <w:sz w:val="26"/>
                <w:szCs w:val="26"/>
              </w:rPr>
              <w:t>Regulas</w:t>
            </w:r>
            <w:r w:rsidRPr="00592044">
              <w:rPr>
                <w:rFonts w:ascii="Times New Roman" w:hAnsi="Times New Roman"/>
                <w:color w:val="000000"/>
                <w:sz w:val="26"/>
                <w:szCs w:val="26"/>
              </w:rPr>
              <w:t xml:space="preserve"> (ES) Nr. 909/2014</w:t>
            </w:r>
            <w:r w:rsidRPr="00592044">
              <w:rPr>
                <w:rFonts w:ascii="Times New Roman" w:hAnsi="Times New Roman"/>
                <w:sz w:val="26"/>
                <w:szCs w:val="26"/>
              </w:rPr>
              <w:t xml:space="preserve"> </w:t>
            </w:r>
            <w:r>
              <w:rPr>
                <w:rFonts w:ascii="Times New Roman" w:eastAsia="Times New Roman" w:hAnsi="Times New Roman"/>
                <w:sz w:val="24"/>
                <w:szCs w:val="24"/>
              </w:rPr>
              <w:t>70.panta 2.daļa</w:t>
            </w:r>
          </w:p>
        </w:tc>
        <w:tc>
          <w:tcPr>
            <w:tcW w:w="1090" w:type="pct"/>
          </w:tcPr>
          <w:p w14:paraId="7FC71BA7" w14:textId="77777777" w:rsidR="00555352" w:rsidRDefault="00555352" w:rsidP="007524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Nav jāpaņem nacionālajos tiesību aktos</w:t>
            </w:r>
          </w:p>
        </w:tc>
        <w:tc>
          <w:tcPr>
            <w:tcW w:w="1383" w:type="pct"/>
          </w:tcPr>
          <w:p w14:paraId="147CC46A" w14:textId="77777777" w:rsidR="00555352" w:rsidRPr="00DF332C" w:rsidRDefault="00555352" w:rsidP="00300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Nav attiecināms</w:t>
            </w:r>
          </w:p>
        </w:tc>
        <w:tc>
          <w:tcPr>
            <w:tcW w:w="1316" w:type="pct"/>
          </w:tcPr>
          <w:p w14:paraId="1187DBF8" w14:textId="77777777" w:rsidR="00555352" w:rsidRPr="00C532B8" w:rsidRDefault="00555352" w:rsidP="00EC5ACB">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Nav attiecināms</w:t>
            </w:r>
          </w:p>
        </w:tc>
      </w:tr>
      <w:tr w:rsidR="000F7F53" w:rsidRPr="00CC3352" w14:paraId="26BE81FE" w14:textId="77777777" w:rsidTr="00C532B8">
        <w:trPr>
          <w:tblCellSpacing w:w="15" w:type="dxa"/>
          <w:jc w:val="center"/>
        </w:trPr>
        <w:tc>
          <w:tcPr>
            <w:tcW w:w="1121" w:type="pct"/>
            <w:hideMark/>
          </w:tcPr>
          <w:p w14:paraId="5A98757E"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 xml:space="preserve">Kā ir izmantota ES tiesību aktā </w:t>
            </w:r>
            <w:r w:rsidRPr="00CC3352">
              <w:rPr>
                <w:rFonts w:ascii="Times New Roman" w:eastAsia="Times New Roman" w:hAnsi="Times New Roman"/>
                <w:sz w:val="24"/>
                <w:szCs w:val="24"/>
              </w:rPr>
              <w:lastRenderedPageBreak/>
              <w:t>paredzētā rīcības brīvība dalībvalstij pārņemt vai ieviest noteiktas ES tiesību akta normas?</w:t>
            </w:r>
            <w:r w:rsidRPr="00CC3352">
              <w:rPr>
                <w:rFonts w:ascii="Times New Roman" w:eastAsia="Times New Roman" w:hAnsi="Times New Roman"/>
                <w:sz w:val="24"/>
                <w:szCs w:val="24"/>
              </w:rPr>
              <w:br/>
              <w:t>Kādēļ?</w:t>
            </w:r>
          </w:p>
        </w:tc>
        <w:tc>
          <w:tcPr>
            <w:tcW w:w="3825" w:type="pct"/>
            <w:gridSpan w:val="3"/>
            <w:hideMark/>
          </w:tcPr>
          <w:p w14:paraId="25E03E30" w14:textId="77777777" w:rsidR="000F7F53" w:rsidRPr="00CC3352" w:rsidRDefault="00C532B8" w:rsidP="00EC5ACB">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ES tiesību akts neparedz rīcības brīvību. </w:t>
            </w:r>
          </w:p>
        </w:tc>
      </w:tr>
      <w:tr w:rsidR="000F7F53" w:rsidRPr="00CC3352" w14:paraId="6A1AA0B2" w14:textId="77777777" w:rsidTr="00C532B8">
        <w:trPr>
          <w:tblCellSpacing w:w="15" w:type="dxa"/>
          <w:jc w:val="center"/>
        </w:trPr>
        <w:tc>
          <w:tcPr>
            <w:tcW w:w="1121" w:type="pct"/>
            <w:hideMark/>
          </w:tcPr>
          <w:p w14:paraId="758DBCD8"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5" w:type="pct"/>
            <w:gridSpan w:val="3"/>
            <w:hideMark/>
          </w:tcPr>
          <w:p w14:paraId="5992A6EC" w14:textId="77777777" w:rsidR="000F7F53" w:rsidRPr="00CC3352" w:rsidRDefault="00C532B8" w:rsidP="00EC5ACB">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Nav attiecināms</w:t>
            </w:r>
          </w:p>
        </w:tc>
      </w:tr>
      <w:tr w:rsidR="000F7F53" w:rsidRPr="00CC3352" w14:paraId="471F18DF" w14:textId="77777777" w:rsidTr="00C532B8">
        <w:trPr>
          <w:tblCellSpacing w:w="15" w:type="dxa"/>
          <w:jc w:val="center"/>
        </w:trPr>
        <w:tc>
          <w:tcPr>
            <w:tcW w:w="1121" w:type="pct"/>
            <w:hideMark/>
          </w:tcPr>
          <w:p w14:paraId="1A93BB43"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Cita informācija</w:t>
            </w:r>
          </w:p>
        </w:tc>
        <w:tc>
          <w:tcPr>
            <w:tcW w:w="3825" w:type="pct"/>
            <w:gridSpan w:val="3"/>
            <w:hideMark/>
          </w:tcPr>
          <w:p w14:paraId="3083B0B7" w14:textId="77777777" w:rsidR="000F7F53" w:rsidRPr="00CC3352" w:rsidRDefault="00555352" w:rsidP="0055535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Finanšu ministrija 2016.gada 18.februārī ir saņēmusi Eiropas Komisijas vēstuli, kurā norādīts, ka Latvija nav iesniegusi notifikāciju saskaņā ar Regulas 909/2014 70.panta otrajā punktā noteikto. </w:t>
            </w:r>
          </w:p>
        </w:tc>
      </w:tr>
      <w:tr w:rsidR="000F7F53" w:rsidRPr="00CC3352" w14:paraId="0F862E3B" w14:textId="77777777" w:rsidTr="00EC5ACB">
        <w:trPr>
          <w:tblCellSpacing w:w="15" w:type="dxa"/>
          <w:jc w:val="center"/>
        </w:trPr>
        <w:tc>
          <w:tcPr>
            <w:tcW w:w="0" w:type="auto"/>
            <w:gridSpan w:val="4"/>
            <w:vAlign w:val="center"/>
            <w:hideMark/>
          </w:tcPr>
          <w:p w14:paraId="0F0A0C4A" w14:textId="77777777" w:rsidR="000F7F53" w:rsidRPr="00CC3352" w:rsidRDefault="000F7F53" w:rsidP="00EC5ACB">
            <w:pPr>
              <w:spacing w:after="0" w:line="240" w:lineRule="auto"/>
              <w:jc w:val="center"/>
              <w:rPr>
                <w:rFonts w:ascii="Times New Roman" w:eastAsia="Times New Roman" w:hAnsi="Times New Roman"/>
                <w:b/>
                <w:bCs/>
                <w:sz w:val="24"/>
                <w:szCs w:val="24"/>
              </w:rPr>
            </w:pPr>
            <w:r w:rsidRPr="00CC3352">
              <w:rPr>
                <w:rFonts w:ascii="Times New Roman" w:eastAsia="Times New Roman" w:hAnsi="Times New Roman"/>
                <w:b/>
                <w:bCs/>
                <w:sz w:val="24"/>
                <w:szCs w:val="24"/>
              </w:rPr>
              <w:t>2.tabula</w:t>
            </w:r>
            <w:r w:rsidRPr="00CC3352">
              <w:rPr>
                <w:rFonts w:ascii="Times New Roman" w:eastAsia="Times New Roman" w:hAnsi="Times New Roman"/>
                <w:b/>
                <w:bCs/>
                <w:sz w:val="24"/>
                <w:szCs w:val="24"/>
              </w:rPr>
              <w:br/>
              <w:t>Ar tiesību akta projektu izpildītās vai uzņemtās saistības, kas izriet no starptautiskajiem tiesību aktiem vai starptautiskas institūcijas vai organizācijas dokumentiem.</w:t>
            </w:r>
            <w:r w:rsidRPr="00CC3352">
              <w:rPr>
                <w:rFonts w:ascii="Times New Roman" w:eastAsia="Times New Roman" w:hAnsi="Times New Roman"/>
                <w:b/>
                <w:bCs/>
                <w:sz w:val="24"/>
                <w:szCs w:val="24"/>
              </w:rPr>
              <w:br/>
              <w:t>Pasākumi šo saistību izpildei</w:t>
            </w:r>
          </w:p>
        </w:tc>
      </w:tr>
      <w:tr w:rsidR="00C532B8" w:rsidRPr="00CC3352" w14:paraId="360005A1" w14:textId="77777777" w:rsidTr="00EC5ACB">
        <w:trPr>
          <w:tblCellSpacing w:w="15" w:type="dxa"/>
          <w:jc w:val="center"/>
        </w:trPr>
        <w:tc>
          <w:tcPr>
            <w:tcW w:w="0" w:type="auto"/>
            <w:gridSpan w:val="4"/>
            <w:vAlign w:val="center"/>
          </w:tcPr>
          <w:p w14:paraId="29A83B84" w14:textId="77777777" w:rsidR="00C532B8" w:rsidRPr="00C532B8" w:rsidRDefault="00C532B8" w:rsidP="00EC5ACB">
            <w:pPr>
              <w:spacing w:after="0" w:line="240" w:lineRule="auto"/>
              <w:jc w:val="center"/>
              <w:rPr>
                <w:rFonts w:ascii="Times New Roman" w:eastAsia="Times New Roman" w:hAnsi="Times New Roman"/>
                <w:bCs/>
                <w:i/>
                <w:sz w:val="24"/>
                <w:szCs w:val="24"/>
              </w:rPr>
            </w:pPr>
            <w:r>
              <w:rPr>
                <w:rFonts w:ascii="Times New Roman" w:eastAsia="Times New Roman" w:hAnsi="Times New Roman"/>
                <w:bCs/>
                <w:i/>
                <w:sz w:val="24"/>
                <w:szCs w:val="24"/>
              </w:rPr>
              <w:t>Projekts šo jomu neskar</w:t>
            </w:r>
          </w:p>
        </w:tc>
      </w:tr>
    </w:tbl>
    <w:p w14:paraId="39E4C0B0" w14:textId="77777777" w:rsidR="000F7F53" w:rsidRPr="00CC3352" w:rsidRDefault="000F7F53" w:rsidP="000F7F53">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4"/>
        <w:gridCol w:w="2483"/>
        <w:gridCol w:w="5359"/>
      </w:tblGrid>
      <w:tr w:rsidR="000F7F53" w:rsidRPr="00CC3352" w14:paraId="6132795A" w14:textId="77777777" w:rsidTr="00EC5ACB">
        <w:trPr>
          <w:trHeight w:val="420"/>
          <w:tblCellSpacing w:w="15" w:type="dxa"/>
          <w:jc w:val="center"/>
        </w:trPr>
        <w:tc>
          <w:tcPr>
            <w:tcW w:w="0" w:type="auto"/>
            <w:gridSpan w:val="3"/>
            <w:vAlign w:val="center"/>
            <w:hideMark/>
          </w:tcPr>
          <w:p w14:paraId="17C0F98E" w14:textId="77777777" w:rsidR="000F7F53" w:rsidRPr="00CC3352" w:rsidRDefault="000F7F53" w:rsidP="00EC5ACB">
            <w:pPr>
              <w:spacing w:after="0" w:line="240" w:lineRule="auto"/>
              <w:jc w:val="center"/>
              <w:rPr>
                <w:rFonts w:ascii="Times New Roman" w:eastAsia="Times New Roman" w:hAnsi="Times New Roman"/>
                <w:b/>
                <w:bCs/>
                <w:sz w:val="24"/>
                <w:szCs w:val="24"/>
              </w:rPr>
            </w:pPr>
            <w:r w:rsidRPr="00CC3352">
              <w:rPr>
                <w:rFonts w:ascii="Times New Roman" w:eastAsia="Times New Roman" w:hAnsi="Times New Roman"/>
                <w:b/>
                <w:bCs/>
                <w:sz w:val="24"/>
                <w:szCs w:val="24"/>
              </w:rPr>
              <w:t>VI. Sabiedrības līdzdalība un komunikācijas aktivitātes</w:t>
            </w:r>
          </w:p>
        </w:tc>
      </w:tr>
      <w:tr w:rsidR="000F7F53" w:rsidRPr="00CC3352" w14:paraId="05808D85" w14:textId="77777777" w:rsidTr="00EC5ACB">
        <w:trPr>
          <w:trHeight w:val="540"/>
          <w:tblCellSpacing w:w="15" w:type="dxa"/>
          <w:jc w:val="center"/>
        </w:trPr>
        <w:tc>
          <w:tcPr>
            <w:tcW w:w="250" w:type="pct"/>
            <w:hideMark/>
          </w:tcPr>
          <w:p w14:paraId="68665772"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1.</w:t>
            </w:r>
          </w:p>
        </w:tc>
        <w:tc>
          <w:tcPr>
            <w:tcW w:w="1500" w:type="pct"/>
            <w:hideMark/>
          </w:tcPr>
          <w:p w14:paraId="3935A3E1"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Plānotās sabiedrības līdzdalības un komunikācijas aktivitātes saistībā ar projektu</w:t>
            </w:r>
          </w:p>
        </w:tc>
        <w:tc>
          <w:tcPr>
            <w:tcW w:w="3250" w:type="pct"/>
          </w:tcPr>
          <w:p w14:paraId="59DCC50E" w14:textId="77777777" w:rsidR="000F7F53" w:rsidRPr="00CC3352" w:rsidRDefault="00F263BD" w:rsidP="00EC5ACB">
            <w:pPr>
              <w:spacing w:after="0" w:line="240" w:lineRule="auto"/>
              <w:rPr>
                <w:rFonts w:ascii="Times New Roman" w:eastAsia="Times New Roman" w:hAnsi="Times New Roman"/>
                <w:sz w:val="24"/>
                <w:szCs w:val="24"/>
              </w:rPr>
            </w:pPr>
            <w:r w:rsidRPr="00F263BD">
              <w:rPr>
                <w:rFonts w:ascii="Times New Roman" w:eastAsia="Times New Roman" w:hAnsi="Times New Roman"/>
                <w:sz w:val="24"/>
                <w:szCs w:val="24"/>
              </w:rPr>
              <w:t>Uzziņa par likumprojektu tika publicēta Finanšu ministrijas mājas lapā, sadaļā “Sabiedrības līdzdalība”.</w:t>
            </w:r>
          </w:p>
        </w:tc>
      </w:tr>
      <w:tr w:rsidR="000F7F53" w:rsidRPr="00CC3352" w14:paraId="4FE00D6B" w14:textId="77777777" w:rsidTr="00EC5ACB">
        <w:trPr>
          <w:trHeight w:val="330"/>
          <w:tblCellSpacing w:w="15" w:type="dxa"/>
          <w:jc w:val="center"/>
        </w:trPr>
        <w:tc>
          <w:tcPr>
            <w:tcW w:w="250" w:type="pct"/>
            <w:hideMark/>
          </w:tcPr>
          <w:p w14:paraId="2FC1DC38"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lastRenderedPageBreak/>
              <w:t>2.</w:t>
            </w:r>
          </w:p>
        </w:tc>
        <w:tc>
          <w:tcPr>
            <w:tcW w:w="1500" w:type="pct"/>
            <w:hideMark/>
          </w:tcPr>
          <w:p w14:paraId="3B2A0CF6"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Sabiedrības līdzdalība projekta izstrādē</w:t>
            </w:r>
          </w:p>
        </w:tc>
        <w:tc>
          <w:tcPr>
            <w:tcW w:w="3250" w:type="pct"/>
          </w:tcPr>
          <w:p w14:paraId="5740112F" w14:textId="798AE08E" w:rsidR="000F7F53" w:rsidRPr="00CC3352" w:rsidRDefault="00CB05CC" w:rsidP="00EC5ACB">
            <w:pPr>
              <w:spacing w:after="0" w:line="240" w:lineRule="auto"/>
              <w:rPr>
                <w:rFonts w:ascii="Times New Roman" w:eastAsia="Times New Roman" w:hAnsi="Times New Roman"/>
                <w:sz w:val="24"/>
                <w:szCs w:val="24"/>
              </w:rPr>
            </w:pPr>
            <w:r>
              <w:rPr>
                <w:rFonts w:ascii="Times New Roman" w:eastAsia="Times New Roman" w:hAnsi="Times New Roman"/>
                <w:sz w:val="24"/>
                <w:szCs w:val="24"/>
              </w:rPr>
              <w:t>Iebildumi un priekšlikumi nav saņemti.</w:t>
            </w:r>
          </w:p>
        </w:tc>
      </w:tr>
      <w:tr w:rsidR="000F7F53" w:rsidRPr="00CC3352" w14:paraId="12059A9A" w14:textId="77777777" w:rsidTr="00EC5ACB">
        <w:trPr>
          <w:trHeight w:val="465"/>
          <w:tblCellSpacing w:w="15" w:type="dxa"/>
          <w:jc w:val="center"/>
        </w:trPr>
        <w:tc>
          <w:tcPr>
            <w:tcW w:w="250" w:type="pct"/>
            <w:hideMark/>
          </w:tcPr>
          <w:p w14:paraId="616F9770"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3.</w:t>
            </w:r>
          </w:p>
        </w:tc>
        <w:tc>
          <w:tcPr>
            <w:tcW w:w="1500" w:type="pct"/>
            <w:hideMark/>
          </w:tcPr>
          <w:p w14:paraId="11118E2A"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Sabiedrības līdzdalības rezultāti</w:t>
            </w:r>
          </w:p>
        </w:tc>
        <w:tc>
          <w:tcPr>
            <w:tcW w:w="3250" w:type="pct"/>
          </w:tcPr>
          <w:p w14:paraId="69879901" w14:textId="22BB0052" w:rsidR="000F7F53" w:rsidRPr="00CC3352" w:rsidRDefault="00CB05CC" w:rsidP="00EC5ACB">
            <w:pPr>
              <w:spacing w:after="0" w:line="240" w:lineRule="auto"/>
              <w:rPr>
                <w:rFonts w:ascii="Times New Roman" w:eastAsia="Times New Roman" w:hAnsi="Times New Roman"/>
                <w:sz w:val="24"/>
                <w:szCs w:val="24"/>
              </w:rPr>
            </w:pPr>
            <w:r>
              <w:rPr>
                <w:rFonts w:ascii="Times New Roman" w:eastAsia="Times New Roman" w:hAnsi="Times New Roman"/>
                <w:sz w:val="24"/>
                <w:szCs w:val="24"/>
              </w:rPr>
              <w:t>Iebildumi un priekšlikumi nav saņemti.</w:t>
            </w:r>
          </w:p>
        </w:tc>
      </w:tr>
      <w:tr w:rsidR="000F7F53" w:rsidRPr="00CC3352" w14:paraId="13AA7CAB" w14:textId="77777777" w:rsidTr="00EC5ACB">
        <w:trPr>
          <w:trHeight w:val="465"/>
          <w:tblCellSpacing w:w="15" w:type="dxa"/>
          <w:jc w:val="center"/>
        </w:trPr>
        <w:tc>
          <w:tcPr>
            <w:tcW w:w="250" w:type="pct"/>
            <w:hideMark/>
          </w:tcPr>
          <w:p w14:paraId="7C08B43F"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4.</w:t>
            </w:r>
          </w:p>
        </w:tc>
        <w:tc>
          <w:tcPr>
            <w:tcW w:w="1500" w:type="pct"/>
            <w:hideMark/>
          </w:tcPr>
          <w:p w14:paraId="74F7DED4"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Cita informācija</w:t>
            </w:r>
          </w:p>
        </w:tc>
        <w:tc>
          <w:tcPr>
            <w:tcW w:w="3250" w:type="pct"/>
          </w:tcPr>
          <w:p w14:paraId="642C544A" w14:textId="77777777" w:rsidR="000F7F53" w:rsidRPr="00CC3352" w:rsidRDefault="00555352" w:rsidP="00EC5ACB">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Nav</w:t>
            </w:r>
          </w:p>
        </w:tc>
      </w:tr>
    </w:tbl>
    <w:p w14:paraId="0E7D612C" w14:textId="77777777" w:rsidR="000F7F53" w:rsidRPr="00CC3352" w:rsidRDefault="000F7F53" w:rsidP="000F7F53">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4"/>
        <w:gridCol w:w="3137"/>
        <w:gridCol w:w="4705"/>
      </w:tblGrid>
      <w:tr w:rsidR="000F7F53" w:rsidRPr="00CC3352" w14:paraId="21C640B5" w14:textId="77777777" w:rsidTr="00EC5ACB">
        <w:trPr>
          <w:trHeight w:val="375"/>
          <w:tblCellSpacing w:w="15" w:type="dxa"/>
          <w:jc w:val="center"/>
        </w:trPr>
        <w:tc>
          <w:tcPr>
            <w:tcW w:w="0" w:type="auto"/>
            <w:gridSpan w:val="3"/>
            <w:vAlign w:val="center"/>
            <w:hideMark/>
          </w:tcPr>
          <w:p w14:paraId="7B059F89" w14:textId="77777777" w:rsidR="000F7F53" w:rsidRPr="00CC3352" w:rsidRDefault="000F7F53" w:rsidP="00EC5ACB">
            <w:pPr>
              <w:spacing w:after="0" w:line="240" w:lineRule="auto"/>
              <w:jc w:val="center"/>
              <w:rPr>
                <w:rFonts w:ascii="Times New Roman" w:eastAsia="Times New Roman" w:hAnsi="Times New Roman"/>
                <w:b/>
                <w:bCs/>
                <w:sz w:val="24"/>
                <w:szCs w:val="24"/>
              </w:rPr>
            </w:pPr>
            <w:r w:rsidRPr="00CC3352">
              <w:rPr>
                <w:rFonts w:ascii="Times New Roman" w:eastAsia="Times New Roman" w:hAnsi="Times New Roman"/>
                <w:b/>
                <w:bCs/>
                <w:sz w:val="24"/>
                <w:szCs w:val="24"/>
              </w:rPr>
              <w:t>VII. Tiesību akta projekta izpildes nodrošināšana un tās ietekme uz institūcijām</w:t>
            </w:r>
          </w:p>
        </w:tc>
      </w:tr>
      <w:tr w:rsidR="000F7F53" w:rsidRPr="00CC3352" w14:paraId="298711D6" w14:textId="77777777" w:rsidTr="00EC5ACB">
        <w:trPr>
          <w:trHeight w:val="420"/>
          <w:tblCellSpacing w:w="15" w:type="dxa"/>
          <w:jc w:val="center"/>
        </w:trPr>
        <w:tc>
          <w:tcPr>
            <w:tcW w:w="250" w:type="pct"/>
            <w:hideMark/>
          </w:tcPr>
          <w:p w14:paraId="4DAD35FF"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1.</w:t>
            </w:r>
          </w:p>
        </w:tc>
        <w:tc>
          <w:tcPr>
            <w:tcW w:w="1900" w:type="pct"/>
            <w:hideMark/>
          </w:tcPr>
          <w:p w14:paraId="08FD541A"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Projekta izpildē iesaistītās institūcijas</w:t>
            </w:r>
          </w:p>
        </w:tc>
        <w:tc>
          <w:tcPr>
            <w:tcW w:w="2850" w:type="pct"/>
          </w:tcPr>
          <w:p w14:paraId="79902276" w14:textId="77777777" w:rsidR="000F7F53" w:rsidRPr="00CC3352" w:rsidRDefault="00555352" w:rsidP="00EC5ACB">
            <w:pPr>
              <w:spacing w:after="0" w:line="240" w:lineRule="auto"/>
              <w:rPr>
                <w:rFonts w:ascii="Times New Roman" w:eastAsia="Times New Roman" w:hAnsi="Times New Roman"/>
                <w:sz w:val="24"/>
                <w:szCs w:val="24"/>
              </w:rPr>
            </w:pPr>
            <w:r>
              <w:rPr>
                <w:rFonts w:ascii="Times New Roman" w:eastAsia="Times New Roman" w:hAnsi="Times New Roman"/>
                <w:sz w:val="24"/>
                <w:szCs w:val="24"/>
              </w:rPr>
              <w:t>Finanšu un kapitāla tirgus komisija</w:t>
            </w:r>
          </w:p>
        </w:tc>
      </w:tr>
      <w:tr w:rsidR="000F7F53" w:rsidRPr="00CC3352" w14:paraId="4D0126B9" w14:textId="77777777" w:rsidTr="00EC5ACB">
        <w:trPr>
          <w:trHeight w:val="450"/>
          <w:tblCellSpacing w:w="15" w:type="dxa"/>
          <w:jc w:val="center"/>
        </w:trPr>
        <w:tc>
          <w:tcPr>
            <w:tcW w:w="250" w:type="pct"/>
            <w:hideMark/>
          </w:tcPr>
          <w:p w14:paraId="3DC41A15"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2.</w:t>
            </w:r>
          </w:p>
        </w:tc>
        <w:tc>
          <w:tcPr>
            <w:tcW w:w="1900" w:type="pct"/>
            <w:hideMark/>
          </w:tcPr>
          <w:p w14:paraId="27295B37"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 xml:space="preserve">Projekta izpildes ietekme uz pārvaldes funkcijām un institucionālo struktūru. </w:t>
            </w:r>
          </w:p>
          <w:p w14:paraId="789D20AC"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Jaunu institūciju izveide, esošu institūciju likvidācija vai reorganizācija, to ietekme uz institūcijas cilvēkresursiem</w:t>
            </w:r>
          </w:p>
        </w:tc>
        <w:tc>
          <w:tcPr>
            <w:tcW w:w="2850" w:type="pct"/>
          </w:tcPr>
          <w:p w14:paraId="3EFB6291" w14:textId="77777777" w:rsidR="000F7F53" w:rsidRPr="00CC3352" w:rsidRDefault="00555352" w:rsidP="00555352">
            <w:pPr>
              <w:spacing w:after="0" w:line="240" w:lineRule="auto"/>
              <w:rPr>
                <w:rFonts w:ascii="Times New Roman" w:eastAsia="Times New Roman" w:hAnsi="Times New Roman"/>
                <w:sz w:val="24"/>
                <w:szCs w:val="24"/>
              </w:rPr>
            </w:pPr>
            <w:r>
              <w:rPr>
                <w:rFonts w:ascii="Times New Roman" w:eastAsia="Times New Roman" w:hAnsi="Times New Roman"/>
                <w:sz w:val="24"/>
                <w:szCs w:val="24"/>
              </w:rPr>
              <w:t>Likumprojekta izpildei nav ietekme uz pārvaldes funkcijām un institucionālo struktūru.</w:t>
            </w:r>
          </w:p>
        </w:tc>
      </w:tr>
      <w:tr w:rsidR="000F7F53" w:rsidRPr="00CC3352" w14:paraId="392AE617" w14:textId="77777777" w:rsidTr="00EC5ACB">
        <w:trPr>
          <w:trHeight w:val="390"/>
          <w:tblCellSpacing w:w="15" w:type="dxa"/>
          <w:jc w:val="center"/>
        </w:trPr>
        <w:tc>
          <w:tcPr>
            <w:tcW w:w="250" w:type="pct"/>
            <w:hideMark/>
          </w:tcPr>
          <w:p w14:paraId="40375D13"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3.</w:t>
            </w:r>
          </w:p>
        </w:tc>
        <w:tc>
          <w:tcPr>
            <w:tcW w:w="1900" w:type="pct"/>
            <w:hideMark/>
          </w:tcPr>
          <w:p w14:paraId="26FA81E3" w14:textId="77777777" w:rsidR="000F7F53" w:rsidRPr="00CC3352" w:rsidRDefault="000F7F53" w:rsidP="00EC5ACB">
            <w:pPr>
              <w:spacing w:after="0" w:line="240" w:lineRule="auto"/>
              <w:rPr>
                <w:rFonts w:ascii="Times New Roman" w:eastAsia="Times New Roman" w:hAnsi="Times New Roman"/>
                <w:sz w:val="24"/>
                <w:szCs w:val="24"/>
              </w:rPr>
            </w:pPr>
            <w:r w:rsidRPr="00CC3352">
              <w:rPr>
                <w:rFonts w:ascii="Times New Roman" w:eastAsia="Times New Roman" w:hAnsi="Times New Roman"/>
                <w:sz w:val="24"/>
                <w:szCs w:val="24"/>
              </w:rPr>
              <w:t>Cita informācija</w:t>
            </w:r>
          </w:p>
        </w:tc>
        <w:tc>
          <w:tcPr>
            <w:tcW w:w="2850" w:type="pct"/>
          </w:tcPr>
          <w:p w14:paraId="7355AF16" w14:textId="77777777" w:rsidR="000F7F53" w:rsidRPr="00CC3352" w:rsidRDefault="00555352" w:rsidP="00EC5AC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Nav </w:t>
            </w:r>
          </w:p>
        </w:tc>
      </w:tr>
    </w:tbl>
    <w:p w14:paraId="3DC9C703" w14:textId="77777777" w:rsidR="006446D0" w:rsidRDefault="006446D0" w:rsidP="000F7F53">
      <w:pPr>
        <w:rPr>
          <w:rFonts w:ascii="Times New Roman" w:hAnsi="Times New Roman"/>
          <w:sz w:val="24"/>
          <w:szCs w:val="24"/>
        </w:rPr>
      </w:pPr>
    </w:p>
    <w:p w14:paraId="00E4A2F3" w14:textId="77777777" w:rsidR="000F7F53" w:rsidRDefault="000F7F53" w:rsidP="000F7F53">
      <w:pPr>
        <w:rPr>
          <w:rFonts w:ascii="Times New Roman" w:hAnsi="Times New Roman"/>
          <w:sz w:val="24"/>
          <w:szCs w:val="24"/>
        </w:rPr>
      </w:pPr>
      <w:r>
        <w:rPr>
          <w:rFonts w:ascii="Times New Roman" w:hAnsi="Times New Roman"/>
          <w:sz w:val="24"/>
          <w:szCs w:val="24"/>
        </w:rPr>
        <w:t>Finanšu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 Reizniece-Ozola</w:t>
      </w:r>
    </w:p>
    <w:p w14:paraId="5E4BE41F" w14:textId="77777777" w:rsidR="000F7F53" w:rsidRDefault="000F7F53" w:rsidP="000F7F53">
      <w:pPr>
        <w:rPr>
          <w:szCs w:val="24"/>
        </w:rPr>
      </w:pPr>
    </w:p>
    <w:p w14:paraId="207B5AAC" w14:textId="6EFE2388" w:rsidR="00D87761" w:rsidRDefault="00E95E27" w:rsidP="000F7F53">
      <w:pPr>
        <w:spacing w:after="0" w:line="240" w:lineRule="auto"/>
        <w:rPr>
          <w:rFonts w:ascii="Times New Roman" w:hAnsi="Times New Roman"/>
          <w:sz w:val="20"/>
          <w:szCs w:val="20"/>
        </w:rPr>
      </w:pPr>
      <w:r>
        <w:rPr>
          <w:rFonts w:ascii="Times New Roman" w:hAnsi="Times New Roman"/>
          <w:sz w:val="20"/>
          <w:szCs w:val="20"/>
        </w:rPr>
        <w:t>29.03.2016 11:35</w:t>
      </w:r>
      <w:bookmarkStart w:id="1" w:name="_GoBack"/>
      <w:bookmarkEnd w:id="1"/>
    </w:p>
    <w:p w14:paraId="37523C85" w14:textId="60C6483D" w:rsidR="00D87761" w:rsidRDefault="00CB05CC" w:rsidP="000F7F53">
      <w:pPr>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Arabic  \* MERGEFORMAT </w:instrText>
      </w:r>
      <w:r>
        <w:rPr>
          <w:rFonts w:ascii="Times New Roman" w:hAnsi="Times New Roman"/>
          <w:sz w:val="20"/>
          <w:szCs w:val="20"/>
        </w:rPr>
        <w:fldChar w:fldCharType="separate"/>
      </w:r>
      <w:r w:rsidR="00522D17">
        <w:rPr>
          <w:rFonts w:ascii="Times New Roman" w:hAnsi="Times New Roman"/>
          <w:noProof/>
          <w:sz w:val="20"/>
          <w:szCs w:val="20"/>
        </w:rPr>
        <w:t>931</w:t>
      </w:r>
      <w:r>
        <w:rPr>
          <w:rFonts w:ascii="Times New Roman" w:hAnsi="Times New Roman"/>
          <w:sz w:val="20"/>
          <w:szCs w:val="20"/>
        </w:rPr>
        <w:fldChar w:fldCharType="end"/>
      </w:r>
    </w:p>
    <w:p w14:paraId="68E89175" w14:textId="77777777" w:rsidR="000F7F53" w:rsidRDefault="000F7F53" w:rsidP="000F7F53">
      <w:pPr>
        <w:spacing w:after="0" w:line="240" w:lineRule="auto"/>
        <w:rPr>
          <w:rFonts w:ascii="Times New Roman" w:hAnsi="Times New Roman"/>
          <w:sz w:val="20"/>
          <w:szCs w:val="20"/>
        </w:rPr>
      </w:pPr>
      <w:r>
        <w:rPr>
          <w:rFonts w:ascii="Times New Roman" w:hAnsi="Times New Roman"/>
          <w:sz w:val="20"/>
          <w:szCs w:val="20"/>
        </w:rPr>
        <w:t>I.Tuševs</w:t>
      </w:r>
    </w:p>
    <w:p w14:paraId="3D2118DC" w14:textId="77777777" w:rsidR="000F7F53" w:rsidRPr="00CC3352" w:rsidRDefault="000F7F53" w:rsidP="000F7F53">
      <w:pPr>
        <w:spacing w:after="0" w:line="240" w:lineRule="auto"/>
        <w:rPr>
          <w:rFonts w:ascii="Times New Roman" w:hAnsi="Times New Roman"/>
          <w:sz w:val="24"/>
          <w:szCs w:val="24"/>
        </w:rPr>
      </w:pPr>
      <w:r>
        <w:rPr>
          <w:rFonts w:ascii="Times New Roman" w:hAnsi="Times New Roman"/>
          <w:sz w:val="20"/>
          <w:szCs w:val="20"/>
        </w:rPr>
        <w:t xml:space="preserve">67095441, </w:t>
      </w:r>
      <w:hyperlink r:id="rId7" w:history="1">
        <w:r w:rsidRPr="00076E97">
          <w:rPr>
            <w:rStyle w:val="Hyperlink"/>
            <w:rFonts w:ascii="Times New Roman" w:hAnsi="Times New Roman"/>
            <w:sz w:val="20"/>
            <w:szCs w:val="20"/>
          </w:rPr>
          <w:t>Ignats.Tusevs@fm.gov.lv</w:t>
        </w:r>
      </w:hyperlink>
    </w:p>
    <w:p w14:paraId="39C38438" w14:textId="77777777" w:rsidR="0043085B" w:rsidRDefault="00BB0F34"/>
    <w:sectPr w:rsidR="0043085B" w:rsidSect="00607A0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55536" w14:textId="77777777" w:rsidR="00BB0F34" w:rsidRDefault="00BB0F34" w:rsidP="004B2B77">
      <w:pPr>
        <w:spacing w:after="0" w:line="240" w:lineRule="auto"/>
      </w:pPr>
      <w:r>
        <w:separator/>
      </w:r>
    </w:p>
  </w:endnote>
  <w:endnote w:type="continuationSeparator" w:id="0">
    <w:p w14:paraId="495E5763" w14:textId="77777777" w:rsidR="00BB0F34" w:rsidRDefault="00BB0F34" w:rsidP="004B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8385" w14:textId="77777777" w:rsidR="005479CF" w:rsidRDefault="00BB0F34" w:rsidP="008532AB">
    <w:pPr>
      <w:spacing w:after="0" w:line="240" w:lineRule="auto"/>
      <w:jc w:val="both"/>
      <w:outlineLvl w:val="2"/>
      <w:rPr>
        <w:rFonts w:ascii="Times New Roman" w:hAnsi="Times New Roman"/>
        <w:sz w:val="20"/>
        <w:szCs w:val="20"/>
      </w:rPr>
    </w:pPr>
  </w:p>
  <w:p w14:paraId="1A9A598A" w14:textId="015D8ABE" w:rsidR="008532AB" w:rsidRPr="008532AB" w:rsidRDefault="004B2B77" w:rsidP="008532AB">
    <w:pPr>
      <w:spacing w:after="0" w:line="240" w:lineRule="auto"/>
      <w:jc w:val="both"/>
      <w:outlineLvl w:val="2"/>
      <w:rPr>
        <w:rFonts w:ascii="Times New Roman" w:eastAsia="Times New Roman" w:hAnsi="Times New Roman"/>
        <w:bCs/>
        <w:sz w:val="20"/>
        <w:szCs w:val="20"/>
        <w:lang w:eastAsia="lv-LV"/>
      </w:rPr>
    </w:pPr>
    <w:r>
      <w:rPr>
        <w:rFonts w:ascii="Times New Roman" w:hAnsi="Times New Roman"/>
        <w:sz w:val="20"/>
        <w:szCs w:val="20"/>
      </w:rPr>
      <w:t>FManot_</w:t>
    </w:r>
    <w:r w:rsidR="000056EA">
      <w:rPr>
        <w:rFonts w:ascii="Times New Roman" w:hAnsi="Times New Roman"/>
        <w:sz w:val="20"/>
        <w:szCs w:val="20"/>
      </w:rPr>
      <w:t>2</w:t>
    </w:r>
    <w:r w:rsidR="00E117C3">
      <w:rPr>
        <w:rFonts w:ascii="Times New Roman" w:hAnsi="Times New Roman"/>
        <w:sz w:val="20"/>
        <w:szCs w:val="20"/>
      </w:rPr>
      <w:t>9</w:t>
    </w:r>
    <w:r w:rsidR="00CB05CC">
      <w:rPr>
        <w:rFonts w:ascii="Times New Roman" w:hAnsi="Times New Roman"/>
        <w:sz w:val="20"/>
        <w:szCs w:val="20"/>
      </w:rPr>
      <w:t>032016</w:t>
    </w:r>
    <w:r>
      <w:rPr>
        <w:rFonts w:ascii="Times New Roman" w:hAnsi="Times New Roman"/>
        <w:sz w:val="20"/>
        <w:szCs w:val="20"/>
      </w:rPr>
      <w:t>_NGMFINS</w:t>
    </w:r>
    <w:r w:rsidR="00342AFB" w:rsidRPr="00672C21">
      <w:rPr>
        <w:rFonts w:ascii="Times New Roman" w:hAnsi="Times New Roman"/>
        <w:sz w:val="20"/>
        <w:szCs w:val="20"/>
      </w:rPr>
      <w:t>;</w:t>
    </w:r>
    <w:r w:rsidR="00342AFB" w:rsidRPr="00672C21">
      <w:rPr>
        <w:rFonts w:ascii="Times New Roman" w:hAnsi="Times New Roman"/>
        <w:b/>
        <w:color w:val="000000"/>
        <w:sz w:val="20"/>
        <w:szCs w:val="20"/>
      </w:rPr>
      <w:t xml:space="preserve"> </w:t>
    </w:r>
    <w:r w:rsidR="00342AFB" w:rsidRPr="00672C21">
      <w:rPr>
        <w:rFonts w:ascii="Times New Roman" w:hAnsi="Times New Roman"/>
        <w:color w:val="000000"/>
        <w:sz w:val="20"/>
        <w:szCs w:val="20"/>
      </w:rPr>
      <w:t>Likumprojekta</w:t>
    </w:r>
    <w:r w:rsidR="00342AFB" w:rsidRPr="008532AB">
      <w:rPr>
        <w:rFonts w:ascii="Times New Roman" w:eastAsia="Times New Roman" w:hAnsi="Times New Roman"/>
        <w:bCs/>
        <w:sz w:val="20"/>
        <w:szCs w:val="20"/>
        <w:lang w:eastAsia="lv-LV"/>
      </w:rPr>
      <w:t xml:space="preserve"> </w:t>
    </w:r>
    <w:r>
      <w:rPr>
        <w:rFonts w:ascii="Times New Roman" w:eastAsia="Times New Roman" w:hAnsi="Times New Roman"/>
        <w:bCs/>
        <w:sz w:val="20"/>
        <w:szCs w:val="20"/>
        <w:lang w:eastAsia="lv-LV"/>
      </w:rPr>
      <w:t>“</w:t>
    </w:r>
    <w:r w:rsidR="00DD426C">
      <w:rPr>
        <w:rFonts w:ascii="Times New Roman" w:eastAsia="Times New Roman" w:hAnsi="Times New Roman"/>
        <w:bCs/>
        <w:sz w:val="20"/>
        <w:szCs w:val="20"/>
        <w:lang w:eastAsia="lv-LV"/>
      </w:rPr>
      <w:t>Grozījums</w:t>
    </w:r>
    <w:r>
      <w:rPr>
        <w:rFonts w:ascii="Times New Roman" w:eastAsia="Times New Roman" w:hAnsi="Times New Roman"/>
        <w:bCs/>
        <w:sz w:val="20"/>
        <w:szCs w:val="20"/>
        <w:lang w:eastAsia="lv-LV"/>
      </w:rPr>
      <w:t xml:space="preserve"> likuma </w:t>
    </w:r>
    <w:r>
      <w:rPr>
        <w:rFonts w:ascii="Times New Roman" w:hAnsi="Times New Roman"/>
        <w:bCs/>
        <w:sz w:val="20"/>
        <w:szCs w:val="20"/>
      </w:rPr>
      <w:t>p</w:t>
    </w:r>
    <w:r w:rsidRPr="004B2B77">
      <w:rPr>
        <w:rFonts w:ascii="Times New Roman" w:hAnsi="Times New Roman"/>
        <w:bCs/>
        <w:sz w:val="20"/>
        <w:szCs w:val="20"/>
      </w:rPr>
      <w:t>ar norēķinu galīgumu maksājumu un finanšu instrumentu norēķinu sistēmās</w:t>
    </w:r>
    <w:r w:rsidRPr="008532AB">
      <w:rPr>
        <w:rFonts w:ascii="Times New Roman" w:eastAsia="Times New Roman" w:hAnsi="Times New Roman"/>
        <w:bCs/>
        <w:sz w:val="20"/>
        <w:szCs w:val="20"/>
        <w:lang w:eastAsia="lv-LV"/>
      </w:rPr>
      <w:t xml:space="preserve"> </w:t>
    </w:r>
    <w:r w:rsidR="00342AFB" w:rsidRPr="008532AB">
      <w:rPr>
        <w:rFonts w:ascii="Times New Roman" w:eastAsia="Times New Roman" w:hAnsi="Times New Roman"/>
        <w:bCs/>
        <w:sz w:val="20"/>
        <w:szCs w:val="20"/>
        <w:lang w:eastAsia="lv-LV"/>
      </w:rPr>
      <w:t>„ ietekmes novērtējuma ziņojums (anotācija)</w:t>
    </w:r>
  </w:p>
  <w:p w14:paraId="2E69BCE7" w14:textId="77777777" w:rsidR="008532AB" w:rsidRDefault="00BB0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04874" w14:textId="77777777" w:rsidR="00BB0F34" w:rsidRDefault="00BB0F34" w:rsidP="004B2B77">
      <w:pPr>
        <w:spacing w:after="0" w:line="240" w:lineRule="auto"/>
      </w:pPr>
      <w:r>
        <w:separator/>
      </w:r>
    </w:p>
  </w:footnote>
  <w:footnote w:type="continuationSeparator" w:id="0">
    <w:p w14:paraId="2A21CC57" w14:textId="77777777" w:rsidR="00BB0F34" w:rsidRDefault="00BB0F34" w:rsidP="004B2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53"/>
    <w:rsid w:val="00005316"/>
    <w:rsid w:val="000056EA"/>
    <w:rsid w:val="0003274D"/>
    <w:rsid w:val="0005026B"/>
    <w:rsid w:val="000B5A61"/>
    <w:rsid w:val="000F274B"/>
    <w:rsid w:val="000F7F53"/>
    <w:rsid w:val="00132E9A"/>
    <w:rsid w:val="00175539"/>
    <w:rsid w:val="001F7E24"/>
    <w:rsid w:val="00275E7C"/>
    <w:rsid w:val="0029585E"/>
    <w:rsid w:val="002C3A74"/>
    <w:rsid w:val="002D032D"/>
    <w:rsid w:val="00300322"/>
    <w:rsid w:val="00304ACE"/>
    <w:rsid w:val="003134F6"/>
    <w:rsid w:val="00342AFB"/>
    <w:rsid w:val="003C57FD"/>
    <w:rsid w:val="003D3438"/>
    <w:rsid w:val="003D3ADF"/>
    <w:rsid w:val="003D443B"/>
    <w:rsid w:val="003F4D3E"/>
    <w:rsid w:val="004408AD"/>
    <w:rsid w:val="00440B76"/>
    <w:rsid w:val="0045575E"/>
    <w:rsid w:val="004A457B"/>
    <w:rsid w:val="004A5924"/>
    <w:rsid w:val="004B2B77"/>
    <w:rsid w:val="004E6D66"/>
    <w:rsid w:val="004F7C42"/>
    <w:rsid w:val="00516829"/>
    <w:rsid w:val="00522134"/>
    <w:rsid w:val="00522D17"/>
    <w:rsid w:val="005368DB"/>
    <w:rsid w:val="00555352"/>
    <w:rsid w:val="00592044"/>
    <w:rsid w:val="005B3A50"/>
    <w:rsid w:val="005E4F8C"/>
    <w:rsid w:val="005F5D24"/>
    <w:rsid w:val="00607A09"/>
    <w:rsid w:val="00614B0A"/>
    <w:rsid w:val="006351FC"/>
    <w:rsid w:val="006446D0"/>
    <w:rsid w:val="00683ADC"/>
    <w:rsid w:val="0072467F"/>
    <w:rsid w:val="0075246D"/>
    <w:rsid w:val="00764064"/>
    <w:rsid w:val="00791E12"/>
    <w:rsid w:val="007C1AAA"/>
    <w:rsid w:val="007D52EE"/>
    <w:rsid w:val="00801CCE"/>
    <w:rsid w:val="008A5D5A"/>
    <w:rsid w:val="008D71BB"/>
    <w:rsid w:val="008F0007"/>
    <w:rsid w:val="00931702"/>
    <w:rsid w:val="00943ED1"/>
    <w:rsid w:val="009B0444"/>
    <w:rsid w:val="009C1A13"/>
    <w:rsid w:val="009D5BFA"/>
    <w:rsid w:val="009F693F"/>
    <w:rsid w:val="00A328ED"/>
    <w:rsid w:val="00A63AE6"/>
    <w:rsid w:val="00A94539"/>
    <w:rsid w:val="00AE0B00"/>
    <w:rsid w:val="00AF03B2"/>
    <w:rsid w:val="00B04DCA"/>
    <w:rsid w:val="00B72103"/>
    <w:rsid w:val="00B85AE1"/>
    <w:rsid w:val="00BA6919"/>
    <w:rsid w:val="00BB0F34"/>
    <w:rsid w:val="00BB45E1"/>
    <w:rsid w:val="00BF5B12"/>
    <w:rsid w:val="00C532B8"/>
    <w:rsid w:val="00C53431"/>
    <w:rsid w:val="00C6113F"/>
    <w:rsid w:val="00CB05CC"/>
    <w:rsid w:val="00CC1B8E"/>
    <w:rsid w:val="00CC6514"/>
    <w:rsid w:val="00CD39DB"/>
    <w:rsid w:val="00CF45A2"/>
    <w:rsid w:val="00CF5082"/>
    <w:rsid w:val="00D12AFF"/>
    <w:rsid w:val="00D57D32"/>
    <w:rsid w:val="00D82E01"/>
    <w:rsid w:val="00D87761"/>
    <w:rsid w:val="00DA1C5C"/>
    <w:rsid w:val="00DD426C"/>
    <w:rsid w:val="00DF332C"/>
    <w:rsid w:val="00E117C3"/>
    <w:rsid w:val="00E2398A"/>
    <w:rsid w:val="00E71DD0"/>
    <w:rsid w:val="00E84C1A"/>
    <w:rsid w:val="00E95E27"/>
    <w:rsid w:val="00F02228"/>
    <w:rsid w:val="00F2271F"/>
    <w:rsid w:val="00F24603"/>
    <w:rsid w:val="00F263BD"/>
    <w:rsid w:val="00FC76A7"/>
    <w:rsid w:val="00FD6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1D30D"/>
  <w15:docId w15:val="{DB1C4688-B50F-43AA-98CD-64E5D54C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F7F53"/>
    <w:rPr>
      <w:color w:val="0000FF"/>
      <w:u w:val="single"/>
    </w:rPr>
  </w:style>
  <w:style w:type="paragraph" w:customStyle="1" w:styleId="doc-ti">
    <w:name w:val="doc-ti"/>
    <w:basedOn w:val="Normal"/>
    <w:rsid w:val="000F7F5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v213">
    <w:name w:val="tv213"/>
    <w:basedOn w:val="Normal"/>
    <w:rsid w:val="000F7F5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0F7F5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Footer">
    <w:name w:val="footer"/>
    <w:basedOn w:val="Normal"/>
    <w:link w:val="FooterChar"/>
    <w:uiPriority w:val="99"/>
    <w:unhideWhenUsed/>
    <w:rsid w:val="000F7F53"/>
    <w:pPr>
      <w:tabs>
        <w:tab w:val="center" w:pos="4153"/>
        <w:tab w:val="right" w:pos="8306"/>
      </w:tabs>
    </w:pPr>
  </w:style>
  <w:style w:type="character" w:customStyle="1" w:styleId="FooterChar">
    <w:name w:val="Footer Char"/>
    <w:basedOn w:val="DefaultParagraphFont"/>
    <w:link w:val="Footer"/>
    <w:uiPriority w:val="99"/>
    <w:rsid w:val="000F7F53"/>
    <w:rPr>
      <w:rFonts w:ascii="Calibri" w:eastAsia="Calibri" w:hAnsi="Calibri" w:cs="Times New Roman"/>
    </w:rPr>
  </w:style>
  <w:style w:type="paragraph" w:styleId="Header">
    <w:name w:val="header"/>
    <w:basedOn w:val="Normal"/>
    <w:link w:val="HeaderChar"/>
    <w:uiPriority w:val="99"/>
    <w:unhideWhenUsed/>
    <w:rsid w:val="004B2B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2B77"/>
    <w:rPr>
      <w:rFonts w:ascii="Calibri" w:eastAsia="Calibri" w:hAnsi="Calibri" w:cs="Times New Roman"/>
    </w:rPr>
  </w:style>
  <w:style w:type="character" w:styleId="Strong">
    <w:name w:val="Strong"/>
    <w:basedOn w:val="DefaultParagraphFont"/>
    <w:uiPriority w:val="22"/>
    <w:qFormat/>
    <w:rsid w:val="00BA6919"/>
    <w:rPr>
      <w:b/>
      <w:bCs/>
    </w:rPr>
  </w:style>
  <w:style w:type="paragraph" w:customStyle="1" w:styleId="CM4">
    <w:name w:val="CM4"/>
    <w:basedOn w:val="Default"/>
    <w:next w:val="Default"/>
    <w:uiPriority w:val="99"/>
    <w:rsid w:val="00B85AE1"/>
    <w:rPr>
      <w:rFonts w:eastAsiaTheme="minorHAnsi"/>
      <w:color w:val="auto"/>
      <w:lang w:eastAsia="en-US"/>
    </w:rPr>
  </w:style>
  <w:style w:type="paragraph" w:styleId="BalloonText">
    <w:name w:val="Balloon Text"/>
    <w:basedOn w:val="Normal"/>
    <w:link w:val="BalloonTextChar"/>
    <w:uiPriority w:val="99"/>
    <w:semiHidden/>
    <w:unhideWhenUsed/>
    <w:rsid w:val="00CB0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5C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B05CC"/>
    <w:rPr>
      <w:sz w:val="16"/>
      <w:szCs w:val="16"/>
    </w:rPr>
  </w:style>
  <w:style w:type="paragraph" w:styleId="CommentText">
    <w:name w:val="annotation text"/>
    <w:basedOn w:val="Normal"/>
    <w:link w:val="CommentTextChar"/>
    <w:uiPriority w:val="99"/>
    <w:semiHidden/>
    <w:unhideWhenUsed/>
    <w:rsid w:val="00CB05CC"/>
    <w:pPr>
      <w:spacing w:line="240" w:lineRule="auto"/>
    </w:pPr>
    <w:rPr>
      <w:sz w:val="20"/>
      <w:szCs w:val="20"/>
    </w:rPr>
  </w:style>
  <w:style w:type="character" w:customStyle="1" w:styleId="CommentTextChar">
    <w:name w:val="Comment Text Char"/>
    <w:basedOn w:val="DefaultParagraphFont"/>
    <w:link w:val="CommentText"/>
    <w:uiPriority w:val="99"/>
    <w:semiHidden/>
    <w:rsid w:val="00CB05C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05CC"/>
    <w:rPr>
      <w:b/>
      <w:bCs/>
    </w:rPr>
  </w:style>
  <w:style w:type="character" w:customStyle="1" w:styleId="CommentSubjectChar">
    <w:name w:val="Comment Subject Char"/>
    <w:basedOn w:val="CommentTextChar"/>
    <w:link w:val="CommentSubject"/>
    <w:uiPriority w:val="99"/>
    <w:semiHidden/>
    <w:rsid w:val="00CB05C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77116">
      <w:bodyDiv w:val="1"/>
      <w:marLeft w:val="0"/>
      <w:marRight w:val="0"/>
      <w:marTop w:val="0"/>
      <w:marBottom w:val="0"/>
      <w:divBdr>
        <w:top w:val="none" w:sz="0" w:space="0" w:color="auto"/>
        <w:left w:val="none" w:sz="0" w:space="0" w:color="auto"/>
        <w:bottom w:val="none" w:sz="0" w:space="0" w:color="auto"/>
        <w:right w:val="none" w:sz="0" w:space="0" w:color="auto"/>
      </w:divBdr>
      <w:divsChild>
        <w:div w:id="45495231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43160091">
      <w:bodyDiv w:val="1"/>
      <w:marLeft w:val="0"/>
      <w:marRight w:val="0"/>
      <w:marTop w:val="0"/>
      <w:marBottom w:val="0"/>
      <w:divBdr>
        <w:top w:val="none" w:sz="0" w:space="0" w:color="auto"/>
        <w:left w:val="none" w:sz="0" w:space="0" w:color="auto"/>
        <w:bottom w:val="none" w:sz="0" w:space="0" w:color="auto"/>
        <w:right w:val="none" w:sz="0" w:space="0" w:color="auto"/>
      </w:divBdr>
      <w:divsChild>
        <w:div w:id="103207623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gnats.Tusevs@f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6311F-3DEE-45A0-BD10-C906B6E4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4722</Words>
  <Characters>2693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norēķinu galīgumu maksājumu un finanšu instrumentu norēķinu sistēmās”” sākotnējās ietekmes novērtējuma ziņojums (anotācija)</dc:title>
  <dc:subject>Anotācija</dc:subject>
  <dc:creator>Ignats Tuševs</dc:creator>
  <dc:description>I.Tuševs
67095441, Ignats.Tusevs@fm.gov.lv
</dc:description>
  <cp:lastModifiedBy>Finanšu ministrija</cp:lastModifiedBy>
  <cp:revision>5</cp:revision>
  <cp:lastPrinted>2016-03-24T09:17:00Z</cp:lastPrinted>
  <dcterms:created xsi:type="dcterms:W3CDTF">2016-03-29T08:34:00Z</dcterms:created>
  <dcterms:modified xsi:type="dcterms:W3CDTF">2016-04-06T08:31:00Z</dcterms:modified>
</cp:coreProperties>
</file>