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B" w:rsidRPr="00177A4A" w:rsidRDefault="00E321B8" w:rsidP="003908DB">
      <w:pPr>
        <w:jc w:val="center"/>
        <w:rPr>
          <w:b/>
        </w:rPr>
      </w:pPr>
      <w:r w:rsidRPr="00E321B8">
        <w:rPr>
          <w:b/>
        </w:rPr>
        <w:t>Ministru kabineta noteikumu projekta</w:t>
      </w:r>
    </w:p>
    <w:p w:rsidR="003908DB" w:rsidRPr="00177A4A" w:rsidRDefault="00E321B8" w:rsidP="002B6636">
      <w:pPr>
        <w:spacing w:after="120"/>
        <w:jc w:val="center"/>
        <w:rPr>
          <w:b/>
        </w:rPr>
      </w:pPr>
      <w:r w:rsidRPr="00E321B8">
        <w:rPr>
          <w:b/>
        </w:rPr>
        <w:t>„Darbības programmas „Izaugsme un nodarbinātība” 5.6.1.specifiskā atbalsta mērķa „</w:t>
      </w:r>
      <w:r w:rsidRPr="00E321B8">
        <w:rPr>
          <w:b/>
          <w:bCs/>
        </w:rPr>
        <w:t>Veicināt Rīgas pilsētas revitalizāciju, nodrošinot teritorijas efektīvu sociālekonomisko izmantošanu</w:t>
      </w:r>
      <w:r w:rsidRPr="00E321B8">
        <w:rPr>
          <w:b/>
        </w:rPr>
        <w:t>” īstenošanas noteikumi”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2237"/>
        <w:gridCol w:w="6316"/>
      </w:tblGrid>
      <w:tr w:rsidR="00C61A59" w:rsidRPr="00FE1C57" w:rsidTr="00041DD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E1C57" w:rsidRDefault="00C61A59" w:rsidP="00155D30">
            <w:pPr>
              <w:pStyle w:val="Sarakstarindkopa"/>
              <w:tabs>
                <w:tab w:val="left" w:pos="2268"/>
                <w:tab w:val="left" w:pos="2410"/>
              </w:tabs>
              <w:ind w:left="1080"/>
              <w:jc w:val="center"/>
              <w:rPr>
                <w:b/>
                <w:sz w:val="24"/>
                <w:szCs w:val="24"/>
                <w:lang w:eastAsia="en-US"/>
              </w:rPr>
            </w:pPr>
            <w:r w:rsidRPr="00FE1C57">
              <w:rPr>
                <w:b/>
                <w:bCs/>
                <w:sz w:val="24"/>
                <w:szCs w:val="24"/>
              </w:rPr>
              <w:t>I. Tiesību akta projekta izstrādes nepieciešamība</w:t>
            </w:r>
          </w:p>
        </w:tc>
      </w:tr>
      <w:tr w:rsidR="00C61A59" w:rsidRPr="00FE1C57"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FE1C57" w:rsidRDefault="00C61A59" w:rsidP="00155D30">
            <w:pPr>
              <w:jc w:val="center"/>
              <w:rPr>
                <w:lang w:eastAsia="en-US"/>
              </w:rPr>
            </w:pPr>
            <w:r w:rsidRPr="00FE1C5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FE1C57" w:rsidRDefault="00C61A59" w:rsidP="00155D30">
            <w:pPr>
              <w:tabs>
                <w:tab w:val="left" w:pos="1904"/>
              </w:tabs>
              <w:rPr>
                <w:lang w:eastAsia="en-US"/>
              </w:rPr>
            </w:pPr>
            <w:r w:rsidRPr="00FE1C57">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952" w:rsidRPr="00FE1C57" w:rsidRDefault="009B0952" w:rsidP="009B0952">
            <w:pPr>
              <w:pStyle w:val="Sarakstarindkopa"/>
              <w:tabs>
                <w:tab w:val="left" w:pos="317"/>
              </w:tabs>
              <w:spacing w:before="60" w:after="60"/>
              <w:ind w:left="34"/>
              <w:jc w:val="both"/>
              <w:rPr>
                <w:sz w:val="24"/>
                <w:szCs w:val="24"/>
                <w:shd w:val="clear" w:color="auto" w:fill="FFFFFF"/>
              </w:rPr>
            </w:pPr>
            <w:r w:rsidRPr="00FE1C57">
              <w:rPr>
                <w:sz w:val="24"/>
                <w:szCs w:val="24"/>
              </w:rPr>
              <w:t>Ministru kabineta</w:t>
            </w:r>
            <w:r w:rsidR="00AA18E8">
              <w:rPr>
                <w:sz w:val="24"/>
                <w:szCs w:val="24"/>
              </w:rPr>
              <w:t xml:space="preserve"> </w:t>
            </w:r>
            <w:r w:rsidR="0086228E" w:rsidRPr="00FE1C57">
              <w:rPr>
                <w:sz w:val="24"/>
                <w:szCs w:val="24"/>
                <w:shd w:val="clear" w:color="auto" w:fill="FFFFFF"/>
              </w:rPr>
              <w:t xml:space="preserve">noteikumu projekts </w:t>
            </w:r>
            <w:r w:rsidR="0086228E" w:rsidRPr="00FE1C57">
              <w:rPr>
                <w:sz w:val="24"/>
                <w:szCs w:val="24"/>
              </w:rPr>
              <w:t>„</w:t>
            </w:r>
            <w:r w:rsidR="006E381C" w:rsidRPr="00FE1C57">
              <w:rPr>
                <w:sz w:val="24"/>
                <w:szCs w:val="24"/>
              </w:rPr>
              <w:t>D</w:t>
            </w:r>
            <w:r w:rsidR="0086228E" w:rsidRPr="00FE1C57">
              <w:rPr>
                <w:sz w:val="24"/>
                <w:szCs w:val="24"/>
              </w:rPr>
              <w:t xml:space="preserve">arbības programmas „Izaugsme un nodarbinātība” </w:t>
            </w:r>
            <w:r w:rsidR="00D95DD5">
              <w:rPr>
                <w:sz w:val="24"/>
                <w:szCs w:val="24"/>
              </w:rPr>
              <w:t>5.6.1</w:t>
            </w:r>
            <w:r w:rsidR="0086228E" w:rsidRPr="00FE1C57">
              <w:rPr>
                <w:sz w:val="24"/>
                <w:szCs w:val="24"/>
              </w:rPr>
              <w:t xml:space="preserve">.specifiskā atbalsta mērķa </w:t>
            </w:r>
            <w:r w:rsidR="0086228E" w:rsidRPr="00D95DD5">
              <w:rPr>
                <w:sz w:val="24"/>
                <w:szCs w:val="24"/>
              </w:rPr>
              <w:t>„</w:t>
            </w:r>
            <w:r w:rsidR="00D95DD5" w:rsidRPr="00D95DD5">
              <w:rPr>
                <w:bCs/>
                <w:sz w:val="24"/>
                <w:szCs w:val="24"/>
              </w:rPr>
              <w:t>Veicināt Rīgas pilsētas revitalizāciju, nodrošinot teritorijas efektīvu sociālekonomisko izmantošanu</w:t>
            </w:r>
            <w:r w:rsidR="0086228E" w:rsidRPr="00D95DD5">
              <w:rPr>
                <w:sz w:val="24"/>
                <w:szCs w:val="24"/>
              </w:rPr>
              <w:t xml:space="preserve">” </w:t>
            </w:r>
            <w:r w:rsidR="0086228E" w:rsidRPr="00FE1C57">
              <w:rPr>
                <w:sz w:val="24"/>
                <w:szCs w:val="24"/>
              </w:rPr>
              <w:t>īstenošan</w:t>
            </w:r>
            <w:r w:rsidR="006E381C" w:rsidRPr="00FE1C57">
              <w:rPr>
                <w:sz w:val="24"/>
                <w:szCs w:val="24"/>
              </w:rPr>
              <w:t>as noteikumi</w:t>
            </w:r>
            <w:r w:rsidR="0086228E" w:rsidRPr="00FE1C57">
              <w:rPr>
                <w:sz w:val="24"/>
                <w:szCs w:val="24"/>
              </w:rPr>
              <w:t>” (turpmāk –</w:t>
            </w:r>
            <w:r w:rsidRPr="00FE1C57">
              <w:rPr>
                <w:sz w:val="24"/>
                <w:szCs w:val="24"/>
              </w:rPr>
              <w:t xml:space="preserve"> </w:t>
            </w:r>
            <w:r w:rsidR="0086228E" w:rsidRPr="00FE1C57">
              <w:rPr>
                <w:sz w:val="24"/>
                <w:szCs w:val="24"/>
              </w:rPr>
              <w:t xml:space="preserve">noteikumu projekts) </w:t>
            </w:r>
            <w:r w:rsidRPr="00FE1C57">
              <w:rPr>
                <w:sz w:val="24"/>
                <w:szCs w:val="24"/>
                <w:shd w:val="clear" w:color="auto" w:fill="FFFFFF"/>
              </w:rPr>
              <w:t>izstrādāts atbilstoši:</w:t>
            </w:r>
          </w:p>
          <w:p w:rsidR="009B0952" w:rsidRPr="00FE1C57" w:rsidRDefault="009B0952" w:rsidP="00D95BEF">
            <w:pPr>
              <w:pStyle w:val="Sarakstarindkopa"/>
              <w:numPr>
                <w:ilvl w:val="0"/>
                <w:numId w:val="38"/>
              </w:numPr>
              <w:tabs>
                <w:tab w:val="left" w:pos="635"/>
              </w:tabs>
              <w:spacing w:before="60" w:after="60"/>
              <w:jc w:val="both"/>
              <w:rPr>
                <w:sz w:val="24"/>
                <w:szCs w:val="24"/>
              </w:rPr>
            </w:pPr>
            <w:r w:rsidRPr="00FE1C57">
              <w:rPr>
                <w:sz w:val="24"/>
                <w:szCs w:val="24"/>
              </w:rPr>
              <w:t>Eiropas Savienības struktūrfondu un Kohēzijas fonda 2014.</w:t>
            </w:r>
            <w:r w:rsidR="00AA18E8" w:rsidRPr="00801707">
              <w:t xml:space="preserve"> – </w:t>
            </w:r>
            <w:r w:rsidRPr="00FE1C57">
              <w:rPr>
                <w:sz w:val="24"/>
                <w:szCs w:val="24"/>
              </w:rPr>
              <w:t xml:space="preserve">2020.gada plānošanas perioda vadības likuma 20.panta </w:t>
            </w:r>
            <w:r w:rsidR="000C6F69">
              <w:rPr>
                <w:sz w:val="24"/>
                <w:szCs w:val="24"/>
              </w:rPr>
              <w:t xml:space="preserve">6.un </w:t>
            </w:r>
            <w:r w:rsidRPr="00FE1C57">
              <w:rPr>
                <w:sz w:val="24"/>
                <w:szCs w:val="24"/>
              </w:rPr>
              <w:t>13.punktam;</w:t>
            </w:r>
          </w:p>
          <w:p w:rsidR="008641E6" w:rsidRPr="00FE1C57" w:rsidRDefault="008641E6" w:rsidP="00D95BEF">
            <w:pPr>
              <w:pStyle w:val="Sarakstarindkopa"/>
              <w:numPr>
                <w:ilvl w:val="0"/>
                <w:numId w:val="38"/>
              </w:numPr>
              <w:tabs>
                <w:tab w:val="left" w:pos="635"/>
              </w:tabs>
              <w:spacing w:before="60" w:after="60"/>
              <w:jc w:val="both"/>
              <w:rPr>
                <w:bCs/>
                <w:sz w:val="24"/>
                <w:szCs w:val="24"/>
                <w:lang w:eastAsia="en-US"/>
              </w:rPr>
            </w:pPr>
            <w:r w:rsidRPr="00FE1C57">
              <w:rPr>
                <w:bCs/>
                <w:sz w:val="24"/>
                <w:szCs w:val="24"/>
                <w:lang w:eastAsia="en-US"/>
              </w:rPr>
              <w:t>Partnerības līgumam Eiropas Savienības investīciju fondu 2014.</w:t>
            </w:r>
            <w:r w:rsidR="00AA18E8" w:rsidRPr="00801707">
              <w:t xml:space="preserve"> – </w:t>
            </w:r>
            <w:r w:rsidRPr="00FE1C57">
              <w:rPr>
                <w:bCs/>
                <w:sz w:val="24"/>
                <w:szCs w:val="24"/>
                <w:lang w:eastAsia="en-US"/>
              </w:rPr>
              <w:t>2020.gada plānošanas periodam</w:t>
            </w:r>
            <w:r w:rsidR="00F70181">
              <w:rPr>
                <w:bCs/>
                <w:sz w:val="24"/>
                <w:szCs w:val="24"/>
                <w:lang w:eastAsia="en-US"/>
              </w:rPr>
              <w:t xml:space="preserve"> (turpmāk – Partnerības līgums)</w:t>
            </w:r>
            <w:r w:rsidRPr="00FE1C57">
              <w:rPr>
                <w:bCs/>
                <w:sz w:val="24"/>
                <w:szCs w:val="24"/>
                <w:lang w:eastAsia="en-US"/>
              </w:rPr>
              <w:t>;</w:t>
            </w:r>
          </w:p>
          <w:p w:rsidR="00B5412E" w:rsidRPr="00593067" w:rsidRDefault="008641E6" w:rsidP="00D95BEF">
            <w:pPr>
              <w:pStyle w:val="Sarakstarindkopa"/>
              <w:numPr>
                <w:ilvl w:val="0"/>
                <w:numId w:val="38"/>
              </w:numPr>
              <w:tabs>
                <w:tab w:val="left" w:pos="635"/>
              </w:tabs>
              <w:spacing w:before="60" w:after="60"/>
              <w:jc w:val="both"/>
              <w:rPr>
                <w:sz w:val="24"/>
                <w:szCs w:val="24"/>
              </w:rPr>
            </w:pPr>
            <w:r w:rsidRPr="00FE1C57">
              <w:rPr>
                <w:sz w:val="24"/>
                <w:szCs w:val="24"/>
              </w:rPr>
              <w:t>Eiropas Savienības struktūrfondu un Kohēzijas fonda 2014.</w:t>
            </w:r>
            <w:r w:rsidR="00AA18E8" w:rsidRPr="00801707">
              <w:t xml:space="preserve"> – </w:t>
            </w:r>
            <w:r w:rsidRPr="00FE1C57">
              <w:rPr>
                <w:sz w:val="24"/>
                <w:szCs w:val="24"/>
              </w:rPr>
              <w:t>2020.gada plānošanas perioda darbības programma</w:t>
            </w:r>
            <w:r w:rsidRPr="00FE1C57">
              <w:rPr>
                <w:color w:val="000000"/>
                <w:sz w:val="24"/>
                <w:szCs w:val="24"/>
              </w:rPr>
              <w:t xml:space="preserve">i </w:t>
            </w:r>
            <w:r w:rsidRPr="00FE1C57">
              <w:rPr>
                <w:sz w:val="24"/>
                <w:szCs w:val="24"/>
              </w:rPr>
              <w:t>„Izaugsme un nodarbinātība” (turpmāk - darbības programma)</w:t>
            </w:r>
            <w:r w:rsidR="00AA18E8">
              <w:rPr>
                <w:sz w:val="24"/>
                <w:szCs w:val="24"/>
              </w:rPr>
              <w:t>.</w:t>
            </w:r>
          </w:p>
        </w:tc>
      </w:tr>
      <w:tr w:rsidR="00C61A59" w:rsidRPr="00FE1C57"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FE1C57" w:rsidRDefault="00C61A59" w:rsidP="00155D30">
            <w:pPr>
              <w:jc w:val="center"/>
              <w:rPr>
                <w:lang w:eastAsia="en-US"/>
              </w:rPr>
            </w:pPr>
            <w:r w:rsidRPr="00FE1C57">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FE1C57" w:rsidRDefault="00C61A59" w:rsidP="004C41AE">
            <w:pPr>
              <w:rPr>
                <w:lang w:eastAsia="en-US"/>
              </w:rPr>
            </w:pPr>
            <w:r w:rsidRPr="00FE1C57">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724B08" w:rsidRDefault="00B66444">
            <w:pPr>
              <w:ind w:left="-11"/>
              <w:jc w:val="both"/>
              <w:rPr>
                <w:rFonts w:eastAsiaTheme="majorEastAsia"/>
                <w:b/>
                <w:bCs/>
              </w:rPr>
            </w:pPr>
            <w:r w:rsidRPr="001064BC">
              <w:rPr>
                <w:color w:val="000000"/>
              </w:rPr>
              <w:t xml:space="preserve">Lai veicinātu Rīgas un citu pilsētu revitalizāciju, vides kvalitātes uzlabošanos, investīciju piesaistīšanu, uzlabotu nodarbinātību, sociālekonomisko situāciju, kā arī nodrošinātu integrētus ieguldījumus infrastruktūras attīstībā, Partnerības līgumā uzsvērta nepieciešamība revitalizēt un attīstīt pilsētas degradētās teritorijas, kurās tiktu atjaunota ekonomiskā un sociālā attīstība un novērsta turpmākā vides un sociālekonomiskā stāvokļa degradācija, to </w:t>
            </w:r>
            <w:r w:rsidRPr="001064BC">
              <w:t xml:space="preserve">panākot arī ar kultūras un sporta infrastruktūras objektu izveidi un </w:t>
            </w:r>
            <w:r w:rsidR="007D2BBA">
              <w:t>pārbūvi</w:t>
            </w:r>
            <w:r w:rsidRPr="001064BC">
              <w:t>.</w:t>
            </w:r>
          </w:p>
          <w:p w:rsidR="00724B08" w:rsidRDefault="00B66444">
            <w:pPr>
              <w:spacing w:before="120"/>
              <w:jc w:val="both"/>
            </w:pPr>
            <w:r w:rsidRPr="001064BC">
              <w:t>Savukārt d</w:t>
            </w:r>
            <w:r w:rsidR="00D07ED6" w:rsidRPr="001064BC">
              <w:t xml:space="preserve">arbības </w:t>
            </w:r>
            <w:r w:rsidR="006F4417" w:rsidRPr="001064BC">
              <w:t xml:space="preserve">programmā noteikts, ka </w:t>
            </w:r>
            <w:r w:rsidR="00D95DD5" w:rsidRPr="001064BC">
              <w:t>5.6.1</w:t>
            </w:r>
            <w:r w:rsidR="006C36E9" w:rsidRPr="001064BC">
              <w:t xml:space="preserve">.specifiskā atbalsta mērķa </w:t>
            </w:r>
            <w:r w:rsidR="00D95DD5" w:rsidRPr="001064BC">
              <w:t>„</w:t>
            </w:r>
            <w:r w:rsidR="00D95DD5" w:rsidRPr="001064BC">
              <w:rPr>
                <w:bCs/>
              </w:rPr>
              <w:t>Veicināt Rīgas pilsētas revitalizāciju, nodrošinot teritorijas efektīvu sociālekonomisko izmantošanu</w:t>
            </w:r>
            <w:r w:rsidR="00D95DD5" w:rsidRPr="001064BC">
              <w:t>”</w:t>
            </w:r>
            <w:r w:rsidR="006C36E9" w:rsidRPr="001064BC">
              <w:t xml:space="preserve"> (turpmāk – </w:t>
            </w:r>
            <w:r w:rsidR="00B60531" w:rsidRPr="001064BC">
              <w:t>5.6.1.</w:t>
            </w:r>
            <w:r w:rsidR="009B0952" w:rsidRPr="001064BC">
              <w:t>SAM</w:t>
            </w:r>
            <w:r w:rsidR="006C36E9" w:rsidRPr="001064BC">
              <w:t>)</w:t>
            </w:r>
            <w:r w:rsidR="009B0952" w:rsidRPr="001064BC">
              <w:t xml:space="preserve"> īstenošanas rezultātā tiks nodrošināta </w:t>
            </w:r>
            <w:r w:rsidR="005A52FC" w:rsidRPr="001064BC">
              <w:t xml:space="preserve">Rīgas ilgtspējīgas attīstības stratēģijā līdz 2030.gadam noteikto sabiedriski nozīmīgo objektu un prioritāri atbalstāmo degradēto teritoriju revitalizēšana, veicot maza mēroga sabiedrisku, kultūras, sporta un inženierinfrastruktūras objektu izveidi un pārbūvi, kas nodrošina kvalitatīvu un daudzveidīgu pakalpojumu piedāvājumu. </w:t>
            </w:r>
            <w:r w:rsidRPr="001064BC">
              <w:t xml:space="preserve">Darbības programmas ietvaros paredzēta tādu degradēto teritoriju attīstība, kuras kvantitatīvā izteiksmē paredzēs lielāko revitalizācijas efektu un lielākos privātos līdzieguldījumus, kā arī nodrošinās pievienoto vērtību nacionālā līmenī atbilstoši nacionālajos plānošanas dokumentos kultūras, sporta, tūrisma vai citās </w:t>
            </w:r>
            <w:r w:rsidRPr="00801707">
              <w:t xml:space="preserve">nozarēs noteiktajiem mērķiem un uzdevumiem. </w:t>
            </w:r>
          </w:p>
          <w:p w:rsidR="00724B08" w:rsidRDefault="00732246">
            <w:pPr>
              <w:spacing w:before="120"/>
              <w:jc w:val="both"/>
            </w:pPr>
            <w:r w:rsidRPr="00801707">
              <w:lastRenderedPageBreak/>
              <w:t xml:space="preserve">Kopumā </w:t>
            </w:r>
            <w:r w:rsidR="00416DC7" w:rsidRPr="00801707">
              <w:t>R</w:t>
            </w:r>
            <w:r w:rsidR="00416DC7" w:rsidRPr="00801707">
              <w:rPr>
                <w:rFonts w:hint="eastAsia"/>
              </w:rPr>
              <w:t>ī</w:t>
            </w:r>
            <w:r w:rsidR="00416DC7" w:rsidRPr="00801707">
              <w:t>gas att</w:t>
            </w:r>
            <w:r w:rsidR="00416DC7" w:rsidRPr="00801707">
              <w:rPr>
                <w:rFonts w:hint="eastAsia"/>
              </w:rPr>
              <w:t>ī</w:t>
            </w:r>
            <w:r w:rsidR="00416DC7" w:rsidRPr="00801707">
              <w:t>st</w:t>
            </w:r>
            <w:r w:rsidR="00416DC7" w:rsidRPr="00801707">
              <w:rPr>
                <w:rFonts w:hint="eastAsia"/>
              </w:rPr>
              <w:t>ī</w:t>
            </w:r>
            <w:r w:rsidR="00416DC7" w:rsidRPr="00801707">
              <w:t>bas programmas 2014.</w:t>
            </w:r>
            <w:r w:rsidR="00AA18E8" w:rsidRPr="00801707">
              <w:t xml:space="preserve"> – </w:t>
            </w:r>
            <w:r w:rsidR="00416DC7" w:rsidRPr="00801707">
              <w:t xml:space="preserve">2020.gadam </w:t>
            </w:r>
            <w:r w:rsidR="000129F5">
              <w:t xml:space="preserve">(turpmāk – attīstības programma) </w:t>
            </w:r>
            <w:r w:rsidR="00416DC7" w:rsidRPr="00801707">
              <w:t>Invest</w:t>
            </w:r>
            <w:r w:rsidR="00416DC7" w:rsidRPr="00801707">
              <w:rPr>
                <w:rFonts w:hint="eastAsia"/>
              </w:rPr>
              <w:t>ī</w:t>
            </w:r>
            <w:r w:rsidR="00416DC7" w:rsidRPr="00801707">
              <w:t>ciju pl</w:t>
            </w:r>
            <w:r w:rsidR="00416DC7" w:rsidRPr="00801707">
              <w:rPr>
                <w:rFonts w:hint="eastAsia"/>
              </w:rPr>
              <w:t>ā</w:t>
            </w:r>
            <w:r w:rsidR="00416DC7" w:rsidRPr="00801707">
              <w:t>na 2014.</w:t>
            </w:r>
            <w:r w:rsidR="00AA18E8" w:rsidRPr="00801707">
              <w:t xml:space="preserve"> – </w:t>
            </w:r>
            <w:r w:rsidR="00416DC7" w:rsidRPr="00801707">
              <w:t>2016.gadam 4.pielikum</w:t>
            </w:r>
            <w:r w:rsidR="00416DC7" w:rsidRPr="00801707">
              <w:rPr>
                <w:rFonts w:hint="eastAsia"/>
              </w:rPr>
              <w:t>ā</w:t>
            </w:r>
            <w:r w:rsidR="00416DC7" w:rsidRPr="00801707">
              <w:t xml:space="preserve"> iek</w:t>
            </w:r>
            <w:r w:rsidR="00416DC7" w:rsidRPr="00801707">
              <w:rPr>
                <w:rFonts w:hint="eastAsia"/>
              </w:rPr>
              <w:t>ļ</w:t>
            </w:r>
            <w:r w:rsidR="00416DC7" w:rsidRPr="00801707">
              <w:t>auta inform</w:t>
            </w:r>
            <w:r w:rsidR="00416DC7" w:rsidRPr="00801707">
              <w:rPr>
                <w:rFonts w:hint="eastAsia"/>
              </w:rPr>
              <w:t>ā</w:t>
            </w:r>
            <w:r w:rsidR="00416DC7" w:rsidRPr="00801707">
              <w:t>cija par 235 degrad</w:t>
            </w:r>
            <w:r w:rsidR="00416DC7" w:rsidRPr="00801707">
              <w:rPr>
                <w:rFonts w:hint="eastAsia"/>
              </w:rPr>
              <w:t>ē</w:t>
            </w:r>
            <w:r w:rsidR="00416DC7" w:rsidRPr="00801707">
              <w:t>t</w:t>
            </w:r>
            <w:r w:rsidR="00416DC7" w:rsidRPr="00801707">
              <w:rPr>
                <w:rFonts w:hint="eastAsia"/>
              </w:rPr>
              <w:t>ā</w:t>
            </w:r>
            <w:r w:rsidR="00416DC7" w:rsidRPr="00801707">
              <w:t>m teritorij</w:t>
            </w:r>
            <w:r w:rsidR="00416DC7" w:rsidRPr="00801707">
              <w:rPr>
                <w:rFonts w:hint="eastAsia"/>
              </w:rPr>
              <w:t>ā</w:t>
            </w:r>
            <w:r w:rsidR="00416DC7" w:rsidRPr="00801707">
              <w:t>m un 612 degrad</w:t>
            </w:r>
            <w:r w:rsidR="00416DC7" w:rsidRPr="00801707">
              <w:rPr>
                <w:rFonts w:hint="eastAsia"/>
              </w:rPr>
              <w:t>ē</w:t>
            </w:r>
            <w:r w:rsidR="00416DC7" w:rsidRPr="00801707">
              <w:t xml:space="preserve">tiem objektiem. </w:t>
            </w:r>
            <w:hyperlink r:id="rId12" w:history="1">
              <w:r w:rsidR="00416DC7" w:rsidRPr="00801707">
                <w:rPr>
                  <w:rStyle w:val="Hipersaite"/>
                </w:rPr>
                <w:t>http://www.rdpad.lv/wp-content/uploads/2015/05/INVESTICIJU_Plans_2014_2016.pdf</w:t>
              </w:r>
            </w:hyperlink>
            <w:r w:rsidR="002E14EE" w:rsidRPr="00801707">
              <w:t xml:space="preserve"> </w:t>
            </w:r>
          </w:p>
          <w:p w:rsidR="00724B08" w:rsidRDefault="00B66444">
            <w:pPr>
              <w:spacing w:before="120"/>
              <w:jc w:val="both"/>
            </w:pPr>
            <w:r w:rsidRPr="00801707">
              <w:t xml:space="preserve">5.6.1.SAM investīciju veikšana paredzēta Rīgas pilsētas teritorijās (apkaimēs) ar ievērojamu izaugsmes un attīstības potenciālu, ko raksturo izdevīgs ģeogrāfiskais novietojums, kvalitatīva infrastruktūras bāze vai labi priekšnosacījumi tās izveidei, privātā sektora interese un pašvaldības gatavība investēt šajās teritorijās, bet kurās iespējamo attīstību un investīciju ieplūdi kavē tādi faktori kā slikti sociālekonomisko vidi raksturojošie </w:t>
            </w:r>
            <w:r w:rsidR="005723E2" w:rsidRPr="00801707">
              <w:t>parametri, salīdzinot</w:t>
            </w:r>
            <w:r w:rsidRPr="00801707">
              <w:t xml:space="preserve"> ar vidējiem rādītājiem pilsētā</w:t>
            </w:r>
            <w:r w:rsidR="005723E2" w:rsidRPr="00801707">
              <w:t>,</w:t>
            </w:r>
            <w:r w:rsidRPr="00801707">
              <w:t xml:space="preserve"> </w:t>
            </w:r>
            <w:r w:rsidRPr="00801707">
              <w:rPr>
                <w:rStyle w:val="st"/>
                <w:rFonts w:eastAsiaTheme="majorEastAsia"/>
              </w:rPr>
              <w:t>–</w:t>
            </w:r>
            <w:r w:rsidRPr="00801707">
              <w:t xml:space="preserve"> augsts bezdarba līmenis, noziedzība, zemi iedzīvotāju vidējie ieņēmumi, zema esošā uzņēmējdarbības aktivitāte, augsta degradēto objektu un teritoriju koncentrācija. Revitalizējot un attīstot šādas Rīgas pilsētas teritorijas, tiks veicināta ekonomiskā un sociālā aktivitāte, novērsta to turpmāka degradācija, </w:t>
            </w:r>
            <w:r w:rsidR="007D2BBA">
              <w:t>pārbūvējot</w:t>
            </w:r>
            <w:r w:rsidRPr="00801707">
              <w:t xml:space="preserve"> un izveidojot maza mēroga sabiedriskus objektus</w:t>
            </w:r>
            <w:r w:rsidR="005723E2" w:rsidRPr="00801707">
              <w:t xml:space="preserve">, </w:t>
            </w:r>
            <w:r w:rsidRPr="00801707">
              <w:t>piemēram, integrētus kultūras, darījumu tūrisma un sporta objektus, kas kalpos par katalizatoru attiecīgās teritorijas attīstībai, papildinot un veicinot citu, it īpaši privāto, investīciju piesaistīšanu, kā arī veicinās komercdarbību, nodarbinātību un sociālekonomiskās situācijas uzlabošanos attiecīgajās teritorijās.</w:t>
            </w:r>
          </w:p>
          <w:p w:rsidR="00724B08" w:rsidRDefault="001B3F78">
            <w:pPr>
              <w:tabs>
                <w:tab w:val="left" w:pos="993"/>
              </w:tabs>
              <w:spacing w:before="120"/>
              <w:jc w:val="both"/>
              <w:outlineLvl w:val="0"/>
            </w:pPr>
            <w:r w:rsidRPr="00801707">
              <w:t xml:space="preserve">Plānoto investīciju ietekme vērsta uz </w:t>
            </w:r>
            <w:r w:rsidR="00F160DD" w:rsidRPr="00801707">
              <w:t xml:space="preserve">Rīgas </w:t>
            </w:r>
            <w:r w:rsidRPr="00801707">
              <w:t xml:space="preserve">pilsētas iedzīvotāju dzīves kvalitātes līmeņa paaugstināšanu, kā arī uz investīciju piesaistīšanu, veicot ilgtspējīgus ieguldījumus maza mēroga sabiedrisku objektu un daudzfunkcionālas sabiedriskās infrastruktūras </w:t>
            </w:r>
            <w:r w:rsidR="007D2BBA">
              <w:t>pārbūvē</w:t>
            </w:r>
            <w:r w:rsidRPr="00801707">
              <w:t>, attīstībā un izveidē.</w:t>
            </w:r>
            <w:r w:rsidR="00AA18E8">
              <w:t xml:space="preserve"> </w:t>
            </w:r>
            <w:r w:rsidR="00B60531" w:rsidRPr="00801707">
              <w:t>N</w:t>
            </w:r>
            <w:r w:rsidR="00F86873" w:rsidRPr="00801707">
              <w:t xml:space="preserve">oteikumu projekts paredz </w:t>
            </w:r>
            <w:r w:rsidR="00B60531" w:rsidRPr="00801707">
              <w:t>5.6.1.</w:t>
            </w:r>
            <w:r w:rsidR="00F86873" w:rsidRPr="00801707">
              <w:t>SAM īstenošanas nosacījumus, mērķi</w:t>
            </w:r>
            <w:r w:rsidR="00416DC7" w:rsidRPr="00801707">
              <w:t xml:space="preserve"> un sasniedzamos iznākuma un finanšu rādītājus, mērķa grupu, </w:t>
            </w:r>
            <w:r w:rsidR="00AA18E8">
              <w:t>5.6.1.</w:t>
            </w:r>
            <w:r w:rsidR="00416DC7" w:rsidRPr="00801707">
              <w:t xml:space="preserve">SAM pieejamo finansējumu, projektu iesniedzēju un sadarbības partneru loku un tiem noteiktās prasības, tai skaitā vienošanās vai civiltiesiskā līguma par projekta īstenošanu vienpusējā uzteikuma nosacījumus, atbalstāmo darbību un izmaksu attiecināmības nosacījumus, </w:t>
            </w:r>
            <w:r w:rsidR="00416DC7" w:rsidRPr="00801707">
              <w:rPr>
                <w:color w:val="000000"/>
              </w:rPr>
              <w:t>vienkāršoto izmaksu piemērošanas nosacījumu un kārtību,</w:t>
            </w:r>
            <w:r w:rsidR="00664EBD">
              <w:rPr>
                <w:color w:val="000000"/>
              </w:rPr>
              <w:t xml:space="preserve"> </w:t>
            </w:r>
            <w:r w:rsidR="00416DC7" w:rsidRPr="00801707">
              <w:t>t</w:t>
            </w:r>
            <w:r w:rsidR="00AA18E8">
              <w:t>ajā skaitā</w:t>
            </w:r>
            <w:r w:rsidR="00416DC7" w:rsidRPr="00801707">
              <w:t xml:space="preserve"> valsts atbalsta komercdarbībai nosacījumus.</w:t>
            </w:r>
          </w:p>
          <w:p w:rsidR="00724B08" w:rsidRDefault="00416DC7">
            <w:pPr>
              <w:pStyle w:val="Default"/>
              <w:spacing w:before="120"/>
              <w:jc w:val="both"/>
            </w:pPr>
            <w:r w:rsidRPr="00801707">
              <w:t xml:space="preserve">5.6.1.SAM tiek īstenots ar mērķi Eiropas Reģionālās attīstības fonda (turpmāk – ERAF) finansējumu novirzīt projektiem, kas nodrošinātu tādu degradēto teritoriju un objektu attīstību, paredzot kvantitatīvā izteiksmē lielāko revitalizācijas efektu un lielākos privātos līdzieguldījumus, kā arī nodrošinot pievienoto vērtību nacionālā līmenī atbilstoši nacionālajos plānošanas dokumentos kultūras, sporta, tūrisma vai citās nozarēs </w:t>
            </w:r>
            <w:r w:rsidRPr="00801707">
              <w:lastRenderedPageBreak/>
              <w:t xml:space="preserve">noteiktajiem mērķiem un uzdevumiem. </w:t>
            </w:r>
          </w:p>
          <w:p w:rsidR="001B3F78" w:rsidRPr="00801707" w:rsidRDefault="00416DC7" w:rsidP="001B3F78">
            <w:pPr>
              <w:spacing w:before="120"/>
              <w:jc w:val="both"/>
            </w:pPr>
            <w:r w:rsidRPr="00801707">
              <w:t>Lai nodrošinātu integrētus ieguldījumus infrastruktūras attīstībā 5.6.1.SAM ietvaros, finansējuma saņēmējiem</w:t>
            </w:r>
            <w:r w:rsidR="00B60531" w:rsidRPr="00801707">
              <w:t xml:space="preserve"> </w:t>
            </w:r>
            <w:r w:rsidR="006C00C6" w:rsidRPr="00801707">
              <w:t>teritorijas revitalizācijas projektos</w:t>
            </w:r>
            <w:r w:rsidR="00B60531" w:rsidRPr="00801707">
              <w:t>,</w:t>
            </w:r>
            <w:r w:rsidR="006C00C6" w:rsidRPr="00801707">
              <w:t xml:space="preserve"> attīstot publisko infrastruktūru, ir jānodrošina maksimāla šīs infrastruktūras multifunkcionalitāte un jāveicina to finansiālā pašpietiekamība un atvērtība komercdarbībai un vietējām kopienām.</w:t>
            </w:r>
            <w:r w:rsidR="001B3F78" w:rsidRPr="00801707">
              <w:t xml:space="preserve"> Sabiedrisk</w:t>
            </w:r>
            <w:r w:rsidR="00B60531" w:rsidRPr="00801707">
              <w:t>o</w:t>
            </w:r>
            <w:r w:rsidR="001B3F78" w:rsidRPr="00801707">
              <w:t xml:space="preserve"> objekt</w:t>
            </w:r>
            <w:r w:rsidR="00B60531" w:rsidRPr="00801707">
              <w:t xml:space="preserve">u </w:t>
            </w:r>
            <w:r w:rsidRPr="00801707">
              <w:t xml:space="preserve">un infrastruktūras </w:t>
            </w:r>
            <w:r w:rsidR="001B3F78" w:rsidRPr="00801707">
              <w:t>izveide radīs sinerģij</w:t>
            </w:r>
            <w:r w:rsidR="00B60531" w:rsidRPr="00801707">
              <w:t xml:space="preserve">as </w:t>
            </w:r>
            <w:r w:rsidRPr="00801707">
              <w:t>efektu</w:t>
            </w:r>
            <w:r w:rsidR="001B3F78" w:rsidRPr="00801707">
              <w:t xml:space="preserve"> un nodrošinās objekta apmeklējuma pieaugumu.</w:t>
            </w:r>
          </w:p>
          <w:p w:rsidR="00724B08" w:rsidRDefault="00AA18E8">
            <w:pPr>
              <w:pStyle w:val="Default"/>
              <w:spacing w:before="120"/>
              <w:jc w:val="both"/>
              <w:rPr>
                <w:b/>
                <w:u w:val="single"/>
              </w:rPr>
            </w:pPr>
            <w:r>
              <w:rPr>
                <w:b/>
                <w:u w:val="single"/>
              </w:rPr>
              <w:t>5.6.1.</w:t>
            </w:r>
            <w:r w:rsidR="00C220D8" w:rsidRPr="001064BC">
              <w:rPr>
                <w:b/>
                <w:u w:val="single"/>
              </w:rPr>
              <w:t>SAM atlases veids</w:t>
            </w:r>
            <w:r w:rsidR="00593067">
              <w:rPr>
                <w:b/>
                <w:u w:val="single"/>
              </w:rPr>
              <w:t>,</w:t>
            </w:r>
            <w:r w:rsidR="004459CA" w:rsidRPr="001064BC">
              <w:rPr>
                <w:b/>
                <w:u w:val="single"/>
              </w:rPr>
              <w:t xml:space="preserve"> projektu iesniedzēji</w:t>
            </w:r>
          </w:p>
          <w:p w:rsidR="00724B08" w:rsidRDefault="00B60531">
            <w:pPr>
              <w:jc w:val="both"/>
              <w:outlineLvl w:val="0"/>
            </w:pPr>
            <w:r w:rsidRPr="001064BC">
              <w:t>N</w:t>
            </w:r>
            <w:r w:rsidR="004459CA" w:rsidRPr="001064BC">
              <w:t xml:space="preserve">oteikumu projektā paredzēts, ka </w:t>
            </w:r>
            <w:r w:rsidRPr="001064BC">
              <w:t>5.6.1.</w:t>
            </w:r>
            <w:r w:rsidR="004459CA" w:rsidRPr="001064BC">
              <w:t xml:space="preserve">SAM īsteno ierobežotas </w:t>
            </w:r>
            <w:r w:rsidR="004459CA" w:rsidRPr="008F762A">
              <w:t>pr</w:t>
            </w:r>
            <w:r w:rsidR="003832FF" w:rsidRPr="008F762A">
              <w:t>ojektu iesniegumu atlases veidā</w:t>
            </w:r>
            <w:r w:rsidR="007E797F" w:rsidRPr="008F762A">
              <w:t>.</w:t>
            </w:r>
            <w:r w:rsidRPr="008F762A">
              <w:t xml:space="preserve"> </w:t>
            </w:r>
          </w:p>
          <w:p w:rsidR="003832FF" w:rsidRPr="00AA18E8" w:rsidRDefault="00AA18E8" w:rsidP="00B60531">
            <w:pPr>
              <w:spacing w:before="120"/>
              <w:jc w:val="both"/>
              <w:outlineLvl w:val="0"/>
            </w:pPr>
            <w:r>
              <w:rPr>
                <w:iCs/>
              </w:rPr>
              <w:t>N</w:t>
            </w:r>
            <w:r w:rsidR="00E321B8" w:rsidRPr="00E321B8">
              <w:rPr>
                <w:iCs/>
              </w:rPr>
              <w:t xml:space="preserve">oteikumu </w:t>
            </w:r>
            <w:r>
              <w:rPr>
                <w:iCs/>
              </w:rPr>
              <w:t xml:space="preserve">projekta </w:t>
            </w:r>
            <w:r w:rsidR="00E321B8" w:rsidRPr="00E321B8">
              <w:rPr>
                <w:iCs/>
              </w:rPr>
              <w:t xml:space="preserve">3.punktā minētās </w:t>
            </w:r>
            <w:r w:rsidRPr="001064BC">
              <w:t>5.6.1.SAM</w:t>
            </w:r>
            <w:r w:rsidRPr="00AA18E8">
              <w:rPr>
                <w:iCs/>
              </w:rPr>
              <w:t xml:space="preserve"> </w:t>
            </w:r>
            <w:r w:rsidR="00E321B8" w:rsidRPr="00E321B8">
              <w:rPr>
                <w:iCs/>
              </w:rPr>
              <w:t xml:space="preserve">atlases ietvaros </w:t>
            </w:r>
            <w:r>
              <w:rPr>
                <w:iCs/>
              </w:rPr>
              <w:t xml:space="preserve">Kultūras ministrija kā </w:t>
            </w:r>
            <w:r w:rsidR="00E321B8" w:rsidRPr="00E321B8">
              <w:rPr>
                <w:iCs/>
              </w:rPr>
              <w:t xml:space="preserve">atbildīgā iestāde </w:t>
            </w:r>
            <w:r>
              <w:rPr>
                <w:iCs/>
              </w:rPr>
              <w:t xml:space="preserve">(turpmāk – atbildīgā iestāde) </w:t>
            </w:r>
            <w:r w:rsidR="00E321B8" w:rsidRPr="00E321B8">
              <w:rPr>
                <w:iCs/>
              </w:rPr>
              <w:t xml:space="preserve">veic degradēto objektu un teritoriju atlasi. Katrai revitalizējamai teritorijai izstrādāta un apstiprināta revitalizējamās teritorijas attīstības stratēģija, kuru atbildīgā iestāde saskaņo ar Eiropas Komisiju un pēc tam </w:t>
            </w:r>
            <w:r w:rsidR="00E321B8" w:rsidRPr="00E321B8">
              <w:rPr>
                <w:bCs/>
                <w:iCs/>
              </w:rPr>
              <w:t>iesniedz Ministru kabinetā</w:t>
            </w:r>
            <w:r w:rsidR="00E321B8" w:rsidRPr="00E321B8">
              <w:rPr>
                <w:iCs/>
              </w:rPr>
              <w:t>. Par katru atbalsta teritoriju saskaņā ar revitalizējamās teritorijas attīstības stratēģiju sagatavo un iesnie</w:t>
            </w:r>
            <w:r>
              <w:rPr>
                <w:iCs/>
              </w:rPr>
              <w:t>dz</w:t>
            </w:r>
            <w:r w:rsidR="00E321B8" w:rsidRPr="00E321B8">
              <w:rPr>
                <w:iCs/>
              </w:rPr>
              <w:t xml:space="preserve"> vien</w:t>
            </w:r>
            <w:r>
              <w:rPr>
                <w:iCs/>
              </w:rPr>
              <w:t>u</w:t>
            </w:r>
            <w:r w:rsidR="00E321B8" w:rsidRPr="00E321B8">
              <w:rPr>
                <w:iCs/>
              </w:rPr>
              <w:t xml:space="preserve"> projekta iesniegum</w:t>
            </w:r>
            <w:r>
              <w:rPr>
                <w:iCs/>
              </w:rPr>
              <w:t>u</w:t>
            </w:r>
            <w:r w:rsidR="00E321B8" w:rsidRPr="00E321B8">
              <w:rPr>
                <w:iCs/>
              </w:rPr>
              <w:t>. Pēc revitalizējamās teritorijas attīstības stratēģijas izskatīšanas Ministru kabinetā</w:t>
            </w:r>
            <w:r>
              <w:rPr>
                <w:iCs/>
              </w:rPr>
              <w:t xml:space="preserve"> </w:t>
            </w:r>
            <w:r w:rsidR="00E321B8" w:rsidRPr="00E321B8">
              <w:rPr>
                <w:iCs/>
              </w:rPr>
              <w:t>sadarbības iestāde uzaicina projekta iesniedzēju saskaņā ar ierobežotās projektu iesniegumu atlases nolikumu iesniegt projekta iesniegumu.</w:t>
            </w:r>
          </w:p>
          <w:p w:rsidR="008F762A" w:rsidRDefault="00B60531" w:rsidP="008F762A">
            <w:pPr>
              <w:spacing w:before="120"/>
              <w:jc w:val="both"/>
              <w:outlineLvl w:val="0"/>
            </w:pPr>
            <w:r w:rsidRPr="00801707">
              <w:t xml:space="preserve">Projekta iesniedzējs ir Rīgas pilsētas pašvaldība vai tās izveidotas iestādes, </w:t>
            </w:r>
            <w:r w:rsidR="00CF7A5D" w:rsidRPr="00801707">
              <w:t xml:space="preserve">valsts kapitālsabiedrības, </w:t>
            </w:r>
            <w:r w:rsidRPr="00801707">
              <w:t>t</w:t>
            </w:r>
            <w:r w:rsidR="00AA18E8">
              <w:t>ajā skaitā</w:t>
            </w:r>
            <w:r w:rsidRPr="00801707">
              <w:t xml:space="preserve">, valsts kapitālsabiedrības, kuras veic valsts nekustamo īpašumu pārvaldīšanu, ja </w:t>
            </w:r>
            <w:r w:rsidR="00D121DD" w:rsidRPr="00801707">
              <w:t>projekta infrastruktūrā tiek īstenota valsts iestāžu</w:t>
            </w:r>
            <w:r w:rsidR="00D121DD" w:rsidRPr="00FC7006">
              <w:rPr>
                <w:b/>
              </w:rPr>
              <w:t xml:space="preserve"> </w:t>
            </w:r>
            <w:r w:rsidR="00E321B8" w:rsidRPr="00E321B8">
              <w:t>funkcija</w:t>
            </w:r>
            <w:r w:rsidR="009C04A5" w:rsidRPr="00AA18E8">
              <w:t>,</w:t>
            </w:r>
            <w:r w:rsidR="009C04A5" w:rsidRPr="00B63050">
              <w:rPr>
                <w:bCs/>
              </w:rPr>
              <w:t xml:space="preserve"> komersanti</w:t>
            </w:r>
            <w:r w:rsidR="009C04A5" w:rsidRPr="00B63050">
              <w:rPr>
                <w:b/>
              </w:rPr>
              <w:t>.</w:t>
            </w:r>
          </w:p>
          <w:p w:rsidR="00AA18E8" w:rsidRDefault="00D3436F" w:rsidP="009731F8">
            <w:pPr>
              <w:spacing w:before="120"/>
              <w:jc w:val="both"/>
              <w:outlineLvl w:val="0"/>
              <w:rPr>
                <w:b/>
                <w:u w:val="single"/>
              </w:rPr>
            </w:pPr>
            <w:r w:rsidRPr="001064BC">
              <w:rPr>
                <w:b/>
                <w:u w:val="single"/>
              </w:rPr>
              <w:t>Sadarbības partneri</w:t>
            </w:r>
            <w:r w:rsidR="00845E6F">
              <w:rPr>
                <w:b/>
                <w:u w:val="single"/>
              </w:rPr>
              <w:t xml:space="preserve"> </w:t>
            </w:r>
          </w:p>
          <w:p w:rsidR="00724B08" w:rsidRDefault="00B60531">
            <w:pPr>
              <w:jc w:val="both"/>
              <w:outlineLvl w:val="0"/>
            </w:pPr>
            <w:r w:rsidRPr="001064BC">
              <w:t>N</w:t>
            </w:r>
            <w:r w:rsidR="009D0175" w:rsidRPr="001064BC">
              <w:t>oteikumu projekts paredz iespēju projekta īstenošanā iesaistīt sadarbības partnerus</w:t>
            </w:r>
            <w:r w:rsidRPr="00801707">
              <w:t>. Projekta iesniedzējs sadarbības partnera statusā var piesaistīt Rīgas pilsētas pašvaldību vai tās izveidotu vienu vai vairākas iestādes, vienu vai vairākas valsts iestādes, t</w:t>
            </w:r>
            <w:r w:rsidR="00AA18E8">
              <w:t>ajā skaitā</w:t>
            </w:r>
            <w:r w:rsidRPr="00801707">
              <w:t xml:space="preserve"> valsts </w:t>
            </w:r>
            <w:r w:rsidRPr="00AA18E8">
              <w:t>kapitālsabiedrības,</w:t>
            </w:r>
            <w:r w:rsidR="00E321B8" w:rsidRPr="00E321B8">
              <w:t xml:space="preserve"> atvasinātas publiskas personas, </w:t>
            </w:r>
            <w:r w:rsidR="009D0175" w:rsidRPr="00AA18E8">
              <w:t>pusēm</w:t>
            </w:r>
            <w:r w:rsidR="009D0175" w:rsidRPr="001064BC">
              <w:t xml:space="preserve"> slēdzot rakstveida sadarbības līgumu par pušu pienākumiem, tiesībām un atbildību projekta mērķa un rādītāju </w:t>
            </w:r>
            <w:r w:rsidR="009D0175" w:rsidRPr="00801707">
              <w:t>sasniegšanai</w:t>
            </w:r>
            <w:r w:rsidR="00050016" w:rsidRPr="00801707">
              <w:t xml:space="preserve"> atbilstoši normatīvajiem aktiem par kārtību, kādā Eiropas Savienības struktūrfondu un Kohēzijas fonda vadībā iesaistītās institūcijas nodrošina plānošanas dokumentu sagatavošanu un šo fondu ieviešanu 2014. – 2020.gada plānošanas periodā</w:t>
            </w:r>
            <w:r w:rsidR="00416DC7" w:rsidRPr="00801707">
              <w:t xml:space="preserve">. Viena projekta ietvaros projekta iesniedzējs var piesaistīt vairākus sadarbības partnerus. Noteikumu projekts paredz, ka sadarbības partneris iesaistās projekta īstenošanā ar tā valdījumā vai īpašumā esošu mantu, nekustamo īpašumu, finansējumu vai cilvēkresursiem. Šādu </w:t>
            </w:r>
            <w:r w:rsidR="00416DC7" w:rsidRPr="00801707">
              <w:lastRenderedPageBreak/>
              <w:t>ieguldījumu 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Gadījumos</w:t>
            </w:r>
            <w:r w:rsidR="00416DC7" w:rsidRPr="00AA18E8">
              <w:t>,</w:t>
            </w:r>
            <w:r w:rsidR="00E321B8" w:rsidRPr="00E321B8">
              <w:t xml:space="preserve"> ja</w:t>
            </w:r>
            <w:r w:rsidR="007C5E84" w:rsidRPr="00AA18E8">
              <w:t xml:space="preserve"> projekta iesniedzējs sadarbojas ar komersantu projekta </w:t>
            </w:r>
            <w:r w:rsidR="00E321B8" w:rsidRPr="00E321B8">
              <w:t>rezultāta</w:t>
            </w:r>
            <w:r w:rsidR="007C5E84" w:rsidRPr="00AA18E8">
              <w:t xml:space="preserve"> rādītāju sasniegšanā, </w:t>
            </w:r>
            <w:r w:rsidR="00E321B8" w:rsidRPr="00E321B8">
              <w:t>tad komersants rakstiski</w:t>
            </w:r>
            <w:r w:rsidR="007C5E84" w:rsidRPr="00AA18E8">
              <w:t xml:space="preserve"> apliecina </w:t>
            </w:r>
            <w:r w:rsidR="00E321B8" w:rsidRPr="00E321B8">
              <w:t>savu</w:t>
            </w:r>
            <w:r w:rsidR="007C5E84" w:rsidRPr="00AA18E8">
              <w:t xml:space="preserve"> interesi </w:t>
            </w:r>
            <w:r w:rsidR="00E321B8" w:rsidRPr="00E321B8">
              <w:t>par dalību projektā un</w:t>
            </w:r>
            <w:r w:rsidR="007C5E84" w:rsidRPr="00AA18E8">
              <w:t xml:space="preserve"> apņemšanos nodrošināt </w:t>
            </w:r>
            <w:r w:rsidR="00AA18E8">
              <w:t xml:space="preserve">noteikumu projekta </w:t>
            </w:r>
            <w:r w:rsidR="007C5E84" w:rsidRPr="00AA18E8">
              <w:t xml:space="preserve">9.2. apakšpunktā </w:t>
            </w:r>
            <w:r w:rsidR="00E321B8" w:rsidRPr="00E321B8">
              <w:t>noteikto</w:t>
            </w:r>
            <w:r w:rsidR="007C5E84" w:rsidRPr="00AA18E8">
              <w:t xml:space="preserve"> rezultāta rādītāja sasniegšanu tādā apmērā, kas nepieciešams </w:t>
            </w:r>
            <w:r w:rsidR="00E321B8" w:rsidRPr="00E321B8">
              <w:t>teritorijas revitalizācijas stratēģijas</w:t>
            </w:r>
            <w:r w:rsidR="007C5E84" w:rsidRPr="00AA18E8">
              <w:t xml:space="preserve"> īstenošanai.</w:t>
            </w:r>
          </w:p>
          <w:p w:rsidR="000C6F69" w:rsidRPr="001064BC" w:rsidRDefault="000C6F69" w:rsidP="006C36E9">
            <w:pPr>
              <w:jc w:val="both"/>
              <w:rPr>
                <w:b/>
                <w:u w:val="single"/>
              </w:rPr>
            </w:pPr>
          </w:p>
          <w:p w:rsidR="00B40D29" w:rsidRPr="001064BC" w:rsidRDefault="00AA18E8" w:rsidP="006C36E9">
            <w:pPr>
              <w:jc w:val="both"/>
              <w:rPr>
                <w:b/>
                <w:u w:val="single"/>
              </w:rPr>
            </w:pPr>
            <w:r>
              <w:rPr>
                <w:b/>
                <w:u w:val="single"/>
              </w:rPr>
              <w:t>5.6.1.</w:t>
            </w:r>
            <w:r w:rsidR="00416DC7" w:rsidRPr="00416DC7">
              <w:rPr>
                <w:b/>
                <w:u w:val="single"/>
              </w:rPr>
              <w:t>SAM iznākuma un finanšu rādītāji</w:t>
            </w:r>
          </w:p>
          <w:p w:rsidR="00610740" w:rsidRPr="001064BC" w:rsidRDefault="00416DC7" w:rsidP="00610740">
            <w:pPr>
              <w:spacing w:after="120"/>
              <w:jc w:val="both"/>
            </w:pPr>
            <w:r w:rsidRPr="00416DC7">
              <w:t xml:space="preserve">Noteikumu projekts nosaka 5.6.1.SAM ietvaros plānotos projekta līmeņa iznākuma, </w:t>
            </w:r>
            <w:r w:rsidRPr="00801707">
              <w:t>rezultāta un</w:t>
            </w:r>
            <w:r w:rsidRPr="00416DC7">
              <w:t xml:space="preserve"> finanšu rādītājus, kas sasniedzami līdz 2023.gada 31.decembrim, vienlaikus nosakot arī plānoto iznākuma rādītāja starpposma vērtību, kas sasniedzama līdz 2018.gada 31.decembrim.</w:t>
            </w:r>
          </w:p>
          <w:p w:rsidR="002E14EE" w:rsidRPr="00AA18E8" w:rsidRDefault="00E321B8" w:rsidP="00AA18E8">
            <w:pPr>
              <w:jc w:val="both"/>
            </w:pPr>
            <w:r w:rsidRPr="00E321B8">
              <w:t>5.6.1.SAM ietvaros ir izvirzīti šādi rādītāji:</w:t>
            </w:r>
          </w:p>
          <w:p w:rsidR="00724B08" w:rsidRDefault="00E321B8">
            <w:pPr>
              <w:pStyle w:val="Parakstszemobjekta"/>
              <w:keepNext/>
              <w:spacing w:after="0"/>
              <w:ind w:left="720"/>
              <w:jc w:val="right"/>
              <w:rPr>
                <w:b w:val="0"/>
                <w:color w:val="auto"/>
                <w:sz w:val="24"/>
                <w:szCs w:val="24"/>
              </w:rPr>
            </w:pPr>
            <w:r w:rsidRPr="00E321B8">
              <w:rPr>
                <w:b w:val="0"/>
                <w:color w:val="auto"/>
                <w:sz w:val="24"/>
                <w:szCs w:val="24"/>
              </w:rPr>
              <w:t>Tabula Nr.1 5.6.1.SAM sasniedzamie rādītāji</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0"/>
              <w:gridCol w:w="1618"/>
              <w:gridCol w:w="1514"/>
            </w:tblGrid>
            <w:tr w:rsidR="002E14EE" w:rsidRPr="00801707" w:rsidTr="002E14EE">
              <w:trPr>
                <w:trHeight w:val="638"/>
                <w:tblHeader/>
                <w:jc w:val="center"/>
              </w:trPr>
              <w:tc>
                <w:tcPr>
                  <w:tcW w:w="2391" w:type="pct"/>
                  <w:vMerge w:val="restart"/>
                  <w:shd w:val="clear" w:color="auto" w:fill="auto"/>
                  <w:vAlign w:val="center"/>
                </w:tcPr>
                <w:p w:rsidR="002E14EE" w:rsidRPr="00801707" w:rsidRDefault="002E14EE" w:rsidP="002E14EE">
                  <w:pPr>
                    <w:keepNext/>
                    <w:spacing w:before="120"/>
                    <w:jc w:val="center"/>
                    <w:rPr>
                      <w:b/>
                    </w:rPr>
                  </w:pPr>
                  <w:r w:rsidRPr="00801707">
                    <w:rPr>
                      <w:b/>
                    </w:rPr>
                    <w:t>Rezultatīvais rādītājs</w:t>
                  </w:r>
                </w:p>
              </w:tc>
              <w:tc>
                <w:tcPr>
                  <w:tcW w:w="2609" w:type="pct"/>
                  <w:gridSpan w:val="2"/>
                </w:tcPr>
                <w:p w:rsidR="002E14EE" w:rsidRPr="00801707" w:rsidRDefault="002E14EE" w:rsidP="002E14EE">
                  <w:pPr>
                    <w:keepNext/>
                    <w:spacing w:before="120"/>
                    <w:jc w:val="center"/>
                    <w:rPr>
                      <w:b/>
                    </w:rPr>
                  </w:pPr>
                  <w:r w:rsidRPr="00801707">
                    <w:rPr>
                      <w:b/>
                      <w:bCs/>
                    </w:rPr>
                    <w:t>ERAF un KF kopējie un specifiskie iznākuma rādītāji</w:t>
                  </w:r>
                </w:p>
              </w:tc>
            </w:tr>
            <w:tr w:rsidR="002E14EE" w:rsidRPr="00801707" w:rsidTr="002E14EE">
              <w:trPr>
                <w:jc w:val="center"/>
              </w:trPr>
              <w:tc>
                <w:tcPr>
                  <w:tcW w:w="2391" w:type="pct"/>
                  <w:vMerge/>
                  <w:shd w:val="clear" w:color="auto" w:fill="auto"/>
                </w:tcPr>
                <w:p w:rsidR="002E14EE" w:rsidRPr="00801707" w:rsidRDefault="002E14EE" w:rsidP="002E14EE">
                  <w:pPr>
                    <w:spacing w:before="120"/>
                    <w:jc w:val="both"/>
                  </w:pPr>
                </w:p>
              </w:tc>
              <w:tc>
                <w:tcPr>
                  <w:tcW w:w="1348" w:type="pct"/>
                  <w:shd w:val="clear" w:color="auto" w:fill="auto"/>
                  <w:vAlign w:val="center"/>
                </w:tcPr>
                <w:p w:rsidR="002E14EE" w:rsidRPr="00801707" w:rsidRDefault="00416DC7" w:rsidP="002E14EE">
                  <w:pPr>
                    <w:spacing w:before="120"/>
                    <w:contextualSpacing/>
                    <w:jc w:val="center"/>
                    <w:rPr>
                      <w:b/>
                    </w:rPr>
                  </w:pPr>
                  <w:r w:rsidRPr="00801707">
                    <w:rPr>
                      <w:b/>
                    </w:rPr>
                    <w:t>Sākotnējā vērtība</w:t>
                  </w:r>
                </w:p>
                <w:p w:rsidR="002E14EE" w:rsidRPr="00801707" w:rsidRDefault="00416DC7" w:rsidP="002E14EE">
                  <w:pPr>
                    <w:spacing w:before="120"/>
                    <w:contextualSpacing/>
                    <w:jc w:val="center"/>
                    <w:rPr>
                      <w:b/>
                    </w:rPr>
                  </w:pPr>
                  <w:r w:rsidRPr="00801707">
                    <w:rPr>
                      <w:b/>
                    </w:rPr>
                    <w:t>(2012.gads)</w:t>
                  </w:r>
                </w:p>
              </w:tc>
              <w:tc>
                <w:tcPr>
                  <w:tcW w:w="1261" w:type="pct"/>
                  <w:shd w:val="clear" w:color="auto" w:fill="auto"/>
                  <w:vAlign w:val="center"/>
                </w:tcPr>
                <w:p w:rsidR="002E14EE" w:rsidRPr="00801707" w:rsidRDefault="00416DC7" w:rsidP="002E14EE">
                  <w:pPr>
                    <w:spacing w:before="120"/>
                    <w:contextualSpacing/>
                    <w:jc w:val="center"/>
                    <w:rPr>
                      <w:b/>
                    </w:rPr>
                  </w:pPr>
                  <w:r w:rsidRPr="00801707">
                    <w:rPr>
                      <w:b/>
                    </w:rPr>
                    <w:t>Plānotā vērtība</w:t>
                  </w:r>
                </w:p>
                <w:p w:rsidR="002E14EE" w:rsidRPr="00801707" w:rsidRDefault="00416DC7" w:rsidP="002E14EE">
                  <w:pPr>
                    <w:spacing w:before="120"/>
                    <w:contextualSpacing/>
                    <w:jc w:val="center"/>
                    <w:rPr>
                      <w:b/>
                    </w:rPr>
                  </w:pPr>
                  <w:r w:rsidRPr="00801707">
                    <w:rPr>
                      <w:b/>
                    </w:rPr>
                    <w:t>(2023.gadā)</w:t>
                  </w:r>
                </w:p>
              </w:tc>
            </w:tr>
            <w:tr w:rsidR="002E14EE" w:rsidRPr="00801707" w:rsidTr="002E14EE">
              <w:trPr>
                <w:jc w:val="center"/>
              </w:trPr>
              <w:tc>
                <w:tcPr>
                  <w:tcW w:w="2391" w:type="pct"/>
                  <w:shd w:val="clear" w:color="auto" w:fill="auto"/>
                </w:tcPr>
                <w:p w:rsidR="002E14EE" w:rsidRPr="00801707" w:rsidRDefault="00416DC7" w:rsidP="00AA18E8">
                  <w:pPr>
                    <w:jc w:val="both"/>
                    <w:rPr>
                      <w:highlight w:val="yellow"/>
                    </w:rPr>
                  </w:pPr>
                  <w:r w:rsidRPr="00801707">
                    <w:t xml:space="preserve">Piesaistītās privātās investīcijas atbalstāmajās teritorijās </w:t>
                  </w:r>
                  <w:r w:rsidR="00AA18E8">
                    <w:t>trīs</w:t>
                  </w:r>
                  <w:r w:rsidR="00AA18E8" w:rsidRPr="00801707">
                    <w:t xml:space="preserve"> </w:t>
                  </w:r>
                  <w:r w:rsidRPr="00801707">
                    <w:t xml:space="preserve">gadus pēc projekta pabeigšanas </w:t>
                  </w:r>
                </w:p>
              </w:tc>
              <w:tc>
                <w:tcPr>
                  <w:tcW w:w="1348" w:type="pct"/>
                  <w:vAlign w:val="center"/>
                </w:tcPr>
                <w:p w:rsidR="002E14EE" w:rsidRPr="00801707" w:rsidRDefault="00416DC7" w:rsidP="002E14EE">
                  <w:pPr>
                    <w:contextualSpacing/>
                    <w:jc w:val="center"/>
                  </w:pPr>
                  <w:r w:rsidRPr="00801707">
                    <w:t>150 000 000 EUR</w:t>
                  </w:r>
                </w:p>
              </w:tc>
              <w:tc>
                <w:tcPr>
                  <w:tcW w:w="1261" w:type="pct"/>
                  <w:shd w:val="clear" w:color="auto" w:fill="auto"/>
                  <w:vAlign w:val="center"/>
                </w:tcPr>
                <w:p w:rsidR="002E14EE" w:rsidRPr="00801707" w:rsidRDefault="00416DC7" w:rsidP="002E14EE">
                  <w:pPr>
                    <w:contextualSpacing/>
                    <w:jc w:val="center"/>
                  </w:pPr>
                  <w:r w:rsidRPr="00801707">
                    <w:t>210 000 000 EUR</w:t>
                  </w:r>
                </w:p>
              </w:tc>
            </w:tr>
            <w:tr w:rsidR="002E14EE" w:rsidRPr="00801707" w:rsidTr="002E14EE">
              <w:trPr>
                <w:jc w:val="center"/>
              </w:trPr>
              <w:tc>
                <w:tcPr>
                  <w:tcW w:w="2391" w:type="pct"/>
                  <w:shd w:val="clear" w:color="auto" w:fill="auto"/>
                </w:tcPr>
                <w:p w:rsidR="002E14EE" w:rsidRPr="00801707" w:rsidRDefault="00416DC7" w:rsidP="002E14EE">
                  <w:pPr>
                    <w:jc w:val="both"/>
                  </w:pPr>
                  <w:r w:rsidRPr="00801707">
                    <w:t xml:space="preserve">Pilsētu teritorijās izveidota vai atjaunota sabiedriskā telpa </w:t>
                  </w:r>
                </w:p>
              </w:tc>
              <w:tc>
                <w:tcPr>
                  <w:tcW w:w="1348" w:type="pct"/>
                  <w:vAlign w:val="center"/>
                </w:tcPr>
                <w:p w:rsidR="002E14EE" w:rsidRPr="00801707" w:rsidRDefault="00416DC7" w:rsidP="002E14EE">
                  <w:pPr>
                    <w:jc w:val="center"/>
                  </w:pPr>
                  <w:r w:rsidRPr="00801707">
                    <w:t>n/a</w:t>
                  </w:r>
                </w:p>
              </w:tc>
              <w:tc>
                <w:tcPr>
                  <w:tcW w:w="1261" w:type="pct"/>
                  <w:vAlign w:val="center"/>
                </w:tcPr>
                <w:p w:rsidR="002E14EE" w:rsidRPr="00801707" w:rsidRDefault="00416DC7" w:rsidP="002E14EE">
                  <w:pPr>
                    <w:jc w:val="center"/>
                  </w:pPr>
                  <w:r w:rsidRPr="00801707">
                    <w:t>10 000 m</w:t>
                  </w:r>
                  <w:r w:rsidRPr="00801707">
                    <w:rPr>
                      <w:vertAlign w:val="superscript"/>
                    </w:rPr>
                    <w:t>2</w:t>
                  </w:r>
                </w:p>
              </w:tc>
            </w:tr>
            <w:tr w:rsidR="002E14EE" w:rsidRPr="00801707" w:rsidTr="002E14EE">
              <w:trPr>
                <w:jc w:val="center"/>
              </w:trPr>
              <w:tc>
                <w:tcPr>
                  <w:tcW w:w="2391" w:type="pct"/>
                  <w:shd w:val="clear" w:color="auto" w:fill="auto"/>
                </w:tcPr>
                <w:p w:rsidR="002E14EE" w:rsidRPr="00801707" w:rsidRDefault="00416DC7" w:rsidP="002E14EE">
                  <w:pPr>
                    <w:jc w:val="both"/>
                  </w:pPr>
                  <w:r w:rsidRPr="00801707">
                    <w:t xml:space="preserve">Uzceltas vai atjaunotas sabiedriskās publiskās vai komercēkas pilsētās </w:t>
                  </w:r>
                </w:p>
              </w:tc>
              <w:tc>
                <w:tcPr>
                  <w:tcW w:w="1348" w:type="pct"/>
                  <w:vAlign w:val="center"/>
                </w:tcPr>
                <w:p w:rsidR="002E14EE" w:rsidRPr="00801707" w:rsidRDefault="00416DC7" w:rsidP="002E14EE">
                  <w:pPr>
                    <w:jc w:val="center"/>
                  </w:pPr>
                  <w:r w:rsidRPr="00801707">
                    <w:t>n/a</w:t>
                  </w:r>
                </w:p>
              </w:tc>
              <w:tc>
                <w:tcPr>
                  <w:tcW w:w="1261" w:type="pct"/>
                  <w:vAlign w:val="center"/>
                </w:tcPr>
                <w:p w:rsidR="002E14EE" w:rsidRPr="00801707" w:rsidRDefault="00416DC7" w:rsidP="002E14EE">
                  <w:pPr>
                    <w:jc w:val="center"/>
                  </w:pPr>
                  <w:r w:rsidRPr="00801707">
                    <w:t>20 000 m</w:t>
                  </w:r>
                  <w:r w:rsidRPr="00801707">
                    <w:rPr>
                      <w:vertAlign w:val="superscript"/>
                    </w:rPr>
                    <w:t>2</w:t>
                  </w:r>
                </w:p>
              </w:tc>
            </w:tr>
            <w:tr w:rsidR="002E14EE" w:rsidRPr="00801707" w:rsidTr="002E14EE">
              <w:trPr>
                <w:jc w:val="center"/>
              </w:trPr>
              <w:tc>
                <w:tcPr>
                  <w:tcW w:w="2391" w:type="pct"/>
                  <w:tcBorders>
                    <w:top w:val="single" w:sz="4" w:space="0" w:color="auto"/>
                    <w:left w:val="single" w:sz="4" w:space="0" w:color="auto"/>
                    <w:bottom w:val="single" w:sz="4" w:space="0" w:color="auto"/>
                    <w:right w:val="single" w:sz="4" w:space="0" w:color="auto"/>
                  </w:tcBorders>
                  <w:shd w:val="clear" w:color="auto" w:fill="auto"/>
                </w:tcPr>
                <w:p w:rsidR="002E14EE" w:rsidRPr="00801707" w:rsidRDefault="00416DC7" w:rsidP="007D2BBA">
                  <w:pPr>
                    <w:jc w:val="both"/>
                  </w:pPr>
                  <w:r w:rsidRPr="00801707">
                    <w:t xml:space="preserve">Atjaunoto, izveidoto un </w:t>
                  </w:r>
                  <w:r w:rsidR="007D2BBA">
                    <w:t>pārbūvēto</w:t>
                  </w:r>
                  <w:r w:rsidRPr="00801707">
                    <w:t xml:space="preserve"> un infrastruktūras objektu skaits </w:t>
                  </w:r>
                </w:p>
              </w:tc>
              <w:tc>
                <w:tcPr>
                  <w:tcW w:w="1348" w:type="pct"/>
                  <w:tcBorders>
                    <w:top w:val="single" w:sz="4" w:space="0" w:color="auto"/>
                    <w:left w:val="single" w:sz="4" w:space="0" w:color="auto"/>
                    <w:bottom w:val="single" w:sz="4" w:space="0" w:color="auto"/>
                    <w:right w:val="single" w:sz="4" w:space="0" w:color="auto"/>
                  </w:tcBorders>
                  <w:vAlign w:val="center"/>
                </w:tcPr>
                <w:p w:rsidR="002E14EE" w:rsidRPr="00801707" w:rsidRDefault="00416DC7" w:rsidP="002E14EE">
                  <w:pPr>
                    <w:jc w:val="center"/>
                  </w:pPr>
                  <w:r w:rsidRPr="00801707">
                    <w:t>n/a</w:t>
                  </w:r>
                </w:p>
              </w:tc>
              <w:tc>
                <w:tcPr>
                  <w:tcW w:w="1261" w:type="pct"/>
                  <w:tcBorders>
                    <w:top w:val="single" w:sz="4" w:space="0" w:color="auto"/>
                    <w:left w:val="single" w:sz="4" w:space="0" w:color="auto"/>
                    <w:bottom w:val="single" w:sz="4" w:space="0" w:color="auto"/>
                    <w:right w:val="single" w:sz="4" w:space="0" w:color="auto"/>
                  </w:tcBorders>
                  <w:vAlign w:val="center"/>
                </w:tcPr>
                <w:p w:rsidR="002E14EE" w:rsidRPr="00801707" w:rsidRDefault="00416DC7" w:rsidP="002E14EE">
                  <w:pPr>
                    <w:jc w:val="center"/>
                  </w:pPr>
                  <w:r w:rsidRPr="00801707">
                    <w:t>18 objekti</w:t>
                  </w:r>
                </w:p>
              </w:tc>
            </w:tr>
          </w:tbl>
          <w:p w:rsidR="002E14EE" w:rsidRDefault="009C04A5" w:rsidP="000129F5">
            <w:pPr>
              <w:spacing w:before="120"/>
              <w:jc w:val="both"/>
              <w:rPr>
                <w:b/>
                <w:bCs/>
              </w:rPr>
            </w:pPr>
            <w:r w:rsidRPr="00AA18E8">
              <w:t>Projekta iesniedzējs</w:t>
            </w:r>
            <w:r w:rsidR="00E321B8" w:rsidRPr="00E321B8">
              <w:rPr>
                <w:bCs/>
              </w:rPr>
              <w:t xml:space="preserve"> </w:t>
            </w:r>
            <w:r w:rsidR="00E321B8" w:rsidRPr="00E321B8">
              <w:t>revitalizējamās teritorijas attīstības stratēģijā sadarbībā ar Kultūras ministriju un Rīgas pašvaldību</w:t>
            </w:r>
            <w:r w:rsidR="00962BB0" w:rsidRPr="00AA18E8">
              <w:rPr>
                <w:bCs/>
              </w:rPr>
              <w:t xml:space="preserve"> </w:t>
            </w:r>
            <w:r w:rsidR="00050016" w:rsidRPr="00AA18E8">
              <w:rPr>
                <w:bCs/>
              </w:rPr>
              <w:t>no</w:t>
            </w:r>
            <w:r w:rsidR="00050016" w:rsidRPr="00801707">
              <w:rPr>
                <w:bCs/>
              </w:rPr>
              <w:t xml:space="preserve">saka projekta paredzamo ietekmes areālu un uzkrāj datus par projekta ietekmi uz noteikumu </w:t>
            </w:r>
            <w:r w:rsidR="00AA18E8">
              <w:rPr>
                <w:bCs/>
              </w:rPr>
              <w:t xml:space="preserve">projekta </w:t>
            </w:r>
            <w:r w:rsidR="00050016" w:rsidRPr="00801707">
              <w:rPr>
                <w:bCs/>
              </w:rPr>
              <w:t>9.1</w:t>
            </w:r>
            <w:r w:rsidR="00AA18E8" w:rsidRPr="00801707">
              <w:rPr>
                <w:bCs/>
              </w:rPr>
              <w:t>.</w:t>
            </w:r>
            <w:r w:rsidR="00AA18E8">
              <w:rPr>
                <w:bCs/>
              </w:rPr>
              <w:t xml:space="preserve"> un</w:t>
            </w:r>
            <w:r w:rsidR="00AA18E8" w:rsidRPr="00801707">
              <w:rPr>
                <w:bCs/>
              </w:rPr>
              <w:t xml:space="preserve"> </w:t>
            </w:r>
            <w:r w:rsidR="00050016" w:rsidRPr="00801707">
              <w:rPr>
                <w:bCs/>
              </w:rPr>
              <w:t xml:space="preserve">9.2.apakšpunktā minētajiem iznākuma un rezultāta rādītājiem un </w:t>
            </w:r>
            <w:r w:rsidR="00050016" w:rsidRPr="00801707">
              <w:t xml:space="preserve">uzkrāj datus par horizontālā principa </w:t>
            </w:r>
            <w:r w:rsidR="00AA18E8">
              <w:t>„</w:t>
            </w:r>
            <w:r w:rsidR="00050016" w:rsidRPr="00801707">
              <w:t xml:space="preserve">Vienlīdzīgas </w:t>
            </w:r>
            <w:r w:rsidR="00050016" w:rsidRPr="00801707">
              <w:lastRenderedPageBreak/>
              <w:t>iespējas” rādītāju</w:t>
            </w:r>
            <w:r w:rsidR="00C60806" w:rsidRPr="00801707">
              <w:t xml:space="preserve"> un datus par horizontālā principa „Ilgtspējīga attīstība” rādītāju</w:t>
            </w:r>
            <w:r w:rsidR="00050016" w:rsidRPr="00801707">
              <w:t xml:space="preserve">. </w:t>
            </w:r>
            <w:r w:rsidR="00050016" w:rsidRPr="00801707">
              <w:rPr>
                <w:bCs/>
              </w:rPr>
              <w:t>Ja projekta ietvaros tiek plānotas uzcelt vai atjaunot</w:t>
            </w:r>
            <w:r w:rsidR="00AA18E8">
              <w:rPr>
                <w:bCs/>
              </w:rPr>
              <w:t xml:space="preserve"> noteikumu projekta</w:t>
            </w:r>
            <w:r w:rsidR="00050016" w:rsidRPr="00801707">
              <w:rPr>
                <w:bCs/>
              </w:rPr>
              <w:t xml:space="preserve"> 9.1.2.</w:t>
            </w:r>
            <w:r w:rsidR="00AA18E8">
              <w:rPr>
                <w:bCs/>
              </w:rPr>
              <w:t>apakš</w:t>
            </w:r>
            <w:r w:rsidR="00050016" w:rsidRPr="00801707">
              <w:rPr>
                <w:bCs/>
              </w:rPr>
              <w:t xml:space="preserve">punktā minētajās sabiedriskās publiskās vai komercēkas vai plānots ieviest enerģiju patērējošas iekārtas </w:t>
            </w:r>
            <w:r w:rsidR="00AA18E8">
              <w:rPr>
                <w:bCs/>
              </w:rPr>
              <w:t xml:space="preserve">noteikumu projekta </w:t>
            </w:r>
            <w:r w:rsidR="00050016" w:rsidRPr="00801707">
              <w:rPr>
                <w:bCs/>
              </w:rPr>
              <w:t>9.1.3.</w:t>
            </w:r>
            <w:r w:rsidR="00AA18E8">
              <w:rPr>
                <w:bCs/>
              </w:rPr>
              <w:t>apakš</w:t>
            </w:r>
            <w:r w:rsidR="007D2BBA">
              <w:rPr>
                <w:bCs/>
              </w:rPr>
              <w:t>punktā minētajos atjaunotajos, izveidotajos un pārbūvētajos.</w:t>
            </w:r>
            <w:r w:rsidR="00050016" w:rsidRPr="00801707">
              <w:rPr>
                <w:bCs/>
              </w:rPr>
              <w:t xml:space="preserve"> </w:t>
            </w:r>
            <w:r w:rsidR="00BB37DC" w:rsidRPr="00801707">
              <w:rPr>
                <w:bCs/>
              </w:rPr>
              <w:t xml:space="preserve">sabiedriskos </w:t>
            </w:r>
            <w:r w:rsidR="00050016" w:rsidRPr="00801707">
              <w:rPr>
                <w:bCs/>
              </w:rPr>
              <w:t>un infrastruktūras objektos, projekta iesniedzējs projekta iesniegumā norāda enerģijas patēriņu esošās ēkās vai enerģiju patērējošās iekārtās pirms projekta īstenošanas (megavatstundas), kā arī uzkrāj datus par objekta apmeklējumiem</w:t>
            </w:r>
            <w:r w:rsidR="00416DC7" w:rsidRPr="00801707">
              <w:rPr>
                <w:bCs/>
              </w:rPr>
              <w:t>.</w:t>
            </w:r>
          </w:p>
          <w:p w:rsidR="00320424" w:rsidRPr="00AA18E8" w:rsidRDefault="001F72A0" w:rsidP="000129F5">
            <w:pPr>
              <w:spacing w:before="120"/>
              <w:jc w:val="both"/>
              <w:rPr>
                <w:rStyle w:val="cspklasifikatorscodename"/>
              </w:rPr>
            </w:pPr>
            <w:r w:rsidRPr="00AA18E8">
              <w:t>Lai nodrošinātu 5.6.1.SAM ieviešanā iesaistīto institūciju koordināciju, t</w:t>
            </w:r>
            <w:r w:rsidR="00AA18E8">
              <w:t>ajā skaitā</w:t>
            </w:r>
            <w:r w:rsidRPr="00AA18E8">
              <w:t xml:space="preserve"> uzraudzītu revitalizējamo teritoriju attīstības stratēģijās izvirzīto rādītāju sasniegšanu, atbildīgā iestāde izveidos 5.6.1.SAM stratēģiju ieviešanas uzraudzības darba grupu, tajā iekļaujot  pārstāvjus no Kultūras ministrijas, Izglītības un Zinātnes ministrijas un Rīgas pilsētas pašvaldības.</w:t>
            </w:r>
          </w:p>
          <w:p w:rsidR="00081026" w:rsidRPr="00801707" w:rsidRDefault="00416DC7" w:rsidP="000129F5">
            <w:pPr>
              <w:spacing w:before="120"/>
              <w:jc w:val="both"/>
              <w:rPr>
                <w:rStyle w:val="cspklasifikatorscodename"/>
              </w:rPr>
            </w:pPr>
            <w:r w:rsidRPr="00801707">
              <w:rPr>
                <w:rStyle w:val="cspklasifikatorscodename"/>
              </w:rPr>
              <w:t xml:space="preserve">5.6.1.SAM ietekmes novērtējums tiks veikts reizi </w:t>
            </w:r>
            <w:r w:rsidR="000129F5">
              <w:rPr>
                <w:rStyle w:val="cspklasifikatorscodename"/>
              </w:rPr>
              <w:t>trīs</w:t>
            </w:r>
            <w:r w:rsidR="000129F5" w:rsidRPr="00801707">
              <w:rPr>
                <w:rStyle w:val="cspklasifikatorscodename"/>
              </w:rPr>
              <w:t xml:space="preserve"> </w:t>
            </w:r>
            <w:r w:rsidRPr="00801707">
              <w:rPr>
                <w:rStyle w:val="cspklasifikatorscodename"/>
              </w:rPr>
              <w:t xml:space="preserve">gados, atbildīgai iestādei aprēķinot un nosakot darbības programmā plānotā rezultāta rādītāja aktuālo vērtību, balstoties uz tabulā Nr.2 „Monitoringa dati” norādītajiem datiem un identificējot </w:t>
            </w:r>
            <w:r w:rsidR="001064BC" w:rsidRPr="00801707">
              <w:rPr>
                <w:rStyle w:val="cspklasifikatorscodename"/>
              </w:rPr>
              <w:t>5.6.1.</w:t>
            </w:r>
            <w:r w:rsidR="00E261AD" w:rsidRPr="00801707">
              <w:t>SAM</w:t>
            </w:r>
            <w:r w:rsidR="001064BC" w:rsidRPr="00801707">
              <w:t xml:space="preserve"> ietvaros veikto</w:t>
            </w:r>
            <w:r w:rsidR="00E261AD" w:rsidRPr="00801707">
              <w:t xml:space="preserve"> investīciju ietekmi uz </w:t>
            </w:r>
            <w:r w:rsidR="001064BC" w:rsidRPr="00801707">
              <w:t>tabulā Nr.1 „</w:t>
            </w:r>
            <w:r w:rsidRPr="00801707">
              <w:t>5.6.1.SAM sasniedzamie rādītāji</w:t>
            </w:r>
            <w:r w:rsidR="001064BC" w:rsidRPr="00801707">
              <w:t xml:space="preserve">” noteikto </w:t>
            </w:r>
            <w:r w:rsidR="00E261AD" w:rsidRPr="00801707">
              <w:t>rādītāju sasniegšanu</w:t>
            </w:r>
            <w:r w:rsidR="00081026" w:rsidRPr="00801707">
              <w:rPr>
                <w:rStyle w:val="cspklasifikatorscodename"/>
              </w:rPr>
              <w:t xml:space="preserve">. </w:t>
            </w:r>
          </w:p>
          <w:p w:rsidR="00B720E4" w:rsidRPr="00801707" w:rsidRDefault="00416DC7" w:rsidP="00B720E4">
            <w:pPr>
              <w:spacing w:before="120"/>
              <w:jc w:val="both"/>
            </w:pPr>
            <w:r w:rsidRPr="00801707">
              <w:t>Lai noteiktu 5.6.1.SAM rādītāju sasniegšanas progresu, tiks uzkrāti un analizēti šādi revitalizācijas efektu atspoguļojoši indikatori, kvalitatīvu izvērtējuma pētījumu paredzot 5.6.1.SAM ieviešanas vidusposmā (pirmais novērtējums plānots 2018.gadā) un pēc projektu pabeigšanas:</w:t>
            </w:r>
          </w:p>
          <w:p w:rsidR="00B720E4" w:rsidRPr="001064BC" w:rsidRDefault="00416DC7" w:rsidP="00B720E4">
            <w:pPr>
              <w:pStyle w:val="Parakstszemobjekta"/>
              <w:keepNext/>
              <w:spacing w:before="120" w:after="0"/>
              <w:ind w:left="720"/>
              <w:jc w:val="right"/>
              <w:rPr>
                <w:color w:val="auto"/>
                <w:sz w:val="24"/>
                <w:szCs w:val="24"/>
              </w:rPr>
            </w:pPr>
            <w:r w:rsidRPr="00416DC7">
              <w:rPr>
                <w:color w:val="auto"/>
                <w:sz w:val="24"/>
                <w:szCs w:val="24"/>
              </w:rPr>
              <w:t>Tabula Nr. 2 Monitoringa indikatori</w:t>
            </w:r>
          </w:p>
          <w:tbl>
            <w:tblPr>
              <w:tblStyle w:val="Reatabula"/>
              <w:tblW w:w="0" w:type="auto"/>
              <w:tblInd w:w="108" w:type="dxa"/>
              <w:tblLook w:val="04A0"/>
            </w:tblPr>
            <w:tblGrid>
              <w:gridCol w:w="516"/>
              <w:gridCol w:w="2190"/>
              <w:gridCol w:w="1667"/>
              <w:gridCol w:w="1609"/>
            </w:tblGrid>
            <w:tr w:rsidR="00B720E4" w:rsidRPr="001064BC" w:rsidTr="000129F5">
              <w:tc>
                <w:tcPr>
                  <w:tcW w:w="516" w:type="dxa"/>
                  <w:vAlign w:val="center"/>
                </w:tcPr>
                <w:p w:rsidR="00B720E4" w:rsidRPr="001064BC" w:rsidRDefault="00B720E4" w:rsidP="000129F5">
                  <w:pPr>
                    <w:autoSpaceDE w:val="0"/>
                    <w:autoSpaceDN w:val="0"/>
                    <w:adjustRightInd w:val="0"/>
                    <w:jc w:val="center"/>
                    <w:rPr>
                      <w:rFonts w:ascii="Calibri" w:hAnsi="Calibri"/>
                      <w:b/>
                      <w:bCs/>
                    </w:rPr>
                  </w:pPr>
                </w:p>
              </w:tc>
              <w:tc>
                <w:tcPr>
                  <w:tcW w:w="2190" w:type="dxa"/>
                  <w:vAlign w:val="center"/>
                </w:tcPr>
                <w:p w:rsidR="00B720E4" w:rsidRPr="000129F5" w:rsidRDefault="00B720E4" w:rsidP="000129F5">
                  <w:pPr>
                    <w:autoSpaceDE w:val="0"/>
                    <w:autoSpaceDN w:val="0"/>
                    <w:adjustRightInd w:val="0"/>
                    <w:jc w:val="center"/>
                    <w:rPr>
                      <w:b/>
                      <w:bCs/>
                    </w:rPr>
                  </w:pPr>
                  <w:r w:rsidRPr="000129F5">
                    <w:rPr>
                      <w:b/>
                      <w:bCs/>
                      <w:color w:val="000000"/>
                    </w:rPr>
                    <w:t>Indikators (tiks mērīti, lai noteiktu revitalizācijas ietekmi konkrētajā apkaimē</w:t>
                  </w:r>
                  <w:r w:rsidR="008D7F24" w:rsidRPr="000129F5">
                    <w:rPr>
                      <w:b/>
                      <w:bCs/>
                      <w:color w:val="000000"/>
                    </w:rPr>
                    <w:t xml:space="preserve"> </w:t>
                  </w:r>
                  <w:r w:rsidR="009C04A5" w:rsidRPr="000129F5">
                    <w:rPr>
                      <w:b/>
                      <w:bCs/>
                      <w:color w:val="000000"/>
                    </w:rPr>
                    <w:t>un ietekmes areālā</w:t>
                  </w:r>
                  <w:r w:rsidRPr="000129F5">
                    <w:rPr>
                      <w:b/>
                      <w:bCs/>
                      <w:color w:val="000000"/>
                    </w:rPr>
                    <w:t>)</w:t>
                  </w:r>
                </w:p>
              </w:tc>
              <w:tc>
                <w:tcPr>
                  <w:tcW w:w="1667" w:type="dxa"/>
                  <w:vAlign w:val="center"/>
                </w:tcPr>
                <w:p w:rsidR="00B720E4" w:rsidRPr="001064BC" w:rsidRDefault="00B720E4" w:rsidP="000129F5">
                  <w:pPr>
                    <w:autoSpaceDE w:val="0"/>
                    <w:autoSpaceDN w:val="0"/>
                    <w:adjustRightInd w:val="0"/>
                    <w:jc w:val="center"/>
                    <w:rPr>
                      <w:b/>
                      <w:bCs/>
                    </w:rPr>
                  </w:pPr>
                  <w:r w:rsidRPr="001064BC">
                    <w:rPr>
                      <w:b/>
                      <w:bCs/>
                      <w:color w:val="000000"/>
                    </w:rPr>
                    <w:t>Izvērtēšanas biežums</w:t>
                  </w:r>
                </w:p>
              </w:tc>
              <w:tc>
                <w:tcPr>
                  <w:tcW w:w="1609" w:type="dxa"/>
                  <w:vAlign w:val="center"/>
                </w:tcPr>
                <w:p w:rsidR="00B720E4" w:rsidRPr="001064BC" w:rsidRDefault="00B720E4" w:rsidP="000129F5">
                  <w:pPr>
                    <w:autoSpaceDE w:val="0"/>
                    <w:autoSpaceDN w:val="0"/>
                    <w:adjustRightInd w:val="0"/>
                    <w:jc w:val="center"/>
                    <w:rPr>
                      <w:b/>
                      <w:bCs/>
                    </w:rPr>
                  </w:pPr>
                  <w:r w:rsidRPr="001064BC">
                    <w:rPr>
                      <w:b/>
                      <w:bCs/>
                      <w:color w:val="000000"/>
                    </w:rPr>
                    <w:t>Datu avots</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t>1.</w:t>
                  </w:r>
                </w:p>
              </w:tc>
              <w:tc>
                <w:tcPr>
                  <w:tcW w:w="2190" w:type="dxa"/>
                  <w:vAlign w:val="center"/>
                </w:tcPr>
                <w:p w:rsidR="00B720E4" w:rsidRPr="001064BC" w:rsidRDefault="00416DC7" w:rsidP="000129F5">
                  <w:pPr>
                    <w:autoSpaceDE w:val="0"/>
                    <w:autoSpaceDN w:val="0"/>
                    <w:adjustRightInd w:val="0"/>
                    <w:jc w:val="both"/>
                    <w:rPr>
                      <w:color w:val="000000"/>
                    </w:rPr>
                  </w:pPr>
                  <w:r>
                    <w:rPr>
                      <w:color w:val="000000"/>
                    </w:rPr>
                    <w:t>Privāto investīciju apjoms</w:t>
                  </w:r>
                </w:p>
                <w:p w:rsidR="00B720E4" w:rsidRPr="001064BC" w:rsidRDefault="00B720E4" w:rsidP="000129F5">
                  <w:pPr>
                    <w:autoSpaceDE w:val="0"/>
                    <w:autoSpaceDN w:val="0"/>
                    <w:adjustRightInd w:val="0"/>
                    <w:jc w:val="both"/>
                    <w:rPr>
                      <w:b/>
                      <w:bCs/>
                    </w:rPr>
                  </w:pPr>
                </w:p>
              </w:tc>
              <w:tc>
                <w:tcPr>
                  <w:tcW w:w="1667" w:type="dxa"/>
                  <w:vAlign w:val="center"/>
                </w:tcPr>
                <w:p w:rsidR="00B720E4" w:rsidRPr="001064BC" w:rsidRDefault="00416DC7" w:rsidP="000129F5">
                  <w:pPr>
                    <w:autoSpaceDE w:val="0"/>
                    <w:autoSpaceDN w:val="0"/>
                    <w:adjustRightInd w:val="0"/>
                    <w:jc w:val="center"/>
                    <w:rPr>
                      <w:b/>
                      <w:bCs/>
                    </w:rPr>
                  </w:pPr>
                  <w:r>
                    <w:rPr>
                      <w:color w:val="000000"/>
                    </w:rPr>
                    <w:t xml:space="preserve">Reizi </w:t>
                  </w:r>
                  <w:r w:rsidR="000129F5">
                    <w:rPr>
                      <w:color w:val="000000"/>
                    </w:rPr>
                    <w:t xml:space="preserve">trīs </w:t>
                  </w:r>
                  <w:r>
                    <w:rPr>
                      <w:color w:val="000000"/>
                    </w:rPr>
                    <w:t>gados</w:t>
                  </w:r>
                </w:p>
              </w:tc>
              <w:tc>
                <w:tcPr>
                  <w:tcW w:w="1609" w:type="dxa"/>
                  <w:vAlign w:val="center"/>
                </w:tcPr>
                <w:p w:rsidR="00B720E4" w:rsidRPr="001064BC" w:rsidRDefault="00416DC7" w:rsidP="000129F5">
                  <w:pPr>
                    <w:autoSpaceDE w:val="0"/>
                    <w:autoSpaceDN w:val="0"/>
                    <w:adjustRightInd w:val="0"/>
                    <w:jc w:val="center"/>
                    <w:rPr>
                      <w:b/>
                      <w:bCs/>
                    </w:rPr>
                  </w:pPr>
                  <w:r>
                    <w:rPr>
                      <w:color w:val="000000"/>
                    </w:rPr>
                    <w:t>Rīgas domes Pilsētas attīstības departaments</w:t>
                  </w:r>
                  <w:r w:rsidR="007D2BBA">
                    <w:rPr>
                      <w:color w:val="000000"/>
                    </w:rPr>
                    <w:t xml:space="preserve"> (turpmāk – RD PAD)</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t>2.</w:t>
                  </w:r>
                </w:p>
              </w:tc>
              <w:tc>
                <w:tcPr>
                  <w:tcW w:w="2190" w:type="dxa"/>
                  <w:vAlign w:val="center"/>
                </w:tcPr>
                <w:p w:rsidR="00B720E4" w:rsidRPr="001064BC" w:rsidRDefault="00416DC7" w:rsidP="000129F5">
                  <w:pPr>
                    <w:autoSpaceDE w:val="0"/>
                    <w:autoSpaceDN w:val="0"/>
                    <w:adjustRightInd w:val="0"/>
                    <w:jc w:val="both"/>
                    <w:rPr>
                      <w:b/>
                      <w:bCs/>
                    </w:rPr>
                  </w:pPr>
                  <w:r>
                    <w:rPr>
                      <w:color w:val="000000"/>
                    </w:rPr>
                    <w:t>Noziedzības līmenis</w:t>
                  </w:r>
                </w:p>
              </w:tc>
              <w:tc>
                <w:tcPr>
                  <w:tcW w:w="1667" w:type="dxa"/>
                  <w:vAlign w:val="center"/>
                </w:tcPr>
                <w:p w:rsidR="00B720E4" w:rsidRPr="001064BC" w:rsidRDefault="00416DC7" w:rsidP="000129F5">
                  <w:pPr>
                    <w:autoSpaceDE w:val="0"/>
                    <w:autoSpaceDN w:val="0"/>
                    <w:adjustRightInd w:val="0"/>
                    <w:jc w:val="center"/>
                    <w:rPr>
                      <w:b/>
                      <w:bCs/>
                    </w:rPr>
                  </w:pPr>
                  <w:r>
                    <w:rPr>
                      <w:color w:val="000000"/>
                    </w:rPr>
                    <w:t>Reizi gadā</w:t>
                  </w:r>
                </w:p>
              </w:tc>
              <w:tc>
                <w:tcPr>
                  <w:tcW w:w="1609" w:type="dxa"/>
                  <w:vAlign w:val="center"/>
                </w:tcPr>
                <w:p w:rsidR="00B720E4" w:rsidRPr="001064BC" w:rsidRDefault="00416DC7" w:rsidP="000129F5">
                  <w:pPr>
                    <w:autoSpaceDE w:val="0"/>
                    <w:autoSpaceDN w:val="0"/>
                    <w:adjustRightInd w:val="0"/>
                    <w:jc w:val="center"/>
                    <w:rPr>
                      <w:b/>
                      <w:bCs/>
                    </w:rPr>
                  </w:pPr>
                  <w:r>
                    <w:rPr>
                      <w:color w:val="000000"/>
                    </w:rPr>
                    <w:t>Iekšlietu ministrija</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t>3.</w:t>
                  </w:r>
                </w:p>
              </w:tc>
              <w:tc>
                <w:tcPr>
                  <w:tcW w:w="2190" w:type="dxa"/>
                  <w:vAlign w:val="center"/>
                </w:tcPr>
                <w:p w:rsidR="00B720E4" w:rsidRPr="001064BC" w:rsidRDefault="00416DC7" w:rsidP="000129F5">
                  <w:pPr>
                    <w:autoSpaceDE w:val="0"/>
                    <w:autoSpaceDN w:val="0"/>
                    <w:adjustRightInd w:val="0"/>
                    <w:jc w:val="both"/>
                    <w:rPr>
                      <w:b/>
                      <w:bCs/>
                    </w:rPr>
                  </w:pPr>
                  <w:r>
                    <w:rPr>
                      <w:color w:val="000000"/>
                    </w:rPr>
                    <w:t>Vidējie ieņēmumi</w:t>
                  </w:r>
                </w:p>
              </w:tc>
              <w:tc>
                <w:tcPr>
                  <w:tcW w:w="1667" w:type="dxa"/>
                  <w:vAlign w:val="center"/>
                </w:tcPr>
                <w:p w:rsidR="00B720E4" w:rsidRPr="001064BC" w:rsidRDefault="00416DC7" w:rsidP="000129F5">
                  <w:pPr>
                    <w:autoSpaceDE w:val="0"/>
                    <w:autoSpaceDN w:val="0"/>
                    <w:adjustRightInd w:val="0"/>
                    <w:jc w:val="center"/>
                    <w:rPr>
                      <w:b/>
                      <w:bCs/>
                    </w:rPr>
                  </w:pPr>
                  <w:r>
                    <w:rPr>
                      <w:color w:val="000000"/>
                    </w:rPr>
                    <w:t>Reizi gadā</w:t>
                  </w:r>
                </w:p>
              </w:tc>
              <w:tc>
                <w:tcPr>
                  <w:tcW w:w="1609" w:type="dxa"/>
                  <w:vAlign w:val="center"/>
                </w:tcPr>
                <w:p w:rsidR="00B720E4" w:rsidRPr="001064BC" w:rsidRDefault="00416DC7" w:rsidP="009331B5">
                  <w:pPr>
                    <w:autoSpaceDE w:val="0"/>
                    <w:autoSpaceDN w:val="0"/>
                    <w:adjustRightInd w:val="0"/>
                    <w:jc w:val="center"/>
                    <w:rPr>
                      <w:color w:val="000000"/>
                    </w:rPr>
                  </w:pPr>
                  <w:r>
                    <w:rPr>
                      <w:color w:val="000000"/>
                    </w:rPr>
                    <w:t>Ekonomikas ministrija (C</w:t>
                  </w:r>
                  <w:r w:rsidR="009331B5">
                    <w:rPr>
                      <w:color w:val="000000"/>
                    </w:rPr>
                    <w:t xml:space="preserve">entrālā </w:t>
                  </w:r>
                  <w:r w:rsidR="009331B5">
                    <w:rPr>
                      <w:color w:val="000000"/>
                    </w:rPr>
                    <w:lastRenderedPageBreak/>
                    <w:t>statistikas pārvalde</w:t>
                  </w:r>
                  <w:r>
                    <w:rPr>
                      <w:color w:val="000000"/>
                    </w:rPr>
                    <w:t>)</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lastRenderedPageBreak/>
                    <w:t>4.</w:t>
                  </w:r>
                </w:p>
              </w:tc>
              <w:tc>
                <w:tcPr>
                  <w:tcW w:w="2190" w:type="dxa"/>
                  <w:vAlign w:val="center"/>
                </w:tcPr>
                <w:p w:rsidR="00B720E4" w:rsidRPr="001064BC" w:rsidRDefault="00416DC7" w:rsidP="000129F5">
                  <w:pPr>
                    <w:autoSpaceDE w:val="0"/>
                    <w:autoSpaceDN w:val="0"/>
                    <w:adjustRightInd w:val="0"/>
                    <w:jc w:val="both"/>
                    <w:rPr>
                      <w:b/>
                      <w:bCs/>
                    </w:rPr>
                  </w:pPr>
                  <w:r>
                    <w:rPr>
                      <w:color w:val="000000"/>
                    </w:rPr>
                    <w:t>Uzņēmējdarbības aktivitāte</w:t>
                  </w:r>
                </w:p>
              </w:tc>
              <w:tc>
                <w:tcPr>
                  <w:tcW w:w="1667" w:type="dxa"/>
                  <w:vAlign w:val="center"/>
                </w:tcPr>
                <w:p w:rsidR="00B720E4" w:rsidRPr="001064BC" w:rsidRDefault="00416DC7" w:rsidP="000129F5">
                  <w:pPr>
                    <w:autoSpaceDE w:val="0"/>
                    <w:autoSpaceDN w:val="0"/>
                    <w:adjustRightInd w:val="0"/>
                    <w:jc w:val="center"/>
                    <w:rPr>
                      <w:color w:val="000000"/>
                    </w:rPr>
                  </w:pPr>
                  <w:r>
                    <w:rPr>
                      <w:color w:val="000000"/>
                    </w:rPr>
                    <w:t>Reizi gadā</w:t>
                  </w:r>
                </w:p>
              </w:tc>
              <w:tc>
                <w:tcPr>
                  <w:tcW w:w="1609" w:type="dxa"/>
                  <w:vAlign w:val="center"/>
                </w:tcPr>
                <w:p w:rsidR="00B720E4" w:rsidRPr="001064BC" w:rsidRDefault="00416DC7" w:rsidP="000129F5">
                  <w:pPr>
                    <w:autoSpaceDE w:val="0"/>
                    <w:autoSpaceDN w:val="0"/>
                    <w:adjustRightInd w:val="0"/>
                    <w:jc w:val="center"/>
                    <w:rPr>
                      <w:b/>
                      <w:bCs/>
                    </w:rPr>
                  </w:pPr>
                  <w:r>
                    <w:rPr>
                      <w:color w:val="000000"/>
                    </w:rPr>
                    <w:t>Ekonomikas ministrija (</w:t>
                  </w:r>
                  <w:r w:rsidR="009331B5">
                    <w:rPr>
                      <w:color w:val="000000"/>
                    </w:rPr>
                    <w:t>Centrālā statistikas pārvalde</w:t>
                  </w:r>
                  <w:r>
                    <w:rPr>
                      <w:color w:val="000000"/>
                    </w:rPr>
                    <w:t>)</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t>5.</w:t>
                  </w:r>
                </w:p>
              </w:tc>
              <w:tc>
                <w:tcPr>
                  <w:tcW w:w="2190" w:type="dxa"/>
                  <w:vAlign w:val="center"/>
                </w:tcPr>
                <w:p w:rsidR="00B720E4" w:rsidRPr="001064BC" w:rsidRDefault="00416DC7" w:rsidP="000129F5">
                  <w:pPr>
                    <w:autoSpaceDE w:val="0"/>
                    <w:autoSpaceDN w:val="0"/>
                    <w:adjustRightInd w:val="0"/>
                    <w:jc w:val="both"/>
                    <w:rPr>
                      <w:b/>
                      <w:bCs/>
                    </w:rPr>
                  </w:pPr>
                  <w:r>
                    <w:rPr>
                      <w:color w:val="000000"/>
                    </w:rPr>
                    <w:t>Dzīves kvalitāte apkaimē</w:t>
                  </w:r>
                </w:p>
              </w:tc>
              <w:tc>
                <w:tcPr>
                  <w:tcW w:w="1667" w:type="dxa"/>
                  <w:vAlign w:val="center"/>
                </w:tcPr>
                <w:p w:rsidR="00B720E4" w:rsidRPr="001064BC" w:rsidRDefault="00416DC7" w:rsidP="000129F5">
                  <w:pPr>
                    <w:autoSpaceDE w:val="0"/>
                    <w:autoSpaceDN w:val="0"/>
                    <w:adjustRightInd w:val="0"/>
                    <w:jc w:val="center"/>
                    <w:rPr>
                      <w:b/>
                      <w:bCs/>
                    </w:rPr>
                  </w:pPr>
                  <w:r>
                    <w:rPr>
                      <w:color w:val="000000"/>
                    </w:rPr>
                    <w:t>Reizi gadā</w:t>
                  </w:r>
                </w:p>
              </w:tc>
              <w:tc>
                <w:tcPr>
                  <w:tcW w:w="1609" w:type="dxa"/>
                  <w:vAlign w:val="center"/>
                </w:tcPr>
                <w:p w:rsidR="00B720E4" w:rsidRPr="001064BC" w:rsidRDefault="007D2BBA" w:rsidP="007D2BBA">
                  <w:pPr>
                    <w:autoSpaceDE w:val="0"/>
                    <w:autoSpaceDN w:val="0"/>
                    <w:adjustRightInd w:val="0"/>
                    <w:jc w:val="center"/>
                    <w:rPr>
                      <w:b/>
                      <w:bCs/>
                    </w:rPr>
                  </w:pPr>
                  <w:r w:rsidRPr="00801707">
                    <w:rPr>
                      <w:color w:val="000000"/>
                    </w:rPr>
                    <w:t xml:space="preserve">RD PAD </w:t>
                  </w:r>
                  <w:r w:rsidR="00416DC7">
                    <w:rPr>
                      <w:color w:val="000000"/>
                    </w:rPr>
                    <w:t>veiktā aptauja</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t>6.</w:t>
                  </w:r>
                </w:p>
              </w:tc>
              <w:tc>
                <w:tcPr>
                  <w:tcW w:w="2190" w:type="dxa"/>
                  <w:vAlign w:val="center"/>
                </w:tcPr>
                <w:p w:rsidR="00B720E4" w:rsidRPr="001064BC" w:rsidRDefault="00416DC7" w:rsidP="000129F5">
                  <w:pPr>
                    <w:autoSpaceDE w:val="0"/>
                    <w:autoSpaceDN w:val="0"/>
                    <w:adjustRightInd w:val="0"/>
                    <w:jc w:val="both"/>
                    <w:rPr>
                      <w:b/>
                      <w:bCs/>
                    </w:rPr>
                  </w:pPr>
                  <w:r>
                    <w:rPr>
                      <w:color w:val="000000"/>
                    </w:rPr>
                    <w:t>Pilsētu teritorijās uzcelta vai atjaunota sabiedriskā telpa</w:t>
                  </w:r>
                </w:p>
              </w:tc>
              <w:tc>
                <w:tcPr>
                  <w:tcW w:w="1667" w:type="dxa"/>
                  <w:vAlign w:val="center"/>
                </w:tcPr>
                <w:p w:rsidR="00B720E4" w:rsidRPr="001064BC" w:rsidRDefault="00416DC7" w:rsidP="000129F5">
                  <w:pPr>
                    <w:autoSpaceDE w:val="0"/>
                    <w:autoSpaceDN w:val="0"/>
                    <w:adjustRightInd w:val="0"/>
                    <w:jc w:val="center"/>
                    <w:rPr>
                      <w:b/>
                      <w:bCs/>
                    </w:rPr>
                  </w:pPr>
                  <w:r>
                    <w:rPr>
                      <w:color w:val="000000"/>
                    </w:rPr>
                    <w:t>Pēc projektu pabeigšanas</w:t>
                  </w:r>
                </w:p>
              </w:tc>
              <w:tc>
                <w:tcPr>
                  <w:tcW w:w="1609" w:type="dxa"/>
                  <w:vAlign w:val="center"/>
                </w:tcPr>
                <w:p w:rsidR="00B720E4" w:rsidRPr="001064BC" w:rsidRDefault="00416DC7" w:rsidP="000129F5">
                  <w:pPr>
                    <w:autoSpaceDE w:val="0"/>
                    <w:autoSpaceDN w:val="0"/>
                    <w:adjustRightInd w:val="0"/>
                    <w:jc w:val="center"/>
                    <w:rPr>
                      <w:b/>
                      <w:bCs/>
                    </w:rPr>
                  </w:pPr>
                  <w:r>
                    <w:rPr>
                      <w:color w:val="000000"/>
                    </w:rPr>
                    <w:t>Projekta īstenotāja uzkrātie dati</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t>7.</w:t>
                  </w:r>
                </w:p>
              </w:tc>
              <w:tc>
                <w:tcPr>
                  <w:tcW w:w="2190" w:type="dxa"/>
                  <w:vAlign w:val="center"/>
                </w:tcPr>
                <w:p w:rsidR="00B720E4" w:rsidRPr="001064BC" w:rsidRDefault="00416DC7" w:rsidP="000129F5">
                  <w:pPr>
                    <w:autoSpaceDE w:val="0"/>
                    <w:autoSpaceDN w:val="0"/>
                    <w:adjustRightInd w:val="0"/>
                    <w:jc w:val="both"/>
                    <w:rPr>
                      <w:b/>
                      <w:bCs/>
                    </w:rPr>
                  </w:pPr>
                  <w:r>
                    <w:rPr>
                      <w:color w:val="000000"/>
                    </w:rPr>
                    <w:t>Uzceltas vai atjaunotas sabiedriskas vai komercēkas pilsētā</w:t>
                  </w:r>
                </w:p>
              </w:tc>
              <w:tc>
                <w:tcPr>
                  <w:tcW w:w="1667" w:type="dxa"/>
                  <w:vAlign w:val="center"/>
                </w:tcPr>
                <w:p w:rsidR="00B720E4" w:rsidRPr="001064BC" w:rsidRDefault="00416DC7" w:rsidP="000129F5">
                  <w:pPr>
                    <w:autoSpaceDE w:val="0"/>
                    <w:autoSpaceDN w:val="0"/>
                    <w:adjustRightInd w:val="0"/>
                    <w:jc w:val="center"/>
                    <w:rPr>
                      <w:b/>
                      <w:bCs/>
                    </w:rPr>
                  </w:pPr>
                  <w:r>
                    <w:rPr>
                      <w:color w:val="000000"/>
                    </w:rPr>
                    <w:t>Pēc projektu pabeigšanas</w:t>
                  </w:r>
                </w:p>
              </w:tc>
              <w:tc>
                <w:tcPr>
                  <w:tcW w:w="1609" w:type="dxa"/>
                  <w:vAlign w:val="center"/>
                </w:tcPr>
                <w:p w:rsidR="00B720E4" w:rsidRPr="001064BC" w:rsidRDefault="00416DC7" w:rsidP="000129F5">
                  <w:pPr>
                    <w:autoSpaceDE w:val="0"/>
                    <w:autoSpaceDN w:val="0"/>
                    <w:adjustRightInd w:val="0"/>
                    <w:jc w:val="center"/>
                    <w:rPr>
                      <w:b/>
                      <w:bCs/>
                    </w:rPr>
                  </w:pPr>
                  <w:r>
                    <w:rPr>
                      <w:color w:val="000000"/>
                    </w:rPr>
                    <w:t>Projekta īstenotāja uzkrātie dati</w:t>
                  </w:r>
                </w:p>
              </w:tc>
            </w:tr>
            <w:tr w:rsidR="00B720E4" w:rsidRPr="001064BC" w:rsidTr="000129F5">
              <w:tc>
                <w:tcPr>
                  <w:tcW w:w="516" w:type="dxa"/>
                  <w:vAlign w:val="center"/>
                </w:tcPr>
                <w:p w:rsidR="00B720E4" w:rsidRPr="001064BC" w:rsidRDefault="00416DC7" w:rsidP="000129F5">
                  <w:pPr>
                    <w:autoSpaceDE w:val="0"/>
                    <w:autoSpaceDN w:val="0"/>
                    <w:adjustRightInd w:val="0"/>
                    <w:jc w:val="center"/>
                    <w:rPr>
                      <w:bCs/>
                    </w:rPr>
                  </w:pPr>
                  <w:r>
                    <w:rPr>
                      <w:bCs/>
                    </w:rPr>
                    <w:t>8.</w:t>
                  </w:r>
                </w:p>
              </w:tc>
              <w:tc>
                <w:tcPr>
                  <w:tcW w:w="2190" w:type="dxa"/>
                  <w:vAlign w:val="center"/>
                </w:tcPr>
                <w:p w:rsidR="00B720E4" w:rsidRPr="001064BC" w:rsidRDefault="00416DC7" w:rsidP="007D2BBA">
                  <w:pPr>
                    <w:autoSpaceDE w:val="0"/>
                    <w:autoSpaceDN w:val="0"/>
                    <w:adjustRightInd w:val="0"/>
                    <w:jc w:val="both"/>
                    <w:rPr>
                      <w:b/>
                      <w:bCs/>
                    </w:rPr>
                  </w:pPr>
                  <w:r>
                    <w:rPr>
                      <w:color w:val="000000"/>
                    </w:rPr>
                    <w:t xml:space="preserve">Atjaunoto, izveidoto un </w:t>
                  </w:r>
                  <w:r w:rsidR="007D2BBA">
                    <w:rPr>
                      <w:color w:val="000000"/>
                    </w:rPr>
                    <w:t>pārbūvēto</w:t>
                  </w:r>
                  <w:r>
                    <w:rPr>
                      <w:color w:val="000000"/>
                    </w:rPr>
                    <w:t xml:space="preserve"> sabiedrisko un infrastruktūras objektu skaits</w:t>
                  </w:r>
                </w:p>
              </w:tc>
              <w:tc>
                <w:tcPr>
                  <w:tcW w:w="1667" w:type="dxa"/>
                  <w:vAlign w:val="center"/>
                </w:tcPr>
                <w:p w:rsidR="00B720E4" w:rsidRPr="001064BC" w:rsidRDefault="00416DC7" w:rsidP="000129F5">
                  <w:pPr>
                    <w:autoSpaceDE w:val="0"/>
                    <w:autoSpaceDN w:val="0"/>
                    <w:adjustRightInd w:val="0"/>
                    <w:jc w:val="center"/>
                    <w:rPr>
                      <w:b/>
                      <w:bCs/>
                    </w:rPr>
                  </w:pPr>
                  <w:r>
                    <w:rPr>
                      <w:color w:val="000000"/>
                    </w:rPr>
                    <w:t>Pēc projektu pabeigšanas</w:t>
                  </w:r>
                </w:p>
              </w:tc>
              <w:tc>
                <w:tcPr>
                  <w:tcW w:w="1609" w:type="dxa"/>
                  <w:vAlign w:val="center"/>
                </w:tcPr>
                <w:p w:rsidR="00B720E4" w:rsidRPr="001064BC" w:rsidRDefault="00416DC7" w:rsidP="000129F5">
                  <w:pPr>
                    <w:autoSpaceDE w:val="0"/>
                    <w:autoSpaceDN w:val="0"/>
                    <w:adjustRightInd w:val="0"/>
                    <w:jc w:val="center"/>
                    <w:rPr>
                      <w:b/>
                      <w:bCs/>
                    </w:rPr>
                  </w:pPr>
                  <w:r>
                    <w:rPr>
                      <w:color w:val="000000"/>
                    </w:rPr>
                    <w:t>Projekta īstenotāja uzkrātie dati</w:t>
                  </w:r>
                </w:p>
              </w:tc>
            </w:tr>
            <w:tr w:rsidR="00C56ABE" w:rsidRPr="001064BC" w:rsidTr="000129F5">
              <w:tc>
                <w:tcPr>
                  <w:tcW w:w="516" w:type="dxa"/>
                  <w:vAlign w:val="center"/>
                </w:tcPr>
                <w:p w:rsidR="00C56ABE" w:rsidRPr="00801707" w:rsidRDefault="00416DC7" w:rsidP="000129F5">
                  <w:pPr>
                    <w:autoSpaceDE w:val="0"/>
                    <w:autoSpaceDN w:val="0"/>
                    <w:adjustRightInd w:val="0"/>
                    <w:jc w:val="center"/>
                    <w:rPr>
                      <w:bCs/>
                    </w:rPr>
                  </w:pPr>
                  <w:r w:rsidRPr="00801707">
                    <w:rPr>
                      <w:bCs/>
                    </w:rPr>
                    <w:t>9.</w:t>
                  </w:r>
                </w:p>
              </w:tc>
              <w:tc>
                <w:tcPr>
                  <w:tcW w:w="2190" w:type="dxa"/>
                  <w:vAlign w:val="center"/>
                </w:tcPr>
                <w:p w:rsidR="00C56ABE" w:rsidRPr="00801707" w:rsidRDefault="00416DC7" w:rsidP="000129F5">
                  <w:pPr>
                    <w:autoSpaceDE w:val="0"/>
                    <w:autoSpaceDN w:val="0"/>
                    <w:adjustRightInd w:val="0"/>
                    <w:jc w:val="both"/>
                    <w:rPr>
                      <w:color w:val="000000"/>
                    </w:rPr>
                  </w:pPr>
                  <w:r w:rsidRPr="00801707">
                    <w:t>Augsta degradēto objektu un teritoriju koncentrācija</w:t>
                  </w:r>
                </w:p>
              </w:tc>
              <w:tc>
                <w:tcPr>
                  <w:tcW w:w="1667" w:type="dxa"/>
                  <w:vAlign w:val="center"/>
                </w:tcPr>
                <w:p w:rsidR="00C56ABE" w:rsidRPr="00801707" w:rsidRDefault="00416DC7" w:rsidP="000129F5">
                  <w:pPr>
                    <w:autoSpaceDE w:val="0"/>
                    <w:autoSpaceDN w:val="0"/>
                    <w:adjustRightInd w:val="0"/>
                    <w:jc w:val="center"/>
                    <w:rPr>
                      <w:color w:val="000000"/>
                    </w:rPr>
                  </w:pPr>
                  <w:r w:rsidRPr="00801707">
                    <w:rPr>
                      <w:color w:val="000000"/>
                    </w:rPr>
                    <w:t>Reizi gadā</w:t>
                  </w:r>
                </w:p>
              </w:tc>
              <w:tc>
                <w:tcPr>
                  <w:tcW w:w="1609" w:type="dxa"/>
                  <w:vAlign w:val="center"/>
                </w:tcPr>
                <w:p w:rsidR="00C56ABE" w:rsidRPr="00801707" w:rsidRDefault="00416DC7" w:rsidP="000129F5">
                  <w:pPr>
                    <w:autoSpaceDE w:val="0"/>
                    <w:autoSpaceDN w:val="0"/>
                    <w:adjustRightInd w:val="0"/>
                    <w:jc w:val="center"/>
                    <w:rPr>
                      <w:color w:val="000000"/>
                    </w:rPr>
                  </w:pPr>
                  <w:r w:rsidRPr="00801707">
                    <w:rPr>
                      <w:color w:val="000000"/>
                    </w:rPr>
                    <w:t>RD PAD veiktā aptauja</w:t>
                  </w:r>
                </w:p>
              </w:tc>
            </w:tr>
            <w:tr w:rsidR="002E14EE" w:rsidRPr="001064BC" w:rsidTr="000129F5">
              <w:tc>
                <w:tcPr>
                  <w:tcW w:w="516" w:type="dxa"/>
                  <w:vAlign w:val="center"/>
                </w:tcPr>
                <w:p w:rsidR="002E14EE" w:rsidRPr="00801707" w:rsidRDefault="00416DC7" w:rsidP="000129F5">
                  <w:pPr>
                    <w:autoSpaceDE w:val="0"/>
                    <w:autoSpaceDN w:val="0"/>
                    <w:adjustRightInd w:val="0"/>
                    <w:jc w:val="center"/>
                    <w:rPr>
                      <w:bCs/>
                    </w:rPr>
                  </w:pPr>
                  <w:r w:rsidRPr="00801707">
                    <w:rPr>
                      <w:bCs/>
                    </w:rPr>
                    <w:t>10.</w:t>
                  </w:r>
                </w:p>
              </w:tc>
              <w:tc>
                <w:tcPr>
                  <w:tcW w:w="2190" w:type="dxa"/>
                  <w:vAlign w:val="center"/>
                </w:tcPr>
                <w:p w:rsidR="002E14EE" w:rsidRPr="00801707" w:rsidRDefault="00416DC7" w:rsidP="000129F5">
                  <w:pPr>
                    <w:autoSpaceDE w:val="0"/>
                    <w:autoSpaceDN w:val="0"/>
                    <w:adjustRightInd w:val="0"/>
                    <w:jc w:val="both"/>
                    <w:rPr>
                      <w:color w:val="000000"/>
                    </w:rPr>
                  </w:pPr>
                  <w:r w:rsidRPr="00801707">
                    <w:rPr>
                      <w:color w:val="000000"/>
                    </w:rPr>
                    <w:t>Iedzīvotāju skaits</w:t>
                  </w:r>
                </w:p>
              </w:tc>
              <w:tc>
                <w:tcPr>
                  <w:tcW w:w="1667" w:type="dxa"/>
                  <w:vAlign w:val="center"/>
                </w:tcPr>
                <w:p w:rsidR="002E14EE" w:rsidRPr="00801707" w:rsidRDefault="00416DC7" w:rsidP="000129F5">
                  <w:pPr>
                    <w:autoSpaceDE w:val="0"/>
                    <w:autoSpaceDN w:val="0"/>
                    <w:adjustRightInd w:val="0"/>
                    <w:jc w:val="center"/>
                    <w:rPr>
                      <w:color w:val="000000"/>
                    </w:rPr>
                  </w:pPr>
                  <w:r w:rsidRPr="00801707">
                    <w:rPr>
                      <w:color w:val="000000"/>
                    </w:rPr>
                    <w:t>Reizi gadā</w:t>
                  </w:r>
                </w:p>
              </w:tc>
              <w:tc>
                <w:tcPr>
                  <w:tcW w:w="1609" w:type="dxa"/>
                  <w:vAlign w:val="center"/>
                </w:tcPr>
                <w:p w:rsidR="002E14EE" w:rsidRPr="00801707" w:rsidRDefault="00416DC7" w:rsidP="000129F5">
                  <w:pPr>
                    <w:autoSpaceDE w:val="0"/>
                    <w:autoSpaceDN w:val="0"/>
                    <w:adjustRightInd w:val="0"/>
                    <w:jc w:val="center"/>
                    <w:rPr>
                      <w:color w:val="000000"/>
                    </w:rPr>
                  </w:pPr>
                  <w:r w:rsidRPr="00801707">
                    <w:rPr>
                      <w:color w:val="000000"/>
                    </w:rPr>
                    <w:t>RD PAD veiktā aptauja</w:t>
                  </w:r>
                </w:p>
              </w:tc>
            </w:tr>
          </w:tbl>
          <w:p w:rsidR="00A456C8" w:rsidRPr="001064BC" w:rsidRDefault="00416DC7" w:rsidP="000129F5">
            <w:pPr>
              <w:spacing w:before="120"/>
              <w:jc w:val="both"/>
              <w:rPr>
                <w:highlight w:val="yellow"/>
              </w:rPr>
            </w:pPr>
            <w:r>
              <w:t xml:space="preserve">Ņemot vērā, ka </w:t>
            </w:r>
            <w:r w:rsidR="001064BC">
              <w:t>5.6.1.</w:t>
            </w:r>
            <w:r w:rsidR="00AD4E42" w:rsidRPr="001064BC">
              <w:t xml:space="preserve">SAM ietvaros netiek sniegts </w:t>
            </w:r>
            <w:r w:rsidR="001064BC" w:rsidRPr="00801707">
              <w:t xml:space="preserve">ieguldījumu </w:t>
            </w:r>
            <w:r w:rsidR="00AD4E42" w:rsidRPr="00801707">
              <w:t>atbalsts komersantiem to ražošanas procesu uzlabošanai vai citām tiešajām investīcijām</w:t>
            </w:r>
            <w:r w:rsidR="002E7405" w:rsidRPr="00801707">
              <w:t>, kur tiek paredzēta iespēja piesaistīt</w:t>
            </w:r>
            <w:r w:rsidR="001064BC" w:rsidRPr="00801707">
              <w:t xml:space="preserve"> kā sadarbības partnerus</w:t>
            </w:r>
            <w:r w:rsidR="002E7405" w:rsidRPr="001064BC">
              <w:t xml:space="preserve"> </w:t>
            </w:r>
            <w:r w:rsidR="009C04A5" w:rsidRPr="000129F5">
              <w:t>komersantus</w:t>
            </w:r>
            <w:r w:rsidR="00AD4E42" w:rsidRPr="000129F5">
              <w:t>,</w:t>
            </w:r>
            <w:r w:rsidR="002E7405" w:rsidRPr="00B63050">
              <w:rPr>
                <w:b/>
              </w:rPr>
              <w:t xml:space="preserve"> </w:t>
            </w:r>
            <w:r w:rsidR="002E7405" w:rsidRPr="001064BC">
              <w:t>kopumā</w:t>
            </w:r>
            <w:r w:rsidR="00AD4E42" w:rsidRPr="001064BC">
              <w:t xml:space="preserve"> </w:t>
            </w:r>
            <w:r w:rsidR="00536B44">
              <w:t>5.6.1.</w:t>
            </w:r>
            <w:r w:rsidR="00AD4E42" w:rsidRPr="001064BC">
              <w:t xml:space="preserve">SAM noteiktās rādītāju vērtības objektīvi var sasniegt tikai noteiktā laikā pēc projekta pabeigšanas. Tāpēc noteikumu projekts paredz, ka rādītāju vērtības jāsasniedz </w:t>
            </w:r>
            <w:r w:rsidR="00AD4E42" w:rsidRPr="00801707">
              <w:t>ne vēlāk kā 36 mēnešu laikā pēc projekta pabeigšanas</w:t>
            </w:r>
            <w:r w:rsidR="00536B44" w:rsidRPr="00801707">
              <w:t xml:space="preserve">, </w:t>
            </w:r>
            <w:r w:rsidR="00536B44" w:rsidRPr="00801707">
              <w:rPr>
                <w:rStyle w:val="cspklasifikatorscodename"/>
              </w:rPr>
              <w:t>bet ne vēlāk kā līdz 2023.gada 31.decembrim</w:t>
            </w:r>
            <w:r w:rsidR="00AD4E42" w:rsidRPr="00801707">
              <w:t>. Minētais aspekts ti</w:t>
            </w:r>
            <w:r w:rsidR="00536B44" w:rsidRPr="00801707">
              <w:t>ks</w:t>
            </w:r>
            <w:r w:rsidR="00AD4E42" w:rsidRPr="00801707">
              <w:t xml:space="preserve"> ņemts vērā </w:t>
            </w:r>
            <w:r w:rsidR="00536B44" w:rsidRPr="00801707">
              <w:t xml:space="preserve">arī </w:t>
            </w:r>
            <w:r w:rsidR="00AD4E42" w:rsidRPr="00801707">
              <w:t>prognozējot</w:t>
            </w:r>
            <w:r w:rsidR="00AD4E42" w:rsidRPr="001064BC">
              <w:t xml:space="preserve"> rādītāju vērtības 2018.gadā.</w:t>
            </w:r>
            <w:r w:rsidR="00A456C8" w:rsidRPr="001064BC">
              <w:t xml:space="preserve"> </w:t>
            </w:r>
          </w:p>
          <w:p w:rsidR="002E7405" w:rsidRPr="00801707" w:rsidRDefault="00536B44" w:rsidP="000129F5">
            <w:pPr>
              <w:pStyle w:val="ParastaisWeb"/>
              <w:widowControl w:val="0"/>
              <w:shd w:val="clear" w:color="auto" w:fill="FFFFFF"/>
              <w:spacing w:before="120" w:beforeAutospacing="0" w:after="0" w:afterAutospacing="0"/>
              <w:jc w:val="both"/>
              <w:rPr>
                <w:rFonts w:ascii="Times New Roman" w:hAnsi="Times New Roman"/>
                <w:sz w:val="24"/>
                <w:szCs w:val="24"/>
              </w:rPr>
            </w:pPr>
            <w:r w:rsidRPr="00801707">
              <w:rPr>
                <w:rFonts w:ascii="Times New Roman" w:hAnsi="Times New Roman"/>
                <w:sz w:val="24"/>
                <w:szCs w:val="24"/>
              </w:rPr>
              <w:t>N</w:t>
            </w:r>
            <w:r w:rsidR="00AD4E42" w:rsidRPr="00801707">
              <w:rPr>
                <w:rFonts w:ascii="Times New Roman" w:hAnsi="Times New Roman"/>
                <w:sz w:val="24"/>
                <w:szCs w:val="24"/>
              </w:rPr>
              <w:t xml:space="preserve">oteikumu projekts nosaka, </w:t>
            </w:r>
            <w:r w:rsidR="00081026" w:rsidRPr="00801707">
              <w:rPr>
                <w:rFonts w:ascii="Times New Roman" w:hAnsi="Times New Roman"/>
                <w:sz w:val="24"/>
                <w:szCs w:val="24"/>
              </w:rPr>
              <w:t xml:space="preserve">ka </w:t>
            </w:r>
            <w:r w:rsidR="00664EBD">
              <w:rPr>
                <w:rFonts w:ascii="Times New Roman" w:hAnsi="Times New Roman"/>
                <w:sz w:val="24"/>
                <w:szCs w:val="24"/>
              </w:rPr>
              <w:t xml:space="preserve">Rīgas pilsētas pašvaldība </w:t>
            </w:r>
            <w:r w:rsidR="002E7405" w:rsidRPr="00801707">
              <w:rPr>
                <w:rFonts w:ascii="Times New Roman" w:hAnsi="Times New Roman"/>
                <w:sz w:val="24"/>
                <w:szCs w:val="24"/>
              </w:rPr>
              <w:t xml:space="preserve">projekta īstenošanu paredz </w:t>
            </w:r>
            <w:r w:rsidRPr="00801707">
              <w:rPr>
                <w:rFonts w:ascii="Times New Roman" w:hAnsi="Times New Roman"/>
                <w:color w:val="000000"/>
                <w:sz w:val="24"/>
                <w:szCs w:val="24"/>
              </w:rPr>
              <w:t xml:space="preserve">attīstības programmas </w:t>
            </w:r>
            <w:r w:rsidRPr="00801707">
              <w:rPr>
                <w:rFonts w:ascii="Times New Roman" w:hAnsi="Times New Roman"/>
                <w:sz w:val="24"/>
                <w:szCs w:val="24"/>
              </w:rPr>
              <w:t xml:space="preserve">Investīciju plānā. </w:t>
            </w:r>
            <w:r w:rsidR="009331B5">
              <w:rPr>
                <w:rFonts w:ascii="Times New Roman" w:hAnsi="Times New Roman"/>
                <w:color w:val="000000"/>
                <w:sz w:val="24"/>
                <w:szCs w:val="24"/>
              </w:rPr>
              <w:t>A</w:t>
            </w:r>
            <w:r w:rsidRPr="00801707">
              <w:rPr>
                <w:rFonts w:ascii="Times New Roman" w:hAnsi="Times New Roman"/>
                <w:color w:val="000000"/>
                <w:sz w:val="24"/>
                <w:szCs w:val="24"/>
              </w:rPr>
              <w:t xml:space="preserve">ttīstības programmas Investīciju plāns </w:t>
            </w:r>
            <w:r w:rsidR="00664EBD">
              <w:rPr>
                <w:rFonts w:ascii="Times New Roman" w:hAnsi="Times New Roman"/>
                <w:sz w:val="24"/>
                <w:szCs w:val="24"/>
              </w:rPr>
              <w:t>ir a</w:t>
            </w:r>
            <w:r w:rsidRPr="00801707">
              <w:rPr>
                <w:rFonts w:ascii="Times New Roman" w:hAnsi="Times New Roman"/>
                <w:sz w:val="24"/>
                <w:szCs w:val="24"/>
              </w:rPr>
              <w:t>ttīstības programmas daļa,</w:t>
            </w:r>
            <w:r w:rsidR="00664EBD">
              <w:rPr>
                <w:rFonts w:ascii="Times New Roman" w:hAnsi="Times New Roman"/>
                <w:sz w:val="24"/>
                <w:szCs w:val="24"/>
              </w:rPr>
              <w:t xml:space="preserve"> kura tika izstrādāta reizē ar a</w:t>
            </w:r>
            <w:r w:rsidRPr="00801707">
              <w:rPr>
                <w:rFonts w:ascii="Times New Roman" w:hAnsi="Times New Roman"/>
                <w:sz w:val="24"/>
                <w:szCs w:val="24"/>
              </w:rPr>
              <w:t>ttīstības programmu. Pašvaldībai šo daļu aktualizācija jāveic ne retāk kā reizi gadā. Investīciju plāns atspoguļo visas plānotās investīcijas pašvaldības attīstības veicināšanai vismaz trīs gadiem – gan pašvaldības investīcijas, gan investīcijas, ko plānots piesaistīt ES, ārvalstu un nacionālā atbalsta ietvaros. Tajā iekļauti visi pašvaldības attīstības projekti vai projektu idejas, kas realizējamas, lai sasniegtu stratēģiskajā daļā izvirzītās vidēja termiņa prioritātes.</w:t>
            </w:r>
          </w:p>
          <w:p w:rsidR="000129F5" w:rsidRDefault="00AD4E42" w:rsidP="000129F5">
            <w:pPr>
              <w:spacing w:before="120"/>
              <w:jc w:val="both"/>
              <w:rPr>
                <w:rFonts w:eastAsia="Times New Roman"/>
                <w:bCs/>
                <w:lang w:eastAsia="en-US"/>
              </w:rPr>
            </w:pPr>
            <w:r w:rsidRPr="001064BC">
              <w:rPr>
                <w:rStyle w:val="cspklasifikatorscodename"/>
              </w:rPr>
              <w:lastRenderedPageBreak/>
              <w:t>L</w:t>
            </w:r>
            <w:r w:rsidRPr="001064BC">
              <w:rPr>
                <w:rFonts w:eastAsia="Times New Roman"/>
                <w:bCs/>
                <w:lang w:eastAsia="en-US"/>
              </w:rPr>
              <w:t xml:space="preserve">ai nodrošinātu rezultātu sasniegšanu un saglabāšanu projektā, </w:t>
            </w:r>
            <w:r w:rsidR="002E7405" w:rsidRPr="001064BC">
              <w:rPr>
                <w:rFonts w:eastAsia="Times New Roman"/>
                <w:bCs/>
                <w:lang w:eastAsia="en-US"/>
              </w:rPr>
              <w:t>finansējuma saņēmējiem</w:t>
            </w:r>
            <w:r w:rsidRPr="001064BC">
              <w:rPr>
                <w:rFonts w:eastAsia="Times New Roman"/>
                <w:bCs/>
                <w:lang w:eastAsia="en-US"/>
              </w:rPr>
              <w:t xml:space="preserve"> ir vēlams sadarboties ar privātā sektora pārstāvjiem dažādās investīciju plānošanas un projektu īstenošanas stadijās.</w:t>
            </w:r>
          </w:p>
          <w:p w:rsidR="00420773" w:rsidRDefault="004B3F98" w:rsidP="000129F5">
            <w:pPr>
              <w:spacing w:before="120"/>
              <w:jc w:val="both"/>
              <w:rPr>
                <w:rStyle w:val="cspklasifikatorscodename"/>
                <w:b/>
                <w:u w:val="single"/>
              </w:rPr>
            </w:pPr>
            <w:r w:rsidRPr="001064BC">
              <w:rPr>
                <w:rStyle w:val="cspklasifikatorscodename"/>
                <w:b/>
                <w:u w:val="single"/>
              </w:rPr>
              <w:t>Finansējums</w:t>
            </w:r>
          </w:p>
          <w:p w:rsidR="00536B44" w:rsidRDefault="00536B44" w:rsidP="00536B44">
            <w:pPr>
              <w:jc w:val="both"/>
              <w:rPr>
                <w:b/>
              </w:rPr>
            </w:pPr>
            <w:r>
              <w:rPr>
                <w:rStyle w:val="cspklasifikatorscodename"/>
              </w:rPr>
              <w:t>5.6.1.</w:t>
            </w:r>
            <w:r w:rsidR="00E56438" w:rsidRPr="001064BC">
              <w:rPr>
                <w:rStyle w:val="cspklasifikatorscodename"/>
              </w:rPr>
              <w:t xml:space="preserve">SAM </w:t>
            </w:r>
            <w:r w:rsidR="00973E09">
              <w:t xml:space="preserve">plānotais </w:t>
            </w:r>
            <w:r w:rsidRPr="00801707">
              <w:t xml:space="preserve">finansējums ir ne mazāks kā 94 567 990 </w:t>
            </w:r>
            <w:r w:rsidRPr="00801707">
              <w:rPr>
                <w:i/>
              </w:rPr>
              <w:t>euro</w:t>
            </w:r>
            <w:r w:rsidRPr="00801707">
              <w:t xml:space="preserve">, tai skaitā </w:t>
            </w:r>
            <w:r w:rsidR="000129F5">
              <w:t>ERAF</w:t>
            </w:r>
            <w:r w:rsidRPr="00801707">
              <w:t xml:space="preserve"> finansējums – 80 382 791 </w:t>
            </w:r>
            <w:r w:rsidRPr="00801707">
              <w:rPr>
                <w:i/>
              </w:rPr>
              <w:t>euro</w:t>
            </w:r>
            <w:r w:rsidR="009C04A5" w:rsidRPr="00B63050">
              <w:rPr>
                <w:b/>
              </w:rPr>
              <w:t xml:space="preserve">, </w:t>
            </w:r>
            <w:r w:rsidR="009C04A5" w:rsidRPr="000129F5">
              <w:t>kā arī nacionālais publiskais finansējums (valsts budžeta finansējums, tai skaitā valsts budžeta dotācija pašvaldībai, un pašvaldības finansējums)</w:t>
            </w:r>
            <w:r w:rsidR="00973E09" w:rsidRPr="000129F5">
              <w:t xml:space="preserve"> </w:t>
            </w:r>
            <w:r w:rsidR="000129F5" w:rsidRPr="000129F5">
              <w:t>un</w:t>
            </w:r>
            <w:r w:rsidR="000129F5">
              <w:t xml:space="preserve"> </w:t>
            </w:r>
            <w:r w:rsidRPr="000129F5">
              <w:t>p</w:t>
            </w:r>
            <w:r w:rsidRPr="00801707">
              <w:t xml:space="preserve">rivātais finansējums – ne mazāks kā 14 185 199 </w:t>
            </w:r>
            <w:r w:rsidRPr="00801707">
              <w:rPr>
                <w:i/>
              </w:rPr>
              <w:t>euro</w:t>
            </w:r>
            <w:r w:rsidRPr="00801707">
              <w:t>.</w:t>
            </w:r>
          </w:p>
          <w:p w:rsidR="008D7F24" w:rsidRPr="000129F5" w:rsidRDefault="008D7F24" w:rsidP="000129F5">
            <w:pPr>
              <w:spacing w:before="120"/>
              <w:jc w:val="both"/>
            </w:pPr>
            <w:r w:rsidRPr="000129F5">
              <w:t xml:space="preserve">Projekta ietvaros plānotajām darbību izmaksām publiskajā (pašvaldības vai valsts) infrastruktūrā, ja tā ir publiski pieejama, piemēro 85 procentus ERAF līdzfinansējumu. </w:t>
            </w:r>
          </w:p>
          <w:p w:rsidR="00B63050" w:rsidRDefault="00FC05F8" w:rsidP="000129F5">
            <w:pPr>
              <w:spacing w:before="120"/>
              <w:jc w:val="both"/>
              <w:rPr>
                <w:b/>
              </w:rPr>
            </w:pPr>
            <w:r w:rsidRPr="00801707">
              <w:t xml:space="preserve">5.6.1.SAM </w:t>
            </w:r>
            <w:r w:rsidR="003D3D4B">
              <w:t xml:space="preserve">ietvaros plānotas integrētas </w:t>
            </w:r>
            <w:r w:rsidRPr="00801707">
              <w:t xml:space="preserve">darbības ar mērķi veicināt teritoriju revitalizāciju, kā arī uzlabot pilsētvidi un sabiedrībai pieejamo pakalpojumu </w:t>
            </w:r>
            <w:r w:rsidR="00B63050">
              <w:t>kvalitāti</w:t>
            </w:r>
            <w:r w:rsidR="00B63050" w:rsidRPr="00867FCF">
              <w:rPr>
                <w:b/>
              </w:rPr>
              <w:t>.</w:t>
            </w:r>
          </w:p>
          <w:p w:rsidR="003B3FDD" w:rsidRPr="00B63050" w:rsidRDefault="00B63050" w:rsidP="000129F5">
            <w:pPr>
              <w:spacing w:before="120"/>
              <w:jc w:val="both"/>
            </w:pPr>
            <w:r w:rsidRPr="00B63050">
              <w:t>Atbilstoši</w:t>
            </w:r>
            <w:r w:rsidR="00867FCF" w:rsidRPr="00B63050">
              <w:t xml:space="preserve"> </w:t>
            </w:r>
            <w:r w:rsidR="00994670" w:rsidRPr="0071628A">
              <w:rPr>
                <w:bCs/>
              </w:rPr>
              <w:t xml:space="preserve">Komisijas </w:t>
            </w:r>
            <w:r w:rsidR="00994670">
              <w:rPr>
                <w:bCs/>
              </w:rPr>
              <w:t>2014.gada 17.jūnija Regulas</w:t>
            </w:r>
            <w:r w:rsidR="00994670" w:rsidRPr="0071628A">
              <w:rPr>
                <w:bCs/>
              </w:rPr>
              <w:t xml:space="preserve"> (ES) Nr.651/2014 ar ko noteiktas atbalsta kategorijas atzīst par saderīgām ar iekšējo tirgu, piemērojot Līguma 107.un 108.pantu (</w:t>
            </w:r>
            <w:r w:rsidR="00994670" w:rsidRPr="0071628A">
              <w:rPr>
                <w:bCs/>
                <w:color w:val="000000"/>
              </w:rPr>
              <w:t xml:space="preserve">ES Oficiālais Vēstnesis, 2014.gada 26.jūnijs, Nr.L 187/1) (turpmāk </w:t>
            </w:r>
            <w:r w:rsidR="00994670" w:rsidRPr="0071628A">
              <w:rPr>
                <w:color w:val="000000"/>
              </w:rPr>
              <w:t>–</w:t>
            </w:r>
            <w:r w:rsidR="00994670" w:rsidRPr="0071628A">
              <w:rPr>
                <w:bCs/>
                <w:color w:val="000000"/>
              </w:rPr>
              <w:t xml:space="preserve"> Komisijas regula Nr.</w:t>
            </w:r>
            <w:r w:rsidR="00994670" w:rsidRPr="0071628A">
              <w:rPr>
                <w:bCs/>
              </w:rPr>
              <w:t xml:space="preserve"> 651/2014</w:t>
            </w:r>
            <w:r w:rsidR="00994670" w:rsidRPr="0071628A">
              <w:rPr>
                <w:bCs/>
                <w:color w:val="000000"/>
              </w:rPr>
              <w:t>)</w:t>
            </w:r>
            <w:r w:rsidR="00994670">
              <w:rPr>
                <w:bCs/>
                <w:color w:val="000000"/>
              </w:rPr>
              <w:t xml:space="preserve"> </w:t>
            </w:r>
            <w:r w:rsidR="00867FCF" w:rsidRPr="00B63050">
              <w:t>2.panta 142.punktā noteiktajam, samērīga peļņu nosaka, ievērojot tipisku peļņu attiecīgajā nozarē, jebkurā gadījumā par samērīgu uzskata tādu peļņu no ieguldītā kapitāla, kas nepārsniedz attiecīgo mijmaiņas darījuma likmi, kam pieskaitīta prēmija 100 bāzes punktu apmērā.</w:t>
            </w:r>
          </w:p>
          <w:p w:rsidR="006F69F3" w:rsidRDefault="00867FCF" w:rsidP="000129F5">
            <w:pPr>
              <w:spacing w:before="120"/>
              <w:jc w:val="both"/>
              <w:rPr>
                <w:rStyle w:val="cspklasifikatorscodename"/>
                <w:b/>
              </w:rPr>
            </w:pPr>
            <w:r w:rsidRPr="00B63050">
              <w:t>Ieteicams piemērot peļņu, kas ir līdzvērtīga starp dažādiem, stabiliem, atbilstoši ekipētiem tajā pašā  vai līdzīgā nozarē strādājošiem uzņēmumiem. Attiecīgi samērīga peļņa būs tāda, kura ļaus nodrošināt pakalpojumu par tirgus cenu, kas būs samērojama ar citiem nozarē strādājošiem uzņēmumiem. Kā peļņas aprēķināšanas periodu var noteikt veikto</w:t>
            </w:r>
            <w:r w:rsidRPr="005B55F1">
              <w:rPr>
                <w:b/>
              </w:rPr>
              <w:t xml:space="preserve"> </w:t>
            </w:r>
            <w:r w:rsidRPr="000129F5">
              <w:t xml:space="preserve">ieguldījumu </w:t>
            </w:r>
            <w:r w:rsidR="007F2254" w:rsidRPr="000129F5">
              <w:t>pārskata</w:t>
            </w:r>
            <w:r w:rsidRPr="000129F5">
              <w:t xml:space="preserve"> periodu</w:t>
            </w:r>
            <w:r w:rsidR="007F2254" w:rsidRPr="000129F5">
              <w:t>, piemēram, ēku gadījumā – 15</w:t>
            </w:r>
            <w:r w:rsidRPr="000129F5">
              <w:t xml:space="preserve"> gadus.</w:t>
            </w:r>
          </w:p>
          <w:p w:rsidR="009E62B9" w:rsidRPr="00B63050" w:rsidRDefault="009E62B9" w:rsidP="000129F5">
            <w:pPr>
              <w:spacing w:before="120"/>
              <w:jc w:val="both"/>
            </w:pPr>
            <w:r w:rsidRPr="000129F5">
              <w:rPr>
                <w:rStyle w:val="cspklasifikatorscodename"/>
              </w:rPr>
              <w:t>Noteikumu projekts paredz</w:t>
            </w:r>
            <w:r w:rsidR="00C276BB" w:rsidRPr="000129F5">
              <w:rPr>
                <w:rStyle w:val="cspklasifikatorscodename"/>
              </w:rPr>
              <w:t>, ka</w:t>
            </w:r>
            <w:r w:rsidR="00867FCF" w:rsidRPr="000129F5">
              <w:rPr>
                <w:rStyle w:val="cspklasifikatorscodename"/>
              </w:rPr>
              <w:t xml:space="preserve"> </w:t>
            </w:r>
            <w:r w:rsidRPr="000129F5">
              <w:t xml:space="preserve">līdz 2018.gada 31.decembrim no Eiropas Reģionālās attīstības fonda finansējuma plāno ne vairāk kā </w:t>
            </w:r>
            <w:r w:rsidR="00CF7A5D" w:rsidRPr="000129F5">
              <w:rPr>
                <w:color w:val="000000"/>
              </w:rPr>
              <w:t xml:space="preserve">75 </w:t>
            </w:r>
            <w:r w:rsidR="003B3FDD" w:rsidRPr="000129F5">
              <w:rPr>
                <w:color w:val="000000"/>
              </w:rPr>
              <w:t>479</w:t>
            </w:r>
            <w:r w:rsidR="00CF7A5D" w:rsidRPr="000129F5">
              <w:rPr>
                <w:color w:val="000000"/>
              </w:rPr>
              <w:t xml:space="preserve"> </w:t>
            </w:r>
            <w:r w:rsidR="003B3FDD" w:rsidRPr="000129F5">
              <w:rPr>
                <w:color w:val="000000"/>
              </w:rPr>
              <w:t>823</w:t>
            </w:r>
            <w:r w:rsidR="003B3FDD" w:rsidRPr="000129F5">
              <w:t> </w:t>
            </w:r>
            <w:r w:rsidR="003B3FDD" w:rsidRPr="000129F5">
              <w:rPr>
                <w:color w:val="000000"/>
              </w:rPr>
              <w:t> </w:t>
            </w:r>
            <w:r w:rsidRPr="000129F5">
              <w:rPr>
                <w:i/>
              </w:rPr>
              <w:t>euro</w:t>
            </w:r>
            <w:r w:rsidRPr="000129F5">
              <w:rPr>
                <w:rStyle w:val="cspklasifikatorscodename"/>
              </w:rPr>
              <w:t xml:space="preserve">. </w:t>
            </w:r>
            <w:r w:rsidRPr="000129F5">
              <w:t>Līdz 2018.gada 31.decembrim projekta iznākuma rādītājus plāno atbilstoši noteikumu projekta 1</w:t>
            </w:r>
            <w:r w:rsidR="00FD789B" w:rsidRPr="000129F5">
              <w:t>2</w:t>
            </w:r>
            <w:r w:rsidRPr="000129F5">
              <w:t xml:space="preserve">. punktā minētajam pieejamajam finansējuma apmēram. No </w:t>
            </w:r>
            <w:r w:rsidR="009331B5" w:rsidRPr="000129F5">
              <w:t>2019</w:t>
            </w:r>
            <w:r w:rsidR="009331B5">
              <w:t>.</w:t>
            </w:r>
            <w:r w:rsidRPr="000129F5">
              <w:t>gada 1.janvāra atbildīgā iestāde pēc Eiropas Komisijas lēmuma par snieguma ietvara izpildi var ierosināt projekta iesniedzējam projektā veikt grozījumus</w:t>
            </w:r>
            <w:r w:rsidR="00BE7ED4" w:rsidRPr="000129F5">
              <w:t xml:space="preserve">, </w:t>
            </w:r>
            <w:r w:rsidR="009C04A5" w:rsidRPr="000129F5">
              <w:t>ievērojot valsts atbalsta nosacījumus,</w:t>
            </w:r>
            <w:r w:rsidRPr="000129F5">
              <w:t xml:space="preserve"> vai ierosināt iesniegt jaunu projekta iesniegumu, attiecīgi palielinot noteikumu projekta 9.1.apakšpunktā minēto sasniedzamo iznākuma rādītāju vērtību proporcionāli</w:t>
            </w:r>
            <w:r w:rsidRPr="00B63050">
              <w:t xml:space="preserve"> noteikumu projekta 1</w:t>
            </w:r>
            <w:r w:rsidR="00C1740F" w:rsidRPr="00B63050">
              <w:t>1</w:t>
            </w:r>
            <w:r w:rsidRPr="00B63050">
              <w:t xml:space="preserve">.punktā </w:t>
            </w:r>
            <w:r w:rsidRPr="00B63050">
              <w:lastRenderedPageBreak/>
              <w:t xml:space="preserve">plānotajam kopējam finansējuma apmēram. </w:t>
            </w:r>
          </w:p>
          <w:p w:rsidR="009E62B9" w:rsidRPr="00B63050" w:rsidRDefault="009E62B9" w:rsidP="00FE1AAF">
            <w:pPr>
              <w:spacing w:after="120"/>
              <w:jc w:val="both"/>
            </w:pPr>
            <w:r w:rsidRPr="00B63050">
              <w:t xml:space="preserve">Noteikumu projektā noteiktais finanšu rādītājs paredz līdz 2018.gada 31.decembrim sertificētos izdevumus vismaz 18 913 598 </w:t>
            </w:r>
            <w:r w:rsidRPr="00B63050">
              <w:rPr>
                <w:i/>
              </w:rPr>
              <w:t>euro</w:t>
            </w:r>
            <w:r w:rsidRPr="00B63050">
              <w:t xml:space="preserve"> apmērā. </w:t>
            </w:r>
          </w:p>
          <w:p w:rsidR="00B54803" w:rsidRPr="00B63050" w:rsidRDefault="00FE1AAF">
            <w:pPr>
              <w:jc w:val="both"/>
            </w:pPr>
            <w:r w:rsidRPr="00B63050">
              <w:t>Snieguma rezerve 6,1 procenta apjomā ti</w:t>
            </w:r>
            <w:r w:rsidR="009E62B9" w:rsidRPr="00B63050">
              <w:t>ks</w:t>
            </w:r>
            <w:r w:rsidRPr="00B63050">
              <w:t xml:space="preserve"> aprēķināta </w:t>
            </w:r>
            <w:r w:rsidR="00FC05F8" w:rsidRPr="00B63050">
              <w:t xml:space="preserve">katram </w:t>
            </w:r>
            <w:r w:rsidRPr="00B63050">
              <w:t>projektu iesniegumu atlases</w:t>
            </w:r>
            <w:r w:rsidR="008F762A" w:rsidRPr="00B63050">
              <w:t xml:space="preserve"> </w:t>
            </w:r>
            <w:r w:rsidR="00FC05F8" w:rsidRPr="00B63050">
              <w:t xml:space="preserve">projektam atsevišķi atkarībā no </w:t>
            </w:r>
            <w:r w:rsidRPr="00B63050">
              <w:t>paredzētā ERAF finansējuma apjoma.</w:t>
            </w:r>
          </w:p>
          <w:p w:rsidR="00B54803" w:rsidRPr="00B63050" w:rsidRDefault="009B4DE6">
            <w:pPr>
              <w:jc w:val="both"/>
              <w:rPr>
                <w:bCs/>
              </w:rPr>
            </w:pPr>
            <w:r w:rsidRPr="00B63050">
              <w:rPr>
                <w:bCs/>
              </w:rPr>
              <w:t xml:space="preserve"> </w:t>
            </w:r>
          </w:p>
          <w:p w:rsidR="00B54803" w:rsidRPr="00B63050" w:rsidRDefault="009B4DE6" w:rsidP="000129F5">
            <w:pPr>
              <w:jc w:val="both"/>
            </w:pPr>
            <w:r w:rsidRPr="00B63050">
              <w:t xml:space="preserve">Gadījumos, ja projektam sniedz valsts atbalstu komercdarbībai saskaņā ar </w:t>
            </w:r>
            <w:r w:rsidR="003D3D4B" w:rsidRPr="001064BC">
              <w:rPr>
                <w:bCs/>
              </w:rPr>
              <w:t>Komisijas 2014.gada 17.jūnija Regulas (ES) Nr.651/2014 ar ko noteiktas atbalsta kategorijas atzīst par saderīgām ar iekšējo tirgu, piemērojot Līguma 107.un 108.pantu (</w:t>
            </w:r>
            <w:r w:rsidR="003D3D4B" w:rsidRPr="001064BC">
              <w:rPr>
                <w:bCs/>
                <w:color w:val="000000"/>
              </w:rPr>
              <w:t xml:space="preserve">ES Oficiālais Vēstnesis, 2014.gada 26.jūnijs, Nr.L 187/1) (turpmāk </w:t>
            </w:r>
            <w:r w:rsidR="003D3D4B" w:rsidRPr="001064BC">
              <w:rPr>
                <w:color w:val="000000"/>
              </w:rPr>
              <w:t>–</w:t>
            </w:r>
            <w:r w:rsidR="003D3D4B" w:rsidRPr="001064BC">
              <w:rPr>
                <w:bCs/>
                <w:color w:val="000000"/>
              </w:rPr>
              <w:t xml:space="preserve"> Komisijas regula </w:t>
            </w:r>
            <w:r w:rsidR="003D3D4B" w:rsidRPr="00B63050">
              <w:rPr>
                <w:bCs/>
                <w:color w:val="000000"/>
              </w:rPr>
              <w:t>Nr.</w:t>
            </w:r>
            <w:r w:rsidR="003D3D4B" w:rsidRPr="00B63050">
              <w:rPr>
                <w:bCs/>
              </w:rPr>
              <w:t>651/2014</w:t>
            </w:r>
            <w:r w:rsidR="003D3D4B" w:rsidRPr="00B63050">
              <w:rPr>
                <w:bCs/>
                <w:color w:val="000000"/>
              </w:rPr>
              <w:t>)</w:t>
            </w:r>
            <w:r w:rsidR="003D3D4B" w:rsidRPr="00B63050">
              <w:t xml:space="preserve"> </w:t>
            </w:r>
            <w:r w:rsidRPr="00B63050">
              <w:t>55. un 56.pantu, atbilstoši projekta iesniedzēja veidam ir divi varianti snieguma rezerves paredzēšanai:</w:t>
            </w:r>
          </w:p>
          <w:p w:rsidR="00D95BEF" w:rsidRPr="007D2BBA" w:rsidRDefault="00D95BEF" w:rsidP="00D95BEF">
            <w:pPr>
              <w:pStyle w:val="Sarakstarindkopa"/>
              <w:numPr>
                <w:ilvl w:val="0"/>
                <w:numId w:val="37"/>
              </w:numPr>
              <w:ind w:left="255" w:hanging="248"/>
              <w:jc w:val="both"/>
              <w:rPr>
                <w:sz w:val="24"/>
                <w:szCs w:val="24"/>
              </w:rPr>
            </w:pPr>
            <w:r w:rsidRPr="007D2BBA">
              <w:rPr>
                <w:sz w:val="24"/>
                <w:szCs w:val="24"/>
              </w:rPr>
              <w:t>ja finansējuma saņēmējs paredz atsevišķas projektu aktivitātes īstenot pēc 2019.gada 1.janvāra, pēc Eiropas Komisijas lēmuma par snieguma rezerves piešķiršanu 5.6.1.SAM, līgumā, ievērojot valsts atbalsta nosacījumus, veic grozījumus, palielinot ERAF finansējuma apmēru;</w:t>
            </w:r>
          </w:p>
          <w:p w:rsidR="00D95BEF" w:rsidRPr="007D2BBA" w:rsidRDefault="00D95BEF" w:rsidP="00D95BEF">
            <w:pPr>
              <w:pStyle w:val="Sarakstarindkopa"/>
              <w:numPr>
                <w:ilvl w:val="0"/>
                <w:numId w:val="37"/>
              </w:numPr>
              <w:spacing w:before="120"/>
              <w:ind w:left="255" w:hanging="248"/>
              <w:jc w:val="both"/>
              <w:outlineLvl w:val="0"/>
              <w:rPr>
                <w:sz w:val="24"/>
                <w:szCs w:val="24"/>
              </w:rPr>
            </w:pPr>
            <w:r w:rsidRPr="007D2BBA">
              <w:rPr>
                <w:sz w:val="24"/>
                <w:szCs w:val="24"/>
              </w:rPr>
              <w:t xml:space="preserve">ja pašvaldības vai valsts kapitālsabiedrības, iesniedzot projekta iesniegumu, paredz snieguma rezervei nepieciešamo finansējuma apmēru no saviem līdzekļiem, pēc Eiropas Komisijas lēmuma par snieguma rezerves piešķiršanu, projektā, ievērojot valsts atbalsta nosacījumus, atbilstoši tiek palielināta ERAF finansējuma intensitāte. </w:t>
            </w:r>
          </w:p>
          <w:p w:rsidR="009E62B9" w:rsidRDefault="009E62B9" w:rsidP="00D95BEF">
            <w:pPr>
              <w:spacing w:before="120"/>
              <w:jc w:val="both"/>
              <w:outlineLvl w:val="0"/>
            </w:pPr>
            <w:r>
              <w:t>N</w:t>
            </w:r>
            <w:r w:rsidR="00E56438" w:rsidRPr="001064BC">
              <w:t xml:space="preserve">oteikumu projekts nosaka, ka </w:t>
            </w:r>
            <w:r w:rsidR="0056155B">
              <w:t>v</w:t>
            </w:r>
            <w:r w:rsidR="0056155B" w:rsidRPr="0056155B">
              <w:t>ienai atsevišķai neatkarīgai funkcijai, kas ir izvērtēta atbilstoši specifiskā atbalsta vērtēšanas kritērijam par darbības funkcionālo nodalāmību, maksimālais kopējo izmaksu apmērs vienam šo noteikumu 9.1.3.apakšpunktā norādītajam investīciju objektam nevar pārsniegt 5 000 000 euro.</w:t>
            </w:r>
          </w:p>
          <w:p w:rsidR="00C35B26" w:rsidRDefault="009E62B9" w:rsidP="000129F5">
            <w:pPr>
              <w:spacing w:before="120"/>
              <w:jc w:val="both"/>
            </w:pPr>
            <w:r>
              <w:t>N</w:t>
            </w:r>
            <w:r w:rsidR="00667D1D" w:rsidRPr="001064BC">
              <w:t>oteikumu projekts paredz iespēju projektu finansēšanai saņemt avansu, atbilstoši normatīvajiem aktiem par valsts budžeta līdzekļu plānošanu Eiropas Savienības struktūrfondu un Kohēzijas fonda projektu īstenošanai un maksājumu veikšanu 2014.</w:t>
            </w:r>
            <w:r w:rsidR="000129F5">
              <w:t xml:space="preserve"> – </w:t>
            </w:r>
            <w:r w:rsidR="00667D1D" w:rsidRPr="001064BC">
              <w:t xml:space="preserve">2020. gada plānošanas periodā, kas nosaka, ka sadarbības iestāde, veicot avansa un starpposma maksājumus, ievēro nosacījumu, ka to kopsumma nedrīkst pārsniegt 90 </w:t>
            </w:r>
            <w:r w:rsidR="000E2305">
              <w:t>procentus</w:t>
            </w:r>
            <w:r w:rsidR="000E2305" w:rsidRPr="001064BC">
              <w:t xml:space="preserve"> </w:t>
            </w:r>
            <w:r w:rsidR="00667D1D" w:rsidRPr="001064BC">
              <w:t xml:space="preserve">no </w:t>
            </w:r>
            <w:r w:rsidR="009C04A5" w:rsidRPr="00B63050">
              <w:t xml:space="preserve">projekta </w:t>
            </w:r>
            <w:r w:rsidR="009C04A5" w:rsidRPr="000E2305">
              <w:t xml:space="preserve">darbībām piešķirtā ERAF finansējuma </w:t>
            </w:r>
            <w:r w:rsidR="00F5071F" w:rsidRPr="00F5071F">
              <w:t xml:space="preserve">un valsts budžeta līdzfinansējuma kopsummas </w:t>
            </w:r>
            <w:r w:rsidR="009C04A5" w:rsidRPr="000E2305">
              <w:rPr>
                <w:bCs/>
              </w:rPr>
              <w:t xml:space="preserve">un darbībām, uz kurām attiecas valsts atbalsts, maksimālais avansa apjoms </w:t>
            </w:r>
            <w:r w:rsidR="006C2448">
              <w:rPr>
                <w:bCs/>
              </w:rPr>
              <w:t>ir</w:t>
            </w:r>
            <w:r w:rsidR="006C2448" w:rsidRPr="000E2305">
              <w:rPr>
                <w:bCs/>
              </w:rPr>
              <w:t xml:space="preserve"> </w:t>
            </w:r>
            <w:r w:rsidR="009C04A5" w:rsidRPr="000E2305">
              <w:rPr>
                <w:bCs/>
              </w:rPr>
              <w:t>40 procent</w:t>
            </w:r>
            <w:r w:rsidR="006C2448">
              <w:rPr>
                <w:bCs/>
              </w:rPr>
              <w:t>i</w:t>
            </w:r>
            <w:r w:rsidR="009C04A5" w:rsidRPr="000E2305">
              <w:t>.</w:t>
            </w:r>
            <w:r w:rsidR="00634A55" w:rsidRPr="00672797">
              <w:rPr>
                <w:b/>
                <w:bCs/>
              </w:rPr>
              <w:t xml:space="preserve"> </w:t>
            </w:r>
            <w:r w:rsidR="00634A55" w:rsidRPr="001064BC">
              <w:rPr>
                <w:bCs/>
              </w:rPr>
              <w:t>Avansa apjoms katram projektam ir individuāls. Nosakot projekta avansa apmēru, ir jāņem vērā finansējuma saņēmēja spēja sešu mēnešu laikā pēc avansa maksājuma saņemšanas iesniegt sadarbības iestādē maksājuma pieprasījumu piešķirtā avansa maksājuma apmērā</w:t>
            </w:r>
            <w:r w:rsidR="00634A55" w:rsidRPr="001064BC">
              <w:t>.</w:t>
            </w:r>
            <w:r w:rsidR="006C2448">
              <w:t xml:space="preserve"> </w:t>
            </w:r>
            <w:r w:rsidR="006C2448" w:rsidRPr="006C2448">
              <w:lastRenderedPageBreak/>
              <w:t>Avansu var izmaksāt vairākos maksājumos.</w:t>
            </w:r>
          </w:p>
          <w:p w:rsidR="009E3A59" w:rsidRPr="001064BC" w:rsidRDefault="009E3A59" w:rsidP="000E2305">
            <w:pPr>
              <w:spacing w:before="120"/>
              <w:jc w:val="both"/>
              <w:rPr>
                <w:b/>
                <w:u w:val="single"/>
              </w:rPr>
            </w:pPr>
            <w:r w:rsidRPr="001064BC">
              <w:rPr>
                <w:b/>
                <w:u w:val="single"/>
              </w:rPr>
              <w:t>Izmaksu attiecināmība</w:t>
            </w:r>
          </w:p>
          <w:p w:rsidR="003D1F3E" w:rsidRPr="00B63050" w:rsidRDefault="009E62B9" w:rsidP="000E2305">
            <w:pPr>
              <w:jc w:val="both"/>
              <w:outlineLvl w:val="0"/>
            </w:pPr>
            <w:r w:rsidRPr="00B63050">
              <w:t>N</w:t>
            </w:r>
            <w:r w:rsidR="00887A35" w:rsidRPr="00B63050">
              <w:t>oteikumu projekts nosaka</w:t>
            </w:r>
            <w:r w:rsidRPr="00B63050">
              <w:t xml:space="preserve">, ka ieguldījumus veic tādu degradēto objektu un teritoriju revitalizācijā, kas, izveidojot un pārbūvējot maza mēroga sabiedrisku, kultūras, sporta un infrastruktūras objektus, kvantitatīvā izteiksmē paredzēs lielāko revitalizācijas efektu un lielākos privātos līdzieguldījumus, kā arī nodrošinās pievienoto vērtību nacionālā līmenī atbilstoši nacionālajos plānošanas dokumentos kultūras, sporta, tūrisma vai citās nozarēs noteiktajiem mērķiem un uzdevumiem. </w:t>
            </w:r>
          </w:p>
          <w:p w:rsidR="00D53F7D" w:rsidRPr="00B63050" w:rsidRDefault="003D1F3E" w:rsidP="000E2305">
            <w:pPr>
              <w:spacing w:before="120"/>
              <w:jc w:val="both"/>
              <w:outlineLvl w:val="0"/>
            </w:pPr>
            <w:r w:rsidRPr="00B63050">
              <w:t xml:space="preserve">5.6.1.SAM ietvaros ir </w:t>
            </w:r>
            <w:r w:rsidR="009E62B9" w:rsidRPr="00B63050">
              <w:t>atbalstāmās darbības, kas sekmē noteikumu</w:t>
            </w:r>
            <w:r w:rsidRPr="00B63050">
              <w:t xml:space="preserve"> projekta</w:t>
            </w:r>
            <w:r w:rsidR="009E62B9" w:rsidRPr="00B63050">
              <w:t xml:space="preserve"> II nodaļā </w:t>
            </w:r>
            <w:r w:rsidR="000E2305">
              <w:t xml:space="preserve">„Specifiskais atbalsta mērķis” </w:t>
            </w:r>
            <w:r w:rsidR="009E62B9" w:rsidRPr="00B63050">
              <w:t xml:space="preserve">minētā specifiskā atbalsta mērķa un </w:t>
            </w:r>
            <w:r w:rsidR="000E2305">
              <w:t xml:space="preserve">noteikumu projekta </w:t>
            </w:r>
            <w:r w:rsidR="009E62B9" w:rsidRPr="00B63050">
              <w:t>9.punktā noteikto rādītāju sasniegšanu:</w:t>
            </w:r>
          </w:p>
          <w:p w:rsidR="00D53F7D" w:rsidRPr="000E2305" w:rsidRDefault="00416DC7" w:rsidP="000E2305">
            <w:pPr>
              <w:pStyle w:val="Sarakstarindkopa"/>
              <w:numPr>
                <w:ilvl w:val="0"/>
                <w:numId w:val="32"/>
              </w:numPr>
              <w:ind w:left="255" w:hanging="255"/>
              <w:jc w:val="both"/>
              <w:outlineLvl w:val="0"/>
              <w:rPr>
                <w:sz w:val="24"/>
                <w:szCs w:val="24"/>
              </w:rPr>
            </w:pPr>
            <w:r w:rsidRPr="000E2305">
              <w:rPr>
                <w:sz w:val="24"/>
                <w:szCs w:val="24"/>
              </w:rPr>
              <w:t>atbalsta teritorijas revitalizācijas mērķim paredzēto ēku, būvju un to infrastruktūras attīstīšana;</w:t>
            </w:r>
          </w:p>
          <w:p w:rsidR="00D53F7D" w:rsidRPr="000E2305" w:rsidRDefault="00416DC7" w:rsidP="000E2305">
            <w:pPr>
              <w:pStyle w:val="Sarakstarindkopa"/>
              <w:numPr>
                <w:ilvl w:val="0"/>
                <w:numId w:val="32"/>
              </w:numPr>
              <w:spacing w:before="120"/>
              <w:ind w:left="255" w:hanging="255"/>
              <w:jc w:val="both"/>
              <w:outlineLvl w:val="0"/>
              <w:rPr>
                <w:sz w:val="24"/>
                <w:szCs w:val="24"/>
              </w:rPr>
            </w:pPr>
            <w:r w:rsidRPr="000E2305">
              <w:rPr>
                <w:sz w:val="24"/>
                <w:szCs w:val="24"/>
              </w:rPr>
              <w:t>revitalizējamās teritorijas labiekārtošana;</w:t>
            </w:r>
          </w:p>
          <w:p w:rsidR="00D53F7D" w:rsidRPr="000E2305" w:rsidRDefault="00416DC7" w:rsidP="000E2305">
            <w:pPr>
              <w:pStyle w:val="Sarakstarindkopa"/>
              <w:numPr>
                <w:ilvl w:val="0"/>
                <w:numId w:val="32"/>
              </w:numPr>
              <w:spacing w:before="120"/>
              <w:ind w:left="255" w:hanging="255"/>
              <w:jc w:val="both"/>
              <w:outlineLvl w:val="0"/>
              <w:rPr>
                <w:sz w:val="24"/>
                <w:szCs w:val="24"/>
              </w:rPr>
            </w:pPr>
            <w:r w:rsidRPr="000E2305">
              <w:rPr>
                <w:sz w:val="24"/>
                <w:szCs w:val="24"/>
              </w:rPr>
              <w:t>ielu un ar to saistītās infrastruktūras izbūve vai pārbūve revitalizējamajā teritorijā vai funkcionāls savienojums, ja šāds risinājums ir pamatots revitalizējamās teritorijas attīstības stratēģijā</w:t>
            </w:r>
            <w:r w:rsidR="00593067" w:rsidRPr="000E2305">
              <w:rPr>
                <w:sz w:val="24"/>
                <w:szCs w:val="24"/>
              </w:rPr>
              <w:t>;</w:t>
            </w:r>
          </w:p>
          <w:p w:rsidR="00D53F7D" w:rsidRPr="000E2305" w:rsidRDefault="00416DC7" w:rsidP="000E2305">
            <w:pPr>
              <w:pStyle w:val="Sarakstarindkopa"/>
              <w:numPr>
                <w:ilvl w:val="0"/>
                <w:numId w:val="32"/>
              </w:numPr>
              <w:spacing w:before="120"/>
              <w:ind w:left="255" w:hanging="255"/>
              <w:jc w:val="both"/>
              <w:outlineLvl w:val="0"/>
              <w:rPr>
                <w:sz w:val="24"/>
                <w:szCs w:val="24"/>
              </w:rPr>
            </w:pPr>
            <w:r w:rsidRPr="000E2305">
              <w:rPr>
                <w:sz w:val="24"/>
                <w:szCs w:val="24"/>
              </w:rPr>
              <w:t>projekta vadības nodrošināšana;</w:t>
            </w:r>
          </w:p>
          <w:p w:rsidR="00D53F7D" w:rsidRPr="000E2305" w:rsidRDefault="00416DC7" w:rsidP="000E2305">
            <w:pPr>
              <w:pStyle w:val="Sarakstarindkopa"/>
              <w:numPr>
                <w:ilvl w:val="0"/>
                <w:numId w:val="32"/>
              </w:numPr>
              <w:spacing w:before="120"/>
              <w:ind w:left="255" w:hanging="255"/>
              <w:jc w:val="both"/>
              <w:outlineLvl w:val="0"/>
              <w:rPr>
                <w:sz w:val="24"/>
                <w:szCs w:val="24"/>
              </w:rPr>
            </w:pPr>
            <w:r w:rsidRPr="000E2305">
              <w:rPr>
                <w:sz w:val="24"/>
                <w:szCs w:val="24"/>
              </w:rPr>
              <w:t>publicitātes pasākumi par projekta īstenošanu.</w:t>
            </w:r>
          </w:p>
          <w:p w:rsidR="00740EE9" w:rsidRPr="00B63050" w:rsidRDefault="003D1F3E" w:rsidP="000E2305">
            <w:pPr>
              <w:spacing w:before="120"/>
              <w:jc w:val="both"/>
              <w:outlineLvl w:val="0"/>
            </w:pPr>
            <w:r w:rsidRPr="00B63050">
              <w:t>5.6.1.SAM ietvaros finansē tikai tādas attiecināmās izmaksas, kuras tieši saistītas ar projekta ietvaros veiktajām darbībām, ir izmērāmas, samērīgas, pamatotas un atbilst pareizas finanšu vadības principiem. Atbalstāma ir vides prasību integrācija preču</w:t>
            </w:r>
            <w:r w:rsidR="00CF6F94">
              <w:t xml:space="preserve">, </w:t>
            </w:r>
            <w:r w:rsidRPr="00B63050">
              <w:t>pakalpojumu</w:t>
            </w:r>
            <w:r w:rsidR="00CF6F94">
              <w:t xml:space="preserve"> un būvdarbu</w:t>
            </w:r>
            <w:r w:rsidRPr="00B63050">
              <w:t xml:space="preserve"> iepirkumos (</w:t>
            </w:r>
            <w:r w:rsidR="000E2305">
              <w:t>„</w:t>
            </w:r>
            <w:r w:rsidRPr="00B63050">
              <w:t xml:space="preserve">zaļais publiskais iepirkums”). </w:t>
            </w:r>
          </w:p>
          <w:p w:rsidR="004B3F98" w:rsidRPr="00B63050" w:rsidRDefault="00EC3A85" w:rsidP="000E2305">
            <w:pPr>
              <w:spacing w:before="120"/>
              <w:jc w:val="both"/>
              <w:outlineLvl w:val="0"/>
              <w:rPr>
                <w:bCs/>
              </w:rPr>
            </w:pPr>
            <w:r w:rsidRPr="00B63050">
              <w:rPr>
                <w:bCs/>
                <w:lang w:eastAsia="en-US"/>
              </w:rPr>
              <w:t>Degradēto teritoriju</w:t>
            </w:r>
            <w:r w:rsidR="001A4087" w:rsidRPr="00B63050">
              <w:rPr>
                <w:bCs/>
                <w:lang w:eastAsia="en-US"/>
              </w:rPr>
              <w:t xml:space="preserve"> vai objektu</w:t>
            </w:r>
            <w:r w:rsidRPr="00B63050">
              <w:rPr>
                <w:bCs/>
                <w:lang w:eastAsia="en-US"/>
              </w:rPr>
              <w:t xml:space="preserve"> nosaka</w:t>
            </w:r>
            <w:r w:rsidR="003D3D4B">
              <w:rPr>
                <w:bCs/>
                <w:lang w:eastAsia="en-US"/>
              </w:rPr>
              <w:t xml:space="preserve"> </w:t>
            </w:r>
            <w:r w:rsidR="003D1F3E" w:rsidRPr="00B63050">
              <w:t>att</w:t>
            </w:r>
            <w:r w:rsidR="003D1F3E" w:rsidRPr="00B63050">
              <w:rPr>
                <w:rFonts w:hint="eastAsia"/>
              </w:rPr>
              <w:t>ī</w:t>
            </w:r>
            <w:r w:rsidR="003D1F3E" w:rsidRPr="00B63050">
              <w:t>st</w:t>
            </w:r>
            <w:r w:rsidR="003D1F3E" w:rsidRPr="00B63050">
              <w:rPr>
                <w:rFonts w:hint="eastAsia"/>
              </w:rPr>
              <w:t>ī</w:t>
            </w:r>
            <w:r w:rsidR="003D1F3E" w:rsidRPr="00B63050">
              <w:t xml:space="preserve">bas </w:t>
            </w:r>
            <w:r w:rsidR="000E2305" w:rsidRPr="00B63050">
              <w:t>programmas</w:t>
            </w:r>
            <w:r w:rsidR="000E2305">
              <w:t xml:space="preserve"> </w:t>
            </w:r>
            <w:r w:rsidR="003D1F3E" w:rsidRPr="00B63050">
              <w:t>Invest</w:t>
            </w:r>
            <w:r w:rsidR="003D1F3E" w:rsidRPr="00B63050">
              <w:rPr>
                <w:rFonts w:hint="eastAsia"/>
              </w:rPr>
              <w:t>ī</w:t>
            </w:r>
            <w:r w:rsidR="003D1F3E" w:rsidRPr="00B63050">
              <w:t>ciju pl</w:t>
            </w:r>
            <w:r w:rsidR="003D1F3E" w:rsidRPr="00B63050">
              <w:rPr>
                <w:rFonts w:hint="eastAsia"/>
              </w:rPr>
              <w:t>ā</w:t>
            </w:r>
            <w:r w:rsidR="003D1F3E" w:rsidRPr="00B63050">
              <w:t>n</w:t>
            </w:r>
            <w:r w:rsidR="00FB157A" w:rsidRPr="00B63050">
              <w:t>ā</w:t>
            </w:r>
            <w:r w:rsidR="000E2305">
              <w:t xml:space="preserve"> un</w:t>
            </w:r>
            <w:r w:rsidR="003D3D4B">
              <w:t xml:space="preserve"> atbildīgā iestāde</w:t>
            </w:r>
            <w:r w:rsidR="00593067" w:rsidRPr="00B63050">
              <w:t xml:space="preserve"> </w:t>
            </w:r>
            <w:r w:rsidR="000874CF" w:rsidRPr="00B63050">
              <w:t>veic</w:t>
            </w:r>
            <w:r w:rsidR="003D1F3E" w:rsidRPr="00B63050">
              <w:t xml:space="preserve"> degradēto objektu un teritoriju atlasi</w:t>
            </w:r>
            <w:r w:rsidRPr="00B63050">
              <w:rPr>
                <w:bCs/>
                <w:lang w:eastAsia="en-US"/>
              </w:rPr>
              <w:t xml:space="preserve">, izvērtējot teritorijas </w:t>
            </w:r>
            <w:r w:rsidR="001A4087" w:rsidRPr="00B63050">
              <w:rPr>
                <w:bCs/>
                <w:lang w:eastAsia="en-US"/>
              </w:rPr>
              <w:t xml:space="preserve">vai objekta </w:t>
            </w:r>
            <w:r w:rsidRPr="00B63050">
              <w:rPr>
                <w:bCs/>
                <w:lang w:eastAsia="en-US"/>
              </w:rPr>
              <w:t>atbilstību degradētās</w:t>
            </w:r>
            <w:r w:rsidRPr="001064BC">
              <w:rPr>
                <w:bCs/>
                <w:lang w:eastAsia="en-US"/>
              </w:rPr>
              <w:t xml:space="preserve"> teritorijas pazīmēm, kas noteiktas Partnerības līguma 355.rindkopā</w:t>
            </w:r>
            <w:r w:rsidRPr="001064BC">
              <w:rPr>
                <w:rStyle w:val="Vresatsauce"/>
                <w:bCs/>
                <w:lang w:eastAsia="en-US"/>
              </w:rPr>
              <w:footnoteReference w:id="1"/>
            </w:r>
            <w:r w:rsidR="000874CF" w:rsidRPr="001064BC">
              <w:rPr>
                <w:bCs/>
                <w:lang w:eastAsia="en-US"/>
              </w:rPr>
              <w:t xml:space="preserve"> un n</w:t>
            </w:r>
            <w:r w:rsidR="003D3D4B">
              <w:rPr>
                <w:bCs/>
                <w:lang w:eastAsia="en-US"/>
              </w:rPr>
              <w:t>oteikumu projektā</w:t>
            </w:r>
            <w:r w:rsidR="000874CF" w:rsidRPr="001064BC">
              <w:rPr>
                <w:bCs/>
                <w:lang w:eastAsia="en-US"/>
              </w:rPr>
              <w:t xml:space="preserve"> noteiktaj</w:t>
            </w:r>
            <w:r w:rsidR="00CF7A5D">
              <w:rPr>
                <w:bCs/>
                <w:lang w:eastAsia="en-US"/>
              </w:rPr>
              <w:t>ie</w:t>
            </w:r>
            <w:r w:rsidR="000874CF" w:rsidRPr="001064BC">
              <w:rPr>
                <w:bCs/>
                <w:lang w:eastAsia="en-US"/>
              </w:rPr>
              <w:t>m</w:t>
            </w:r>
            <w:r w:rsidR="000874CF" w:rsidRPr="001064BC">
              <w:rPr>
                <w:rFonts w:eastAsiaTheme="majorEastAsia"/>
                <w:bCs/>
              </w:rPr>
              <w:t xml:space="preserve"> </w:t>
            </w:r>
            <w:r w:rsidR="00CF7A5D">
              <w:rPr>
                <w:rFonts w:eastAsiaTheme="majorEastAsia"/>
                <w:bCs/>
              </w:rPr>
              <w:t xml:space="preserve">parametriem </w:t>
            </w:r>
            <w:r w:rsidR="000874CF" w:rsidRPr="001064BC">
              <w:rPr>
                <w:rFonts w:eastAsiaTheme="majorEastAsia"/>
                <w:bCs/>
              </w:rPr>
              <w:t>teritorijas revitalizācijas potenciāla noteikšanā.</w:t>
            </w:r>
            <w:r w:rsidR="003D1F3E">
              <w:rPr>
                <w:b/>
              </w:rPr>
              <w:t xml:space="preserve"> </w:t>
            </w:r>
            <w:r w:rsidR="00F81A37" w:rsidRPr="000E2305">
              <w:t>Katrai revitalizējamai teritorijai projekta iesniedzējs izstrādā un apstiprina revitalizējamās teritorijas attīstības stratēģiju, kuru atbildīgā iestāde iesniedz Ministru kabinetā.</w:t>
            </w:r>
            <w:r w:rsidR="003D1F3E">
              <w:rPr>
                <w:b/>
              </w:rPr>
              <w:t xml:space="preserve"> </w:t>
            </w:r>
            <w:r w:rsidR="003D1F3E" w:rsidRPr="00B63050">
              <w:t>Par katru atbalsta teritoriju saskaņā ar revitalizējamās teritorijas attīstības stratēģiju tiek sagatavots un iesniegts viens projekta iesniegums.</w:t>
            </w:r>
          </w:p>
          <w:p w:rsidR="001A4087" w:rsidRPr="00B63050" w:rsidRDefault="00DF1F18" w:rsidP="000E2305">
            <w:pPr>
              <w:spacing w:before="120"/>
              <w:jc w:val="both"/>
            </w:pPr>
            <w:r w:rsidRPr="00B63050">
              <w:lastRenderedPageBreak/>
              <w:t xml:space="preserve">Rīgas pilsētā ir identificētas vairākas potenciālās atbalstāmās </w:t>
            </w:r>
            <w:r w:rsidR="003D1F3E" w:rsidRPr="00B63050">
              <w:t xml:space="preserve">revitalizējamās </w:t>
            </w:r>
            <w:r w:rsidRPr="00B63050">
              <w:t>teritorijas, kurās ir plānotas un jau veiktas ievērojamas investīcijas</w:t>
            </w:r>
            <w:r w:rsidR="00F70181">
              <w:t>.</w:t>
            </w:r>
            <w:r w:rsidRPr="00B63050">
              <w:t xml:space="preserve"> </w:t>
            </w:r>
            <w:r w:rsidR="00F70181">
              <w:t>S</w:t>
            </w:r>
            <w:r w:rsidRPr="00B63050">
              <w:t xml:space="preserve">abiedriskas infrastruktūras izveide ar kultūras vai sporta funkciju šajās teritorijās ne tikai papildinās jau veiktās un plānotās investīcijas, bet galvenokārt nodrošinās apmeklējuma pieauguma kritisko apjomu un teritorijā sniegto publisko pakalpojumu attīstību un pieejamību, kas nepieciešams, lai panāktu būtiskas izmaiņas attiecīgo teritoriju izmantošanā. </w:t>
            </w:r>
          </w:p>
          <w:p w:rsidR="00DF1F18" w:rsidRPr="00B63050" w:rsidRDefault="001A4087" w:rsidP="000E2305">
            <w:pPr>
              <w:spacing w:before="120"/>
              <w:jc w:val="both"/>
            </w:pPr>
            <w:r w:rsidRPr="00B63050">
              <w:t>Veicot degradēto teritoriju</w:t>
            </w:r>
            <w:r w:rsidR="00523014" w:rsidRPr="00B63050">
              <w:t xml:space="preserve"> un objektu</w:t>
            </w:r>
            <w:r w:rsidRPr="00B63050">
              <w:t xml:space="preserve"> revitalizāciju, pamatnosacījums ir </w:t>
            </w:r>
            <w:r w:rsidR="00523014" w:rsidRPr="00B63050">
              <w:t xml:space="preserve">novērst šo teritoriju un objektu turpmāko degradāciju, </w:t>
            </w:r>
            <w:r w:rsidR="007D2BBA">
              <w:t>pārbūvējot</w:t>
            </w:r>
            <w:r w:rsidR="00523014" w:rsidRPr="00B63050">
              <w:t xml:space="preserve"> un izveidojot maza mēroga sabiedriskus objektus (piemēram, integrētus kultūras, darījumu tūrisma un sporta objektus), </w:t>
            </w:r>
            <w:r w:rsidR="00F70181" w:rsidRPr="00B63050">
              <w:t>t</w:t>
            </w:r>
            <w:r w:rsidR="00F70181">
              <w:t>ajā</w:t>
            </w:r>
            <w:r w:rsidR="00F70181" w:rsidRPr="00B63050">
              <w:t xml:space="preserve"> </w:t>
            </w:r>
            <w:r w:rsidR="00523014" w:rsidRPr="00B63050">
              <w:t>skaitā labiekārtojot</w:t>
            </w:r>
            <w:r w:rsidRPr="00B63050">
              <w:t xml:space="preserve"> teritoriju</w:t>
            </w:r>
            <w:r w:rsidR="00523014" w:rsidRPr="00B63050">
              <w:t>,</w:t>
            </w:r>
            <w:r w:rsidRPr="00B63050">
              <w:t xml:space="preserve"> </w:t>
            </w:r>
            <w:r w:rsidR="00523014" w:rsidRPr="00B63050">
              <w:t xml:space="preserve">un </w:t>
            </w:r>
            <w:r w:rsidRPr="00B63050">
              <w:t>veicināt sociāl</w:t>
            </w:r>
            <w:r w:rsidR="00523014" w:rsidRPr="00B63050">
              <w:t>ekonomiskās situācijas uzlabošanos un papildināt citu, it īpaši privāto</w:t>
            </w:r>
            <w:r w:rsidRPr="00B63050">
              <w:t>,</w:t>
            </w:r>
            <w:r w:rsidR="00523014" w:rsidRPr="00B63050">
              <w:t xml:space="preserve"> investīciju piesaistīšanu</w:t>
            </w:r>
            <w:r w:rsidRPr="00B63050">
              <w:t xml:space="preserve">. </w:t>
            </w:r>
            <w:r w:rsidR="00DF1F18" w:rsidRPr="00B63050">
              <w:t>Revitalizācijas pasākumu ietvaros papildus sociālekonomiskās situācijas uzlabošanai</w:t>
            </w:r>
            <w:r w:rsidR="00523014" w:rsidRPr="00B63050">
              <w:t xml:space="preserve">, </w:t>
            </w:r>
            <w:r w:rsidR="00DF1F18" w:rsidRPr="00B63050">
              <w:t>uzlabo</w:t>
            </w:r>
            <w:r w:rsidR="00F70181">
              <w:t>s</w:t>
            </w:r>
            <w:r w:rsidR="00DF1F18" w:rsidRPr="00B63050">
              <w:t xml:space="preserve"> attiecīgās teritorijas vides </w:t>
            </w:r>
            <w:r w:rsidR="00F70181" w:rsidRPr="00B63050">
              <w:t>kvalitāt</w:t>
            </w:r>
            <w:r w:rsidR="00F70181">
              <w:t>i</w:t>
            </w:r>
            <w:r w:rsidR="00DF1F18" w:rsidRPr="00B63050">
              <w:t xml:space="preserve">, kas ir būtiski, lai mazinātu depopulācijas tendences. </w:t>
            </w:r>
          </w:p>
          <w:p w:rsidR="00122CD7" w:rsidRPr="00B63050" w:rsidRDefault="003D1F3E" w:rsidP="000E2305">
            <w:pPr>
              <w:spacing w:before="120"/>
              <w:jc w:val="both"/>
            </w:pPr>
            <w:r w:rsidRPr="00B63050">
              <w:t>N</w:t>
            </w:r>
            <w:r w:rsidR="00683E2E" w:rsidRPr="00B63050">
              <w:t xml:space="preserve">oteikumu projektā paredzētas </w:t>
            </w:r>
            <w:r w:rsidRPr="00B63050">
              <w:t xml:space="preserve">netiešās un tiešās </w:t>
            </w:r>
            <w:r w:rsidR="00683E2E" w:rsidRPr="00B63050">
              <w:t xml:space="preserve">attiecināmās un neattiecināmās izmaksas, kas nepieciešamas projektā plānoto darbību īstenošanai. </w:t>
            </w:r>
            <w:r w:rsidR="00F70181">
              <w:t>Tiešās a</w:t>
            </w:r>
            <w:r w:rsidR="00586FBF" w:rsidRPr="00B63050">
              <w:t>ttiecināmajās izmaksās ir iekļaujamas projekta vadības</w:t>
            </w:r>
            <w:r w:rsidR="0025490F" w:rsidRPr="00B63050">
              <w:t>, projekta personāla</w:t>
            </w:r>
            <w:r w:rsidR="00586FBF" w:rsidRPr="00B63050">
              <w:t xml:space="preserve"> </w:t>
            </w:r>
            <w:r w:rsidR="0025490F" w:rsidRPr="00B63050">
              <w:t>un ekspertu, kas tieši saistīti ar projektu īstenošanu un mērķa sasniegšanu izmaksas</w:t>
            </w:r>
            <w:r w:rsidR="00586FBF" w:rsidRPr="00B63050">
              <w:t>; projekta pamatojošās dokumentācijas sagatavošanas izmaksas; jaunas būves būvniecības, esošas būves pārbūves, atjaunošanas vai restaurācijas izmaksas, t</w:t>
            </w:r>
            <w:r w:rsidR="00F70181">
              <w:t>ajā skaitā</w:t>
            </w:r>
            <w:r w:rsidR="00586FBF" w:rsidRPr="00B63050">
              <w:t xml:space="preserve"> inženierkomunikāciju izmaksas; terit</w:t>
            </w:r>
            <w:r w:rsidR="00E113BC" w:rsidRPr="00B63050">
              <w:t>orijas labiekārtošanas izmaksas</w:t>
            </w:r>
            <w:r w:rsidR="00586FBF" w:rsidRPr="00B63050">
              <w:t xml:space="preserve">; </w:t>
            </w:r>
            <w:r w:rsidR="000A363B" w:rsidRPr="00B63050">
              <w:t xml:space="preserve">projekta ietvaros izveidotās infrastruktūras attīstībai nepieciešamo iekārtu un stacionārā aprīkojuma iegāde un uzstādīšana, </w:t>
            </w:r>
            <w:r w:rsidR="00586FBF" w:rsidRPr="00B63050">
              <w:t>autoruzraudzības un būvuzraudzības izmaksas; minimālo publicitātes prasību izmaksas; un izmaksas, kas saistītas ar būves nodošanu ekspluatācijā</w:t>
            </w:r>
            <w:r w:rsidR="0025490F" w:rsidRPr="00B63050">
              <w:t xml:space="preserve"> u.c</w:t>
            </w:r>
            <w:r w:rsidR="00122CD7" w:rsidRPr="00B63050">
              <w:t xml:space="preserve">. </w:t>
            </w:r>
            <w:r w:rsidR="000A363B" w:rsidRPr="00B63050">
              <w:t>Attiecināmi ir arī pievienotās vērtības nodokļa maksājumi</w:t>
            </w:r>
            <w:r w:rsidR="00663820">
              <w:t xml:space="preserve">, </w:t>
            </w:r>
            <w:r w:rsidR="00663820" w:rsidRPr="00663820">
              <w:t>ja tos nevar atgūt normatīvajos aktos par pievienotās vērtības nodokļa atgūšanu noteiktajā kārtībā</w:t>
            </w:r>
            <w:r w:rsidR="000A363B" w:rsidRPr="00B63050">
              <w:t xml:space="preserve"> un neparedzētie izdevumi.</w:t>
            </w:r>
          </w:p>
          <w:p w:rsidR="00683E2E" w:rsidRPr="00B63050" w:rsidRDefault="00683E2E" w:rsidP="000E2305">
            <w:pPr>
              <w:spacing w:before="120"/>
              <w:jc w:val="both"/>
            </w:pPr>
            <w:r w:rsidRPr="00B63050">
              <w:t xml:space="preserve">Lai nodrošinātu </w:t>
            </w:r>
            <w:r w:rsidR="000A363B" w:rsidRPr="00B63050">
              <w:t>5.6.1.</w:t>
            </w:r>
            <w:r w:rsidRPr="00B63050">
              <w:t>SAM mērķa un plānoto rādītāju sasniegšanu,</w:t>
            </w:r>
            <w:r w:rsidR="000A363B" w:rsidRPr="00B63050">
              <w:t xml:space="preserve"> </w:t>
            </w:r>
            <w:r w:rsidRPr="00B63050">
              <w:t>noteikumu projektā vairākām izmaksu pozīcijām noteikti procentuālie ierobežojumi no projekta kopējām attiecināmajām izmaksām.</w:t>
            </w:r>
          </w:p>
          <w:p w:rsidR="000A363B" w:rsidRPr="00B63050" w:rsidRDefault="00586FBF" w:rsidP="000E2305">
            <w:pPr>
              <w:spacing w:before="120"/>
              <w:jc w:val="both"/>
              <w:rPr>
                <w:rStyle w:val="cspklasifikatorscodename"/>
              </w:rPr>
            </w:pPr>
            <w:r w:rsidRPr="00B63050">
              <w:t xml:space="preserve">Neattiecināmajās izmaksās iekļaujamas tās izmaksas, kas pārsniedz attiecināmo izmaksu apjomu, izmaksas, kas nav noteiktas kā attiecināmās izmaksas, bet ir tieši saistītas ar projektu un ir nepieciešamas projekta mērķa sasniegšanai. </w:t>
            </w:r>
            <w:r w:rsidR="000A363B" w:rsidRPr="00B63050">
              <w:t>N</w:t>
            </w:r>
            <w:r w:rsidRPr="00B63050">
              <w:t xml:space="preserve">oteikumu projekts neparedz ierobežojumu neattiecināmo izmaksu apjomam, tomēr, paredzot neattiecināmās izmaksas projektā, projekta iesniedzējam ir jāņem vērā, ka šādas </w:t>
            </w:r>
            <w:r w:rsidRPr="00B63050">
              <w:lastRenderedPageBreak/>
              <w:t xml:space="preserve">izmaksas projekta iesniedzējs sedz pilnībā no saviem </w:t>
            </w:r>
            <w:r w:rsidR="00985C81" w:rsidRPr="00B63050">
              <w:t>līdzekļiem. Noteikumu</w:t>
            </w:r>
            <w:r w:rsidR="005F5380" w:rsidRPr="00B63050">
              <w:t xml:space="preserve"> projekts paredz, ka projekta izmaksas ir attiecināmas no noteikumu</w:t>
            </w:r>
            <w:r w:rsidR="00F70181">
              <w:t xml:space="preserve"> projekta</w:t>
            </w:r>
            <w:r w:rsidR="005F5380" w:rsidRPr="00B63050">
              <w:t xml:space="preserve"> spēkā stāšanās dienas, izņemot projekta pamatojošās dokumentācijas sagatavošanas izmaksas un pievienotās vērtības nodokļa maksājumu izmaksas, kas ir attiecināmas, ja tās veiktas </w:t>
            </w:r>
            <w:r w:rsidR="00CF6F94">
              <w:t>no</w:t>
            </w:r>
            <w:r w:rsidR="00CF6F94" w:rsidRPr="00B63050">
              <w:t xml:space="preserve"> </w:t>
            </w:r>
            <w:r w:rsidR="005F5380" w:rsidRPr="00B63050">
              <w:t>2014.gada 1.janvāra. Valsts atbalsta komercdarbībai gadījumā izmaksas ir attiecināmas no projekta iesnieguma iesniegšanas brīža.</w:t>
            </w:r>
            <w:r w:rsidR="000A363B" w:rsidRPr="00B63050">
              <w:t xml:space="preserve"> </w:t>
            </w:r>
            <w:r w:rsidR="00FC05F8" w:rsidRPr="00B63050">
              <w:t>Vienlaikus paredzot, ka noteikumu projekta 9.2</w:t>
            </w:r>
            <w:r w:rsidR="00B251E7" w:rsidRPr="00B63050">
              <w:t xml:space="preserve">.apakšpunktā minēto rādītāju vērtības ir attiecināmas, </w:t>
            </w:r>
            <w:r w:rsidR="00B54803" w:rsidRPr="00B63050">
              <w:t xml:space="preserve">ja tās </w:t>
            </w:r>
            <w:r w:rsidR="00FC05F8" w:rsidRPr="00B63050">
              <w:rPr>
                <w:rStyle w:val="cspklasifikatorscodename"/>
              </w:rPr>
              <w:t xml:space="preserve">radušās no </w:t>
            </w:r>
            <w:r w:rsidR="00FC05F8" w:rsidRPr="00B63050">
              <w:t xml:space="preserve">revitalizējamās teritorijas attīstības </w:t>
            </w:r>
            <w:r w:rsidR="00FC05F8" w:rsidRPr="00B63050">
              <w:rPr>
                <w:rStyle w:val="cspklasifikatorscodename"/>
              </w:rPr>
              <w:t>stratēģijas</w:t>
            </w:r>
            <w:r w:rsidR="00FC05F8" w:rsidRPr="00B63050">
              <w:rPr>
                <w:rStyle w:val="cspklasifikatorscodename"/>
                <w:b/>
              </w:rPr>
              <w:t xml:space="preserve"> </w:t>
            </w:r>
            <w:r w:rsidR="00BE7ED4" w:rsidRPr="00F70181">
              <w:rPr>
                <w:rStyle w:val="cspklasifikatorscodename"/>
              </w:rPr>
              <w:t>izsk</w:t>
            </w:r>
            <w:r w:rsidR="009C04A5" w:rsidRPr="00F70181">
              <w:rPr>
                <w:rStyle w:val="cspklasifikatorscodename"/>
              </w:rPr>
              <w:t>atīšanas</w:t>
            </w:r>
            <w:r w:rsidR="00BE7ED4" w:rsidRPr="00F70181">
              <w:rPr>
                <w:rStyle w:val="cspklasifikatorscodename"/>
              </w:rPr>
              <w:t xml:space="preserve"> Ministru kabinetā</w:t>
            </w:r>
            <w:r w:rsidR="00C575AD" w:rsidRPr="00A07F22">
              <w:rPr>
                <w:rStyle w:val="cspklasifikatorscodename"/>
                <w:b/>
              </w:rPr>
              <w:t xml:space="preserve"> </w:t>
            </w:r>
            <w:r w:rsidR="00B251E7" w:rsidRPr="00B63050">
              <w:rPr>
                <w:rStyle w:val="cspklasifikatorscodename"/>
              </w:rPr>
              <w:t>un ne vēlāk kā 36 mēnešu laikā pēc projekta pabeigšanas, bet ne vēlāk kā līdz 2023.gada 31.decembrim.</w:t>
            </w:r>
            <w:r w:rsidR="000A363B" w:rsidRPr="00B63050">
              <w:t xml:space="preserve"> Šāds nosacījums ir nepieciešams, lai nodrošinātu sekmīgu 5.6.1.SAM finansējuma apguvi finansējuma saņēmējiem </w:t>
            </w:r>
            <w:r w:rsidR="00985C81" w:rsidRPr="00B63050">
              <w:t>nodrošināt</w:t>
            </w:r>
            <w:r w:rsidR="000A363B" w:rsidRPr="00B63050">
              <w:t xml:space="preserve"> augstas gatavības </w:t>
            </w:r>
            <w:r w:rsidR="00985C81" w:rsidRPr="00B63050">
              <w:t xml:space="preserve">projektus, piemēram, </w:t>
            </w:r>
            <w:r w:rsidR="000A363B" w:rsidRPr="00B63050">
              <w:t xml:space="preserve">būvniecības projektiem, </w:t>
            </w:r>
            <w:r w:rsidR="00985C81" w:rsidRPr="00B63050">
              <w:t>tas dotu iespēju</w:t>
            </w:r>
            <w:r w:rsidR="000A363B" w:rsidRPr="00B63050">
              <w:t xml:space="preserve"> ātrāk sākt būvprojekta projektēšanu, iepirkumu veikšanu un attiecīgo līgumu slēgšanu pirms projekta iesnieguma iesniegšanas.</w:t>
            </w:r>
            <w:r w:rsidR="000A363B" w:rsidRPr="00B63050">
              <w:rPr>
                <w:sz w:val="22"/>
                <w:szCs w:val="22"/>
              </w:rPr>
              <w:t xml:space="preserve"> </w:t>
            </w:r>
          </w:p>
          <w:p w:rsidR="00985C81" w:rsidRPr="00B63050" w:rsidRDefault="00985C81" w:rsidP="00985C81">
            <w:pPr>
              <w:spacing w:before="120"/>
              <w:jc w:val="both"/>
              <w:outlineLvl w:val="0"/>
            </w:pPr>
            <w:r w:rsidRPr="00B63050">
              <w:t>Noteikumu projekts paredz, ka ieguldījumus infrastruktūrā var veikt:</w:t>
            </w:r>
          </w:p>
          <w:p w:rsidR="00D53F7D" w:rsidRPr="00B63050" w:rsidRDefault="00FC05F8" w:rsidP="00D95BEF">
            <w:pPr>
              <w:pStyle w:val="Sarakstarindkopa"/>
              <w:numPr>
                <w:ilvl w:val="1"/>
                <w:numId w:val="39"/>
              </w:numPr>
              <w:ind w:left="397" w:hanging="254"/>
              <w:jc w:val="both"/>
              <w:outlineLvl w:val="0"/>
              <w:rPr>
                <w:sz w:val="24"/>
                <w:szCs w:val="24"/>
              </w:rPr>
            </w:pPr>
            <w:r w:rsidRPr="00B63050">
              <w:rPr>
                <w:sz w:val="24"/>
                <w:szCs w:val="24"/>
              </w:rPr>
              <w:t>projekta iesniedzēja īpašumā;</w:t>
            </w:r>
          </w:p>
          <w:p w:rsidR="00D53F7D" w:rsidRPr="00B63050" w:rsidRDefault="00FC05F8" w:rsidP="00D95BEF">
            <w:pPr>
              <w:pStyle w:val="Sarakstarindkopa"/>
              <w:numPr>
                <w:ilvl w:val="1"/>
                <w:numId w:val="39"/>
              </w:numPr>
              <w:spacing w:before="120"/>
              <w:ind w:left="397" w:hanging="254"/>
              <w:jc w:val="both"/>
              <w:outlineLvl w:val="0"/>
              <w:rPr>
                <w:sz w:val="24"/>
                <w:szCs w:val="24"/>
              </w:rPr>
            </w:pPr>
            <w:r w:rsidRPr="00B63050">
              <w:rPr>
                <w:sz w:val="24"/>
                <w:szCs w:val="24"/>
              </w:rPr>
              <w:t>sadarbības partnera īpašumā, ja sadarbības partneris ir</w:t>
            </w:r>
            <w:r w:rsidR="00B54803" w:rsidRPr="00B63050">
              <w:rPr>
                <w:sz w:val="24"/>
                <w:szCs w:val="24"/>
              </w:rPr>
              <w:t xml:space="preserve"> </w:t>
            </w:r>
            <w:r w:rsidRPr="00B63050">
              <w:rPr>
                <w:sz w:val="24"/>
                <w:szCs w:val="24"/>
              </w:rPr>
              <w:t>pašvaldība, vai tās izveidota iestāde;</w:t>
            </w:r>
          </w:p>
          <w:p w:rsidR="00D53F7D" w:rsidRPr="00B63050" w:rsidRDefault="00FC05F8" w:rsidP="00D95BEF">
            <w:pPr>
              <w:pStyle w:val="Sarakstarindkopa"/>
              <w:numPr>
                <w:ilvl w:val="1"/>
                <w:numId w:val="39"/>
              </w:numPr>
              <w:spacing w:before="120"/>
              <w:ind w:left="397" w:hanging="254"/>
              <w:jc w:val="both"/>
              <w:outlineLvl w:val="0"/>
              <w:rPr>
                <w:sz w:val="24"/>
                <w:szCs w:val="24"/>
              </w:rPr>
            </w:pPr>
            <w:r w:rsidRPr="00B63050">
              <w:rPr>
                <w:sz w:val="24"/>
                <w:szCs w:val="24"/>
              </w:rPr>
              <w:t>īpašumā, kura īpašumtiesības ir nostiprinātas uz valsts vārda ministrijas personā, vai uz valsts kapitālsabiedrības vārda un ēku izmanto valsts pārvaldes funkciju veikšanai valsts iestādes vai kapitālsabiedrības gadījumā.</w:t>
            </w:r>
          </w:p>
          <w:p w:rsidR="00985C81" w:rsidRPr="00B63050" w:rsidRDefault="00985C81" w:rsidP="00985C81">
            <w:pPr>
              <w:spacing w:before="120"/>
              <w:jc w:val="both"/>
              <w:outlineLvl w:val="0"/>
            </w:pPr>
            <w:r w:rsidRPr="00B63050">
              <w:t>Finansējuma saņēmējs</w:t>
            </w:r>
            <w:r w:rsidR="001B5C88" w:rsidRPr="00B63050">
              <w:t xml:space="preserve"> un sadarbības par</w:t>
            </w:r>
            <w:r w:rsidR="00570FE0" w:rsidRPr="00B63050">
              <w:t>t</w:t>
            </w:r>
            <w:r w:rsidR="001B5C88" w:rsidRPr="00B63050">
              <w:t>neris</w:t>
            </w:r>
            <w:r w:rsidRPr="00B63050">
              <w:t xml:space="preserve"> nemaina īpašumtiesības attiecībā uz atbalstītajiem infrastruktūras objektiem vismaz piecus gadus pēc noslēguma maksājuma veikšanas finansējuma saņēmējam. </w:t>
            </w:r>
            <w:r w:rsidR="009B7F45" w:rsidRPr="00B63050">
              <w:t>Īpašuma tiesības nostiprina zemesgrāmatā (izņemot gadījumu, ja pašvaldības īpašums uz normatīvā akta, līguma vai pašvaldības lēmuma pamata ir nodots pašvaldības iestādes – projekta iesniedzēja – pārvaldīšanā vai ja īpašuma tiesības uz īpašuma objektu ir spēkā bez to nostiprināšanas zemesgrāmatās, vai īpašumtiesības ir nostiprinātas uz valsts vārda ministrijas personā, vai uz valsts kapitālsabiedrības vārda un ēku izmanto valsts pārvaldes funkciju veikšanai valsts iestādes vai kapitālsabiedrības gadījumā).</w:t>
            </w:r>
          </w:p>
          <w:p w:rsidR="00683E2E" w:rsidRPr="001064BC" w:rsidRDefault="00985C81" w:rsidP="00683E2E">
            <w:pPr>
              <w:spacing w:after="120"/>
              <w:jc w:val="both"/>
            </w:pPr>
            <w:r w:rsidRPr="00B63050">
              <w:t>N</w:t>
            </w:r>
            <w:r w:rsidR="00683E2E" w:rsidRPr="00B63050">
              <w:t>oteikumu projektā noteikts projekta īs</w:t>
            </w:r>
            <w:r w:rsidR="00683E2E" w:rsidRPr="001064BC">
              <w:t>tenošanas maksimālais termiņš – 202</w:t>
            </w:r>
            <w:r>
              <w:t>2</w:t>
            </w:r>
            <w:r w:rsidR="00683E2E" w:rsidRPr="001064BC">
              <w:t>.gada 31.decembris.</w:t>
            </w:r>
          </w:p>
          <w:p w:rsidR="003A683E" w:rsidRPr="001064BC" w:rsidRDefault="003A683E" w:rsidP="006C36E9">
            <w:pPr>
              <w:jc w:val="both"/>
              <w:rPr>
                <w:rFonts w:ascii="EUAlbertina" w:hAnsi="EUAlbertina" w:cs="EUAlbertina"/>
                <w:b/>
                <w:color w:val="000000"/>
                <w:u w:val="single"/>
              </w:rPr>
            </w:pPr>
            <w:r w:rsidRPr="001064BC">
              <w:rPr>
                <w:rFonts w:ascii="EUAlbertina" w:hAnsi="EUAlbertina" w:cs="EUAlbertina"/>
                <w:b/>
                <w:color w:val="000000"/>
                <w:u w:val="single"/>
              </w:rPr>
              <w:t>Valsts atbalsta komer</w:t>
            </w:r>
            <w:r w:rsidR="00683E2E" w:rsidRPr="001064BC">
              <w:rPr>
                <w:rFonts w:ascii="EUAlbertina" w:hAnsi="EUAlbertina" w:cs="EUAlbertina"/>
                <w:b/>
                <w:color w:val="000000"/>
                <w:u w:val="single"/>
              </w:rPr>
              <w:t>cdarbībai saņemšanas nosacījumi</w:t>
            </w:r>
            <w:r w:rsidR="004C6AE0" w:rsidRPr="001064BC">
              <w:rPr>
                <w:rFonts w:ascii="EUAlbertina" w:hAnsi="EUAlbertina" w:cs="EUAlbertina"/>
                <w:b/>
                <w:color w:val="000000"/>
                <w:u w:val="single"/>
              </w:rPr>
              <w:t xml:space="preserve"> un atmaksājamā palīdzība</w:t>
            </w:r>
          </w:p>
          <w:p w:rsidR="00C12A1D" w:rsidRPr="001064BC" w:rsidRDefault="00683E2E" w:rsidP="003A683E">
            <w:pPr>
              <w:spacing w:after="120"/>
              <w:jc w:val="both"/>
              <w:rPr>
                <w:rFonts w:ascii="EUAlbertina" w:hAnsi="EUAlbertina" w:cs="EUAlbertina"/>
                <w:color w:val="000000"/>
              </w:rPr>
            </w:pPr>
            <w:r w:rsidRPr="001064BC">
              <w:rPr>
                <w:rFonts w:ascii="EUAlbertina" w:hAnsi="EUAlbertina" w:cs="EUAlbertina"/>
                <w:color w:val="000000"/>
              </w:rPr>
              <w:t xml:space="preserve">Izstrādājot noteikumu projektu, ir ņemtas vērā ar valsts atbalsta </w:t>
            </w:r>
            <w:r w:rsidR="00ED1EDE" w:rsidRPr="001064BC">
              <w:rPr>
                <w:rFonts w:ascii="EUAlbertina" w:hAnsi="EUAlbertina" w:cs="EUAlbertina"/>
                <w:color w:val="000000"/>
              </w:rPr>
              <w:t xml:space="preserve">komercdarbībai </w:t>
            </w:r>
            <w:r w:rsidRPr="001064BC">
              <w:rPr>
                <w:rFonts w:ascii="EUAlbertina" w:hAnsi="EUAlbertina" w:cs="EUAlbertina"/>
                <w:color w:val="000000"/>
              </w:rPr>
              <w:t xml:space="preserve">saņemšanu saistītās normas. </w:t>
            </w:r>
          </w:p>
          <w:p w:rsidR="00C12A1D" w:rsidRPr="00B63050" w:rsidRDefault="00985C81" w:rsidP="00CD3391">
            <w:pPr>
              <w:spacing w:after="120"/>
              <w:jc w:val="both"/>
            </w:pPr>
            <w:r>
              <w:lastRenderedPageBreak/>
              <w:t>N</w:t>
            </w:r>
            <w:r w:rsidR="00C42BF4" w:rsidRPr="001064BC">
              <w:t>oteikumu projekts</w:t>
            </w:r>
            <w:r w:rsidR="00CD3391" w:rsidRPr="001064BC">
              <w:t xml:space="preserve"> detalizēti </w:t>
            </w:r>
            <w:r w:rsidR="00C42BF4" w:rsidRPr="001064BC">
              <w:t>atrunā gadījumus</w:t>
            </w:r>
            <w:r w:rsidR="00CD3391" w:rsidRPr="001064BC">
              <w:t>, kad izmaksas tiek klasificētas kā</w:t>
            </w:r>
            <w:r w:rsidR="00C42BF4" w:rsidRPr="001064BC">
              <w:t xml:space="preserve"> valsts atbalsts komercdarbībai, sniedzot atsauces uz </w:t>
            </w:r>
            <w:r w:rsidR="003D3D4B">
              <w:rPr>
                <w:bCs/>
                <w:color w:val="000000"/>
              </w:rPr>
              <w:t>Komisijas regulu</w:t>
            </w:r>
            <w:r w:rsidR="00AC5541" w:rsidRPr="001064BC">
              <w:rPr>
                <w:bCs/>
                <w:color w:val="000000"/>
              </w:rPr>
              <w:t xml:space="preserve"> </w:t>
            </w:r>
            <w:r w:rsidR="00AC5541" w:rsidRPr="00B63050">
              <w:rPr>
                <w:bCs/>
                <w:color w:val="000000"/>
              </w:rPr>
              <w:t>Nr.</w:t>
            </w:r>
            <w:r w:rsidR="00AC5541" w:rsidRPr="00B63050">
              <w:rPr>
                <w:bCs/>
              </w:rPr>
              <w:t>651/2014</w:t>
            </w:r>
            <w:r w:rsidR="00C12A1D" w:rsidRPr="00B63050">
              <w:t xml:space="preserve"> </w:t>
            </w:r>
            <w:r w:rsidRPr="00B63050">
              <w:t>un Komisijas 2013. gada 18. decembra Regulas (ES) Nr.</w:t>
            </w:r>
            <w:r w:rsidR="00E321B8" w:rsidRPr="00E321B8">
              <w:t>1407/2013</w:t>
            </w:r>
            <w:r w:rsidRPr="00B63050">
              <w:t xml:space="preserve"> par Līguma par ES darbību </w:t>
            </w:r>
            <w:r w:rsidR="00E321B8" w:rsidRPr="00E321B8">
              <w:t xml:space="preserve">107. </w:t>
            </w:r>
            <w:r w:rsidRPr="00B63050">
              <w:t xml:space="preserve">un </w:t>
            </w:r>
            <w:r w:rsidR="00E321B8" w:rsidRPr="00E321B8">
              <w:t>108. panta</w:t>
            </w:r>
            <w:r w:rsidRPr="00B63050">
              <w:t xml:space="preserve"> piemērošanu </w:t>
            </w:r>
            <w:r w:rsidRPr="00B63050">
              <w:rPr>
                <w:i/>
                <w:iCs/>
              </w:rPr>
              <w:t>de minimis</w:t>
            </w:r>
            <w:r w:rsidRPr="00B63050">
              <w:t xml:space="preserve"> atbalstam (ES Oficiālais Vēstnesis, 2013.gada 24.decembris Nr.L 352) (turpmāk – Komisijas regula Nr.</w:t>
            </w:r>
            <w:r w:rsidR="00E321B8" w:rsidRPr="00E321B8">
              <w:t>1407/2013</w:t>
            </w:r>
            <w:r w:rsidRPr="00B63050">
              <w:t xml:space="preserve">) </w:t>
            </w:r>
            <w:r w:rsidR="00C12A1D" w:rsidRPr="00B63050">
              <w:t>attiecīgajiem punktiem.</w:t>
            </w:r>
          </w:p>
          <w:p w:rsidR="006259C0" w:rsidRPr="00B63050" w:rsidRDefault="00985C81" w:rsidP="006259C0">
            <w:pPr>
              <w:spacing w:after="120"/>
              <w:jc w:val="both"/>
            </w:pPr>
            <w:r w:rsidRPr="00B63050">
              <w:t>N</w:t>
            </w:r>
            <w:r w:rsidR="006259C0" w:rsidRPr="00B63050">
              <w:t xml:space="preserve">oteikumu projektā noteikti nosacījumi, kurus nepieciešams izvērtēt, sniedzot valsts atbalstu, tajā skaitā piemērojamā valsts atbalsta </w:t>
            </w:r>
            <w:r w:rsidRPr="00B63050">
              <w:t>robežvērtība</w:t>
            </w:r>
            <w:r w:rsidR="006259C0" w:rsidRPr="00B63050">
              <w:t>, specifiskie nosacījumi</w:t>
            </w:r>
            <w:r w:rsidRPr="00B63050">
              <w:rPr>
                <w:bCs/>
                <w:color w:val="000000"/>
              </w:rPr>
              <w:t xml:space="preserve"> Komisijas regula Nr.</w:t>
            </w:r>
            <w:r w:rsidRPr="00B63050">
              <w:rPr>
                <w:bCs/>
              </w:rPr>
              <w:t>651/2014</w:t>
            </w:r>
            <w:r w:rsidR="006259C0" w:rsidRPr="00B63050">
              <w:t xml:space="preserve"> konkrētā mērķa ietvaros noteiktām </w:t>
            </w:r>
            <w:r w:rsidRPr="00B63050">
              <w:t>atbalstāmajām darbībām un nozarēm</w:t>
            </w:r>
            <w:r w:rsidR="006259C0" w:rsidRPr="00B63050">
              <w:t>, grūtībās nonākušu uzņēmumu definīcija, nosacījumi par atbalsta summēšanu (kumulēšanu) ar citu valsta atbalstu</w:t>
            </w:r>
            <w:r w:rsidR="00C725F3" w:rsidRPr="00B63050">
              <w:t>, lēmuma pieņemšanas termiņš</w:t>
            </w:r>
            <w:r w:rsidR="00C66B8B" w:rsidRPr="00B63050">
              <w:t xml:space="preserve"> un citi nosacījumi</w:t>
            </w:r>
            <w:r w:rsidR="006259C0" w:rsidRPr="00B63050">
              <w:t>.</w:t>
            </w:r>
          </w:p>
          <w:p w:rsidR="00D03F13" w:rsidRPr="00B63050" w:rsidRDefault="00C725F3" w:rsidP="009F50FD">
            <w:pPr>
              <w:jc w:val="both"/>
            </w:pPr>
            <w:r w:rsidRPr="00B63050">
              <w:t xml:space="preserve">Gadījumā, ja nav iespējams piemērot Komisijas regulas Nr.651/2014 nosacījumus vai projekts pārsniedz Komisijas regulā Nr.651/2014 paredzētās paziņošanas robežvērtības, jāiesniedz paziņojums Eiropas Komisijai, </w:t>
            </w:r>
            <w:r w:rsidR="00165B83" w:rsidRPr="00B63050">
              <w:t xml:space="preserve">darbības </w:t>
            </w:r>
            <w:r w:rsidRPr="00B63050">
              <w:t xml:space="preserve">netiek </w:t>
            </w:r>
            <w:r w:rsidR="00165B83" w:rsidRPr="00B63050">
              <w:t xml:space="preserve">uzsāktas </w:t>
            </w:r>
            <w:r w:rsidRPr="00B63050">
              <w:t>līdz brīdim, kad Eiropas Komisija ir pieņēmusi galīgo lēmumu, ar kuru piešķirtais valsts atbalsts ir atzīts par saderīgu ar iekšējo tirgu.</w:t>
            </w:r>
          </w:p>
          <w:p w:rsidR="00A23CAC" w:rsidRDefault="00A23CAC" w:rsidP="009F50FD">
            <w:pPr>
              <w:jc w:val="both"/>
              <w:rPr>
                <w:b/>
              </w:rPr>
            </w:pPr>
          </w:p>
          <w:p w:rsidR="003D3D4B" w:rsidRPr="00972A79" w:rsidRDefault="00A23CAC" w:rsidP="003D3D4B">
            <w:pPr>
              <w:spacing w:after="120"/>
              <w:jc w:val="both"/>
              <w:rPr>
                <w:lang w:val="gsw-FR"/>
              </w:rPr>
            </w:pPr>
            <w:r w:rsidRPr="00972A79">
              <w:rPr>
                <w:lang w:val="gsw-FR"/>
              </w:rPr>
              <w:t>Lai nodrošinātu</w:t>
            </w:r>
            <w:r w:rsidR="00972A79" w:rsidRPr="00972A79">
              <w:rPr>
                <w:lang w:val="gsw-FR"/>
              </w:rPr>
              <w:t xml:space="preserve"> valsts atbalsta nosacījum</w:t>
            </w:r>
            <w:r w:rsidR="00972A79">
              <w:rPr>
                <w:lang w:val="gsw-FR"/>
              </w:rPr>
              <w:t>u ievērošanu</w:t>
            </w:r>
            <w:r w:rsidR="00972A79" w:rsidRPr="00972A79">
              <w:rPr>
                <w:lang w:val="gsw-FR"/>
              </w:rPr>
              <w:t xml:space="preserve"> un</w:t>
            </w:r>
            <w:r w:rsidR="00972A79">
              <w:rPr>
                <w:lang w:val="gsw-FR"/>
              </w:rPr>
              <w:t xml:space="preserve"> lai</w:t>
            </w:r>
            <w:r w:rsidR="00972A79" w:rsidRPr="00972A79">
              <w:rPr>
                <w:lang w:val="gsw-FR"/>
              </w:rPr>
              <w:t xml:space="preserve"> </w:t>
            </w:r>
            <w:r w:rsidRPr="00972A79">
              <w:rPr>
                <w:lang w:val="gsw-FR"/>
              </w:rPr>
              <w:t>projektos</w:t>
            </w:r>
            <w:r w:rsidR="00972A79">
              <w:rPr>
                <w:lang w:val="gsw-FR"/>
              </w:rPr>
              <w:t>,</w:t>
            </w:r>
            <w:r w:rsidRPr="00972A79">
              <w:rPr>
                <w:lang w:val="gsw-FR"/>
              </w:rPr>
              <w:t xml:space="preserve"> </w:t>
            </w:r>
            <w:r w:rsidR="00972A79">
              <w:rPr>
                <w:lang w:val="gsw-FR"/>
              </w:rPr>
              <w:t>ko</w:t>
            </w:r>
            <w:r w:rsidR="00972A79" w:rsidRPr="00972A79">
              <w:rPr>
                <w:lang w:val="gsw-FR"/>
              </w:rPr>
              <w:t xml:space="preserve"> </w:t>
            </w:r>
            <w:r w:rsidRPr="00972A79">
              <w:rPr>
                <w:lang w:val="gsw-FR"/>
              </w:rPr>
              <w:t xml:space="preserve">īsteno kā nesaimnieciskas darbības </w:t>
            </w:r>
            <w:r w:rsidR="00972A79" w:rsidRPr="00972A79">
              <w:rPr>
                <w:lang w:val="gsw-FR"/>
              </w:rPr>
              <w:t>projekt</w:t>
            </w:r>
            <w:r w:rsidR="00972A79">
              <w:rPr>
                <w:lang w:val="gsw-FR"/>
              </w:rPr>
              <w:t>us</w:t>
            </w:r>
            <w:r w:rsidR="00E321B8" w:rsidRPr="00E321B8">
              <w:rPr>
                <w:lang w:val="gsw-FR"/>
              </w:rPr>
              <w:t>,</w:t>
            </w:r>
            <w:r w:rsidR="00972A79" w:rsidRPr="00972A79">
              <w:rPr>
                <w:lang w:val="gsw-FR"/>
              </w:rPr>
              <w:t xml:space="preserve"> darbība nepārvē</w:t>
            </w:r>
            <w:r w:rsidR="00972A79">
              <w:rPr>
                <w:lang w:val="gsw-FR"/>
              </w:rPr>
              <w:t>stos</w:t>
            </w:r>
            <w:r w:rsidR="00972A79" w:rsidRPr="00972A79">
              <w:rPr>
                <w:lang w:val="gsw-FR"/>
              </w:rPr>
              <w:t xml:space="preserve"> par saimniecisku darbību ēku amortizācijas periodā</w:t>
            </w:r>
            <w:r w:rsidRPr="00972A79">
              <w:rPr>
                <w:lang w:val="gsw-FR"/>
              </w:rPr>
              <w:t>, Kultūras ministrija veiks proporcijas (15</w:t>
            </w:r>
            <w:r w:rsidR="00972A79">
              <w:rPr>
                <w:lang w:val="gsw-FR"/>
              </w:rPr>
              <w:t xml:space="preserve"> procenti</w:t>
            </w:r>
            <w:r w:rsidR="00972A79" w:rsidRPr="00972A79">
              <w:rPr>
                <w:lang w:val="gsw-FR"/>
              </w:rPr>
              <w:t xml:space="preserve">) </w:t>
            </w:r>
            <w:r w:rsidRPr="00972A79">
              <w:rPr>
                <w:lang w:val="gsw-FR"/>
              </w:rPr>
              <w:t>ievērošanas uzraudzību, reizi gadā aicinot attiecīgo projektu  finansējuma saņēmējus iesniegt informāciju par saimnieciskās darbības proporcijas ievērošanu.</w:t>
            </w:r>
          </w:p>
          <w:p w:rsidR="00122CD7" w:rsidRPr="003D3D4B" w:rsidRDefault="00972A79" w:rsidP="003D3D4B">
            <w:pPr>
              <w:jc w:val="both"/>
              <w:rPr>
                <w:b/>
                <w:u w:val="single"/>
                <w:lang w:val="gsw-FR"/>
              </w:rPr>
            </w:pPr>
            <w:r>
              <w:rPr>
                <w:b/>
                <w:u w:val="single"/>
                <w:lang w:val="gsw-FR"/>
              </w:rPr>
              <w:t>5.6.1.</w:t>
            </w:r>
            <w:r w:rsidR="00122CD7" w:rsidRPr="001064BC">
              <w:rPr>
                <w:b/>
                <w:u w:val="single"/>
              </w:rPr>
              <w:t xml:space="preserve">SAM </w:t>
            </w:r>
            <w:r w:rsidR="00A3640A" w:rsidRPr="001064BC">
              <w:rPr>
                <w:b/>
                <w:u w:val="single"/>
              </w:rPr>
              <w:t>ieviešanas mehānisms</w:t>
            </w:r>
          </w:p>
          <w:p w:rsidR="00566FFC" w:rsidRPr="00B63050" w:rsidRDefault="00985C81" w:rsidP="003D3D4B">
            <w:pPr>
              <w:pStyle w:val="Galvene"/>
              <w:ind w:right="74"/>
              <w:jc w:val="both"/>
            </w:pPr>
            <w:r>
              <w:rPr>
                <w:color w:val="000000"/>
              </w:rPr>
              <w:t>N</w:t>
            </w:r>
            <w:r w:rsidR="00FE74F0" w:rsidRPr="001064BC">
              <w:rPr>
                <w:color w:val="000000"/>
              </w:rPr>
              <w:t>oteikumu projekts nosaka, ka aps</w:t>
            </w:r>
            <w:r w:rsidR="00445972" w:rsidRPr="001064BC">
              <w:rPr>
                <w:color w:val="000000"/>
              </w:rPr>
              <w:t xml:space="preserve">tiprināta pašvaldību attīstības programma ir priekšnosacījums investīcijām </w:t>
            </w:r>
            <w:r w:rsidR="00DF1556">
              <w:rPr>
                <w:color w:val="000000"/>
              </w:rPr>
              <w:t>5.6.1.</w:t>
            </w:r>
            <w:r w:rsidR="00445972" w:rsidRPr="001064BC">
              <w:rPr>
                <w:color w:val="000000"/>
              </w:rPr>
              <w:t xml:space="preserve">SAM ietvaros. Visas </w:t>
            </w:r>
            <w:r w:rsidR="00445972" w:rsidRPr="00B63050">
              <w:rPr>
                <w:color w:val="000000"/>
              </w:rPr>
              <w:t>projektu idejas iekļau</w:t>
            </w:r>
            <w:r w:rsidR="00972A79">
              <w:rPr>
                <w:color w:val="000000"/>
              </w:rPr>
              <w:t>j</w:t>
            </w:r>
            <w:r w:rsidR="00445972" w:rsidRPr="00B63050">
              <w:rPr>
                <w:color w:val="000000"/>
              </w:rPr>
              <w:t xml:space="preserve"> </w:t>
            </w:r>
            <w:r w:rsidR="00DF1556" w:rsidRPr="00B63050">
              <w:t>att</w:t>
            </w:r>
            <w:r w:rsidR="00DF1556" w:rsidRPr="00B63050">
              <w:rPr>
                <w:rFonts w:hint="eastAsia"/>
              </w:rPr>
              <w:t>ī</w:t>
            </w:r>
            <w:r w:rsidR="00DF1556" w:rsidRPr="00B63050">
              <w:t>st</w:t>
            </w:r>
            <w:r w:rsidR="00DF1556" w:rsidRPr="00B63050">
              <w:rPr>
                <w:rFonts w:hint="eastAsia"/>
              </w:rPr>
              <w:t>ī</w:t>
            </w:r>
            <w:r w:rsidR="00DF1556" w:rsidRPr="00B63050">
              <w:t>bas programmas Invest</w:t>
            </w:r>
            <w:r w:rsidR="00DF1556" w:rsidRPr="00B63050">
              <w:rPr>
                <w:rFonts w:hint="eastAsia"/>
              </w:rPr>
              <w:t>ī</w:t>
            </w:r>
            <w:r w:rsidR="00DF1556" w:rsidRPr="00B63050">
              <w:t>ciju pl</w:t>
            </w:r>
            <w:r w:rsidR="00DF1556" w:rsidRPr="00B63050">
              <w:rPr>
                <w:rFonts w:hint="eastAsia"/>
              </w:rPr>
              <w:t>ā</w:t>
            </w:r>
            <w:r w:rsidR="00DF1556" w:rsidRPr="00B63050">
              <w:t>n</w:t>
            </w:r>
            <w:r w:rsidR="00FB157A" w:rsidRPr="00B63050">
              <w:t>ā</w:t>
            </w:r>
            <w:r w:rsidR="00230909" w:rsidRPr="00B63050">
              <w:t xml:space="preserve">. </w:t>
            </w:r>
            <w:r w:rsidR="00445972" w:rsidRPr="00B63050">
              <w:rPr>
                <w:color w:val="000000"/>
              </w:rPr>
              <w:t xml:space="preserve">Detalizēts </w:t>
            </w:r>
            <w:r w:rsidR="00972A79">
              <w:rPr>
                <w:color w:val="000000"/>
              </w:rPr>
              <w:t>5.6.1.</w:t>
            </w:r>
            <w:r w:rsidR="00445972" w:rsidRPr="00B63050">
              <w:rPr>
                <w:color w:val="000000"/>
              </w:rPr>
              <w:t xml:space="preserve">SAM atbalsta piešķiršanas mehānisms ir aprakstīts </w:t>
            </w:r>
            <w:r w:rsidR="00DF1556" w:rsidRPr="00B63050">
              <w:rPr>
                <w:color w:val="000000"/>
              </w:rPr>
              <w:t>k</w:t>
            </w:r>
            <w:r w:rsidR="00DF33AB" w:rsidRPr="00B63050">
              <w:rPr>
                <w:color w:val="000000"/>
              </w:rPr>
              <w:t xml:space="preserve">onceptuālajā </w:t>
            </w:r>
            <w:r w:rsidR="00DF1556" w:rsidRPr="00B63050">
              <w:rPr>
                <w:color w:val="000000"/>
              </w:rPr>
              <w:t>ziņojumā</w:t>
            </w:r>
            <w:r w:rsidR="003D3D4B">
              <w:t xml:space="preserve"> </w:t>
            </w:r>
            <w:r w:rsidR="003D3D4B" w:rsidRPr="003D3D4B">
              <w:rPr>
                <w:color w:val="000000"/>
              </w:rPr>
              <w:t>„Par Eiropas Savienības fondu Darbības programmas „Izaugsme un nodarbinātība” 5.6.1.specifiskā atbalsta mērķa „Veicināt Rīgas pilsētas revitalizāciju, nodrošinot teritorijas efektīvu sociālekonomisko izmantošanu” ieviešanu”</w:t>
            </w:r>
            <w:r w:rsidR="003D3D4B">
              <w:rPr>
                <w:color w:val="000000"/>
              </w:rPr>
              <w:t xml:space="preserve"> (turpmāk – konceptuālais ziņojums)</w:t>
            </w:r>
            <w:r w:rsidR="00DF1556" w:rsidRPr="00B63050">
              <w:rPr>
                <w:color w:val="000000"/>
              </w:rPr>
              <w:t>. Konceptuālajā</w:t>
            </w:r>
            <w:r w:rsidR="00416DC7" w:rsidRPr="00B63050">
              <w:t xml:space="preserve"> ziņojumā noteikts, ka</w:t>
            </w:r>
            <w:r w:rsidR="00972A79">
              <w:t xml:space="preserve"> </w:t>
            </w:r>
            <w:r w:rsidR="00566FFC" w:rsidRPr="00B63050">
              <w:t xml:space="preserve">5.6.1.SAM </w:t>
            </w:r>
            <w:r w:rsidR="00972A79">
              <w:t>ieviesīs</w:t>
            </w:r>
            <w:r w:rsidR="00566FFC" w:rsidRPr="00B63050">
              <w:t xml:space="preserve"> revitalizējot teritorijas un attīstot objektus saskaņā ar 5.6.1.SAM prioritātēm un nodrošinot 5.6.1.SAM rezultatīvo rādītāju sasniegšanu, </w:t>
            </w:r>
            <w:r w:rsidR="00DF33AB" w:rsidRPr="00B63050">
              <w:t xml:space="preserve">lai sekmētu vienotu plānošanas pieeju un iespēju nodrošināt plānoto risinājumu ietekmes uz 5.6.1. SAM mērķiem izsekojamību, pēc vienotas pieejas ir jāizstrādā 5.6.1.SAM ietvaros </w:t>
            </w:r>
            <w:r w:rsidR="00DF33AB" w:rsidRPr="00B63050">
              <w:lastRenderedPageBreak/>
              <w:t xml:space="preserve">revitalizējamo teritoriju attīstības stratēģijas, tādējādi nodrošinot pilnu informāciju par 5.6.1.SAM ietvaros revitalizējamajām teritorijām, attīstāmajiem objektiem un to ietekmi uz 5.6.1.SAM rezultatīvo rādītāju sasniegšanu. </w:t>
            </w:r>
            <w:r w:rsidR="00566FFC" w:rsidRPr="00B63050">
              <w:t xml:space="preserve">Plānots, ka </w:t>
            </w:r>
            <w:r w:rsidR="006A7D8E" w:rsidRPr="00B63050">
              <w:t xml:space="preserve">revitalizējamo teritoriju attīstības </w:t>
            </w:r>
            <w:r w:rsidR="00566FFC" w:rsidRPr="00B63050">
              <w:t xml:space="preserve">stratēģijas kalpos kā 5.6.1.SAM attīstības plānošanas un uzraudzības instruments, ko </w:t>
            </w:r>
            <w:r w:rsidR="00230909" w:rsidRPr="00B63050">
              <w:t>atbildīgā iestāde</w:t>
            </w:r>
            <w:r w:rsidR="00570FE0" w:rsidRPr="00B63050">
              <w:t xml:space="preserve"> </w:t>
            </w:r>
            <w:r w:rsidR="00566FFC" w:rsidRPr="00B63050">
              <w:t xml:space="preserve">izmantos 5.6.1.SAM ieviešanas uzraudzības un kontroles nodrošināšanai. </w:t>
            </w:r>
            <w:r w:rsidR="00DF33AB" w:rsidRPr="00B63050">
              <w:t>Konceptuālajā</w:t>
            </w:r>
            <w:r w:rsidR="008D7B15" w:rsidRPr="00B63050">
              <w:t xml:space="preserve"> ziņojumā ir norādī</w:t>
            </w:r>
            <w:r w:rsidR="00DF33AB" w:rsidRPr="00B63050">
              <w:t xml:space="preserve">ta minimālā informācija, kas </w:t>
            </w:r>
            <w:r w:rsidR="008D7B15" w:rsidRPr="00B63050">
              <w:t>ir iekļaujama</w:t>
            </w:r>
            <w:r w:rsidR="00DF33AB" w:rsidRPr="00B63050">
              <w:t xml:space="preserve"> revitalizējamo teritoriju attīstības stratēģijā</w:t>
            </w:r>
            <w:r w:rsidR="00566FFC" w:rsidRPr="00B63050">
              <w:t>:</w:t>
            </w:r>
            <w:r w:rsidR="00416DC7" w:rsidRPr="00B63050">
              <w:t xml:space="preserve"> </w:t>
            </w:r>
          </w:p>
          <w:p w:rsidR="00566FFC" w:rsidRPr="00B63050" w:rsidRDefault="00972A79" w:rsidP="00D95BEF">
            <w:pPr>
              <w:pStyle w:val="Galvene"/>
              <w:numPr>
                <w:ilvl w:val="0"/>
                <w:numId w:val="40"/>
              </w:numPr>
              <w:ind w:right="74"/>
            </w:pPr>
            <w:r>
              <w:t>s</w:t>
            </w:r>
            <w:r w:rsidR="00416DC7" w:rsidRPr="00B63050">
              <w:t>aistošais juridiskais ietvars, uzskaitot saistošos normatīvos aktus, saskaņā ar kuriem īstenojami teritoriju attīstības risinājumi;</w:t>
            </w:r>
          </w:p>
          <w:p w:rsidR="00566FFC" w:rsidRPr="00B63050" w:rsidRDefault="00972A79" w:rsidP="00D95BEF">
            <w:pPr>
              <w:pStyle w:val="Galvene"/>
              <w:numPr>
                <w:ilvl w:val="0"/>
                <w:numId w:val="40"/>
              </w:numPr>
              <w:ind w:right="74"/>
              <w:jc w:val="both"/>
            </w:pPr>
            <w:r>
              <w:t>t</w:t>
            </w:r>
            <w:r w:rsidR="00416DC7" w:rsidRPr="00B63050">
              <w:t>eritoriju attīstības risinājumu un plānoto investīciju atbilstība normatīvajiem aktiem un plānošanas dokumentiem;</w:t>
            </w:r>
          </w:p>
          <w:p w:rsidR="00566FFC" w:rsidRPr="00B63050" w:rsidRDefault="00972A79" w:rsidP="00D95BEF">
            <w:pPr>
              <w:pStyle w:val="Galvene"/>
              <w:numPr>
                <w:ilvl w:val="0"/>
                <w:numId w:val="40"/>
              </w:numPr>
              <w:ind w:right="74"/>
              <w:jc w:val="both"/>
            </w:pPr>
            <w:r>
              <w:t>e</w:t>
            </w:r>
            <w:r w:rsidR="00416DC7" w:rsidRPr="00B63050">
              <w:t>sošās situācijas izvērtējums, t</w:t>
            </w:r>
            <w:r>
              <w:t>ajā skaitā:</w:t>
            </w:r>
          </w:p>
          <w:p w:rsidR="00D95BEF" w:rsidRPr="00D95BEF" w:rsidRDefault="00D95BEF" w:rsidP="00D95BEF">
            <w:pPr>
              <w:pStyle w:val="Sarakstarindkopa"/>
              <w:numPr>
                <w:ilvl w:val="0"/>
                <w:numId w:val="41"/>
              </w:numPr>
              <w:tabs>
                <w:tab w:val="center" w:pos="4153"/>
                <w:tab w:val="right" w:pos="8306"/>
              </w:tabs>
              <w:ind w:right="74"/>
              <w:contextualSpacing w:val="0"/>
              <w:jc w:val="both"/>
              <w:rPr>
                <w:rFonts w:eastAsia="Calibri"/>
                <w:vanish/>
                <w:sz w:val="24"/>
                <w:szCs w:val="24"/>
              </w:rPr>
            </w:pPr>
          </w:p>
          <w:p w:rsidR="00D95BEF" w:rsidRPr="00D95BEF" w:rsidRDefault="00D95BEF" w:rsidP="00D95BEF">
            <w:pPr>
              <w:pStyle w:val="Sarakstarindkopa"/>
              <w:numPr>
                <w:ilvl w:val="0"/>
                <w:numId w:val="41"/>
              </w:numPr>
              <w:tabs>
                <w:tab w:val="center" w:pos="4153"/>
                <w:tab w:val="right" w:pos="8306"/>
              </w:tabs>
              <w:ind w:right="74"/>
              <w:contextualSpacing w:val="0"/>
              <w:jc w:val="both"/>
              <w:rPr>
                <w:rFonts w:eastAsia="Calibri"/>
                <w:vanish/>
                <w:sz w:val="24"/>
                <w:szCs w:val="24"/>
              </w:rPr>
            </w:pPr>
          </w:p>
          <w:p w:rsidR="00D95BEF" w:rsidRPr="00D95BEF" w:rsidRDefault="00D95BEF" w:rsidP="00D95BEF">
            <w:pPr>
              <w:pStyle w:val="Sarakstarindkopa"/>
              <w:numPr>
                <w:ilvl w:val="0"/>
                <w:numId w:val="41"/>
              </w:numPr>
              <w:tabs>
                <w:tab w:val="center" w:pos="4153"/>
                <w:tab w:val="right" w:pos="8306"/>
              </w:tabs>
              <w:ind w:right="74"/>
              <w:contextualSpacing w:val="0"/>
              <w:jc w:val="both"/>
              <w:rPr>
                <w:rFonts w:eastAsia="Calibri"/>
                <w:vanish/>
                <w:sz w:val="24"/>
                <w:szCs w:val="24"/>
              </w:rPr>
            </w:pPr>
          </w:p>
          <w:p w:rsidR="00566FFC" w:rsidRPr="00B63050" w:rsidRDefault="00972A79" w:rsidP="00D95BEF">
            <w:pPr>
              <w:pStyle w:val="Galvene"/>
              <w:numPr>
                <w:ilvl w:val="1"/>
                <w:numId w:val="41"/>
              </w:numPr>
              <w:ind w:right="74"/>
              <w:jc w:val="both"/>
            </w:pPr>
            <w:r>
              <w:t>r</w:t>
            </w:r>
            <w:r w:rsidR="00416DC7" w:rsidRPr="00B63050">
              <w:t>evitalizējamo teritoriju raksturojums, analizējot apkaimes ģeogrāfisko novietojumu, transporta infrastruktūru, degradācijas pakāpi (degradēto objektu īpatsvaru), līdz šim veiktās investīcijas apkaimes revitalizācijā, apkaimes sociāli-ekonomisko vidi;</w:t>
            </w:r>
          </w:p>
          <w:p w:rsidR="00566FFC" w:rsidRPr="00B63050" w:rsidRDefault="00972A79" w:rsidP="00D95BEF">
            <w:pPr>
              <w:pStyle w:val="Galvene"/>
              <w:numPr>
                <w:ilvl w:val="1"/>
                <w:numId w:val="41"/>
              </w:numPr>
              <w:ind w:right="74"/>
              <w:jc w:val="both"/>
            </w:pPr>
            <w:r>
              <w:t>r</w:t>
            </w:r>
            <w:r w:rsidR="00416DC7" w:rsidRPr="00B63050">
              <w:t>evitalizējamo objektu raksturojums, analizējot objektos veiktās investīcijas, to degradācijas pakāpi (</w:t>
            </w:r>
            <w:r>
              <w:t>tajā skaitā</w:t>
            </w:r>
            <w:r w:rsidR="00416DC7" w:rsidRPr="00B63050">
              <w:t xml:space="preserve"> tehnisko stāvokli un tālākās izmantošanas iespējas) un īstenotās funkcijas; papildus tam, ja iespējams, izvērtējot arī objektu noslodzes līmeni un objektu nodrošināto funkciju alternatīvas apkaimē un pilsētā</w:t>
            </w:r>
            <w:r>
              <w:t>;</w:t>
            </w:r>
            <w:r w:rsidR="00416DC7" w:rsidRPr="00B63050">
              <w:t xml:space="preserve"> </w:t>
            </w:r>
          </w:p>
          <w:p w:rsidR="00566FFC" w:rsidRPr="00B63050" w:rsidRDefault="00972A79" w:rsidP="00D95BEF">
            <w:pPr>
              <w:pStyle w:val="Galvene"/>
              <w:numPr>
                <w:ilvl w:val="0"/>
                <w:numId w:val="40"/>
              </w:numPr>
              <w:ind w:right="74"/>
              <w:jc w:val="both"/>
            </w:pPr>
            <w:r>
              <w:t>t</w:t>
            </w:r>
            <w:r w:rsidR="00416DC7" w:rsidRPr="00B63050">
              <w:t>eritoriju attīstības risinājumu īstenošanas nepieciešamības pamatojums;</w:t>
            </w:r>
          </w:p>
          <w:p w:rsidR="00566FFC" w:rsidRPr="00B63050" w:rsidRDefault="00972A79" w:rsidP="00D95BEF">
            <w:pPr>
              <w:pStyle w:val="Galvene"/>
              <w:numPr>
                <w:ilvl w:val="0"/>
                <w:numId w:val="40"/>
              </w:numPr>
              <w:ind w:right="74"/>
              <w:jc w:val="both"/>
            </w:pPr>
            <w:r>
              <w:t>t</w:t>
            </w:r>
            <w:r w:rsidR="00416DC7" w:rsidRPr="00B63050">
              <w:t>eritoriju attīstības risinājumu mērķis un uzdevumi 5.6.1.SAM mērķa īstenošanas kontekstā;</w:t>
            </w:r>
          </w:p>
          <w:p w:rsidR="00566FFC" w:rsidRPr="00B63050" w:rsidRDefault="00972A79" w:rsidP="00D95BEF">
            <w:pPr>
              <w:pStyle w:val="Galvene"/>
              <w:numPr>
                <w:ilvl w:val="0"/>
                <w:numId w:val="40"/>
              </w:numPr>
              <w:ind w:right="74"/>
              <w:jc w:val="both"/>
            </w:pPr>
            <w:r>
              <w:t>t</w:t>
            </w:r>
            <w:r w:rsidR="00416DC7" w:rsidRPr="00B63050">
              <w:t>eritoriju attīstības risinājuma raksturojums, aprakstot teritorijā attīstāmos objektus un to plānoto funkcionalitāti;</w:t>
            </w:r>
          </w:p>
          <w:p w:rsidR="00566FFC" w:rsidRPr="00B63050" w:rsidRDefault="00972A79" w:rsidP="00D95BEF">
            <w:pPr>
              <w:pStyle w:val="Galvene"/>
              <w:numPr>
                <w:ilvl w:val="0"/>
                <w:numId w:val="40"/>
              </w:numPr>
              <w:ind w:right="74"/>
              <w:jc w:val="both"/>
            </w:pPr>
            <w:r>
              <w:t>t</w:t>
            </w:r>
            <w:r w:rsidR="00416DC7" w:rsidRPr="00B63050">
              <w:t>eritoriju attīstības risinājuma ieviešanai nepieciešamo investīciju un finansējuma avotu uzskaitījums;</w:t>
            </w:r>
          </w:p>
          <w:p w:rsidR="00566FFC" w:rsidRPr="00B63050" w:rsidRDefault="00972A79" w:rsidP="00D95BEF">
            <w:pPr>
              <w:pStyle w:val="Galvene"/>
              <w:numPr>
                <w:ilvl w:val="0"/>
                <w:numId w:val="40"/>
              </w:numPr>
              <w:ind w:right="74"/>
              <w:jc w:val="both"/>
            </w:pPr>
            <w:r>
              <w:t>t</w:t>
            </w:r>
            <w:r w:rsidR="00416DC7" w:rsidRPr="00B63050">
              <w:t>eritorijas attīstības risinājuma izvērtējums valsts atbalsta nosacījumu piemērošanas kontekstā;</w:t>
            </w:r>
          </w:p>
          <w:p w:rsidR="00566FFC" w:rsidRPr="00B63050" w:rsidRDefault="00972A79" w:rsidP="00D95BEF">
            <w:pPr>
              <w:pStyle w:val="Galvene"/>
              <w:numPr>
                <w:ilvl w:val="0"/>
                <w:numId w:val="40"/>
              </w:numPr>
              <w:ind w:right="74"/>
              <w:jc w:val="both"/>
            </w:pPr>
            <w:r>
              <w:t>t</w:t>
            </w:r>
            <w:r w:rsidR="00416DC7" w:rsidRPr="00B63050">
              <w:t>eritoriju attīstības risinājumu ietekmes novērtējums, t</w:t>
            </w:r>
            <w:r>
              <w:t>ajā skaitā</w:t>
            </w:r>
            <w:r w:rsidR="00416DC7" w:rsidRPr="00B63050">
              <w:t xml:space="preserve"> iekļaujot ietekmes uz teritorijas revitalizāciju analīzi un plānotos risinājuma īstenošanas rezultātus un rezultatīvos rādītājus 5.6.1.SAM kontekstā;</w:t>
            </w:r>
          </w:p>
          <w:p w:rsidR="00566FFC" w:rsidRPr="00B63050" w:rsidRDefault="00972A79" w:rsidP="00D95BEF">
            <w:pPr>
              <w:pStyle w:val="Galvene"/>
              <w:numPr>
                <w:ilvl w:val="0"/>
                <w:numId w:val="40"/>
              </w:numPr>
              <w:ind w:right="74"/>
              <w:jc w:val="both"/>
            </w:pPr>
            <w:r>
              <w:t>t</w:t>
            </w:r>
            <w:r w:rsidR="00416DC7" w:rsidRPr="00B63050">
              <w:t>eritoriju attīstības risinājuma detalizēts īstenošanas laika plāns, pārvaldības modelis un saistošo risku izvērtējums.</w:t>
            </w:r>
          </w:p>
          <w:p w:rsidR="00DF33AB" w:rsidRPr="00B63050" w:rsidRDefault="00416DC7" w:rsidP="00972A79">
            <w:pPr>
              <w:spacing w:before="120"/>
              <w:jc w:val="both"/>
            </w:pPr>
            <w:r w:rsidRPr="00B63050">
              <w:t xml:space="preserve">Katras revitalizējamās teritorijas stratēģijas ietvarā plānotajos projektos ir jāattīsta sabiedriskā labuma objekti, kas pēc projekta īstenošanas ļauj sasniegt sociālekonomiskos rādītājus, kā arī uzlabo attiecīgajā teritorijā vietējo iedzīvotāju dzīves </w:t>
            </w:r>
            <w:r w:rsidRPr="00B63050">
              <w:lastRenderedPageBreak/>
              <w:t>kvalitāti. Katrā revitalizējamās teritorijas stratēģijā jāiekļauj sasniedzamās rādītāju vērtības katrā projektā un katrā revitalizējamajā teritorijā. Katrā stratēģijā noteik</w:t>
            </w:r>
            <w:r w:rsidR="00972A79">
              <w:t>s</w:t>
            </w:r>
            <w:r w:rsidRPr="00B63050">
              <w:t xml:space="preserve"> </w:t>
            </w:r>
            <w:r w:rsidR="00972A79" w:rsidRPr="00B63050">
              <w:t>konkrēt</w:t>
            </w:r>
            <w:r w:rsidR="00972A79">
              <w:t>u</w:t>
            </w:r>
            <w:r w:rsidR="00972A79" w:rsidRPr="00B63050">
              <w:t xml:space="preserve"> areāl</w:t>
            </w:r>
            <w:r w:rsidR="00972A79">
              <w:t>u</w:t>
            </w:r>
            <w:r w:rsidRPr="00B63050">
              <w:t>, kurā uzskaitī</w:t>
            </w:r>
            <w:r w:rsidR="00972A79">
              <w:t>s</w:t>
            </w:r>
            <w:r w:rsidRPr="00B63050">
              <w:t xml:space="preserve"> </w:t>
            </w:r>
            <w:r w:rsidR="00972A79" w:rsidRPr="00B63050">
              <w:t>sasniedzam</w:t>
            </w:r>
            <w:r w:rsidR="00972A79">
              <w:t>os</w:t>
            </w:r>
            <w:r w:rsidR="00972A79" w:rsidRPr="00B63050">
              <w:t xml:space="preserve"> </w:t>
            </w:r>
            <w:r w:rsidRPr="00B63050">
              <w:t>rādītāj</w:t>
            </w:r>
            <w:r w:rsidR="00972A79">
              <w:t>us</w:t>
            </w:r>
            <w:r w:rsidRPr="00B63050">
              <w:t>.</w:t>
            </w:r>
            <w:r w:rsidR="000728AB" w:rsidRPr="00B63050">
              <w:t xml:space="preserve"> </w:t>
            </w:r>
            <w:r w:rsidR="008D7B15" w:rsidRPr="00B63050">
              <w:t>Izstrādātās 5.6.1.SAM ietvaros attīstāmo teritoriju attīstības stratēģijas ir jāapstiprina Ministru kabinetā</w:t>
            </w:r>
            <w:r w:rsidR="00E74195" w:rsidRPr="00B63050">
              <w:t>.</w:t>
            </w:r>
          </w:p>
          <w:p w:rsidR="00FE5D68" w:rsidRPr="00B63050" w:rsidRDefault="00E74195" w:rsidP="00972A79">
            <w:pPr>
              <w:autoSpaceDE w:val="0"/>
              <w:autoSpaceDN w:val="0"/>
              <w:adjustRightInd w:val="0"/>
              <w:spacing w:before="120"/>
              <w:jc w:val="both"/>
            </w:pPr>
            <w:r w:rsidRPr="00B63050">
              <w:t>Pēc revitalizējamo teritoriju attīstības stratēģijas apstiprināšanas</w:t>
            </w:r>
            <w:r w:rsidR="00DF1556" w:rsidRPr="00B63050">
              <w:t>, tajā noteiktais finansējuma saņēmējs sagatavo projekta iesniegumu iesniegšanu sadarbības iestādei.</w:t>
            </w:r>
            <w:r w:rsidRPr="00B63050">
              <w:t xml:space="preserve"> </w:t>
            </w:r>
            <w:r w:rsidR="00DF1556" w:rsidRPr="00B63050">
              <w:t>N</w:t>
            </w:r>
            <w:r w:rsidR="00BA48CE" w:rsidRPr="00B63050">
              <w:t>oteikumu projekts nosaka, ka</w:t>
            </w:r>
            <w:r w:rsidR="00E321B8" w:rsidRPr="00E321B8">
              <w:t xml:space="preserve"> </w:t>
            </w:r>
            <w:r w:rsidR="00B326F7" w:rsidRPr="00B63050">
              <w:t xml:space="preserve">projektu iesniegumu atlasi organizē </w:t>
            </w:r>
            <w:r w:rsidR="00DF1556" w:rsidRPr="00B63050">
              <w:t>sadarbības iestāde</w:t>
            </w:r>
            <w:r w:rsidR="00B326F7" w:rsidRPr="00B63050">
              <w:t xml:space="preserve">, kas izstrādā projektu iesniegumu atlases nolikumu. </w:t>
            </w:r>
          </w:p>
          <w:p w:rsidR="00BA48CE" w:rsidRPr="00B63050" w:rsidRDefault="00BA48CE" w:rsidP="00972A79">
            <w:pPr>
              <w:spacing w:before="120"/>
              <w:jc w:val="both"/>
            </w:pPr>
            <w:r w:rsidRPr="00B63050">
              <w:t xml:space="preserve">Projektu iesniegumu vērtēšanu veic </w:t>
            </w:r>
            <w:r w:rsidR="00DF1556" w:rsidRPr="00B63050">
              <w:t>sadarbības iestāde</w:t>
            </w:r>
            <w:r w:rsidRPr="00B63050">
              <w:t xml:space="preserve"> un pēc projekta iesnieguma apstiprināšanas noslēdz vienošanos </w:t>
            </w:r>
            <w:r w:rsidR="009B7F45" w:rsidRPr="00B63050">
              <w:t xml:space="preserve">vai civiltiesiskā līgumu </w:t>
            </w:r>
            <w:r w:rsidRPr="00B63050">
              <w:t xml:space="preserve">ar projekta iesniedzēju par projekta īstenošanu. </w:t>
            </w:r>
          </w:p>
          <w:p w:rsidR="00724B08" w:rsidRDefault="00B722BF">
            <w:pPr>
              <w:spacing w:before="120"/>
              <w:jc w:val="both"/>
              <w:rPr>
                <w:rFonts w:eastAsia="Times New Roman"/>
                <w:b/>
                <w:u w:val="single"/>
                <w:lang w:eastAsia="en-US"/>
              </w:rPr>
            </w:pPr>
            <w:r w:rsidRPr="001064BC">
              <w:rPr>
                <w:rFonts w:eastAsia="Times New Roman"/>
                <w:b/>
                <w:u w:val="single"/>
                <w:lang w:eastAsia="en-US"/>
              </w:rPr>
              <w:t>Citi nosacījumi</w:t>
            </w:r>
          </w:p>
          <w:p w:rsidR="00724B08" w:rsidRDefault="00C725F3">
            <w:pPr>
              <w:jc w:val="both"/>
              <w:outlineLvl w:val="0"/>
            </w:pPr>
            <w:r>
              <w:t>N</w:t>
            </w:r>
            <w:r w:rsidR="00B722BF" w:rsidRPr="001064BC">
              <w:t xml:space="preserve">oteikumu projekts paredz, ka projekta iesniedzējs veic izmaksu un ieguvumu analīzi </w:t>
            </w:r>
            <w:r w:rsidR="00B722BF" w:rsidRPr="00B63050">
              <w:t>atbilstoši atbildīgās iestādes izstrādātajiem metodiskajiem norādījumiem</w:t>
            </w:r>
            <w:r w:rsidRPr="00B63050">
              <w:t xml:space="preserve">, ievērojot, ka </w:t>
            </w:r>
            <w:r w:rsidRPr="00B63050">
              <w:rPr>
                <w:shd w:val="clear" w:color="auto" w:fill="FFFFFF"/>
              </w:rPr>
              <w:t>projekta ekonomiskā ienesīguma norma ir lielāka par sociālo diskonta likmi un projekta ekonomiskā neto pašreizējā vērtība ir lielāka par nulli</w:t>
            </w:r>
            <w:r w:rsidRPr="00B63050">
              <w:t>.</w:t>
            </w:r>
            <w:r w:rsidRPr="00B63050">
              <w:rPr>
                <w:sz w:val="28"/>
                <w:szCs w:val="28"/>
              </w:rPr>
              <w:t xml:space="preserve"> </w:t>
            </w:r>
            <w:r w:rsidRPr="00B63050">
              <w:t xml:space="preserve">Projekta pārskata </w:t>
            </w:r>
            <w:r w:rsidR="009C04A5" w:rsidRPr="00B63050">
              <w:t>periodu</w:t>
            </w:r>
            <w:r w:rsidRPr="00B63050">
              <w:t xml:space="preserve"> (projekta dzīves ciklu) nosaka atbilstoši Komisijas 2014.gada 3.marta regulas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1.pielikumam</w:t>
            </w:r>
            <w:r w:rsidR="00330F53">
              <w:t xml:space="preserve"> </w:t>
            </w:r>
            <w:r w:rsidR="00330F53" w:rsidRPr="00330F53">
              <w:t>„15. panta 2. punktā minētie pārskata periodi”</w:t>
            </w:r>
            <w:r w:rsidRPr="00B63050">
              <w:t>.</w:t>
            </w:r>
          </w:p>
          <w:p w:rsidR="00724B08" w:rsidRDefault="00C725F3">
            <w:pPr>
              <w:spacing w:before="120"/>
              <w:jc w:val="both"/>
            </w:pPr>
            <w:r w:rsidRPr="00B63050">
              <w:t>N</w:t>
            </w:r>
            <w:r w:rsidR="00B722BF" w:rsidRPr="00B63050">
              <w:t>oteikumu projektā noteikti gadījumi, kādos sadarbības iestādei ir tiesības vienpusēji atkāpties no noslēgtās vienošanās</w:t>
            </w:r>
            <w:r w:rsidR="009B7F45" w:rsidRPr="00B63050">
              <w:t xml:space="preserve"> vai civiltiesiskā līguma</w:t>
            </w:r>
            <w:r w:rsidR="00B722BF" w:rsidRPr="00B63050">
              <w:t xml:space="preserve"> ar finansējuma saņēmēju par projekta īstenošanu.</w:t>
            </w:r>
          </w:p>
          <w:p w:rsidR="00724B08" w:rsidRDefault="00C725F3">
            <w:pPr>
              <w:spacing w:before="120"/>
              <w:jc w:val="both"/>
            </w:pPr>
            <w:r w:rsidRPr="00B63050">
              <w:t>5.6.1.</w:t>
            </w:r>
            <w:r w:rsidR="005A6A60" w:rsidRPr="00B63050">
              <w:t>SAM ir netieša ietekme gan uz horizontālo principu „Vienlīdzīgas iespējas”, gan uz horizontālo principu „Ilgtspējīga attīstība”. Ietekme uz horizontālo principu „Vienlīdzīgas iespējas” ir vides un informācijas pieejamības veicināšana un projektu vērtēšanā piešķir</w:t>
            </w:r>
            <w:r w:rsidR="00972A79">
              <w:t>s</w:t>
            </w:r>
            <w:r w:rsidR="005A6A60" w:rsidRPr="00B63050">
              <w:t xml:space="preserve"> papildu punkt</w:t>
            </w:r>
            <w:r w:rsidR="00972A79">
              <w:t>us</w:t>
            </w:r>
            <w:r w:rsidR="005A6A60" w:rsidRPr="00B63050">
              <w:t xml:space="preserve"> projektiem, kas paredzēs specifiskas vides un informācijas pieejamību veicinošas darbības papildu būvnormatīvos noteiktajam. Lai nodrošinātu šī principa uzraudzību, </w:t>
            </w:r>
            <w:r w:rsidR="00972A79" w:rsidRPr="00B63050">
              <w:t>uzkrā</w:t>
            </w:r>
            <w:r w:rsidR="00972A79">
              <w:t>s</w:t>
            </w:r>
            <w:r w:rsidR="00972A79" w:rsidRPr="00B63050">
              <w:t xml:space="preserve"> dat</w:t>
            </w:r>
            <w:r w:rsidR="00972A79">
              <w:t>us</w:t>
            </w:r>
            <w:r w:rsidR="00972A79" w:rsidRPr="00B63050">
              <w:t xml:space="preserve"> </w:t>
            </w:r>
            <w:r w:rsidR="005A6A60" w:rsidRPr="00B63050">
              <w:t xml:space="preserve">par horizontālā rādītāja sasniegšanu, proti, objektu skaits, kuros ERAF ieguldījumu rezultātā ir nodrošināta vides un </w:t>
            </w:r>
            <w:r w:rsidR="005A6A60" w:rsidRPr="00B63050">
              <w:lastRenderedPageBreak/>
              <w:t>informācijas pieejamība.</w:t>
            </w:r>
          </w:p>
          <w:p w:rsidR="00724B08" w:rsidRDefault="005A6A60">
            <w:pPr>
              <w:spacing w:before="120"/>
              <w:jc w:val="both"/>
            </w:pPr>
            <w:r w:rsidRPr="00B63050">
              <w:t>Ietekme uz horizontālo principu „Ilgtspējīga attīstība” ir zaļā publiskā iepirkuma principu ievērošana publiskajos iepirkumos un projektu vērtēšanā piešķir</w:t>
            </w:r>
            <w:r w:rsidR="00972A79">
              <w:t>s</w:t>
            </w:r>
            <w:r w:rsidRPr="00B63050">
              <w:t xml:space="preserve"> papildu </w:t>
            </w:r>
            <w:r w:rsidR="00972A79" w:rsidRPr="00B63050">
              <w:t>punkt</w:t>
            </w:r>
            <w:r w:rsidR="00972A79">
              <w:t>us</w:t>
            </w:r>
            <w:r w:rsidR="00972A79" w:rsidRPr="00B63050">
              <w:t xml:space="preserve"> </w:t>
            </w:r>
            <w:r w:rsidRPr="00B63050">
              <w:t>projektiem, kas paredzēs zaļā iepirkuma nosacījumus projekta ietvaros veicamajos publiskajos iepirkumos. Lai nodrošinātu šī principa uzraudzību, uzkrā</w:t>
            </w:r>
            <w:r w:rsidR="00972A79">
              <w:t>s</w:t>
            </w:r>
            <w:r w:rsidRPr="00B63050">
              <w:t xml:space="preserve"> </w:t>
            </w:r>
            <w:r w:rsidR="00972A79" w:rsidRPr="00B63050">
              <w:t>dat</w:t>
            </w:r>
            <w:r w:rsidR="00972A79">
              <w:t>us</w:t>
            </w:r>
            <w:r w:rsidR="00972A79" w:rsidRPr="00B63050">
              <w:t xml:space="preserve"> </w:t>
            </w:r>
            <w:r w:rsidRPr="00B63050">
              <w:t>par horizontālā rādītāja sasniegšanu veikto zaļo publisko iepirkumu summa (</w:t>
            </w:r>
            <w:r w:rsidRPr="00B63050">
              <w:rPr>
                <w:i/>
              </w:rPr>
              <w:t>euro</w:t>
            </w:r>
            <w:r w:rsidRPr="00B63050">
              <w:t>) projektu ietvaros</w:t>
            </w:r>
            <w:r w:rsidR="00C725F3" w:rsidRPr="00B63050">
              <w:t>, kā arī par enerģijas patēriņu ēkās un infrastruktūrā ieviestām enerģiju patērējošām iekārtām</w:t>
            </w:r>
            <w:r w:rsidRPr="00B63050">
              <w:t>.</w:t>
            </w:r>
          </w:p>
        </w:tc>
      </w:tr>
      <w:tr w:rsidR="00330C43" w:rsidRPr="00FE1C57" w:rsidTr="00972A79">
        <w:trPr>
          <w:trHeight w:val="56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E1C57" w:rsidRDefault="00330C43" w:rsidP="00330C43">
            <w:pPr>
              <w:jc w:val="center"/>
              <w:rPr>
                <w:lang w:eastAsia="en-US"/>
              </w:rPr>
            </w:pPr>
            <w:r w:rsidRPr="00FE1C57">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FE1C57" w:rsidRDefault="00330C43" w:rsidP="00330C43">
            <w:pPr>
              <w:rPr>
                <w:lang w:eastAsia="en-US"/>
              </w:rPr>
            </w:pPr>
            <w:r w:rsidRPr="00FE1C57">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24B08" w:rsidRDefault="00C725F3">
            <w:pPr>
              <w:jc w:val="both"/>
              <w:rPr>
                <w:b/>
              </w:rPr>
            </w:pPr>
            <w:r>
              <w:t>N</w:t>
            </w:r>
            <w:r w:rsidR="00B722BF" w:rsidRPr="00FE1C57">
              <w:t xml:space="preserve">oteikumu projekts ir izstrādāts pamatojoties uz </w:t>
            </w:r>
            <w:r w:rsidR="008D7B15">
              <w:t>Konceptuāl</w:t>
            </w:r>
            <w:r w:rsidR="00B722BF" w:rsidRPr="00FE1C57">
              <w:t xml:space="preserve">ajā ziņojumā noteiktajiem </w:t>
            </w:r>
            <w:r>
              <w:t>5.6.1.</w:t>
            </w:r>
            <w:r w:rsidR="00B722BF" w:rsidRPr="00FE1C57">
              <w:t>SAM ieviešanas principiem, kura izstrādē iesaistīta Finanšu ministrija,</w:t>
            </w:r>
            <w:r w:rsidR="00B326F7">
              <w:t xml:space="preserve"> Izglītības un zinātnes ministrija,</w:t>
            </w:r>
            <w:r w:rsidR="00B722BF" w:rsidRPr="00FE1C57">
              <w:t xml:space="preserve"> </w:t>
            </w:r>
            <w:r w:rsidR="00B326F7">
              <w:t xml:space="preserve">Rīgas </w:t>
            </w:r>
            <w:r w:rsidR="009331B5">
              <w:t xml:space="preserve">pilsētas </w:t>
            </w:r>
            <w:r w:rsidR="00B326F7">
              <w:t>pašvaldība</w:t>
            </w:r>
            <w:r w:rsidR="00B722BF" w:rsidRPr="00FE1C57">
              <w:t>.</w:t>
            </w:r>
          </w:p>
        </w:tc>
      </w:tr>
      <w:tr w:rsidR="00330C43" w:rsidRPr="00FE1C57"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E1C57" w:rsidRDefault="00330C43" w:rsidP="00330C43">
            <w:pPr>
              <w:jc w:val="center"/>
              <w:rPr>
                <w:lang w:eastAsia="en-US"/>
              </w:rPr>
            </w:pPr>
            <w:r w:rsidRPr="00FE1C57">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FE1C57" w:rsidRDefault="00330C43" w:rsidP="00330C43">
            <w:pPr>
              <w:rPr>
                <w:lang w:eastAsia="en-US"/>
              </w:rPr>
            </w:pPr>
            <w:r w:rsidRPr="00FE1C5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FE1C57" w:rsidRDefault="00717FBB" w:rsidP="00717FBB">
            <w:pPr>
              <w:jc w:val="both"/>
            </w:pPr>
            <w:r w:rsidRPr="00FE1C57">
              <w:t xml:space="preserve">Projekta iesniegumu vērtēšanas kritērijus, kurus piemēros </w:t>
            </w:r>
            <w:r w:rsidR="00C725F3">
              <w:t>5.6.1.</w:t>
            </w:r>
            <w:r w:rsidRPr="00FE1C57">
              <w:t>SAM ietvaros projektu iesniegumu vērtēšanā, ir plānots apstiprināt 2014. – 2020.gada plānošanas perioda Uzraudzības komitejā, kuras sastāvā ir iekļauta arī sociālie, nevalstiskā sektora un reģionālie partneri.</w:t>
            </w:r>
          </w:p>
        </w:tc>
      </w:tr>
    </w:tbl>
    <w:p w:rsidR="00041551" w:rsidRDefault="00041551" w:rsidP="00C61A59">
      <w:pPr>
        <w:jc w:val="both"/>
      </w:pPr>
    </w:p>
    <w:p w:rsidR="00FE1C57" w:rsidRPr="00FE1C57" w:rsidRDefault="00FE1C57"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rsidR="00A40705" w:rsidRPr="00FE1C5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FE1C57" w:rsidRDefault="00A40705" w:rsidP="00BF08DE">
            <w:pPr>
              <w:pStyle w:val="Sarakstarindkopa"/>
              <w:tabs>
                <w:tab w:val="left" w:pos="2268"/>
                <w:tab w:val="left" w:pos="2410"/>
              </w:tabs>
              <w:ind w:left="1080"/>
              <w:jc w:val="center"/>
              <w:rPr>
                <w:b/>
                <w:sz w:val="24"/>
                <w:szCs w:val="24"/>
                <w:lang w:eastAsia="en-US"/>
              </w:rPr>
            </w:pPr>
            <w:r w:rsidRPr="00FE1C57">
              <w:rPr>
                <w:b/>
                <w:bCs/>
                <w:sz w:val="24"/>
                <w:szCs w:val="24"/>
              </w:rPr>
              <w:t>II. Tiesību akta projekta ietekme uz sabiedrību, tautsaimniecības attīstību un administratīvo slogu</w:t>
            </w:r>
          </w:p>
        </w:tc>
      </w:tr>
      <w:tr w:rsidR="00A40705" w:rsidRPr="00FE1C57" w:rsidTr="00972A7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FE1C57" w:rsidRDefault="00A40705" w:rsidP="00BF08DE">
            <w:pPr>
              <w:jc w:val="center"/>
              <w:rPr>
                <w:lang w:eastAsia="en-US"/>
              </w:rPr>
            </w:pPr>
            <w:r w:rsidRPr="00FE1C5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FE1C57" w:rsidRDefault="00A40705" w:rsidP="00BF08DE">
            <w:pPr>
              <w:rPr>
                <w:lang w:eastAsia="en-US"/>
              </w:rPr>
            </w:pPr>
            <w:r w:rsidRPr="00FE1C57">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A40705" w:rsidRPr="00FE1C57" w:rsidRDefault="00C725F3" w:rsidP="00972A79">
            <w:pPr>
              <w:jc w:val="both"/>
              <w:rPr>
                <w:bCs/>
                <w:lang w:eastAsia="en-US"/>
              </w:rPr>
            </w:pPr>
            <w:r>
              <w:rPr>
                <w:bCs/>
                <w:lang w:eastAsia="en-US"/>
              </w:rPr>
              <w:t>5.6.1.</w:t>
            </w:r>
            <w:r w:rsidR="00A40705" w:rsidRPr="00FE1C57">
              <w:rPr>
                <w:bCs/>
                <w:lang w:eastAsia="en-US"/>
              </w:rPr>
              <w:t xml:space="preserve">SAM ietvaros plānotie </w:t>
            </w:r>
            <w:r w:rsidR="00A40705" w:rsidRPr="00B63050">
              <w:rPr>
                <w:bCs/>
                <w:lang w:eastAsia="en-US"/>
              </w:rPr>
              <w:t>projektu iesniedzēji, t</w:t>
            </w:r>
            <w:r w:rsidR="00972A79">
              <w:rPr>
                <w:bCs/>
                <w:lang w:eastAsia="en-US"/>
              </w:rPr>
              <w:t xml:space="preserve">ajā skaitā </w:t>
            </w:r>
            <w:r w:rsidR="00660DC9" w:rsidRPr="00B63050">
              <w:rPr>
                <w:bCs/>
                <w:lang w:eastAsia="en-US"/>
              </w:rPr>
              <w:t>Rīgas pilsētas iedzīvotāji,</w:t>
            </w:r>
            <w:r w:rsidR="00ED7D35" w:rsidRPr="00B63050">
              <w:rPr>
                <w:bCs/>
                <w:lang w:eastAsia="en-US"/>
              </w:rPr>
              <w:t xml:space="preserve"> </w:t>
            </w:r>
            <w:r w:rsidR="003D42E1" w:rsidRPr="00B63050">
              <w:rPr>
                <w:bCs/>
                <w:lang w:eastAsia="en-US"/>
              </w:rPr>
              <w:t>komersanti</w:t>
            </w:r>
            <w:r w:rsidR="00ED7D35" w:rsidRPr="00B63050">
              <w:rPr>
                <w:bCs/>
                <w:lang w:eastAsia="en-US"/>
              </w:rPr>
              <w:t>, viesi un Rīgas pilsētas pašvaldība.</w:t>
            </w:r>
            <w:r w:rsidR="00ED7D35">
              <w:rPr>
                <w:bCs/>
                <w:lang w:eastAsia="en-US"/>
              </w:rPr>
              <w:t xml:space="preserve"> </w:t>
            </w:r>
            <w:r w:rsidR="00B722BF" w:rsidRPr="00FE1C57">
              <w:rPr>
                <w:bCs/>
                <w:lang w:eastAsia="en-US"/>
              </w:rPr>
              <w:t xml:space="preserve"> </w:t>
            </w:r>
          </w:p>
        </w:tc>
      </w:tr>
      <w:tr w:rsidR="00A40705" w:rsidRPr="00FE1C5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E1C57" w:rsidRDefault="00A40705" w:rsidP="00BF08DE">
            <w:pPr>
              <w:jc w:val="center"/>
            </w:pPr>
            <w:r w:rsidRPr="00FE1C5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E1C57" w:rsidRDefault="00A40705" w:rsidP="00BF08DE">
            <w:pPr>
              <w:rPr>
                <w:rFonts w:ascii="Arial" w:hAnsi="Arial" w:cs="Arial"/>
                <w:color w:val="414142"/>
                <w:sz w:val="20"/>
                <w:szCs w:val="20"/>
              </w:rPr>
            </w:pPr>
            <w:r w:rsidRPr="00FE1C5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50751" w:rsidRPr="0071628A" w:rsidRDefault="00C725F3" w:rsidP="00B50751">
            <w:pPr>
              <w:pStyle w:val="Sarakstarindkopa"/>
              <w:spacing w:before="60" w:after="60"/>
              <w:ind w:left="34"/>
              <w:jc w:val="both"/>
              <w:rPr>
                <w:sz w:val="24"/>
                <w:szCs w:val="24"/>
              </w:rPr>
            </w:pPr>
            <w:r>
              <w:rPr>
                <w:sz w:val="24"/>
                <w:szCs w:val="24"/>
              </w:rPr>
              <w:t>N</w:t>
            </w:r>
            <w:r w:rsidR="00B50751">
              <w:rPr>
                <w:sz w:val="24"/>
                <w:szCs w:val="24"/>
              </w:rPr>
              <w:t>oteikumu projekts paredz veikto investīciju rezultātā līdz 202</w:t>
            </w:r>
            <w:r w:rsidR="00660DC9">
              <w:rPr>
                <w:sz w:val="24"/>
                <w:szCs w:val="24"/>
              </w:rPr>
              <w:t>2</w:t>
            </w:r>
            <w:r w:rsidR="00B50751">
              <w:rPr>
                <w:sz w:val="24"/>
                <w:szCs w:val="24"/>
              </w:rPr>
              <w:t xml:space="preserve">.gada 31.decembrim Rīgas </w:t>
            </w:r>
            <w:r w:rsidR="00FC05F8" w:rsidRPr="00FC05F8">
              <w:rPr>
                <w:sz w:val="24"/>
                <w:szCs w:val="24"/>
              </w:rPr>
              <w:t>pilsētas degradētajās teritorijās izveidot vai atjaunot sabiedrisko telpu ar platību</w:t>
            </w:r>
            <w:r w:rsidR="00B50751" w:rsidRPr="00DE4D8C">
              <w:rPr>
                <w:sz w:val="24"/>
                <w:szCs w:val="24"/>
              </w:rPr>
              <w:t xml:space="preserve"> vismaz 10 000 m</w:t>
            </w:r>
            <w:r w:rsidR="00B50751" w:rsidRPr="00DE4D8C">
              <w:rPr>
                <w:sz w:val="24"/>
                <w:szCs w:val="24"/>
                <w:vertAlign w:val="superscript"/>
              </w:rPr>
              <w:t>2</w:t>
            </w:r>
            <w:r w:rsidR="00B50751" w:rsidRPr="00DE4D8C">
              <w:rPr>
                <w:sz w:val="24"/>
                <w:szCs w:val="24"/>
              </w:rPr>
              <w:t>,</w:t>
            </w:r>
            <w:r w:rsidR="00B50751" w:rsidRPr="00DE4D8C">
              <w:rPr>
                <w:sz w:val="24"/>
                <w:szCs w:val="24"/>
                <w:vertAlign w:val="superscript"/>
              </w:rPr>
              <w:t xml:space="preserve"> </w:t>
            </w:r>
            <w:r w:rsidR="00FC05F8" w:rsidRPr="00FC05F8">
              <w:rPr>
                <w:sz w:val="24"/>
                <w:szCs w:val="24"/>
              </w:rPr>
              <w:t>uzcelt vai atjaunot sabiedriskās publiskās vai komercēkas Rīgas pilsētā ar platību vismaz 20 000 m</w:t>
            </w:r>
            <w:r w:rsidR="00B50751" w:rsidRPr="00DE4D8C">
              <w:rPr>
                <w:sz w:val="24"/>
                <w:szCs w:val="24"/>
                <w:vertAlign w:val="superscript"/>
              </w:rPr>
              <w:t>2</w:t>
            </w:r>
            <w:r w:rsidR="00B50751">
              <w:rPr>
                <w:sz w:val="24"/>
                <w:szCs w:val="24"/>
              </w:rPr>
              <w:t xml:space="preserve"> un atjaunot 18 objektus, kā arī palielināt </w:t>
            </w:r>
            <w:r w:rsidR="00B50751" w:rsidRPr="0071628A">
              <w:rPr>
                <w:sz w:val="24"/>
                <w:szCs w:val="24"/>
              </w:rPr>
              <w:t xml:space="preserve">privāto investīciju piesaisti attiecīgajās Rīgas apkaimēs vismaz 60 milj. </w:t>
            </w:r>
            <w:r w:rsidR="00E321B8" w:rsidRPr="00E321B8">
              <w:rPr>
                <w:i/>
                <w:sz w:val="24"/>
                <w:szCs w:val="24"/>
              </w:rPr>
              <w:t>euro</w:t>
            </w:r>
            <w:r w:rsidR="00B50751" w:rsidRPr="0071628A">
              <w:rPr>
                <w:sz w:val="24"/>
                <w:szCs w:val="24"/>
              </w:rPr>
              <w:t xml:space="preserve"> apmērā</w:t>
            </w:r>
            <w:r w:rsidR="00660DC9" w:rsidRPr="0071628A">
              <w:rPr>
                <w:sz w:val="24"/>
                <w:szCs w:val="24"/>
              </w:rPr>
              <w:t xml:space="preserve">, sasniedzot iesaistīto privāto investīciju atbalstāmajās teritorijās apjomu 210 000 000 </w:t>
            </w:r>
            <w:r w:rsidR="00E321B8" w:rsidRPr="00E321B8">
              <w:rPr>
                <w:i/>
                <w:sz w:val="24"/>
                <w:szCs w:val="24"/>
              </w:rPr>
              <w:t>euro</w:t>
            </w:r>
            <w:r w:rsidR="00660DC9" w:rsidRPr="0071628A">
              <w:rPr>
                <w:sz w:val="24"/>
                <w:szCs w:val="24"/>
              </w:rPr>
              <w:t xml:space="preserve"> apmērā</w:t>
            </w:r>
            <w:r w:rsidR="00B50751" w:rsidRPr="0071628A">
              <w:rPr>
                <w:sz w:val="24"/>
                <w:szCs w:val="24"/>
              </w:rPr>
              <w:t>.</w:t>
            </w:r>
          </w:p>
          <w:p w:rsidR="00B50751" w:rsidRDefault="00B50751" w:rsidP="00B50751">
            <w:pPr>
              <w:spacing w:before="120"/>
              <w:jc w:val="both"/>
            </w:pPr>
            <w:r>
              <w:t xml:space="preserve">Saskaņā </w:t>
            </w:r>
            <w:r w:rsidR="00972A79">
              <w:t xml:space="preserve">ar </w:t>
            </w:r>
            <w:r>
              <w:t xml:space="preserve">5.6.1.SAM atbalstāmajām darbībām attīstāmajās teritorijās plānots nodrošināt kultūras un sporta funkciju pieejamību, nodrošinot minēto rādītāju sasniegšanu. </w:t>
            </w:r>
          </w:p>
          <w:p w:rsidR="00B50751" w:rsidRDefault="00B50751" w:rsidP="00B50751">
            <w:pPr>
              <w:spacing w:before="120"/>
              <w:jc w:val="both"/>
            </w:pPr>
            <w:r>
              <w:t>Līdz ar kultūras un sporta funkciju pieejamības nodrošināšanu, jaunas infrastruktūras izveidi un esošās infrastruktūras sakārtošanu, nodrošinā</w:t>
            </w:r>
            <w:r w:rsidR="00972A79">
              <w:t>s</w:t>
            </w:r>
            <w:r>
              <w:t xml:space="preserve"> iedzīvotāju kvalitatīva brīvā laika pavadīšanas iespējas, tādējādi veicinot teritoriju apmeklējuma pieaugumu.</w:t>
            </w:r>
          </w:p>
          <w:p w:rsidR="00B50751" w:rsidRDefault="00B50751" w:rsidP="00B50751">
            <w:pPr>
              <w:spacing w:before="120"/>
              <w:jc w:val="both"/>
            </w:pPr>
            <w:r>
              <w:t xml:space="preserve">Paredzams, ka palielinoties teritorijas apmeklējuma intensitātei un pateicoties veiktajām investīcijām </w:t>
            </w:r>
            <w:r>
              <w:lastRenderedPageBreak/>
              <w:t xml:space="preserve">atbalstāmajās teritorijās, pieaugs privāto investoru interese investēt attīstītajās teritorijās, tādējādi pieaugot uzņēmējdarbības aktivitātei. </w:t>
            </w:r>
          </w:p>
          <w:p w:rsidR="00B50751" w:rsidRDefault="00B50751" w:rsidP="00B50751">
            <w:pPr>
              <w:spacing w:before="120"/>
              <w:jc w:val="both"/>
            </w:pPr>
            <w:r>
              <w:t>Līdz ar augstāk minēto kritēriju izpildi un rezultatīvo rādītāju sasniegšanu, attīstī</w:t>
            </w:r>
            <w:r w:rsidR="00972A79">
              <w:t>s</w:t>
            </w:r>
            <w:r>
              <w:t xml:space="preserve"> </w:t>
            </w:r>
            <w:r w:rsidR="00972A79">
              <w:t>teritoriju</w:t>
            </w:r>
            <w:r>
              <w:t xml:space="preserve">, uzlabosies apkaimju sociāli – ekonomiskā vide un </w:t>
            </w:r>
            <w:r w:rsidR="00972A79">
              <w:t xml:space="preserve">veicinās </w:t>
            </w:r>
            <w:r>
              <w:t xml:space="preserve">apkaimju un Rīgas pilsētas </w:t>
            </w:r>
            <w:r w:rsidR="00972A79">
              <w:t>revitalizāciju</w:t>
            </w:r>
            <w:r>
              <w:t>.</w:t>
            </w:r>
          </w:p>
          <w:p w:rsidR="00972A79" w:rsidRDefault="00B50751" w:rsidP="00972A79">
            <w:pPr>
              <w:spacing w:before="120"/>
              <w:jc w:val="both"/>
            </w:pPr>
            <w:r>
              <w:t>Lai novērtētu Rīgas pilsētas revitalizācijas efektu,</w:t>
            </w:r>
            <w:r w:rsidR="002A65C4">
              <w:t xml:space="preserve"> Rīgas pilsētas pašvaldība </w:t>
            </w:r>
            <w:r>
              <w:t>v</w:t>
            </w:r>
            <w:r w:rsidR="002A65C4">
              <w:t>eik</w:t>
            </w:r>
            <w:r>
              <w:t xml:space="preserve">s </w:t>
            </w:r>
            <w:r w:rsidR="00972A79">
              <w:t>pētījumu</w:t>
            </w:r>
            <w:r>
              <w:t>, novērtējot rezultatīvo rādītāju izpildes ietekmi uz atbalstāmo teritoriju revitalizāciju.</w:t>
            </w:r>
          </w:p>
          <w:p w:rsidR="00724B08" w:rsidRDefault="00B50751">
            <w:pPr>
              <w:spacing w:before="120"/>
              <w:jc w:val="both"/>
            </w:pPr>
            <w:r>
              <w:t xml:space="preserve">Vērtējot projektu īstenošanas ietekmi uz administratīvajām procedūrām un to izmaksām, nav identificēts administratīvā sloga palielinājums ne potenciālajiem finansējuma saņēmējiem, ne fondu vadībā iesaistītajām institūcijām. </w:t>
            </w:r>
            <w:r w:rsidR="00C725F3">
              <w:t>N</w:t>
            </w:r>
            <w:r>
              <w:t>oteikumu projekts nosaka, ka projekta attiecināmajās izmaksās ir iekļaujamas projekta administrēšanas izmaksas, tādejādi samazinot administratīvo izmaksu slogu uz projekta iesniedzēja budžetu.</w:t>
            </w:r>
          </w:p>
        </w:tc>
      </w:tr>
      <w:tr w:rsidR="00A40705" w:rsidRPr="00FE1C5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E1C57" w:rsidRDefault="00A40705" w:rsidP="00BF08DE">
            <w:pPr>
              <w:jc w:val="center"/>
            </w:pPr>
            <w:r w:rsidRPr="00FE1C57">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E1C57" w:rsidRDefault="00A40705" w:rsidP="00BF08DE">
            <w:pPr>
              <w:rPr>
                <w:rFonts w:ascii="Arial" w:hAnsi="Arial" w:cs="Arial"/>
                <w:color w:val="414142"/>
                <w:sz w:val="20"/>
                <w:szCs w:val="20"/>
              </w:rPr>
            </w:pPr>
            <w:r w:rsidRPr="00FE1C5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E1C57" w:rsidRDefault="006C00C6" w:rsidP="00813BE9">
            <w:pPr>
              <w:pStyle w:val="Sarakstarindkopa"/>
              <w:tabs>
                <w:tab w:val="left" w:pos="317"/>
              </w:tabs>
              <w:spacing w:before="60" w:after="60"/>
              <w:ind w:left="34"/>
              <w:jc w:val="both"/>
              <w:rPr>
                <w:bCs/>
                <w:sz w:val="24"/>
                <w:szCs w:val="24"/>
                <w:lang w:eastAsia="en-US"/>
              </w:rPr>
            </w:pPr>
            <w:r w:rsidRPr="00C725F3">
              <w:rPr>
                <w:bCs/>
                <w:sz w:val="24"/>
                <w:szCs w:val="24"/>
                <w:lang w:eastAsia="en-US"/>
              </w:rPr>
              <w:t xml:space="preserve">ES fondu administrēšanas izmaksas plānots segt no </w:t>
            </w:r>
            <w:r w:rsidRPr="00C725F3">
              <w:rPr>
                <w:sz w:val="24"/>
                <w:szCs w:val="24"/>
              </w:rPr>
              <w:t>Eiropas Savienības struktūrfondu un Kohēzijas fonda 2014.-2020.gada plānošanas perioda</w:t>
            </w:r>
            <w:r w:rsidRPr="00C725F3">
              <w:rPr>
                <w:bCs/>
                <w:sz w:val="24"/>
                <w:szCs w:val="24"/>
                <w:lang w:eastAsia="en-US"/>
              </w:rPr>
              <w:t xml:space="preserve"> tehniskās palīdzības projekta līdzekļiem</w:t>
            </w:r>
            <w:r w:rsidR="002F0429" w:rsidRPr="00C725F3">
              <w:rPr>
                <w:bCs/>
                <w:sz w:val="24"/>
                <w:szCs w:val="24"/>
                <w:lang w:eastAsia="en-US"/>
              </w:rPr>
              <w:t>.</w:t>
            </w:r>
          </w:p>
        </w:tc>
      </w:tr>
      <w:tr w:rsidR="00A40705" w:rsidRPr="00FE1C5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E1C57" w:rsidRDefault="00A40705" w:rsidP="00BF08DE">
            <w:pPr>
              <w:jc w:val="center"/>
            </w:pPr>
            <w:r w:rsidRPr="00FE1C57">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E1C57" w:rsidRDefault="00A40705" w:rsidP="00BF08DE">
            <w:pPr>
              <w:rPr>
                <w:rFonts w:ascii="Arial" w:hAnsi="Arial" w:cs="Arial"/>
                <w:color w:val="414142"/>
                <w:sz w:val="20"/>
                <w:szCs w:val="20"/>
              </w:rPr>
            </w:pPr>
            <w:r w:rsidRPr="00FE1C5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E1C57" w:rsidRDefault="00A40705" w:rsidP="00BF08DE">
            <w:pPr>
              <w:pStyle w:val="Sarakstarindkopa"/>
              <w:tabs>
                <w:tab w:val="left" w:pos="317"/>
              </w:tabs>
              <w:spacing w:before="60" w:after="60"/>
              <w:ind w:left="34"/>
              <w:jc w:val="both"/>
              <w:rPr>
                <w:bCs/>
                <w:sz w:val="24"/>
                <w:szCs w:val="24"/>
                <w:lang w:eastAsia="en-US"/>
              </w:rPr>
            </w:pPr>
            <w:r w:rsidRPr="00FE1C57">
              <w:rPr>
                <w:bCs/>
                <w:sz w:val="24"/>
                <w:szCs w:val="24"/>
                <w:lang w:eastAsia="en-US"/>
              </w:rPr>
              <w:t>Nav.</w:t>
            </w:r>
          </w:p>
        </w:tc>
      </w:tr>
    </w:tbl>
    <w:p w:rsidR="00041551" w:rsidRDefault="00041551" w:rsidP="00C61A59">
      <w:pPr>
        <w:jc w:val="both"/>
      </w:pPr>
    </w:p>
    <w:p w:rsidR="00972A79" w:rsidRPr="00FE1C57" w:rsidRDefault="00972A79" w:rsidP="00C61A59">
      <w:pPr>
        <w:jc w:val="both"/>
      </w:pPr>
    </w:p>
    <w:tbl>
      <w:tblPr>
        <w:tblW w:w="9356" w:type="dxa"/>
        <w:tblInd w:w="-34" w:type="dxa"/>
        <w:tblLayout w:type="fixed"/>
        <w:tblCellMar>
          <w:left w:w="0" w:type="dxa"/>
          <w:right w:w="0" w:type="dxa"/>
        </w:tblCellMar>
        <w:tblLook w:val="04A0"/>
      </w:tblPr>
      <w:tblGrid>
        <w:gridCol w:w="2410"/>
        <w:gridCol w:w="1163"/>
        <w:gridCol w:w="1389"/>
        <w:gridCol w:w="1559"/>
        <w:gridCol w:w="1418"/>
        <w:gridCol w:w="1417"/>
      </w:tblGrid>
      <w:tr w:rsidR="009B7F45" w:rsidRPr="00FE1C57" w:rsidTr="009B7F45">
        <w:tc>
          <w:tcPr>
            <w:tcW w:w="935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pStyle w:val="Sarakstarindkopa"/>
              <w:ind w:left="1080"/>
              <w:jc w:val="center"/>
              <w:rPr>
                <w:b/>
                <w:bCs/>
                <w:sz w:val="24"/>
                <w:szCs w:val="24"/>
                <w:lang w:eastAsia="en-US"/>
              </w:rPr>
            </w:pPr>
            <w:r w:rsidRPr="00FE1C57">
              <w:rPr>
                <w:b/>
                <w:bCs/>
                <w:sz w:val="24"/>
                <w:szCs w:val="24"/>
              </w:rPr>
              <w:t>III. Tiesību akta projekta ietekme uz valsts budžetu un pašvaldību budžetiem</w:t>
            </w:r>
          </w:p>
        </w:tc>
      </w:tr>
      <w:tr w:rsidR="009B7F45" w:rsidRPr="00FE1C57" w:rsidTr="009B7F45">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Rādītāji</w:t>
            </w:r>
          </w:p>
        </w:tc>
        <w:tc>
          <w:tcPr>
            <w:tcW w:w="25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201</w:t>
            </w:r>
            <w:r>
              <w:rPr>
                <w:b/>
                <w:bCs/>
              </w:rPr>
              <w:t>6</w:t>
            </w:r>
            <w:r w:rsidRPr="00FE1C57">
              <w:rPr>
                <w:b/>
                <w:bCs/>
              </w:rPr>
              <w:t>.gads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Turpmākie trīs gadi (</w:t>
            </w:r>
            <w:r w:rsidRPr="004B3EE3">
              <w:rPr>
                <w:b/>
                <w:bCs/>
                <w:i/>
              </w:rPr>
              <w:t>euro</w:t>
            </w:r>
            <w:r w:rsidRPr="00FE1C57">
              <w:rPr>
                <w:b/>
                <w:bCs/>
              </w:rPr>
              <w:t>)</w:t>
            </w:r>
          </w:p>
        </w:tc>
      </w:tr>
      <w:tr w:rsidR="009B7F45" w:rsidRPr="00FE1C57" w:rsidTr="009B7F45">
        <w:tc>
          <w:tcPr>
            <w:tcW w:w="2410" w:type="dxa"/>
            <w:vMerge/>
            <w:tcBorders>
              <w:top w:val="nil"/>
              <w:left w:val="single" w:sz="8" w:space="0" w:color="auto"/>
              <w:bottom w:val="single" w:sz="8" w:space="0" w:color="auto"/>
              <w:right w:val="single" w:sz="8" w:space="0" w:color="auto"/>
            </w:tcBorders>
            <w:vAlign w:val="center"/>
            <w:hideMark/>
          </w:tcPr>
          <w:p w:rsidR="009B7F45" w:rsidRPr="00FE1C57" w:rsidRDefault="009B7F45" w:rsidP="009B7F45">
            <w:pPr>
              <w:rPr>
                <w:b/>
                <w:bCs/>
                <w:lang w:eastAsia="en-US"/>
              </w:rPr>
            </w:pPr>
          </w:p>
        </w:tc>
        <w:tc>
          <w:tcPr>
            <w:tcW w:w="2552" w:type="dxa"/>
            <w:gridSpan w:val="2"/>
            <w:vMerge/>
            <w:tcBorders>
              <w:top w:val="nil"/>
              <w:left w:val="nil"/>
              <w:bottom w:val="single" w:sz="8" w:space="0" w:color="auto"/>
              <w:right w:val="single" w:sz="8" w:space="0" w:color="auto"/>
            </w:tcBorders>
            <w:vAlign w:val="center"/>
            <w:hideMark/>
          </w:tcPr>
          <w:p w:rsidR="009B7F45" w:rsidRPr="00FE1C57" w:rsidRDefault="009B7F45" w:rsidP="009B7F45">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201</w:t>
            </w:r>
            <w:r>
              <w:rPr>
                <w:b/>
                <w:bCs/>
              </w:rPr>
              <w:t>7</w:t>
            </w:r>
            <w:r w:rsidRPr="00FE1C57">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201</w:t>
            </w:r>
            <w:r>
              <w:rPr>
                <w:b/>
                <w:bCs/>
              </w:rPr>
              <w:t>8</w:t>
            </w:r>
            <w:r w:rsidRPr="00FE1C57">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201</w:t>
            </w:r>
            <w:r>
              <w:rPr>
                <w:b/>
                <w:bCs/>
              </w:rPr>
              <w:t>9</w:t>
            </w:r>
            <w:r w:rsidRPr="00FE1C57">
              <w:rPr>
                <w:b/>
                <w:bCs/>
              </w:rPr>
              <w:t>.g.</w:t>
            </w:r>
          </w:p>
        </w:tc>
      </w:tr>
      <w:tr w:rsidR="009B7F45" w:rsidRPr="00FE1C57" w:rsidTr="009B7F45">
        <w:tc>
          <w:tcPr>
            <w:tcW w:w="2410" w:type="dxa"/>
            <w:vMerge/>
            <w:tcBorders>
              <w:top w:val="nil"/>
              <w:left w:val="single" w:sz="8" w:space="0" w:color="auto"/>
              <w:bottom w:val="single" w:sz="8" w:space="0" w:color="auto"/>
              <w:right w:val="single" w:sz="8" w:space="0" w:color="auto"/>
            </w:tcBorders>
            <w:vAlign w:val="center"/>
            <w:hideMark/>
          </w:tcPr>
          <w:p w:rsidR="009B7F45" w:rsidRPr="00FE1C57" w:rsidRDefault="009B7F45" w:rsidP="009B7F45">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saskaņā ar valsts budžetu kārtējam gadam</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b/>
                <w:bCs/>
                <w:lang w:eastAsia="en-US"/>
              </w:rPr>
            </w:pPr>
            <w:r w:rsidRPr="00FE1C57">
              <w:rPr>
                <w:b/>
                <w:bCs/>
              </w:rPr>
              <w:t>izmaiņas, salīdzinot ar kārtējo (n) gadu</w:t>
            </w:r>
          </w:p>
        </w:tc>
      </w:tr>
      <w:tr w:rsidR="009B7F45" w:rsidRPr="00FE1C57" w:rsidTr="009B7F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lang w:eastAsia="en-US"/>
              </w:rPr>
            </w:pPr>
            <w:r w:rsidRPr="00FE1C57">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lang w:eastAsia="en-US"/>
              </w:rPr>
            </w:pPr>
            <w:r w:rsidRPr="00FE1C57">
              <w:t>2</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lang w:eastAsia="en-US"/>
              </w:rPr>
            </w:pPr>
            <w:r w:rsidRPr="00FE1C57">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lang w:eastAsia="en-US"/>
              </w:rPr>
            </w:pPr>
            <w:r w:rsidRPr="00FE1C57">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lang w:eastAsia="en-US"/>
              </w:rPr>
            </w:pPr>
            <w:r w:rsidRPr="00FE1C57">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center"/>
              <w:rPr>
                <w:lang w:eastAsia="en-US"/>
              </w:rPr>
            </w:pPr>
            <w:r w:rsidRPr="00FE1C57">
              <w:t>6</w:t>
            </w:r>
          </w:p>
        </w:tc>
      </w:tr>
      <w:tr w:rsidR="00233231"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231" w:rsidRPr="00FE1C57" w:rsidRDefault="00233231" w:rsidP="009B7F45">
            <w:pPr>
              <w:rPr>
                <w:lang w:eastAsia="en-US"/>
              </w:rPr>
            </w:pPr>
            <w:r w:rsidRPr="00FE1C57">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FE1C57" w:rsidRDefault="00233231" w:rsidP="009B7F45">
            <w:pPr>
              <w:jc w:val="right"/>
              <w:rPr>
                <w:lang w:eastAsia="en-US"/>
              </w:rPr>
            </w:pPr>
            <w:r w:rsidRPr="00FE1C57">
              <w:t>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2 318 240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 xml:space="preserve">5 133 245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9 935 314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13 247 085</w:t>
            </w:r>
          </w:p>
        </w:tc>
      </w:tr>
      <w:tr w:rsidR="00233231"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231" w:rsidRPr="00FE1C57" w:rsidRDefault="00233231" w:rsidP="009B7F45">
            <w:pPr>
              <w:rPr>
                <w:lang w:eastAsia="en-US"/>
              </w:rPr>
            </w:pPr>
            <w:r w:rsidRPr="00FE1C57">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FE1C57" w:rsidRDefault="00233231" w:rsidP="009B7F45">
            <w:pPr>
              <w:jc w:val="right"/>
              <w:rPr>
                <w:lang w:eastAsia="en-US"/>
              </w:rPr>
            </w:pPr>
            <w:r w:rsidRPr="00FE1C57">
              <w:t>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2 318 240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 xml:space="preserve">5 133 244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9 935 314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13 247 085</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 xml:space="preserve">1.2. valsts speciālais </w:t>
            </w:r>
            <w:r w:rsidRPr="00FE1C57">
              <w:lastRenderedPageBreak/>
              <w: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right"/>
              <w:rPr>
                <w:lang w:eastAsia="en-US"/>
              </w:rPr>
            </w:pPr>
            <w:r w:rsidRPr="00FE1C57">
              <w:lastRenderedPageBreak/>
              <w:t>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lastRenderedPageBreak/>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right"/>
              <w:rPr>
                <w:lang w:eastAsia="en-US"/>
              </w:rPr>
            </w:pPr>
            <w:r w:rsidRPr="00FE1C57">
              <w:t>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r>
      <w:tr w:rsidR="00233231"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231" w:rsidRPr="00FE1C57" w:rsidRDefault="00233231" w:rsidP="009B7F45">
            <w:pPr>
              <w:rPr>
                <w:lang w:eastAsia="en-US"/>
              </w:rPr>
            </w:pPr>
            <w:r w:rsidRPr="00FE1C57">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FE1C57" w:rsidRDefault="00233231"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2 727 341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6 039 111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11 688 604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15 584 805</w:t>
            </w:r>
          </w:p>
        </w:tc>
      </w:tr>
      <w:tr w:rsidR="00233231"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231" w:rsidRPr="00FE1C57" w:rsidRDefault="00233231" w:rsidP="009B7F45">
            <w:pPr>
              <w:rPr>
                <w:lang w:eastAsia="en-US"/>
              </w:rPr>
            </w:pPr>
            <w:r w:rsidRPr="00FE1C57">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FE1C57" w:rsidRDefault="00233231"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2 367 341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5 591 271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11 016 844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15 264 405</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360 000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447 840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671 760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320 400</w:t>
            </w:r>
          </w:p>
        </w:tc>
      </w:tr>
      <w:tr w:rsidR="00233231"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231" w:rsidRPr="00FE1C57" w:rsidRDefault="00233231" w:rsidP="009B7F45">
            <w:pPr>
              <w:rPr>
                <w:lang w:eastAsia="en-US"/>
              </w:rPr>
            </w:pPr>
            <w:r w:rsidRPr="00FE1C57">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FE1C57" w:rsidRDefault="00233231"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-409 101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- 905 867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-1 753 290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-2 337 720</w:t>
            </w:r>
          </w:p>
        </w:tc>
      </w:tr>
      <w:tr w:rsidR="00233231"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231" w:rsidRPr="00FE1C57" w:rsidRDefault="00233231" w:rsidP="009B7F45">
            <w:pPr>
              <w:rPr>
                <w:lang w:eastAsia="en-US"/>
              </w:rPr>
            </w:pPr>
            <w:r w:rsidRPr="00FE1C57">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FE1C57" w:rsidRDefault="00233231"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-49 101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- 458 026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-1 081 530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rPr>
                <w:lang w:eastAsia="en-US"/>
              </w:rPr>
              <w:t>-2 017 320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right"/>
              <w:rPr>
                <w:lang w:eastAsia="en-US"/>
              </w:rPr>
            </w:pPr>
            <w:r w:rsidRPr="00FE1C57">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7F45" w:rsidRPr="0071628A" w:rsidRDefault="009B7F45" w:rsidP="00972A79">
            <w:pPr>
              <w:jc w:val="right"/>
              <w:rPr>
                <w:lang w:eastAsia="en-US"/>
              </w:rPr>
            </w:pPr>
            <w:r w:rsidRPr="0071628A">
              <w:t>-360 000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- 447 840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-671 760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71628A" w:rsidRDefault="009B7F45" w:rsidP="00972A79">
            <w:pPr>
              <w:jc w:val="right"/>
              <w:rPr>
                <w:lang w:eastAsia="en-US"/>
              </w:rPr>
            </w:pPr>
            <w:r w:rsidRPr="0071628A">
              <w:rPr>
                <w:lang w:eastAsia="en-US"/>
              </w:rPr>
              <w:t>-320 400</w:t>
            </w:r>
          </w:p>
        </w:tc>
      </w:tr>
      <w:tr w:rsidR="00233231" w:rsidRPr="00FE1C57" w:rsidTr="00972A79">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231" w:rsidRPr="00FE1C57" w:rsidRDefault="00233231" w:rsidP="009B7F45">
            <w:pPr>
              <w:rPr>
                <w:lang w:eastAsia="en-US"/>
              </w:rPr>
            </w:pPr>
            <w:r w:rsidRPr="00FE1C57">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FE1C57" w:rsidRDefault="00233231" w:rsidP="009B7F45">
            <w:pPr>
              <w:jc w:val="right"/>
              <w:rPr>
                <w:lang w:eastAsia="en-US"/>
              </w:rPr>
            </w:pPr>
            <w:r w:rsidRPr="00FE1C57">
              <w:t>x</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3231" w:rsidRPr="0071628A" w:rsidRDefault="00233231" w:rsidP="00972A79">
            <w:pPr>
              <w:jc w:val="right"/>
            </w:pPr>
          </w:p>
          <w:p w:rsidR="00233231" w:rsidRPr="0071628A" w:rsidRDefault="00233231" w:rsidP="00972A79">
            <w:pPr>
              <w:jc w:val="right"/>
            </w:pPr>
            <w:r w:rsidRPr="0071628A">
              <w:t>49 101</w:t>
            </w:r>
          </w:p>
          <w:p w:rsidR="00233231" w:rsidRPr="0071628A" w:rsidRDefault="00233231" w:rsidP="00972A79">
            <w:pPr>
              <w:jc w:val="right"/>
              <w:rPr>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458 026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1 081 530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231" w:rsidRPr="0071628A" w:rsidRDefault="00233231" w:rsidP="00972A79">
            <w:pPr>
              <w:jc w:val="right"/>
              <w:rPr>
                <w:lang w:eastAsia="en-US"/>
              </w:rPr>
            </w:pPr>
            <w:r w:rsidRPr="0071628A">
              <w:t>2 017 320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5. Precizēta finansiālā ietekme:</w:t>
            </w: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B7F45">
            <w:pPr>
              <w:jc w:val="right"/>
              <w:rPr>
                <w:lang w:eastAsia="en-US"/>
              </w:rPr>
            </w:pPr>
            <w:r w:rsidRPr="00FE1C57">
              <w:t>x</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72319F" w:rsidP="00972A79">
            <w:pPr>
              <w:jc w:val="right"/>
              <w:rPr>
                <w:lang w:eastAsia="en-US"/>
              </w:rPr>
            </w:pPr>
            <w:r>
              <w:t>-</w:t>
            </w:r>
            <w:r w:rsidR="00E321B8" w:rsidRPr="00E321B8">
              <w:t>360 000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72319F" w:rsidP="00972A79">
            <w:pPr>
              <w:jc w:val="right"/>
              <w:rPr>
                <w:lang w:eastAsia="en-US"/>
              </w:rPr>
            </w:pPr>
            <w:r>
              <w:t>-</w:t>
            </w:r>
            <w:r w:rsidR="00E321B8" w:rsidRPr="00E321B8">
              <w:t>447 841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72319F" w:rsidP="00972A79">
            <w:pPr>
              <w:jc w:val="right"/>
              <w:rPr>
                <w:lang w:eastAsia="en-US"/>
              </w:rPr>
            </w:pPr>
            <w:r>
              <w:t>-</w:t>
            </w:r>
            <w:r w:rsidR="00E321B8" w:rsidRPr="00E321B8">
              <w:t>671 760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72319F" w:rsidP="00972A79">
            <w:pPr>
              <w:jc w:val="right"/>
              <w:rPr>
                <w:lang w:eastAsia="en-US"/>
              </w:rPr>
            </w:pPr>
            <w:r>
              <w:t>-</w:t>
            </w:r>
            <w:r w:rsidR="00E321B8" w:rsidRPr="00E321B8">
              <w:t>320 400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5.1. valsts pamatbudžets</w:t>
            </w:r>
          </w:p>
        </w:tc>
        <w:tc>
          <w:tcPr>
            <w:tcW w:w="1163" w:type="dxa"/>
            <w:vMerge/>
            <w:tcBorders>
              <w:top w:val="nil"/>
              <w:left w:val="nil"/>
              <w:bottom w:val="single" w:sz="8" w:space="0" w:color="auto"/>
              <w:right w:val="single" w:sz="8" w:space="0" w:color="auto"/>
            </w:tcBorders>
            <w:vAlign w:val="center"/>
            <w:hideMark/>
          </w:tcPr>
          <w:p w:rsidR="009B7F45" w:rsidRPr="00FE1C57" w:rsidRDefault="009B7F45" w:rsidP="009B7F45">
            <w:pPr>
              <w:rPr>
                <w:lang w:eastAsia="en-U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72A79">
            <w:pPr>
              <w:jc w:val="right"/>
              <w:rPr>
                <w:lang w:eastAsia="en-US"/>
              </w:rPr>
            </w:pPr>
            <w:r w:rsidRPr="00FE1C57">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87507" w:rsidRDefault="009B7F45" w:rsidP="00972A79">
            <w:pPr>
              <w:jc w:val="right"/>
              <w:rPr>
                <w:lang w:eastAsia="en-US"/>
              </w:rPr>
            </w:pPr>
            <w:r w:rsidRPr="00F87507">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87507" w:rsidRDefault="009B7F45" w:rsidP="00972A79">
            <w:pPr>
              <w:jc w:val="right"/>
              <w:rPr>
                <w:lang w:eastAsia="en-US"/>
              </w:rPr>
            </w:pPr>
            <w:r w:rsidRPr="00F87507">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87507" w:rsidRDefault="009B7F45" w:rsidP="00972A79">
            <w:pPr>
              <w:jc w:val="right"/>
              <w:rPr>
                <w:lang w:eastAsia="en-US"/>
              </w:rPr>
            </w:pPr>
            <w:r w:rsidRPr="00F87507">
              <w:t>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5.2. speciālais budžets</w:t>
            </w:r>
          </w:p>
        </w:tc>
        <w:tc>
          <w:tcPr>
            <w:tcW w:w="1163" w:type="dxa"/>
            <w:vMerge/>
            <w:tcBorders>
              <w:top w:val="nil"/>
              <w:left w:val="nil"/>
              <w:bottom w:val="single" w:sz="8" w:space="0" w:color="auto"/>
              <w:right w:val="single" w:sz="8" w:space="0" w:color="auto"/>
            </w:tcBorders>
            <w:vAlign w:val="center"/>
            <w:hideMark/>
          </w:tcPr>
          <w:p w:rsidR="009B7F45" w:rsidRPr="00FE1C57" w:rsidRDefault="009B7F45" w:rsidP="009B7F45">
            <w:pPr>
              <w:rPr>
                <w:lang w:eastAsia="en-U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72A79">
            <w:pPr>
              <w:jc w:val="right"/>
              <w:rPr>
                <w:lang w:eastAsia="en-US"/>
              </w:rPr>
            </w:pPr>
            <w:r w:rsidRPr="00FE1C57">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72A79">
            <w:pPr>
              <w:jc w:val="right"/>
              <w:rPr>
                <w:lang w:eastAsia="en-US"/>
              </w:rPr>
            </w:pPr>
            <w:r w:rsidRPr="00FE1C57">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72A79">
            <w:pPr>
              <w:jc w:val="right"/>
              <w:rPr>
                <w:lang w:eastAsia="en-US"/>
              </w:rPr>
            </w:pPr>
            <w:r w:rsidRPr="00FE1C57">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FE1C57" w:rsidRDefault="009B7F45" w:rsidP="00972A79">
            <w:pPr>
              <w:jc w:val="right"/>
              <w:rPr>
                <w:lang w:eastAsia="en-US"/>
              </w:rPr>
            </w:pPr>
            <w:r w:rsidRPr="00FE1C57">
              <w:t>0</w:t>
            </w:r>
          </w:p>
        </w:tc>
      </w:tr>
      <w:tr w:rsidR="009B7F45" w:rsidRPr="00FE1C57" w:rsidTr="00972A7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5.3. pašvaldību budžets</w:t>
            </w:r>
          </w:p>
        </w:tc>
        <w:tc>
          <w:tcPr>
            <w:tcW w:w="1163" w:type="dxa"/>
            <w:vMerge/>
            <w:tcBorders>
              <w:top w:val="nil"/>
              <w:left w:val="nil"/>
              <w:bottom w:val="single" w:sz="8" w:space="0" w:color="auto"/>
              <w:right w:val="single" w:sz="8" w:space="0" w:color="auto"/>
            </w:tcBorders>
            <w:vAlign w:val="center"/>
            <w:hideMark/>
          </w:tcPr>
          <w:p w:rsidR="009B7F45" w:rsidRPr="00FE1C57" w:rsidRDefault="009B7F45" w:rsidP="009B7F45">
            <w:pPr>
              <w:rPr>
                <w:lang w:eastAsia="en-U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E321B8" w:rsidP="00972A79">
            <w:pPr>
              <w:jc w:val="right"/>
              <w:rPr>
                <w:lang w:eastAsia="en-US"/>
              </w:rPr>
            </w:pPr>
            <w:r w:rsidRPr="00E321B8">
              <w:t>-360 000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E321B8" w:rsidP="00972A79">
            <w:pPr>
              <w:jc w:val="right"/>
              <w:rPr>
                <w:lang w:eastAsia="en-US"/>
              </w:rPr>
            </w:pPr>
            <w:r w:rsidRPr="00E321B8">
              <w:t>-447 840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E321B8" w:rsidP="00972A79">
            <w:pPr>
              <w:jc w:val="right"/>
              <w:rPr>
                <w:lang w:eastAsia="en-US"/>
              </w:rPr>
            </w:pPr>
            <w:r w:rsidRPr="00E321B8">
              <w:t>-671 760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F45" w:rsidRPr="00972A79" w:rsidRDefault="00E321B8" w:rsidP="00972A79">
            <w:pPr>
              <w:jc w:val="right"/>
              <w:rPr>
                <w:lang w:eastAsia="en-US"/>
              </w:rPr>
            </w:pPr>
            <w:r w:rsidRPr="00E321B8">
              <w:t>-320 400</w:t>
            </w:r>
          </w:p>
        </w:tc>
      </w:tr>
      <w:tr w:rsidR="009B7F45" w:rsidRPr="00FE1C57" w:rsidTr="009B7F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6. Detalizēts ieņēmumu un izdevumu aprēķins (ja nepieciešams, detalizētu ieņēmumu un izdevumu aprēķinu var pievienot anotācijas pielikumā):</w:t>
            </w:r>
          </w:p>
        </w:tc>
        <w:tc>
          <w:tcPr>
            <w:tcW w:w="6946"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7F45" w:rsidRPr="0071628A" w:rsidRDefault="009B7F45" w:rsidP="009B7F45">
            <w:pPr>
              <w:jc w:val="both"/>
            </w:pPr>
            <w:r w:rsidRPr="0071628A">
              <w:rPr>
                <w:shd w:val="clear" w:color="auto" w:fill="FFFFFF"/>
              </w:rPr>
              <w:t>5.6.1.SAM ietvaros</w:t>
            </w:r>
            <w:r w:rsidRPr="0071628A">
              <w:t xml:space="preserve"> pieejamais finansējums plānots 94 567 990 </w:t>
            </w:r>
            <w:r w:rsidRPr="0071628A">
              <w:rPr>
                <w:i/>
                <w:iCs/>
              </w:rPr>
              <w:t>euro</w:t>
            </w:r>
            <w:r w:rsidRPr="0071628A">
              <w:t xml:space="preserve"> apmērā, tai skaitā ERAF finansējums 80 382 791 </w:t>
            </w:r>
            <w:r w:rsidRPr="0071628A">
              <w:rPr>
                <w:i/>
                <w:iCs/>
                <w:color w:val="000000"/>
              </w:rPr>
              <w:t>euro</w:t>
            </w:r>
            <w:r w:rsidR="007063ED" w:rsidRPr="0071628A">
              <w:rPr>
                <w:i/>
                <w:iCs/>
                <w:color w:val="000000"/>
              </w:rPr>
              <w:t>,</w:t>
            </w:r>
            <w:r w:rsidRPr="0071628A">
              <w:rPr>
                <w:color w:val="000000"/>
              </w:rPr>
              <w:t xml:space="preserve"> nacionālais </w:t>
            </w:r>
            <w:r w:rsidR="009C04A5" w:rsidRPr="0071628A">
              <w:rPr>
                <w:color w:val="000000"/>
              </w:rPr>
              <w:t>publiskais</w:t>
            </w:r>
            <w:r w:rsidR="007063ED" w:rsidRPr="0071628A">
              <w:rPr>
                <w:color w:val="000000"/>
              </w:rPr>
              <w:t xml:space="preserve"> </w:t>
            </w:r>
            <w:r w:rsidRPr="0071628A">
              <w:rPr>
                <w:color w:val="000000"/>
              </w:rPr>
              <w:t>finansējums</w:t>
            </w:r>
            <w:r w:rsidR="007063ED" w:rsidRPr="0071628A">
              <w:rPr>
                <w:color w:val="000000"/>
              </w:rPr>
              <w:t xml:space="preserve"> </w:t>
            </w:r>
            <w:r w:rsidR="009C04A5" w:rsidRPr="0071628A">
              <w:rPr>
                <w:color w:val="000000"/>
              </w:rPr>
              <w:t>un privātais finansējums</w:t>
            </w:r>
            <w:r w:rsidRPr="0071628A">
              <w:rPr>
                <w:color w:val="000000"/>
              </w:rPr>
              <w:t xml:space="preserve"> </w:t>
            </w:r>
            <w:r w:rsidR="004E2FC4" w:rsidRPr="0071628A">
              <w:rPr>
                <w:color w:val="000000"/>
              </w:rPr>
              <w:t xml:space="preserve">ne mazāks </w:t>
            </w:r>
            <w:r w:rsidRPr="0071628A">
              <w:t xml:space="preserve">kā 14 185 199 </w:t>
            </w:r>
            <w:r w:rsidRPr="0071628A">
              <w:rPr>
                <w:i/>
                <w:iCs/>
              </w:rPr>
              <w:t>euro</w:t>
            </w:r>
            <w:r w:rsidRPr="0071628A">
              <w:t xml:space="preserve">. </w:t>
            </w:r>
          </w:p>
          <w:p w:rsidR="00724B08" w:rsidRDefault="009B7F45">
            <w:pPr>
              <w:spacing w:before="120"/>
              <w:jc w:val="both"/>
              <w:rPr>
                <w:bCs/>
              </w:rPr>
            </w:pPr>
            <w:r w:rsidRPr="0071628A">
              <w:t xml:space="preserve">Budžeta ieņēmumi ir maksimāli iespējamā finansējuma ERAF daļa 85 procentu apmērā no projekta finansējuma (attiecināmām izmaksām). Budžeta izdevumi ir projektu ieviešanai nepieciešamie līdzekļi. Projektus plānots ieviest no 2016.gada </w:t>
            </w:r>
            <w:r w:rsidR="00972A79">
              <w:t>trešā</w:t>
            </w:r>
            <w:r w:rsidR="00233231" w:rsidRPr="0071628A">
              <w:t xml:space="preserve"> ceturkšņa</w:t>
            </w:r>
            <w:r w:rsidRPr="0071628A">
              <w:t xml:space="preserve"> līdz 2022.gada 31.decembrim. Pieņemot, ka projektu iesniegumu atlases izsludināšanas sākumā paredzams salīdzinoši mazāks apstiprināto projektu skaits, kā arī </w:t>
            </w:r>
            <w:r w:rsidRPr="0071628A">
              <w:rPr>
                <w:rFonts w:eastAsia="Times New Roman"/>
              </w:rPr>
              <w:t>tipiski projekta sākumā ir nepieciešams laiks, lai veiktu iepirkumus un veiktu citus sagatavošanās darbus,</w:t>
            </w:r>
            <w:r w:rsidRPr="0071628A">
              <w:t xml:space="preserve"> 2016.gadā plānots finansējuma apjoms indikatīvi </w:t>
            </w:r>
            <w:r w:rsidR="00233231" w:rsidRPr="0071628A">
              <w:t xml:space="preserve">2.88 </w:t>
            </w:r>
            <w:r w:rsidRPr="0071628A">
              <w:t xml:space="preserve">procentu apmērā no </w:t>
            </w:r>
            <w:r w:rsidR="00972A79">
              <w:t>5.6.1.</w:t>
            </w:r>
            <w:r w:rsidRPr="0071628A">
              <w:t>SAM pieejamā finansējuma. Prognozējams, ka apstiprināto projektu apjoms un finansējuma apguve ievērojami palielināsies 2017.</w:t>
            </w:r>
            <w:r w:rsidR="00972A79">
              <w:t xml:space="preserve"> </w:t>
            </w:r>
            <w:r w:rsidRPr="0071628A">
              <w:t>un 2018.gadā.</w:t>
            </w:r>
            <w:r w:rsidRPr="0071628A">
              <w:rPr>
                <w:bCs/>
              </w:rPr>
              <w:t xml:space="preserve"> </w:t>
            </w:r>
            <w:r w:rsidRPr="0071628A">
              <w:t xml:space="preserve">Ņemot vērā </w:t>
            </w:r>
            <w:r w:rsidR="00972A79">
              <w:t>5.6.1.</w:t>
            </w:r>
            <w:r w:rsidRPr="0071628A">
              <w:t xml:space="preserve">SAM noteikto sertificējamo izdevumu mērķi, kas uz 2018.gada 31.decembri noteikts 18 913 598 </w:t>
            </w:r>
            <w:r w:rsidRPr="0071628A">
              <w:rPr>
                <w:i/>
                <w:iCs/>
              </w:rPr>
              <w:t>euro</w:t>
            </w:r>
            <w:r w:rsidRPr="0071628A">
              <w:t xml:space="preserve"> apmērā, kā arī pieaugošo apstiprināto </w:t>
            </w:r>
            <w:r w:rsidRPr="0071628A">
              <w:lastRenderedPageBreak/>
              <w:t>projektu skaitu un iespējamos avansu maksājumus, 2017.</w:t>
            </w:r>
            <w:r w:rsidR="00972A79">
              <w:t xml:space="preserve"> </w:t>
            </w:r>
            <w:r w:rsidRPr="0071628A">
              <w:t xml:space="preserve">un 2018.gada finansējums plānots indikatīvi </w:t>
            </w:r>
            <w:r w:rsidR="00233231" w:rsidRPr="0071628A">
              <w:t xml:space="preserve">12.36 </w:t>
            </w:r>
            <w:r w:rsidRPr="0071628A">
              <w:t xml:space="preserve">procentu apmērā no </w:t>
            </w:r>
            <w:r w:rsidR="00972A79">
              <w:t>5.6.1.</w:t>
            </w:r>
            <w:r w:rsidRPr="0071628A">
              <w:t xml:space="preserve">SAM pieejamā finansējuma. Attiecīgi laika periodā no 2019.gada līdz 2022.gadam plānots nodrošināt atlikušā </w:t>
            </w:r>
            <w:r w:rsidR="00972A79">
              <w:t>5.6.1.</w:t>
            </w:r>
            <w:r w:rsidRPr="0071628A">
              <w:t xml:space="preserve">SAM finansējuma apguvi. Prognozējot budžeta izdevumus un finansiālo ietekmi, ņem vērā, ka atbilstoši </w:t>
            </w:r>
            <w:r w:rsidR="00972A79" w:rsidRPr="0071628A">
              <w:t>M</w:t>
            </w:r>
            <w:r w:rsidR="00972A79">
              <w:t>inistru kabineta</w:t>
            </w:r>
            <w:r w:rsidR="00972A79" w:rsidRPr="0071628A">
              <w:t xml:space="preserve"> </w:t>
            </w:r>
            <w:r w:rsidRPr="0071628A">
              <w:t xml:space="preserve">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w:t>
            </w:r>
            <w:r w:rsidR="00972A79">
              <w:t>5.6.1.</w:t>
            </w:r>
            <w:r w:rsidRPr="0071628A">
              <w:t>SAM ietvaros ir iespējami tādi projektu iesniedzēji, kuriem valsts budžeta dotācija vai valsts budžeta līdzfinansējums netiek piešķirta.</w:t>
            </w:r>
            <w:r w:rsidRPr="0071628A">
              <w:rPr>
                <w:bCs/>
              </w:rPr>
              <w:t> </w:t>
            </w:r>
          </w:p>
          <w:p w:rsidR="00724B08" w:rsidRDefault="00233231">
            <w:pPr>
              <w:spacing w:before="120"/>
              <w:jc w:val="both"/>
              <w:rPr>
                <w:i/>
                <w:iCs/>
              </w:rPr>
            </w:pPr>
            <w:r w:rsidRPr="0071628A">
              <w:t xml:space="preserve">2016.gadam kopējās izmaksas ir 2 727 341 </w:t>
            </w:r>
            <w:r w:rsidRPr="0071628A">
              <w:rPr>
                <w:i/>
                <w:iCs/>
              </w:rPr>
              <w:t xml:space="preserve">euro, </w:t>
            </w:r>
            <w:r w:rsidRPr="0071628A">
              <w:t xml:space="preserve">tajā skaitā ERAF finansējums 2 318 240 </w:t>
            </w:r>
            <w:r w:rsidRPr="0071628A">
              <w:rPr>
                <w:i/>
                <w:iCs/>
              </w:rPr>
              <w:t>euro</w:t>
            </w:r>
            <w:r w:rsidRPr="0071628A">
              <w:t xml:space="preserve">, bet projektu iesniedzēju līdzfinansējums 409 101 </w:t>
            </w:r>
            <w:r w:rsidRPr="0071628A">
              <w:rPr>
                <w:i/>
                <w:iCs/>
              </w:rPr>
              <w:t>euro</w:t>
            </w:r>
            <w:r w:rsidR="00E321B8" w:rsidRPr="00E321B8">
              <w:rPr>
                <w:iCs/>
              </w:rPr>
              <w:t>,</w:t>
            </w:r>
            <w:r w:rsidR="00127CE0" w:rsidRPr="0071628A">
              <w:rPr>
                <w:b/>
                <w:iCs/>
              </w:rPr>
              <w:t xml:space="preserve"> </w:t>
            </w:r>
            <w:r w:rsidR="00E321B8" w:rsidRPr="00E321B8">
              <w:rPr>
                <w:iCs/>
              </w:rPr>
              <w:t>tai skaitā 49 101</w:t>
            </w:r>
            <w:r w:rsidR="00E321B8" w:rsidRPr="00E321B8">
              <w:rPr>
                <w:i/>
                <w:iCs/>
              </w:rPr>
              <w:t xml:space="preserve"> euro </w:t>
            </w:r>
            <w:r w:rsidR="00E321B8" w:rsidRPr="00E321B8">
              <w:rPr>
                <w:iCs/>
              </w:rPr>
              <w:t>no 80.00.00.programmas</w:t>
            </w:r>
            <w:r w:rsidR="003D3D4B">
              <w:rPr>
                <w:iCs/>
              </w:rPr>
              <w:t xml:space="preserve"> </w:t>
            </w:r>
            <w:r w:rsidR="003D3D4B" w:rsidRPr="0071628A">
              <w:t>„Nesadalītais finansējums Eiropas Savienības politiku instrumentu un pārējās ārvalstu finanšu palīdzības līdzfinansēto projektu un pasākumu īstenošanai”</w:t>
            </w:r>
            <w:r w:rsidR="00E321B8" w:rsidRPr="00E321B8">
              <w:rPr>
                <w:iCs/>
              </w:rPr>
              <w:t xml:space="preserve"> un</w:t>
            </w:r>
            <w:r w:rsidR="00E321B8" w:rsidRPr="00E321B8">
              <w:rPr>
                <w:i/>
                <w:iCs/>
              </w:rPr>
              <w:t xml:space="preserve"> </w:t>
            </w:r>
            <w:r w:rsidR="00E321B8" w:rsidRPr="00E321B8">
              <w:rPr>
                <w:iCs/>
              </w:rPr>
              <w:t xml:space="preserve">360 000 </w:t>
            </w:r>
            <w:r w:rsidR="00E321B8" w:rsidRPr="00E321B8">
              <w:rPr>
                <w:i/>
                <w:iCs/>
              </w:rPr>
              <w:t xml:space="preserve">euro </w:t>
            </w:r>
            <w:r w:rsidR="00E321B8" w:rsidRPr="00E321B8">
              <w:rPr>
                <w:iCs/>
              </w:rPr>
              <w:t>no pašvaldību budžeta.</w:t>
            </w:r>
          </w:p>
          <w:p w:rsidR="00724B08" w:rsidRDefault="00233231">
            <w:pPr>
              <w:spacing w:before="120"/>
              <w:jc w:val="both"/>
              <w:rPr>
                <w:i/>
                <w:iCs/>
              </w:rPr>
            </w:pPr>
            <w:r w:rsidRPr="0071628A">
              <w:t xml:space="preserve">2017.gadam kopējās izmaksas ir 6 039 111 </w:t>
            </w:r>
            <w:r w:rsidR="00E321B8" w:rsidRPr="00E321B8">
              <w:rPr>
                <w:i/>
              </w:rPr>
              <w:t>euro</w:t>
            </w:r>
            <w:r w:rsidRPr="0071628A">
              <w:t>, tajā skaitā ERAF finansējums 5 133 244  </w:t>
            </w:r>
            <w:r w:rsidR="00E321B8" w:rsidRPr="00E321B8">
              <w:rPr>
                <w:i/>
              </w:rPr>
              <w:t>euro</w:t>
            </w:r>
            <w:r w:rsidRPr="0071628A">
              <w:t xml:space="preserve">, bet projektu iesniedzēju līdzfinansējums 905 867  </w:t>
            </w:r>
            <w:r w:rsidRPr="0071628A">
              <w:rPr>
                <w:i/>
                <w:iCs/>
              </w:rPr>
              <w:t>euro.</w:t>
            </w:r>
            <w:r w:rsidRPr="0071628A">
              <w:t xml:space="preserve"> 2018.gadam izmaksas ir </w:t>
            </w:r>
            <w:r w:rsidRPr="0071628A">
              <w:rPr>
                <w:lang w:eastAsia="en-US"/>
              </w:rPr>
              <w:t>11 688 604</w:t>
            </w:r>
            <w:r w:rsidRPr="0071628A">
              <w:t xml:space="preserve"> </w:t>
            </w:r>
            <w:r w:rsidRPr="0071628A">
              <w:rPr>
                <w:i/>
                <w:iCs/>
              </w:rPr>
              <w:t xml:space="preserve">euro, </w:t>
            </w:r>
            <w:r w:rsidRPr="0071628A">
              <w:t xml:space="preserve">tajā skaitā ERAF finansējums 9 935 314 </w:t>
            </w:r>
            <w:r w:rsidRPr="0071628A">
              <w:rPr>
                <w:i/>
                <w:iCs/>
              </w:rPr>
              <w:t>euro</w:t>
            </w:r>
            <w:r w:rsidRPr="0071628A">
              <w:t xml:space="preserve">, bet projektu iesniedzēju līdzfinansējums 1 753 290 </w:t>
            </w:r>
            <w:r w:rsidRPr="0071628A">
              <w:rPr>
                <w:i/>
                <w:iCs/>
              </w:rPr>
              <w:t>euro.</w:t>
            </w:r>
          </w:p>
          <w:p w:rsidR="00724B08" w:rsidRDefault="00233231">
            <w:pPr>
              <w:spacing w:before="120"/>
              <w:jc w:val="both"/>
              <w:rPr>
                <w:rFonts w:ascii="Calibri" w:eastAsia="Times New Roman" w:hAnsi="Calibri"/>
                <w:sz w:val="22"/>
                <w:szCs w:val="22"/>
              </w:rPr>
            </w:pPr>
            <w:r w:rsidRPr="0071628A">
              <w:t xml:space="preserve">2019.gadam kopējās izmaksas ir </w:t>
            </w:r>
            <w:r w:rsidRPr="0071628A">
              <w:rPr>
                <w:lang w:eastAsia="en-US"/>
              </w:rPr>
              <w:t>15 584 805</w:t>
            </w:r>
            <w:r w:rsidRPr="0071628A">
              <w:t xml:space="preserve"> </w:t>
            </w:r>
            <w:r w:rsidR="00E321B8" w:rsidRPr="00E321B8">
              <w:rPr>
                <w:i/>
              </w:rPr>
              <w:t>euro</w:t>
            </w:r>
            <w:r w:rsidRPr="0071628A">
              <w:t xml:space="preserve">, tajā skaitā ERAF finansējums 13 247 084 </w:t>
            </w:r>
            <w:r w:rsidR="00E321B8" w:rsidRPr="00E321B8">
              <w:rPr>
                <w:i/>
              </w:rPr>
              <w:t>euro</w:t>
            </w:r>
            <w:r w:rsidRPr="0071628A">
              <w:t xml:space="preserve">, bet projektu iesniedzēju līdzfinansējums 2 337 721 </w:t>
            </w:r>
            <w:r w:rsidR="00E321B8" w:rsidRPr="00E321B8">
              <w:rPr>
                <w:i/>
              </w:rPr>
              <w:t>euro</w:t>
            </w:r>
            <w:r w:rsidRPr="0071628A">
              <w:t>. 2020.gadam kopējās izmaksas ir 17 532 905  </w:t>
            </w:r>
            <w:r w:rsidR="00E321B8" w:rsidRPr="00E321B8">
              <w:rPr>
                <w:i/>
              </w:rPr>
              <w:t>euro</w:t>
            </w:r>
            <w:r w:rsidRPr="0071628A">
              <w:t xml:space="preserve">, tajā skaitā ERAF finansējums 14 902 969   </w:t>
            </w:r>
            <w:r w:rsidR="00E321B8" w:rsidRPr="00E321B8">
              <w:rPr>
                <w:i/>
              </w:rPr>
              <w:t>euro</w:t>
            </w:r>
            <w:r w:rsidRPr="0071628A">
              <w:t>, bet projektu iesniedzēju līdzfinansējums 2 629 936  </w:t>
            </w:r>
            <w:r w:rsidR="00E321B8" w:rsidRPr="00E321B8">
              <w:rPr>
                <w:i/>
              </w:rPr>
              <w:t>euro</w:t>
            </w:r>
            <w:r w:rsidRPr="0071628A">
              <w:t xml:space="preserve">. 2021.gadam kopējās izmaksas ir 17 532 </w:t>
            </w:r>
            <w:r w:rsidR="00972A79" w:rsidRPr="0071628A">
              <w:t>905</w:t>
            </w:r>
            <w:r w:rsidR="00972A79">
              <w:t xml:space="preserve"> </w:t>
            </w:r>
            <w:r w:rsidR="00E321B8" w:rsidRPr="00E321B8">
              <w:rPr>
                <w:i/>
              </w:rPr>
              <w:t>euro</w:t>
            </w:r>
            <w:r w:rsidRPr="0071628A">
              <w:t xml:space="preserve">, tajā skaitā ERAF finansējums 14 902 969   </w:t>
            </w:r>
            <w:r w:rsidR="00E321B8" w:rsidRPr="00E321B8">
              <w:rPr>
                <w:i/>
              </w:rPr>
              <w:t>euro</w:t>
            </w:r>
            <w:r w:rsidRPr="0071628A">
              <w:t xml:space="preserve">, bet projektu iesniedzēju līdzfinansējums 2 629 936 </w:t>
            </w:r>
            <w:r w:rsidR="00E321B8" w:rsidRPr="00E321B8">
              <w:rPr>
                <w:i/>
              </w:rPr>
              <w:t>euro</w:t>
            </w:r>
            <w:r w:rsidRPr="0071628A">
              <w:t xml:space="preserve">. 2022.gadam kopējās izmaksas ir 23 462 319 </w:t>
            </w:r>
            <w:r w:rsidR="00E321B8" w:rsidRPr="00E321B8">
              <w:rPr>
                <w:i/>
              </w:rPr>
              <w:t>euro</w:t>
            </w:r>
            <w:r w:rsidRPr="0071628A">
              <w:t xml:space="preserve">, tajā skaitā ERAF finansējums 19 942 971 </w:t>
            </w:r>
            <w:r w:rsidR="00E321B8" w:rsidRPr="00E321B8">
              <w:rPr>
                <w:i/>
              </w:rPr>
              <w:t>euro</w:t>
            </w:r>
            <w:r w:rsidRPr="0071628A">
              <w:t xml:space="preserve">, bet projektu iesniedzēju līdzfinansējums 3 519 348 </w:t>
            </w:r>
            <w:r w:rsidR="00E321B8" w:rsidRPr="00E321B8">
              <w:rPr>
                <w:i/>
              </w:rPr>
              <w:t>euro</w:t>
            </w:r>
            <w:r w:rsidRPr="0071628A">
              <w:t>.</w:t>
            </w:r>
          </w:p>
        </w:tc>
      </w:tr>
      <w:tr w:rsidR="009B7F45" w:rsidRPr="00FE1C57" w:rsidTr="009B7F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6.1. detalizēts ieņēmumu aprēķins</w:t>
            </w:r>
          </w:p>
        </w:tc>
        <w:tc>
          <w:tcPr>
            <w:tcW w:w="6946" w:type="dxa"/>
            <w:gridSpan w:val="5"/>
            <w:vMerge/>
            <w:tcBorders>
              <w:top w:val="nil"/>
              <w:left w:val="single" w:sz="8" w:space="0" w:color="auto"/>
              <w:bottom w:val="single" w:sz="8" w:space="0" w:color="auto"/>
              <w:right w:val="single" w:sz="8" w:space="0" w:color="auto"/>
            </w:tcBorders>
            <w:vAlign w:val="center"/>
            <w:hideMark/>
          </w:tcPr>
          <w:p w:rsidR="009B7F45" w:rsidRPr="0071628A" w:rsidRDefault="009B7F45" w:rsidP="009B7F45">
            <w:pPr>
              <w:rPr>
                <w:rFonts w:ascii="Calibri" w:eastAsia="Times New Roman" w:hAnsi="Calibri"/>
                <w:sz w:val="22"/>
                <w:szCs w:val="22"/>
              </w:rPr>
            </w:pPr>
          </w:p>
        </w:tc>
      </w:tr>
      <w:tr w:rsidR="009B7F45" w:rsidRPr="00FE1C57" w:rsidTr="009B7F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t>6.2. detalizēts izdevumu aprēķins</w:t>
            </w:r>
          </w:p>
        </w:tc>
        <w:tc>
          <w:tcPr>
            <w:tcW w:w="6946" w:type="dxa"/>
            <w:gridSpan w:val="5"/>
            <w:vMerge/>
            <w:tcBorders>
              <w:top w:val="nil"/>
              <w:left w:val="single" w:sz="8" w:space="0" w:color="auto"/>
              <w:bottom w:val="single" w:sz="8" w:space="0" w:color="auto"/>
              <w:right w:val="single" w:sz="8" w:space="0" w:color="auto"/>
            </w:tcBorders>
            <w:vAlign w:val="center"/>
            <w:hideMark/>
          </w:tcPr>
          <w:p w:rsidR="009B7F45" w:rsidRPr="0071628A" w:rsidRDefault="009B7F45" w:rsidP="009B7F45">
            <w:pPr>
              <w:rPr>
                <w:rFonts w:ascii="Calibri" w:eastAsia="Times New Roman" w:hAnsi="Calibri"/>
                <w:sz w:val="22"/>
                <w:szCs w:val="22"/>
              </w:rPr>
            </w:pPr>
          </w:p>
        </w:tc>
      </w:tr>
      <w:tr w:rsidR="009B7F45" w:rsidRPr="00FE1C57" w:rsidTr="009B7F4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F45" w:rsidRPr="00FE1C57" w:rsidRDefault="009B7F45" w:rsidP="009B7F45">
            <w:pPr>
              <w:rPr>
                <w:lang w:eastAsia="en-US"/>
              </w:rPr>
            </w:pPr>
            <w:r w:rsidRPr="00FE1C57">
              <w:lastRenderedPageBreak/>
              <w:t>7. Cita informācija</w:t>
            </w:r>
          </w:p>
        </w:tc>
        <w:tc>
          <w:tcPr>
            <w:tcW w:w="6946" w:type="dxa"/>
            <w:gridSpan w:val="5"/>
            <w:tcBorders>
              <w:top w:val="nil"/>
              <w:left w:val="nil"/>
              <w:bottom w:val="single" w:sz="8" w:space="0" w:color="auto"/>
              <w:right w:val="single" w:sz="8" w:space="0" w:color="auto"/>
            </w:tcBorders>
            <w:tcMar>
              <w:top w:w="0" w:type="dxa"/>
              <w:left w:w="108" w:type="dxa"/>
              <w:bottom w:w="0" w:type="dxa"/>
              <w:right w:w="108" w:type="dxa"/>
            </w:tcMar>
          </w:tcPr>
          <w:p w:rsidR="009B7F45" w:rsidRPr="0071628A" w:rsidRDefault="009B7F45" w:rsidP="009B7F45">
            <w:pPr>
              <w:jc w:val="both"/>
            </w:pPr>
            <w:r w:rsidRPr="0071628A">
              <w:rPr>
                <w:lang w:eastAsia="en-US"/>
              </w:rPr>
              <w:t xml:space="preserve">Finansējuma sadalījums pa gadiem ir norādīts indikatīvi un var mainīties </w:t>
            </w:r>
            <w:r w:rsidR="00972A79">
              <w:rPr>
                <w:lang w:eastAsia="en-US"/>
              </w:rPr>
              <w:t>5.6.1.</w:t>
            </w:r>
            <w:r w:rsidRPr="0071628A">
              <w:rPr>
                <w:lang w:eastAsia="en-US"/>
              </w:rPr>
              <w:t xml:space="preserve">SAM ieviešanas gaitā atbilstoši faktiskajai situācijai.  </w:t>
            </w:r>
          </w:p>
          <w:p w:rsidR="009B7F45" w:rsidRPr="0071628A" w:rsidRDefault="009B7F45" w:rsidP="00972A79">
            <w:pPr>
              <w:jc w:val="both"/>
              <w:rPr>
                <w:lang w:eastAsia="en-US"/>
              </w:rPr>
            </w:pPr>
            <w:r w:rsidRPr="0071628A">
              <w:t xml:space="preserve">5.6.1.SAM </w:t>
            </w:r>
            <w:r w:rsidR="00972A79" w:rsidRPr="0071628A">
              <w:t>nepieciešam</w:t>
            </w:r>
            <w:r w:rsidR="00972A79">
              <w:t>o</w:t>
            </w:r>
            <w:r w:rsidR="00972A79" w:rsidRPr="0071628A">
              <w:t xml:space="preserve"> </w:t>
            </w:r>
            <w:r w:rsidRPr="0071628A">
              <w:t xml:space="preserve">valsts budžeta </w:t>
            </w:r>
            <w:r w:rsidR="00972A79" w:rsidRPr="0071628A">
              <w:t>finansējum</w:t>
            </w:r>
            <w:r w:rsidR="00972A79">
              <w:t>u</w:t>
            </w:r>
            <w:r w:rsidR="00972A79" w:rsidRPr="0071628A">
              <w:t xml:space="preserve"> </w:t>
            </w:r>
            <w:r w:rsidRPr="0071628A">
              <w:t>piesaistī</w:t>
            </w:r>
            <w:r w:rsidR="00972A79">
              <w:t>s</w:t>
            </w:r>
            <w:r w:rsidRPr="0071628A">
              <w:t xml:space="preserve"> atbilstoši Ministru </w:t>
            </w:r>
            <w:r w:rsidR="00972A79">
              <w:t>k</w:t>
            </w:r>
            <w:r w:rsidRPr="0071628A">
              <w:t xml:space="preserve">abineta 2010.gada 18.maija noteikumos Nr.464 „Noteikumi par 74.resora „Gadskārtējā valsts budžeta izpildes procesā pārdalāmais finansējums”” </w:t>
            </w:r>
            <w:r w:rsidRPr="0071628A">
              <w:rPr>
                <w:color w:val="000000"/>
              </w:rPr>
              <w:t xml:space="preserve">80.00.00 programmā plānoto līdzekļu pārdales kārtību Eiropas Savienības politiku instrumentu un pārējās ārvalstu finanšu palīdzības līdzfinansēto projektu un pasākumu īstenošanai” noteiktajai kārtībai no 74.resora ,,Gadskārtējā valsts budžeta izpildes procesā pārdalāmais finansējums” </w:t>
            </w:r>
            <w:r w:rsidRPr="0071628A">
              <w:t xml:space="preserve">80.00.00 programmas „Nesadalītais finansējums Eiropas Savienības politiku instrumentu un pārējās ārvalstu finanšu palīdzības līdzfinansēto </w:t>
            </w:r>
            <w:r w:rsidRPr="0071628A">
              <w:lastRenderedPageBreak/>
              <w:t>projektu un pasākumu īstenošanai”.</w:t>
            </w:r>
          </w:p>
        </w:tc>
      </w:tr>
    </w:tbl>
    <w:p w:rsidR="00D92D99" w:rsidRDefault="00D92D99" w:rsidP="00D92D99">
      <w:pPr>
        <w:rPr>
          <w:lang w:eastAsia="en-US"/>
        </w:rPr>
      </w:pPr>
    </w:p>
    <w:p w:rsidR="004B3EE3" w:rsidRDefault="004B3EE3" w:rsidP="004B3EE3">
      <w:pPr>
        <w:jc w:val="both"/>
        <w:rPr>
          <w:i/>
        </w:rPr>
      </w:pPr>
      <w:r w:rsidRPr="00E321B8">
        <w:rPr>
          <w:i/>
        </w:rPr>
        <w:t xml:space="preserve">Anotācijas IV.sadaļa – </w:t>
      </w:r>
      <w:r>
        <w:rPr>
          <w:i/>
        </w:rPr>
        <w:t>n</w:t>
      </w:r>
      <w:r w:rsidRPr="00E321B8">
        <w:rPr>
          <w:i/>
        </w:rPr>
        <w:t xml:space="preserve">oteikumu </w:t>
      </w:r>
      <w:r w:rsidRPr="00E321B8">
        <w:rPr>
          <w:i/>
          <w:iCs/>
        </w:rPr>
        <w:t>projekts šo jomu neskar.</w:t>
      </w:r>
    </w:p>
    <w:p w:rsidR="00FE1C57" w:rsidRPr="00FE1C57" w:rsidRDefault="00FE1C57" w:rsidP="00D92D99">
      <w:pPr>
        <w:rPr>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21"/>
      </w:tblGrid>
      <w:tr w:rsidR="00391449" w:rsidRPr="00FE1C57" w:rsidTr="00D92D99">
        <w:trPr>
          <w:trHeight w:val="421"/>
        </w:trPr>
        <w:tc>
          <w:tcPr>
            <w:tcW w:w="9192" w:type="dxa"/>
            <w:gridSpan w:val="3"/>
            <w:vAlign w:val="center"/>
          </w:tcPr>
          <w:p w:rsidR="00391449" w:rsidRPr="00FE1C57" w:rsidRDefault="00391449" w:rsidP="00BF08DE">
            <w:pPr>
              <w:pStyle w:val="naisnod"/>
              <w:spacing w:before="0" w:beforeAutospacing="0" w:after="0" w:afterAutospacing="0"/>
              <w:ind w:left="57" w:right="57"/>
              <w:jc w:val="center"/>
            </w:pPr>
            <w:r w:rsidRPr="00FE1C57">
              <w:rPr>
                <w:b/>
              </w:rPr>
              <w:t xml:space="preserve">V. </w:t>
            </w:r>
            <w:r w:rsidRPr="00FE1C57">
              <w:rPr>
                <w:b/>
                <w:color w:val="000000"/>
              </w:rPr>
              <w:t>Tiesību akta projekta atbilstība Latvijas Republikas starptautiskajām saistībām</w:t>
            </w:r>
          </w:p>
        </w:tc>
      </w:tr>
      <w:tr w:rsidR="00391449" w:rsidRPr="00FE1C57" w:rsidTr="00D92D99">
        <w:trPr>
          <w:trHeight w:val="553"/>
        </w:trPr>
        <w:tc>
          <w:tcPr>
            <w:tcW w:w="333" w:type="dxa"/>
          </w:tcPr>
          <w:p w:rsidR="00391449" w:rsidRPr="00FE1C57" w:rsidRDefault="00391449" w:rsidP="00BF08DE">
            <w:pPr>
              <w:ind w:left="57" w:right="57"/>
              <w:jc w:val="both"/>
              <w:rPr>
                <w:bCs/>
              </w:rPr>
            </w:pPr>
            <w:r w:rsidRPr="00FE1C57">
              <w:rPr>
                <w:bCs/>
              </w:rPr>
              <w:t>1.</w:t>
            </w:r>
          </w:p>
        </w:tc>
        <w:tc>
          <w:tcPr>
            <w:tcW w:w="2838" w:type="dxa"/>
          </w:tcPr>
          <w:p w:rsidR="00391449" w:rsidRPr="00FE1C57" w:rsidRDefault="00391449" w:rsidP="00BF08DE">
            <w:pPr>
              <w:ind w:left="57" w:right="57"/>
            </w:pPr>
            <w:r w:rsidRPr="00FE1C57">
              <w:rPr>
                <w:color w:val="000000"/>
              </w:rPr>
              <w:t>Saistības pret Eiropas Savienību</w:t>
            </w:r>
          </w:p>
        </w:tc>
        <w:tc>
          <w:tcPr>
            <w:tcW w:w="6021" w:type="dxa"/>
          </w:tcPr>
          <w:p w:rsidR="00391449" w:rsidRPr="00FE1C57" w:rsidRDefault="009B7F45" w:rsidP="004C41AE">
            <w:pPr>
              <w:shd w:val="clear" w:color="auto" w:fill="FFFFFF"/>
              <w:ind w:left="57" w:right="113"/>
              <w:jc w:val="both"/>
              <w:rPr>
                <w:bCs/>
              </w:rPr>
            </w:pPr>
            <w:r>
              <w:rPr>
                <w:bCs/>
              </w:rPr>
              <w:t>N</w:t>
            </w:r>
            <w:r w:rsidR="00391449" w:rsidRPr="00FE1C57">
              <w:rPr>
                <w:bCs/>
              </w:rPr>
              <w:t xml:space="preserve">oteikumu projekts paredz, ka finanšu atbalstu komercdarbībai </w:t>
            </w:r>
            <w:r w:rsidR="00972A79">
              <w:rPr>
                <w:bCs/>
              </w:rPr>
              <w:t>5.6.1.</w:t>
            </w:r>
            <w:r w:rsidR="00391449" w:rsidRPr="00FE1C57">
              <w:rPr>
                <w:bCs/>
              </w:rPr>
              <w:t>SAM ietvaros sniedz saskaņā ar:</w:t>
            </w:r>
          </w:p>
          <w:p w:rsidR="00667D1D" w:rsidRPr="00FE1C57" w:rsidRDefault="00994670" w:rsidP="00D95BEF">
            <w:pPr>
              <w:numPr>
                <w:ilvl w:val="0"/>
                <w:numId w:val="42"/>
              </w:numPr>
              <w:shd w:val="clear" w:color="auto" w:fill="FFFFFF"/>
              <w:ind w:right="113"/>
              <w:jc w:val="both"/>
              <w:rPr>
                <w:bCs/>
              </w:rPr>
            </w:pPr>
            <w:r w:rsidRPr="00FE1C57">
              <w:rPr>
                <w:bCs/>
              </w:rPr>
              <w:t>Eiropas Parlamenta un Pado</w:t>
            </w:r>
            <w:r>
              <w:rPr>
                <w:bCs/>
              </w:rPr>
              <w:t>mes 2013.gada 17.decembra Regula</w:t>
            </w:r>
            <w:r w:rsidRPr="00FE1C57">
              <w:rPr>
                <w:bCs/>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Pr>
                <w:bCs/>
              </w:rPr>
              <w:t xml:space="preserve">(turpmāk </w:t>
            </w:r>
            <w:r w:rsidRPr="00FE1C57">
              <w:rPr>
                <w:color w:val="000000"/>
              </w:rPr>
              <w:t>–</w:t>
            </w:r>
            <w:r>
              <w:rPr>
                <w:bCs/>
              </w:rPr>
              <w:t xml:space="preserve"> </w:t>
            </w:r>
            <w:r w:rsidR="00667D1D" w:rsidRPr="00FE1C57">
              <w:rPr>
                <w:bCs/>
              </w:rPr>
              <w:t xml:space="preserve">Eiropas Parlamenta un Padomes </w:t>
            </w:r>
            <w:r>
              <w:rPr>
                <w:bCs/>
              </w:rPr>
              <w:t>Regula</w:t>
            </w:r>
            <w:r w:rsidR="00667D1D" w:rsidRPr="00FE1C57">
              <w:rPr>
                <w:bCs/>
              </w:rPr>
              <w:t xml:space="preserve"> (ES) Nr.1303/2013;</w:t>
            </w:r>
          </w:p>
          <w:p w:rsidR="002F0429" w:rsidRPr="00FE1C57" w:rsidRDefault="002F0429" w:rsidP="00D95BEF">
            <w:pPr>
              <w:numPr>
                <w:ilvl w:val="0"/>
                <w:numId w:val="42"/>
              </w:numPr>
              <w:shd w:val="clear" w:color="auto" w:fill="FFFFFF"/>
              <w:ind w:right="113"/>
              <w:jc w:val="both"/>
              <w:rPr>
                <w:bCs/>
              </w:rPr>
            </w:pPr>
            <w:r w:rsidRPr="00FE1C57">
              <w:t>Eiropas Parlamenta un Padomes 2013.gada 17.decembra Regul</w:t>
            </w:r>
            <w:r w:rsidR="006F2B6B" w:rsidRPr="00FE1C57">
              <w:t>u</w:t>
            </w:r>
            <w:r w:rsidRPr="00FE1C57">
              <w:t xml:space="preserve"> (ES) Nr.1301/2013 par Eiropas Reģionālās attīstības fondu un īpašiem noteikumiem attiecībā uz mērķi „Investīcijas izaugsmei un nodarbinātībai” un ar ko atceļ Regulu (EK) Nr.1080/2006</w:t>
            </w:r>
            <w:r w:rsidRPr="00FE1C57">
              <w:rPr>
                <w:color w:val="000000"/>
              </w:rPr>
              <w:t xml:space="preserve"> (turpmāk – </w:t>
            </w:r>
            <w:r w:rsidRPr="00FE1C57">
              <w:t>Eiropas Parlamenta un Padomes</w:t>
            </w:r>
            <w:r w:rsidRPr="00FE1C57">
              <w:rPr>
                <w:color w:val="000000"/>
              </w:rPr>
              <w:t xml:space="preserve"> regula </w:t>
            </w:r>
            <w:r w:rsidRPr="00FE1C57">
              <w:t>Nr.1301/2013);</w:t>
            </w:r>
          </w:p>
          <w:p w:rsidR="009B7F45" w:rsidRDefault="002F0429" w:rsidP="00D95BEF">
            <w:pPr>
              <w:numPr>
                <w:ilvl w:val="0"/>
                <w:numId w:val="42"/>
              </w:numPr>
              <w:shd w:val="clear" w:color="auto" w:fill="FFFFFF"/>
              <w:ind w:right="113"/>
              <w:jc w:val="both"/>
              <w:rPr>
                <w:bCs/>
              </w:rPr>
            </w:pPr>
            <w:r w:rsidRPr="00FE1C57">
              <w:rPr>
                <w:bCs/>
                <w:color w:val="000000"/>
              </w:rPr>
              <w:t>Komisijas regul</w:t>
            </w:r>
            <w:r w:rsidR="006F2B6B" w:rsidRPr="00FE1C57">
              <w:rPr>
                <w:bCs/>
                <w:color w:val="000000"/>
              </w:rPr>
              <w:t>u</w:t>
            </w:r>
            <w:r w:rsidRPr="00FE1C57">
              <w:rPr>
                <w:bCs/>
                <w:color w:val="000000"/>
              </w:rPr>
              <w:t xml:space="preserve"> Nr.</w:t>
            </w:r>
            <w:r w:rsidRPr="00FE1C57">
              <w:rPr>
                <w:bCs/>
              </w:rPr>
              <w:t>651/2014</w:t>
            </w:r>
            <w:r w:rsidR="009B7F45">
              <w:rPr>
                <w:bCs/>
              </w:rPr>
              <w:t>;</w:t>
            </w:r>
          </w:p>
          <w:p w:rsidR="00391449" w:rsidRPr="0071628A" w:rsidRDefault="009B7F45" w:rsidP="00D95BEF">
            <w:pPr>
              <w:numPr>
                <w:ilvl w:val="0"/>
                <w:numId w:val="42"/>
              </w:numPr>
              <w:shd w:val="clear" w:color="auto" w:fill="FFFFFF"/>
              <w:ind w:right="113"/>
              <w:jc w:val="both"/>
              <w:rPr>
                <w:bCs/>
              </w:rPr>
            </w:pPr>
            <w:r w:rsidRPr="0071628A">
              <w:rPr>
                <w:bCs/>
                <w:color w:val="000000"/>
              </w:rPr>
              <w:t>Komisijas regula Nr.1407/2013</w:t>
            </w:r>
          </w:p>
        </w:tc>
      </w:tr>
      <w:tr w:rsidR="00391449" w:rsidRPr="00FE1C57" w:rsidTr="00D92D99">
        <w:trPr>
          <w:trHeight w:val="339"/>
        </w:trPr>
        <w:tc>
          <w:tcPr>
            <w:tcW w:w="333" w:type="dxa"/>
          </w:tcPr>
          <w:p w:rsidR="00391449" w:rsidRPr="00FE1C57" w:rsidRDefault="00391449" w:rsidP="00BF08DE">
            <w:pPr>
              <w:ind w:left="57" w:right="57"/>
              <w:jc w:val="both"/>
              <w:rPr>
                <w:bCs/>
              </w:rPr>
            </w:pPr>
            <w:r w:rsidRPr="00FE1C57">
              <w:rPr>
                <w:bCs/>
              </w:rPr>
              <w:t>2.</w:t>
            </w:r>
          </w:p>
        </w:tc>
        <w:tc>
          <w:tcPr>
            <w:tcW w:w="2838" w:type="dxa"/>
          </w:tcPr>
          <w:p w:rsidR="00391449" w:rsidRPr="00FE1C57" w:rsidRDefault="00391449" w:rsidP="00BF08DE">
            <w:pPr>
              <w:ind w:left="57" w:right="57"/>
            </w:pPr>
            <w:r w:rsidRPr="00FE1C57">
              <w:rPr>
                <w:color w:val="000000"/>
              </w:rPr>
              <w:t>Citas starptautiskās saistības</w:t>
            </w:r>
          </w:p>
        </w:tc>
        <w:tc>
          <w:tcPr>
            <w:tcW w:w="6021" w:type="dxa"/>
          </w:tcPr>
          <w:p w:rsidR="00391449" w:rsidRPr="00FE1C57" w:rsidRDefault="009B7F45" w:rsidP="00BF08DE">
            <w:pPr>
              <w:shd w:val="clear" w:color="auto" w:fill="FFFFFF"/>
              <w:ind w:left="57" w:right="113"/>
              <w:jc w:val="both"/>
              <w:rPr>
                <w:kern w:val="24"/>
              </w:rPr>
            </w:pPr>
            <w:r>
              <w:rPr>
                <w:iCs/>
                <w:color w:val="000000"/>
              </w:rPr>
              <w:t>N</w:t>
            </w:r>
            <w:r w:rsidR="00391449" w:rsidRPr="00FE1C57">
              <w:rPr>
                <w:iCs/>
                <w:color w:val="000000"/>
              </w:rPr>
              <w:t>oteikumu projekts šo jomu neskar.</w:t>
            </w:r>
          </w:p>
        </w:tc>
      </w:tr>
      <w:tr w:rsidR="00391449" w:rsidRPr="00FE1C57" w:rsidTr="00D92D99">
        <w:trPr>
          <w:trHeight w:val="476"/>
        </w:trPr>
        <w:tc>
          <w:tcPr>
            <w:tcW w:w="333" w:type="dxa"/>
          </w:tcPr>
          <w:p w:rsidR="00391449" w:rsidRPr="00FE1C57" w:rsidRDefault="00391449" w:rsidP="00BF08DE">
            <w:pPr>
              <w:ind w:left="57" w:right="57"/>
              <w:jc w:val="both"/>
              <w:rPr>
                <w:bCs/>
              </w:rPr>
            </w:pPr>
            <w:r w:rsidRPr="00FE1C57">
              <w:rPr>
                <w:bCs/>
              </w:rPr>
              <w:t>3.</w:t>
            </w:r>
          </w:p>
        </w:tc>
        <w:tc>
          <w:tcPr>
            <w:tcW w:w="2838" w:type="dxa"/>
          </w:tcPr>
          <w:p w:rsidR="00391449" w:rsidRPr="00FE1C57" w:rsidRDefault="00391449" w:rsidP="00BF08DE">
            <w:pPr>
              <w:ind w:left="57" w:right="57"/>
            </w:pPr>
            <w:r w:rsidRPr="00FE1C57">
              <w:t>Cita informācija</w:t>
            </w:r>
          </w:p>
        </w:tc>
        <w:tc>
          <w:tcPr>
            <w:tcW w:w="6021" w:type="dxa"/>
          </w:tcPr>
          <w:p w:rsidR="00391449" w:rsidRPr="00FE1C57" w:rsidRDefault="00391449" w:rsidP="00BF08DE">
            <w:pPr>
              <w:shd w:val="clear" w:color="auto" w:fill="FFFFFF"/>
              <w:ind w:left="57" w:right="113"/>
              <w:jc w:val="both"/>
            </w:pPr>
            <w:r w:rsidRPr="00FE1C57">
              <w:t xml:space="preserve">Nav. </w:t>
            </w:r>
          </w:p>
        </w:tc>
      </w:tr>
    </w:tbl>
    <w:p w:rsidR="00041551" w:rsidRDefault="00041551"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575"/>
        <w:gridCol w:w="2164"/>
        <w:gridCol w:w="2032"/>
      </w:tblGrid>
      <w:tr w:rsidR="00F662FA" w:rsidRPr="00FE1C57" w:rsidTr="00F662FA">
        <w:tc>
          <w:tcPr>
            <w:tcW w:w="9180" w:type="dxa"/>
            <w:gridSpan w:val="4"/>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pStyle w:val="naisnod"/>
              <w:spacing w:before="0" w:beforeAutospacing="0" w:after="0" w:afterAutospacing="0" w:line="276" w:lineRule="auto"/>
              <w:jc w:val="center"/>
              <w:rPr>
                <w:color w:val="000000"/>
                <w:lang w:eastAsia="en-US"/>
              </w:rPr>
            </w:pPr>
            <w:r w:rsidRPr="00FE1C57">
              <w:rPr>
                <w:b/>
                <w:color w:val="000000"/>
                <w:lang w:eastAsia="en-US"/>
              </w:rPr>
              <w:t>1.tabula. Tiesību akta projekta atbilstība ES tiesību aktiem</w:t>
            </w:r>
          </w:p>
        </w:tc>
      </w:tr>
      <w:tr w:rsidR="00F662FA" w:rsidRPr="00FE1C57" w:rsidTr="00593067">
        <w:tc>
          <w:tcPr>
            <w:tcW w:w="2409"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rPr>
                <w:color w:val="000000"/>
                <w:lang w:eastAsia="en-US"/>
              </w:rPr>
            </w:pPr>
            <w:r w:rsidRPr="00FE1C57">
              <w:rPr>
                <w:color w:val="000000"/>
              </w:rPr>
              <w:t>Attiecīgā ES tiesību akta datums, numurs un nosaukums</w:t>
            </w:r>
          </w:p>
        </w:tc>
        <w:tc>
          <w:tcPr>
            <w:tcW w:w="6771" w:type="dxa"/>
            <w:gridSpan w:val="3"/>
            <w:tcBorders>
              <w:top w:val="single" w:sz="4" w:space="0" w:color="auto"/>
              <w:left w:val="single" w:sz="4" w:space="0" w:color="auto"/>
              <w:bottom w:val="single" w:sz="4" w:space="0" w:color="auto"/>
              <w:right w:val="single" w:sz="4" w:space="0" w:color="auto"/>
            </w:tcBorders>
            <w:hideMark/>
          </w:tcPr>
          <w:p w:rsidR="00724B08" w:rsidRDefault="00972A79">
            <w:pPr>
              <w:shd w:val="clear" w:color="auto" w:fill="FFFFFF"/>
              <w:ind w:left="1" w:right="113"/>
              <w:jc w:val="both"/>
              <w:rPr>
                <w:rFonts w:eastAsiaTheme="majorEastAsia" w:cstheme="majorBidi"/>
                <w:b/>
                <w:bCs/>
                <w:color w:val="4F81BD" w:themeColor="accent1"/>
                <w:sz w:val="26"/>
                <w:szCs w:val="26"/>
              </w:rPr>
            </w:pPr>
            <w:r>
              <w:rPr>
                <w:bCs/>
              </w:rPr>
              <w:t>No</w:t>
            </w:r>
            <w:r w:rsidR="00626429" w:rsidRPr="00626429">
              <w:rPr>
                <w:bCs/>
              </w:rPr>
              <w:t xml:space="preserve">teikumu projekts paredz, ka finanšu atbalstu komercdarbībai </w:t>
            </w:r>
            <w:r>
              <w:rPr>
                <w:bCs/>
              </w:rPr>
              <w:t>5.6.1.</w:t>
            </w:r>
            <w:r w:rsidR="00626429" w:rsidRPr="00626429">
              <w:rPr>
                <w:bCs/>
              </w:rPr>
              <w:t>SAM ietvaros sniedz saskaņā ar:</w:t>
            </w:r>
          </w:p>
          <w:p w:rsidR="00724B08" w:rsidRPr="00D95BEF" w:rsidRDefault="00626429" w:rsidP="00D95BEF">
            <w:pPr>
              <w:pStyle w:val="Sarakstarindkopa"/>
              <w:numPr>
                <w:ilvl w:val="0"/>
                <w:numId w:val="43"/>
              </w:numPr>
              <w:shd w:val="clear" w:color="auto" w:fill="FFFFFF"/>
              <w:ind w:right="113"/>
              <w:jc w:val="both"/>
              <w:rPr>
                <w:bCs/>
              </w:rPr>
            </w:pPr>
            <w:r w:rsidRPr="00D95BEF">
              <w:rPr>
                <w:bCs/>
                <w:color w:val="000000"/>
              </w:rPr>
              <w:t>K</w:t>
            </w:r>
            <w:r w:rsidR="00994670" w:rsidRPr="00D95BEF">
              <w:rPr>
                <w:bCs/>
                <w:color w:val="000000"/>
              </w:rPr>
              <w:t>omisijas regulu</w:t>
            </w:r>
            <w:r w:rsidRPr="00D95BEF">
              <w:rPr>
                <w:bCs/>
                <w:color w:val="000000"/>
              </w:rPr>
              <w:t xml:space="preserve"> Nr.</w:t>
            </w:r>
            <w:r w:rsidRPr="00D95BEF">
              <w:rPr>
                <w:bCs/>
              </w:rPr>
              <w:t xml:space="preserve"> 651/2014;</w:t>
            </w:r>
          </w:p>
          <w:p w:rsidR="00724B08" w:rsidRDefault="00EE146C" w:rsidP="00D95BEF">
            <w:pPr>
              <w:pStyle w:val="naiskr"/>
              <w:numPr>
                <w:ilvl w:val="0"/>
                <w:numId w:val="43"/>
              </w:numPr>
              <w:tabs>
                <w:tab w:val="left" w:pos="67"/>
              </w:tabs>
              <w:spacing w:before="0" w:beforeAutospacing="0" w:after="0" w:afterAutospacing="0"/>
              <w:jc w:val="both"/>
              <w:rPr>
                <w:color w:val="000000"/>
                <w:lang w:eastAsia="en-US"/>
              </w:rPr>
            </w:pPr>
            <w:r>
              <w:rPr>
                <w:bCs/>
                <w:color w:val="000000"/>
              </w:rPr>
              <w:t>Komisijas regulu Nr.1407/2013</w:t>
            </w:r>
            <w:r w:rsidR="00626429" w:rsidRPr="0071628A">
              <w:rPr>
                <w:bCs/>
                <w:color w:val="000000"/>
              </w:rPr>
              <w:t>.</w:t>
            </w:r>
          </w:p>
        </w:tc>
      </w:tr>
      <w:tr w:rsidR="00F662FA" w:rsidRPr="00FE1C57" w:rsidTr="00593067">
        <w:tc>
          <w:tcPr>
            <w:tcW w:w="2409"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jc w:val="center"/>
              <w:rPr>
                <w:color w:val="000000"/>
                <w:lang w:eastAsia="en-US"/>
              </w:rPr>
            </w:pPr>
            <w:r w:rsidRPr="00FE1C57">
              <w:rPr>
                <w:color w:val="000000"/>
              </w:rPr>
              <w:t>A</w:t>
            </w:r>
          </w:p>
        </w:tc>
        <w:tc>
          <w:tcPr>
            <w:tcW w:w="2575"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jc w:val="center"/>
              <w:rPr>
                <w:color w:val="000000"/>
                <w:lang w:eastAsia="en-US"/>
              </w:rPr>
            </w:pPr>
            <w:r w:rsidRPr="00FE1C57">
              <w:rPr>
                <w:color w:val="000000"/>
              </w:rPr>
              <w:t>B</w:t>
            </w:r>
          </w:p>
        </w:tc>
        <w:tc>
          <w:tcPr>
            <w:tcW w:w="2164"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jc w:val="center"/>
              <w:rPr>
                <w:color w:val="000000"/>
                <w:lang w:eastAsia="en-US"/>
              </w:rPr>
            </w:pPr>
            <w:r w:rsidRPr="00FE1C57">
              <w:rPr>
                <w:color w:val="000000"/>
              </w:rPr>
              <w:t>C</w:t>
            </w:r>
          </w:p>
        </w:tc>
        <w:tc>
          <w:tcPr>
            <w:tcW w:w="2032"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jc w:val="center"/>
              <w:rPr>
                <w:color w:val="000000"/>
                <w:lang w:eastAsia="en-US"/>
              </w:rPr>
            </w:pPr>
            <w:r w:rsidRPr="00FE1C57">
              <w:rPr>
                <w:color w:val="000000"/>
              </w:rPr>
              <w:t>D</w:t>
            </w:r>
          </w:p>
        </w:tc>
      </w:tr>
      <w:tr w:rsidR="00F662FA" w:rsidRPr="00FE1C57" w:rsidTr="00593067">
        <w:tc>
          <w:tcPr>
            <w:tcW w:w="2409"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rPr>
                <w:color w:val="000000"/>
                <w:lang w:eastAsia="en-US"/>
              </w:rPr>
            </w:pPr>
            <w:r w:rsidRPr="00FE1C57">
              <w:rPr>
                <w:color w:val="000000"/>
              </w:rPr>
              <w:t xml:space="preserve">Attiecīgā ES tiesību akta panta numurs (uzskaitot katru tiesību akta </w:t>
            </w:r>
            <w:r w:rsidRPr="00FE1C57">
              <w:rPr>
                <w:color w:val="000000"/>
              </w:rPr>
              <w:br/>
              <w:t>vienību – pantu, daļu, punktu, apakšpunktu)</w:t>
            </w:r>
          </w:p>
        </w:tc>
        <w:tc>
          <w:tcPr>
            <w:tcW w:w="2575"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rPr>
                <w:color w:val="000000"/>
                <w:lang w:eastAsia="en-US"/>
              </w:rPr>
            </w:pPr>
            <w:r w:rsidRPr="00FE1C57">
              <w:rPr>
                <w:color w:val="000000"/>
              </w:rPr>
              <w:t>Projekta vienība, kas pārņem vai ievieš katru šīs tabulas A ailē minēto ES tiesību akta vienību, vai tiesību akts, kur attiecīgā ES tiesību akta vienība pārņemta vai ieviesta</w:t>
            </w:r>
          </w:p>
        </w:tc>
        <w:tc>
          <w:tcPr>
            <w:tcW w:w="2164"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rPr>
                <w:color w:val="000000"/>
              </w:rPr>
            </w:pPr>
            <w:r w:rsidRPr="00FE1C57">
              <w:rPr>
                <w:color w:val="000000"/>
              </w:rPr>
              <w:t>Informācija par to, vai šīs tabulas A ailē minētās ES tiesību akta vienības tiek pārņemtas vai ieviestas pilnībā vai daļēji.</w:t>
            </w:r>
          </w:p>
          <w:p w:rsidR="00F662FA" w:rsidRPr="00FE1C57" w:rsidRDefault="00F662FA" w:rsidP="00F662FA">
            <w:pPr>
              <w:rPr>
                <w:color w:val="000000"/>
              </w:rPr>
            </w:pPr>
            <w:r w:rsidRPr="00FE1C57">
              <w:rPr>
                <w:color w:val="000000"/>
              </w:rPr>
              <w:t xml:space="preserve">Ja attiecīgā ES tiesību akta vienība tiek pārņemta vai </w:t>
            </w:r>
            <w:r w:rsidRPr="00FE1C57">
              <w:rPr>
                <w:color w:val="000000"/>
              </w:rPr>
              <w:lastRenderedPageBreak/>
              <w:t>ieviesta daļēji, – sniedz attiecīgu skaidrojumu, kā arī precīzi norāda, kad un kādā veidā ES tiesību akta vienība tiks pārņemta vai ieviesta pilnībā.</w:t>
            </w:r>
          </w:p>
          <w:p w:rsidR="00F662FA" w:rsidRPr="00FE1C57" w:rsidRDefault="00F662FA" w:rsidP="00F662FA">
            <w:pPr>
              <w:rPr>
                <w:color w:val="000000"/>
                <w:lang w:eastAsia="en-US"/>
              </w:rPr>
            </w:pPr>
            <w:r w:rsidRPr="00FE1C57">
              <w:rPr>
                <w:color w:val="000000"/>
              </w:rPr>
              <w:t>Norāda institūciju, kas ir atbildīga par šo saistību izpildi pilnībā</w:t>
            </w:r>
          </w:p>
        </w:tc>
        <w:tc>
          <w:tcPr>
            <w:tcW w:w="2032" w:type="dxa"/>
            <w:tcBorders>
              <w:top w:val="single" w:sz="4" w:space="0" w:color="auto"/>
              <w:left w:val="single" w:sz="4" w:space="0" w:color="auto"/>
              <w:bottom w:val="single" w:sz="4" w:space="0" w:color="auto"/>
              <w:right w:val="single" w:sz="4" w:space="0" w:color="auto"/>
            </w:tcBorders>
            <w:hideMark/>
          </w:tcPr>
          <w:p w:rsidR="00F662FA" w:rsidRPr="00FE1C57" w:rsidRDefault="00F662FA" w:rsidP="00F662FA">
            <w:pPr>
              <w:rPr>
                <w:color w:val="000000"/>
              </w:rPr>
            </w:pPr>
            <w:r w:rsidRPr="00FE1C57">
              <w:rPr>
                <w:color w:val="000000"/>
              </w:rPr>
              <w:lastRenderedPageBreak/>
              <w:t>Informācija par to, vai šīs tabulas B ailē minētās projekta vienības paredz stingrākas prasības nekā šīs tabulas A ailē minētās ES tiesību akta vienības.</w:t>
            </w:r>
          </w:p>
          <w:p w:rsidR="00F662FA" w:rsidRPr="00FE1C57" w:rsidRDefault="00F662FA" w:rsidP="00F662FA">
            <w:pPr>
              <w:rPr>
                <w:color w:val="000000"/>
              </w:rPr>
            </w:pPr>
            <w:r w:rsidRPr="00FE1C57">
              <w:rPr>
                <w:color w:val="000000"/>
              </w:rPr>
              <w:t xml:space="preserve">Ja projekts satur stingrākas </w:t>
            </w:r>
            <w:r w:rsidRPr="00FE1C57">
              <w:rPr>
                <w:color w:val="000000"/>
              </w:rPr>
              <w:lastRenderedPageBreak/>
              <w:t>prasības nekā attiecīgais ES tiesību akts, – norāda pamatojumu un samērīgumu.</w:t>
            </w:r>
          </w:p>
          <w:p w:rsidR="00F662FA" w:rsidRPr="00FE1C57" w:rsidRDefault="00F662FA" w:rsidP="00F662FA">
            <w:pPr>
              <w:rPr>
                <w:color w:val="000000"/>
                <w:lang w:eastAsia="en-US"/>
              </w:rPr>
            </w:pPr>
            <w:r w:rsidRPr="00FE1C57">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F662FA" w:rsidRPr="00FE1C57" w:rsidTr="00593067">
        <w:trPr>
          <w:trHeight w:val="1156"/>
        </w:trPr>
        <w:tc>
          <w:tcPr>
            <w:tcW w:w="2409" w:type="dxa"/>
            <w:tcBorders>
              <w:top w:val="single" w:sz="4" w:space="0" w:color="auto"/>
              <w:left w:val="single" w:sz="4" w:space="0" w:color="auto"/>
              <w:bottom w:val="single" w:sz="4" w:space="0" w:color="auto"/>
              <w:right w:val="single" w:sz="4" w:space="0" w:color="auto"/>
            </w:tcBorders>
            <w:hideMark/>
          </w:tcPr>
          <w:p w:rsidR="00F662FA" w:rsidRPr="00972A79" w:rsidRDefault="00E321B8" w:rsidP="00972A79">
            <w:pPr>
              <w:rPr>
                <w:color w:val="000000"/>
                <w:lang w:eastAsia="en-US"/>
              </w:rPr>
            </w:pPr>
            <w:r w:rsidRPr="00E321B8">
              <w:lastRenderedPageBreak/>
              <w:t>Komisijas regula Nr.1407/2013 2. panta 2. punkts</w:t>
            </w:r>
            <w:r w:rsidR="00F662FA" w:rsidRPr="00972A79" w:rsidDel="00DD6B06">
              <w:rPr>
                <w:color w:val="000000"/>
              </w:rPr>
              <w:t xml:space="preserve"> </w:t>
            </w:r>
          </w:p>
        </w:tc>
        <w:tc>
          <w:tcPr>
            <w:tcW w:w="2575" w:type="dxa"/>
            <w:tcBorders>
              <w:top w:val="single" w:sz="4" w:space="0" w:color="auto"/>
              <w:left w:val="single" w:sz="4" w:space="0" w:color="auto"/>
              <w:bottom w:val="single" w:sz="4" w:space="0" w:color="auto"/>
              <w:right w:val="single" w:sz="4" w:space="0" w:color="auto"/>
            </w:tcBorders>
            <w:hideMark/>
          </w:tcPr>
          <w:p w:rsidR="00F662FA" w:rsidRPr="0071628A" w:rsidRDefault="00416DC7" w:rsidP="00130F9A">
            <w:pPr>
              <w:jc w:val="both"/>
              <w:rPr>
                <w:iCs/>
                <w:color w:val="000000"/>
                <w:lang w:eastAsia="en-US"/>
              </w:rPr>
            </w:pPr>
            <w:r w:rsidRPr="0071628A">
              <w:rPr>
                <w:color w:val="000000"/>
              </w:rPr>
              <w:t xml:space="preserve">Noteikumu projekta </w:t>
            </w:r>
            <w:r w:rsidR="00130F9A" w:rsidRPr="0071628A">
              <w:rPr>
                <w:color w:val="000000"/>
              </w:rPr>
              <w:t>49.2.</w:t>
            </w:r>
            <w:r w:rsidR="00F662FA" w:rsidRPr="0071628A">
              <w:rPr>
                <w:color w:val="000000"/>
              </w:rPr>
              <w:t>apakšpunkts.</w:t>
            </w:r>
          </w:p>
        </w:tc>
        <w:tc>
          <w:tcPr>
            <w:tcW w:w="2164" w:type="dxa"/>
            <w:tcBorders>
              <w:top w:val="single" w:sz="4" w:space="0" w:color="auto"/>
              <w:left w:val="single" w:sz="4" w:space="0" w:color="auto"/>
              <w:bottom w:val="single" w:sz="4" w:space="0" w:color="auto"/>
              <w:right w:val="single" w:sz="4" w:space="0" w:color="auto"/>
            </w:tcBorders>
            <w:hideMark/>
          </w:tcPr>
          <w:p w:rsidR="00F662FA" w:rsidRPr="0071628A" w:rsidRDefault="00416DC7" w:rsidP="00F662FA">
            <w:pPr>
              <w:jc w:val="center"/>
              <w:rPr>
                <w:iCs/>
                <w:color w:val="000000"/>
                <w:lang w:eastAsia="en-US"/>
              </w:rPr>
            </w:pPr>
            <w:r w:rsidRPr="0071628A">
              <w:rPr>
                <w:iCs/>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rsidR="00F662FA" w:rsidRPr="0071628A" w:rsidRDefault="00416DC7" w:rsidP="00F662FA">
            <w:pPr>
              <w:jc w:val="center"/>
              <w:rPr>
                <w:iCs/>
                <w:color w:val="000000"/>
              </w:rPr>
            </w:pPr>
            <w:r w:rsidRPr="0071628A">
              <w:rPr>
                <w:iCs/>
                <w:color w:val="000000"/>
              </w:rPr>
              <w:t>Netiek paredzētas stingrākas prasības.</w:t>
            </w:r>
          </w:p>
        </w:tc>
      </w:tr>
      <w:tr w:rsidR="00F662FA" w:rsidRPr="00FE1C57" w:rsidTr="00593067">
        <w:trPr>
          <w:trHeight w:val="961"/>
        </w:trPr>
        <w:tc>
          <w:tcPr>
            <w:tcW w:w="2409" w:type="dxa"/>
            <w:tcBorders>
              <w:top w:val="single" w:sz="4" w:space="0" w:color="auto"/>
              <w:left w:val="single" w:sz="4" w:space="0" w:color="auto"/>
              <w:bottom w:val="single" w:sz="4" w:space="0" w:color="auto"/>
              <w:right w:val="single" w:sz="4" w:space="0" w:color="auto"/>
            </w:tcBorders>
            <w:hideMark/>
          </w:tcPr>
          <w:p w:rsidR="00F662FA" w:rsidRPr="00972A79" w:rsidRDefault="00E321B8" w:rsidP="00F662FA">
            <w:pPr>
              <w:rPr>
                <w:color w:val="000000"/>
              </w:rPr>
            </w:pPr>
            <w:r w:rsidRPr="00E321B8">
              <w:t>Komisijas regula Nr. Nr. 651/2014 2. panta 18. punkts</w:t>
            </w:r>
          </w:p>
        </w:tc>
        <w:tc>
          <w:tcPr>
            <w:tcW w:w="2575" w:type="dxa"/>
            <w:tcBorders>
              <w:top w:val="single" w:sz="4" w:space="0" w:color="auto"/>
              <w:left w:val="single" w:sz="4" w:space="0" w:color="auto"/>
              <w:bottom w:val="single" w:sz="4" w:space="0" w:color="auto"/>
              <w:right w:val="single" w:sz="4" w:space="0" w:color="auto"/>
            </w:tcBorders>
            <w:hideMark/>
          </w:tcPr>
          <w:p w:rsidR="00F662FA" w:rsidRPr="0071628A" w:rsidRDefault="00F662FA" w:rsidP="00755D0C">
            <w:pPr>
              <w:jc w:val="both"/>
              <w:rPr>
                <w:color w:val="000000"/>
              </w:rPr>
            </w:pPr>
            <w:r w:rsidRPr="0071628A">
              <w:rPr>
                <w:color w:val="000000"/>
              </w:rPr>
              <w:t xml:space="preserve">noteikumu projekta </w:t>
            </w:r>
            <w:r w:rsidR="00755D0C" w:rsidRPr="0071628A">
              <w:rPr>
                <w:color w:val="000000"/>
              </w:rPr>
              <w:t>27</w:t>
            </w:r>
            <w:r w:rsidRPr="0071628A">
              <w:rPr>
                <w:color w:val="000000"/>
              </w:rPr>
              <w:t>.2.apakšpunkts.</w:t>
            </w:r>
          </w:p>
        </w:tc>
        <w:tc>
          <w:tcPr>
            <w:tcW w:w="2164" w:type="dxa"/>
            <w:tcBorders>
              <w:top w:val="single" w:sz="4" w:space="0" w:color="auto"/>
              <w:left w:val="single" w:sz="4" w:space="0" w:color="auto"/>
              <w:bottom w:val="single" w:sz="4" w:space="0" w:color="auto"/>
              <w:right w:val="single" w:sz="4" w:space="0" w:color="auto"/>
            </w:tcBorders>
            <w:hideMark/>
          </w:tcPr>
          <w:p w:rsidR="00F662FA" w:rsidRPr="0071628A" w:rsidRDefault="00416DC7" w:rsidP="00F662FA">
            <w:pPr>
              <w:jc w:val="center"/>
              <w:rPr>
                <w:iCs/>
                <w:color w:val="000000"/>
              </w:rPr>
            </w:pPr>
            <w:r w:rsidRPr="0071628A">
              <w:rPr>
                <w:iCs/>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rsidR="00F662FA" w:rsidRPr="0071628A" w:rsidRDefault="00416DC7" w:rsidP="00F662FA">
            <w:pPr>
              <w:jc w:val="center"/>
              <w:rPr>
                <w:iCs/>
                <w:color w:val="000000"/>
              </w:rPr>
            </w:pPr>
            <w:r w:rsidRPr="0071628A">
              <w:rPr>
                <w:iCs/>
                <w:color w:val="000000"/>
              </w:rPr>
              <w:t>Netiek paredzētas stingrākas prasības.</w:t>
            </w:r>
          </w:p>
        </w:tc>
      </w:tr>
      <w:tr w:rsidR="00F662FA" w:rsidRPr="00FE1C57" w:rsidTr="00593067">
        <w:trPr>
          <w:trHeight w:val="976"/>
        </w:trPr>
        <w:tc>
          <w:tcPr>
            <w:tcW w:w="2409" w:type="dxa"/>
            <w:tcBorders>
              <w:top w:val="single" w:sz="4" w:space="0" w:color="auto"/>
              <w:left w:val="single" w:sz="4" w:space="0" w:color="auto"/>
              <w:bottom w:val="single" w:sz="4" w:space="0" w:color="auto"/>
              <w:right w:val="single" w:sz="4" w:space="0" w:color="auto"/>
            </w:tcBorders>
            <w:hideMark/>
          </w:tcPr>
          <w:p w:rsidR="00F662FA" w:rsidRPr="00972A79" w:rsidRDefault="00E321B8" w:rsidP="00972A79">
            <w:pPr>
              <w:rPr>
                <w:color w:val="000000"/>
              </w:rPr>
            </w:pPr>
            <w:r w:rsidRPr="00E321B8">
              <w:t>Vispārēja atsauce uz Komisijas regulu Nr.1407/2013</w:t>
            </w:r>
          </w:p>
        </w:tc>
        <w:tc>
          <w:tcPr>
            <w:tcW w:w="2575" w:type="dxa"/>
            <w:tcBorders>
              <w:top w:val="single" w:sz="4" w:space="0" w:color="auto"/>
              <w:left w:val="single" w:sz="4" w:space="0" w:color="auto"/>
              <w:bottom w:val="single" w:sz="4" w:space="0" w:color="auto"/>
              <w:right w:val="single" w:sz="4" w:space="0" w:color="auto"/>
            </w:tcBorders>
            <w:hideMark/>
          </w:tcPr>
          <w:p w:rsidR="00F662FA" w:rsidRPr="0071628A" w:rsidRDefault="00F662FA" w:rsidP="00F662FA">
            <w:pPr>
              <w:jc w:val="center"/>
              <w:rPr>
                <w:color w:val="000000"/>
              </w:rPr>
            </w:pPr>
            <w:r w:rsidRPr="0071628A">
              <w:rPr>
                <w:color w:val="000000"/>
              </w:rPr>
              <w:t>Noteikumu projekta 4</w:t>
            </w:r>
            <w:r w:rsidR="00755D0C" w:rsidRPr="0071628A">
              <w:rPr>
                <w:color w:val="000000"/>
              </w:rPr>
              <w:t>3</w:t>
            </w:r>
            <w:r w:rsidRPr="0071628A">
              <w:rPr>
                <w:color w:val="000000"/>
              </w:rPr>
              <w:t>.</w:t>
            </w:r>
            <w:r w:rsidR="00755D0C" w:rsidRPr="0071628A">
              <w:rPr>
                <w:color w:val="000000"/>
              </w:rPr>
              <w:t>2</w:t>
            </w:r>
            <w:r w:rsidRPr="0071628A">
              <w:rPr>
                <w:color w:val="000000"/>
              </w:rPr>
              <w:t>.apakšpunkts.</w:t>
            </w:r>
          </w:p>
        </w:tc>
        <w:tc>
          <w:tcPr>
            <w:tcW w:w="2164" w:type="dxa"/>
            <w:tcBorders>
              <w:top w:val="single" w:sz="4" w:space="0" w:color="auto"/>
              <w:left w:val="single" w:sz="4" w:space="0" w:color="auto"/>
              <w:bottom w:val="single" w:sz="4" w:space="0" w:color="auto"/>
              <w:right w:val="single" w:sz="4" w:space="0" w:color="auto"/>
            </w:tcBorders>
            <w:hideMark/>
          </w:tcPr>
          <w:p w:rsidR="00F662FA" w:rsidRPr="0071628A" w:rsidRDefault="00416DC7" w:rsidP="00F662FA">
            <w:pPr>
              <w:jc w:val="center"/>
              <w:rPr>
                <w:iCs/>
                <w:color w:val="000000"/>
              </w:rPr>
            </w:pPr>
            <w:r w:rsidRPr="0071628A">
              <w:rPr>
                <w:iCs/>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rsidR="00F662FA" w:rsidRPr="0071628A" w:rsidRDefault="00416DC7" w:rsidP="00F662FA">
            <w:pPr>
              <w:jc w:val="center"/>
              <w:rPr>
                <w:iCs/>
                <w:color w:val="000000"/>
              </w:rPr>
            </w:pPr>
            <w:r w:rsidRPr="0071628A">
              <w:rPr>
                <w:iCs/>
                <w:color w:val="000000"/>
              </w:rPr>
              <w:t>Netiek paredzētas stingrākas prasības.</w:t>
            </w:r>
          </w:p>
        </w:tc>
      </w:tr>
      <w:tr w:rsidR="00692483" w:rsidRPr="00FE1C57" w:rsidTr="00593067">
        <w:trPr>
          <w:trHeight w:val="976"/>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r w:rsidRPr="00E321B8">
              <w:t>Komisijas regulas Nr. 651/2014 53. pants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color w:val="000000"/>
              </w:rPr>
            </w:pPr>
            <w:r w:rsidRPr="0071628A">
              <w:rPr>
                <w:color w:val="000000"/>
              </w:rPr>
              <w:t>Vispārīga atsauce noteikumu projekta 43</w:t>
            </w:r>
            <w:r w:rsidR="00755D0C" w:rsidRPr="0071628A">
              <w:rPr>
                <w:color w:val="000000"/>
              </w:rPr>
              <w:t>.1</w:t>
            </w:r>
            <w:r w:rsidRPr="0071628A">
              <w:rPr>
                <w:color w:val="000000"/>
              </w:rPr>
              <w:t>.punkts,</w:t>
            </w:r>
            <w:r w:rsidR="00755D0C" w:rsidRPr="0071628A">
              <w:rPr>
                <w:color w:val="000000"/>
              </w:rPr>
              <w:t>44.,</w:t>
            </w:r>
            <w:r w:rsidRPr="0071628A">
              <w:rPr>
                <w:color w:val="000000"/>
              </w:rPr>
              <w:t xml:space="preserve"> 44.1., 44.2.apakšpunkts.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Cs/>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Cs/>
                <w:color w:val="000000"/>
              </w:rPr>
              <w:t>Netiek paredzētas stingrākas prasības.</w:t>
            </w:r>
          </w:p>
        </w:tc>
      </w:tr>
      <w:tr w:rsidR="00692483" w:rsidRPr="00FE1C57" w:rsidTr="00593067">
        <w:trPr>
          <w:trHeight w:val="976"/>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r w:rsidRPr="00E321B8">
              <w:t>Komisijas regulas Nr. 651/2014 55. pants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color w:val="000000"/>
              </w:rPr>
            </w:pPr>
            <w:r w:rsidRPr="0071628A">
              <w:rPr>
                <w:color w:val="000000"/>
              </w:rPr>
              <w:t>Vispārīga atsauce noteikumu projekta 43.</w:t>
            </w:r>
            <w:r w:rsidR="00755D0C" w:rsidRPr="0071628A">
              <w:rPr>
                <w:color w:val="000000"/>
              </w:rPr>
              <w:t>1.</w:t>
            </w:r>
            <w:r w:rsidRPr="0071628A">
              <w:rPr>
                <w:color w:val="000000"/>
              </w:rPr>
              <w:t>punkts, 44.1., 44.3.apakšpunkts.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Cs/>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Cs/>
                <w:color w:val="000000"/>
              </w:rPr>
              <w:t>Netiek paredzētas stingrākas prasības.</w:t>
            </w:r>
          </w:p>
        </w:tc>
      </w:tr>
      <w:tr w:rsidR="00692483" w:rsidRPr="00FE1C57" w:rsidTr="00593067">
        <w:trPr>
          <w:trHeight w:val="976"/>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r w:rsidRPr="00E321B8">
              <w:t>Komisijas regulas Nr. 651/2014 56. pants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color w:val="000000"/>
              </w:rPr>
            </w:pPr>
            <w:r w:rsidRPr="0071628A">
              <w:rPr>
                <w:color w:val="000000"/>
              </w:rPr>
              <w:t>Vispārīga atsauce noteikumu projekta 43.</w:t>
            </w:r>
            <w:r w:rsidR="00755D0C" w:rsidRPr="0071628A">
              <w:rPr>
                <w:color w:val="000000"/>
              </w:rPr>
              <w:t>1.</w:t>
            </w:r>
            <w:r w:rsidRPr="0071628A">
              <w:rPr>
                <w:color w:val="000000"/>
              </w:rPr>
              <w:t>punkts, 44.1., 44.4.apakšpunkts.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Cs/>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Cs/>
                <w:color w:val="000000"/>
              </w:rPr>
              <w:t>Netiek paredzētas stingrākas prasības.</w:t>
            </w:r>
          </w:p>
        </w:tc>
      </w:tr>
      <w:tr w:rsidR="00692483" w:rsidRPr="00FE1C57" w:rsidTr="00593067">
        <w:trPr>
          <w:trHeight w:val="1119"/>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 651/2014 53.panta 2. 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color w:val="000000"/>
              </w:rPr>
            </w:pPr>
            <w:r w:rsidRPr="0071628A">
              <w:rPr>
                <w:iCs/>
                <w:color w:val="000000"/>
                <w:lang w:eastAsia="en-US"/>
              </w:rPr>
              <w:t>Noteikumu projekta 4</w:t>
            </w:r>
            <w:r w:rsidR="00867FCF" w:rsidRPr="0071628A">
              <w:rPr>
                <w:iCs/>
                <w:color w:val="000000"/>
                <w:lang w:eastAsia="en-US"/>
              </w:rPr>
              <w:t>4</w:t>
            </w:r>
            <w:r w:rsidRPr="0071628A">
              <w:rPr>
                <w:iCs/>
                <w:color w:val="000000"/>
                <w:lang w:eastAsia="en-US"/>
              </w:rPr>
              <w:t>.1., 4</w:t>
            </w:r>
            <w:r w:rsidR="00867FCF" w:rsidRPr="0071628A">
              <w:rPr>
                <w:iCs/>
                <w:color w:val="000000"/>
                <w:lang w:eastAsia="en-US"/>
              </w:rPr>
              <w:t>4</w:t>
            </w:r>
            <w:r w:rsidRPr="0071628A">
              <w:rPr>
                <w:iCs/>
                <w:color w:val="000000"/>
                <w:lang w:eastAsia="en-US"/>
              </w:rPr>
              <w:t>.2.apakšpunkts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695"/>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r w:rsidRPr="00E321B8">
              <w:lastRenderedPageBreak/>
              <w:t>55. panta 1. 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867FCF">
            <w:pPr>
              <w:jc w:val="center"/>
              <w:rPr>
                <w:iCs/>
                <w:color w:val="000000"/>
                <w:lang w:eastAsia="en-US"/>
              </w:rPr>
            </w:pPr>
            <w:r w:rsidRPr="0071628A">
              <w:rPr>
                <w:iCs/>
                <w:color w:val="000000"/>
                <w:lang w:eastAsia="en-US"/>
              </w:rPr>
              <w:t>Noteikumu projekta 4</w:t>
            </w:r>
            <w:r w:rsidR="00867FCF" w:rsidRPr="0071628A">
              <w:rPr>
                <w:iCs/>
                <w:color w:val="000000"/>
                <w:lang w:eastAsia="en-US"/>
              </w:rPr>
              <w:t>4</w:t>
            </w:r>
            <w:r w:rsidR="0071628A">
              <w:rPr>
                <w:iCs/>
                <w:color w:val="000000"/>
                <w:lang w:eastAsia="en-US"/>
              </w:rPr>
              <w:t>.1</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
                <w:iCs/>
                <w:color w:val="000000"/>
              </w:rPr>
            </w:pPr>
            <w:r w:rsidRPr="0071628A">
              <w:rPr>
                <w:i/>
                <w:iCs/>
                <w:color w:val="000000"/>
              </w:rPr>
              <w:t>Neparedz stingrākas prasības</w:t>
            </w:r>
          </w:p>
        </w:tc>
      </w:tr>
      <w:tr w:rsidR="00692483" w:rsidRPr="00FE1C57" w:rsidTr="00593067">
        <w:trPr>
          <w:trHeight w:val="1131"/>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r w:rsidRPr="00E321B8">
              <w:t>56. panta 1. 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755D0C">
            <w:pPr>
              <w:jc w:val="center"/>
              <w:rPr>
                <w:iCs/>
                <w:color w:val="000000"/>
                <w:lang w:eastAsia="en-US"/>
              </w:rPr>
            </w:pPr>
            <w:r w:rsidRPr="0071628A">
              <w:rPr>
                <w:iCs/>
                <w:color w:val="000000"/>
                <w:lang w:eastAsia="en-US"/>
              </w:rPr>
              <w:t xml:space="preserve">Noteikumu projekta </w:t>
            </w:r>
            <w:r w:rsidR="00755D0C" w:rsidRPr="0071628A">
              <w:rPr>
                <w:iCs/>
                <w:color w:val="000000"/>
                <w:lang w:eastAsia="en-US"/>
              </w:rPr>
              <w:t>44.</w:t>
            </w:r>
            <w:r w:rsidR="00867FCF" w:rsidRPr="0071628A">
              <w:rPr>
                <w:iCs/>
                <w:color w:val="000000"/>
                <w:lang w:eastAsia="en-US"/>
              </w:rPr>
              <w:t>1</w:t>
            </w:r>
            <w:r w:rsidR="00755D0C" w:rsidRPr="0071628A">
              <w:rPr>
                <w:iCs/>
                <w:color w:val="000000"/>
                <w:lang w:eastAsia="en-US"/>
              </w:rPr>
              <w:t>.</w:t>
            </w:r>
            <w:r w:rsidR="00755D0C" w:rsidRPr="0071628A" w:rsidDel="00755D0C">
              <w:rPr>
                <w:iCs/>
                <w:color w:val="000000"/>
                <w:lang w:eastAsia="en-US"/>
              </w:rPr>
              <w:t xml:space="preserve"> </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
                <w:iCs/>
                <w:color w:val="000000"/>
              </w:rPr>
            </w:pPr>
            <w:r w:rsidRPr="0071628A">
              <w:rPr>
                <w:i/>
                <w:iCs/>
                <w:color w:val="000000"/>
              </w:rPr>
              <w:t>Neparedz stingrākas prasības</w:t>
            </w:r>
          </w:p>
        </w:tc>
      </w:tr>
      <w:tr w:rsidR="00692483" w:rsidRPr="00FE1C57" w:rsidTr="00593067">
        <w:trPr>
          <w:trHeight w:val="2233"/>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Nr.651/2014 1. panta 2. punkta “c” un “d” apakšpunkts, 1. panta 3. punkts, 1. panta 4. punkta “a”, 1. panta 5. punkts, 4. panta 1. punkta “z”, “bb” vai “cc” apakšpunkts, 4. panta 2. 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420773">
            <w:pPr>
              <w:jc w:val="center"/>
              <w:rPr>
                <w:color w:val="000000"/>
              </w:rPr>
            </w:pPr>
            <w:r w:rsidRPr="0071628A">
              <w:rPr>
                <w:iCs/>
                <w:color w:val="000000"/>
                <w:lang w:eastAsia="en-US"/>
              </w:rPr>
              <w:t xml:space="preserve">Noteikumu projekta </w:t>
            </w:r>
            <w:r w:rsidR="00755D0C" w:rsidRPr="0071628A">
              <w:rPr>
                <w:iCs/>
                <w:color w:val="000000"/>
                <w:lang w:eastAsia="en-US"/>
              </w:rPr>
              <w:t>44</w:t>
            </w:r>
            <w:r w:rsidRPr="0071628A">
              <w:rPr>
                <w:iCs/>
                <w:color w:val="000000"/>
                <w:lang w:eastAsia="en-US"/>
              </w:rPr>
              <w:t>.1.</w:t>
            </w:r>
            <w:r w:rsidR="00420773" w:rsidRPr="0071628A">
              <w:rPr>
                <w:iCs/>
                <w:color w:val="000000"/>
                <w:lang w:eastAsia="en-US"/>
              </w:rPr>
              <w:t xml:space="preserve"> </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206"/>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 651/2014 53.panta 10.punkts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color w:val="000000"/>
              </w:rPr>
            </w:pPr>
            <w:r w:rsidRPr="0071628A">
              <w:rPr>
                <w:iCs/>
                <w:color w:val="000000"/>
                <w:lang w:eastAsia="en-US"/>
              </w:rPr>
              <w:t>Noteikumu projekta 45.2.1.apakšpunkts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832"/>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 651/2014 2.panta 29. un 30. punkts, 53.panta 4. punkts un 53. panta 5. 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755D0C">
            <w:pPr>
              <w:jc w:val="center"/>
              <w:rPr>
                <w:color w:val="000000"/>
              </w:rPr>
            </w:pPr>
            <w:r w:rsidRPr="0071628A">
              <w:rPr>
                <w:iCs/>
                <w:color w:val="000000"/>
                <w:lang w:eastAsia="en-US"/>
              </w:rPr>
              <w:t xml:space="preserve">Noteikumu projekta </w:t>
            </w:r>
            <w:r w:rsidR="00755D0C" w:rsidRPr="0071628A">
              <w:rPr>
                <w:iCs/>
                <w:color w:val="000000"/>
                <w:lang w:eastAsia="en-US"/>
              </w:rPr>
              <w:t>44</w:t>
            </w:r>
            <w:r w:rsidRPr="0071628A">
              <w:rPr>
                <w:iCs/>
                <w:color w:val="000000"/>
                <w:lang w:eastAsia="en-US"/>
              </w:rPr>
              <w:t>.2.2.apakšpunkts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EA20C6" w:rsidRPr="00FE1C57" w:rsidTr="00593067">
        <w:trPr>
          <w:trHeight w:val="1405"/>
        </w:trPr>
        <w:tc>
          <w:tcPr>
            <w:tcW w:w="2409" w:type="dxa"/>
            <w:tcBorders>
              <w:top w:val="single" w:sz="4" w:space="0" w:color="auto"/>
              <w:left w:val="single" w:sz="4" w:space="0" w:color="auto"/>
              <w:bottom w:val="single" w:sz="4" w:space="0" w:color="auto"/>
              <w:right w:val="single" w:sz="4" w:space="0" w:color="auto"/>
            </w:tcBorders>
            <w:hideMark/>
          </w:tcPr>
          <w:p w:rsidR="00EA20C6" w:rsidRPr="00972A79" w:rsidRDefault="00E321B8" w:rsidP="00EA20C6">
            <w:r w:rsidRPr="00E321B8">
              <w:t>Komisijas regulas Nr. 651/2014 53.panta 4. punkts a)apakšpunkts</w:t>
            </w:r>
          </w:p>
        </w:tc>
        <w:tc>
          <w:tcPr>
            <w:tcW w:w="2575" w:type="dxa"/>
            <w:tcBorders>
              <w:top w:val="single" w:sz="4" w:space="0" w:color="auto"/>
              <w:left w:val="single" w:sz="4" w:space="0" w:color="auto"/>
              <w:bottom w:val="single" w:sz="4" w:space="0" w:color="auto"/>
              <w:right w:val="single" w:sz="4" w:space="0" w:color="auto"/>
            </w:tcBorders>
            <w:hideMark/>
          </w:tcPr>
          <w:p w:rsidR="00EA20C6" w:rsidRPr="00972A79" w:rsidRDefault="00E321B8" w:rsidP="00755D0C">
            <w:pPr>
              <w:jc w:val="center"/>
              <w:rPr>
                <w:iCs/>
                <w:color w:val="000000"/>
                <w:lang w:eastAsia="en-US"/>
              </w:rPr>
            </w:pPr>
            <w:r w:rsidRPr="00E321B8">
              <w:rPr>
                <w:iCs/>
                <w:color w:val="000000"/>
                <w:lang w:eastAsia="en-US"/>
              </w:rPr>
              <w:t>Noteikumu projekta 44.2.3.apakšpunkts</w:t>
            </w:r>
          </w:p>
        </w:tc>
        <w:tc>
          <w:tcPr>
            <w:tcW w:w="2164" w:type="dxa"/>
            <w:tcBorders>
              <w:top w:val="single" w:sz="4" w:space="0" w:color="auto"/>
              <w:left w:val="single" w:sz="4" w:space="0" w:color="auto"/>
              <w:bottom w:val="single" w:sz="4" w:space="0" w:color="auto"/>
              <w:right w:val="single" w:sz="4" w:space="0" w:color="auto"/>
            </w:tcBorders>
            <w:hideMark/>
          </w:tcPr>
          <w:p w:rsidR="00EA20C6" w:rsidRPr="00972A79" w:rsidRDefault="00E321B8" w:rsidP="00F662FA">
            <w:pPr>
              <w:jc w:val="center"/>
              <w:rPr>
                <w:i/>
                <w:iCs/>
                <w:color w:val="000000"/>
              </w:rPr>
            </w:pPr>
            <w:r w:rsidRPr="00E321B8">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EA20C6" w:rsidRPr="00972A79" w:rsidRDefault="00E321B8" w:rsidP="00F662FA">
            <w:pPr>
              <w:jc w:val="center"/>
              <w:rPr>
                <w:i/>
                <w:iCs/>
                <w:color w:val="000000"/>
              </w:rPr>
            </w:pPr>
            <w:r w:rsidRPr="00E321B8">
              <w:rPr>
                <w:i/>
                <w:iCs/>
                <w:color w:val="000000"/>
              </w:rPr>
              <w:t>Neparedz stingrākas prasības</w:t>
            </w:r>
          </w:p>
        </w:tc>
      </w:tr>
      <w:tr w:rsidR="00692483" w:rsidRPr="00FE1C57" w:rsidTr="00593067">
        <w:trPr>
          <w:trHeight w:val="1405"/>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 651/2014 53.panta 6.punkts un 53.panta 7.punkts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755D0C">
            <w:pPr>
              <w:jc w:val="center"/>
              <w:rPr>
                <w:color w:val="000000"/>
              </w:rPr>
            </w:pPr>
            <w:r w:rsidRPr="0071628A">
              <w:rPr>
                <w:iCs/>
                <w:color w:val="000000"/>
                <w:lang w:eastAsia="en-US"/>
              </w:rPr>
              <w:t xml:space="preserve">Noteikumu projekta </w:t>
            </w:r>
            <w:r w:rsidR="00755D0C" w:rsidRPr="0071628A">
              <w:rPr>
                <w:iCs/>
                <w:color w:val="000000"/>
                <w:lang w:eastAsia="en-US"/>
              </w:rPr>
              <w:t>44</w:t>
            </w:r>
            <w:r w:rsidR="00950986" w:rsidRPr="0071628A">
              <w:rPr>
                <w:iCs/>
                <w:color w:val="000000"/>
                <w:lang w:eastAsia="en-US"/>
              </w:rPr>
              <w:t>.2.4</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128"/>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Nr.651/2014 55.panta 2., 4., 5. un 6.punkts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755D0C">
            <w:pPr>
              <w:jc w:val="center"/>
              <w:rPr>
                <w:color w:val="000000"/>
              </w:rPr>
            </w:pPr>
            <w:r w:rsidRPr="0071628A">
              <w:rPr>
                <w:iCs/>
                <w:color w:val="000000"/>
                <w:lang w:eastAsia="en-US"/>
              </w:rPr>
              <w:t xml:space="preserve">Noteikumu projekta </w:t>
            </w:r>
            <w:r w:rsidR="00755D0C" w:rsidRPr="0071628A">
              <w:rPr>
                <w:iCs/>
                <w:color w:val="000000"/>
                <w:lang w:eastAsia="en-US"/>
              </w:rPr>
              <w:t>44</w:t>
            </w:r>
            <w:r w:rsidRPr="0071628A">
              <w:rPr>
                <w:iCs/>
                <w:color w:val="000000"/>
                <w:lang w:eastAsia="en-US"/>
              </w:rPr>
              <w:t>.3.</w:t>
            </w:r>
            <w:r w:rsidR="00755D0C" w:rsidRPr="0071628A">
              <w:rPr>
                <w:iCs/>
                <w:color w:val="000000"/>
                <w:lang w:eastAsia="en-US"/>
              </w:rPr>
              <w:t>2</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118"/>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Nr. 651/2014 55.panta 10., 11. un 12.punkts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755D0C">
            <w:pPr>
              <w:jc w:val="center"/>
              <w:rPr>
                <w:color w:val="000000"/>
              </w:rPr>
            </w:pPr>
            <w:r w:rsidRPr="0071628A">
              <w:rPr>
                <w:iCs/>
                <w:color w:val="000000"/>
                <w:lang w:eastAsia="en-US"/>
              </w:rPr>
              <w:t xml:space="preserve">Noteikumu projekta </w:t>
            </w:r>
            <w:r w:rsidR="00755D0C" w:rsidRPr="0071628A">
              <w:rPr>
                <w:iCs/>
                <w:color w:val="000000"/>
                <w:lang w:eastAsia="en-US"/>
              </w:rPr>
              <w:t>44</w:t>
            </w:r>
            <w:r w:rsidRPr="0071628A">
              <w:rPr>
                <w:iCs/>
                <w:color w:val="000000"/>
                <w:lang w:eastAsia="en-US"/>
              </w:rPr>
              <w:t>.3.</w:t>
            </w:r>
            <w:r w:rsidR="00755D0C" w:rsidRPr="0071628A">
              <w:rPr>
                <w:iCs/>
                <w:color w:val="000000"/>
                <w:lang w:eastAsia="en-US"/>
              </w:rPr>
              <w:t>3</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827"/>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lastRenderedPageBreak/>
              <w:t>Komisijas regulas Nr. 651/2014 2.panta 29. un 30. Punkts, 55.panta 7. un 8.punkts, 55. panta 7. un 9.punkts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755D0C">
            <w:pPr>
              <w:jc w:val="center"/>
              <w:rPr>
                <w:color w:val="000000"/>
              </w:rPr>
            </w:pPr>
            <w:r w:rsidRPr="0071628A">
              <w:rPr>
                <w:iCs/>
                <w:color w:val="000000"/>
                <w:lang w:eastAsia="en-US"/>
              </w:rPr>
              <w:t xml:space="preserve">Noteikumu projekta </w:t>
            </w:r>
            <w:r w:rsidR="00755D0C" w:rsidRPr="0071628A">
              <w:rPr>
                <w:iCs/>
                <w:color w:val="000000"/>
                <w:lang w:eastAsia="en-US"/>
              </w:rPr>
              <w:t>44</w:t>
            </w:r>
            <w:r w:rsidRPr="0071628A">
              <w:rPr>
                <w:iCs/>
                <w:color w:val="000000"/>
                <w:lang w:eastAsia="en-US"/>
              </w:rPr>
              <w:t>.3.</w:t>
            </w:r>
            <w:r w:rsidR="00755D0C" w:rsidRPr="0071628A">
              <w:rPr>
                <w:iCs/>
                <w:color w:val="000000"/>
                <w:lang w:eastAsia="en-US"/>
              </w:rPr>
              <w:t>4</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123"/>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Nr. 651/2014 56.panta 2. un 7.punkts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color w:val="000000"/>
              </w:rPr>
            </w:pPr>
            <w:r w:rsidRPr="0071628A">
              <w:rPr>
                <w:iCs/>
                <w:color w:val="000000"/>
                <w:lang w:eastAsia="en-US"/>
              </w:rPr>
              <w:t>Noteikumu projekta 4</w:t>
            </w:r>
            <w:r w:rsidR="002C07BF" w:rsidRPr="0071628A">
              <w:rPr>
                <w:iCs/>
                <w:color w:val="000000"/>
                <w:lang w:eastAsia="en-US"/>
              </w:rPr>
              <w:t>4</w:t>
            </w:r>
            <w:r w:rsidRPr="0071628A">
              <w:rPr>
                <w:iCs/>
                <w:color w:val="000000"/>
                <w:lang w:eastAsia="en-US"/>
              </w:rPr>
              <w:t>.4.</w:t>
            </w:r>
            <w:r w:rsidR="002C07BF" w:rsidRPr="0071628A">
              <w:rPr>
                <w:iCs/>
                <w:color w:val="000000"/>
                <w:lang w:eastAsia="en-US"/>
              </w:rPr>
              <w:t>1</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963"/>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Nr.651/2014 56.panta 3 un 4.punkts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44</w:t>
            </w:r>
            <w:r w:rsidRPr="0071628A">
              <w:rPr>
                <w:iCs/>
                <w:color w:val="000000"/>
                <w:lang w:eastAsia="en-US"/>
              </w:rPr>
              <w:t>.4.</w:t>
            </w:r>
            <w:r w:rsidR="002C07BF" w:rsidRPr="0071628A">
              <w:rPr>
                <w:iCs/>
                <w:color w:val="000000"/>
                <w:lang w:eastAsia="en-US"/>
              </w:rPr>
              <w:t>2</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261"/>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 651/2014 2.panta 29. un 30. punkts un 56.panta 5.punkts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44</w:t>
            </w:r>
            <w:r w:rsidRPr="0071628A">
              <w:rPr>
                <w:iCs/>
                <w:color w:val="000000"/>
                <w:lang w:eastAsia="en-US"/>
              </w:rPr>
              <w:t>.4.</w:t>
            </w:r>
            <w:r w:rsidR="002C07BF" w:rsidRPr="0071628A">
              <w:rPr>
                <w:iCs/>
                <w:color w:val="000000"/>
                <w:lang w:eastAsia="en-US"/>
              </w:rPr>
              <w:t>3</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995"/>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Regulas Nr. 651/2014 56.panta 6.punkts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44</w:t>
            </w:r>
            <w:r w:rsidRPr="0071628A">
              <w:rPr>
                <w:iCs/>
                <w:color w:val="000000"/>
                <w:lang w:eastAsia="en-US"/>
              </w:rPr>
              <w:t>.4.</w:t>
            </w:r>
            <w:r w:rsidR="002C07BF" w:rsidRPr="0071628A">
              <w:rPr>
                <w:iCs/>
                <w:color w:val="000000"/>
                <w:lang w:eastAsia="en-US"/>
              </w:rPr>
              <w:t>4</w:t>
            </w:r>
            <w:r w:rsidRPr="0071628A">
              <w:rPr>
                <w:iCs/>
                <w:color w:val="000000"/>
                <w:lang w:eastAsia="en-US"/>
              </w:rPr>
              <w:t>.apakšpunkts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124"/>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Vispārēja atsauce uz Komisijas regulu Nr. 651/2014</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45</w:t>
            </w:r>
            <w:r w:rsidRPr="0071628A">
              <w:rPr>
                <w:iCs/>
                <w:color w:val="000000"/>
                <w:lang w:eastAsia="en-US"/>
              </w:rPr>
              <w:t>.punkts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253"/>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Padomes regulas Nr. 2015/1589) 1. panta “c” apakšpunkts un 2. pants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45</w:t>
            </w:r>
            <w:r w:rsidRPr="0071628A">
              <w:rPr>
                <w:iCs/>
                <w:color w:val="000000"/>
                <w:lang w:eastAsia="en-US"/>
              </w:rPr>
              <w:t>.4.apakšpunkts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1129"/>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Vispārēja atsauce uz Komisijas regulu Nr. 651/2014</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46</w:t>
            </w:r>
            <w:r w:rsidRPr="0071628A">
              <w:rPr>
                <w:iCs/>
                <w:color w:val="000000"/>
                <w:lang w:eastAsia="en-US"/>
              </w:rPr>
              <w:t>.punkts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990"/>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 1407/2013 1. panta 1.punkts un 2.punkts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49</w:t>
            </w:r>
            <w:r w:rsidRPr="0071628A">
              <w:rPr>
                <w:iCs/>
                <w:color w:val="000000"/>
                <w:lang w:eastAsia="en-US"/>
              </w:rPr>
              <w:t>.1.apakšpunkts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977"/>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 xml:space="preserve">Komisijas regulas Nr. 1407/2013 2. panta 2. punkts </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49</w:t>
            </w:r>
            <w:r w:rsidRPr="0071628A">
              <w:rPr>
                <w:iCs/>
                <w:color w:val="000000"/>
                <w:lang w:eastAsia="en-US"/>
              </w:rPr>
              <w:t>.2.apakšpunkts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977"/>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t>Komisijas regulas Nr. 1407/2013 3. panta 2. 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49</w:t>
            </w:r>
            <w:r w:rsidRPr="0071628A">
              <w:rPr>
                <w:iCs/>
                <w:color w:val="000000"/>
                <w:lang w:eastAsia="en-US"/>
              </w:rPr>
              <w:t>.2.apakšpunkts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977"/>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rPr>
                <w:color w:val="000000"/>
              </w:rPr>
              <w:lastRenderedPageBreak/>
              <w:t>Komisijas regulas Nr.651.2014 9.panta 1.un 4.punkts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416DC7" w:rsidP="002C07BF">
            <w:pPr>
              <w:jc w:val="center"/>
              <w:rPr>
                <w:color w:val="000000"/>
              </w:rPr>
            </w:pPr>
            <w:r w:rsidRPr="0071628A">
              <w:rPr>
                <w:iCs/>
                <w:color w:val="000000"/>
                <w:lang w:eastAsia="en-US"/>
              </w:rPr>
              <w:t xml:space="preserve">Noteikumu projekta </w:t>
            </w:r>
            <w:r w:rsidR="002C07BF" w:rsidRPr="0071628A">
              <w:rPr>
                <w:iCs/>
                <w:color w:val="000000"/>
                <w:lang w:eastAsia="en-US"/>
              </w:rPr>
              <w:t>51</w:t>
            </w:r>
            <w:r w:rsidRPr="0071628A">
              <w:rPr>
                <w:iCs/>
                <w:color w:val="000000"/>
                <w:lang w:eastAsia="en-US"/>
              </w:rPr>
              <w:t>.punkts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416DC7" w:rsidP="00F662FA">
            <w:pPr>
              <w:jc w:val="center"/>
              <w:rPr>
                <w:iCs/>
                <w:color w:val="000000"/>
              </w:rPr>
            </w:pPr>
            <w:r w:rsidRPr="0071628A">
              <w:rPr>
                <w:i/>
                <w:iCs/>
                <w:color w:val="000000"/>
              </w:rPr>
              <w:t>Neparedz stingrākas prasības</w:t>
            </w:r>
          </w:p>
        </w:tc>
      </w:tr>
      <w:tr w:rsidR="00692483" w:rsidRPr="00FE1C57" w:rsidTr="00593067">
        <w:trPr>
          <w:trHeight w:val="991"/>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rPr>
                <w:color w:val="000000"/>
              </w:rPr>
              <w:t>Komisijas regulas Nr 651/2014 12.pants</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692483" w:rsidP="002C07BF">
            <w:pPr>
              <w:jc w:val="center"/>
              <w:rPr>
                <w:color w:val="000000"/>
              </w:rPr>
            </w:pPr>
            <w:r w:rsidRPr="0071628A">
              <w:rPr>
                <w:iCs/>
                <w:color w:val="000000"/>
                <w:lang w:eastAsia="en-US"/>
              </w:rPr>
              <w:t xml:space="preserve">Noteikumu projekta </w:t>
            </w:r>
            <w:r w:rsidR="002C07BF" w:rsidRPr="0071628A">
              <w:rPr>
                <w:iCs/>
                <w:color w:val="000000"/>
                <w:lang w:eastAsia="en-US"/>
              </w:rPr>
              <w:t>52</w:t>
            </w:r>
            <w:r w:rsidRPr="0071628A">
              <w:rPr>
                <w:iCs/>
                <w:color w:val="000000"/>
                <w:lang w:eastAsia="en-US"/>
              </w:rPr>
              <w:t>.punkts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
                <w:iCs/>
                <w:color w:val="000000"/>
              </w:rPr>
              <w:t>Neparedz stingrākas prasības</w:t>
            </w:r>
          </w:p>
        </w:tc>
      </w:tr>
      <w:tr w:rsidR="00692483" w:rsidRPr="00FE1C57" w:rsidTr="00593067">
        <w:trPr>
          <w:trHeight w:val="1402"/>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rPr>
                <w:color w:val="000000"/>
              </w:rPr>
              <w:t>Vispārēja atsauce uz Komisijas regulas Nr. 651/2014 darbības periodu</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692483" w:rsidP="002C07BF">
            <w:pPr>
              <w:jc w:val="center"/>
              <w:rPr>
                <w:color w:val="000000"/>
              </w:rPr>
            </w:pPr>
            <w:r w:rsidRPr="0071628A">
              <w:rPr>
                <w:iCs/>
                <w:color w:val="000000"/>
                <w:lang w:eastAsia="en-US"/>
              </w:rPr>
              <w:t xml:space="preserve">Noteikumu projekta </w:t>
            </w:r>
            <w:r w:rsidR="002C07BF" w:rsidRPr="0071628A">
              <w:rPr>
                <w:iCs/>
                <w:color w:val="000000"/>
                <w:lang w:eastAsia="en-US"/>
              </w:rPr>
              <w:t>47</w:t>
            </w:r>
            <w:r w:rsidRPr="0071628A">
              <w:rPr>
                <w:iCs/>
                <w:color w:val="000000"/>
                <w:lang w:eastAsia="en-US"/>
              </w:rPr>
              <w:t>.punkts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
                <w:iCs/>
                <w:color w:val="000000"/>
              </w:rPr>
              <w:t>Neparedz stingrākas prasības</w:t>
            </w:r>
          </w:p>
        </w:tc>
      </w:tr>
      <w:tr w:rsidR="00692483" w:rsidRPr="00FE1C57" w:rsidTr="00593067">
        <w:trPr>
          <w:trHeight w:val="1433"/>
        </w:trPr>
        <w:tc>
          <w:tcPr>
            <w:tcW w:w="2409" w:type="dxa"/>
            <w:tcBorders>
              <w:top w:val="single" w:sz="4" w:space="0" w:color="auto"/>
              <w:left w:val="single" w:sz="4" w:space="0" w:color="auto"/>
              <w:bottom w:val="single" w:sz="4" w:space="0" w:color="auto"/>
              <w:right w:val="single" w:sz="4" w:space="0" w:color="auto"/>
            </w:tcBorders>
            <w:hideMark/>
          </w:tcPr>
          <w:p w:rsidR="00692483" w:rsidRPr="00972A79" w:rsidRDefault="00E321B8" w:rsidP="00F662FA">
            <w:pPr>
              <w:rPr>
                <w:color w:val="000000"/>
              </w:rPr>
            </w:pPr>
            <w:r w:rsidRPr="00E321B8">
              <w:rPr>
                <w:color w:val="000000"/>
              </w:rPr>
              <w:t>Vispārēja atsauce uz Komisijas regulas Nr. 1407/2013 darbības periodu</w:t>
            </w:r>
          </w:p>
        </w:tc>
        <w:tc>
          <w:tcPr>
            <w:tcW w:w="2575" w:type="dxa"/>
            <w:tcBorders>
              <w:top w:val="single" w:sz="4" w:space="0" w:color="auto"/>
              <w:left w:val="single" w:sz="4" w:space="0" w:color="auto"/>
              <w:bottom w:val="single" w:sz="4" w:space="0" w:color="auto"/>
              <w:right w:val="single" w:sz="4" w:space="0" w:color="auto"/>
            </w:tcBorders>
            <w:hideMark/>
          </w:tcPr>
          <w:p w:rsidR="00692483" w:rsidRPr="0071628A" w:rsidRDefault="00692483" w:rsidP="002C07BF">
            <w:pPr>
              <w:jc w:val="center"/>
              <w:rPr>
                <w:color w:val="000000"/>
              </w:rPr>
            </w:pPr>
            <w:r w:rsidRPr="0071628A">
              <w:rPr>
                <w:iCs/>
                <w:color w:val="000000"/>
                <w:lang w:eastAsia="en-US"/>
              </w:rPr>
              <w:t xml:space="preserve">Noteikumu projektu </w:t>
            </w:r>
            <w:r w:rsidR="002C07BF" w:rsidRPr="0071628A">
              <w:rPr>
                <w:iCs/>
                <w:color w:val="000000"/>
                <w:lang w:eastAsia="en-US"/>
              </w:rPr>
              <w:t>47</w:t>
            </w:r>
            <w:r w:rsidRPr="0071628A">
              <w:rPr>
                <w:iCs/>
                <w:color w:val="000000"/>
                <w:lang w:eastAsia="en-US"/>
              </w:rPr>
              <w:t>.punkts</w:t>
            </w:r>
          </w:p>
        </w:tc>
        <w:tc>
          <w:tcPr>
            <w:tcW w:w="2164"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
                <w:iCs/>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rsidR="00692483" w:rsidRPr="0071628A" w:rsidRDefault="00692483" w:rsidP="00F662FA">
            <w:pPr>
              <w:jc w:val="center"/>
              <w:rPr>
                <w:iCs/>
                <w:color w:val="000000"/>
              </w:rPr>
            </w:pPr>
            <w:r w:rsidRPr="0071628A">
              <w:rPr>
                <w:i/>
                <w:iCs/>
                <w:color w:val="000000"/>
              </w:rPr>
              <w:t>Neparedz stingrākas prasības</w:t>
            </w:r>
          </w:p>
        </w:tc>
      </w:tr>
      <w:tr w:rsidR="00692483" w:rsidRPr="00FE1C57" w:rsidTr="00593067">
        <w:tc>
          <w:tcPr>
            <w:tcW w:w="2409" w:type="dxa"/>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rPr>
                <w:color w:val="000000"/>
              </w:rPr>
            </w:pPr>
          </w:p>
        </w:tc>
        <w:tc>
          <w:tcPr>
            <w:tcW w:w="2575" w:type="dxa"/>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jc w:val="center"/>
              <w:rPr>
                <w:iCs/>
                <w:color w:val="000000"/>
              </w:rPr>
            </w:pPr>
          </w:p>
        </w:tc>
        <w:tc>
          <w:tcPr>
            <w:tcW w:w="2164" w:type="dxa"/>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jc w:val="center"/>
              <w:rPr>
                <w:iCs/>
                <w:color w:val="000000"/>
              </w:rPr>
            </w:pPr>
          </w:p>
        </w:tc>
        <w:tc>
          <w:tcPr>
            <w:tcW w:w="2032" w:type="dxa"/>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jc w:val="center"/>
              <w:rPr>
                <w:iCs/>
                <w:color w:val="000000"/>
              </w:rPr>
            </w:pPr>
          </w:p>
        </w:tc>
      </w:tr>
      <w:tr w:rsidR="00692483" w:rsidRPr="00FE1C57" w:rsidTr="00593067">
        <w:tc>
          <w:tcPr>
            <w:tcW w:w="4984"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rPr>
                <w:color w:val="000000"/>
              </w:rPr>
            </w:pPr>
            <w:r w:rsidRPr="00FE1C57">
              <w:rPr>
                <w:color w:val="000000"/>
              </w:rPr>
              <w:t>Kā ir izmantota ES tiesību aktā paredzētā rīcības brīvība dalībvalstij pārņemt vai ieviest noteiktas ES tiesību akta normas?</w:t>
            </w:r>
          </w:p>
          <w:p w:rsidR="00692483" w:rsidRPr="00FE1C57" w:rsidRDefault="00692483" w:rsidP="00F662FA">
            <w:pPr>
              <w:rPr>
                <w:i/>
                <w:color w:val="000000"/>
                <w:lang w:eastAsia="en-US"/>
              </w:rPr>
            </w:pPr>
            <w:r w:rsidRPr="00FE1C57">
              <w:rPr>
                <w:color w:val="000000"/>
              </w:rPr>
              <w:t>Kādēļ?</w:t>
            </w:r>
          </w:p>
        </w:tc>
        <w:tc>
          <w:tcPr>
            <w:tcW w:w="4196"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rPr>
                <w:color w:val="000000"/>
                <w:lang w:eastAsia="en-US"/>
              </w:rPr>
            </w:pPr>
            <w:r>
              <w:rPr>
                <w:iCs/>
                <w:color w:val="000000"/>
              </w:rPr>
              <w:t>N</w:t>
            </w:r>
            <w:r w:rsidRPr="00FE1C57">
              <w:rPr>
                <w:iCs/>
                <w:color w:val="000000"/>
              </w:rPr>
              <w:t>oteikumu projekts šo jomu neskar.</w:t>
            </w:r>
          </w:p>
        </w:tc>
      </w:tr>
      <w:tr w:rsidR="00692483" w:rsidRPr="00FE1C57" w:rsidTr="00593067">
        <w:tc>
          <w:tcPr>
            <w:tcW w:w="4984"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rPr>
                <w:color w:val="000000"/>
              </w:rPr>
            </w:pPr>
          </w:p>
        </w:tc>
        <w:tc>
          <w:tcPr>
            <w:tcW w:w="4196"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rPr>
                <w:iCs/>
                <w:color w:val="000000"/>
              </w:rPr>
            </w:pPr>
          </w:p>
        </w:tc>
      </w:tr>
      <w:tr w:rsidR="00692483" w:rsidRPr="00FE1C57" w:rsidTr="00593067">
        <w:tc>
          <w:tcPr>
            <w:tcW w:w="4984"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rPr>
                <w:i/>
                <w:color w:val="000000"/>
                <w:lang w:eastAsia="en-US"/>
              </w:rPr>
            </w:pPr>
            <w:r w:rsidRPr="00FE1C57">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96"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jc w:val="both"/>
              <w:rPr>
                <w:color w:val="000000"/>
              </w:rPr>
            </w:pPr>
            <w:r w:rsidRPr="00ED1EDE">
              <w:rPr>
                <w:iCs/>
                <w:color w:val="000000"/>
              </w:rPr>
              <w:t>K</w:t>
            </w:r>
            <w:r>
              <w:rPr>
                <w:iCs/>
                <w:color w:val="000000"/>
              </w:rPr>
              <w:t>ultūras ministrija</w:t>
            </w:r>
            <w:r w:rsidRPr="00ED1EDE">
              <w:rPr>
                <w:iCs/>
                <w:color w:val="000000"/>
              </w:rPr>
              <w:t xml:space="preserve"> 20 darba dienu laikā pēc šo noteikumu apstiprināšanas sniegs kopsavilkuma informāciju Eiropas Komisijai saskaņā ar </w:t>
            </w:r>
            <w:r w:rsidRPr="00ED1EDE">
              <w:rPr>
                <w:color w:val="000000"/>
              </w:rPr>
              <w:t>Komisijas regulas Nr.651/2014 11.pantu.</w:t>
            </w:r>
          </w:p>
          <w:p w:rsidR="00692483" w:rsidRPr="00FE1C57" w:rsidRDefault="00692483" w:rsidP="00F662FA">
            <w:pPr>
              <w:rPr>
                <w:color w:val="000000"/>
                <w:lang w:eastAsia="en-US"/>
              </w:rPr>
            </w:pPr>
          </w:p>
        </w:tc>
      </w:tr>
      <w:tr w:rsidR="00692483" w:rsidRPr="00FE1C57" w:rsidTr="00593067">
        <w:tc>
          <w:tcPr>
            <w:tcW w:w="4984"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pStyle w:val="naiskr"/>
              <w:spacing w:before="0" w:beforeAutospacing="0" w:after="0" w:afterAutospacing="0" w:line="276" w:lineRule="auto"/>
              <w:rPr>
                <w:i/>
                <w:color w:val="000000"/>
                <w:lang w:eastAsia="en-US"/>
              </w:rPr>
            </w:pPr>
            <w:r w:rsidRPr="00FE1C57">
              <w:rPr>
                <w:color w:val="000000"/>
                <w:lang w:eastAsia="en-US"/>
              </w:rPr>
              <w:t>Cita informācija</w:t>
            </w:r>
          </w:p>
        </w:tc>
        <w:tc>
          <w:tcPr>
            <w:tcW w:w="4196" w:type="dxa"/>
            <w:gridSpan w:val="2"/>
            <w:tcBorders>
              <w:top w:val="single" w:sz="4" w:space="0" w:color="auto"/>
              <w:left w:val="single" w:sz="4" w:space="0" w:color="auto"/>
              <w:bottom w:val="single" w:sz="4" w:space="0" w:color="auto"/>
              <w:right w:val="single" w:sz="4" w:space="0" w:color="auto"/>
            </w:tcBorders>
            <w:hideMark/>
          </w:tcPr>
          <w:p w:rsidR="00692483" w:rsidRPr="00FE1C57" w:rsidRDefault="00692483" w:rsidP="00F662FA">
            <w:pPr>
              <w:rPr>
                <w:color w:val="000000"/>
                <w:lang w:eastAsia="en-US"/>
              </w:rPr>
            </w:pPr>
            <w:r w:rsidRPr="00FE1C57">
              <w:rPr>
                <w:color w:val="000000"/>
              </w:rPr>
              <w:t>Nav.</w:t>
            </w:r>
          </w:p>
        </w:tc>
      </w:tr>
    </w:tbl>
    <w:p w:rsidR="00F662FA" w:rsidRDefault="00F662FA"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096"/>
        <w:gridCol w:w="2700"/>
      </w:tblGrid>
      <w:tr w:rsidR="00391449" w:rsidRPr="00FE1C57" w:rsidTr="00D92D99">
        <w:tc>
          <w:tcPr>
            <w:tcW w:w="9180" w:type="dxa"/>
            <w:gridSpan w:val="3"/>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pStyle w:val="naisnod"/>
              <w:spacing w:before="0" w:beforeAutospacing="0" w:after="0" w:afterAutospacing="0" w:line="276" w:lineRule="auto"/>
              <w:jc w:val="center"/>
              <w:rPr>
                <w:b/>
                <w:color w:val="000000"/>
                <w:lang w:eastAsia="en-US"/>
              </w:rPr>
            </w:pPr>
            <w:r w:rsidRPr="00FE1C57">
              <w:rPr>
                <w:b/>
                <w:color w:val="000000"/>
                <w:lang w:eastAsia="en-US"/>
              </w:rPr>
              <w:t>2.tabula. Ar tiesību akta projektu uzņemtās saistības, kas izriet no starptautiskajiem tiesību aktiem vai starptautiskas institūcijas vai organizācijas dokumentiem</w:t>
            </w:r>
          </w:p>
          <w:p w:rsidR="00391449" w:rsidRPr="00FE1C57" w:rsidRDefault="00391449" w:rsidP="00BF08DE">
            <w:pPr>
              <w:jc w:val="center"/>
              <w:rPr>
                <w:color w:val="000000"/>
                <w:lang w:eastAsia="en-US"/>
              </w:rPr>
            </w:pPr>
            <w:r w:rsidRPr="00FE1C57">
              <w:rPr>
                <w:b/>
                <w:color w:val="000000"/>
              </w:rPr>
              <w:t>Pasākumi šo saistību izpildei</w:t>
            </w:r>
          </w:p>
        </w:tc>
      </w:tr>
      <w:tr w:rsidR="00391449" w:rsidRPr="00FE1C57"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color w:val="000000"/>
              </w:rPr>
              <w:t>Attiecīgā starptautiskā tiesību akta vai starptautiskas institūcijas vai organizācijas dokumenta (turpmāk – starptautiskais dokuments) datums, numurs un nosaukums</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tabs>
                <w:tab w:val="left" w:pos="325"/>
              </w:tabs>
              <w:rPr>
                <w:i/>
                <w:color w:val="000000"/>
                <w:lang w:eastAsia="en-US"/>
              </w:rPr>
            </w:pPr>
            <w:r w:rsidRPr="00FE1C57">
              <w:rPr>
                <w:iCs/>
                <w:color w:val="000000"/>
              </w:rPr>
              <w:t>MK noteikumu projekts šo jomu neskar.</w:t>
            </w:r>
          </w:p>
        </w:tc>
      </w:tr>
      <w:tr w:rsidR="00391449" w:rsidRPr="00FE1C57"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jc w:val="center"/>
              <w:rPr>
                <w:color w:val="000000"/>
                <w:lang w:eastAsia="en-US"/>
              </w:rPr>
            </w:pPr>
            <w:r w:rsidRPr="00FE1C57">
              <w:rPr>
                <w:color w:val="000000"/>
              </w:rPr>
              <w:t>A</w:t>
            </w:r>
          </w:p>
        </w:tc>
        <w:tc>
          <w:tcPr>
            <w:tcW w:w="3096"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jc w:val="center"/>
              <w:rPr>
                <w:color w:val="000000"/>
                <w:lang w:eastAsia="en-US"/>
              </w:rPr>
            </w:pPr>
            <w:r w:rsidRPr="00FE1C57">
              <w:rPr>
                <w:color w:val="000000"/>
              </w:rPr>
              <w:t>B</w:t>
            </w:r>
          </w:p>
        </w:tc>
        <w:tc>
          <w:tcPr>
            <w:tcW w:w="2700"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jc w:val="center"/>
              <w:rPr>
                <w:color w:val="000000"/>
                <w:lang w:eastAsia="en-US"/>
              </w:rPr>
            </w:pPr>
            <w:r w:rsidRPr="00FE1C57">
              <w:rPr>
                <w:color w:val="000000"/>
              </w:rPr>
              <w:t>C</w:t>
            </w:r>
          </w:p>
        </w:tc>
      </w:tr>
      <w:tr w:rsidR="00391449" w:rsidRPr="00FE1C57"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rPr>
            </w:pPr>
            <w:r w:rsidRPr="00FE1C57">
              <w:rPr>
                <w:color w:val="000000"/>
              </w:rPr>
              <w:t>Starptautiskās saistības (pēc būtības), kas izriet no norādītā starptautiskā dokumenta.</w:t>
            </w:r>
          </w:p>
          <w:p w:rsidR="00391449" w:rsidRPr="00FE1C57" w:rsidRDefault="00391449" w:rsidP="00BF08DE">
            <w:pPr>
              <w:rPr>
                <w:color w:val="000000"/>
                <w:lang w:eastAsia="en-US"/>
              </w:rPr>
            </w:pPr>
            <w:r w:rsidRPr="00FE1C57">
              <w:rPr>
                <w:color w:val="000000"/>
              </w:rPr>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00"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rPr>
            </w:pPr>
            <w:r w:rsidRPr="00FE1C57">
              <w:rPr>
                <w:color w:val="000000"/>
              </w:rPr>
              <w:t>Informācija par to, vai starptautiskās saistības, kas minētas šīs tabulas A ailē, tiek izpildītas pilnībā vai daļēji.</w:t>
            </w:r>
          </w:p>
          <w:p w:rsidR="00391449" w:rsidRPr="00FE1C57" w:rsidRDefault="00391449" w:rsidP="00BF08DE">
            <w:pPr>
              <w:rPr>
                <w:color w:val="000000"/>
              </w:rPr>
            </w:pPr>
            <w:r w:rsidRPr="00FE1C57">
              <w:rPr>
                <w:color w:val="000000"/>
              </w:rPr>
              <w:t xml:space="preserve">Ja attiecīgās starptautiskās saistības tiek izpildītas daļēji, sniedz attiecīgu </w:t>
            </w:r>
            <w:r w:rsidRPr="00FE1C57">
              <w:rPr>
                <w:color w:val="000000"/>
              </w:rPr>
              <w:lastRenderedPageBreak/>
              <w:t>skaidrojumu, kā arī precīzi norāda, kad un kādā veidā starptautiskās saistības tiks izpildītas pilnībā.</w:t>
            </w:r>
          </w:p>
          <w:p w:rsidR="00391449" w:rsidRPr="00FE1C57" w:rsidRDefault="00391449" w:rsidP="00BF08DE">
            <w:pPr>
              <w:rPr>
                <w:color w:val="000000"/>
                <w:lang w:eastAsia="en-US"/>
              </w:rPr>
            </w:pPr>
            <w:r w:rsidRPr="00FE1C57">
              <w:rPr>
                <w:color w:val="000000"/>
              </w:rPr>
              <w:t>Norāda institūciju, kas ir atbildīga par šo saistību izpildi pilnībā</w:t>
            </w:r>
          </w:p>
        </w:tc>
      </w:tr>
      <w:tr w:rsidR="00391449" w:rsidRPr="00FE1C57"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iCs/>
                <w:color w:val="000000"/>
              </w:rPr>
              <w:lastRenderedPageBreak/>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iCs/>
                <w:color w:val="000000"/>
              </w:rPr>
              <w:t>MK noteikumu projekts šo jomu neskar.</w:t>
            </w:r>
          </w:p>
        </w:tc>
        <w:tc>
          <w:tcPr>
            <w:tcW w:w="2700"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iCs/>
                <w:color w:val="000000"/>
              </w:rPr>
              <w:t>MK noteikumu projekts šo jomu neskar.</w:t>
            </w:r>
          </w:p>
        </w:tc>
      </w:tr>
      <w:tr w:rsidR="00391449" w:rsidRPr="00FE1C57"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color w:val="000000"/>
              </w:rPr>
              <w:t>Vai starptautiskajā dokumentā paredzētās saistības nav pretrunā ar jau esošajām Latvijas Republikas starptautiskajām saistībām</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i/>
                <w:color w:val="000000"/>
                <w:lang w:eastAsia="en-US"/>
              </w:rPr>
            </w:pPr>
            <w:r w:rsidRPr="00FE1C57">
              <w:rPr>
                <w:iCs/>
                <w:color w:val="000000"/>
              </w:rPr>
              <w:t>MK noteikumu projekts šo jomu neskar.</w:t>
            </w:r>
          </w:p>
        </w:tc>
      </w:tr>
      <w:tr w:rsidR="00391449" w:rsidRPr="00FE1C57"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color w:val="000000"/>
              </w:rPr>
              <w:t>Cita informācija</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E1C57" w:rsidRDefault="00391449" w:rsidP="00BF08DE">
            <w:pPr>
              <w:rPr>
                <w:color w:val="000000"/>
                <w:lang w:eastAsia="en-US"/>
              </w:rPr>
            </w:pPr>
            <w:r w:rsidRPr="00FE1C57">
              <w:rPr>
                <w:color w:val="000000"/>
              </w:rPr>
              <w:t>Nav.</w:t>
            </w:r>
          </w:p>
        </w:tc>
      </w:tr>
    </w:tbl>
    <w:p w:rsidR="00FE1C57" w:rsidRPr="00FE1C57" w:rsidRDefault="00FE1C57" w:rsidP="00D02ABF">
      <w:pPr>
        <w:jc w:val="center"/>
        <w:rPr>
          <w:lang w:eastAsia="en-US"/>
        </w:rPr>
      </w:pPr>
    </w:p>
    <w:tbl>
      <w:tblPr>
        <w:tblW w:w="9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1559"/>
        <w:gridCol w:w="7233"/>
      </w:tblGrid>
      <w:tr w:rsidR="00D02ABF" w:rsidRPr="00FE1C57" w:rsidTr="00D53F7D">
        <w:trPr>
          <w:trHeight w:val="421"/>
        </w:trPr>
        <w:tc>
          <w:tcPr>
            <w:tcW w:w="9218" w:type="dxa"/>
            <w:gridSpan w:val="3"/>
            <w:vAlign w:val="center"/>
          </w:tcPr>
          <w:p w:rsidR="00D02ABF" w:rsidRPr="00FE1C57" w:rsidRDefault="00D02ABF" w:rsidP="003425D3">
            <w:pPr>
              <w:pStyle w:val="naisnod"/>
              <w:spacing w:before="0" w:beforeAutospacing="0" w:after="0" w:afterAutospacing="0"/>
              <w:ind w:left="57" w:right="57"/>
              <w:jc w:val="center"/>
            </w:pPr>
            <w:r w:rsidRPr="00FE1C57">
              <w:rPr>
                <w:b/>
              </w:rPr>
              <w:t>VI. Sabiedrības līdzdalība un komunikācijas aktivitātes</w:t>
            </w:r>
          </w:p>
        </w:tc>
      </w:tr>
      <w:tr w:rsidR="00D02ABF" w:rsidRPr="00FE1C57" w:rsidTr="00177A4A">
        <w:trPr>
          <w:trHeight w:val="553"/>
        </w:trPr>
        <w:tc>
          <w:tcPr>
            <w:tcW w:w="426" w:type="dxa"/>
          </w:tcPr>
          <w:p w:rsidR="00D02ABF" w:rsidRPr="00FE1C57" w:rsidRDefault="00D02ABF" w:rsidP="003425D3">
            <w:pPr>
              <w:ind w:left="57" w:right="57"/>
              <w:jc w:val="both"/>
              <w:rPr>
                <w:bCs/>
              </w:rPr>
            </w:pPr>
            <w:r w:rsidRPr="00FE1C57">
              <w:rPr>
                <w:bCs/>
              </w:rPr>
              <w:t>1.</w:t>
            </w:r>
          </w:p>
        </w:tc>
        <w:tc>
          <w:tcPr>
            <w:tcW w:w="1559" w:type="dxa"/>
          </w:tcPr>
          <w:p w:rsidR="00D02ABF" w:rsidRPr="00FE1C57" w:rsidRDefault="00D02ABF" w:rsidP="003425D3">
            <w:pPr>
              <w:tabs>
                <w:tab w:val="left" w:pos="170"/>
              </w:tabs>
              <w:ind w:left="57" w:right="57"/>
            </w:pPr>
            <w:r w:rsidRPr="00FE1C57">
              <w:t>Plānotās sabiedrības līdzdalības un komunikācijas aktivitātes saistībā ar projektu</w:t>
            </w:r>
          </w:p>
        </w:tc>
        <w:tc>
          <w:tcPr>
            <w:tcW w:w="7233" w:type="dxa"/>
          </w:tcPr>
          <w:p w:rsidR="00D17880" w:rsidRDefault="00D17880" w:rsidP="00D17880">
            <w:pPr>
              <w:shd w:val="clear" w:color="auto" w:fill="FFFFFF"/>
              <w:spacing w:after="120"/>
              <w:ind w:left="57" w:right="113"/>
              <w:jc w:val="both"/>
            </w:pPr>
            <w:r w:rsidRPr="00FE1C57">
              <w:t xml:space="preserve">Atbilstoši normatīvo aktu prasībām </w:t>
            </w:r>
            <w:r w:rsidR="00EE146C">
              <w:t>atbildīgā iestāde</w:t>
            </w:r>
            <w:r w:rsidR="00F662FA" w:rsidRPr="00FE1C57">
              <w:t xml:space="preserve"> </w:t>
            </w:r>
            <w:r>
              <w:t xml:space="preserve">tās </w:t>
            </w:r>
            <w:r w:rsidRPr="00FE1C57">
              <w:t xml:space="preserve">tīmekļa vietnē </w:t>
            </w:r>
            <w:r>
              <w:t xml:space="preserve">publicē </w:t>
            </w:r>
            <w:r w:rsidRPr="00FE1C57">
              <w:t>informācij</w:t>
            </w:r>
            <w:r>
              <w:t>u</w:t>
            </w:r>
            <w:r w:rsidRPr="00FE1C57">
              <w:t xml:space="preserve"> par noteikumu projektu un par tā virzību. </w:t>
            </w:r>
            <w:r w:rsidR="00972A79">
              <w:t>O</w:t>
            </w:r>
            <w:r w:rsidRPr="00FE1C57">
              <w:t xml:space="preserve">rganizē regulāras sanāksmes </w:t>
            </w:r>
            <w:r w:rsidR="00F160DD">
              <w:t xml:space="preserve">ar </w:t>
            </w:r>
            <w:r>
              <w:t>Rīgas</w:t>
            </w:r>
            <w:r w:rsidR="00F160DD">
              <w:t xml:space="preserve"> pilsētas</w:t>
            </w:r>
            <w:r>
              <w:t xml:space="preserve"> pašvaldību, </w:t>
            </w:r>
            <w:r w:rsidR="00972A79">
              <w:t xml:space="preserve">Izglītības un zinātnes ministriju </w:t>
            </w:r>
            <w:r>
              <w:t>un citiem sadarbības partneriem</w:t>
            </w:r>
            <w:r w:rsidRPr="00FE1C57">
              <w:t>.</w:t>
            </w:r>
          </w:p>
          <w:p w:rsidR="00B5655C" w:rsidRPr="00FE1C57" w:rsidRDefault="00B5655C" w:rsidP="00B5655C">
            <w:pPr>
              <w:shd w:val="clear" w:color="auto" w:fill="FFFFFF"/>
              <w:spacing w:after="120"/>
              <w:ind w:left="57" w:right="113"/>
              <w:jc w:val="both"/>
              <w:rPr>
                <w:bCs/>
              </w:rPr>
            </w:pPr>
            <w:r w:rsidRPr="00FE1C57">
              <w:rPr>
                <w:bCs/>
              </w:rPr>
              <w:t>Īstenojot projektu, finansējuma saņēmējs nodrošina informācijas un publicitātes pasākumus, kas noteikti Eiropas Parlamenta un Padomes Regulā (ES) Nr.1303/2013</w:t>
            </w:r>
            <w:r w:rsidR="00994670">
              <w:rPr>
                <w:bCs/>
              </w:rPr>
              <w:t xml:space="preserve"> </w:t>
            </w:r>
            <w:r w:rsidRPr="00FE1C57">
              <w:rPr>
                <w:bCs/>
              </w:rPr>
              <w:t>prasību nodrošināšanu, un normatīvajos aktos par Eiropas Savienības fondu publicitātes un vizuālās identitātes prasību nodrošināšanu.</w:t>
            </w:r>
          </w:p>
          <w:p w:rsidR="00D02ABF" w:rsidRPr="004C41AE" w:rsidRDefault="00F662FA" w:rsidP="00177A4A">
            <w:pPr>
              <w:pStyle w:val="Komentrateksts"/>
              <w:jc w:val="both"/>
              <w:rPr>
                <w:sz w:val="24"/>
                <w:szCs w:val="24"/>
              </w:rPr>
            </w:pPr>
            <w:r>
              <w:rPr>
                <w:sz w:val="24"/>
                <w:szCs w:val="24"/>
              </w:rPr>
              <w:t>5.6.1.</w:t>
            </w:r>
            <w:r w:rsidR="00416DC7" w:rsidRPr="00416DC7">
              <w:rPr>
                <w:sz w:val="24"/>
                <w:szCs w:val="24"/>
              </w:rPr>
              <w:t xml:space="preserve">SAM projektu iesniegumu vērtēšanas kritērijus ir plānots apstiprināt </w:t>
            </w:r>
            <w:bookmarkStart w:id="0" w:name="OLE_LINK3"/>
            <w:bookmarkStart w:id="1" w:name="OLE_LINK4"/>
            <w:r w:rsidR="00416DC7" w:rsidRPr="00416DC7">
              <w:rPr>
                <w:kern w:val="24"/>
                <w:sz w:val="24"/>
                <w:szCs w:val="24"/>
              </w:rPr>
              <w:t xml:space="preserve">Eiropas Savienības struktūrfondu un Kohēzijas fonda </w:t>
            </w:r>
            <w:r w:rsidR="00416DC7" w:rsidRPr="00416DC7">
              <w:rPr>
                <w:sz w:val="24"/>
                <w:szCs w:val="24"/>
              </w:rPr>
              <w:t xml:space="preserve">2014.–2020.gada plānošanas perioda </w:t>
            </w:r>
            <w:bookmarkEnd w:id="0"/>
            <w:bookmarkEnd w:id="1"/>
            <w:r w:rsidR="00416DC7" w:rsidRPr="00416DC7">
              <w:rPr>
                <w:sz w:val="24"/>
                <w:szCs w:val="24"/>
              </w:rPr>
              <w:t>Uzraudzības komitejā, kuras sastāvā ir iekļauti arī sociālie, nevalstiskā sektora un reģionālie partneri.</w:t>
            </w:r>
            <w:r w:rsidR="00416DC7" w:rsidRPr="00416DC7">
              <w:rPr>
                <w:kern w:val="24"/>
                <w:sz w:val="24"/>
                <w:szCs w:val="24"/>
              </w:rPr>
              <w:t xml:space="preserve"> </w:t>
            </w:r>
            <w:r w:rsidR="00416DC7" w:rsidRPr="00416DC7">
              <w:rPr>
                <w:sz w:val="24"/>
                <w:szCs w:val="24"/>
              </w:rPr>
              <w:t>Nevalstiskā sektora partner</w:t>
            </w:r>
            <w:r w:rsidR="00177A4A">
              <w:rPr>
                <w:sz w:val="24"/>
                <w:szCs w:val="24"/>
              </w:rPr>
              <w:t xml:space="preserve">us </w:t>
            </w:r>
            <w:r w:rsidR="00177A4A" w:rsidRPr="00416DC7">
              <w:rPr>
                <w:kern w:val="24"/>
                <w:sz w:val="24"/>
                <w:szCs w:val="24"/>
              </w:rPr>
              <w:t>iesaistī</w:t>
            </w:r>
            <w:r w:rsidR="00177A4A">
              <w:rPr>
                <w:kern w:val="24"/>
                <w:sz w:val="24"/>
                <w:szCs w:val="24"/>
              </w:rPr>
              <w:t>ja</w:t>
            </w:r>
            <w:r w:rsidR="00177A4A" w:rsidRPr="00416DC7">
              <w:rPr>
                <w:kern w:val="24"/>
                <w:sz w:val="24"/>
                <w:szCs w:val="24"/>
              </w:rPr>
              <w:t xml:space="preserve"> </w:t>
            </w:r>
            <w:r w:rsidR="00416DC7" w:rsidRPr="00416DC7">
              <w:rPr>
                <w:kern w:val="24"/>
                <w:sz w:val="24"/>
                <w:szCs w:val="24"/>
              </w:rPr>
              <w:t xml:space="preserve">arī Eiropas Savienības struktūrfondu un Kohēzijas fonda 2014.-2020.gada plānošanas perioda vides aizsardzības un resursu izmantošanas efektivitātes prioritārā virziena apakškomitejas </w:t>
            </w:r>
            <w:r w:rsidR="00177A4A">
              <w:rPr>
                <w:kern w:val="24"/>
                <w:sz w:val="24"/>
                <w:szCs w:val="24"/>
              </w:rPr>
              <w:t xml:space="preserve">2015.gada 9.decembra </w:t>
            </w:r>
            <w:r w:rsidR="00416DC7" w:rsidRPr="00416DC7">
              <w:rPr>
                <w:kern w:val="24"/>
                <w:sz w:val="24"/>
                <w:szCs w:val="24"/>
              </w:rPr>
              <w:t>sēdē, kad tika izskatīti projektu iesniegumu vērtēšanas kritēri</w:t>
            </w:r>
            <w:r w:rsidR="00416DC7" w:rsidRPr="0071628A">
              <w:rPr>
                <w:kern w:val="24"/>
                <w:sz w:val="24"/>
                <w:szCs w:val="24"/>
              </w:rPr>
              <w:t>j</w:t>
            </w:r>
            <w:r w:rsidRPr="0071628A">
              <w:rPr>
                <w:kern w:val="24"/>
                <w:sz w:val="24"/>
                <w:szCs w:val="24"/>
              </w:rPr>
              <w:t xml:space="preserve">u </w:t>
            </w:r>
            <w:r w:rsidR="00416DC7" w:rsidRPr="0071628A">
              <w:rPr>
                <w:kern w:val="24"/>
                <w:sz w:val="24"/>
                <w:szCs w:val="24"/>
              </w:rPr>
              <w:t>kopa. Noteikumu projekts, kas tiek virzīts skatīšanai Eiropas Savienības struktūrfondu un Kohēzijas fonda 2014.–2020.gada plānošanas perioda Uzraudzības komitejas apakškomitejā un Uzraudzības komitejā, kā arī saskaņošanai Valsts sekretāru sanāksmē.</w:t>
            </w:r>
          </w:p>
        </w:tc>
      </w:tr>
      <w:tr w:rsidR="00D02ABF" w:rsidRPr="00FE1C57" w:rsidTr="00177A4A">
        <w:trPr>
          <w:trHeight w:val="339"/>
        </w:trPr>
        <w:tc>
          <w:tcPr>
            <w:tcW w:w="426" w:type="dxa"/>
          </w:tcPr>
          <w:p w:rsidR="00D02ABF" w:rsidRPr="00FE1C57" w:rsidRDefault="00D02ABF" w:rsidP="003425D3">
            <w:pPr>
              <w:ind w:left="57" w:right="57"/>
              <w:jc w:val="both"/>
              <w:rPr>
                <w:bCs/>
              </w:rPr>
            </w:pPr>
            <w:r w:rsidRPr="00FE1C57">
              <w:rPr>
                <w:bCs/>
              </w:rPr>
              <w:t>2.</w:t>
            </w:r>
          </w:p>
        </w:tc>
        <w:tc>
          <w:tcPr>
            <w:tcW w:w="1559" w:type="dxa"/>
          </w:tcPr>
          <w:p w:rsidR="00D02ABF" w:rsidRPr="00FE1C57" w:rsidRDefault="00D02ABF" w:rsidP="003425D3">
            <w:pPr>
              <w:ind w:left="57" w:right="57"/>
            </w:pPr>
            <w:r w:rsidRPr="00FE1C57">
              <w:t>Sabiedrības līdzdalība projekta izstrādē</w:t>
            </w:r>
          </w:p>
        </w:tc>
        <w:tc>
          <w:tcPr>
            <w:tcW w:w="7233" w:type="dxa"/>
          </w:tcPr>
          <w:p w:rsidR="00724B08" w:rsidRDefault="00AA18E8">
            <w:pPr>
              <w:shd w:val="clear" w:color="auto" w:fill="FFFFFF"/>
              <w:ind w:left="57" w:right="113"/>
              <w:jc w:val="both"/>
            </w:pPr>
            <w:bookmarkStart w:id="2" w:name="_GoBack"/>
            <w:r>
              <w:t>MK n</w:t>
            </w:r>
            <w:r w:rsidR="00312353">
              <w:t xml:space="preserve">oteikumu </w:t>
            </w:r>
            <w:r>
              <w:t xml:space="preserve">projekta </w:t>
            </w:r>
            <w:r w:rsidR="00312353" w:rsidRPr="0071628A">
              <w:t xml:space="preserve">izstrādē iesaistītas tādas nevalstiskās organizācijas kā Latvijas Pašvaldību savienība un Latvijas Lielo pilsētu asociācija, nozaru asociācijas </w:t>
            </w:r>
            <w:r>
              <w:t>–</w:t>
            </w:r>
            <w:r w:rsidR="00312353" w:rsidRPr="0071628A">
              <w:t xml:space="preserve"> Nacionālā kultūras padome, Latvijas Būvniecības padome, tūrisma nozares pārstāvji, plānošanas reģionu pārstāvji. Līdz ar līdzdalību MK noteikumu </w:t>
            </w:r>
            <w:r>
              <w:t xml:space="preserve">projekta </w:t>
            </w:r>
            <w:r w:rsidR="00312353" w:rsidRPr="0071628A">
              <w:t xml:space="preserve">izstrādē minētajiem sadarbības partneriem tika nodrošināta iespēja izteikt viedokli par </w:t>
            </w:r>
            <w:r>
              <w:t>5.6.1.SAM</w:t>
            </w:r>
            <w:r w:rsidR="00312353" w:rsidRPr="0071628A">
              <w:t xml:space="preserve"> īstenošanas nosacījumiem un pamatprincipiem.  </w:t>
            </w:r>
            <w:bookmarkEnd w:id="2"/>
            <w:r w:rsidR="00416DC7" w:rsidRPr="0071628A">
              <w:t xml:space="preserve">Sabiedrības </w:t>
            </w:r>
            <w:r w:rsidRPr="0071628A">
              <w:t>iesaist</w:t>
            </w:r>
            <w:r>
              <w:t>i</w:t>
            </w:r>
            <w:r w:rsidRPr="0071628A">
              <w:t xml:space="preserve"> </w:t>
            </w:r>
            <w:r w:rsidR="00416DC7" w:rsidRPr="0071628A">
              <w:t>nodrošinā</w:t>
            </w:r>
            <w:r>
              <w:t>s</w:t>
            </w:r>
            <w:r w:rsidR="00416DC7" w:rsidRPr="0071628A">
              <w:t xml:space="preserve"> atbilstoši būvniecības nozari regulējošajiem </w:t>
            </w:r>
            <w:r w:rsidR="00416DC7" w:rsidRPr="0071628A">
              <w:lastRenderedPageBreak/>
              <w:t>normatīvajiem aktiem</w:t>
            </w:r>
            <w:r w:rsidR="00416DC7" w:rsidRPr="0071628A">
              <w:rPr>
                <w:color w:val="1F497D"/>
              </w:rPr>
              <w:t xml:space="preserve"> </w:t>
            </w:r>
            <w:r>
              <w:rPr>
                <w:color w:val="1F497D"/>
              </w:rPr>
              <w:t xml:space="preserve">– </w:t>
            </w:r>
            <w:r w:rsidR="00416DC7" w:rsidRPr="0071628A">
              <w:t>pienākums informēt sabiedrību ir gan pašvaldībām, gan iestādēm, kuras veic būvvaldes funkcijas, kā arī pasūtītājam (būvniecības ierosinātājam).</w:t>
            </w:r>
          </w:p>
          <w:p w:rsidR="00724B08" w:rsidRDefault="00177A4A">
            <w:pPr>
              <w:pStyle w:val="ParastaisWeb"/>
              <w:spacing w:before="120" w:beforeAutospacing="0" w:after="0" w:afterAutospacing="0"/>
              <w:ind w:right="147"/>
              <w:jc w:val="both"/>
              <w:rPr>
                <w:rFonts w:ascii="Times New Roman" w:hAnsi="Times New Roman"/>
                <w:sz w:val="24"/>
                <w:szCs w:val="24"/>
              </w:rPr>
            </w:pPr>
            <w:r>
              <w:t xml:space="preserve"> </w:t>
            </w:r>
            <w:r w:rsidR="00120DB0" w:rsidRPr="0071628A">
              <w:rPr>
                <w:rFonts w:ascii="Times New Roman" w:hAnsi="Times New Roman"/>
                <w:bCs/>
                <w:sz w:val="24"/>
                <w:szCs w:val="24"/>
              </w:rPr>
              <w:t>Pašvaldība un iestādes, kas veiks būvvaldes funkcijas</w:t>
            </w:r>
            <w:r w:rsidR="00416DC7" w:rsidRPr="0071628A">
              <w:rPr>
                <w:rFonts w:ascii="Times New Roman" w:hAnsi="Times New Roman"/>
                <w:sz w:val="24"/>
                <w:szCs w:val="24"/>
              </w:rPr>
              <w:t>:</w:t>
            </w:r>
          </w:p>
          <w:p w:rsidR="00724B08" w:rsidRDefault="00416DC7" w:rsidP="00D95BEF">
            <w:pPr>
              <w:pStyle w:val="ParastaisWeb"/>
              <w:numPr>
                <w:ilvl w:val="0"/>
                <w:numId w:val="44"/>
              </w:numPr>
              <w:spacing w:before="0" w:beforeAutospacing="0" w:after="0" w:afterAutospacing="0"/>
              <w:ind w:left="425" w:right="145" w:hanging="218"/>
              <w:jc w:val="both"/>
              <w:rPr>
                <w:rFonts w:ascii="Times New Roman" w:hAnsi="Times New Roman"/>
                <w:sz w:val="24"/>
                <w:szCs w:val="24"/>
              </w:rPr>
            </w:pPr>
            <w:r w:rsidRPr="0071628A">
              <w:rPr>
                <w:rFonts w:ascii="Times New Roman" w:hAnsi="Times New Roman"/>
                <w:sz w:val="24"/>
                <w:szCs w:val="24"/>
              </w:rPr>
              <w:t xml:space="preserve">saņemot būvniecības ieceres pieteikumu, </w:t>
            </w:r>
            <w:r w:rsidR="00120DB0" w:rsidRPr="0071628A">
              <w:rPr>
                <w:rFonts w:ascii="Times New Roman" w:hAnsi="Times New Roman"/>
                <w:bCs/>
                <w:sz w:val="24"/>
                <w:szCs w:val="24"/>
              </w:rPr>
              <w:t xml:space="preserve">publicē </w:t>
            </w:r>
            <w:r w:rsidRPr="0071628A">
              <w:rPr>
                <w:rFonts w:ascii="Times New Roman" w:hAnsi="Times New Roman"/>
                <w:sz w:val="24"/>
                <w:szCs w:val="24"/>
              </w:rPr>
              <w:t xml:space="preserve">trīs darba dienu laikā </w:t>
            </w:r>
            <w:r w:rsidR="00120DB0" w:rsidRPr="0071628A">
              <w:rPr>
                <w:rFonts w:ascii="Times New Roman" w:hAnsi="Times New Roman"/>
                <w:bCs/>
                <w:sz w:val="24"/>
                <w:szCs w:val="24"/>
              </w:rPr>
              <w:t xml:space="preserve">informāciju par būvniecības ieceres realizācijas vietu un būves veidu pašvaldības </w:t>
            </w:r>
            <w:r w:rsidR="00AA18E8">
              <w:rPr>
                <w:rFonts w:ascii="Times New Roman" w:hAnsi="Times New Roman"/>
                <w:bCs/>
                <w:sz w:val="24"/>
                <w:szCs w:val="24"/>
              </w:rPr>
              <w:t>tīmekļa vietnē</w:t>
            </w:r>
            <w:r w:rsidR="00AA18E8" w:rsidRPr="0071628A">
              <w:rPr>
                <w:rFonts w:ascii="Times New Roman" w:hAnsi="Times New Roman"/>
                <w:bCs/>
                <w:sz w:val="24"/>
                <w:szCs w:val="24"/>
              </w:rPr>
              <w:t xml:space="preserve"> </w:t>
            </w:r>
            <w:r w:rsidR="00120DB0" w:rsidRPr="0071628A">
              <w:rPr>
                <w:rFonts w:ascii="Times New Roman" w:hAnsi="Times New Roman"/>
                <w:bCs/>
                <w:sz w:val="24"/>
                <w:szCs w:val="24"/>
              </w:rPr>
              <w:t>internetā</w:t>
            </w:r>
            <w:r w:rsidRPr="0071628A">
              <w:rPr>
                <w:rFonts w:ascii="Times New Roman" w:hAnsi="Times New Roman"/>
                <w:sz w:val="24"/>
                <w:szCs w:val="24"/>
              </w:rPr>
              <w:t xml:space="preserve"> un būvniecības informācijas sistēmā;</w:t>
            </w:r>
          </w:p>
          <w:p w:rsidR="00724B08" w:rsidRDefault="00120DB0" w:rsidP="00D95BEF">
            <w:pPr>
              <w:pStyle w:val="ParastaisWeb"/>
              <w:numPr>
                <w:ilvl w:val="0"/>
                <w:numId w:val="44"/>
              </w:numPr>
              <w:spacing w:before="0" w:beforeAutospacing="0" w:after="0" w:afterAutospacing="0"/>
              <w:ind w:left="425" w:right="145" w:hanging="218"/>
              <w:jc w:val="both"/>
              <w:rPr>
                <w:rFonts w:ascii="Times New Roman" w:hAnsi="Times New Roman"/>
                <w:sz w:val="24"/>
                <w:szCs w:val="24"/>
              </w:rPr>
            </w:pPr>
            <w:r w:rsidRPr="00177A4A">
              <w:rPr>
                <w:rFonts w:ascii="Times New Roman" w:hAnsi="Times New Roman"/>
                <w:bCs/>
                <w:sz w:val="24"/>
                <w:szCs w:val="24"/>
              </w:rPr>
              <w:t>paziņo sabiedrībai lēmumu, kas pieņemts</w:t>
            </w:r>
            <w:r w:rsidR="00416DC7" w:rsidRPr="00177A4A">
              <w:rPr>
                <w:rFonts w:ascii="Times New Roman" w:hAnsi="Times New Roman"/>
                <w:sz w:val="24"/>
                <w:szCs w:val="24"/>
              </w:rPr>
              <w:t xml:space="preserve">, izskatot būvniecības ieceres iesniegumu, publicējot trīs darba dienu laikā informāciju (būvniecības ieceres realizācijas vieta, būves veids un dienu, kurā stājas spēkā būvatļauja vai atteikums izdot būvatļauju) </w:t>
            </w:r>
            <w:r w:rsidRPr="00177A4A">
              <w:rPr>
                <w:rFonts w:ascii="Times New Roman" w:hAnsi="Times New Roman"/>
                <w:bCs/>
                <w:sz w:val="24"/>
                <w:szCs w:val="24"/>
              </w:rPr>
              <w:t xml:space="preserve">pašvaldības </w:t>
            </w:r>
            <w:r w:rsidR="00AA18E8" w:rsidRPr="00177A4A">
              <w:rPr>
                <w:rFonts w:ascii="Times New Roman" w:hAnsi="Times New Roman"/>
                <w:bCs/>
                <w:sz w:val="24"/>
                <w:szCs w:val="24"/>
              </w:rPr>
              <w:t xml:space="preserve">tīmekļa vietnē </w:t>
            </w:r>
            <w:r w:rsidRPr="00177A4A">
              <w:rPr>
                <w:rFonts w:ascii="Times New Roman" w:hAnsi="Times New Roman"/>
                <w:bCs/>
                <w:sz w:val="24"/>
                <w:szCs w:val="24"/>
              </w:rPr>
              <w:t>internetā</w:t>
            </w:r>
            <w:r w:rsidR="00416DC7" w:rsidRPr="00177A4A">
              <w:rPr>
                <w:rFonts w:ascii="Times New Roman" w:hAnsi="Times New Roman"/>
                <w:sz w:val="24"/>
                <w:szCs w:val="24"/>
              </w:rPr>
              <w:t xml:space="preserve"> un būvniecības informācijas sistēmā.</w:t>
            </w:r>
          </w:p>
          <w:p w:rsidR="00724B08" w:rsidRDefault="00416DC7">
            <w:pPr>
              <w:pStyle w:val="ParastaisWeb"/>
              <w:spacing w:before="120" w:beforeAutospacing="0" w:after="0" w:afterAutospacing="0"/>
              <w:ind w:left="62" w:right="145"/>
              <w:jc w:val="both"/>
              <w:rPr>
                <w:rFonts w:ascii="Times New Roman" w:hAnsi="Times New Roman"/>
                <w:bCs/>
                <w:sz w:val="24"/>
                <w:szCs w:val="24"/>
              </w:rPr>
            </w:pPr>
            <w:r w:rsidRPr="0071628A">
              <w:rPr>
                <w:rFonts w:ascii="Times New Roman" w:hAnsi="Times New Roman"/>
                <w:sz w:val="24"/>
                <w:szCs w:val="24"/>
              </w:rPr>
              <w:t xml:space="preserve">Savukārt </w:t>
            </w:r>
            <w:r w:rsidR="00120DB0" w:rsidRPr="0071628A">
              <w:rPr>
                <w:rFonts w:ascii="Times New Roman" w:hAnsi="Times New Roman"/>
                <w:bCs/>
                <w:sz w:val="24"/>
                <w:szCs w:val="24"/>
              </w:rPr>
              <w:t>pasūtītājam ir pienākums informēt sabiedrību</w:t>
            </w:r>
            <w:r w:rsidRPr="0071628A">
              <w:rPr>
                <w:rFonts w:ascii="Times New Roman" w:hAnsi="Times New Roman"/>
                <w:sz w:val="24"/>
                <w:szCs w:val="24"/>
              </w:rPr>
              <w:t xml:space="preserve"> piecu dienu laikā par saņemto būvatļauju, </w:t>
            </w:r>
            <w:r w:rsidR="00120DB0" w:rsidRPr="0071628A">
              <w:rPr>
                <w:rFonts w:ascii="Times New Roman" w:hAnsi="Times New Roman"/>
                <w:bCs/>
                <w:sz w:val="24"/>
                <w:szCs w:val="24"/>
              </w:rPr>
              <w:t>izvietojot būvtāfeli zemes gabalā, kurā atļauta būvniecība</w:t>
            </w:r>
            <w:r w:rsidRPr="0071628A">
              <w:rPr>
                <w:rFonts w:ascii="Times New Roman" w:hAnsi="Times New Roman"/>
                <w:sz w:val="24"/>
                <w:szCs w:val="24"/>
              </w:rPr>
              <w:t>. Bez tam, pasūtītājs var individuāli rakstveidā informēt tos nekustamo īpašumu īpašniekus, kuru nekustamie īpašumi robežojas ar zemes gabalu, kurā atļauts veikt būvdarbus. Šiem pasākumiem ir informatīvs raksturs.</w:t>
            </w:r>
          </w:p>
          <w:p w:rsidR="00724B08" w:rsidRDefault="00120DB0">
            <w:pPr>
              <w:pStyle w:val="ParastaisWeb"/>
              <w:spacing w:before="120" w:beforeAutospacing="0" w:after="0" w:afterAutospacing="0"/>
              <w:ind w:left="62" w:right="145"/>
              <w:jc w:val="both"/>
              <w:rPr>
                <w:rFonts w:ascii="Times New Roman" w:hAnsi="Times New Roman"/>
                <w:sz w:val="24"/>
                <w:szCs w:val="24"/>
              </w:rPr>
            </w:pPr>
            <w:r w:rsidRPr="0071628A">
              <w:rPr>
                <w:rFonts w:ascii="Times New Roman" w:hAnsi="Times New Roman"/>
                <w:bCs/>
                <w:sz w:val="24"/>
                <w:szCs w:val="24"/>
              </w:rPr>
              <w:t>Ja blakus dzīvojamai vai publiskai apbūvei ierosinā</w:t>
            </w:r>
            <w:r w:rsidR="00177A4A">
              <w:rPr>
                <w:rFonts w:ascii="Times New Roman" w:hAnsi="Times New Roman"/>
                <w:bCs/>
                <w:sz w:val="24"/>
                <w:szCs w:val="24"/>
              </w:rPr>
              <w:t>s</w:t>
            </w:r>
            <w:r w:rsidRPr="0071628A">
              <w:rPr>
                <w:rFonts w:ascii="Times New Roman" w:hAnsi="Times New Roman"/>
                <w:bCs/>
                <w:sz w:val="24"/>
                <w:szCs w:val="24"/>
              </w:rPr>
              <w:t xml:space="preserve"> tāda objekta </w:t>
            </w:r>
            <w:r w:rsidR="00177A4A" w:rsidRPr="0071628A">
              <w:rPr>
                <w:rFonts w:ascii="Times New Roman" w:hAnsi="Times New Roman"/>
                <w:bCs/>
                <w:sz w:val="24"/>
                <w:szCs w:val="24"/>
              </w:rPr>
              <w:t>būvniecīb</w:t>
            </w:r>
            <w:r w:rsidR="00177A4A">
              <w:rPr>
                <w:rFonts w:ascii="Times New Roman" w:hAnsi="Times New Roman"/>
                <w:bCs/>
                <w:sz w:val="24"/>
                <w:szCs w:val="24"/>
              </w:rPr>
              <w:t>u</w:t>
            </w:r>
            <w:r w:rsidRPr="0071628A">
              <w:rPr>
                <w:rFonts w:ascii="Times New Roman" w:hAnsi="Times New Roman"/>
                <w:bCs/>
                <w:sz w:val="24"/>
                <w:szCs w:val="24"/>
              </w:rPr>
              <w:t>, kurš var radīt būtisku ietekmi (smaku, troksni, vibrāciju vai cita veida piesārņojumu), bet kuram nav piemērots ietekmes uz vidi novērtējums</w:t>
            </w:r>
            <w:r w:rsidR="00416DC7" w:rsidRPr="0071628A">
              <w:rPr>
                <w:rFonts w:ascii="Times New Roman" w:hAnsi="Times New Roman"/>
                <w:sz w:val="24"/>
                <w:szCs w:val="24"/>
              </w:rPr>
              <w:t xml:space="preserve">, </w:t>
            </w:r>
            <w:r w:rsidRPr="0071628A">
              <w:rPr>
                <w:rFonts w:ascii="Times New Roman" w:hAnsi="Times New Roman"/>
                <w:bCs/>
                <w:sz w:val="24"/>
                <w:szCs w:val="24"/>
              </w:rPr>
              <w:t>būvvaldei būs pienākums nodrošināt būvniecības ieceres publisku apspriešanu</w:t>
            </w:r>
            <w:r w:rsidR="00416DC7" w:rsidRPr="0071628A">
              <w:rPr>
                <w:rFonts w:ascii="Times New Roman" w:hAnsi="Times New Roman"/>
                <w:sz w:val="24"/>
                <w:szCs w:val="24"/>
              </w:rPr>
              <w:t xml:space="preserve"> un tikai pēc tam tā pieņems lēmumu par ierosinātā objekta būvniecības ieceri. Pašvaldība saistošajos noteikumos var paredzēt arī citus gadījumus, kad rīkojama būvniecības ieceres publiska apspriešana. Būvniecības ieceres publisku apspriešanu nerīko, ja teritorijai, kurā paredzēta būve, ir spēkā esošs detālplānojums vai šādas ieceres realizācijai ir nepieciešams izstrādāt detālplānojumu.</w:t>
            </w:r>
          </w:p>
          <w:p w:rsidR="00724B08" w:rsidRDefault="00416DC7">
            <w:pPr>
              <w:pStyle w:val="ParastaisWeb"/>
              <w:spacing w:before="120" w:beforeAutospacing="0" w:after="0" w:afterAutospacing="0"/>
              <w:ind w:left="62" w:right="145"/>
              <w:jc w:val="both"/>
              <w:rPr>
                <w:rFonts w:ascii="Times New Roman" w:hAnsi="Times New Roman"/>
                <w:sz w:val="24"/>
                <w:szCs w:val="24"/>
              </w:rPr>
            </w:pPr>
            <w:r w:rsidRPr="0071628A">
              <w:rPr>
                <w:rFonts w:ascii="Times New Roman" w:hAnsi="Times New Roman"/>
                <w:sz w:val="24"/>
                <w:szCs w:val="24"/>
              </w:rPr>
              <w:t xml:space="preserve">Papildus, </w:t>
            </w:r>
            <w:r w:rsidR="00120DB0" w:rsidRPr="0071628A">
              <w:rPr>
                <w:rFonts w:ascii="Times New Roman" w:hAnsi="Times New Roman"/>
                <w:bCs/>
                <w:sz w:val="24"/>
                <w:szCs w:val="24"/>
              </w:rPr>
              <w:t>finansējuma saņēmējam  piedāvās priekšliku</w:t>
            </w:r>
            <w:r w:rsidR="00177A4A">
              <w:rPr>
                <w:rFonts w:ascii="Times New Roman" w:hAnsi="Times New Roman"/>
                <w:bCs/>
                <w:sz w:val="24"/>
                <w:szCs w:val="24"/>
              </w:rPr>
              <w:t>mu</w:t>
            </w:r>
            <w:r w:rsidR="00120DB0" w:rsidRPr="0071628A">
              <w:rPr>
                <w:rFonts w:ascii="Times New Roman" w:hAnsi="Times New Roman"/>
                <w:bCs/>
                <w:sz w:val="24"/>
                <w:szCs w:val="24"/>
              </w:rPr>
              <w:t xml:space="preserve"> organizēt citus sabiedrības līdzdalības pasākumus, izmantojot formālus un neformālus līdzdalības veidus, kā, piemēram, sabiedriskās apspriešanas sanāksmes, iedzīvotāju iesniegumi ar ierosinājumiem un iebildumiem, nevalstisko organizāciju un iedzīvotāju izveidoto biedrību iesaiste, aptaujas u.c.</w:t>
            </w:r>
            <w:r w:rsidRPr="0071628A">
              <w:rPr>
                <w:rFonts w:ascii="Times New Roman" w:hAnsi="Times New Roman"/>
                <w:sz w:val="24"/>
                <w:szCs w:val="24"/>
              </w:rPr>
              <w:t xml:space="preserve"> projektu izstrādes un īstenošanas laikā, veicinot vietējās kopienas iesaisti projektu izstrādē un īstenošanā un </w:t>
            </w:r>
            <w:r w:rsidR="00120DB0" w:rsidRPr="0071628A">
              <w:rPr>
                <w:rFonts w:ascii="Times New Roman" w:hAnsi="Times New Roman"/>
                <w:bCs/>
                <w:sz w:val="24"/>
                <w:szCs w:val="24"/>
              </w:rPr>
              <w:t>vietējās teritorijas attīstībā</w:t>
            </w:r>
            <w:r w:rsidRPr="0071628A">
              <w:rPr>
                <w:rFonts w:ascii="Times New Roman" w:hAnsi="Times New Roman"/>
                <w:sz w:val="24"/>
                <w:szCs w:val="24"/>
              </w:rPr>
              <w:t xml:space="preserve">, tādējādi </w:t>
            </w:r>
            <w:r w:rsidR="00120DB0" w:rsidRPr="0071628A">
              <w:rPr>
                <w:rFonts w:ascii="Times New Roman" w:hAnsi="Times New Roman"/>
                <w:bCs/>
                <w:sz w:val="24"/>
                <w:szCs w:val="24"/>
              </w:rPr>
              <w:t>nostiprinot</w:t>
            </w:r>
            <w:r w:rsidRPr="0071628A">
              <w:rPr>
                <w:rFonts w:ascii="Times New Roman" w:hAnsi="Times New Roman"/>
                <w:sz w:val="24"/>
                <w:szCs w:val="24"/>
              </w:rPr>
              <w:t xml:space="preserve"> piederības sajūtu sava apkaimei, kas </w:t>
            </w:r>
            <w:r w:rsidR="00120DB0" w:rsidRPr="0071628A">
              <w:rPr>
                <w:rFonts w:ascii="Times New Roman" w:hAnsi="Times New Roman"/>
                <w:bCs/>
                <w:sz w:val="24"/>
                <w:szCs w:val="24"/>
              </w:rPr>
              <w:t>pozitīvi ietekmēs</w:t>
            </w:r>
            <w:r w:rsidRPr="0071628A">
              <w:rPr>
                <w:rFonts w:ascii="Times New Roman" w:hAnsi="Times New Roman"/>
                <w:sz w:val="24"/>
                <w:szCs w:val="24"/>
              </w:rPr>
              <w:t xml:space="preserve"> gan iedzīvotāju skaita izmaiņas, gan dzīves līmeni teritorijā, kurā projekt</w:t>
            </w:r>
            <w:r w:rsidR="00177A4A">
              <w:rPr>
                <w:rFonts w:ascii="Times New Roman" w:hAnsi="Times New Roman"/>
                <w:sz w:val="24"/>
                <w:szCs w:val="24"/>
              </w:rPr>
              <w:t>u</w:t>
            </w:r>
            <w:r w:rsidRPr="0071628A">
              <w:rPr>
                <w:rFonts w:ascii="Times New Roman" w:hAnsi="Times New Roman"/>
                <w:sz w:val="24"/>
                <w:szCs w:val="24"/>
              </w:rPr>
              <w:t xml:space="preserve"> </w:t>
            </w:r>
            <w:r w:rsidR="00177A4A">
              <w:rPr>
                <w:rFonts w:ascii="Times New Roman" w:hAnsi="Times New Roman"/>
                <w:sz w:val="24"/>
                <w:szCs w:val="24"/>
              </w:rPr>
              <w:t>plānots</w:t>
            </w:r>
            <w:r w:rsidR="00177A4A" w:rsidRPr="0071628A">
              <w:rPr>
                <w:rFonts w:ascii="Times New Roman" w:hAnsi="Times New Roman"/>
                <w:sz w:val="24"/>
                <w:szCs w:val="24"/>
              </w:rPr>
              <w:t xml:space="preserve"> </w:t>
            </w:r>
            <w:r w:rsidRPr="0071628A">
              <w:rPr>
                <w:rFonts w:ascii="Times New Roman" w:hAnsi="Times New Roman"/>
                <w:sz w:val="24"/>
                <w:szCs w:val="24"/>
              </w:rPr>
              <w:t>īstenot.</w:t>
            </w:r>
          </w:p>
        </w:tc>
      </w:tr>
      <w:tr w:rsidR="00D02ABF" w:rsidRPr="00FE1C57" w:rsidTr="00177A4A">
        <w:trPr>
          <w:trHeight w:val="476"/>
        </w:trPr>
        <w:tc>
          <w:tcPr>
            <w:tcW w:w="426" w:type="dxa"/>
          </w:tcPr>
          <w:p w:rsidR="00D02ABF" w:rsidRPr="00FE1C57" w:rsidRDefault="00D02ABF" w:rsidP="003425D3">
            <w:pPr>
              <w:ind w:left="57" w:right="57"/>
              <w:jc w:val="both"/>
              <w:rPr>
                <w:bCs/>
              </w:rPr>
            </w:pPr>
            <w:r w:rsidRPr="00FE1C57">
              <w:rPr>
                <w:bCs/>
              </w:rPr>
              <w:lastRenderedPageBreak/>
              <w:t>3.</w:t>
            </w:r>
          </w:p>
        </w:tc>
        <w:tc>
          <w:tcPr>
            <w:tcW w:w="1559" w:type="dxa"/>
          </w:tcPr>
          <w:p w:rsidR="00D02ABF" w:rsidRPr="00FE1C57" w:rsidRDefault="00D02ABF" w:rsidP="003425D3">
            <w:pPr>
              <w:ind w:left="57" w:right="57"/>
            </w:pPr>
            <w:r w:rsidRPr="00FE1C57">
              <w:t>Sabiedrības līdzdalības rezultāti</w:t>
            </w:r>
          </w:p>
        </w:tc>
        <w:tc>
          <w:tcPr>
            <w:tcW w:w="7233" w:type="dxa"/>
          </w:tcPr>
          <w:p w:rsidR="000F6AD5" w:rsidRPr="00FE1C57" w:rsidRDefault="000F6AD5" w:rsidP="004C41AE">
            <w:pPr>
              <w:shd w:val="clear" w:color="auto" w:fill="FFFFFF"/>
              <w:ind w:left="57" w:right="113"/>
              <w:jc w:val="both"/>
            </w:pPr>
            <w:r w:rsidRPr="00FE1C57">
              <w:t>Izstrādāti šādi dokumenti:</w:t>
            </w:r>
          </w:p>
          <w:p w:rsidR="001C6403" w:rsidRPr="0071628A" w:rsidRDefault="00416DC7" w:rsidP="00D95BEF">
            <w:pPr>
              <w:pStyle w:val="Sarakstarindkopa"/>
              <w:numPr>
                <w:ilvl w:val="0"/>
                <w:numId w:val="45"/>
              </w:numPr>
              <w:ind w:left="425" w:right="145" w:hanging="295"/>
              <w:contextualSpacing w:val="0"/>
              <w:jc w:val="both"/>
              <w:rPr>
                <w:sz w:val="24"/>
                <w:szCs w:val="24"/>
              </w:rPr>
            </w:pPr>
            <w:r w:rsidRPr="0071628A">
              <w:rPr>
                <w:sz w:val="24"/>
                <w:szCs w:val="24"/>
              </w:rPr>
              <w:t xml:space="preserve">Konceptuālais ziņojums </w:t>
            </w:r>
            <w:r w:rsidR="00AA18E8">
              <w:rPr>
                <w:sz w:val="24"/>
                <w:szCs w:val="24"/>
              </w:rPr>
              <w:t>„</w:t>
            </w:r>
            <w:r w:rsidRPr="0071628A">
              <w:rPr>
                <w:sz w:val="24"/>
                <w:szCs w:val="24"/>
              </w:rPr>
              <w:t xml:space="preserve">Par Daugavas stadiona (Rīgā) teritorijas revitalizācijas programmas </w:t>
            </w:r>
            <w:r w:rsidR="00AA18E8">
              <w:rPr>
                <w:sz w:val="24"/>
                <w:szCs w:val="24"/>
              </w:rPr>
              <w:t>„</w:t>
            </w:r>
            <w:r w:rsidRPr="0071628A">
              <w:rPr>
                <w:sz w:val="24"/>
                <w:szCs w:val="24"/>
              </w:rPr>
              <w:t>Kultūras un sporta kvartāla izveide Grīziņkalna apkaimē” īstenošanu</w:t>
            </w:r>
            <w:r w:rsidRPr="0071628A">
              <w:rPr>
                <w:color w:val="000000"/>
                <w:sz w:val="24"/>
                <w:szCs w:val="24"/>
              </w:rPr>
              <w:t xml:space="preserve">” (izskatīts un apstiprināts 2015.gada 11.augusta MK sēdē </w:t>
            </w:r>
            <w:hyperlink r:id="rId13" w:history="1">
              <w:r w:rsidRPr="0071628A">
                <w:rPr>
                  <w:rStyle w:val="Hipersaite"/>
                  <w:sz w:val="24"/>
                  <w:szCs w:val="24"/>
                </w:rPr>
                <w:t>http://tap.mk.gov.lv/lv/mk/tap/?pid=40365835&amp;mode=mk&amp;date=2015-08-11</w:t>
              </w:r>
            </w:hyperlink>
            <w:r w:rsidRPr="0071628A">
              <w:rPr>
                <w:color w:val="000000"/>
                <w:sz w:val="24"/>
                <w:szCs w:val="24"/>
              </w:rPr>
              <w:t>);</w:t>
            </w:r>
          </w:p>
          <w:p w:rsidR="00F662FA" w:rsidRPr="0071628A" w:rsidRDefault="00416DC7" w:rsidP="00D95BEF">
            <w:pPr>
              <w:pStyle w:val="Sarakstarindkopa"/>
              <w:numPr>
                <w:ilvl w:val="0"/>
                <w:numId w:val="45"/>
              </w:numPr>
              <w:ind w:left="425" w:right="145" w:hanging="295"/>
              <w:contextualSpacing w:val="0"/>
              <w:jc w:val="both"/>
              <w:rPr>
                <w:sz w:val="24"/>
                <w:szCs w:val="24"/>
              </w:rPr>
            </w:pPr>
            <w:r w:rsidRPr="0071628A">
              <w:rPr>
                <w:sz w:val="24"/>
                <w:szCs w:val="24"/>
              </w:rPr>
              <w:t>Konceptuālais ziņojums</w:t>
            </w:r>
            <w:r w:rsidRPr="0071628A">
              <w:rPr>
                <w:color w:val="1F497D"/>
                <w:sz w:val="24"/>
                <w:szCs w:val="24"/>
              </w:rPr>
              <w:t xml:space="preserve"> </w:t>
            </w:r>
            <w:r w:rsidRPr="0071628A">
              <w:rPr>
                <w:sz w:val="24"/>
                <w:szCs w:val="24"/>
              </w:rPr>
              <w:t xml:space="preserve">„Par Eiropas Savienības fondu Darbības </w:t>
            </w:r>
            <w:r w:rsidRPr="0071628A">
              <w:rPr>
                <w:sz w:val="24"/>
                <w:szCs w:val="24"/>
              </w:rPr>
              <w:lastRenderedPageBreak/>
              <w:t>programmas „Izaugsme un nodarbinātība” 5.6.1.specifiskā atbalsta mērķa „Veicināt Rīgas pilsētas revitalizāciju, nodrošinot teritorijas efektīvu sociālekonomisko izmantošanu” iev</w:t>
            </w:r>
            <w:r w:rsidR="00EE146C">
              <w:rPr>
                <w:sz w:val="24"/>
                <w:szCs w:val="24"/>
              </w:rPr>
              <w:t>iešanu” (</w:t>
            </w:r>
            <w:r w:rsidR="00EE146C">
              <w:rPr>
                <w:color w:val="000000"/>
                <w:sz w:val="24"/>
                <w:szCs w:val="24"/>
              </w:rPr>
              <w:t>izskatīts un apstiprināts 2016</w:t>
            </w:r>
            <w:r w:rsidR="00EE146C" w:rsidRPr="0071628A">
              <w:rPr>
                <w:color w:val="000000"/>
                <w:sz w:val="24"/>
                <w:szCs w:val="24"/>
              </w:rPr>
              <w:t xml:space="preserve">.gada </w:t>
            </w:r>
            <w:r w:rsidR="00EE146C">
              <w:rPr>
                <w:color w:val="000000"/>
                <w:sz w:val="24"/>
                <w:szCs w:val="24"/>
              </w:rPr>
              <w:t>8.februāra</w:t>
            </w:r>
            <w:r w:rsidR="00EE146C" w:rsidRPr="0071628A">
              <w:rPr>
                <w:color w:val="000000"/>
                <w:sz w:val="24"/>
                <w:szCs w:val="24"/>
              </w:rPr>
              <w:t xml:space="preserve"> MK sēdē</w:t>
            </w:r>
            <w:r w:rsidR="00EE146C">
              <w:rPr>
                <w:color w:val="000000"/>
                <w:sz w:val="24"/>
                <w:szCs w:val="24"/>
              </w:rPr>
              <w:t xml:space="preserve"> </w:t>
            </w:r>
            <w:hyperlink r:id="rId14" w:history="1">
              <w:r w:rsidR="00EE146C" w:rsidRPr="00912BCF">
                <w:rPr>
                  <w:rStyle w:val="Hipersaite"/>
                  <w:sz w:val="24"/>
                  <w:szCs w:val="24"/>
                </w:rPr>
                <w:t>http://likumi.lv/ta/id/280213-par-konceptualo-zinojumu-par-eiropas-savienibas-fondu-darbibas-programmas-izaugsme-un-nodarbinatiba-5-6-1-specifiska-atbalsta</w:t>
              </w:r>
            </w:hyperlink>
            <w:r w:rsidR="00EE146C">
              <w:rPr>
                <w:color w:val="000000"/>
                <w:sz w:val="24"/>
                <w:szCs w:val="24"/>
              </w:rPr>
              <w:t>)</w:t>
            </w:r>
            <w:r w:rsidRPr="0071628A">
              <w:rPr>
                <w:sz w:val="24"/>
                <w:szCs w:val="24"/>
              </w:rPr>
              <w:t>;</w:t>
            </w:r>
          </w:p>
          <w:p w:rsidR="00724B08" w:rsidRDefault="00F662FA" w:rsidP="00D95BEF">
            <w:pPr>
              <w:pStyle w:val="Sarakstarindkopa"/>
              <w:numPr>
                <w:ilvl w:val="0"/>
                <w:numId w:val="45"/>
              </w:numPr>
              <w:ind w:left="425" w:right="145" w:hanging="295"/>
              <w:contextualSpacing w:val="0"/>
              <w:jc w:val="both"/>
              <w:rPr>
                <w:sz w:val="24"/>
                <w:szCs w:val="24"/>
              </w:rPr>
            </w:pPr>
            <w:r w:rsidRPr="0071628A">
              <w:rPr>
                <w:sz w:val="24"/>
                <w:szCs w:val="24"/>
              </w:rPr>
              <w:t>5.6.1.SAM p</w:t>
            </w:r>
            <w:r w:rsidR="000F6AD5" w:rsidRPr="0071628A">
              <w:rPr>
                <w:sz w:val="24"/>
                <w:szCs w:val="24"/>
              </w:rPr>
              <w:t xml:space="preserve">rojektu iesniegumu vērtēšanas kritēriju projekts, </w:t>
            </w:r>
            <w:r w:rsidR="00177A4A">
              <w:rPr>
                <w:sz w:val="24"/>
                <w:szCs w:val="24"/>
              </w:rPr>
              <w:t>uz noteikumu projekta iesniegšanas brīdi Ministru kabinetā</w:t>
            </w:r>
            <w:r w:rsidR="00EE146C">
              <w:rPr>
                <w:sz w:val="24"/>
                <w:szCs w:val="24"/>
              </w:rPr>
              <w:t xml:space="preserve"> ir izskatīti </w:t>
            </w:r>
            <w:r w:rsidR="002A65C4">
              <w:rPr>
                <w:sz w:val="24"/>
                <w:szCs w:val="24"/>
              </w:rPr>
              <w:t>2015</w:t>
            </w:r>
            <w:r w:rsidR="00EE146C">
              <w:rPr>
                <w:sz w:val="24"/>
                <w:szCs w:val="24"/>
              </w:rPr>
              <w:t xml:space="preserve">.gada 9.decembra </w:t>
            </w:r>
            <w:r w:rsidR="00EE146C" w:rsidRPr="00F662FA">
              <w:rPr>
                <w:kern w:val="24"/>
                <w:sz w:val="24"/>
                <w:szCs w:val="24"/>
              </w:rPr>
              <w:t xml:space="preserve">Eiropas Savienības struktūrfondu un Kohēzijas fonda </w:t>
            </w:r>
            <w:r w:rsidR="00EE146C" w:rsidRPr="00F662FA">
              <w:rPr>
                <w:sz w:val="24"/>
                <w:szCs w:val="24"/>
              </w:rPr>
              <w:t xml:space="preserve">2014.–2020.gada plānošanas perioda </w:t>
            </w:r>
            <w:r w:rsidR="00EE146C">
              <w:rPr>
                <w:sz w:val="24"/>
                <w:szCs w:val="24"/>
              </w:rPr>
              <w:t xml:space="preserve">apakškomitejas sēdē. </w:t>
            </w:r>
            <w:r w:rsidR="00177A4A">
              <w:rPr>
                <w:sz w:val="24"/>
                <w:szCs w:val="24"/>
              </w:rPr>
              <w:t xml:space="preserve"> </w:t>
            </w:r>
          </w:p>
        </w:tc>
      </w:tr>
      <w:tr w:rsidR="00D02ABF" w:rsidRPr="00FE1C57" w:rsidTr="00177A4A">
        <w:trPr>
          <w:trHeight w:val="357"/>
        </w:trPr>
        <w:tc>
          <w:tcPr>
            <w:tcW w:w="426" w:type="dxa"/>
          </w:tcPr>
          <w:p w:rsidR="00D02ABF" w:rsidRPr="00FE1C57" w:rsidRDefault="00D02ABF" w:rsidP="003425D3">
            <w:pPr>
              <w:ind w:left="57" w:right="57"/>
              <w:jc w:val="both"/>
              <w:rPr>
                <w:bCs/>
              </w:rPr>
            </w:pPr>
            <w:r w:rsidRPr="00FE1C57">
              <w:rPr>
                <w:bCs/>
              </w:rPr>
              <w:lastRenderedPageBreak/>
              <w:t>4.</w:t>
            </w:r>
          </w:p>
        </w:tc>
        <w:tc>
          <w:tcPr>
            <w:tcW w:w="1559" w:type="dxa"/>
          </w:tcPr>
          <w:p w:rsidR="00D02ABF" w:rsidRPr="00FE1C57" w:rsidRDefault="00D02ABF" w:rsidP="003425D3">
            <w:pPr>
              <w:ind w:left="57" w:right="57"/>
            </w:pPr>
            <w:r w:rsidRPr="00FE1C57">
              <w:t>Cita informācija</w:t>
            </w:r>
          </w:p>
        </w:tc>
        <w:tc>
          <w:tcPr>
            <w:tcW w:w="7233" w:type="dxa"/>
          </w:tcPr>
          <w:p w:rsidR="00D02ABF" w:rsidRPr="00FE1C57" w:rsidRDefault="00D02ABF" w:rsidP="003425D3">
            <w:pPr>
              <w:ind w:left="57" w:right="113"/>
              <w:jc w:val="both"/>
            </w:pPr>
            <w:r w:rsidRPr="00FE1C57">
              <w:t>Nav.</w:t>
            </w:r>
          </w:p>
        </w:tc>
      </w:tr>
    </w:tbl>
    <w:p w:rsidR="00FE1C57" w:rsidRPr="00FE1C57" w:rsidRDefault="00FE1C57"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43"/>
      </w:tblGrid>
      <w:tr w:rsidR="00D02ABF" w:rsidRPr="00FE1C57" w:rsidTr="00B4412D">
        <w:trPr>
          <w:trHeight w:val="421"/>
        </w:trPr>
        <w:tc>
          <w:tcPr>
            <w:tcW w:w="9214" w:type="dxa"/>
            <w:gridSpan w:val="3"/>
            <w:vAlign w:val="center"/>
          </w:tcPr>
          <w:p w:rsidR="00D02ABF" w:rsidRPr="00FE1C57" w:rsidRDefault="00D02ABF" w:rsidP="003425D3">
            <w:pPr>
              <w:pStyle w:val="naisnod"/>
              <w:spacing w:before="0" w:beforeAutospacing="0" w:after="0" w:afterAutospacing="0"/>
              <w:ind w:left="57" w:right="57"/>
              <w:jc w:val="center"/>
            </w:pPr>
            <w:r w:rsidRPr="00FE1C57">
              <w:rPr>
                <w:b/>
              </w:rPr>
              <w:t>VII. Tiesību akta projekta izpildes nodrošināšana un tās ietekme uz institūcijām</w:t>
            </w:r>
          </w:p>
        </w:tc>
      </w:tr>
      <w:tr w:rsidR="00D02ABF" w:rsidRPr="00FE1C57" w:rsidTr="00B4412D">
        <w:trPr>
          <w:trHeight w:val="553"/>
        </w:trPr>
        <w:tc>
          <w:tcPr>
            <w:tcW w:w="333" w:type="dxa"/>
          </w:tcPr>
          <w:p w:rsidR="00D02ABF" w:rsidRPr="00FE1C57" w:rsidRDefault="00D02ABF" w:rsidP="003425D3">
            <w:pPr>
              <w:ind w:left="57" w:right="57"/>
              <w:jc w:val="both"/>
              <w:rPr>
                <w:bCs/>
              </w:rPr>
            </w:pPr>
            <w:r w:rsidRPr="00FE1C57">
              <w:rPr>
                <w:bCs/>
              </w:rPr>
              <w:t>1.</w:t>
            </w:r>
          </w:p>
        </w:tc>
        <w:tc>
          <w:tcPr>
            <w:tcW w:w="2838" w:type="dxa"/>
          </w:tcPr>
          <w:p w:rsidR="00D02ABF" w:rsidRPr="00FE1C57" w:rsidRDefault="00D02ABF" w:rsidP="003425D3">
            <w:pPr>
              <w:ind w:left="57" w:right="57"/>
            </w:pPr>
            <w:r w:rsidRPr="00FE1C57">
              <w:t>Projekta izpildē iesaistītās institūcijas</w:t>
            </w:r>
          </w:p>
        </w:tc>
        <w:tc>
          <w:tcPr>
            <w:tcW w:w="6043" w:type="dxa"/>
          </w:tcPr>
          <w:p w:rsidR="00D02ABF" w:rsidRPr="00FE1C57" w:rsidRDefault="00AA18E8" w:rsidP="000E2305">
            <w:pPr>
              <w:shd w:val="clear" w:color="auto" w:fill="FFFFFF"/>
              <w:ind w:left="57" w:right="113"/>
              <w:jc w:val="both"/>
            </w:pPr>
            <w:r>
              <w:t>A</w:t>
            </w:r>
            <w:r w:rsidR="000F6AD5" w:rsidRPr="00FE1C57">
              <w:t>tbildīgā iestāde, sadarbības iestāde un potenciālie projektu iesniedzēji (t</w:t>
            </w:r>
            <w:r>
              <w:t xml:space="preserve">ajā skaitā </w:t>
            </w:r>
            <w:r w:rsidRPr="00EB2689">
              <w:t>I</w:t>
            </w:r>
            <w:r>
              <w:t>zglītības un zinātnes ministrija</w:t>
            </w:r>
            <w:r w:rsidR="009442EE" w:rsidRPr="00EB2689">
              <w:t>,</w:t>
            </w:r>
            <w:r w:rsidR="009442EE">
              <w:t xml:space="preserve"> Rīgas </w:t>
            </w:r>
            <w:r w:rsidR="00E321B8" w:rsidRPr="00E321B8">
              <w:t>pilsētas</w:t>
            </w:r>
            <w:r w:rsidR="00F160DD" w:rsidRPr="00F662FA">
              <w:rPr>
                <w:b/>
              </w:rPr>
              <w:t xml:space="preserve"> </w:t>
            </w:r>
            <w:r w:rsidR="009442EE">
              <w:t>pašvaldība</w:t>
            </w:r>
            <w:r w:rsidR="00672B13">
              <w:t xml:space="preserve"> un </w:t>
            </w:r>
            <w:r w:rsidR="000129F5">
              <w:t>valsts akciju sabiedrība „Valsts nekustamie īpašumi”</w:t>
            </w:r>
            <w:r w:rsidR="000F6AD5" w:rsidRPr="00FE1C57">
              <w:t>).</w:t>
            </w:r>
          </w:p>
        </w:tc>
      </w:tr>
      <w:tr w:rsidR="00D02ABF" w:rsidRPr="00FE1C57" w:rsidTr="00B4412D">
        <w:trPr>
          <w:trHeight w:val="339"/>
        </w:trPr>
        <w:tc>
          <w:tcPr>
            <w:tcW w:w="333" w:type="dxa"/>
          </w:tcPr>
          <w:p w:rsidR="00D02ABF" w:rsidRPr="00FE1C57" w:rsidRDefault="00D02ABF" w:rsidP="003425D3">
            <w:pPr>
              <w:ind w:left="57" w:right="57"/>
              <w:jc w:val="both"/>
              <w:rPr>
                <w:bCs/>
              </w:rPr>
            </w:pPr>
            <w:r w:rsidRPr="00FE1C57">
              <w:rPr>
                <w:bCs/>
              </w:rPr>
              <w:t>2.</w:t>
            </w:r>
          </w:p>
        </w:tc>
        <w:tc>
          <w:tcPr>
            <w:tcW w:w="2838" w:type="dxa"/>
          </w:tcPr>
          <w:p w:rsidR="00D02ABF" w:rsidRPr="00FE1C57" w:rsidRDefault="00D02ABF" w:rsidP="003425D3">
            <w:pPr>
              <w:ind w:left="57" w:right="57"/>
            </w:pPr>
            <w:r w:rsidRPr="00FE1C57">
              <w:t xml:space="preserve">Projekta izpildes ietekme uz pārvaldes funkcijām un institucionālo struktūru. </w:t>
            </w:r>
          </w:p>
          <w:p w:rsidR="00D02ABF" w:rsidRPr="00FE1C57" w:rsidRDefault="00D02ABF" w:rsidP="00B4412D">
            <w:pPr>
              <w:ind w:left="57" w:right="57"/>
            </w:pPr>
            <w:r w:rsidRPr="00FE1C57">
              <w:t>Jaunu institūciju izveide, esošu institūciju likvidācija vai reorganizācija, to ietekme uz institūcijas cilvēkresursiem</w:t>
            </w:r>
          </w:p>
        </w:tc>
        <w:tc>
          <w:tcPr>
            <w:tcW w:w="6043" w:type="dxa"/>
          </w:tcPr>
          <w:p w:rsidR="00D02ABF" w:rsidRPr="00FE1C57" w:rsidRDefault="00D02ABF" w:rsidP="003425D3">
            <w:pPr>
              <w:shd w:val="clear" w:color="auto" w:fill="FFFFFF"/>
              <w:ind w:left="57" w:right="113"/>
              <w:jc w:val="both"/>
              <w:rPr>
                <w:kern w:val="24"/>
              </w:rPr>
            </w:pPr>
            <w:r w:rsidRPr="00FE1C57">
              <w:t>Nav plānota jaunu institūciju izveide, esošu institūciju likvidācija vai reorga</w:t>
            </w:r>
            <w:r w:rsidRPr="00FE1C57">
              <w:softHyphen/>
              <w:t>nizācija.</w:t>
            </w:r>
          </w:p>
        </w:tc>
      </w:tr>
      <w:tr w:rsidR="00D02ABF" w:rsidRPr="00FE1C57" w:rsidTr="00B4412D">
        <w:trPr>
          <w:trHeight w:val="351"/>
        </w:trPr>
        <w:tc>
          <w:tcPr>
            <w:tcW w:w="333" w:type="dxa"/>
          </w:tcPr>
          <w:p w:rsidR="00D02ABF" w:rsidRPr="00FE1C57" w:rsidRDefault="00D02ABF" w:rsidP="003425D3">
            <w:pPr>
              <w:ind w:left="57" w:right="57"/>
              <w:jc w:val="both"/>
              <w:rPr>
                <w:bCs/>
              </w:rPr>
            </w:pPr>
            <w:r w:rsidRPr="00FE1C57">
              <w:rPr>
                <w:bCs/>
              </w:rPr>
              <w:t>3.</w:t>
            </w:r>
          </w:p>
        </w:tc>
        <w:tc>
          <w:tcPr>
            <w:tcW w:w="2838" w:type="dxa"/>
          </w:tcPr>
          <w:p w:rsidR="00D02ABF" w:rsidRPr="00FE1C57" w:rsidRDefault="00D02ABF" w:rsidP="003425D3">
            <w:pPr>
              <w:ind w:left="57" w:right="57"/>
            </w:pPr>
            <w:r w:rsidRPr="00FE1C57">
              <w:t>Cita informācija</w:t>
            </w:r>
          </w:p>
        </w:tc>
        <w:tc>
          <w:tcPr>
            <w:tcW w:w="6043" w:type="dxa"/>
          </w:tcPr>
          <w:p w:rsidR="00D02ABF" w:rsidRPr="00FE1C57" w:rsidRDefault="00D02ABF" w:rsidP="003425D3">
            <w:pPr>
              <w:shd w:val="clear" w:color="auto" w:fill="FFFFFF"/>
              <w:ind w:left="57" w:right="113"/>
              <w:jc w:val="both"/>
            </w:pPr>
            <w:r w:rsidRPr="00FE1C57">
              <w:t xml:space="preserve">Nav. </w:t>
            </w:r>
          </w:p>
        </w:tc>
      </w:tr>
    </w:tbl>
    <w:p w:rsidR="000129F5" w:rsidRDefault="000129F5" w:rsidP="00693999">
      <w:pPr>
        <w:ind w:firstLine="720"/>
        <w:jc w:val="both"/>
      </w:pPr>
    </w:p>
    <w:p w:rsidR="000129F5" w:rsidRDefault="000129F5" w:rsidP="00C83346">
      <w:pPr>
        <w:tabs>
          <w:tab w:val="left" w:pos="5271"/>
        </w:tabs>
        <w:jc w:val="both"/>
      </w:pPr>
    </w:p>
    <w:p w:rsidR="00724B08" w:rsidRDefault="009442EE">
      <w:pPr>
        <w:tabs>
          <w:tab w:val="left" w:pos="7655"/>
        </w:tabs>
        <w:jc w:val="both"/>
      </w:pPr>
      <w:r>
        <w:t>Kultūras</w:t>
      </w:r>
      <w:r w:rsidR="00D7163F" w:rsidRPr="00FE1C57">
        <w:t xml:space="preserve"> </w:t>
      </w:r>
      <w:r w:rsidR="000129F5">
        <w:t>ministre</w:t>
      </w:r>
      <w:r w:rsidR="000129F5">
        <w:tab/>
      </w:r>
      <w:r>
        <w:t>D.Melbārde</w:t>
      </w:r>
    </w:p>
    <w:p w:rsidR="00D7163F" w:rsidRPr="00FE1C57" w:rsidRDefault="00D7163F" w:rsidP="00D7163F">
      <w:pPr>
        <w:jc w:val="both"/>
      </w:pPr>
    </w:p>
    <w:p w:rsidR="00724B08" w:rsidRDefault="00D7163F">
      <w:pPr>
        <w:tabs>
          <w:tab w:val="left" w:pos="7655"/>
        </w:tabs>
        <w:jc w:val="both"/>
      </w:pPr>
      <w:r w:rsidRPr="00FE1C57">
        <w:t>Vīza:</w:t>
      </w:r>
      <w:r w:rsidR="000129F5">
        <w:t xml:space="preserve"> V</w:t>
      </w:r>
      <w:r w:rsidR="006C2448">
        <w:t>alsts sekretārs</w:t>
      </w:r>
      <w:r w:rsidR="000129F5">
        <w:tab/>
      </w:r>
      <w:r w:rsidR="006C2448">
        <w:t>S</w:t>
      </w:r>
      <w:r w:rsidR="00DB0860">
        <w:t>.</w:t>
      </w:r>
      <w:r w:rsidR="006C2448">
        <w:t>Voldiņš</w:t>
      </w:r>
    </w:p>
    <w:p w:rsidR="00B50751" w:rsidRDefault="00B50751" w:rsidP="003908DB">
      <w:pPr>
        <w:jc w:val="both"/>
        <w:rPr>
          <w:sz w:val="20"/>
          <w:szCs w:val="20"/>
        </w:rPr>
      </w:pPr>
    </w:p>
    <w:p w:rsidR="000129F5" w:rsidRDefault="000129F5" w:rsidP="003908DB">
      <w:pPr>
        <w:jc w:val="both"/>
        <w:rPr>
          <w:sz w:val="20"/>
          <w:szCs w:val="20"/>
        </w:rPr>
      </w:pPr>
    </w:p>
    <w:p w:rsidR="004B3EE3" w:rsidRDefault="004B3EE3" w:rsidP="003908DB">
      <w:pPr>
        <w:jc w:val="both"/>
        <w:rPr>
          <w:sz w:val="20"/>
          <w:szCs w:val="20"/>
        </w:rPr>
      </w:pPr>
    </w:p>
    <w:p w:rsidR="004B3EE3" w:rsidRDefault="004B3EE3" w:rsidP="003908DB">
      <w:pPr>
        <w:jc w:val="both"/>
        <w:rPr>
          <w:sz w:val="20"/>
          <w:szCs w:val="20"/>
        </w:rPr>
      </w:pPr>
    </w:p>
    <w:p w:rsidR="004B3EE3" w:rsidRDefault="004B3EE3" w:rsidP="003908DB">
      <w:pPr>
        <w:jc w:val="both"/>
        <w:rPr>
          <w:sz w:val="20"/>
          <w:szCs w:val="20"/>
        </w:rPr>
      </w:pPr>
    </w:p>
    <w:p w:rsidR="004B3EE3" w:rsidRDefault="004B3EE3" w:rsidP="003908DB">
      <w:pPr>
        <w:jc w:val="both"/>
        <w:rPr>
          <w:sz w:val="20"/>
          <w:szCs w:val="20"/>
        </w:rPr>
      </w:pPr>
    </w:p>
    <w:p w:rsidR="004B3EE3" w:rsidRDefault="004B3EE3" w:rsidP="003908DB">
      <w:pPr>
        <w:jc w:val="both"/>
        <w:rPr>
          <w:sz w:val="20"/>
          <w:szCs w:val="20"/>
        </w:rPr>
      </w:pPr>
    </w:p>
    <w:p w:rsidR="000129F5" w:rsidRDefault="000129F5" w:rsidP="003908DB">
      <w:pPr>
        <w:jc w:val="both"/>
        <w:rPr>
          <w:sz w:val="20"/>
          <w:szCs w:val="20"/>
        </w:rPr>
      </w:pPr>
    </w:p>
    <w:p w:rsidR="000129F5" w:rsidRDefault="000129F5" w:rsidP="003908DB">
      <w:pPr>
        <w:jc w:val="both"/>
        <w:rPr>
          <w:sz w:val="20"/>
          <w:szCs w:val="20"/>
        </w:rPr>
      </w:pPr>
    </w:p>
    <w:p w:rsidR="003908DB" w:rsidRPr="004B3EE3" w:rsidRDefault="006C2448" w:rsidP="003908DB">
      <w:pPr>
        <w:jc w:val="both"/>
        <w:rPr>
          <w:sz w:val="22"/>
          <w:szCs w:val="22"/>
        </w:rPr>
      </w:pPr>
      <w:r w:rsidRPr="004B3EE3">
        <w:rPr>
          <w:sz w:val="22"/>
          <w:szCs w:val="22"/>
        </w:rPr>
        <w:t>09</w:t>
      </w:r>
      <w:r w:rsidR="002C6683" w:rsidRPr="004B3EE3">
        <w:rPr>
          <w:sz w:val="22"/>
          <w:szCs w:val="22"/>
        </w:rPr>
        <w:t>.</w:t>
      </w:r>
      <w:r w:rsidR="00C50F7B" w:rsidRPr="004B3EE3">
        <w:rPr>
          <w:sz w:val="22"/>
          <w:szCs w:val="22"/>
        </w:rPr>
        <w:t>03</w:t>
      </w:r>
      <w:r w:rsidR="002C6683" w:rsidRPr="004B3EE3">
        <w:rPr>
          <w:sz w:val="22"/>
          <w:szCs w:val="22"/>
        </w:rPr>
        <w:t>.201</w:t>
      </w:r>
      <w:r w:rsidR="00692483" w:rsidRPr="004B3EE3">
        <w:rPr>
          <w:sz w:val="22"/>
          <w:szCs w:val="22"/>
        </w:rPr>
        <w:t>6</w:t>
      </w:r>
      <w:r w:rsidR="00C50F7B" w:rsidRPr="004B3EE3">
        <w:rPr>
          <w:sz w:val="22"/>
          <w:szCs w:val="22"/>
        </w:rPr>
        <w:t>.</w:t>
      </w:r>
      <w:r w:rsidR="004F171B" w:rsidRPr="004B3EE3">
        <w:rPr>
          <w:sz w:val="22"/>
          <w:szCs w:val="22"/>
        </w:rPr>
        <w:t xml:space="preserve"> </w:t>
      </w:r>
      <w:r w:rsidR="007E47A7" w:rsidRPr="004B3EE3">
        <w:rPr>
          <w:sz w:val="22"/>
          <w:szCs w:val="22"/>
        </w:rPr>
        <w:t>11</w:t>
      </w:r>
      <w:r w:rsidR="002B4D5F" w:rsidRPr="004B3EE3">
        <w:rPr>
          <w:sz w:val="22"/>
          <w:szCs w:val="22"/>
        </w:rPr>
        <w:t>:</w:t>
      </w:r>
      <w:r w:rsidR="00950986" w:rsidRPr="004B3EE3">
        <w:rPr>
          <w:sz w:val="22"/>
          <w:szCs w:val="22"/>
        </w:rPr>
        <w:t>00</w:t>
      </w:r>
    </w:p>
    <w:p w:rsidR="003908DB" w:rsidRPr="004B3EE3" w:rsidRDefault="006C2448" w:rsidP="003908DB">
      <w:pPr>
        <w:jc w:val="both"/>
        <w:rPr>
          <w:sz w:val="22"/>
          <w:szCs w:val="22"/>
        </w:rPr>
      </w:pPr>
      <w:r w:rsidRPr="004B3EE3">
        <w:rPr>
          <w:sz w:val="22"/>
          <w:szCs w:val="22"/>
        </w:rPr>
        <w:t>7205</w:t>
      </w:r>
    </w:p>
    <w:p w:rsidR="003908DB" w:rsidRPr="004B3EE3" w:rsidRDefault="00195B28" w:rsidP="003908DB">
      <w:pPr>
        <w:jc w:val="both"/>
        <w:rPr>
          <w:sz w:val="22"/>
          <w:szCs w:val="22"/>
        </w:rPr>
      </w:pPr>
      <w:r w:rsidRPr="004B3EE3">
        <w:rPr>
          <w:sz w:val="22"/>
          <w:szCs w:val="22"/>
        </w:rPr>
        <w:t>S.Rancāne-Delekolē</w:t>
      </w:r>
      <w:r w:rsidR="004B3EE3" w:rsidRPr="004B3EE3">
        <w:rPr>
          <w:sz w:val="22"/>
          <w:szCs w:val="22"/>
        </w:rPr>
        <w:t xml:space="preserve">, </w:t>
      </w:r>
      <w:r w:rsidRPr="004B3EE3">
        <w:rPr>
          <w:sz w:val="22"/>
          <w:szCs w:val="22"/>
        </w:rPr>
        <w:t>67330235</w:t>
      </w:r>
    </w:p>
    <w:p w:rsidR="00F011E6" w:rsidRPr="004B3EE3" w:rsidRDefault="00947670" w:rsidP="003908DB">
      <w:pPr>
        <w:pStyle w:val="Galvene"/>
        <w:tabs>
          <w:tab w:val="clear" w:pos="4153"/>
          <w:tab w:val="clear" w:pos="8306"/>
        </w:tabs>
        <w:rPr>
          <w:sz w:val="22"/>
          <w:szCs w:val="22"/>
        </w:rPr>
      </w:pPr>
      <w:hyperlink r:id="rId15" w:history="1">
        <w:r w:rsidR="004B3EE3" w:rsidRPr="004B3EE3">
          <w:rPr>
            <w:rStyle w:val="Hipersaite"/>
            <w:sz w:val="22"/>
            <w:szCs w:val="22"/>
          </w:rPr>
          <w:t>Sanita.Rancane-Delekole@km.gov.lv</w:t>
        </w:r>
      </w:hyperlink>
      <w:r w:rsidR="004B3EE3" w:rsidRPr="004B3EE3">
        <w:rPr>
          <w:sz w:val="22"/>
          <w:szCs w:val="22"/>
        </w:rPr>
        <w:t xml:space="preserve"> </w:t>
      </w:r>
    </w:p>
    <w:sectPr w:rsidR="00F011E6" w:rsidRPr="004B3EE3" w:rsidSect="004B3EE3">
      <w:headerReference w:type="default" r:id="rId16"/>
      <w:footerReference w:type="even" r:id="rId17"/>
      <w:footerReference w:type="default" r:id="rId18"/>
      <w:headerReference w:type="first" r:id="rId19"/>
      <w:footerReference w:type="first" r:id="rId2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B5" w:rsidRDefault="009331B5">
      <w:r>
        <w:separator/>
      </w:r>
    </w:p>
  </w:endnote>
  <w:endnote w:type="continuationSeparator" w:id="0">
    <w:p w:rsidR="009331B5" w:rsidRDefault="009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5" w:rsidRPr="00186C21" w:rsidRDefault="009331B5"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5" w:rsidRPr="004B3EE3" w:rsidRDefault="004B3EE3" w:rsidP="004B3EE3">
    <w:pPr>
      <w:jc w:val="both"/>
      <w:rPr>
        <w:sz w:val="22"/>
        <w:szCs w:val="22"/>
      </w:rPr>
    </w:pPr>
    <w:r w:rsidRPr="004B3EE3">
      <w:rPr>
        <w:bCs/>
        <w:sz w:val="22"/>
        <w:szCs w:val="22"/>
      </w:rPr>
      <w:t>KMAnot_090316_VSS</w:t>
    </w:r>
    <w:r>
      <w:rPr>
        <w:bCs/>
        <w:sz w:val="22"/>
        <w:szCs w:val="22"/>
      </w:rPr>
      <w:t>-</w:t>
    </w:r>
    <w:r w:rsidRPr="004B3EE3">
      <w:rPr>
        <w:bCs/>
        <w:sz w:val="22"/>
        <w:szCs w:val="22"/>
      </w:rPr>
      <w:t xml:space="preserve">1200; </w:t>
    </w:r>
    <w:r>
      <w:rPr>
        <w:bCs/>
        <w:sz w:val="22"/>
        <w:szCs w:val="22"/>
      </w:rPr>
      <w:t xml:space="preserve">Ministru kabineta noteikumu projekta </w:t>
    </w:r>
    <w:r w:rsidRPr="004B3EE3">
      <w:rPr>
        <w:bCs/>
        <w:sz w:val="22"/>
        <w:szCs w:val="22"/>
      </w:rPr>
      <w:t>„Darbības programmas „Izaugsme un nodarbinātība” 5.6.1.specifiskā atbalsta mērķa „Veicināt Rīgas pilsētas revitalizāciju, nodrošinot teritorijas efektīvu sociālekonomisko izmantošanu”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5" w:rsidRPr="004B3EE3" w:rsidRDefault="009331B5" w:rsidP="004B3EE3">
    <w:pPr>
      <w:jc w:val="both"/>
      <w:rPr>
        <w:sz w:val="22"/>
        <w:szCs w:val="22"/>
      </w:rPr>
    </w:pPr>
    <w:r w:rsidRPr="004B3EE3">
      <w:rPr>
        <w:bCs/>
        <w:sz w:val="22"/>
        <w:szCs w:val="22"/>
      </w:rPr>
      <w:t>KMAnot_</w:t>
    </w:r>
    <w:r w:rsidR="006C2448" w:rsidRPr="004B3EE3">
      <w:rPr>
        <w:bCs/>
        <w:sz w:val="22"/>
        <w:szCs w:val="22"/>
      </w:rPr>
      <w:t>09</w:t>
    </w:r>
    <w:r w:rsidRPr="004B3EE3">
      <w:rPr>
        <w:bCs/>
        <w:sz w:val="22"/>
        <w:szCs w:val="22"/>
      </w:rPr>
      <w:t>0316_VSS</w:t>
    </w:r>
    <w:r w:rsidR="004B3EE3">
      <w:rPr>
        <w:bCs/>
        <w:sz w:val="22"/>
        <w:szCs w:val="22"/>
      </w:rPr>
      <w:t>-</w:t>
    </w:r>
    <w:r w:rsidRPr="004B3EE3">
      <w:rPr>
        <w:bCs/>
        <w:sz w:val="22"/>
        <w:szCs w:val="22"/>
      </w:rPr>
      <w:t xml:space="preserve">1200; </w:t>
    </w:r>
    <w:r w:rsidR="004B3EE3">
      <w:rPr>
        <w:bCs/>
        <w:sz w:val="22"/>
        <w:szCs w:val="22"/>
      </w:rPr>
      <w:t xml:space="preserve">Ministru kabineta noteikumu projekta </w:t>
    </w:r>
    <w:r w:rsidRPr="004B3EE3">
      <w:rPr>
        <w:bCs/>
        <w:sz w:val="22"/>
        <w:szCs w:val="22"/>
      </w:rPr>
      <w:t>„Darbības programmas „Izaugsme un nodarbinātība” 5.6.1.specifiskā atbalsta mērķa „Veicināt Rīgas pilsētas revitalizāciju, nodrošinot teritorijas efektīvu sociālekonomisko izmantošanu”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B5" w:rsidRDefault="009331B5">
      <w:r>
        <w:separator/>
      </w:r>
    </w:p>
  </w:footnote>
  <w:footnote w:type="continuationSeparator" w:id="0">
    <w:p w:rsidR="009331B5" w:rsidRDefault="009331B5">
      <w:r>
        <w:continuationSeparator/>
      </w:r>
    </w:p>
  </w:footnote>
  <w:footnote w:id="1">
    <w:p w:rsidR="009331B5" w:rsidRPr="00EC3A85" w:rsidRDefault="009331B5" w:rsidP="00586FBF">
      <w:pPr>
        <w:pStyle w:val="Vresteksts"/>
        <w:spacing w:after="120"/>
        <w:jc w:val="both"/>
        <w:rPr>
          <w:lang w:val="lv-LV"/>
        </w:rPr>
      </w:pPr>
      <w:r>
        <w:rPr>
          <w:rStyle w:val="Vresatsauce"/>
        </w:rPr>
        <w:footnoteRef/>
      </w:r>
      <w:r w:rsidRPr="00EC3A85">
        <w:rPr>
          <w:lang w:val="lv-LV"/>
        </w:rPr>
        <w:t xml:space="preserve"> </w:t>
      </w:r>
      <w:r>
        <w:rPr>
          <w:lang w:val="lv-LV"/>
        </w:rPr>
        <w:t xml:space="preserve">Partnerības līgums, 97.lpp., </w:t>
      </w:r>
      <w:r w:rsidRPr="00EC3A85">
        <w:rPr>
          <w:lang w:val="lv-LV"/>
        </w:rPr>
        <w:t xml:space="preserve">zemsvītras atsauce Nr.143. „Degradētā teritorija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5" w:rsidRPr="004B3EE3" w:rsidRDefault="00947670" w:rsidP="00AE31DE">
    <w:pPr>
      <w:pStyle w:val="Galvene"/>
      <w:framePr w:wrap="auto" w:vAnchor="text" w:hAnchor="margin" w:xAlign="center" w:y="1"/>
      <w:rPr>
        <w:rStyle w:val="Lappusesnumurs"/>
        <w:sz w:val="22"/>
        <w:szCs w:val="22"/>
      </w:rPr>
    </w:pPr>
    <w:r w:rsidRPr="004B3EE3">
      <w:rPr>
        <w:rStyle w:val="Lappusesnumurs"/>
        <w:sz w:val="22"/>
        <w:szCs w:val="22"/>
      </w:rPr>
      <w:fldChar w:fldCharType="begin"/>
    </w:r>
    <w:r w:rsidR="009331B5" w:rsidRPr="004B3EE3">
      <w:rPr>
        <w:rStyle w:val="Lappusesnumurs"/>
        <w:sz w:val="22"/>
        <w:szCs w:val="22"/>
      </w:rPr>
      <w:instrText xml:space="preserve">PAGE  </w:instrText>
    </w:r>
    <w:r w:rsidRPr="004B3EE3">
      <w:rPr>
        <w:rStyle w:val="Lappusesnumurs"/>
        <w:sz w:val="22"/>
        <w:szCs w:val="22"/>
      </w:rPr>
      <w:fldChar w:fldCharType="separate"/>
    </w:r>
    <w:r w:rsidR="00094505">
      <w:rPr>
        <w:rStyle w:val="Lappusesnumurs"/>
        <w:noProof/>
        <w:sz w:val="22"/>
        <w:szCs w:val="22"/>
      </w:rPr>
      <w:t>26</w:t>
    </w:r>
    <w:r w:rsidRPr="004B3EE3">
      <w:rPr>
        <w:rStyle w:val="Lappusesnumurs"/>
        <w:sz w:val="22"/>
        <w:szCs w:val="22"/>
      </w:rPr>
      <w:fldChar w:fldCharType="end"/>
    </w:r>
  </w:p>
  <w:p w:rsidR="009331B5" w:rsidRDefault="009331B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5" w:rsidRDefault="009331B5" w:rsidP="00D21AEC">
    <w:pPr>
      <w:pStyle w:val="Galvene"/>
      <w:tabs>
        <w:tab w:val="clear" w:pos="4153"/>
        <w:tab w:val="clear" w:pos="8306"/>
        <w:tab w:val="center" w:pos="4535"/>
        <w:tab w:val="right" w:pos="907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0C3"/>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6B70C4"/>
    <w:multiLevelType w:val="hybridMultilevel"/>
    <w:tmpl w:val="AA7287EA"/>
    <w:lvl w:ilvl="0" w:tplc="0426000F">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0B2E1982"/>
    <w:multiLevelType w:val="hybridMultilevel"/>
    <w:tmpl w:val="C06805E0"/>
    <w:lvl w:ilvl="0" w:tplc="04260011">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4">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02A4BF9"/>
    <w:multiLevelType w:val="multilevel"/>
    <w:tmpl w:val="00CA96F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15260"/>
    <w:multiLevelType w:val="hybridMultilevel"/>
    <w:tmpl w:val="969A3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151E55F1"/>
    <w:multiLevelType w:val="hybridMultilevel"/>
    <w:tmpl w:val="036ED8B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9E64B2D"/>
    <w:multiLevelType w:val="hybridMultilevel"/>
    <w:tmpl w:val="37CAB5E6"/>
    <w:lvl w:ilvl="0" w:tplc="9F40E64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1A9463D3"/>
    <w:multiLevelType w:val="hybridMultilevel"/>
    <w:tmpl w:val="DF9CF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nsid w:val="23BF1A20"/>
    <w:multiLevelType w:val="multilevel"/>
    <w:tmpl w:val="00CA96F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2C945C83"/>
    <w:multiLevelType w:val="hybridMultilevel"/>
    <w:tmpl w:val="94B0AD30"/>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9">
    <w:nsid w:val="2E3B4F2D"/>
    <w:multiLevelType w:val="hybridMultilevel"/>
    <w:tmpl w:val="86803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EBE5AF3"/>
    <w:multiLevelType w:val="hybridMultilevel"/>
    <w:tmpl w:val="5A142D96"/>
    <w:lvl w:ilvl="0" w:tplc="04260011">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21">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9606006"/>
    <w:multiLevelType w:val="multilevel"/>
    <w:tmpl w:val="7492A498"/>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b w:val="0"/>
        <w:sz w:val="22"/>
        <w:szCs w:val="22"/>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344E61"/>
    <w:multiLevelType w:val="multilevel"/>
    <w:tmpl w:val="436CF36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9E3459"/>
    <w:multiLevelType w:val="hybridMultilevel"/>
    <w:tmpl w:val="29421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ED22F1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B16C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1">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nsid w:val="529C0362"/>
    <w:multiLevelType w:val="hybridMultilevel"/>
    <w:tmpl w:val="79867584"/>
    <w:lvl w:ilvl="0" w:tplc="BC385F04">
      <w:start w:val="1"/>
      <w:numFmt w:val="decimal"/>
      <w:lvlText w:val="%1."/>
      <w:lvlJc w:val="left"/>
      <w:pPr>
        <w:ind w:left="503" w:hanging="39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3">
    <w:nsid w:val="57581784"/>
    <w:multiLevelType w:val="hybridMultilevel"/>
    <w:tmpl w:val="AFE43F6C"/>
    <w:lvl w:ilvl="0" w:tplc="61A0C39E">
      <w:start w:val="1"/>
      <w:numFmt w:val="bullet"/>
      <w:lvlText w:val="•"/>
      <w:lvlJc w:val="left"/>
      <w:pPr>
        <w:tabs>
          <w:tab w:val="num" w:pos="720"/>
        </w:tabs>
        <w:ind w:left="720" w:hanging="360"/>
      </w:pPr>
      <w:rPr>
        <w:rFonts w:ascii="Arial" w:hAnsi="Arial" w:cs="Times New Roman" w:hint="default"/>
      </w:rPr>
    </w:lvl>
    <w:lvl w:ilvl="1" w:tplc="109EEC9A">
      <w:start w:val="1"/>
      <w:numFmt w:val="decimal"/>
      <w:lvlText w:val="%2."/>
      <w:lvlJc w:val="left"/>
      <w:pPr>
        <w:tabs>
          <w:tab w:val="num" w:pos="1440"/>
        </w:tabs>
        <w:ind w:left="1440" w:hanging="360"/>
      </w:pPr>
    </w:lvl>
    <w:lvl w:ilvl="2" w:tplc="4D8A09B6">
      <w:start w:val="1"/>
      <w:numFmt w:val="decimal"/>
      <w:lvlText w:val="%3."/>
      <w:lvlJc w:val="left"/>
      <w:pPr>
        <w:tabs>
          <w:tab w:val="num" w:pos="2160"/>
        </w:tabs>
        <w:ind w:left="2160" w:hanging="360"/>
      </w:pPr>
    </w:lvl>
    <w:lvl w:ilvl="3" w:tplc="1032970C">
      <w:start w:val="1"/>
      <w:numFmt w:val="decimal"/>
      <w:lvlText w:val="%4."/>
      <w:lvlJc w:val="left"/>
      <w:pPr>
        <w:tabs>
          <w:tab w:val="num" w:pos="2880"/>
        </w:tabs>
        <w:ind w:left="2880" w:hanging="360"/>
      </w:pPr>
    </w:lvl>
    <w:lvl w:ilvl="4" w:tplc="3BB85A72">
      <w:start w:val="1"/>
      <w:numFmt w:val="decimal"/>
      <w:lvlText w:val="%5."/>
      <w:lvlJc w:val="left"/>
      <w:pPr>
        <w:tabs>
          <w:tab w:val="num" w:pos="3600"/>
        </w:tabs>
        <w:ind w:left="3600" w:hanging="360"/>
      </w:pPr>
    </w:lvl>
    <w:lvl w:ilvl="5" w:tplc="29E0DC02">
      <w:start w:val="1"/>
      <w:numFmt w:val="decimal"/>
      <w:lvlText w:val="%6."/>
      <w:lvlJc w:val="left"/>
      <w:pPr>
        <w:tabs>
          <w:tab w:val="num" w:pos="4320"/>
        </w:tabs>
        <w:ind w:left="4320" w:hanging="360"/>
      </w:pPr>
    </w:lvl>
    <w:lvl w:ilvl="6" w:tplc="B90689EA">
      <w:start w:val="1"/>
      <w:numFmt w:val="decimal"/>
      <w:lvlText w:val="%7."/>
      <w:lvlJc w:val="left"/>
      <w:pPr>
        <w:tabs>
          <w:tab w:val="num" w:pos="5040"/>
        </w:tabs>
        <w:ind w:left="5040" w:hanging="360"/>
      </w:pPr>
    </w:lvl>
    <w:lvl w:ilvl="7" w:tplc="53F08E5C">
      <w:start w:val="1"/>
      <w:numFmt w:val="decimal"/>
      <w:lvlText w:val="%8."/>
      <w:lvlJc w:val="left"/>
      <w:pPr>
        <w:tabs>
          <w:tab w:val="num" w:pos="5760"/>
        </w:tabs>
        <w:ind w:left="5760" w:hanging="360"/>
      </w:pPr>
    </w:lvl>
    <w:lvl w:ilvl="8" w:tplc="C5E46148">
      <w:start w:val="1"/>
      <w:numFmt w:val="decimal"/>
      <w:lvlText w:val="%9."/>
      <w:lvlJc w:val="left"/>
      <w:pPr>
        <w:tabs>
          <w:tab w:val="num" w:pos="6480"/>
        </w:tabs>
        <w:ind w:left="6480" w:hanging="360"/>
      </w:pPr>
    </w:lvl>
  </w:abstractNum>
  <w:abstractNum w:abstractNumId="34">
    <w:nsid w:val="5BDE27C9"/>
    <w:multiLevelType w:val="multilevel"/>
    <w:tmpl w:val="2BC80EA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9D1946"/>
    <w:multiLevelType w:val="hybridMultilevel"/>
    <w:tmpl w:val="8902A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7">
    <w:nsid w:val="64CE7291"/>
    <w:multiLevelType w:val="hybridMultilevel"/>
    <w:tmpl w:val="E00A7CD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9">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9E027D"/>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2">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4"/>
  </w:num>
  <w:num w:numId="2">
    <w:abstractNumId w:val="21"/>
  </w:num>
  <w:num w:numId="3">
    <w:abstractNumId w:val="16"/>
  </w:num>
  <w:num w:numId="4">
    <w:abstractNumId w:val="22"/>
  </w:num>
  <w:num w:numId="5">
    <w:abstractNumId w:val="41"/>
  </w:num>
  <w:num w:numId="6">
    <w:abstractNumId w:val="8"/>
  </w:num>
  <w:num w:numId="7">
    <w:abstractNumId w:val="31"/>
  </w:num>
  <w:num w:numId="8">
    <w:abstractNumId w:val="30"/>
  </w:num>
  <w:num w:numId="9">
    <w:abstractNumId w:val="17"/>
  </w:num>
  <w:num w:numId="10">
    <w:abstractNumId w:val="14"/>
  </w:num>
  <w:num w:numId="11">
    <w:abstractNumId w:val="7"/>
  </w:num>
  <w:num w:numId="12">
    <w:abstractNumId w:val="42"/>
  </w:num>
  <w:num w:numId="13">
    <w:abstractNumId w:val="39"/>
  </w:num>
  <w:num w:numId="14">
    <w:abstractNumId w:val="12"/>
  </w:num>
  <w:num w:numId="15">
    <w:abstractNumId w:val="13"/>
  </w:num>
  <w:num w:numId="16">
    <w:abstractNumId w:val="23"/>
  </w:num>
  <w:num w:numId="17">
    <w:abstractNumId w:val="29"/>
  </w:num>
  <w:num w:numId="18">
    <w:abstractNumId w:val="36"/>
  </w:num>
  <w:num w:numId="19">
    <w:abstractNumId w:val="11"/>
  </w:num>
  <w:num w:numId="20">
    <w:abstractNumId w:val="6"/>
  </w:num>
  <w:num w:numId="21">
    <w:abstractNumId w:val="9"/>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0"/>
  </w:num>
  <w:num w:numId="26">
    <w:abstractNumId w:val="0"/>
  </w:num>
  <w:num w:numId="27">
    <w:abstractNumId w:val="9"/>
  </w:num>
  <w:num w:numId="28">
    <w:abstractNumId w:val="27"/>
  </w:num>
  <w:num w:numId="29">
    <w:abstractNumId w:val="3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6"/>
  </w:num>
  <w:num w:numId="33">
    <w:abstractNumId w:val="25"/>
  </w:num>
  <w:num w:numId="34">
    <w:abstractNumId w:val="20"/>
  </w:num>
  <w:num w:numId="35">
    <w:abstractNumId w:val="3"/>
  </w:num>
  <w:num w:numId="36">
    <w:abstractNumId w:val="19"/>
  </w:num>
  <w:num w:numId="37">
    <w:abstractNumId w:val="32"/>
  </w:num>
  <w:num w:numId="38">
    <w:abstractNumId w:val="2"/>
  </w:num>
  <w:num w:numId="39">
    <w:abstractNumId w:val="15"/>
  </w:num>
  <w:num w:numId="40">
    <w:abstractNumId w:val="5"/>
  </w:num>
  <w:num w:numId="41">
    <w:abstractNumId w:val="28"/>
  </w:num>
  <w:num w:numId="42">
    <w:abstractNumId w:val="4"/>
  </w:num>
  <w:num w:numId="43">
    <w:abstractNumId w:val="38"/>
  </w:num>
  <w:num w:numId="44">
    <w:abstractNumId w:val="18"/>
  </w:num>
  <w:num w:numId="45">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F63B8D"/>
    <w:rsid w:val="00000A3B"/>
    <w:rsid w:val="00002171"/>
    <w:rsid w:val="0000278B"/>
    <w:rsid w:val="00002E0E"/>
    <w:rsid w:val="00003A26"/>
    <w:rsid w:val="000043B8"/>
    <w:rsid w:val="00004A75"/>
    <w:rsid w:val="000069F6"/>
    <w:rsid w:val="000070AB"/>
    <w:rsid w:val="00010130"/>
    <w:rsid w:val="0001036C"/>
    <w:rsid w:val="00010917"/>
    <w:rsid w:val="00011F50"/>
    <w:rsid w:val="000121C3"/>
    <w:rsid w:val="000126CC"/>
    <w:rsid w:val="000129F5"/>
    <w:rsid w:val="00013D28"/>
    <w:rsid w:val="00016A4F"/>
    <w:rsid w:val="00016DB8"/>
    <w:rsid w:val="00016FFA"/>
    <w:rsid w:val="00023A5E"/>
    <w:rsid w:val="00025475"/>
    <w:rsid w:val="00025982"/>
    <w:rsid w:val="00025D9F"/>
    <w:rsid w:val="000276C4"/>
    <w:rsid w:val="00031531"/>
    <w:rsid w:val="00031BAA"/>
    <w:rsid w:val="0003292D"/>
    <w:rsid w:val="00032C84"/>
    <w:rsid w:val="00032CC9"/>
    <w:rsid w:val="00033622"/>
    <w:rsid w:val="00033962"/>
    <w:rsid w:val="00034BAC"/>
    <w:rsid w:val="00036D48"/>
    <w:rsid w:val="00037EA8"/>
    <w:rsid w:val="00040EC3"/>
    <w:rsid w:val="000413E5"/>
    <w:rsid w:val="00041551"/>
    <w:rsid w:val="00041DD0"/>
    <w:rsid w:val="00043C55"/>
    <w:rsid w:val="00045091"/>
    <w:rsid w:val="00046B88"/>
    <w:rsid w:val="00047DB6"/>
    <w:rsid w:val="00050016"/>
    <w:rsid w:val="000501E1"/>
    <w:rsid w:val="000503D4"/>
    <w:rsid w:val="000511BD"/>
    <w:rsid w:val="00053E06"/>
    <w:rsid w:val="00053E0B"/>
    <w:rsid w:val="00053EC6"/>
    <w:rsid w:val="00053EED"/>
    <w:rsid w:val="00056289"/>
    <w:rsid w:val="00056CEE"/>
    <w:rsid w:val="00057D58"/>
    <w:rsid w:val="000600BF"/>
    <w:rsid w:val="00061BA5"/>
    <w:rsid w:val="00062143"/>
    <w:rsid w:val="000624F1"/>
    <w:rsid w:val="000627E5"/>
    <w:rsid w:val="000643D4"/>
    <w:rsid w:val="000648AC"/>
    <w:rsid w:val="00064C5E"/>
    <w:rsid w:val="0006611D"/>
    <w:rsid w:val="000663AF"/>
    <w:rsid w:val="000671DF"/>
    <w:rsid w:val="000706BF"/>
    <w:rsid w:val="000728AB"/>
    <w:rsid w:val="00072F20"/>
    <w:rsid w:val="00081026"/>
    <w:rsid w:val="00081113"/>
    <w:rsid w:val="000817DA"/>
    <w:rsid w:val="00083A4D"/>
    <w:rsid w:val="00084A32"/>
    <w:rsid w:val="00085C7A"/>
    <w:rsid w:val="000874CF"/>
    <w:rsid w:val="0008752E"/>
    <w:rsid w:val="0009178C"/>
    <w:rsid w:val="00093676"/>
    <w:rsid w:val="0009448B"/>
    <w:rsid w:val="00094505"/>
    <w:rsid w:val="00094926"/>
    <w:rsid w:val="00095292"/>
    <w:rsid w:val="000952A1"/>
    <w:rsid w:val="00096395"/>
    <w:rsid w:val="0009693B"/>
    <w:rsid w:val="000A03A6"/>
    <w:rsid w:val="000A2823"/>
    <w:rsid w:val="000A363B"/>
    <w:rsid w:val="000A423C"/>
    <w:rsid w:val="000A4BB2"/>
    <w:rsid w:val="000A534A"/>
    <w:rsid w:val="000A79AB"/>
    <w:rsid w:val="000B3E3D"/>
    <w:rsid w:val="000B4274"/>
    <w:rsid w:val="000B46E1"/>
    <w:rsid w:val="000B744A"/>
    <w:rsid w:val="000B74F2"/>
    <w:rsid w:val="000B7AB5"/>
    <w:rsid w:val="000C0F79"/>
    <w:rsid w:val="000C1255"/>
    <w:rsid w:val="000C1E77"/>
    <w:rsid w:val="000C6F69"/>
    <w:rsid w:val="000D0DCE"/>
    <w:rsid w:val="000D1838"/>
    <w:rsid w:val="000D2C17"/>
    <w:rsid w:val="000D2E24"/>
    <w:rsid w:val="000D3D70"/>
    <w:rsid w:val="000D4C0B"/>
    <w:rsid w:val="000D4C0F"/>
    <w:rsid w:val="000D51C1"/>
    <w:rsid w:val="000D5611"/>
    <w:rsid w:val="000D5891"/>
    <w:rsid w:val="000D798A"/>
    <w:rsid w:val="000D7999"/>
    <w:rsid w:val="000E0B0F"/>
    <w:rsid w:val="000E120B"/>
    <w:rsid w:val="000E2161"/>
    <w:rsid w:val="000E2305"/>
    <w:rsid w:val="000E327F"/>
    <w:rsid w:val="000E5231"/>
    <w:rsid w:val="000E5BDF"/>
    <w:rsid w:val="000E6573"/>
    <w:rsid w:val="000E6952"/>
    <w:rsid w:val="000E7587"/>
    <w:rsid w:val="000E7E61"/>
    <w:rsid w:val="000F06A3"/>
    <w:rsid w:val="000F0C52"/>
    <w:rsid w:val="000F0E3B"/>
    <w:rsid w:val="000F26A3"/>
    <w:rsid w:val="000F4DC7"/>
    <w:rsid w:val="000F4F3B"/>
    <w:rsid w:val="000F56A7"/>
    <w:rsid w:val="000F608A"/>
    <w:rsid w:val="000F6AD5"/>
    <w:rsid w:val="000F7314"/>
    <w:rsid w:val="001004CE"/>
    <w:rsid w:val="00100D7C"/>
    <w:rsid w:val="00102912"/>
    <w:rsid w:val="001037F8"/>
    <w:rsid w:val="001039F0"/>
    <w:rsid w:val="00103A6C"/>
    <w:rsid w:val="00104292"/>
    <w:rsid w:val="00104E5A"/>
    <w:rsid w:val="00104E6E"/>
    <w:rsid w:val="00105319"/>
    <w:rsid w:val="001064BC"/>
    <w:rsid w:val="00110FF3"/>
    <w:rsid w:val="001128CA"/>
    <w:rsid w:val="0011299A"/>
    <w:rsid w:val="00112F49"/>
    <w:rsid w:val="001133AB"/>
    <w:rsid w:val="00113A11"/>
    <w:rsid w:val="0011584F"/>
    <w:rsid w:val="001161AF"/>
    <w:rsid w:val="00120ACA"/>
    <w:rsid w:val="00120DB0"/>
    <w:rsid w:val="001210CC"/>
    <w:rsid w:val="00121D4F"/>
    <w:rsid w:val="00121F0F"/>
    <w:rsid w:val="001221A7"/>
    <w:rsid w:val="00122CD7"/>
    <w:rsid w:val="001246EA"/>
    <w:rsid w:val="00124F0E"/>
    <w:rsid w:val="001251D3"/>
    <w:rsid w:val="00125297"/>
    <w:rsid w:val="00126C02"/>
    <w:rsid w:val="00127CE0"/>
    <w:rsid w:val="00130712"/>
    <w:rsid w:val="00130F9A"/>
    <w:rsid w:val="0013130E"/>
    <w:rsid w:val="00131CA8"/>
    <w:rsid w:val="001320BC"/>
    <w:rsid w:val="001333C1"/>
    <w:rsid w:val="00133C20"/>
    <w:rsid w:val="001356F7"/>
    <w:rsid w:val="00136085"/>
    <w:rsid w:val="00136B1B"/>
    <w:rsid w:val="001404C5"/>
    <w:rsid w:val="001408A3"/>
    <w:rsid w:val="001418C6"/>
    <w:rsid w:val="00141D62"/>
    <w:rsid w:val="001420D7"/>
    <w:rsid w:val="001428A9"/>
    <w:rsid w:val="00142AEA"/>
    <w:rsid w:val="0014304D"/>
    <w:rsid w:val="00144810"/>
    <w:rsid w:val="00144BF2"/>
    <w:rsid w:val="0014605B"/>
    <w:rsid w:val="001501BF"/>
    <w:rsid w:val="00152051"/>
    <w:rsid w:val="001523DF"/>
    <w:rsid w:val="00152A3B"/>
    <w:rsid w:val="0015323A"/>
    <w:rsid w:val="00153AEE"/>
    <w:rsid w:val="00154352"/>
    <w:rsid w:val="00154D0B"/>
    <w:rsid w:val="001556AE"/>
    <w:rsid w:val="00155D30"/>
    <w:rsid w:val="0015709E"/>
    <w:rsid w:val="00160C06"/>
    <w:rsid w:val="0016144A"/>
    <w:rsid w:val="00161A23"/>
    <w:rsid w:val="00161F2B"/>
    <w:rsid w:val="00162E94"/>
    <w:rsid w:val="00162EED"/>
    <w:rsid w:val="00162EF1"/>
    <w:rsid w:val="00163EB4"/>
    <w:rsid w:val="0016443A"/>
    <w:rsid w:val="00165B83"/>
    <w:rsid w:val="001670AA"/>
    <w:rsid w:val="00167959"/>
    <w:rsid w:val="001707C8"/>
    <w:rsid w:val="00171627"/>
    <w:rsid w:val="001725AE"/>
    <w:rsid w:val="001750CD"/>
    <w:rsid w:val="0017618D"/>
    <w:rsid w:val="00176350"/>
    <w:rsid w:val="00177068"/>
    <w:rsid w:val="00177A4A"/>
    <w:rsid w:val="00180BDE"/>
    <w:rsid w:val="0018294B"/>
    <w:rsid w:val="001833F9"/>
    <w:rsid w:val="0018528C"/>
    <w:rsid w:val="001913BD"/>
    <w:rsid w:val="001918FC"/>
    <w:rsid w:val="001934C4"/>
    <w:rsid w:val="00193810"/>
    <w:rsid w:val="00195B28"/>
    <w:rsid w:val="00195D1F"/>
    <w:rsid w:val="00195EB8"/>
    <w:rsid w:val="0019632B"/>
    <w:rsid w:val="001979DD"/>
    <w:rsid w:val="001A2DC9"/>
    <w:rsid w:val="001A3AAE"/>
    <w:rsid w:val="001A3B59"/>
    <w:rsid w:val="001A4087"/>
    <w:rsid w:val="001A5627"/>
    <w:rsid w:val="001A5867"/>
    <w:rsid w:val="001A665B"/>
    <w:rsid w:val="001A756C"/>
    <w:rsid w:val="001B0A1F"/>
    <w:rsid w:val="001B2391"/>
    <w:rsid w:val="001B2891"/>
    <w:rsid w:val="001B2B6D"/>
    <w:rsid w:val="001B3F78"/>
    <w:rsid w:val="001B4A33"/>
    <w:rsid w:val="001B50DE"/>
    <w:rsid w:val="001B5BD2"/>
    <w:rsid w:val="001B5C88"/>
    <w:rsid w:val="001B6148"/>
    <w:rsid w:val="001B6264"/>
    <w:rsid w:val="001B688B"/>
    <w:rsid w:val="001B7CB1"/>
    <w:rsid w:val="001C03ED"/>
    <w:rsid w:val="001C1418"/>
    <w:rsid w:val="001C2C05"/>
    <w:rsid w:val="001C363B"/>
    <w:rsid w:val="001C36E1"/>
    <w:rsid w:val="001C4291"/>
    <w:rsid w:val="001C5252"/>
    <w:rsid w:val="001C53BB"/>
    <w:rsid w:val="001C6403"/>
    <w:rsid w:val="001C70DA"/>
    <w:rsid w:val="001D0A43"/>
    <w:rsid w:val="001D0E76"/>
    <w:rsid w:val="001D2003"/>
    <w:rsid w:val="001D2BED"/>
    <w:rsid w:val="001D2C76"/>
    <w:rsid w:val="001D2F71"/>
    <w:rsid w:val="001D4894"/>
    <w:rsid w:val="001D5DA0"/>
    <w:rsid w:val="001D5FE3"/>
    <w:rsid w:val="001D623A"/>
    <w:rsid w:val="001D70A2"/>
    <w:rsid w:val="001D74C3"/>
    <w:rsid w:val="001E05C0"/>
    <w:rsid w:val="001E065F"/>
    <w:rsid w:val="001E1862"/>
    <w:rsid w:val="001E1D73"/>
    <w:rsid w:val="001E228E"/>
    <w:rsid w:val="001E5D8C"/>
    <w:rsid w:val="001E6375"/>
    <w:rsid w:val="001F14FA"/>
    <w:rsid w:val="001F2E31"/>
    <w:rsid w:val="001F34E6"/>
    <w:rsid w:val="001F3D4C"/>
    <w:rsid w:val="001F4DB2"/>
    <w:rsid w:val="001F4DD8"/>
    <w:rsid w:val="001F5063"/>
    <w:rsid w:val="001F595C"/>
    <w:rsid w:val="001F6188"/>
    <w:rsid w:val="001F72A0"/>
    <w:rsid w:val="001F7306"/>
    <w:rsid w:val="0020001C"/>
    <w:rsid w:val="00202AD0"/>
    <w:rsid w:val="00202DA4"/>
    <w:rsid w:val="00202F29"/>
    <w:rsid w:val="002030DB"/>
    <w:rsid w:val="0020342E"/>
    <w:rsid w:val="00204613"/>
    <w:rsid w:val="00205A70"/>
    <w:rsid w:val="00206342"/>
    <w:rsid w:val="00206722"/>
    <w:rsid w:val="00207072"/>
    <w:rsid w:val="00207B52"/>
    <w:rsid w:val="00207CCE"/>
    <w:rsid w:val="002116BD"/>
    <w:rsid w:val="00212218"/>
    <w:rsid w:val="00214225"/>
    <w:rsid w:val="00214D33"/>
    <w:rsid w:val="00214F0B"/>
    <w:rsid w:val="00216AFC"/>
    <w:rsid w:val="002172B6"/>
    <w:rsid w:val="0021747A"/>
    <w:rsid w:val="002202EA"/>
    <w:rsid w:val="002205EB"/>
    <w:rsid w:val="00222172"/>
    <w:rsid w:val="00222C27"/>
    <w:rsid w:val="00225521"/>
    <w:rsid w:val="00230411"/>
    <w:rsid w:val="002305A8"/>
    <w:rsid w:val="00230909"/>
    <w:rsid w:val="00233231"/>
    <w:rsid w:val="00234F2B"/>
    <w:rsid w:val="00235496"/>
    <w:rsid w:val="002413A6"/>
    <w:rsid w:val="002421F8"/>
    <w:rsid w:val="00243668"/>
    <w:rsid w:val="00244398"/>
    <w:rsid w:val="002463FA"/>
    <w:rsid w:val="00246F31"/>
    <w:rsid w:val="00251299"/>
    <w:rsid w:val="002539BA"/>
    <w:rsid w:val="00254323"/>
    <w:rsid w:val="0025490F"/>
    <w:rsid w:val="00254CDC"/>
    <w:rsid w:val="00254D67"/>
    <w:rsid w:val="00255E6A"/>
    <w:rsid w:val="00255FEF"/>
    <w:rsid w:val="00256E03"/>
    <w:rsid w:val="002636FC"/>
    <w:rsid w:val="00264A8B"/>
    <w:rsid w:val="002673AF"/>
    <w:rsid w:val="00267907"/>
    <w:rsid w:val="002703C7"/>
    <w:rsid w:val="00271F38"/>
    <w:rsid w:val="0027270B"/>
    <w:rsid w:val="002732E7"/>
    <w:rsid w:val="00273339"/>
    <w:rsid w:val="002737E1"/>
    <w:rsid w:val="0027380B"/>
    <w:rsid w:val="00273F81"/>
    <w:rsid w:val="00275FF8"/>
    <w:rsid w:val="00276FE1"/>
    <w:rsid w:val="0027761A"/>
    <w:rsid w:val="00277ACD"/>
    <w:rsid w:val="00280927"/>
    <w:rsid w:val="00280DB5"/>
    <w:rsid w:val="002812F3"/>
    <w:rsid w:val="00282093"/>
    <w:rsid w:val="0028403E"/>
    <w:rsid w:val="00285F34"/>
    <w:rsid w:val="002919D2"/>
    <w:rsid w:val="00291E5B"/>
    <w:rsid w:val="002924D8"/>
    <w:rsid w:val="00293318"/>
    <w:rsid w:val="00293548"/>
    <w:rsid w:val="0029357C"/>
    <w:rsid w:val="0029375C"/>
    <w:rsid w:val="00293BE3"/>
    <w:rsid w:val="00293BEA"/>
    <w:rsid w:val="00295DB8"/>
    <w:rsid w:val="002969F4"/>
    <w:rsid w:val="00296AB3"/>
    <w:rsid w:val="002976ED"/>
    <w:rsid w:val="002A1D97"/>
    <w:rsid w:val="002A37F4"/>
    <w:rsid w:val="002A3FAF"/>
    <w:rsid w:val="002A65C4"/>
    <w:rsid w:val="002B18A5"/>
    <w:rsid w:val="002B43A8"/>
    <w:rsid w:val="002B4865"/>
    <w:rsid w:val="002B49EC"/>
    <w:rsid w:val="002B4A30"/>
    <w:rsid w:val="002B4D5F"/>
    <w:rsid w:val="002B5979"/>
    <w:rsid w:val="002B5A2C"/>
    <w:rsid w:val="002B628A"/>
    <w:rsid w:val="002B6636"/>
    <w:rsid w:val="002B746F"/>
    <w:rsid w:val="002C07BF"/>
    <w:rsid w:val="002C2219"/>
    <w:rsid w:val="002C2730"/>
    <w:rsid w:val="002C2A3D"/>
    <w:rsid w:val="002C3B13"/>
    <w:rsid w:val="002C3ED3"/>
    <w:rsid w:val="002C5C63"/>
    <w:rsid w:val="002C6683"/>
    <w:rsid w:val="002C752A"/>
    <w:rsid w:val="002C7B42"/>
    <w:rsid w:val="002D1242"/>
    <w:rsid w:val="002D1AAA"/>
    <w:rsid w:val="002D370A"/>
    <w:rsid w:val="002D7B4D"/>
    <w:rsid w:val="002E0B99"/>
    <w:rsid w:val="002E14EE"/>
    <w:rsid w:val="002E1A3E"/>
    <w:rsid w:val="002E2479"/>
    <w:rsid w:val="002E4119"/>
    <w:rsid w:val="002E4AC5"/>
    <w:rsid w:val="002E7405"/>
    <w:rsid w:val="002F0429"/>
    <w:rsid w:val="002F212B"/>
    <w:rsid w:val="002F4018"/>
    <w:rsid w:val="002F5BDF"/>
    <w:rsid w:val="002F77E1"/>
    <w:rsid w:val="003013F9"/>
    <w:rsid w:val="00303A7F"/>
    <w:rsid w:val="003046B0"/>
    <w:rsid w:val="00304D05"/>
    <w:rsid w:val="00306BDD"/>
    <w:rsid w:val="00306C1E"/>
    <w:rsid w:val="003112BD"/>
    <w:rsid w:val="00312353"/>
    <w:rsid w:val="0031255F"/>
    <w:rsid w:val="003134F0"/>
    <w:rsid w:val="00313DAC"/>
    <w:rsid w:val="00314552"/>
    <w:rsid w:val="00315B99"/>
    <w:rsid w:val="00320424"/>
    <w:rsid w:val="0032076E"/>
    <w:rsid w:val="00320D80"/>
    <w:rsid w:val="00320DEC"/>
    <w:rsid w:val="00322AB4"/>
    <w:rsid w:val="00323828"/>
    <w:rsid w:val="00323B3C"/>
    <w:rsid w:val="00324557"/>
    <w:rsid w:val="003251E1"/>
    <w:rsid w:val="003258F1"/>
    <w:rsid w:val="00325C75"/>
    <w:rsid w:val="00326700"/>
    <w:rsid w:val="00326A33"/>
    <w:rsid w:val="00326FA6"/>
    <w:rsid w:val="00327030"/>
    <w:rsid w:val="0032708F"/>
    <w:rsid w:val="00330635"/>
    <w:rsid w:val="00330C43"/>
    <w:rsid w:val="00330F53"/>
    <w:rsid w:val="00332436"/>
    <w:rsid w:val="0033321E"/>
    <w:rsid w:val="00334AA3"/>
    <w:rsid w:val="00334B92"/>
    <w:rsid w:val="00335CC7"/>
    <w:rsid w:val="003375DA"/>
    <w:rsid w:val="00340A6F"/>
    <w:rsid w:val="003425D3"/>
    <w:rsid w:val="00342E1B"/>
    <w:rsid w:val="00344178"/>
    <w:rsid w:val="00345AC5"/>
    <w:rsid w:val="00347231"/>
    <w:rsid w:val="0034786E"/>
    <w:rsid w:val="00347D73"/>
    <w:rsid w:val="003500FA"/>
    <w:rsid w:val="0035093B"/>
    <w:rsid w:val="00354E26"/>
    <w:rsid w:val="00355D83"/>
    <w:rsid w:val="00360258"/>
    <w:rsid w:val="0036081C"/>
    <w:rsid w:val="00360CDE"/>
    <w:rsid w:val="00362B4E"/>
    <w:rsid w:val="00365127"/>
    <w:rsid w:val="00366D85"/>
    <w:rsid w:val="00371898"/>
    <w:rsid w:val="00373043"/>
    <w:rsid w:val="003743B1"/>
    <w:rsid w:val="003746A9"/>
    <w:rsid w:val="00380E07"/>
    <w:rsid w:val="0038152E"/>
    <w:rsid w:val="003828F2"/>
    <w:rsid w:val="003832FF"/>
    <w:rsid w:val="003838CA"/>
    <w:rsid w:val="0038424B"/>
    <w:rsid w:val="00384F30"/>
    <w:rsid w:val="0038574C"/>
    <w:rsid w:val="00385C2A"/>
    <w:rsid w:val="003908DB"/>
    <w:rsid w:val="00391449"/>
    <w:rsid w:val="00392E82"/>
    <w:rsid w:val="003933E9"/>
    <w:rsid w:val="003934B8"/>
    <w:rsid w:val="00393D05"/>
    <w:rsid w:val="003942BF"/>
    <w:rsid w:val="00394C33"/>
    <w:rsid w:val="00396C15"/>
    <w:rsid w:val="003977A7"/>
    <w:rsid w:val="00397AD9"/>
    <w:rsid w:val="00397D44"/>
    <w:rsid w:val="003A0C47"/>
    <w:rsid w:val="003A2154"/>
    <w:rsid w:val="003A2A13"/>
    <w:rsid w:val="003A3021"/>
    <w:rsid w:val="003A340D"/>
    <w:rsid w:val="003A4AC8"/>
    <w:rsid w:val="003A6127"/>
    <w:rsid w:val="003A656D"/>
    <w:rsid w:val="003A683E"/>
    <w:rsid w:val="003A6AB4"/>
    <w:rsid w:val="003A6C04"/>
    <w:rsid w:val="003B31CD"/>
    <w:rsid w:val="003B39A6"/>
    <w:rsid w:val="003B3FDD"/>
    <w:rsid w:val="003B45FA"/>
    <w:rsid w:val="003B4632"/>
    <w:rsid w:val="003B470B"/>
    <w:rsid w:val="003B5DAC"/>
    <w:rsid w:val="003B601E"/>
    <w:rsid w:val="003B7C62"/>
    <w:rsid w:val="003C2574"/>
    <w:rsid w:val="003C2797"/>
    <w:rsid w:val="003C2DA4"/>
    <w:rsid w:val="003C39F1"/>
    <w:rsid w:val="003C4343"/>
    <w:rsid w:val="003C5675"/>
    <w:rsid w:val="003C5D25"/>
    <w:rsid w:val="003C696B"/>
    <w:rsid w:val="003C6CB6"/>
    <w:rsid w:val="003C6D42"/>
    <w:rsid w:val="003C6E0F"/>
    <w:rsid w:val="003C7725"/>
    <w:rsid w:val="003C7C96"/>
    <w:rsid w:val="003D0DC1"/>
    <w:rsid w:val="003D1F3E"/>
    <w:rsid w:val="003D2917"/>
    <w:rsid w:val="003D2C52"/>
    <w:rsid w:val="003D3ADD"/>
    <w:rsid w:val="003D3D4B"/>
    <w:rsid w:val="003D3DC7"/>
    <w:rsid w:val="003D42E1"/>
    <w:rsid w:val="003D42F9"/>
    <w:rsid w:val="003E035B"/>
    <w:rsid w:val="003E2427"/>
    <w:rsid w:val="003E4701"/>
    <w:rsid w:val="003E5C83"/>
    <w:rsid w:val="003E6E46"/>
    <w:rsid w:val="003E73BB"/>
    <w:rsid w:val="003E755C"/>
    <w:rsid w:val="003F03D6"/>
    <w:rsid w:val="003F1B8F"/>
    <w:rsid w:val="003F222E"/>
    <w:rsid w:val="003F24CB"/>
    <w:rsid w:val="003F373D"/>
    <w:rsid w:val="003F3DFF"/>
    <w:rsid w:val="003F461E"/>
    <w:rsid w:val="003F60F0"/>
    <w:rsid w:val="003F782E"/>
    <w:rsid w:val="0040028C"/>
    <w:rsid w:val="0040030D"/>
    <w:rsid w:val="00400D2F"/>
    <w:rsid w:val="00401FC2"/>
    <w:rsid w:val="00403BD2"/>
    <w:rsid w:val="004045C7"/>
    <w:rsid w:val="0040559D"/>
    <w:rsid w:val="00405B29"/>
    <w:rsid w:val="00406797"/>
    <w:rsid w:val="00407175"/>
    <w:rsid w:val="004110C4"/>
    <w:rsid w:val="00413696"/>
    <w:rsid w:val="0041659D"/>
    <w:rsid w:val="00416DC7"/>
    <w:rsid w:val="0042049C"/>
    <w:rsid w:val="00420773"/>
    <w:rsid w:val="004227C9"/>
    <w:rsid w:val="00422B49"/>
    <w:rsid w:val="00425B84"/>
    <w:rsid w:val="00425FF2"/>
    <w:rsid w:val="00426A4A"/>
    <w:rsid w:val="00431C6A"/>
    <w:rsid w:val="00431F6D"/>
    <w:rsid w:val="00433222"/>
    <w:rsid w:val="00434181"/>
    <w:rsid w:val="004345E6"/>
    <w:rsid w:val="00435601"/>
    <w:rsid w:val="004359E1"/>
    <w:rsid w:val="00435B0F"/>
    <w:rsid w:val="004365FE"/>
    <w:rsid w:val="00437EB4"/>
    <w:rsid w:val="004405B1"/>
    <w:rsid w:val="004437F3"/>
    <w:rsid w:val="00445707"/>
    <w:rsid w:val="00445972"/>
    <w:rsid w:val="004459CA"/>
    <w:rsid w:val="0044757A"/>
    <w:rsid w:val="004477A8"/>
    <w:rsid w:val="0045164A"/>
    <w:rsid w:val="00452232"/>
    <w:rsid w:val="00452937"/>
    <w:rsid w:val="00453898"/>
    <w:rsid w:val="0045457B"/>
    <w:rsid w:val="00454890"/>
    <w:rsid w:val="00454A09"/>
    <w:rsid w:val="004565EC"/>
    <w:rsid w:val="004603AF"/>
    <w:rsid w:val="0046091D"/>
    <w:rsid w:val="00464EF7"/>
    <w:rsid w:val="00465CD8"/>
    <w:rsid w:val="004661A4"/>
    <w:rsid w:val="0046732D"/>
    <w:rsid w:val="00467EA6"/>
    <w:rsid w:val="0047025D"/>
    <w:rsid w:val="00470FF8"/>
    <w:rsid w:val="00471474"/>
    <w:rsid w:val="00473AFD"/>
    <w:rsid w:val="00474E65"/>
    <w:rsid w:val="00475999"/>
    <w:rsid w:val="004769B2"/>
    <w:rsid w:val="004773BC"/>
    <w:rsid w:val="00480280"/>
    <w:rsid w:val="004803A0"/>
    <w:rsid w:val="00482E5C"/>
    <w:rsid w:val="004830E5"/>
    <w:rsid w:val="00483994"/>
    <w:rsid w:val="0048433A"/>
    <w:rsid w:val="00484D6F"/>
    <w:rsid w:val="00485372"/>
    <w:rsid w:val="0048582F"/>
    <w:rsid w:val="00485857"/>
    <w:rsid w:val="00486163"/>
    <w:rsid w:val="004867DC"/>
    <w:rsid w:val="00490BC2"/>
    <w:rsid w:val="00491A53"/>
    <w:rsid w:val="004943B2"/>
    <w:rsid w:val="004960DD"/>
    <w:rsid w:val="00497B1B"/>
    <w:rsid w:val="004A02E3"/>
    <w:rsid w:val="004A0A47"/>
    <w:rsid w:val="004A3D81"/>
    <w:rsid w:val="004A42D9"/>
    <w:rsid w:val="004A4EFE"/>
    <w:rsid w:val="004A570F"/>
    <w:rsid w:val="004A59F0"/>
    <w:rsid w:val="004A7FFE"/>
    <w:rsid w:val="004B0CAD"/>
    <w:rsid w:val="004B16F6"/>
    <w:rsid w:val="004B1C26"/>
    <w:rsid w:val="004B38D7"/>
    <w:rsid w:val="004B3EE3"/>
    <w:rsid w:val="004B3F98"/>
    <w:rsid w:val="004B4564"/>
    <w:rsid w:val="004B4BD9"/>
    <w:rsid w:val="004B4DE9"/>
    <w:rsid w:val="004C1386"/>
    <w:rsid w:val="004C1F15"/>
    <w:rsid w:val="004C25C3"/>
    <w:rsid w:val="004C41AE"/>
    <w:rsid w:val="004C4A3B"/>
    <w:rsid w:val="004C6AE0"/>
    <w:rsid w:val="004C6D73"/>
    <w:rsid w:val="004C7D56"/>
    <w:rsid w:val="004C7DDE"/>
    <w:rsid w:val="004D0751"/>
    <w:rsid w:val="004D3C11"/>
    <w:rsid w:val="004D3C8A"/>
    <w:rsid w:val="004D3D5A"/>
    <w:rsid w:val="004D74C1"/>
    <w:rsid w:val="004E03A5"/>
    <w:rsid w:val="004E1136"/>
    <w:rsid w:val="004E2585"/>
    <w:rsid w:val="004E2A2E"/>
    <w:rsid w:val="004E2A88"/>
    <w:rsid w:val="004E2FC4"/>
    <w:rsid w:val="004E4568"/>
    <w:rsid w:val="004E5360"/>
    <w:rsid w:val="004E62C3"/>
    <w:rsid w:val="004F0AC4"/>
    <w:rsid w:val="004F171B"/>
    <w:rsid w:val="004F1BAE"/>
    <w:rsid w:val="004F1BD3"/>
    <w:rsid w:val="004F2DF5"/>
    <w:rsid w:val="004F366F"/>
    <w:rsid w:val="004F38FE"/>
    <w:rsid w:val="004F6878"/>
    <w:rsid w:val="004F7D9F"/>
    <w:rsid w:val="005011A8"/>
    <w:rsid w:val="005011B4"/>
    <w:rsid w:val="00502855"/>
    <w:rsid w:val="00504A57"/>
    <w:rsid w:val="00504C88"/>
    <w:rsid w:val="00504DE4"/>
    <w:rsid w:val="005050DC"/>
    <w:rsid w:val="0050586E"/>
    <w:rsid w:val="005065E4"/>
    <w:rsid w:val="00506F73"/>
    <w:rsid w:val="00510A2D"/>
    <w:rsid w:val="00512138"/>
    <w:rsid w:val="00512694"/>
    <w:rsid w:val="00512BEA"/>
    <w:rsid w:val="00513D72"/>
    <w:rsid w:val="00513EF3"/>
    <w:rsid w:val="00514837"/>
    <w:rsid w:val="00514E3B"/>
    <w:rsid w:val="00515068"/>
    <w:rsid w:val="00515B13"/>
    <w:rsid w:val="00515DF1"/>
    <w:rsid w:val="00515ED5"/>
    <w:rsid w:val="00517CFE"/>
    <w:rsid w:val="0052015A"/>
    <w:rsid w:val="00521703"/>
    <w:rsid w:val="00521A25"/>
    <w:rsid w:val="00522A63"/>
    <w:rsid w:val="00523014"/>
    <w:rsid w:val="00524E89"/>
    <w:rsid w:val="00526830"/>
    <w:rsid w:val="00526FD3"/>
    <w:rsid w:val="00527678"/>
    <w:rsid w:val="00527E26"/>
    <w:rsid w:val="00530065"/>
    <w:rsid w:val="00530497"/>
    <w:rsid w:val="00530CD0"/>
    <w:rsid w:val="00531C22"/>
    <w:rsid w:val="00532B55"/>
    <w:rsid w:val="0053322A"/>
    <w:rsid w:val="005337B7"/>
    <w:rsid w:val="005339A0"/>
    <w:rsid w:val="00535EB4"/>
    <w:rsid w:val="00536B44"/>
    <w:rsid w:val="00536E0E"/>
    <w:rsid w:val="005370F6"/>
    <w:rsid w:val="00537E16"/>
    <w:rsid w:val="00540260"/>
    <w:rsid w:val="00541FD4"/>
    <w:rsid w:val="00543C2C"/>
    <w:rsid w:val="005453EF"/>
    <w:rsid w:val="00545540"/>
    <w:rsid w:val="00545601"/>
    <w:rsid w:val="00546C98"/>
    <w:rsid w:val="00547711"/>
    <w:rsid w:val="00551742"/>
    <w:rsid w:val="00552BEC"/>
    <w:rsid w:val="005535A3"/>
    <w:rsid w:val="00554AB1"/>
    <w:rsid w:val="00555A9D"/>
    <w:rsid w:val="00555AA0"/>
    <w:rsid w:val="005576B0"/>
    <w:rsid w:val="00557D99"/>
    <w:rsid w:val="0056155B"/>
    <w:rsid w:val="0056422C"/>
    <w:rsid w:val="00565507"/>
    <w:rsid w:val="00566497"/>
    <w:rsid w:val="00566FFC"/>
    <w:rsid w:val="005670FE"/>
    <w:rsid w:val="005701B8"/>
    <w:rsid w:val="005708D1"/>
    <w:rsid w:val="00570FE0"/>
    <w:rsid w:val="0057235E"/>
    <w:rsid w:val="005723E2"/>
    <w:rsid w:val="00572523"/>
    <w:rsid w:val="00573772"/>
    <w:rsid w:val="005739B0"/>
    <w:rsid w:val="005762AA"/>
    <w:rsid w:val="00576865"/>
    <w:rsid w:val="005775BF"/>
    <w:rsid w:val="00577679"/>
    <w:rsid w:val="0058130D"/>
    <w:rsid w:val="00581B47"/>
    <w:rsid w:val="00582658"/>
    <w:rsid w:val="00582C52"/>
    <w:rsid w:val="00584CAB"/>
    <w:rsid w:val="005855B0"/>
    <w:rsid w:val="00586D51"/>
    <w:rsid w:val="00586FBF"/>
    <w:rsid w:val="005908C8"/>
    <w:rsid w:val="00590C28"/>
    <w:rsid w:val="00591A64"/>
    <w:rsid w:val="005921A0"/>
    <w:rsid w:val="00593014"/>
    <w:rsid w:val="00593067"/>
    <w:rsid w:val="005931E7"/>
    <w:rsid w:val="00595346"/>
    <w:rsid w:val="00595E70"/>
    <w:rsid w:val="00595FF7"/>
    <w:rsid w:val="00596457"/>
    <w:rsid w:val="005A016F"/>
    <w:rsid w:val="005A0E62"/>
    <w:rsid w:val="005A10FB"/>
    <w:rsid w:val="005A1382"/>
    <w:rsid w:val="005A2057"/>
    <w:rsid w:val="005A52FC"/>
    <w:rsid w:val="005A6A60"/>
    <w:rsid w:val="005A6A6F"/>
    <w:rsid w:val="005B11E3"/>
    <w:rsid w:val="005B13AF"/>
    <w:rsid w:val="005B26BE"/>
    <w:rsid w:val="005B348C"/>
    <w:rsid w:val="005B3E05"/>
    <w:rsid w:val="005B4170"/>
    <w:rsid w:val="005B4971"/>
    <w:rsid w:val="005B55F1"/>
    <w:rsid w:val="005B582E"/>
    <w:rsid w:val="005B66B2"/>
    <w:rsid w:val="005B702B"/>
    <w:rsid w:val="005B7A2B"/>
    <w:rsid w:val="005B7A69"/>
    <w:rsid w:val="005C009E"/>
    <w:rsid w:val="005C03CF"/>
    <w:rsid w:val="005C04AE"/>
    <w:rsid w:val="005C060F"/>
    <w:rsid w:val="005C0957"/>
    <w:rsid w:val="005C1C2D"/>
    <w:rsid w:val="005C3E23"/>
    <w:rsid w:val="005C68DF"/>
    <w:rsid w:val="005D127A"/>
    <w:rsid w:val="005D1819"/>
    <w:rsid w:val="005D3B53"/>
    <w:rsid w:val="005D5A73"/>
    <w:rsid w:val="005D70B9"/>
    <w:rsid w:val="005E1459"/>
    <w:rsid w:val="005E527A"/>
    <w:rsid w:val="005E5498"/>
    <w:rsid w:val="005E716D"/>
    <w:rsid w:val="005E73D4"/>
    <w:rsid w:val="005E7925"/>
    <w:rsid w:val="005F0C1C"/>
    <w:rsid w:val="005F3977"/>
    <w:rsid w:val="005F5380"/>
    <w:rsid w:val="005F5523"/>
    <w:rsid w:val="005F7094"/>
    <w:rsid w:val="00601522"/>
    <w:rsid w:val="006024FB"/>
    <w:rsid w:val="00602506"/>
    <w:rsid w:val="00602C7A"/>
    <w:rsid w:val="00603B60"/>
    <w:rsid w:val="00604B03"/>
    <w:rsid w:val="00606C1E"/>
    <w:rsid w:val="00606D36"/>
    <w:rsid w:val="00607C2F"/>
    <w:rsid w:val="006100BF"/>
    <w:rsid w:val="00610740"/>
    <w:rsid w:val="00612807"/>
    <w:rsid w:val="006159B1"/>
    <w:rsid w:val="0061651A"/>
    <w:rsid w:val="006168D2"/>
    <w:rsid w:val="006177B3"/>
    <w:rsid w:val="006203D0"/>
    <w:rsid w:val="006222A8"/>
    <w:rsid w:val="006225E8"/>
    <w:rsid w:val="00624E1D"/>
    <w:rsid w:val="006259C0"/>
    <w:rsid w:val="00626429"/>
    <w:rsid w:val="006268E2"/>
    <w:rsid w:val="00630B3B"/>
    <w:rsid w:val="006310E2"/>
    <w:rsid w:val="00631240"/>
    <w:rsid w:val="0063145B"/>
    <w:rsid w:val="00631A3F"/>
    <w:rsid w:val="00631FB8"/>
    <w:rsid w:val="00632612"/>
    <w:rsid w:val="00632BD6"/>
    <w:rsid w:val="00633F09"/>
    <w:rsid w:val="0063453D"/>
    <w:rsid w:val="00634856"/>
    <w:rsid w:val="00634A55"/>
    <w:rsid w:val="006354BD"/>
    <w:rsid w:val="00637115"/>
    <w:rsid w:val="0064001D"/>
    <w:rsid w:val="00642B0A"/>
    <w:rsid w:val="006441C8"/>
    <w:rsid w:val="00646646"/>
    <w:rsid w:val="00650359"/>
    <w:rsid w:val="00652E55"/>
    <w:rsid w:val="00653DE8"/>
    <w:rsid w:val="00653E1E"/>
    <w:rsid w:val="006542E4"/>
    <w:rsid w:val="00654B8B"/>
    <w:rsid w:val="006554D4"/>
    <w:rsid w:val="00655A09"/>
    <w:rsid w:val="00656B8D"/>
    <w:rsid w:val="00657AEC"/>
    <w:rsid w:val="00660212"/>
    <w:rsid w:val="00660DC9"/>
    <w:rsid w:val="00660FE2"/>
    <w:rsid w:val="00662B5B"/>
    <w:rsid w:val="00663820"/>
    <w:rsid w:val="00664EBD"/>
    <w:rsid w:val="00665CB3"/>
    <w:rsid w:val="00666AD8"/>
    <w:rsid w:val="00666D36"/>
    <w:rsid w:val="00667D1D"/>
    <w:rsid w:val="00667DBE"/>
    <w:rsid w:val="00667E66"/>
    <w:rsid w:val="00671392"/>
    <w:rsid w:val="006718EF"/>
    <w:rsid w:val="00672797"/>
    <w:rsid w:val="00672B13"/>
    <w:rsid w:val="00672E8C"/>
    <w:rsid w:val="00676D30"/>
    <w:rsid w:val="00677826"/>
    <w:rsid w:val="00677BF7"/>
    <w:rsid w:val="006806C4"/>
    <w:rsid w:val="00681D3A"/>
    <w:rsid w:val="0068314C"/>
    <w:rsid w:val="00683E2E"/>
    <w:rsid w:val="0068454C"/>
    <w:rsid w:val="00685FBC"/>
    <w:rsid w:val="00686C26"/>
    <w:rsid w:val="0068787E"/>
    <w:rsid w:val="00687E19"/>
    <w:rsid w:val="00687FA7"/>
    <w:rsid w:val="00690170"/>
    <w:rsid w:val="006912A2"/>
    <w:rsid w:val="006918A2"/>
    <w:rsid w:val="00692483"/>
    <w:rsid w:val="00692584"/>
    <w:rsid w:val="0069386D"/>
    <w:rsid w:val="00693999"/>
    <w:rsid w:val="006946BA"/>
    <w:rsid w:val="0069543C"/>
    <w:rsid w:val="00697523"/>
    <w:rsid w:val="006A09C4"/>
    <w:rsid w:val="006A10CA"/>
    <w:rsid w:val="006A25EB"/>
    <w:rsid w:val="006A3BA8"/>
    <w:rsid w:val="006A40F8"/>
    <w:rsid w:val="006A48D9"/>
    <w:rsid w:val="006A5FDF"/>
    <w:rsid w:val="006A7D8E"/>
    <w:rsid w:val="006B13B3"/>
    <w:rsid w:val="006B1A62"/>
    <w:rsid w:val="006B2982"/>
    <w:rsid w:val="006B4218"/>
    <w:rsid w:val="006B4D9B"/>
    <w:rsid w:val="006B55C3"/>
    <w:rsid w:val="006B7CBB"/>
    <w:rsid w:val="006C00C6"/>
    <w:rsid w:val="006C02B7"/>
    <w:rsid w:val="006C14DD"/>
    <w:rsid w:val="006C160D"/>
    <w:rsid w:val="006C1F6B"/>
    <w:rsid w:val="006C2448"/>
    <w:rsid w:val="006C2CBF"/>
    <w:rsid w:val="006C36E9"/>
    <w:rsid w:val="006C3AD3"/>
    <w:rsid w:val="006C3EDF"/>
    <w:rsid w:val="006C451E"/>
    <w:rsid w:val="006C4A73"/>
    <w:rsid w:val="006C6368"/>
    <w:rsid w:val="006C7B12"/>
    <w:rsid w:val="006D04E8"/>
    <w:rsid w:val="006D0523"/>
    <w:rsid w:val="006D1EED"/>
    <w:rsid w:val="006D2391"/>
    <w:rsid w:val="006D2742"/>
    <w:rsid w:val="006D2DAA"/>
    <w:rsid w:val="006D4A39"/>
    <w:rsid w:val="006D4F76"/>
    <w:rsid w:val="006E1A40"/>
    <w:rsid w:val="006E1C8A"/>
    <w:rsid w:val="006E2371"/>
    <w:rsid w:val="006E381C"/>
    <w:rsid w:val="006E39D0"/>
    <w:rsid w:val="006E3A79"/>
    <w:rsid w:val="006E41E2"/>
    <w:rsid w:val="006E4338"/>
    <w:rsid w:val="006E4CE1"/>
    <w:rsid w:val="006E5C28"/>
    <w:rsid w:val="006E5F2F"/>
    <w:rsid w:val="006E654C"/>
    <w:rsid w:val="006F0031"/>
    <w:rsid w:val="006F0F9F"/>
    <w:rsid w:val="006F2B6B"/>
    <w:rsid w:val="006F4417"/>
    <w:rsid w:val="006F5701"/>
    <w:rsid w:val="006F69F3"/>
    <w:rsid w:val="007002DF"/>
    <w:rsid w:val="0070131C"/>
    <w:rsid w:val="00701815"/>
    <w:rsid w:val="00702183"/>
    <w:rsid w:val="007021FA"/>
    <w:rsid w:val="00702642"/>
    <w:rsid w:val="007032A7"/>
    <w:rsid w:val="007045F4"/>
    <w:rsid w:val="007054E5"/>
    <w:rsid w:val="007063ED"/>
    <w:rsid w:val="007070BD"/>
    <w:rsid w:val="007117AB"/>
    <w:rsid w:val="0071382C"/>
    <w:rsid w:val="00713CA6"/>
    <w:rsid w:val="00715246"/>
    <w:rsid w:val="0071583D"/>
    <w:rsid w:val="0071628A"/>
    <w:rsid w:val="00716CB3"/>
    <w:rsid w:val="00716DF3"/>
    <w:rsid w:val="00717E52"/>
    <w:rsid w:val="00717FBB"/>
    <w:rsid w:val="0072319F"/>
    <w:rsid w:val="00723A83"/>
    <w:rsid w:val="00724B08"/>
    <w:rsid w:val="00724E9D"/>
    <w:rsid w:val="007252A5"/>
    <w:rsid w:val="0072584B"/>
    <w:rsid w:val="00725D61"/>
    <w:rsid w:val="00727A98"/>
    <w:rsid w:val="00732246"/>
    <w:rsid w:val="00735728"/>
    <w:rsid w:val="0073661B"/>
    <w:rsid w:val="007373D3"/>
    <w:rsid w:val="0073798F"/>
    <w:rsid w:val="00737E7E"/>
    <w:rsid w:val="00740EE9"/>
    <w:rsid w:val="007410CF"/>
    <w:rsid w:val="00743536"/>
    <w:rsid w:val="00743680"/>
    <w:rsid w:val="00743A30"/>
    <w:rsid w:val="00743C29"/>
    <w:rsid w:val="0074525F"/>
    <w:rsid w:val="0074534E"/>
    <w:rsid w:val="007453F7"/>
    <w:rsid w:val="00746D0C"/>
    <w:rsid w:val="00747929"/>
    <w:rsid w:val="007509A3"/>
    <w:rsid w:val="00751009"/>
    <w:rsid w:val="00752E42"/>
    <w:rsid w:val="00752F9F"/>
    <w:rsid w:val="00753FC7"/>
    <w:rsid w:val="0075444B"/>
    <w:rsid w:val="00755239"/>
    <w:rsid w:val="00755D0C"/>
    <w:rsid w:val="00756366"/>
    <w:rsid w:val="007604F4"/>
    <w:rsid w:val="00761602"/>
    <w:rsid w:val="007626DA"/>
    <w:rsid w:val="00763074"/>
    <w:rsid w:val="00763A6A"/>
    <w:rsid w:val="00763E53"/>
    <w:rsid w:val="007650F5"/>
    <w:rsid w:val="00765AAC"/>
    <w:rsid w:val="00767C41"/>
    <w:rsid w:val="00771694"/>
    <w:rsid w:val="00771758"/>
    <w:rsid w:val="00772941"/>
    <w:rsid w:val="007729DB"/>
    <w:rsid w:val="00773629"/>
    <w:rsid w:val="00773A85"/>
    <w:rsid w:val="00773E94"/>
    <w:rsid w:val="00775563"/>
    <w:rsid w:val="007759EA"/>
    <w:rsid w:val="0077707B"/>
    <w:rsid w:val="00777540"/>
    <w:rsid w:val="007808CD"/>
    <w:rsid w:val="007813AD"/>
    <w:rsid w:val="00781895"/>
    <w:rsid w:val="00781984"/>
    <w:rsid w:val="00786BE8"/>
    <w:rsid w:val="00790325"/>
    <w:rsid w:val="0079068A"/>
    <w:rsid w:val="00790757"/>
    <w:rsid w:val="007908D6"/>
    <w:rsid w:val="0079179D"/>
    <w:rsid w:val="00791D28"/>
    <w:rsid w:val="00791D99"/>
    <w:rsid w:val="00796848"/>
    <w:rsid w:val="00796A3B"/>
    <w:rsid w:val="0079752F"/>
    <w:rsid w:val="00797F33"/>
    <w:rsid w:val="007A0889"/>
    <w:rsid w:val="007A1722"/>
    <w:rsid w:val="007A3282"/>
    <w:rsid w:val="007A3DD8"/>
    <w:rsid w:val="007A41B7"/>
    <w:rsid w:val="007A547F"/>
    <w:rsid w:val="007A6742"/>
    <w:rsid w:val="007A69F0"/>
    <w:rsid w:val="007B06BE"/>
    <w:rsid w:val="007B08A2"/>
    <w:rsid w:val="007B3382"/>
    <w:rsid w:val="007B34BD"/>
    <w:rsid w:val="007B4935"/>
    <w:rsid w:val="007B559D"/>
    <w:rsid w:val="007B642D"/>
    <w:rsid w:val="007B6A8D"/>
    <w:rsid w:val="007B7025"/>
    <w:rsid w:val="007C089A"/>
    <w:rsid w:val="007C337A"/>
    <w:rsid w:val="007C594A"/>
    <w:rsid w:val="007C5E84"/>
    <w:rsid w:val="007C6F56"/>
    <w:rsid w:val="007C724B"/>
    <w:rsid w:val="007D1A9C"/>
    <w:rsid w:val="007D2880"/>
    <w:rsid w:val="007D2BBA"/>
    <w:rsid w:val="007D2C0A"/>
    <w:rsid w:val="007D34E5"/>
    <w:rsid w:val="007D3894"/>
    <w:rsid w:val="007D3A13"/>
    <w:rsid w:val="007D467E"/>
    <w:rsid w:val="007D491B"/>
    <w:rsid w:val="007D4A54"/>
    <w:rsid w:val="007D5213"/>
    <w:rsid w:val="007E0232"/>
    <w:rsid w:val="007E1198"/>
    <w:rsid w:val="007E1FAA"/>
    <w:rsid w:val="007E30A6"/>
    <w:rsid w:val="007E47A7"/>
    <w:rsid w:val="007E5013"/>
    <w:rsid w:val="007E5597"/>
    <w:rsid w:val="007E6491"/>
    <w:rsid w:val="007E68EF"/>
    <w:rsid w:val="007E6B8B"/>
    <w:rsid w:val="007E757C"/>
    <w:rsid w:val="007E797F"/>
    <w:rsid w:val="007F2254"/>
    <w:rsid w:val="007F33A1"/>
    <w:rsid w:val="007F33BD"/>
    <w:rsid w:val="007F34A1"/>
    <w:rsid w:val="007F454D"/>
    <w:rsid w:val="007F52DF"/>
    <w:rsid w:val="007F5FF8"/>
    <w:rsid w:val="007F6273"/>
    <w:rsid w:val="007F7144"/>
    <w:rsid w:val="008001BF"/>
    <w:rsid w:val="00801707"/>
    <w:rsid w:val="008019F1"/>
    <w:rsid w:val="00801DE0"/>
    <w:rsid w:val="008025E5"/>
    <w:rsid w:val="008032CD"/>
    <w:rsid w:val="008052BB"/>
    <w:rsid w:val="00806F09"/>
    <w:rsid w:val="00807166"/>
    <w:rsid w:val="00807DA5"/>
    <w:rsid w:val="00813BE9"/>
    <w:rsid w:val="00816075"/>
    <w:rsid w:val="00817C98"/>
    <w:rsid w:val="00822172"/>
    <w:rsid w:val="00825068"/>
    <w:rsid w:val="00830C0C"/>
    <w:rsid w:val="0083232C"/>
    <w:rsid w:val="008329ED"/>
    <w:rsid w:val="00833C67"/>
    <w:rsid w:val="0083560F"/>
    <w:rsid w:val="00835A90"/>
    <w:rsid w:val="00836FAA"/>
    <w:rsid w:val="00842CF0"/>
    <w:rsid w:val="00844F61"/>
    <w:rsid w:val="00845E6F"/>
    <w:rsid w:val="0084692A"/>
    <w:rsid w:val="00847D3E"/>
    <w:rsid w:val="00850210"/>
    <w:rsid w:val="0085338B"/>
    <w:rsid w:val="008534E1"/>
    <w:rsid w:val="008542CA"/>
    <w:rsid w:val="00855F45"/>
    <w:rsid w:val="0085621C"/>
    <w:rsid w:val="008572C2"/>
    <w:rsid w:val="0086037D"/>
    <w:rsid w:val="00860C20"/>
    <w:rsid w:val="0086136A"/>
    <w:rsid w:val="00861F9D"/>
    <w:rsid w:val="0086228E"/>
    <w:rsid w:val="00862D38"/>
    <w:rsid w:val="008641E6"/>
    <w:rsid w:val="0086590F"/>
    <w:rsid w:val="00866E4A"/>
    <w:rsid w:val="00866E70"/>
    <w:rsid w:val="00866FDE"/>
    <w:rsid w:val="00867797"/>
    <w:rsid w:val="00867B85"/>
    <w:rsid w:val="00867FCF"/>
    <w:rsid w:val="0087166A"/>
    <w:rsid w:val="00871DF3"/>
    <w:rsid w:val="00872696"/>
    <w:rsid w:val="00873983"/>
    <w:rsid w:val="00873E50"/>
    <w:rsid w:val="0087484E"/>
    <w:rsid w:val="00875F2C"/>
    <w:rsid w:val="00875FC0"/>
    <w:rsid w:val="0087658C"/>
    <w:rsid w:val="00876EFD"/>
    <w:rsid w:val="0087776A"/>
    <w:rsid w:val="00880BF6"/>
    <w:rsid w:val="00880E65"/>
    <w:rsid w:val="0088122F"/>
    <w:rsid w:val="00882FF6"/>
    <w:rsid w:val="008838D4"/>
    <w:rsid w:val="008843EF"/>
    <w:rsid w:val="00884A59"/>
    <w:rsid w:val="008850E9"/>
    <w:rsid w:val="00887A35"/>
    <w:rsid w:val="0089039A"/>
    <w:rsid w:val="008908B4"/>
    <w:rsid w:val="008927D4"/>
    <w:rsid w:val="00892FF9"/>
    <w:rsid w:val="00893326"/>
    <w:rsid w:val="00893F35"/>
    <w:rsid w:val="00893FBD"/>
    <w:rsid w:val="0089574D"/>
    <w:rsid w:val="00896CFD"/>
    <w:rsid w:val="00896EEF"/>
    <w:rsid w:val="008A34DC"/>
    <w:rsid w:val="008A3FDC"/>
    <w:rsid w:val="008A43C4"/>
    <w:rsid w:val="008A4E08"/>
    <w:rsid w:val="008A639B"/>
    <w:rsid w:val="008A6430"/>
    <w:rsid w:val="008A6881"/>
    <w:rsid w:val="008B0346"/>
    <w:rsid w:val="008B2080"/>
    <w:rsid w:val="008B44C6"/>
    <w:rsid w:val="008B734B"/>
    <w:rsid w:val="008B73FA"/>
    <w:rsid w:val="008C0689"/>
    <w:rsid w:val="008C099D"/>
    <w:rsid w:val="008C0ED3"/>
    <w:rsid w:val="008C124D"/>
    <w:rsid w:val="008C1304"/>
    <w:rsid w:val="008C2B98"/>
    <w:rsid w:val="008C474C"/>
    <w:rsid w:val="008C54EA"/>
    <w:rsid w:val="008C70B0"/>
    <w:rsid w:val="008C7460"/>
    <w:rsid w:val="008C7633"/>
    <w:rsid w:val="008D3142"/>
    <w:rsid w:val="008D475E"/>
    <w:rsid w:val="008D4FBF"/>
    <w:rsid w:val="008D64C6"/>
    <w:rsid w:val="008D701B"/>
    <w:rsid w:val="008D733B"/>
    <w:rsid w:val="008D7B15"/>
    <w:rsid w:val="008D7F24"/>
    <w:rsid w:val="008E105C"/>
    <w:rsid w:val="008E2886"/>
    <w:rsid w:val="008E38DC"/>
    <w:rsid w:val="008E3B04"/>
    <w:rsid w:val="008E3E4D"/>
    <w:rsid w:val="008E47C8"/>
    <w:rsid w:val="008E52AE"/>
    <w:rsid w:val="008E52B3"/>
    <w:rsid w:val="008E5A0E"/>
    <w:rsid w:val="008E7DE2"/>
    <w:rsid w:val="008F0AAD"/>
    <w:rsid w:val="008F1412"/>
    <w:rsid w:val="008F1432"/>
    <w:rsid w:val="008F16A8"/>
    <w:rsid w:val="008F1D55"/>
    <w:rsid w:val="008F23E8"/>
    <w:rsid w:val="008F5616"/>
    <w:rsid w:val="008F639A"/>
    <w:rsid w:val="008F762A"/>
    <w:rsid w:val="00900EA0"/>
    <w:rsid w:val="009028C9"/>
    <w:rsid w:val="0090301A"/>
    <w:rsid w:val="00904C5A"/>
    <w:rsid w:val="00907F21"/>
    <w:rsid w:val="00912151"/>
    <w:rsid w:val="00913446"/>
    <w:rsid w:val="00913472"/>
    <w:rsid w:val="00914C64"/>
    <w:rsid w:val="009179C9"/>
    <w:rsid w:val="009203D4"/>
    <w:rsid w:val="00920F0A"/>
    <w:rsid w:val="0092249F"/>
    <w:rsid w:val="00922C2C"/>
    <w:rsid w:val="00923280"/>
    <w:rsid w:val="00925022"/>
    <w:rsid w:val="00925454"/>
    <w:rsid w:val="009254F8"/>
    <w:rsid w:val="009261F3"/>
    <w:rsid w:val="00927E6F"/>
    <w:rsid w:val="00930012"/>
    <w:rsid w:val="009300C1"/>
    <w:rsid w:val="00932DEC"/>
    <w:rsid w:val="009331B5"/>
    <w:rsid w:val="00934E3E"/>
    <w:rsid w:val="00935088"/>
    <w:rsid w:val="00935C4D"/>
    <w:rsid w:val="00935E84"/>
    <w:rsid w:val="00936600"/>
    <w:rsid w:val="00941F50"/>
    <w:rsid w:val="0094305C"/>
    <w:rsid w:val="009442EE"/>
    <w:rsid w:val="00944CA3"/>
    <w:rsid w:val="00946DBE"/>
    <w:rsid w:val="00947670"/>
    <w:rsid w:val="00947CD9"/>
    <w:rsid w:val="00950986"/>
    <w:rsid w:val="0095132D"/>
    <w:rsid w:val="0095253D"/>
    <w:rsid w:val="0095371D"/>
    <w:rsid w:val="00953CB4"/>
    <w:rsid w:val="00953E85"/>
    <w:rsid w:val="00953F60"/>
    <w:rsid w:val="00954258"/>
    <w:rsid w:val="009550BC"/>
    <w:rsid w:val="00956ACC"/>
    <w:rsid w:val="00961F6D"/>
    <w:rsid w:val="00962126"/>
    <w:rsid w:val="009623F4"/>
    <w:rsid w:val="00962BB0"/>
    <w:rsid w:val="00962E64"/>
    <w:rsid w:val="00965315"/>
    <w:rsid w:val="0096668D"/>
    <w:rsid w:val="009668FA"/>
    <w:rsid w:val="00967394"/>
    <w:rsid w:val="00967A84"/>
    <w:rsid w:val="0097068A"/>
    <w:rsid w:val="00970E38"/>
    <w:rsid w:val="00971D65"/>
    <w:rsid w:val="00972377"/>
    <w:rsid w:val="00972A79"/>
    <w:rsid w:val="009731F8"/>
    <w:rsid w:val="00973E09"/>
    <w:rsid w:val="009741D2"/>
    <w:rsid w:val="00974C31"/>
    <w:rsid w:val="009767C5"/>
    <w:rsid w:val="009777FF"/>
    <w:rsid w:val="00981725"/>
    <w:rsid w:val="00981765"/>
    <w:rsid w:val="00983176"/>
    <w:rsid w:val="0098329A"/>
    <w:rsid w:val="00983B23"/>
    <w:rsid w:val="00983EEF"/>
    <w:rsid w:val="009840ED"/>
    <w:rsid w:val="00984E63"/>
    <w:rsid w:val="009850BC"/>
    <w:rsid w:val="00985C81"/>
    <w:rsid w:val="009865D3"/>
    <w:rsid w:val="009905AC"/>
    <w:rsid w:val="009914B7"/>
    <w:rsid w:val="00991CE7"/>
    <w:rsid w:val="00994670"/>
    <w:rsid w:val="00995EC2"/>
    <w:rsid w:val="00996FB2"/>
    <w:rsid w:val="009A059E"/>
    <w:rsid w:val="009A0899"/>
    <w:rsid w:val="009A13A0"/>
    <w:rsid w:val="009A1EDA"/>
    <w:rsid w:val="009A3FDD"/>
    <w:rsid w:val="009A6963"/>
    <w:rsid w:val="009A6C95"/>
    <w:rsid w:val="009B0444"/>
    <w:rsid w:val="009B0952"/>
    <w:rsid w:val="009B20AD"/>
    <w:rsid w:val="009B229C"/>
    <w:rsid w:val="009B259F"/>
    <w:rsid w:val="009B4DE6"/>
    <w:rsid w:val="009B5186"/>
    <w:rsid w:val="009B52C1"/>
    <w:rsid w:val="009B59CA"/>
    <w:rsid w:val="009B7318"/>
    <w:rsid w:val="009B74A5"/>
    <w:rsid w:val="009B7F45"/>
    <w:rsid w:val="009C04A5"/>
    <w:rsid w:val="009C0F32"/>
    <w:rsid w:val="009C11AB"/>
    <w:rsid w:val="009C321E"/>
    <w:rsid w:val="009C3FEA"/>
    <w:rsid w:val="009C47EB"/>
    <w:rsid w:val="009C498A"/>
    <w:rsid w:val="009C61B9"/>
    <w:rsid w:val="009C717B"/>
    <w:rsid w:val="009D0175"/>
    <w:rsid w:val="009D0470"/>
    <w:rsid w:val="009D0802"/>
    <w:rsid w:val="009D2FE9"/>
    <w:rsid w:val="009D31EF"/>
    <w:rsid w:val="009D4635"/>
    <w:rsid w:val="009D5445"/>
    <w:rsid w:val="009D5626"/>
    <w:rsid w:val="009D63FE"/>
    <w:rsid w:val="009E16AA"/>
    <w:rsid w:val="009E3A59"/>
    <w:rsid w:val="009E44E0"/>
    <w:rsid w:val="009E4632"/>
    <w:rsid w:val="009E538D"/>
    <w:rsid w:val="009E5533"/>
    <w:rsid w:val="009E56AE"/>
    <w:rsid w:val="009E62B9"/>
    <w:rsid w:val="009E6D94"/>
    <w:rsid w:val="009F1856"/>
    <w:rsid w:val="009F2175"/>
    <w:rsid w:val="009F2919"/>
    <w:rsid w:val="009F2A98"/>
    <w:rsid w:val="009F369F"/>
    <w:rsid w:val="009F5004"/>
    <w:rsid w:val="009F50FD"/>
    <w:rsid w:val="009F574A"/>
    <w:rsid w:val="009F5F77"/>
    <w:rsid w:val="009F7C1D"/>
    <w:rsid w:val="00A019DD"/>
    <w:rsid w:val="00A04BA4"/>
    <w:rsid w:val="00A04BB2"/>
    <w:rsid w:val="00A05249"/>
    <w:rsid w:val="00A0651B"/>
    <w:rsid w:val="00A06E26"/>
    <w:rsid w:val="00A07F22"/>
    <w:rsid w:val="00A10E1C"/>
    <w:rsid w:val="00A119C5"/>
    <w:rsid w:val="00A12878"/>
    <w:rsid w:val="00A14660"/>
    <w:rsid w:val="00A146F0"/>
    <w:rsid w:val="00A16034"/>
    <w:rsid w:val="00A1642F"/>
    <w:rsid w:val="00A17132"/>
    <w:rsid w:val="00A17EE4"/>
    <w:rsid w:val="00A20250"/>
    <w:rsid w:val="00A23CAC"/>
    <w:rsid w:val="00A2423C"/>
    <w:rsid w:val="00A253BF"/>
    <w:rsid w:val="00A2589E"/>
    <w:rsid w:val="00A26DA7"/>
    <w:rsid w:val="00A2712C"/>
    <w:rsid w:val="00A278FB"/>
    <w:rsid w:val="00A2797D"/>
    <w:rsid w:val="00A279D9"/>
    <w:rsid w:val="00A3026A"/>
    <w:rsid w:val="00A304F9"/>
    <w:rsid w:val="00A31A2E"/>
    <w:rsid w:val="00A33041"/>
    <w:rsid w:val="00A352C6"/>
    <w:rsid w:val="00A3640A"/>
    <w:rsid w:val="00A40705"/>
    <w:rsid w:val="00A416BB"/>
    <w:rsid w:val="00A428A2"/>
    <w:rsid w:val="00A44195"/>
    <w:rsid w:val="00A44322"/>
    <w:rsid w:val="00A456C8"/>
    <w:rsid w:val="00A46A6B"/>
    <w:rsid w:val="00A50676"/>
    <w:rsid w:val="00A5416B"/>
    <w:rsid w:val="00A552A2"/>
    <w:rsid w:val="00A56B1F"/>
    <w:rsid w:val="00A60B4E"/>
    <w:rsid w:val="00A61866"/>
    <w:rsid w:val="00A61C40"/>
    <w:rsid w:val="00A61DFF"/>
    <w:rsid w:val="00A64C80"/>
    <w:rsid w:val="00A66199"/>
    <w:rsid w:val="00A71A45"/>
    <w:rsid w:val="00A73D8C"/>
    <w:rsid w:val="00A748EE"/>
    <w:rsid w:val="00A7499C"/>
    <w:rsid w:val="00A75566"/>
    <w:rsid w:val="00A771F2"/>
    <w:rsid w:val="00A807E4"/>
    <w:rsid w:val="00A81715"/>
    <w:rsid w:val="00A81BC0"/>
    <w:rsid w:val="00A82BCE"/>
    <w:rsid w:val="00A8321F"/>
    <w:rsid w:val="00A84BA5"/>
    <w:rsid w:val="00A84D91"/>
    <w:rsid w:val="00A87C09"/>
    <w:rsid w:val="00A908E0"/>
    <w:rsid w:val="00A940F7"/>
    <w:rsid w:val="00A952E2"/>
    <w:rsid w:val="00A956CF"/>
    <w:rsid w:val="00A96EF5"/>
    <w:rsid w:val="00A975EA"/>
    <w:rsid w:val="00AA0057"/>
    <w:rsid w:val="00AA0482"/>
    <w:rsid w:val="00AA0D02"/>
    <w:rsid w:val="00AA18E8"/>
    <w:rsid w:val="00AA1E9E"/>
    <w:rsid w:val="00AA34E2"/>
    <w:rsid w:val="00AA3C8F"/>
    <w:rsid w:val="00AA3C90"/>
    <w:rsid w:val="00AA4AB1"/>
    <w:rsid w:val="00AA4F2B"/>
    <w:rsid w:val="00AA56D2"/>
    <w:rsid w:val="00AA57CF"/>
    <w:rsid w:val="00AA59D4"/>
    <w:rsid w:val="00AA7959"/>
    <w:rsid w:val="00AB09B4"/>
    <w:rsid w:val="00AB1FFA"/>
    <w:rsid w:val="00AB34CE"/>
    <w:rsid w:val="00AB4076"/>
    <w:rsid w:val="00AB4123"/>
    <w:rsid w:val="00AB419D"/>
    <w:rsid w:val="00AC1405"/>
    <w:rsid w:val="00AC217C"/>
    <w:rsid w:val="00AC2E05"/>
    <w:rsid w:val="00AC3C70"/>
    <w:rsid w:val="00AC4537"/>
    <w:rsid w:val="00AC4893"/>
    <w:rsid w:val="00AC5541"/>
    <w:rsid w:val="00AC6814"/>
    <w:rsid w:val="00AC739B"/>
    <w:rsid w:val="00AC7A4B"/>
    <w:rsid w:val="00AD0CFD"/>
    <w:rsid w:val="00AD21F1"/>
    <w:rsid w:val="00AD33E6"/>
    <w:rsid w:val="00AD4270"/>
    <w:rsid w:val="00AD4816"/>
    <w:rsid w:val="00AD4E42"/>
    <w:rsid w:val="00AD5806"/>
    <w:rsid w:val="00AD59F8"/>
    <w:rsid w:val="00AD74D3"/>
    <w:rsid w:val="00AD7F47"/>
    <w:rsid w:val="00AE08E4"/>
    <w:rsid w:val="00AE1F2C"/>
    <w:rsid w:val="00AE2CDE"/>
    <w:rsid w:val="00AE31DE"/>
    <w:rsid w:val="00AE3E9C"/>
    <w:rsid w:val="00AE5D47"/>
    <w:rsid w:val="00AE6B86"/>
    <w:rsid w:val="00AE77FE"/>
    <w:rsid w:val="00AF0203"/>
    <w:rsid w:val="00AF1CC5"/>
    <w:rsid w:val="00AF1DA1"/>
    <w:rsid w:val="00AF3BB2"/>
    <w:rsid w:val="00AF3C86"/>
    <w:rsid w:val="00AF3FD0"/>
    <w:rsid w:val="00AF429D"/>
    <w:rsid w:val="00AF49AD"/>
    <w:rsid w:val="00AF5E83"/>
    <w:rsid w:val="00AF6E0E"/>
    <w:rsid w:val="00AF6EE6"/>
    <w:rsid w:val="00B00786"/>
    <w:rsid w:val="00B009FE"/>
    <w:rsid w:val="00B018C2"/>
    <w:rsid w:val="00B0287F"/>
    <w:rsid w:val="00B03BE9"/>
    <w:rsid w:val="00B051CF"/>
    <w:rsid w:val="00B0571A"/>
    <w:rsid w:val="00B0623F"/>
    <w:rsid w:val="00B063C8"/>
    <w:rsid w:val="00B070CA"/>
    <w:rsid w:val="00B07151"/>
    <w:rsid w:val="00B10BD7"/>
    <w:rsid w:val="00B16274"/>
    <w:rsid w:val="00B17BFE"/>
    <w:rsid w:val="00B201C9"/>
    <w:rsid w:val="00B222DF"/>
    <w:rsid w:val="00B24994"/>
    <w:rsid w:val="00B24E57"/>
    <w:rsid w:val="00B251E7"/>
    <w:rsid w:val="00B25DF5"/>
    <w:rsid w:val="00B30577"/>
    <w:rsid w:val="00B3086C"/>
    <w:rsid w:val="00B313D3"/>
    <w:rsid w:val="00B31421"/>
    <w:rsid w:val="00B315D8"/>
    <w:rsid w:val="00B31AB6"/>
    <w:rsid w:val="00B326F7"/>
    <w:rsid w:val="00B33800"/>
    <w:rsid w:val="00B360B9"/>
    <w:rsid w:val="00B360D0"/>
    <w:rsid w:val="00B36911"/>
    <w:rsid w:val="00B36EF8"/>
    <w:rsid w:val="00B40964"/>
    <w:rsid w:val="00B40D29"/>
    <w:rsid w:val="00B427D4"/>
    <w:rsid w:val="00B430D1"/>
    <w:rsid w:val="00B4412D"/>
    <w:rsid w:val="00B4453B"/>
    <w:rsid w:val="00B44EAE"/>
    <w:rsid w:val="00B50751"/>
    <w:rsid w:val="00B51132"/>
    <w:rsid w:val="00B52842"/>
    <w:rsid w:val="00B52EAB"/>
    <w:rsid w:val="00B5315E"/>
    <w:rsid w:val="00B537F2"/>
    <w:rsid w:val="00B5383F"/>
    <w:rsid w:val="00B5412E"/>
    <w:rsid w:val="00B54274"/>
    <w:rsid w:val="00B54803"/>
    <w:rsid w:val="00B54E8A"/>
    <w:rsid w:val="00B5655C"/>
    <w:rsid w:val="00B56A70"/>
    <w:rsid w:val="00B57127"/>
    <w:rsid w:val="00B57A56"/>
    <w:rsid w:val="00B604F9"/>
    <w:rsid w:val="00B60531"/>
    <w:rsid w:val="00B60E0C"/>
    <w:rsid w:val="00B61CD1"/>
    <w:rsid w:val="00B62AF1"/>
    <w:rsid w:val="00B63050"/>
    <w:rsid w:val="00B639D7"/>
    <w:rsid w:val="00B64EC4"/>
    <w:rsid w:val="00B6570A"/>
    <w:rsid w:val="00B657CA"/>
    <w:rsid w:val="00B66444"/>
    <w:rsid w:val="00B705E9"/>
    <w:rsid w:val="00B71F8C"/>
    <w:rsid w:val="00B720E4"/>
    <w:rsid w:val="00B722BF"/>
    <w:rsid w:val="00B72FDA"/>
    <w:rsid w:val="00B734F8"/>
    <w:rsid w:val="00B7579E"/>
    <w:rsid w:val="00B75835"/>
    <w:rsid w:val="00B75CB4"/>
    <w:rsid w:val="00B76139"/>
    <w:rsid w:val="00B76A1F"/>
    <w:rsid w:val="00B774A9"/>
    <w:rsid w:val="00B77B4D"/>
    <w:rsid w:val="00B77F0E"/>
    <w:rsid w:val="00B808FB"/>
    <w:rsid w:val="00B826D8"/>
    <w:rsid w:val="00B83C91"/>
    <w:rsid w:val="00B8417E"/>
    <w:rsid w:val="00B8555E"/>
    <w:rsid w:val="00B85B4F"/>
    <w:rsid w:val="00B8618F"/>
    <w:rsid w:val="00B87ECD"/>
    <w:rsid w:val="00B924DB"/>
    <w:rsid w:val="00B9306B"/>
    <w:rsid w:val="00B93972"/>
    <w:rsid w:val="00B939E6"/>
    <w:rsid w:val="00B957AC"/>
    <w:rsid w:val="00BA0050"/>
    <w:rsid w:val="00BA1673"/>
    <w:rsid w:val="00BA38EB"/>
    <w:rsid w:val="00BA48CE"/>
    <w:rsid w:val="00BA551D"/>
    <w:rsid w:val="00BA581D"/>
    <w:rsid w:val="00BB0240"/>
    <w:rsid w:val="00BB0CB6"/>
    <w:rsid w:val="00BB2692"/>
    <w:rsid w:val="00BB2786"/>
    <w:rsid w:val="00BB2CDC"/>
    <w:rsid w:val="00BB37DC"/>
    <w:rsid w:val="00BB4C92"/>
    <w:rsid w:val="00BB5DCA"/>
    <w:rsid w:val="00BB5E04"/>
    <w:rsid w:val="00BB63CE"/>
    <w:rsid w:val="00BB7696"/>
    <w:rsid w:val="00BC0260"/>
    <w:rsid w:val="00BC02DC"/>
    <w:rsid w:val="00BC25A0"/>
    <w:rsid w:val="00BC2B8C"/>
    <w:rsid w:val="00BC449A"/>
    <w:rsid w:val="00BC62D4"/>
    <w:rsid w:val="00BC6491"/>
    <w:rsid w:val="00BC73A3"/>
    <w:rsid w:val="00BC7AD1"/>
    <w:rsid w:val="00BD0612"/>
    <w:rsid w:val="00BD3238"/>
    <w:rsid w:val="00BD44FE"/>
    <w:rsid w:val="00BD4F66"/>
    <w:rsid w:val="00BD58F1"/>
    <w:rsid w:val="00BD5F95"/>
    <w:rsid w:val="00BD76BF"/>
    <w:rsid w:val="00BE02EF"/>
    <w:rsid w:val="00BE0597"/>
    <w:rsid w:val="00BE3160"/>
    <w:rsid w:val="00BE459F"/>
    <w:rsid w:val="00BE5AEF"/>
    <w:rsid w:val="00BE6482"/>
    <w:rsid w:val="00BE7ED4"/>
    <w:rsid w:val="00BF08DE"/>
    <w:rsid w:val="00BF5DDA"/>
    <w:rsid w:val="00BF60E2"/>
    <w:rsid w:val="00BF620C"/>
    <w:rsid w:val="00C005E4"/>
    <w:rsid w:val="00C02E41"/>
    <w:rsid w:val="00C035A3"/>
    <w:rsid w:val="00C03F4B"/>
    <w:rsid w:val="00C040F3"/>
    <w:rsid w:val="00C047CE"/>
    <w:rsid w:val="00C11876"/>
    <w:rsid w:val="00C12A1D"/>
    <w:rsid w:val="00C13E55"/>
    <w:rsid w:val="00C14721"/>
    <w:rsid w:val="00C1666A"/>
    <w:rsid w:val="00C1740F"/>
    <w:rsid w:val="00C200AC"/>
    <w:rsid w:val="00C21984"/>
    <w:rsid w:val="00C21D54"/>
    <w:rsid w:val="00C220D8"/>
    <w:rsid w:val="00C22A2D"/>
    <w:rsid w:val="00C235A0"/>
    <w:rsid w:val="00C24033"/>
    <w:rsid w:val="00C276BB"/>
    <w:rsid w:val="00C31D99"/>
    <w:rsid w:val="00C32047"/>
    <w:rsid w:val="00C3228D"/>
    <w:rsid w:val="00C32424"/>
    <w:rsid w:val="00C32A17"/>
    <w:rsid w:val="00C355D8"/>
    <w:rsid w:val="00C35B26"/>
    <w:rsid w:val="00C36699"/>
    <w:rsid w:val="00C37F8E"/>
    <w:rsid w:val="00C37FB7"/>
    <w:rsid w:val="00C4256A"/>
    <w:rsid w:val="00C42BF4"/>
    <w:rsid w:val="00C42CC8"/>
    <w:rsid w:val="00C42D9F"/>
    <w:rsid w:val="00C43A8F"/>
    <w:rsid w:val="00C44220"/>
    <w:rsid w:val="00C46844"/>
    <w:rsid w:val="00C46C58"/>
    <w:rsid w:val="00C46DB3"/>
    <w:rsid w:val="00C471E2"/>
    <w:rsid w:val="00C50F7B"/>
    <w:rsid w:val="00C550F7"/>
    <w:rsid w:val="00C55FF6"/>
    <w:rsid w:val="00C561A5"/>
    <w:rsid w:val="00C56ABE"/>
    <w:rsid w:val="00C56F2C"/>
    <w:rsid w:val="00C575AD"/>
    <w:rsid w:val="00C60806"/>
    <w:rsid w:val="00C61A59"/>
    <w:rsid w:val="00C637BD"/>
    <w:rsid w:val="00C63CA4"/>
    <w:rsid w:val="00C64C06"/>
    <w:rsid w:val="00C64F99"/>
    <w:rsid w:val="00C66758"/>
    <w:rsid w:val="00C66B8B"/>
    <w:rsid w:val="00C676FD"/>
    <w:rsid w:val="00C67BFC"/>
    <w:rsid w:val="00C70E33"/>
    <w:rsid w:val="00C718C7"/>
    <w:rsid w:val="00C7250B"/>
    <w:rsid w:val="00C725F3"/>
    <w:rsid w:val="00C727EF"/>
    <w:rsid w:val="00C733AC"/>
    <w:rsid w:val="00C73DA6"/>
    <w:rsid w:val="00C7434A"/>
    <w:rsid w:val="00C75F30"/>
    <w:rsid w:val="00C77019"/>
    <w:rsid w:val="00C81BD7"/>
    <w:rsid w:val="00C83346"/>
    <w:rsid w:val="00C8516D"/>
    <w:rsid w:val="00C86869"/>
    <w:rsid w:val="00C8766F"/>
    <w:rsid w:val="00C923C1"/>
    <w:rsid w:val="00C93162"/>
    <w:rsid w:val="00C93500"/>
    <w:rsid w:val="00C94156"/>
    <w:rsid w:val="00C949CE"/>
    <w:rsid w:val="00C94FFA"/>
    <w:rsid w:val="00C95CCF"/>
    <w:rsid w:val="00C95F14"/>
    <w:rsid w:val="00C9689E"/>
    <w:rsid w:val="00C96B69"/>
    <w:rsid w:val="00C96BF5"/>
    <w:rsid w:val="00C97DC9"/>
    <w:rsid w:val="00CA1F44"/>
    <w:rsid w:val="00CA3433"/>
    <w:rsid w:val="00CA351E"/>
    <w:rsid w:val="00CA3691"/>
    <w:rsid w:val="00CA4A45"/>
    <w:rsid w:val="00CA5096"/>
    <w:rsid w:val="00CA5B04"/>
    <w:rsid w:val="00CB03F5"/>
    <w:rsid w:val="00CB1DA7"/>
    <w:rsid w:val="00CB21F2"/>
    <w:rsid w:val="00CB344B"/>
    <w:rsid w:val="00CB460B"/>
    <w:rsid w:val="00CB4C81"/>
    <w:rsid w:val="00CB5873"/>
    <w:rsid w:val="00CB5E7B"/>
    <w:rsid w:val="00CC0839"/>
    <w:rsid w:val="00CC2802"/>
    <w:rsid w:val="00CC3BB9"/>
    <w:rsid w:val="00CC5847"/>
    <w:rsid w:val="00CC6AAF"/>
    <w:rsid w:val="00CD189A"/>
    <w:rsid w:val="00CD284B"/>
    <w:rsid w:val="00CD3391"/>
    <w:rsid w:val="00CD34CD"/>
    <w:rsid w:val="00CD37A6"/>
    <w:rsid w:val="00CD39FC"/>
    <w:rsid w:val="00CD5D39"/>
    <w:rsid w:val="00CD6B9C"/>
    <w:rsid w:val="00CD6D1A"/>
    <w:rsid w:val="00CE0E71"/>
    <w:rsid w:val="00CE1AF7"/>
    <w:rsid w:val="00CE26C7"/>
    <w:rsid w:val="00CE366C"/>
    <w:rsid w:val="00CE5250"/>
    <w:rsid w:val="00CE7C62"/>
    <w:rsid w:val="00CF21FE"/>
    <w:rsid w:val="00CF3404"/>
    <w:rsid w:val="00CF47A0"/>
    <w:rsid w:val="00CF6F94"/>
    <w:rsid w:val="00CF7A5D"/>
    <w:rsid w:val="00D01F60"/>
    <w:rsid w:val="00D02ABF"/>
    <w:rsid w:val="00D02EF2"/>
    <w:rsid w:val="00D038A8"/>
    <w:rsid w:val="00D03E4C"/>
    <w:rsid w:val="00D03F13"/>
    <w:rsid w:val="00D05217"/>
    <w:rsid w:val="00D06B87"/>
    <w:rsid w:val="00D06FF9"/>
    <w:rsid w:val="00D07ED6"/>
    <w:rsid w:val="00D1058F"/>
    <w:rsid w:val="00D11105"/>
    <w:rsid w:val="00D121DD"/>
    <w:rsid w:val="00D12BC1"/>
    <w:rsid w:val="00D13578"/>
    <w:rsid w:val="00D1656E"/>
    <w:rsid w:val="00D17880"/>
    <w:rsid w:val="00D17A04"/>
    <w:rsid w:val="00D20309"/>
    <w:rsid w:val="00D207F8"/>
    <w:rsid w:val="00D21AEC"/>
    <w:rsid w:val="00D233DB"/>
    <w:rsid w:val="00D23EE9"/>
    <w:rsid w:val="00D253CA"/>
    <w:rsid w:val="00D26271"/>
    <w:rsid w:val="00D26A3E"/>
    <w:rsid w:val="00D26E09"/>
    <w:rsid w:val="00D310BC"/>
    <w:rsid w:val="00D31719"/>
    <w:rsid w:val="00D31ABC"/>
    <w:rsid w:val="00D3436F"/>
    <w:rsid w:val="00D37B9E"/>
    <w:rsid w:val="00D40D87"/>
    <w:rsid w:val="00D42898"/>
    <w:rsid w:val="00D4290D"/>
    <w:rsid w:val="00D43562"/>
    <w:rsid w:val="00D439B2"/>
    <w:rsid w:val="00D43F8B"/>
    <w:rsid w:val="00D44275"/>
    <w:rsid w:val="00D45FA8"/>
    <w:rsid w:val="00D505D1"/>
    <w:rsid w:val="00D52D77"/>
    <w:rsid w:val="00D53F7D"/>
    <w:rsid w:val="00D54B0E"/>
    <w:rsid w:val="00D55776"/>
    <w:rsid w:val="00D56ED8"/>
    <w:rsid w:val="00D608DA"/>
    <w:rsid w:val="00D60987"/>
    <w:rsid w:val="00D60BD2"/>
    <w:rsid w:val="00D615CD"/>
    <w:rsid w:val="00D62721"/>
    <w:rsid w:val="00D63B24"/>
    <w:rsid w:val="00D64C52"/>
    <w:rsid w:val="00D709A3"/>
    <w:rsid w:val="00D70AD6"/>
    <w:rsid w:val="00D70C7F"/>
    <w:rsid w:val="00D7163F"/>
    <w:rsid w:val="00D724F1"/>
    <w:rsid w:val="00D72F92"/>
    <w:rsid w:val="00D73847"/>
    <w:rsid w:val="00D73B20"/>
    <w:rsid w:val="00D74243"/>
    <w:rsid w:val="00D746A1"/>
    <w:rsid w:val="00D75802"/>
    <w:rsid w:val="00D75947"/>
    <w:rsid w:val="00D773A6"/>
    <w:rsid w:val="00D77833"/>
    <w:rsid w:val="00D803AE"/>
    <w:rsid w:val="00D80DF0"/>
    <w:rsid w:val="00D827F6"/>
    <w:rsid w:val="00D836A5"/>
    <w:rsid w:val="00D841DA"/>
    <w:rsid w:val="00D858BA"/>
    <w:rsid w:val="00D85C3F"/>
    <w:rsid w:val="00D90DAC"/>
    <w:rsid w:val="00D91433"/>
    <w:rsid w:val="00D92D99"/>
    <w:rsid w:val="00D931C7"/>
    <w:rsid w:val="00D9352C"/>
    <w:rsid w:val="00D9369F"/>
    <w:rsid w:val="00D93B9D"/>
    <w:rsid w:val="00D93C8B"/>
    <w:rsid w:val="00D94A8C"/>
    <w:rsid w:val="00D95B49"/>
    <w:rsid w:val="00D95B6A"/>
    <w:rsid w:val="00D95BEF"/>
    <w:rsid w:val="00D95DD5"/>
    <w:rsid w:val="00D960E5"/>
    <w:rsid w:val="00D96514"/>
    <w:rsid w:val="00D97E4F"/>
    <w:rsid w:val="00DA28DA"/>
    <w:rsid w:val="00DA35BD"/>
    <w:rsid w:val="00DA3A24"/>
    <w:rsid w:val="00DA409C"/>
    <w:rsid w:val="00DA4FB4"/>
    <w:rsid w:val="00DA5205"/>
    <w:rsid w:val="00DA54D2"/>
    <w:rsid w:val="00DA7E9C"/>
    <w:rsid w:val="00DB032F"/>
    <w:rsid w:val="00DB0593"/>
    <w:rsid w:val="00DB0860"/>
    <w:rsid w:val="00DB15A0"/>
    <w:rsid w:val="00DB3047"/>
    <w:rsid w:val="00DB4733"/>
    <w:rsid w:val="00DB49B6"/>
    <w:rsid w:val="00DB55DA"/>
    <w:rsid w:val="00DB60C3"/>
    <w:rsid w:val="00DC03E7"/>
    <w:rsid w:val="00DC21CD"/>
    <w:rsid w:val="00DC3977"/>
    <w:rsid w:val="00DC3D3A"/>
    <w:rsid w:val="00DC4924"/>
    <w:rsid w:val="00DC5970"/>
    <w:rsid w:val="00DC67D9"/>
    <w:rsid w:val="00DC6AB9"/>
    <w:rsid w:val="00DC7574"/>
    <w:rsid w:val="00DD0371"/>
    <w:rsid w:val="00DD0E8E"/>
    <w:rsid w:val="00DD16B0"/>
    <w:rsid w:val="00DD1F36"/>
    <w:rsid w:val="00DD4CEC"/>
    <w:rsid w:val="00DD6343"/>
    <w:rsid w:val="00DD63E8"/>
    <w:rsid w:val="00DD6C65"/>
    <w:rsid w:val="00DE0149"/>
    <w:rsid w:val="00DE28C9"/>
    <w:rsid w:val="00DE306B"/>
    <w:rsid w:val="00DE336F"/>
    <w:rsid w:val="00DE3E31"/>
    <w:rsid w:val="00DE47EE"/>
    <w:rsid w:val="00DE4D8C"/>
    <w:rsid w:val="00DE541D"/>
    <w:rsid w:val="00DF1387"/>
    <w:rsid w:val="00DF1556"/>
    <w:rsid w:val="00DF1F18"/>
    <w:rsid w:val="00DF2284"/>
    <w:rsid w:val="00DF33AB"/>
    <w:rsid w:val="00DF479B"/>
    <w:rsid w:val="00DF5118"/>
    <w:rsid w:val="00DF76ED"/>
    <w:rsid w:val="00E00A8F"/>
    <w:rsid w:val="00E01CE0"/>
    <w:rsid w:val="00E01F86"/>
    <w:rsid w:val="00E023F1"/>
    <w:rsid w:val="00E027FA"/>
    <w:rsid w:val="00E04370"/>
    <w:rsid w:val="00E051C8"/>
    <w:rsid w:val="00E05D03"/>
    <w:rsid w:val="00E05F25"/>
    <w:rsid w:val="00E06025"/>
    <w:rsid w:val="00E06324"/>
    <w:rsid w:val="00E07B79"/>
    <w:rsid w:val="00E10D4B"/>
    <w:rsid w:val="00E113BC"/>
    <w:rsid w:val="00E15357"/>
    <w:rsid w:val="00E15AFF"/>
    <w:rsid w:val="00E16A68"/>
    <w:rsid w:val="00E17A9D"/>
    <w:rsid w:val="00E2233C"/>
    <w:rsid w:val="00E22857"/>
    <w:rsid w:val="00E22CFD"/>
    <w:rsid w:val="00E246BE"/>
    <w:rsid w:val="00E24A2E"/>
    <w:rsid w:val="00E24CA9"/>
    <w:rsid w:val="00E261AD"/>
    <w:rsid w:val="00E261CA"/>
    <w:rsid w:val="00E26672"/>
    <w:rsid w:val="00E26820"/>
    <w:rsid w:val="00E306A6"/>
    <w:rsid w:val="00E30776"/>
    <w:rsid w:val="00E30BA5"/>
    <w:rsid w:val="00E321B8"/>
    <w:rsid w:val="00E3522D"/>
    <w:rsid w:val="00E35D25"/>
    <w:rsid w:val="00E35D4A"/>
    <w:rsid w:val="00E36DC1"/>
    <w:rsid w:val="00E40DF3"/>
    <w:rsid w:val="00E43B36"/>
    <w:rsid w:val="00E44DA7"/>
    <w:rsid w:val="00E4648C"/>
    <w:rsid w:val="00E46C63"/>
    <w:rsid w:val="00E46F83"/>
    <w:rsid w:val="00E47790"/>
    <w:rsid w:val="00E47961"/>
    <w:rsid w:val="00E50D68"/>
    <w:rsid w:val="00E51DE7"/>
    <w:rsid w:val="00E52957"/>
    <w:rsid w:val="00E540AC"/>
    <w:rsid w:val="00E55AE0"/>
    <w:rsid w:val="00E56046"/>
    <w:rsid w:val="00E56438"/>
    <w:rsid w:val="00E5674E"/>
    <w:rsid w:val="00E60CE1"/>
    <w:rsid w:val="00E61CFA"/>
    <w:rsid w:val="00E61F9A"/>
    <w:rsid w:val="00E6200A"/>
    <w:rsid w:val="00E625EE"/>
    <w:rsid w:val="00E635BB"/>
    <w:rsid w:val="00E639CA"/>
    <w:rsid w:val="00E640A7"/>
    <w:rsid w:val="00E64CA0"/>
    <w:rsid w:val="00E65AD1"/>
    <w:rsid w:val="00E674F7"/>
    <w:rsid w:val="00E677F1"/>
    <w:rsid w:val="00E70410"/>
    <w:rsid w:val="00E707EA"/>
    <w:rsid w:val="00E713AD"/>
    <w:rsid w:val="00E73E6D"/>
    <w:rsid w:val="00E74195"/>
    <w:rsid w:val="00E74934"/>
    <w:rsid w:val="00E74D1B"/>
    <w:rsid w:val="00E7745B"/>
    <w:rsid w:val="00E817FA"/>
    <w:rsid w:val="00E83AB1"/>
    <w:rsid w:val="00E83FA4"/>
    <w:rsid w:val="00E84574"/>
    <w:rsid w:val="00E8593D"/>
    <w:rsid w:val="00E90021"/>
    <w:rsid w:val="00E908B7"/>
    <w:rsid w:val="00E90B90"/>
    <w:rsid w:val="00E91082"/>
    <w:rsid w:val="00E9197D"/>
    <w:rsid w:val="00E93A00"/>
    <w:rsid w:val="00E95155"/>
    <w:rsid w:val="00E95952"/>
    <w:rsid w:val="00E96422"/>
    <w:rsid w:val="00E97957"/>
    <w:rsid w:val="00EA1975"/>
    <w:rsid w:val="00EA20C6"/>
    <w:rsid w:val="00EA49AA"/>
    <w:rsid w:val="00EA7BB0"/>
    <w:rsid w:val="00EB06DC"/>
    <w:rsid w:val="00EB0A16"/>
    <w:rsid w:val="00EB0DBC"/>
    <w:rsid w:val="00EB2689"/>
    <w:rsid w:val="00EB2952"/>
    <w:rsid w:val="00EB33CA"/>
    <w:rsid w:val="00EB3EC7"/>
    <w:rsid w:val="00EB4A11"/>
    <w:rsid w:val="00EB5B17"/>
    <w:rsid w:val="00EB6507"/>
    <w:rsid w:val="00EB6DC3"/>
    <w:rsid w:val="00EB7243"/>
    <w:rsid w:val="00EB732A"/>
    <w:rsid w:val="00EC08CA"/>
    <w:rsid w:val="00EC1EB3"/>
    <w:rsid w:val="00EC24E4"/>
    <w:rsid w:val="00EC3A85"/>
    <w:rsid w:val="00EC456A"/>
    <w:rsid w:val="00EC6456"/>
    <w:rsid w:val="00EC735A"/>
    <w:rsid w:val="00EC7443"/>
    <w:rsid w:val="00EC7FC9"/>
    <w:rsid w:val="00ED0FFF"/>
    <w:rsid w:val="00ED1EDE"/>
    <w:rsid w:val="00ED2163"/>
    <w:rsid w:val="00ED2F5B"/>
    <w:rsid w:val="00ED427C"/>
    <w:rsid w:val="00ED4B20"/>
    <w:rsid w:val="00ED6511"/>
    <w:rsid w:val="00ED69A1"/>
    <w:rsid w:val="00ED7D35"/>
    <w:rsid w:val="00EE0620"/>
    <w:rsid w:val="00EE0B57"/>
    <w:rsid w:val="00EE146C"/>
    <w:rsid w:val="00EE15E4"/>
    <w:rsid w:val="00EE184D"/>
    <w:rsid w:val="00EE22E5"/>
    <w:rsid w:val="00EE337C"/>
    <w:rsid w:val="00EE68B1"/>
    <w:rsid w:val="00EF1EE0"/>
    <w:rsid w:val="00EF37D0"/>
    <w:rsid w:val="00EF4776"/>
    <w:rsid w:val="00EF48F6"/>
    <w:rsid w:val="00EF492A"/>
    <w:rsid w:val="00EF508C"/>
    <w:rsid w:val="00EF53ED"/>
    <w:rsid w:val="00F0108C"/>
    <w:rsid w:val="00F011E6"/>
    <w:rsid w:val="00F01A62"/>
    <w:rsid w:val="00F033EC"/>
    <w:rsid w:val="00F03E93"/>
    <w:rsid w:val="00F044AE"/>
    <w:rsid w:val="00F06706"/>
    <w:rsid w:val="00F07DBC"/>
    <w:rsid w:val="00F10DE0"/>
    <w:rsid w:val="00F12142"/>
    <w:rsid w:val="00F121B4"/>
    <w:rsid w:val="00F1303D"/>
    <w:rsid w:val="00F13404"/>
    <w:rsid w:val="00F13EFC"/>
    <w:rsid w:val="00F14AB4"/>
    <w:rsid w:val="00F15208"/>
    <w:rsid w:val="00F15885"/>
    <w:rsid w:val="00F160DD"/>
    <w:rsid w:val="00F166A4"/>
    <w:rsid w:val="00F178E3"/>
    <w:rsid w:val="00F20882"/>
    <w:rsid w:val="00F20ADE"/>
    <w:rsid w:val="00F20F94"/>
    <w:rsid w:val="00F2111F"/>
    <w:rsid w:val="00F2331D"/>
    <w:rsid w:val="00F23AF8"/>
    <w:rsid w:val="00F247DF"/>
    <w:rsid w:val="00F31C3D"/>
    <w:rsid w:val="00F40005"/>
    <w:rsid w:val="00F4140E"/>
    <w:rsid w:val="00F4267D"/>
    <w:rsid w:val="00F4291A"/>
    <w:rsid w:val="00F43649"/>
    <w:rsid w:val="00F43924"/>
    <w:rsid w:val="00F43A4B"/>
    <w:rsid w:val="00F451A3"/>
    <w:rsid w:val="00F5071F"/>
    <w:rsid w:val="00F50D66"/>
    <w:rsid w:val="00F526B2"/>
    <w:rsid w:val="00F52711"/>
    <w:rsid w:val="00F53BAD"/>
    <w:rsid w:val="00F55299"/>
    <w:rsid w:val="00F55EBA"/>
    <w:rsid w:val="00F57682"/>
    <w:rsid w:val="00F62772"/>
    <w:rsid w:val="00F630B4"/>
    <w:rsid w:val="00F638B2"/>
    <w:rsid w:val="00F63ABB"/>
    <w:rsid w:val="00F63B8D"/>
    <w:rsid w:val="00F645B6"/>
    <w:rsid w:val="00F653BE"/>
    <w:rsid w:val="00F6588F"/>
    <w:rsid w:val="00F65F16"/>
    <w:rsid w:val="00F662FA"/>
    <w:rsid w:val="00F67E9D"/>
    <w:rsid w:val="00F70181"/>
    <w:rsid w:val="00F705AB"/>
    <w:rsid w:val="00F7111F"/>
    <w:rsid w:val="00F732C7"/>
    <w:rsid w:val="00F73768"/>
    <w:rsid w:val="00F76277"/>
    <w:rsid w:val="00F766CE"/>
    <w:rsid w:val="00F7689E"/>
    <w:rsid w:val="00F77172"/>
    <w:rsid w:val="00F80C09"/>
    <w:rsid w:val="00F81123"/>
    <w:rsid w:val="00F81A37"/>
    <w:rsid w:val="00F81DB5"/>
    <w:rsid w:val="00F82F86"/>
    <w:rsid w:val="00F82FF6"/>
    <w:rsid w:val="00F843A0"/>
    <w:rsid w:val="00F8454B"/>
    <w:rsid w:val="00F84AE3"/>
    <w:rsid w:val="00F85406"/>
    <w:rsid w:val="00F85790"/>
    <w:rsid w:val="00F85CEB"/>
    <w:rsid w:val="00F86873"/>
    <w:rsid w:val="00F87507"/>
    <w:rsid w:val="00F87A20"/>
    <w:rsid w:val="00F91136"/>
    <w:rsid w:val="00F924D8"/>
    <w:rsid w:val="00F92EC1"/>
    <w:rsid w:val="00F9473F"/>
    <w:rsid w:val="00F9523F"/>
    <w:rsid w:val="00F95D9D"/>
    <w:rsid w:val="00F963B2"/>
    <w:rsid w:val="00FA0219"/>
    <w:rsid w:val="00FA16E2"/>
    <w:rsid w:val="00FA2CAA"/>
    <w:rsid w:val="00FA312C"/>
    <w:rsid w:val="00FA3ACF"/>
    <w:rsid w:val="00FA3E08"/>
    <w:rsid w:val="00FA456E"/>
    <w:rsid w:val="00FA4747"/>
    <w:rsid w:val="00FA51DB"/>
    <w:rsid w:val="00FA5A71"/>
    <w:rsid w:val="00FB0643"/>
    <w:rsid w:val="00FB157A"/>
    <w:rsid w:val="00FB21C8"/>
    <w:rsid w:val="00FB5C88"/>
    <w:rsid w:val="00FC05F8"/>
    <w:rsid w:val="00FC0898"/>
    <w:rsid w:val="00FC1D59"/>
    <w:rsid w:val="00FC233D"/>
    <w:rsid w:val="00FC3238"/>
    <w:rsid w:val="00FC3974"/>
    <w:rsid w:val="00FC4C13"/>
    <w:rsid w:val="00FC724B"/>
    <w:rsid w:val="00FD0032"/>
    <w:rsid w:val="00FD18D8"/>
    <w:rsid w:val="00FD2873"/>
    <w:rsid w:val="00FD43FC"/>
    <w:rsid w:val="00FD4552"/>
    <w:rsid w:val="00FD45F7"/>
    <w:rsid w:val="00FD5DCE"/>
    <w:rsid w:val="00FD6099"/>
    <w:rsid w:val="00FD789B"/>
    <w:rsid w:val="00FD7F9D"/>
    <w:rsid w:val="00FE1AAF"/>
    <w:rsid w:val="00FE1C57"/>
    <w:rsid w:val="00FE3EE8"/>
    <w:rsid w:val="00FE41B8"/>
    <w:rsid w:val="00FE4345"/>
    <w:rsid w:val="00FE57E6"/>
    <w:rsid w:val="00FE5D68"/>
    <w:rsid w:val="00FE74F0"/>
    <w:rsid w:val="00FE77D9"/>
    <w:rsid w:val="00FE7F98"/>
    <w:rsid w:val="00FF1239"/>
    <w:rsid w:val="00FF1441"/>
    <w:rsid w:val="00FF1FC4"/>
    <w:rsid w:val="00FF3C80"/>
    <w:rsid w:val="00FF3F8B"/>
    <w:rsid w:val="00FF49AF"/>
    <w:rsid w:val="00FF4A18"/>
    <w:rsid w:val="00FF6014"/>
    <w:rsid w:val="00FF61BE"/>
    <w:rsid w:val="00FF6A30"/>
    <w:rsid w:val="00FF6A62"/>
    <w:rsid w:val="00FF717E"/>
    <w:rsid w:val="00FF7F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3B8D"/>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63B8D"/>
    <w:pPr>
      <w:spacing w:before="100" w:beforeAutospacing="1" w:after="100" w:afterAutospacing="1"/>
    </w:pPr>
  </w:style>
  <w:style w:type="paragraph" w:styleId="Galvene">
    <w:name w:val="header"/>
    <w:basedOn w:val="Parastais"/>
    <w:link w:val="GalveneRakstz"/>
    <w:uiPriority w:val="99"/>
    <w:rsid w:val="00F63B8D"/>
    <w:pPr>
      <w:tabs>
        <w:tab w:val="center" w:pos="4153"/>
        <w:tab w:val="right" w:pos="8306"/>
      </w:tabs>
    </w:pPr>
  </w:style>
  <w:style w:type="character" w:customStyle="1" w:styleId="GalveneRakstz">
    <w:name w:val="Galvene Rakstz."/>
    <w:link w:val="Galvene"/>
    <w:uiPriority w:val="99"/>
    <w:rsid w:val="00F63B8D"/>
    <w:rPr>
      <w:rFonts w:ascii="Times New Roman" w:eastAsia="Calibri" w:hAnsi="Times New Roman" w:cs="Times New Roman"/>
      <w:sz w:val="24"/>
      <w:szCs w:val="24"/>
      <w:lang w:eastAsia="lv-LV"/>
    </w:rPr>
  </w:style>
  <w:style w:type="character" w:styleId="Lappusesnumurs">
    <w:name w:val="page number"/>
    <w:rsid w:val="00F63B8D"/>
    <w:rPr>
      <w:rFonts w:cs="Times New Roman"/>
    </w:rPr>
  </w:style>
  <w:style w:type="character" w:styleId="Hipersaite">
    <w:name w:val="Hyperlink"/>
    <w:rsid w:val="00F63B8D"/>
    <w:rPr>
      <w:rFonts w:cs="Times New Roman"/>
      <w:color w:val="0000FF"/>
      <w:u w:val="single"/>
    </w:rPr>
  </w:style>
  <w:style w:type="paragraph" w:styleId="Pamatteksts2">
    <w:name w:val="Body Text 2"/>
    <w:basedOn w:val="Parastais"/>
    <w:link w:val="Pamatteksts2Rakstz"/>
    <w:uiPriority w:val="99"/>
    <w:semiHidden/>
    <w:rsid w:val="00F63B8D"/>
    <w:pPr>
      <w:widowControl w:val="0"/>
      <w:adjustRightInd w:val="0"/>
      <w:spacing w:line="360" w:lineRule="atLeast"/>
      <w:jc w:val="center"/>
      <w:textAlignment w:val="baseline"/>
    </w:pPr>
    <w:rPr>
      <w:b/>
      <w:bCs/>
      <w:sz w:val="28"/>
      <w:szCs w:val="28"/>
    </w:rPr>
  </w:style>
  <w:style w:type="character" w:customStyle="1" w:styleId="Pamatteksts2Rakstz">
    <w:name w:val="Pamatteksts 2 Rakstz."/>
    <w:link w:val="Pamatteksts2"/>
    <w:uiPriority w:val="99"/>
    <w:rsid w:val="00F63B8D"/>
    <w:rPr>
      <w:rFonts w:ascii="Times New Roman" w:eastAsia="Calibri" w:hAnsi="Times New Roman" w:cs="Times New Roman"/>
      <w:b/>
      <w:bCs/>
      <w:sz w:val="28"/>
      <w:szCs w:val="28"/>
    </w:rPr>
  </w:style>
  <w:style w:type="paragraph" w:styleId="Kjene">
    <w:name w:val="footer"/>
    <w:basedOn w:val="Parastais"/>
    <w:link w:val="KjeneRakstz"/>
    <w:uiPriority w:val="99"/>
    <w:semiHidden/>
    <w:unhideWhenUsed/>
    <w:rsid w:val="00D253CA"/>
    <w:pPr>
      <w:tabs>
        <w:tab w:val="center" w:pos="4153"/>
        <w:tab w:val="right" w:pos="8306"/>
      </w:tabs>
    </w:pPr>
  </w:style>
  <w:style w:type="character" w:customStyle="1" w:styleId="KjeneRakstz">
    <w:name w:val="Kājene Rakstz."/>
    <w:link w:val="Kjene"/>
    <w:uiPriority w:val="99"/>
    <w:semiHidden/>
    <w:rsid w:val="00D253CA"/>
    <w:rPr>
      <w:rFonts w:ascii="Times New Roman" w:hAnsi="Times New Roman"/>
      <w:sz w:val="24"/>
      <w:szCs w:val="24"/>
    </w:rPr>
  </w:style>
  <w:style w:type="table" w:styleId="Reatabula">
    <w:name w:val="Table Grid"/>
    <w:basedOn w:val="Parastatabula"/>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staisWeb">
    <w:name w:val="Normal (Web)"/>
    <w:basedOn w:val="Parastais"/>
    <w:uiPriority w:val="99"/>
    <w:unhideWhenUsed/>
    <w:rsid w:val="00B52842"/>
    <w:pPr>
      <w:spacing w:before="100" w:beforeAutospacing="1" w:after="100" w:afterAutospacing="1"/>
    </w:pPr>
    <w:rPr>
      <w:rFonts w:ascii="Verdana" w:eastAsia="Times New Roman" w:hAnsi="Verdana"/>
      <w:sz w:val="18"/>
      <w:szCs w:val="18"/>
    </w:rPr>
  </w:style>
  <w:style w:type="paragraph" w:styleId="Pamatteksts">
    <w:name w:val="Body Text"/>
    <w:basedOn w:val="Parastais"/>
    <w:link w:val="PamattekstsRakstz"/>
    <w:rsid w:val="00767C41"/>
    <w:pPr>
      <w:spacing w:after="120"/>
    </w:pPr>
  </w:style>
  <w:style w:type="character" w:customStyle="1" w:styleId="PamattekstsRakstz">
    <w:name w:val="Pamatteksts Rakstz."/>
    <w:link w:val="Pamatteksts"/>
    <w:rsid w:val="00767C41"/>
    <w:rPr>
      <w:rFonts w:ascii="Times New Roman" w:hAnsi="Times New Roman"/>
      <w:sz w:val="24"/>
      <w:szCs w:val="24"/>
    </w:rPr>
  </w:style>
  <w:style w:type="character" w:styleId="Komentraatsauce">
    <w:name w:val="annotation reference"/>
    <w:unhideWhenUsed/>
    <w:rsid w:val="00B56A70"/>
    <w:rPr>
      <w:sz w:val="16"/>
      <w:szCs w:val="16"/>
    </w:rPr>
  </w:style>
  <w:style w:type="paragraph" w:styleId="Komentrateksts">
    <w:name w:val="annotation text"/>
    <w:basedOn w:val="Parastais"/>
    <w:link w:val="KomentratekstsRakstz"/>
    <w:unhideWhenUsed/>
    <w:rsid w:val="00B56A70"/>
    <w:rPr>
      <w:sz w:val="20"/>
      <w:szCs w:val="20"/>
    </w:rPr>
  </w:style>
  <w:style w:type="paragraph" w:styleId="Balonteksts">
    <w:name w:val="Balloon Text"/>
    <w:basedOn w:val="Parastais"/>
    <w:semiHidden/>
    <w:rsid w:val="00B56A70"/>
    <w:rPr>
      <w:rFonts w:ascii="Tahoma" w:hAnsi="Tahoma" w:cs="Tahoma"/>
      <w:sz w:val="16"/>
      <w:szCs w:val="16"/>
    </w:rPr>
  </w:style>
  <w:style w:type="character" w:styleId="Izmantotahipersaite">
    <w:name w:val="FollowedHyperlink"/>
    <w:rsid w:val="00AF49AD"/>
    <w:rPr>
      <w:color w:val="800080"/>
      <w:u w:val="single"/>
    </w:rPr>
  </w:style>
  <w:style w:type="character" w:styleId="Izteiksmgs">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Sarakstarindkopa">
    <w:name w:val="List Paragraph"/>
    <w:aliases w:val="2,Strip,H&amp;P List Paragraph,Normal bullet 2,Bullet list,List Paragraph1"/>
    <w:basedOn w:val="Parastais"/>
    <w:link w:val="SarakstarindkopaRakstz"/>
    <w:uiPriority w:val="34"/>
    <w:qFormat/>
    <w:rsid w:val="005C04AE"/>
    <w:pPr>
      <w:ind w:left="720"/>
      <w:contextualSpacing/>
    </w:pPr>
    <w:rPr>
      <w:rFonts w:eastAsia="Times New Roman"/>
      <w:sz w:val="22"/>
      <w:szCs w:val="22"/>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5C04AE"/>
    <w:rPr>
      <w:rFonts w:eastAsia="Times New Roman"/>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5C04AE"/>
    <w:rPr>
      <w:rFonts w:ascii="Times New Roman" w:eastAsia="Times New Roman" w:hAnsi="Times New Roman"/>
      <w:lang w:val="en-AU"/>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rsid w:val="005C04AE"/>
    <w:rPr>
      <w:vertAlign w:val="superscript"/>
    </w:rPr>
  </w:style>
  <w:style w:type="character" w:customStyle="1" w:styleId="tvhtml">
    <w:name w:val="tv_html"/>
    <w:rsid w:val="003908DB"/>
  </w:style>
  <w:style w:type="paragraph" w:customStyle="1" w:styleId="naiskr">
    <w:name w:val="naiskr"/>
    <w:basedOn w:val="Parastais"/>
    <w:rsid w:val="00330C43"/>
    <w:pPr>
      <w:spacing w:before="100" w:beforeAutospacing="1" w:after="100" w:afterAutospacing="1"/>
    </w:pPr>
    <w:rPr>
      <w:rFonts w:eastAsia="Times New Roman"/>
    </w:rPr>
  </w:style>
  <w:style w:type="paragraph" w:customStyle="1" w:styleId="naisnod">
    <w:name w:val="naisnod"/>
    <w:basedOn w:val="Parastais"/>
    <w:rsid w:val="00330C43"/>
    <w:pPr>
      <w:spacing w:before="100" w:beforeAutospacing="1" w:after="100" w:afterAutospacing="1"/>
    </w:pPr>
    <w:rPr>
      <w:rFonts w:eastAsia="Times New Roman"/>
    </w:rPr>
  </w:style>
  <w:style w:type="character" w:customStyle="1" w:styleId="SarakstarindkopaRakstz">
    <w:name w:val="Saraksta rindkopa Rakstz."/>
    <w:aliases w:val="2 Rakstz.,Strip Rakstz.,H&amp;P List Paragraph Rakstz.,Normal bullet 2 Rakstz.,Bullet list Rakstz.,List Paragraph1 Rakstz."/>
    <w:link w:val="Sarakstarindkopa"/>
    <w:uiPriority w:val="34"/>
    <w:rsid w:val="000503D4"/>
    <w:rPr>
      <w:rFonts w:ascii="Times New Roman" w:eastAsia="Times New Roman" w:hAnsi="Times New Roman"/>
      <w:sz w:val="22"/>
      <w:szCs w:val="22"/>
      <w:lang w:val="lv-LV" w:eastAsia="lv-LV"/>
    </w:rPr>
  </w:style>
  <w:style w:type="paragraph" w:styleId="Komentratma">
    <w:name w:val="annotation subject"/>
    <w:basedOn w:val="Komentrateksts"/>
    <w:next w:val="Komentrateksts"/>
    <w:link w:val="KomentratmaRakstz"/>
    <w:semiHidden/>
    <w:unhideWhenUsed/>
    <w:rsid w:val="001A5867"/>
    <w:rPr>
      <w:b/>
      <w:bCs/>
    </w:rPr>
  </w:style>
  <w:style w:type="character" w:customStyle="1" w:styleId="KomentratekstsRakstz">
    <w:name w:val="Komentāra teksts Rakstz."/>
    <w:link w:val="Komentrateksts"/>
    <w:rsid w:val="001A5867"/>
    <w:rPr>
      <w:rFonts w:ascii="Times New Roman" w:hAnsi="Times New Roman"/>
    </w:rPr>
  </w:style>
  <w:style w:type="character" w:customStyle="1" w:styleId="KomentratmaRakstz">
    <w:name w:val="Komentāra tēma Rakstz."/>
    <w:basedOn w:val="KomentratekstsRakstz"/>
    <w:link w:val="Komentratma"/>
    <w:rsid w:val="001A5867"/>
  </w:style>
  <w:style w:type="paragraph" w:customStyle="1" w:styleId="tv2131">
    <w:name w:val="tv2131"/>
    <w:basedOn w:val="Parastais"/>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Parastais"/>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Parastais"/>
    <w:rsid w:val="00D07ED6"/>
    <w:pPr>
      <w:spacing w:before="100" w:beforeAutospacing="1" w:after="100" w:afterAutospacing="1"/>
    </w:pPr>
    <w:rPr>
      <w:rFonts w:eastAsia="Times New Roman"/>
    </w:rPr>
  </w:style>
  <w:style w:type="paragraph" w:styleId="Prskatjums">
    <w:name w:val="Revision"/>
    <w:hidden/>
    <w:uiPriority w:val="99"/>
    <w:semiHidden/>
    <w:rsid w:val="00914C64"/>
    <w:rPr>
      <w:rFonts w:ascii="Times New Roman" w:hAnsi="Times New Roman"/>
      <w:sz w:val="24"/>
      <w:szCs w:val="24"/>
    </w:rPr>
  </w:style>
  <w:style w:type="character" w:customStyle="1" w:styleId="st">
    <w:name w:val="st"/>
    <w:rsid w:val="00B66444"/>
  </w:style>
  <w:style w:type="paragraph" w:styleId="Parakstszemobjekta">
    <w:name w:val="caption"/>
    <w:basedOn w:val="Parastais"/>
    <w:next w:val="Parastais"/>
    <w:uiPriority w:val="35"/>
    <w:unhideWhenUsed/>
    <w:qFormat/>
    <w:rsid w:val="00B720E4"/>
    <w:pPr>
      <w:spacing w:after="200"/>
    </w:pPr>
    <w:rPr>
      <w:rFonts w:eastAsia="Times New Roman"/>
      <w:b/>
      <w:bCs/>
      <w:color w:val="4F81BD" w:themeColor="accent1"/>
      <w:sz w:val="18"/>
      <w:szCs w:val="18"/>
    </w:rPr>
  </w:style>
  <w:style w:type="paragraph" w:customStyle="1" w:styleId="CharCharCharChar">
    <w:name w:val="Char Char Char Char"/>
    <w:aliases w:val="Char2"/>
    <w:basedOn w:val="Parastais"/>
    <w:next w:val="Parastais"/>
    <w:link w:val="Vresatsauce"/>
    <w:uiPriority w:val="99"/>
    <w:rsid w:val="00566FFC"/>
    <w:pPr>
      <w:spacing w:after="160" w:line="240" w:lineRule="exact"/>
      <w:jc w:val="both"/>
      <w:textAlignment w:val="baseline"/>
    </w:pPr>
    <w:rPr>
      <w:rFonts w:ascii="Calibri" w:hAnsi="Calibri"/>
      <w:sz w:val="20"/>
      <w:szCs w:val="20"/>
      <w:vertAlign w:val="superscript"/>
    </w:rPr>
  </w:style>
  <w:style w:type="paragraph" w:customStyle="1" w:styleId="tv2132">
    <w:name w:val="tv2132"/>
    <w:basedOn w:val="Parastais"/>
    <w:rsid w:val="00E674F7"/>
    <w:pPr>
      <w:spacing w:line="360" w:lineRule="auto"/>
      <w:ind w:firstLine="300"/>
    </w:pPr>
    <w:rPr>
      <w:rFonts w:eastAsia="Times New Roman"/>
      <w:color w:val="414142"/>
      <w:sz w:val="20"/>
      <w:szCs w:val="20"/>
    </w:rPr>
  </w:style>
  <w:style w:type="paragraph" w:customStyle="1" w:styleId="labojumupamats1">
    <w:name w:val="labojumu_pamats1"/>
    <w:basedOn w:val="Parastais"/>
    <w:rsid w:val="00E674F7"/>
    <w:pPr>
      <w:spacing w:before="45" w:line="360" w:lineRule="auto"/>
      <w:ind w:firstLine="300"/>
    </w:pPr>
    <w:rPr>
      <w:rFonts w:eastAsia="Times New Roman"/>
      <w:i/>
      <w:iCs/>
      <w:color w:val="414142"/>
      <w:sz w:val="20"/>
      <w:szCs w:val="20"/>
    </w:rPr>
  </w:style>
</w:styles>
</file>

<file path=word/webSettings.xml><?xml version="1.0" encoding="utf-8"?>
<w:webSettings xmlns:r="http://schemas.openxmlformats.org/officeDocument/2006/relationships" xmlns:w="http://schemas.openxmlformats.org/wordprocessingml/2006/main">
  <w:divs>
    <w:div w:id="21126641">
      <w:bodyDiv w:val="1"/>
      <w:marLeft w:val="0"/>
      <w:marRight w:val="0"/>
      <w:marTop w:val="0"/>
      <w:marBottom w:val="0"/>
      <w:divBdr>
        <w:top w:val="none" w:sz="0" w:space="0" w:color="auto"/>
        <w:left w:val="none" w:sz="0" w:space="0" w:color="auto"/>
        <w:bottom w:val="none" w:sz="0" w:space="0" w:color="auto"/>
        <w:right w:val="none" w:sz="0" w:space="0" w:color="auto"/>
      </w:divBdr>
    </w:div>
    <w:div w:id="51127328">
      <w:bodyDiv w:val="1"/>
      <w:marLeft w:val="0"/>
      <w:marRight w:val="0"/>
      <w:marTop w:val="0"/>
      <w:marBottom w:val="0"/>
      <w:divBdr>
        <w:top w:val="none" w:sz="0" w:space="0" w:color="auto"/>
        <w:left w:val="none" w:sz="0" w:space="0" w:color="auto"/>
        <w:bottom w:val="none" w:sz="0" w:space="0" w:color="auto"/>
        <w:right w:val="none" w:sz="0" w:space="0" w:color="auto"/>
      </w:divBdr>
    </w:div>
    <w:div w:id="58095315">
      <w:bodyDiv w:val="1"/>
      <w:marLeft w:val="0"/>
      <w:marRight w:val="0"/>
      <w:marTop w:val="0"/>
      <w:marBottom w:val="0"/>
      <w:divBdr>
        <w:top w:val="none" w:sz="0" w:space="0" w:color="auto"/>
        <w:left w:val="none" w:sz="0" w:space="0" w:color="auto"/>
        <w:bottom w:val="none" w:sz="0" w:space="0" w:color="auto"/>
        <w:right w:val="none" w:sz="0" w:space="0" w:color="auto"/>
      </w:divBdr>
    </w:div>
    <w:div w:id="89745071">
      <w:bodyDiv w:val="1"/>
      <w:marLeft w:val="0"/>
      <w:marRight w:val="0"/>
      <w:marTop w:val="0"/>
      <w:marBottom w:val="0"/>
      <w:divBdr>
        <w:top w:val="none" w:sz="0" w:space="0" w:color="auto"/>
        <w:left w:val="none" w:sz="0" w:space="0" w:color="auto"/>
        <w:bottom w:val="none" w:sz="0" w:space="0" w:color="auto"/>
        <w:right w:val="none" w:sz="0" w:space="0" w:color="auto"/>
      </w:divBdr>
    </w:div>
    <w:div w:id="90783882">
      <w:bodyDiv w:val="1"/>
      <w:marLeft w:val="0"/>
      <w:marRight w:val="0"/>
      <w:marTop w:val="0"/>
      <w:marBottom w:val="0"/>
      <w:divBdr>
        <w:top w:val="none" w:sz="0" w:space="0" w:color="auto"/>
        <w:left w:val="none" w:sz="0" w:space="0" w:color="auto"/>
        <w:bottom w:val="none" w:sz="0" w:space="0" w:color="auto"/>
        <w:right w:val="none" w:sz="0" w:space="0" w:color="auto"/>
      </w:divBdr>
    </w:div>
    <w:div w:id="129129291">
      <w:bodyDiv w:val="1"/>
      <w:marLeft w:val="0"/>
      <w:marRight w:val="0"/>
      <w:marTop w:val="0"/>
      <w:marBottom w:val="0"/>
      <w:divBdr>
        <w:top w:val="none" w:sz="0" w:space="0" w:color="auto"/>
        <w:left w:val="none" w:sz="0" w:space="0" w:color="auto"/>
        <w:bottom w:val="none" w:sz="0" w:space="0" w:color="auto"/>
        <w:right w:val="none" w:sz="0" w:space="0" w:color="auto"/>
      </w:divBdr>
    </w:div>
    <w:div w:id="144932066">
      <w:bodyDiv w:val="1"/>
      <w:marLeft w:val="0"/>
      <w:marRight w:val="0"/>
      <w:marTop w:val="0"/>
      <w:marBottom w:val="0"/>
      <w:divBdr>
        <w:top w:val="none" w:sz="0" w:space="0" w:color="auto"/>
        <w:left w:val="none" w:sz="0" w:space="0" w:color="auto"/>
        <w:bottom w:val="none" w:sz="0" w:space="0" w:color="auto"/>
        <w:right w:val="none" w:sz="0" w:space="0" w:color="auto"/>
      </w:divBdr>
    </w:div>
    <w:div w:id="171603785">
      <w:bodyDiv w:val="1"/>
      <w:marLeft w:val="0"/>
      <w:marRight w:val="0"/>
      <w:marTop w:val="0"/>
      <w:marBottom w:val="0"/>
      <w:divBdr>
        <w:top w:val="none" w:sz="0" w:space="0" w:color="auto"/>
        <w:left w:val="none" w:sz="0" w:space="0" w:color="auto"/>
        <w:bottom w:val="none" w:sz="0" w:space="0" w:color="auto"/>
        <w:right w:val="none" w:sz="0" w:space="0" w:color="auto"/>
      </w:divBdr>
    </w:div>
    <w:div w:id="20309985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5694832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00379128">
      <w:bodyDiv w:val="1"/>
      <w:marLeft w:val="0"/>
      <w:marRight w:val="0"/>
      <w:marTop w:val="0"/>
      <w:marBottom w:val="0"/>
      <w:divBdr>
        <w:top w:val="none" w:sz="0" w:space="0" w:color="auto"/>
        <w:left w:val="none" w:sz="0" w:space="0" w:color="auto"/>
        <w:bottom w:val="none" w:sz="0" w:space="0" w:color="auto"/>
        <w:right w:val="none" w:sz="0" w:space="0" w:color="auto"/>
      </w:divBdr>
    </w:div>
    <w:div w:id="630136379">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00323893">
      <w:bodyDiv w:val="1"/>
      <w:marLeft w:val="0"/>
      <w:marRight w:val="0"/>
      <w:marTop w:val="0"/>
      <w:marBottom w:val="0"/>
      <w:divBdr>
        <w:top w:val="none" w:sz="0" w:space="0" w:color="auto"/>
        <w:left w:val="none" w:sz="0" w:space="0" w:color="auto"/>
        <w:bottom w:val="none" w:sz="0" w:space="0" w:color="auto"/>
        <w:right w:val="none" w:sz="0" w:space="0" w:color="auto"/>
      </w:divBdr>
    </w:div>
    <w:div w:id="728654233">
      <w:bodyDiv w:val="1"/>
      <w:marLeft w:val="0"/>
      <w:marRight w:val="0"/>
      <w:marTop w:val="0"/>
      <w:marBottom w:val="0"/>
      <w:divBdr>
        <w:top w:val="none" w:sz="0" w:space="0" w:color="auto"/>
        <w:left w:val="none" w:sz="0" w:space="0" w:color="auto"/>
        <w:bottom w:val="none" w:sz="0" w:space="0" w:color="auto"/>
        <w:right w:val="none" w:sz="0" w:space="0" w:color="auto"/>
      </w:divBdr>
    </w:div>
    <w:div w:id="781345861">
      <w:bodyDiv w:val="1"/>
      <w:marLeft w:val="0"/>
      <w:marRight w:val="0"/>
      <w:marTop w:val="0"/>
      <w:marBottom w:val="0"/>
      <w:divBdr>
        <w:top w:val="none" w:sz="0" w:space="0" w:color="auto"/>
        <w:left w:val="none" w:sz="0" w:space="0" w:color="auto"/>
        <w:bottom w:val="none" w:sz="0" w:space="0" w:color="auto"/>
        <w:right w:val="none" w:sz="0" w:space="0" w:color="auto"/>
      </w:divBdr>
    </w:div>
    <w:div w:id="806356884">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09536">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98333">
      <w:bodyDiv w:val="1"/>
      <w:marLeft w:val="0"/>
      <w:marRight w:val="0"/>
      <w:marTop w:val="0"/>
      <w:marBottom w:val="0"/>
      <w:divBdr>
        <w:top w:val="none" w:sz="0" w:space="0" w:color="auto"/>
        <w:left w:val="none" w:sz="0" w:space="0" w:color="auto"/>
        <w:bottom w:val="none" w:sz="0" w:space="0" w:color="auto"/>
        <w:right w:val="none" w:sz="0" w:space="0" w:color="auto"/>
      </w:divBdr>
    </w:div>
    <w:div w:id="1042826706">
      <w:bodyDiv w:val="1"/>
      <w:marLeft w:val="0"/>
      <w:marRight w:val="0"/>
      <w:marTop w:val="0"/>
      <w:marBottom w:val="0"/>
      <w:divBdr>
        <w:top w:val="none" w:sz="0" w:space="0" w:color="auto"/>
        <w:left w:val="none" w:sz="0" w:space="0" w:color="auto"/>
        <w:bottom w:val="none" w:sz="0" w:space="0" w:color="auto"/>
        <w:right w:val="none" w:sz="0" w:space="0" w:color="auto"/>
      </w:divBdr>
    </w:div>
    <w:div w:id="1112214183">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1866110">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70548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27704043">
      <w:bodyDiv w:val="1"/>
      <w:marLeft w:val="0"/>
      <w:marRight w:val="0"/>
      <w:marTop w:val="0"/>
      <w:marBottom w:val="0"/>
      <w:divBdr>
        <w:top w:val="none" w:sz="0" w:space="0" w:color="auto"/>
        <w:left w:val="none" w:sz="0" w:space="0" w:color="auto"/>
        <w:bottom w:val="none" w:sz="0" w:space="0" w:color="auto"/>
        <w:right w:val="none" w:sz="0" w:space="0" w:color="auto"/>
      </w:divBdr>
    </w:div>
    <w:div w:id="1373071826">
      <w:bodyDiv w:val="1"/>
      <w:marLeft w:val="0"/>
      <w:marRight w:val="0"/>
      <w:marTop w:val="0"/>
      <w:marBottom w:val="0"/>
      <w:divBdr>
        <w:top w:val="none" w:sz="0" w:space="0" w:color="auto"/>
        <w:left w:val="none" w:sz="0" w:space="0" w:color="auto"/>
        <w:bottom w:val="none" w:sz="0" w:space="0" w:color="auto"/>
        <w:right w:val="none" w:sz="0" w:space="0" w:color="auto"/>
      </w:divBdr>
    </w:div>
    <w:div w:id="1409961207">
      <w:bodyDiv w:val="1"/>
      <w:marLeft w:val="0"/>
      <w:marRight w:val="0"/>
      <w:marTop w:val="0"/>
      <w:marBottom w:val="0"/>
      <w:divBdr>
        <w:top w:val="none" w:sz="0" w:space="0" w:color="auto"/>
        <w:left w:val="none" w:sz="0" w:space="0" w:color="auto"/>
        <w:bottom w:val="none" w:sz="0" w:space="0" w:color="auto"/>
        <w:right w:val="none" w:sz="0" w:space="0" w:color="auto"/>
      </w:divBdr>
    </w:div>
    <w:div w:id="1653606751">
      <w:bodyDiv w:val="1"/>
      <w:marLeft w:val="0"/>
      <w:marRight w:val="0"/>
      <w:marTop w:val="0"/>
      <w:marBottom w:val="0"/>
      <w:divBdr>
        <w:top w:val="none" w:sz="0" w:space="0" w:color="auto"/>
        <w:left w:val="none" w:sz="0" w:space="0" w:color="auto"/>
        <w:bottom w:val="none" w:sz="0" w:space="0" w:color="auto"/>
        <w:right w:val="none" w:sz="0" w:space="0" w:color="auto"/>
      </w:divBdr>
      <w:divsChild>
        <w:div w:id="21630836">
          <w:marLeft w:val="0"/>
          <w:marRight w:val="0"/>
          <w:marTop w:val="0"/>
          <w:marBottom w:val="0"/>
          <w:divBdr>
            <w:top w:val="none" w:sz="0" w:space="0" w:color="auto"/>
            <w:left w:val="none" w:sz="0" w:space="0" w:color="auto"/>
            <w:bottom w:val="none" w:sz="0" w:space="0" w:color="auto"/>
            <w:right w:val="none" w:sz="0" w:space="0" w:color="auto"/>
          </w:divBdr>
          <w:divsChild>
            <w:div w:id="425272286">
              <w:marLeft w:val="0"/>
              <w:marRight w:val="0"/>
              <w:marTop w:val="0"/>
              <w:marBottom w:val="0"/>
              <w:divBdr>
                <w:top w:val="none" w:sz="0" w:space="0" w:color="auto"/>
                <w:left w:val="none" w:sz="0" w:space="0" w:color="auto"/>
                <w:bottom w:val="none" w:sz="0" w:space="0" w:color="auto"/>
                <w:right w:val="none" w:sz="0" w:space="0" w:color="auto"/>
              </w:divBdr>
              <w:divsChild>
                <w:div w:id="461652934">
                  <w:marLeft w:val="0"/>
                  <w:marRight w:val="0"/>
                  <w:marTop w:val="0"/>
                  <w:marBottom w:val="0"/>
                  <w:divBdr>
                    <w:top w:val="none" w:sz="0" w:space="0" w:color="auto"/>
                    <w:left w:val="none" w:sz="0" w:space="0" w:color="auto"/>
                    <w:bottom w:val="none" w:sz="0" w:space="0" w:color="auto"/>
                    <w:right w:val="none" w:sz="0" w:space="0" w:color="auto"/>
                  </w:divBdr>
                  <w:divsChild>
                    <w:div w:id="1355839724">
                      <w:marLeft w:val="0"/>
                      <w:marRight w:val="0"/>
                      <w:marTop w:val="0"/>
                      <w:marBottom w:val="0"/>
                      <w:divBdr>
                        <w:top w:val="none" w:sz="0" w:space="0" w:color="auto"/>
                        <w:left w:val="none" w:sz="0" w:space="0" w:color="auto"/>
                        <w:bottom w:val="none" w:sz="0" w:space="0" w:color="auto"/>
                        <w:right w:val="none" w:sz="0" w:space="0" w:color="auto"/>
                      </w:divBdr>
                      <w:divsChild>
                        <w:div w:id="198473058">
                          <w:marLeft w:val="0"/>
                          <w:marRight w:val="0"/>
                          <w:marTop w:val="0"/>
                          <w:marBottom w:val="0"/>
                          <w:divBdr>
                            <w:top w:val="none" w:sz="0" w:space="0" w:color="auto"/>
                            <w:left w:val="none" w:sz="0" w:space="0" w:color="auto"/>
                            <w:bottom w:val="none" w:sz="0" w:space="0" w:color="auto"/>
                            <w:right w:val="none" w:sz="0" w:space="0" w:color="auto"/>
                          </w:divBdr>
                          <w:divsChild>
                            <w:div w:id="1757436671">
                              <w:marLeft w:val="0"/>
                              <w:marRight w:val="0"/>
                              <w:marTop w:val="0"/>
                              <w:marBottom w:val="0"/>
                              <w:divBdr>
                                <w:top w:val="none" w:sz="0" w:space="0" w:color="auto"/>
                                <w:left w:val="none" w:sz="0" w:space="0" w:color="auto"/>
                                <w:bottom w:val="none" w:sz="0" w:space="0" w:color="auto"/>
                                <w:right w:val="none" w:sz="0" w:space="0" w:color="auto"/>
                              </w:divBdr>
                              <w:divsChild>
                                <w:div w:id="3829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453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2827974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94808766">
      <w:bodyDiv w:val="1"/>
      <w:marLeft w:val="0"/>
      <w:marRight w:val="0"/>
      <w:marTop w:val="0"/>
      <w:marBottom w:val="0"/>
      <w:divBdr>
        <w:top w:val="none" w:sz="0" w:space="0" w:color="auto"/>
        <w:left w:val="none" w:sz="0" w:space="0" w:color="auto"/>
        <w:bottom w:val="none" w:sz="0" w:space="0" w:color="auto"/>
        <w:right w:val="none" w:sz="0" w:space="0" w:color="auto"/>
      </w:divBdr>
    </w:div>
    <w:div w:id="2002268550">
      <w:bodyDiv w:val="1"/>
      <w:marLeft w:val="0"/>
      <w:marRight w:val="0"/>
      <w:marTop w:val="0"/>
      <w:marBottom w:val="0"/>
      <w:divBdr>
        <w:top w:val="none" w:sz="0" w:space="0" w:color="auto"/>
        <w:left w:val="none" w:sz="0" w:space="0" w:color="auto"/>
        <w:bottom w:val="none" w:sz="0" w:space="0" w:color="auto"/>
        <w:right w:val="none" w:sz="0" w:space="0" w:color="auto"/>
      </w:divBdr>
    </w:div>
    <w:div w:id="200272895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74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ap.mk.gov.lv/lv/mk/tap/?pid=40365835&amp;mode=mk&amp;date=2015-08-1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dpad.lv/wp-content/uploads/2015/05/INVESTICIJU_Plans_2014_201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nita.Rancane-Delekole@km.gov.l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280213-par-konceptualo-zinojumu-par-eiropas-savienibas-fondu-darbibas-programmas-izaugsme-un-nodarbinatiba-5-6-1-specifiska-atbalsta"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ede xmlns="0403aeb7-10dd-41a9-8f8e-1fc0ec5546a5">30.04.2015_UK_14-20</Sede>
    <Kom xmlns="0403aeb7-10dd-41a9-8f8e-1fc0ec5546a5">UK 2014-2020</Kom>
    <kartiba xmlns="0403aeb7-10dd-41a9-8f8e-1fc0ec5546a5">87</kartiba>
    <Apraksts xmlns="0403aeb7-10dd-41a9-8f8e-1fc0ec5546a5">Anotācija precizēta</Aprakst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931FC-4CF1-4D67-A4FE-852139892AD6}">
  <ds:schemaRefs>
    <ds:schemaRef ds:uri="http://schemas.microsoft.com/sharepoint/v3/contenttype/forms"/>
  </ds:schemaRefs>
</ds:datastoreItem>
</file>

<file path=customXml/itemProps2.xml><?xml version="1.0" encoding="utf-8"?>
<ds:datastoreItem xmlns:ds="http://schemas.openxmlformats.org/officeDocument/2006/customXml" ds:itemID="{969EC85F-7325-44E9-B7FF-CE261E1F8930}">
  <ds:schemaRefs>
    <ds:schemaRef ds:uri="http://schemas.microsoft.com/office/2006/metadata/longProperties"/>
  </ds:schemaRefs>
</ds:datastoreItem>
</file>

<file path=customXml/itemProps3.xml><?xml version="1.0" encoding="utf-8"?>
<ds:datastoreItem xmlns:ds="http://schemas.openxmlformats.org/officeDocument/2006/customXml" ds:itemID="{36F5042E-145D-413B-92A0-EAE9EF9C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E91D5-1ECF-4900-8F4D-FC2138AFD1F4}">
  <ds:schemaRefs>
    <ds:schemaRef ds:uri="http://schemas.microsoft.com/office/2006/metadata/properties"/>
    <ds:schemaRef ds:uri="0403aeb7-10dd-41a9-8f8e-1fc0ec5546a5"/>
  </ds:schemaRefs>
</ds:datastoreItem>
</file>

<file path=customXml/itemProps5.xml><?xml version="1.0" encoding="utf-8"?>
<ds:datastoreItem xmlns:ds="http://schemas.openxmlformats.org/officeDocument/2006/customXml" ds:itemID="{D4FFB6F4-7969-4F1B-BC56-1B77FB0B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38449</Words>
  <Characters>21917</Characters>
  <Application>Microsoft Office Word</Application>
  <DocSecurity>4</DocSecurity>
  <Lines>182</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60246</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anotācija</dc:subject>
  <dc:creator>Sarmīte Kļaviņa - Investīciju politikas departaments</dc:creator>
  <dc:description>sarmite.klavina@varam.gov.lv
66016581</dc:description>
  <cp:lastModifiedBy>Kitija Sniedze</cp:lastModifiedBy>
  <cp:revision>2</cp:revision>
  <cp:lastPrinted>2014-12-11T07:02:00Z</cp:lastPrinted>
  <dcterms:created xsi:type="dcterms:W3CDTF">2016-03-09T13:35:00Z</dcterms:created>
  <dcterms:modified xsi:type="dcterms:W3CDTF">2016-03-09T13:35:00Z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