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36" w:rsidRPr="00F921EE" w:rsidRDefault="005F6E36" w:rsidP="00B26187">
      <w:pPr>
        <w:ind w:left="720"/>
        <w:jc w:val="center"/>
        <w:rPr>
          <w:b/>
          <w:color w:val="000000"/>
          <w:sz w:val="28"/>
          <w:szCs w:val="28"/>
        </w:rPr>
      </w:pPr>
      <w:r w:rsidRPr="00F921EE">
        <w:rPr>
          <w:b/>
          <w:color w:val="000000"/>
          <w:sz w:val="28"/>
          <w:szCs w:val="28"/>
        </w:rPr>
        <w:t xml:space="preserve">Ministru kabineta noteikumu projekta </w:t>
      </w:r>
    </w:p>
    <w:p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 xml:space="preserve">inistru kabineta </w:t>
      </w:r>
      <w:proofErr w:type="gramStart"/>
      <w:r w:rsidR="00E1162E">
        <w:rPr>
          <w:b/>
          <w:color w:val="000000"/>
          <w:sz w:val="28"/>
          <w:szCs w:val="28"/>
        </w:rPr>
        <w:t>2011.gada</w:t>
      </w:r>
      <w:proofErr w:type="gramEnd"/>
      <w:r w:rsidR="00E1162E">
        <w:rPr>
          <w:b/>
          <w:color w:val="000000"/>
          <w:sz w:val="28"/>
          <w:szCs w:val="28"/>
        </w:rPr>
        <w:t xml:space="preserve"> 25.</w:t>
      </w:r>
      <w:r w:rsidRPr="00F921EE">
        <w:rPr>
          <w:b/>
          <w:color w:val="000000"/>
          <w:sz w:val="28"/>
          <w:szCs w:val="28"/>
        </w:rPr>
        <w:t xml:space="preserve">janvāra noteikumos </w:t>
      </w:r>
    </w:p>
    <w:p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B76D85" w:rsidTr="006A7D0B">
        <w:tc>
          <w:tcPr>
            <w:tcW w:w="5000" w:type="pct"/>
            <w:gridSpan w:val="3"/>
            <w:shd w:val="clear" w:color="auto" w:fill="auto"/>
          </w:tcPr>
          <w:p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rsidTr="006A7D0B">
        <w:tc>
          <w:tcPr>
            <w:tcW w:w="213" w:type="pct"/>
            <w:shd w:val="clear" w:color="auto" w:fill="auto"/>
          </w:tcPr>
          <w:p w:rsidR="00B76D85" w:rsidRPr="006A7D0B" w:rsidRDefault="00B76D85" w:rsidP="00B76D85">
            <w:pPr>
              <w:rPr>
                <w:sz w:val="22"/>
                <w:szCs w:val="22"/>
              </w:rPr>
            </w:pPr>
            <w:r w:rsidRPr="006A7D0B">
              <w:rPr>
                <w:sz w:val="22"/>
                <w:szCs w:val="22"/>
              </w:rPr>
              <w:t>1.</w:t>
            </w:r>
          </w:p>
        </w:tc>
        <w:tc>
          <w:tcPr>
            <w:tcW w:w="1654" w:type="pct"/>
            <w:shd w:val="clear" w:color="auto" w:fill="auto"/>
          </w:tcPr>
          <w:p w:rsidR="00B76D85" w:rsidRPr="0051376F" w:rsidRDefault="00B76D85" w:rsidP="00B76D85">
            <w:r w:rsidRPr="0051376F">
              <w:t>Pamatojums</w:t>
            </w:r>
          </w:p>
        </w:tc>
        <w:tc>
          <w:tcPr>
            <w:tcW w:w="3133" w:type="pct"/>
            <w:shd w:val="clear" w:color="auto" w:fill="auto"/>
          </w:tcPr>
          <w:p w:rsidR="00B76D85" w:rsidRPr="009B2AF6" w:rsidRDefault="003819E0" w:rsidP="002A2200">
            <w:pPr>
              <w:jc w:val="both"/>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EC51E1">
              <w:t>ir izstrādāts</w:t>
            </w:r>
            <w:r w:rsidR="009B2AF6">
              <w:t xml:space="preserve"> saskaņā ar Bezdarbnieku un darba meklētāju atbalsta likuma 4.panta otro, trešo, piekto, vienpadsmito un divpadsmito daļu.</w:t>
            </w:r>
          </w:p>
        </w:tc>
      </w:tr>
      <w:tr w:rsidR="00B76D85" w:rsidRPr="006A7D0B" w:rsidTr="006A7D0B">
        <w:tc>
          <w:tcPr>
            <w:tcW w:w="213" w:type="pct"/>
            <w:shd w:val="clear" w:color="auto" w:fill="auto"/>
          </w:tcPr>
          <w:p w:rsidR="00B76D85" w:rsidRPr="006A7D0B" w:rsidRDefault="00B76D85" w:rsidP="00B76D85">
            <w:pPr>
              <w:rPr>
                <w:sz w:val="22"/>
                <w:szCs w:val="22"/>
              </w:rPr>
            </w:pPr>
            <w:r w:rsidRPr="006A7D0B">
              <w:rPr>
                <w:sz w:val="22"/>
                <w:szCs w:val="22"/>
              </w:rPr>
              <w:t xml:space="preserve">2. </w:t>
            </w:r>
          </w:p>
        </w:tc>
        <w:tc>
          <w:tcPr>
            <w:tcW w:w="1654" w:type="pct"/>
            <w:shd w:val="clear" w:color="auto" w:fill="auto"/>
          </w:tcPr>
          <w:p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133" w:type="pct"/>
            <w:shd w:val="clear" w:color="auto" w:fill="auto"/>
          </w:tcPr>
          <w:p w:rsidR="009B2AF6" w:rsidRDefault="009B2AF6" w:rsidP="009B2AF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 xml:space="preserve">Noteikumu projekts izstrādāts </w:t>
            </w:r>
            <w:r w:rsidRPr="009B2AF6">
              <w:rPr>
                <w:rFonts w:ascii="Times New Roman" w:hAnsi="Times New Roman"/>
                <w:sz w:val="24"/>
                <w:szCs w:val="24"/>
              </w:rPr>
              <w:t>pēc Labklājības ministrijas iniciatīvas, lai pilnveidotu aktīvās darba tirgus politikas pasākumu īstenošanas nosacījumus.</w:t>
            </w:r>
          </w:p>
          <w:p w:rsidR="002A2200" w:rsidRDefault="00C35F00" w:rsidP="00624723">
            <w:pPr>
              <w:pStyle w:val="ListParagraph"/>
              <w:numPr>
                <w:ilvl w:val="0"/>
                <w:numId w:val="4"/>
              </w:numPr>
              <w:shd w:val="clear" w:color="auto" w:fill="FFFFFF"/>
              <w:spacing w:line="240" w:lineRule="auto"/>
              <w:ind w:left="-66" w:firstLine="0"/>
              <w:jc w:val="both"/>
              <w:rPr>
                <w:rFonts w:ascii="Times New Roman" w:hAnsi="Times New Roman"/>
                <w:sz w:val="24"/>
                <w:szCs w:val="24"/>
              </w:rPr>
            </w:pPr>
            <w:r w:rsidRPr="00C35F00">
              <w:rPr>
                <w:rFonts w:ascii="Times New Roman" w:hAnsi="Times New Roman"/>
                <w:sz w:val="24"/>
                <w:szCs w:val="24"/>
              </w:rPr>
              <w:t>Lai arī kopējā situācija darba tirgū pēdējos gados uzlabojas, joprojām vairākām nestrādājošo iedzīvotāju grupām ir grūtības integrēties darba ti</w:t>
            </w:r>
            <w:r w:rsidR="002A2200">
              <w:rPr>
                <w:rFonts w:ascii="Times New Roman" w:hAnsi="Times New Roman"/>
                <w:sz w:val="24"/>
                <w:szCs w:val="24"/>
              </w:rPr>
              <w:t>rgū. Saskaņā ar Nodarbinātības v</w:t>
            </w:r>
            <w:r w:rsidRPr="00C35F00">
              <w:rPr>
                <w:rFonts w:ascii="Times New Roman" w:hAnsi="Times New Roman"/>
                <w:sz w:val="24"/>
                <w:szCs w:val="24"/>
              </w:rPr>
              <w:t xml:space="preserve">alsts aģentūras (turpmāk – NVA) datiem ilgstošo bezdarbnieku skaits </w:t>
            </w:r>
            <w:r w:rsidR="00084751" w:rsidRPr="00084751">
              <w:rPr>
                <w:rFonts w:ascii="Times New Roman" w:hAnsi="Times New Roman"/>
                <w:sz w:val="24"/>
                <w:szCs w:val="24"/>
              </w:rPr>
              <w:t>2015</w:t>
            </w:r>
            <w:r w:rsidRPr="00084751">
              <w:rPr>
                <w:rFonts w:ascii="Times New Roman" w:hAnsi="Times New Roman"/>
                <w:sz w:val="24"/>
                <w:szCs w:val="24"/>
              </w:rPr>
              <w:t xml:space="preserve">.gada </w:t>
            </w:r>
            <w:r w:rsidR="00084751" w:rsidRPr="00084751">
              <w:rPr>
                <w:rFonts w:ascii="Times New Roman" w:hAnsi="Times New Roman"/>
                <w:sz w:val="24"/>
                <w:szCs w:val="24"/>
              </w:rPr>
              <w:t>oktobra</w:t>
            </w:r>
            <w:r w:rsidRPr="00084751">
              <w:rPr>
                <w:rFonts w:ascii="Times New Roman" w:hAnsi="Times New Roman"/>
                <w:sz w:val="24"/>
                <w:szCs w:val="24"/>
              </w:rPr>
              <w:t xml:space="preserve"> beigās sasniedza 3</w:t>
            </w:r>
            <w:r w:rsidR="00084751" w:rsidRPr="00084751">
              <w:rPr>
                <w:rFonts w:ascii="Times New Roman" w:hAnsi="Times New Roman"/>
                <w:sz w:val="24"/>
                <w:szCs w:val="24"/>
              </w:rPr>
              <w:t>1,3</w:t>
            </w:r>
            <w:r w:rsidRPr="00084751">
              <w:rPr>
                <w:rFonts w:ascii="Times New Roman" w:hAnsi="Times New Roman"/>
                <w:sz w:val="24"/>
                <w:szCs w:val="24"/>
              </w:rPr>
              <w:t>% (</w:t>
            </w:r>
            <w:r w:rsidR="00084751" w:rsidRPr="00084751">
              <w:rPr>
                <w:rFonts w:ascii="Times New Roman" w:hAnsi="Times New Roman"/>
                <w:sz w:val="24"/>
                <w:szCs w:val="24"/>
              </w:rPr>
              <w:t>24 407</w:t>
            </w:r>
            <w:r w:rsidRPr="00084751">
              <w:rPr>
                <w:rFonts w:ascii="Times New Roman" w:hAnsi="Times New Roman"/>
                <w:sz w:val="24"/>
                <w:szCs w:val="24"/>
              </w:rPr>
              <w:t xml:space="preserve"> ilgstošie bezdarbnieki) </w:t>
            </w:r>
            <w:r w:rsidRPr="00C35F00">
              <w:rPr>
                <w:rFonts w:ascii="Times New Roman" w:hAnsi="Times New Roman"/>
                <w:sz w:val="24"/>
                <w:szCs w:val="24"/>
              </w:rPr>
              <w:t xml:space="preserve">no kopējā </w:t>
            </w:r>
            <w:r w:rsidR="00E34563">
              <w:rPr>
                <w:rFonts w:ascii="Times New Roman" w:hAnsi="Times New Roman"/>
                <w:sz w:val="24"/>
                <w:szCs w:val="24"/>
              </w:rPr>
              <w:t>reģistrēto bezdarbnieku skaita.</w:t>
            </w:r>
            <w:r w:rsidRPr="00C35F00">
              <w:rPr>
                <w:rFonts w:ascii="Times New Roman" w:hAnsi="Times New Roman"/>
                <w:sz w:val="24"/>
                <w:szCs w:val="24"/>
              </w:rPr>
              <w:t xml:space="preserve"> Viens no galvenajiem ilgstošo bezdarbnieku bezdarba cēloņiem ir nepietiekama vai darba tirgus prasībām neatbilstoša izglītība </w:t>
            </w:r>
            <w:r w:rsidR="00E34563">
              <w:rPr>
                <w:rFonts w:ascii="Times New Roman" w:hAnsi="Times New Roman"/>
                <w:sz w:val="24"/>
                <w:szCs w:val="24"/>
              </w:rPr>
              <w:t>un profesionālo prasmju trūkums, t</w:t>
            </w:r>
            <w:r w:rsidRPr="00C35F00">
              <w:rPr>
                <w:rFonts w:ascii="Times New Roman" w:hAnsi="Times New Roman"/>
                <w:sz w:val="24"/>
                <w:szCs w:val="24"/>
              </w:rPr>
              <w:t>ādēļ ļoti svarīga ir bezdarbnieka motivācija</w:t>
            </w:r>
            <w:r w:rsidR="00415DE0">
              <w:rPr>
                <w:rFonts w:ascii="Times New Roman" w:hAnsi="Times New Roman"/>
                <w:sz w:val="24"/>
                <w:szCs w:val="24"/>
              </w:rPr>
              <w:t>s veicināšana</w:t>
            </w:r>
            <w:r w:rsidR="00E34563">
              <w:rPr>
                <w:rFonts w:ascii="Times New Roman" w:hAnsi="Times New Roman"/>
                <w:sz w:val="24"/>
                <w:szCs w:val="24"/>
              </w:rPr>
              <w:t xml:space="preserve"> prasmju un iemaņu apguvei</w:t>
            </w:r>
            <w:r w:rsidRPr="00C35F00">
              <w:rPr>
                <w:rFonts w:ascii="Times New Roman" w:hAnsi="Times New Roman"/>
                <w:sz w:val="24"/>
                <w:szCs w:val="24"/>
              </w:rPr>
              <w:t>. Vienlaikus pastāv arī citi nodarbinātības šķēršļi, piemēram, nepietiekama informācija par savu profesionālo piemērotību personām ar invaliditāti, atkarības (alkohola vai narkotisko vielu atkarība) u.c. Līdz ar to, lai veicinātu ilgstošo bezda</w:t>
            </w:r>
            <w:r w:rsidR="003A6F58">
              <w:rPr>
                <w:rFonts w:ascii="Times New Roman" w:hAnsi="Times New Roman"/>
                <w:sz w:val="24"/>
                <w:szCs w:val="24"/>
              </w:rPr>
              <w:t xml:space="preserve">rbnieku atgriešanos darba tirgū, </w:t>
            </w:r>
            <w:r w:rsidRPr="00C35F00">
              <w:rPr>
                <w:rFonts w:ascii="Times New Roman" w:hAnsi="Times New Roman"/>
                <w:sz w:val="24"/>
                <w:szCs w:val="24"/>
              </w:rPr>
              <w:t xml:space="preserve">mazinātu </w:t>
            </w:r>
            <w:r w:rsidR="0080430C">
              <w:rPr>
                <w:rFonts w:ascii="Times New Roman" w:hAnsi="Times New Roman"/>
                <w:sz w:val="24"/>
                <w:szCs w:val="24"/>
              </w:rPr>
              <w:t xml:space="preserve">ilgstošo bezdarbu un sekmētu </w:t>
            </w:r>
            <w:r w:rsidR="0080430C" w:rsidRPr="0080430C">
              <w:rPr>
                <w:rFonts w:ascii="Times New Roman" w:hAnsi="Times New Roman"/>
                <w:sz w:val="24"/>
                <w:szCs w:val="24"/>
              </w:rPr>
              <w:t>„Iekļaujošas nodarbinātības pamatnostād</w:t>
            </w:r>
            <w:r w:rsidR="0080430C">
              <w:rPr>
                <w:rFonts w:ascii="Times New Roman" w:hAnsi="Times New Roman"/>
                <w:sz w:val="24"/>
                <w:szCs w:val="24"/>
              </w:rPr>
              <w:t>nēs</w:t>
            </w:r>
            <w:r w:rsidR="0080430C" w:rsidRPr="0080430C">
              <w:rPr>
                <w:rFonts w:ascii="Times New Roman" w:hAnsi="Times New Roman"/>
                <w:sz w:val="24"/>
                <w:szCs w:val="24"/>
              </w:rPr>
              <w:t xml:space="preserve"> 2014.–2020.gadam”</w:t>
            </w:r>
            <w:r w:rsidR="0080430C">
              <w:rPr>
                <w:rFonts w:ascii="Times New Roman" w:hAnsi="Times New Roman"/>
                <w:sz w:val="24"/>
                <w:szCs w:val="24"/>
              </w:rPr>
              <w:t xml:space="preserve"> noteikto mērķu sasniegšanu,</w:t>
            </w:r>
            <w:r w:rsidR="00415DE0">
              <w:rPr>
                <w:rFonts w:ascii="Times New Roman" w:hAnsi="Times New Roman"/>
                <w:sz w:val="24"/>
                <w:szCs w:val="24"/>
              </w:rPr>
              <w:t xml:space="preserve"> nepieciešams ieviest un īstenot pasākumus ilgstošo bezdarbnieku atbalstam (Ilgstošo bezdarbnieku aktivizācijas pasākumi).  </w:t>
            </w:r>
          </w:p>
          <w:p w:rsidR="00415DE0" w:rsidRPr="00415DE0" w:rsidRDefault="00C35F00" w:rsidP="00624723">
            <w:pPr>
              <w:pStyle w:val="ListParagraph"/>
              <w:shd w:val="clear" w:color="auto" w:fill="FFFFFF"/>
              <w:spacing w:line="240" w:lineRule="auto"/>
              <w:ind w:left="-66"/>
              <w:jc w:val="both"/>
              <w:rPr>
                <w:rFonts w:ascii="Times New Roman" w:hAnsi="Times New Roman"/>
                <w:sz w:val="24"/>
                <w:szCs w:val="24"/>
              </w:rPr>
            </w:pPr>
            <w:r w:rsidRPr="00415DE0">
              <w:rPr>
                <w:rFonts w:ascii="Times New Roman" w:hAnsi="Times New Roman"/>
                <w:sz w:val="24"/>
                <w:szCs w:val="24"/>
              </w:rPr>
              <w:t xml:space="preserve">Atbilstoši pastāvošajai situācijai darba tirgū ir izvēlēta pasākuma mērķa grupa, kas ietver bezdarbniekus, kuri bijuši bez darba 12 mēnešus, kā arī tos, kuri bijuši bez darba 12 mēnešus vai (un) ir ar invaliditāti un prognozējamo invaliditāti, un vismaz vienu reizi ir atteikušies no piemērota darba piedāvājuma vai atteikušies iesaistīties atbilstoši profilēšanas rezultātiem piedāvātajos aktīvajos nodarbinātības pasākumos veselības problēmu </w:t>
            </w:r>
            <w:r w:rsidRPr="00415DE0">
              <w:rPr>
                <w:rFonts w:ascii="Times New Roman" w:hAnsi="Times New Roman"/>
                <w:sz w:val="24"/>
                <w:szCs w:val="24"/>
              </w:rPr>
              <w:lastRenderedPageBreak/>
              <w:t>dēļ (atteikums nav pamatots ar ārsta atzinumu vai invaliditāti), kuriem atbilstoši narkologa atzinumam ir alkohola, narkotisko vai psihotropo vielu atkarība vai kuriem ir iespējama alkohola, narkotisko vai psihotropo vielu atkarība, bet nav saņemts narkologa atzinums</w:t>
            </w:r>
            <w:r w:rsidR="00415DE0" w:rsidRPr="00415DE0">
              <w:rPr>
                <w:rFonts w:ascii="Times New Roman" w:hAnsi="Times New Roman"/>
                <w:sz w:val="24"/>
                <w:szCs w:val="24"/>
              </w:rPr>
              <w:t xml:space="preserve">. </w:t>
            </w:r>
            <w:r w:rsidRPr="00415DE0">
              <w:rPr>
                <w:rFonts w:ascii="Times New Roman" w:hAnsi="Times New Roman"/>
                <w:sz w:val="24"/>
                <w:szCs w:val="24"/>
              </w:rPr>
              <w:t xml:space="preserve">Atbalsts </w:t>
            </w:r>
            <w:r w:rsidR="00415DE0" w:rsidRPr="00415DE0">
              <w:rPr>
                <w:rFonts w:ascii="Times New Roman" w:hAnsi="Times New Roman"/>
                <w:sz w:val="24"/>
                <w:szCs w:val="24"/>
              </w:rPr>
              <w:t>Ilgstošo bezdarbnieku aktivizācijas pasākumu</w:t>
            </w:r>
            <w:r w:rsidRPr="00415DE0">
              <w:rPr>
                <w:rFonts w:ascii="Times New Roman" w:hAnsi="Times New Roman"/>
                <w:sz w:val="24"/>
                <w:szCs w:val="24"/>
              </w:rPr>
              <w:t xml:space="preserve"> mērķa grupai laika periodā no 20</w:t>
            </w:r>
            <w:r w:rsidR="00415DE0" w:rsidRPr="00415DE0">
              <w:rPr>
                <w:rFonts w:ascii="Times New Roman" w:hAnsi="Times New Roman"/>
                <w:sz w:val="24"/>
                <w:szCs w:val="24"/>
              </w:rPr>
              <w:t>16</w:t>
            </w:r>
            <w:r w:rsidRPr="00415DE0">
              <w:rPr>
                <w:rFonts w:ascii="Times New Roman" w:hAnsi="Times New Roman"/>
                <w:sz w:val="24"/>
                <w:szCs w:val="24"/>
              </w:rPr>
              <w:t xml:space="preserve">. gada līdz </w:t>
            </w:r>
            <w:r w:rsidR="00415DE0" w:rsidRPr="00415DE0">
              <w:rPr>
                <w:rFonts w:ascii="Times New Roman" w:hAnsi="Times New Roman"/>
                <w:sz w:val="24"/>
                <w:szCs w:val="24"/>
              </w:rPr>
              <w:t xml:space="preserve">2023. gada </w:t>
            </w:r>
            <w:r w:rsidRPr="00415DE0">
              <w:rPr>
                <w:rFonts w:ascii="Times New Roman" w:hAnsi="Times New Roman"/>
                <w:sz w:val="24"/>
                <w:szCs w:val="24"/>
              </w:rPr>
              <w:t>beigām ti</w:t>
            </w:r>
            <w:r w:rsidR="00415DE0" w:rsidRPr="00415DE0">
              <w:rPr>
                <w:rFonts w:ascii="Times New Roman" w:hAnsi="Times New Roman"/>
                <w:sz w:val="24"/>
                <w:szCs w:val="24"/>
              </w:rPr>
              <w:t>ks nodrošināts</w:t>
            </w:r>
            <w:r w:rsidRPr="00415DE0">
              <w:rPr>
                <w:rFonts w:ascii="Times New Roman" w:hAnsi="Times New Roman"/>
                <w:sz w:val="24"/>
                <w:szCs w:val="24"/>
              </w:rPr>
              <w:t xml:space="preserve"> </w:t>
            </w:r>
            <w:r w:rsidR="00415DE0" w:rsidRPr="00415DE0">
              <w:rPr>
                <w:rFonts w:ascii="Times New Roman" w:hAnsi="Times New Roman"/>
                <w:sz w:val="24"/>
                <w:szCs w:val="24"/>
              </w:rPr>
              <w:t xml:space="preserve">„Darbības programmas „Izaugsme un nodarbinātība” 9.1.1. specifiskā atbalsta mērķa „Palielināt nelabvēlīgākā situācijā esošu bezdarbnieku iekļaušanos darba tirgū” 9.1.1.2. pasākuma </w:t>
            </w:r>
            <w:r w:rsidR="00741B2F" w:rsidRPr="00741B2F">
              <w:rPr>
                <w:rFonts w:ascii="Times New Roman" w:hAnsi="Times New Roman"/>
                <w:sz w:val="24"/>
                <w:szCs w:val="24"/>
              </w:rPr>
              <w:t>„</w:t>
            </w:r>
            <w:r w:rsidR="00415DE0" w:rsidRPr="00415DE0">
              <w:rPr>
                <w:rFonts w:ascii="Times New Roman" w:hAnsi="Times New Roman"/>
                <w:sz w:val="24"/>
                <w:szCs w:val="24"/>
              </w:rPr>
              <w:t>Ilgstošo bezdarbnieku aktivizācijas pasākumi” ietvaros.</w:t>
            </w:r>
            <w:r w:rsidR="00415DE0">
              <w:t xml:space="preserve"> </w:t>
            </w:r>
          </w:p>
          <w:p w:rsidR="0080430C" w:rsidRDefault="00C35F00" w:rsidP="00624723">
            <w:pPr>
              <w:pStyle w:val="ListParagraph"/>
              <w:shd w:val="clear" w:color="auto" w:fill="FFFFFF"/>
              <w:spacing w:line="240" w:lineRule="auto"/>
              <w:ind w:left="-66"/>
              <w:jc w:val="both"/>
              <w:rPr>
                <w:rFonts w:ascii="Times New Roman" w:hAnsi="Times New Roman"/>
                <w:sz w:val="24"/>
                <w:szCs w:val="24"/>
              </w:rPr>
            </w:pPr>
            <w:r w:rsidRPr="00415DE0">
              <w:rPr>
                <w:rFonts w:ascii="Times New Roman" w:hAnsi="Times New Roman"/>
                <w:sz w:val="24"/>
                <w:szCs w:val="24"/>
              </w:rPr>
              <w:t xml:space="preserve">Neskatoties uz to, ka </w:t>
            </w:r>
            <w:r w:rsidR="00415DE0">
              <w:rPr>
                <w:rFonts w:ascii="Times New Roman" w:hAnsi="Times New Roman"/>
                <w:sz w:val="24"/>
                <w:szCs w:val="24"/>
              </w:rPr>
              <w:t xml:space="preserve">arī pasākumam </w:t>
            </w:r>
            <w:r w:rsidR="00415DE0" w:rsidRPr="00415DE0">
              <w:rPr>
                <w:rFonts w:ascii="Times New Roman" w:hAnsi="Times New Roman"/>
                <w:sz w:val="24"/>
                <w:szCs w:val="24"/>
              </w:rPr>
              <w:t>„</w:t>
            </w:r>
            <w:r w:rsidR="00415DE0">
              <w:rPr>
                <w:rFonts w:ascii="Times New Roman" w:hAnsi="Times New Roman"/>
                <w:sz w:val="24"/>
                <w:szCs w:val="24"/>
              </w:rPr>
              <w:t xml:space="preserve">Algoti pagaidu sabiedriskie darbi” (turpmāk – APSD) </w:t>
            </w:r>
            <w:r w:rsidRPr="00415DE0">
              <w:rPr>
                <w:rFonts w:ascii="Times New Roman" w:hAnsi="Times New Roman"/>
                <w:sz w:val="24"/>
                <w:szCs w:val="24"/>
              </w:rPr>
              <w:t>ir pozitīva ietekme uz</w:t>
            </w:r>
            <w:r w:rsidR="00415DE0">
              <w:rPr>
                <w:rFonts w:ascii="Times New Roman" w:hAnsi="Times New Roman"/>
                <w:sz w:val="24"/>
                <w:szCs w:val="24"/>
              </w:rPr>
              <w:t xml:space="preserve"> ilgstošo</w:t>
            </w:r>
            <w:r w:rsidRPr="00415DE0">
              <w:rPr>
                <w:rFonts w:ascii="Times New Roman" w:hAnsi="Times New Roman"/>
                <w:sz w:val="24"/>
                <w:szCs w:val="24"/>
              </w:rPr>
              <w:t xml:space="preserve"> bezdarbnieku reintegrāciju darba tirgū, APSD ir arī trūkumi, piemēram, tie ne vienmēr var palīdzēt cilvēkam paaugstināt kvalifikāciju. Papildus ir nepieciešams kombinēt APSD pasākumus ar citiem aktīvajiem darba tirgus politikas pasākumiem, kas palīdzētu cilvēkiem ne tikai uzturēt darba iemaņas, bet arī iegūt papildu prasmes.</w:t>
            </w:r>
            <w:r w:rsidR="00BE2E77">
              <w:rPr>
                <w:rFonts w:ascii="Times New Roman" w:hAnsi="Times New Roman"/>
                <w:sz w:val="24"/>
                <w:szCs w:val="24"/>
              </w:rPr>
              <w:t xml:space="preserve"> Tādēļ APSD nepieciešams kombinēt ar pasākumiem motivācijas veicināšanai Ilgstošo bezdarbnieku aktivizācijas pasākumu ietvaros. </w:t>
            </w:r>
          </w:p>
          <w:p w:rsidR="0080430C" w:rsidRDefault="0080430C" w:rsidP="00624723">
            <w:pPr>
              <w:pStyle w:val="ListParagraph"/>
              <w:shd w:val="clear" w:color="auto" w:fill="FFFFFF"/>
              <w:spacing w:line="240" w:lineRule="auto"/>
              <w:ind w:left="-66"/>
              <w:jc w:val="both"/>
              <w:rPr>
                <w:rFonts w:ascii="Times New Roman" w:hAnsi="Times New Roman"/>
                <w:sz w:val="24"/>
                <w:szCs w:val="24"/>
              </w:rPr>
            </w:pPr>
            <w:r w:rsidRPr="0080430C">
              <w:rPr>
                <w:rFonts w:ascii="Times New Roman" w:hAnsi="Times New Roman"/>
                <w:sz w:val="24"/>
                <w:szCs w:val="24"/>
              </w:rPr>
              <w:t xml:space="preserve">Ilgstošo bezdarbnieku aktivizācijas pasākumu mērķis ir </w:t>
            </w:r>
            <w:r w:rsidR="00C35F00" w:rsidRPr="0080430C">
              <w:rPr>
                <w:rFonts w:ascii="Times New Roman" w:hAnsi="Times New Roman"/>
                <w:sz w:val="24"/>
                <w:szCs w:val="24"/>
              </w:rPr>
              <w:t xml:space="preserve">veicināt bezdarbnieku iekļaušanos sabiedrībā un iekārtošanos piemērotā pastāvīgā darbā vai piemērotā izglītībā/apmācībā, mazinot sociālās atstumtības riskus. Šī mērķa sasniegšanai </w:t>
            </w:r>
            <w:r w:rsidR="00B568A8">
              <w:rPr>
                <w:rFonts w:ascii="Times New Roman" w:hAnsi="Times New Roman"/>
                <w:sz w:val="24"/>
                <w:szCs w:val="24"/>
              </w:rPr>
              <w:t>Noteikumu</w:t>
            </w:r>
            <w:r w:rsidR="00C35F00" w:rsidRPr="0080430C">
              <w:rPr>
                <w:rFonts w:ascii="Times New Roman" w:hAnsi="Times New Roman"/>
                <w:sz w:val="24"/>
                <w:szCs w:val="24"/>
              </w:rPr>
              <w:t xml:space="preserve"> projekts paredz īstenot vairākas atbalstāmās darbības, piemēram:</w:t>
            </w:r>
          </w:p>
          <w:p w:rsidR="00C35F00" w:rsidRPr="00CF2CBA" w:rsidRDefault="00C35F00" w:rsidP="00624723">
            <w:pPr>
              <w:pStyle w:val="ListParagraph"/>
              <w:shd w:val="clear" w:color="auto" w:fill="FFFFFF"/>
              <w:spacing w:after="0" w:line="240" w:lineRule="auto"/>
              <w:ind w:left="-66"/>
              <w:jc w:val="both"/>
              <w:rPr>
                <w:rFonts w:ascii="Times New Roman" w:hAnsi="Times New Roman"/>
                <w:sz w:val="24"/>
                <w:szCs w:val="24"/>
              </w:rPr>
            </w:pPr>
            <w:r w:rsidRPr="00CF2CBA">
              <w:rPr>
                <w:rFonts w:ascii="Times New Roman" w:hAnsi="Times New Roman"/>
                <w:sz w:val="24"/>
                <w:szCs w:val="24"/>
              </w:rPr>
              <w:t>- sniegt individuālās speciālistu un grupu konsultācijas (t.sk. karjeras konsultantu, psihologu, psihoterapeitu), kas veicina indivīda (bezdarbnieka) pašapziņas paaugstināšanos un motivāciju integrēties darba tirgū;</w:t>
            </w:r>
          </w:p>
          <w:p w:rsidR="00C35F00" w:rsidRPr="007528D2" w:rsidRDefault="00C35F00" w:rsidP="00624723">
            <w:pPr>
              <w:shd w:val="clear" w:color="auto" w:fill="FFFFFF"/>
              <w:ind w:left="-66"/>
              <w:contextualSpacing/>
              <w:jc w:val="both"/>
            </w:pPr>
            <w:r>
              <w:t xml:space="preserve">- padziļinātas veselības pārbaudes bezdarbniekiem, nosakot </w:t>
            </w:r>
            <w:r w:rsidRPr="00B93F38">
              <w:t>piemērotību piedāvātajam dar</w:t>
            </w:r>
            <w:r>
              <w:t xml:space="preserve">bam, kā arī individuālajā darba </w:t>
            </w:r>
            <w:r w:rsidRPr="00B93F38">
              <w:t>meklēšanas plānā paredzētajiem aktīvajiem nodarbinātības pasākumiem</w:t>
            </w:r>
            <w:r>
              <w:t xml:space="preserve"> (izvērtējot veselības stāvokļa atbilstību </w:t>
            </w:r>
            <w:r w:rsidRPr="00834E0C">
              <w:t>veselībai kaitīgajiem darba vides faktoriem</w:t>
            </w:r>
            <w:r>
              <w:t>);</w:t>
            </w:r>
          </w:p>
          <w:p w:rsidR="00C35F00" w:rsidRDefault="00C35F00" w:rsidP="00624723">
            <w:pPr>
              <w:shd w:val="clear" w:color="auto" w:fill="FFFFFF"/>
              <w:ind w:left="-66"/>
              <w:jc w:val="both"/>
            </w:pPr>
            <w:r w:rsidRPr="0096277B">
              <w:t xml:space="preserve">- </w:t>
            </w:r>
            <w:r w:rsidRPr="00FB0787">
              <w:t>profesionālās piemērotības noteikšan</w:t>
            </w:r>
            <w:r>
              <w:t>u</w:t>
            </w:r>
            <w:r w:rsidRPr="00FB0787">
              <w:t>, kuras ietvaros tiks noskaidrota</w:t>
            </w:r>
            <w:r>
              <w:t>s</w:t>
            </w:r>
            <w:r w:rsidRPr="00FB0787">
              <w:t xml:space="preserve"> bezdarbnieku intereses un motivācija mācīties, novērtētas to spējas un zināšanas, kā arī iemaņu atbilstība izvēlētajai profesijai;</w:t>
            </w:r>
          </w:p>
          <w:p w:rsidR="00C35F00" w:rsidRPr="00E95DA7" w:rsidRDefault="00C35F00" w:rsidP="00624723">
            <w:pPr>
              <w:shd w:val="clear" w:color="auto" w:fill="FFFFFF"/>
              <w:ind w:left="-66" w:right="-1"/>
              <w:jc w:val="both"/>
            </w:pPr>
            <w:r>
              <w:t xml:space="preserve">- bezdarbnieku motivācijas programmu darba meklēšanai un </w:t>
            </w:r>
            <w:r w:rsidRPr="008046E6">
              <w:t>mentora pakalpojumus (kurš palīdz bezdarbniekam pēc motivācijas programmas pabeigšanas iekārtoties pastāvīgā darbā un sniedz psiholoģisko atbalstu);</w:t>
            </w:r>
          </w:p>
          <w:p w:rsidR="00C35F00" w:rsidRPr="000A7CC1" w:rsidRDefault="00C35F00" w:rsidP="00CF2CBA">
            <w:pPr>
              <w:shd w:val="clear" w:color="auto" w:fill="FFFFFF"/>
              <w:ind w:left="-66" w:right="-1"/>
              <w:jc w:val="both"/>
            </w:pPr>
            <w:r w:rsidRPr="00FB0787">
              <w:t>- atbalsta pasākumu</w:t>
            </w:r>
            <w:r>
              <w:t>s</w:t>
            </w:r>
            <w:r w:rsidRPr="00FB0787">
              <w:t xml:space="preserve"> bezdarbniekiem ar atkarības problēmām, kas ietver </w:t>
            </w:r>
            <w:r w:rsidRPr="00154DAC">
              <w:t xml:space="preserve">narkologa atzinuma saņemšanu bezdarbniekiem (kuriem iespējama alkohola, narkotisko </w:t>
            </w:r>
            <w:r w:rsidRPr="00154DAC">
              <w:lastRenderedPageBreak/>
              <w:t>vai psihotropo vielu atkarība, bet nav saņemts narkologa atzinums), Minesotas 12 soļu programmu</w:t>
            </w:r>
            <w:r w:rsidRPr="00FB0787">
              <w:t xml:space="preserve"> </w:t>
            </w:r>
            <w:r>
              <w:t xml:space="preserve">un </w:t>
            </w:r>
            <w:r w:rsidRPr="0084045F">
              <w:t>emocionāl</w:t>
            </w:r>
            <w:r>
              <w:t>o</w:t>
            </w:r>
            <w:r w:rsidRPr="0084045F">
              <w:t xml:space="preserve"> stresa terapij</w:t>
            </w:r>
            <w:r>
              <w:t>u</w:t>
            </w:r>
            <w:r w:rsidRPr="0084045F">
              <w:t xml:space="preserve"> (kodēšan</w:t>
            </w:r>
            <w:r>
              <w:t>u</w:t>
            </w:r>
            <w:r w:rsidRPr="0084045F">
              <w:t>)</w:t>
            </w:r>
            <w:r>
              <w:t xml:space="preserve">, </w:t>
            </w:r>
            <w:r w:rsidRPr="00B97785">
              <w:t xml:space="preserve">ietverot ārsta narkologa konsultācijas, tai skaitā psihoterapeitisko metožu pielietošanu, suģestīvo terapiju un </w:t>
            </w:r>
            <w:proofErr w:type="spellStart"/>
            <w:r w:rsidRPr="00B97785">
              <w:t>sensibilizējošo</w:t>
            </w:r>
            <w:proofErr w:type="spellEnd"/>
            <w:r w:rsidRPr="00B97785">
              <w:t xml:space="preserve"> medikamentu terapiju</w:t>
            </w:r>
            <w:r>
              <w:t xml:space="preserve">. </w:t>
            </w:r>
          </w:p>
          <w:p w:rsidR="00C35F00" w:rsidRPr="00E34563" w:rsidRDefault="00C35F00" w:rsidP="000F1C62">
            <w:pPr>
              <w:shd w:val="clear" w:color="auto" w:fill="FFFFFF"/>
              <w:ind w:left="-66"/>
              <w:jc w:val="both"/>
            </w:pPr>
            <w:r>
              <w:t xml:space="preserve">Pasākuma ietvaros </w:t>
            </w:r>
            <w:r w:rsidR="00FF329E">
              <w:t xml:space="preserve">NVA </w:t>
            </w:r>
            <w:r>
              <w:t xml:space="preserve">sadarbības partneris </w:t>
            </w:r>
            <w:r w:rsidRPr="006F7C2C">
              <w:t>ir Sociālā</w:t>
            </w:r>
            <w:r w:rsidR="006344D9">
              <w:t>s integrācijas valsts aģentūra</w:t>
            </w:r>
            <w:r>
              <w:t xml:space="preserve">, kas nodrošina bezdarbniekiem ar invaliditāti vai prognozējamo invaliditāti profesionālās piemērotības noteikšanu, veicot, piemēram, bezdarbnieka veselības stāvokļa novērtēšanu, noskaidrojot bezdarbnieka intereses par profesionālās darbības </w:t>
            </w:r>
            <w:r w:rsidRPr="00154DAC">
              <w:t>jomām, interesi par profesionālās izgl</w:t>
            </w:r>
            <w:r w:rsidR="00D73F45">
              <w:t>ītības programmām u.c. Sadarbība</w:t>
            </w:r>
            <w:r w:rsidRPr="00154DAC">
              <w:t xml:space="preserve"> starp finansējuma saņēmēju un sadarbības partneri </w:t>
            </w:r>
            <w:r w:rsidR="00FF329E">
              <w:t xml:space="preserve">tiks uzsākta </w:t>
            </w:r>
            <w:r w:rsidRPr="00154DAC">
              <w:t xml:space="preserve">no dienas, kad spēkā stājies likums </w:t>
            </w:r>
            <w:r w:rsidR="000F1C62" w:rsidRPr="000F1C62">
              <w:t>„</w:t>
            </w:r>
            <w:r w:rsidRPr="00154DAC">
              <w:t>Grozījumi Sociālo pakalpojumu u</w:t>
            </w:r>
            <w:r w:rsidR="000F1C62">
              <w:t>n sociālās palīdzības likumā”</w:t>
            </w:r>
            <w:r w:rsidRPr="00E34563">
              <w:t>,</w:t>
            </w:r>
            <w:r w:rsidR="00FD6D68">
              <w:t xml:space="preserve"> kuru</w:t>
            </w:r>
            <w:r w:rsidRPr="00E34563">
              <w:t xml:space="preserve"> Saeima akceptēju</w:t>
            </w:r>
            <w:r w:rsidR="000F1C62">
              <w:t>si 1. lasījumā 2015.gada 19.februārī</w:t>
            </w:r>
            <w:r w:rsidRPr="00E34563">
              <w:t xml:space="preserve">. </w:t>
            </w:r>
            <w:r w:rsidR="000F1C62">
              <w:t xml:space="preserve">Izskatīšanai </w:t>
            </w:r>
            <w:r w:rsidRPr="00E34563">
              <w:t xml:space="preserve">2. lasījumā tika saņemti 140 priekšlikumi, kurus šobrīd izskata atbildīgā </w:t>
            </w:r>
            <w:r w:rsidR="000F1C62">
              <w:t>Saeimas Sociālo un darba lietu komisija</w:t>
            </w:r>
            <w:r w:rsidRPr="00E34563">
              <w:t>.</w:t>
            </w:r>
          </w:p>
          <w:p w:rsidR="00C35F00" w:rsidRPr="000A7CC1" w:rsidRDefault="00C35F00" w:rsidP="008F34EA">
            <w:pPr>
              <w:shd w:val="clear" w:color="auto" w:fill="FFFFFF"/>
              <w:ind w:left="-66" w:right="-1"/>
              <w:jc w:val="both"/>
            </w:pPr>
            <w:r w:rsidRPr="000A7CC1">
              <w:t>Saskaņā ar Ekonomikas ministrijas prognozēm, līdz 2020.gadam ilgstošo bezda</w:t>
            </w:r>
            <w:r w:rsidR="008F34EA">
              <w:t xml:space="preserve">rbnieku skaits </w:t>
            </w:r>
            <w:r w:rsidRPr="000A7CC1">
              <w:t>varētu samazināties par pusi. Izmantojot NVA datus par reģistrētajiem bezdarbniekiem, ir veikts aprēķins ilgstošo bezdarbnieku plūsmai reģistrētajā bezdarbā līdz 2020.gadam: kopumā 2016.–2020.gadā par ilgstošajiem bezdarbniekiem varētu kļūt indikatīvi 74 529 personas. No tiem ilgstošo bezdarbnieku aktivizācijas programmā plānots iesaistīt 30% jeb indikatīvi 20 000 bezdarbnieku (tos, kuriem ir veselības problēmas, zema motivācija meklēt un zemas spējas atrast darbu, t.sk. integrēties darba tir</w:t>
            </w:r>
            <w:r w:rsidR="002424A9">
              <w:t>gū). M</w:t>
            </w:r>
            <w:r w:rsidR="008F34EA">
              <w:t>otivētāki, spējīgāki un darba tirgum sagatavotāki</w:t>
            </w:r>
            <w:r w:rsidRPr="000A7CC1">
              <w:t xml:space="preserve"> ilgstošie bezdarbnieki varēs piedalītie</w:t>
            </w:r>
            <w:r w:rsidR="008F34EA">
              <w:t xml:space="preserve">s citās NVA atbalsta programmās. </w:t>
            </w:r>
            <w:r w:rsidR="00F840DA">
              <w:t>Paredzētie atbalsta pasākumi:</w:t>
            </w:r>
          </w:p>
          <w:p w:rsidR="00C35F00" w:rsidRPr="000A7CC1" w:rsidRDefault="00C35F00" w:rsidP="00BA56DD">
            <w:pPr>
              <w:shd w:val="clear" w:color="auto" w:fill="FFFFFF"/>
              <w:ind w:left="-66" w:right="-1"/>
              <w:jc w:val="both"/>
            </w:pPr>
            <w:r w:rsidRPr="000A7CC1">
              <w:t xml:space="preserve">1) karjeras, psihologu, psihoterapeitu konsultācijas varētu saņemt indikatīvi 19 193 personas (26% no kopējā ilgstošo bezdarbnieku skaita jeb 96% no projekta mērķa grupas). Viena mērķa grupas bezdarbnieka vidējās izmaksas indikatīvi ir plānotas 216 </w:t>
            </w:r>
            <w:proofErr w:type="spellStart"/>
            <w:r w:rsidRPr="000A7CC1">
              <w:rPr>
                <w:i/>
              </w:rPr>
              <w:t>euro</w:t>
            </w:r>
            <w:proofErr w:type="spellEnd"/>
            <w:r w:rsidRPr="000A7CC1">
              <w:t xml:space="preserve"> apmērā (vidēji 11 stundas psihologa vai psihoterapeita konsultācijas) un tās veido: karjeras konsultāciju izmaksas (telpu noma, izdales materiāli), un psihologa vai psihoterapeita izmaksas;</w:t>
            </w:r>
          </w:p>
          <w:p w:rsidR="00C35F00" w:rsidRPr="000A7CC1" w:rsidRDefault="00C35F00" w:rsidP="00BA56DD">
            <w:pPr>
              <w:shd w:val="clear" w:color="auto" w:fill="FFFFFF"/>
              <w:ind w:left="-66" w:right="-1"/>
              <w:jc w:val="both"/>
            </w:pPr>
            <w:r w:rsidRPr="000A7CC1">
              <w:t xml:space="preserve">2) padziļinātas veselības pārbaudes pie arodslimību ārsta plānots nodrošināt aptuveni 1 000 bezdarbniekiem (1.3% no kopējā ilgstošo bezdarbnieku skaita jeb 5% no projekta mērķa grupas). Viena mērķa grupas bezdarbnieka vidējās izmaksas ir plānotas indikatīvi 35 </w:t>
            </w:r>
            <w:proofErr w:type="spellStart"/>
            <w:r w:rsidRPr="000A7CC1">
              <w:rPr>
                <w:i/>
              </w:rPr>
              <w:t>euro</w:t>
            </w:r>
            <w:proofErr w:type="spellEnd"/>
            <w:r w:rsidRPr="000A7CC1">
              <w:t xml:space="preserve"> un tās ietver: padziļinātu veselības pārbaudi, kā arī bezdarbnieka nokļūšanu līdz padziļinātas veselības pārbaudes veikšanas vietai un atpakaļ;</w:t>
            </w:r>
          </w:p>
          <w:p w:rsidR="00C35F00" w:rsidRPr="000A7CC1" w:rsidRDefault="00C35F00" w:rsidP="00BA56DD">
            <w:pPr>
              <w:shd w:val="clear" w:color="auto" w:fill="FFFFFF"/>
              <w:ind w:left="-66" w:right="-1"/>
              <w:jc w:val="both"/>
            </w:pPr>
            <w:r w:rsidRPr="000A7CC1">
              <w:t xml:space="preserve">3) profesionālo piemērotību plānots noteikt aptuveni 1 000 </w:t>
            </w:r>
            <w:r w:rsidRPr="000A7CC1">
              <w:lastRenderedPageBreak/>
              <w:t xml:space="preserve">bezdarbniekiem (1.3% no kopējā ilgstošo bezdarbnieku skaita jeb 5% no projekta mērķa grupas). Viena mērķa grupas bezdarbnieka vidējās izmaksas ir plānotas indikatīvi 353 </w:t>
            </w:r>
            <w:proofErr w:type="spellStart"/>
            <w:r w:rsidRPr="000A7CC1">
              <w:rPr>
                <w:i/>
              </w:rPr>
              <w:t>euro</w:t>
            </w:r>
            <w:proofErr w:type="spellEnd"/>
            <w:r w:rsidRPr="000A7CC1">
              <w:t xml:space="preserve"> un tās veido: profesionālās piemērotības laikā nepieciešamo speciālistu konsultācijas, izmitināšanas un ēdināšanas izdevumi, kā arī iekšzemes transporta izdevumi, par viena bezdarbnieka nokļūšanu līdz pakalpojuma sniegšanas vietai un atpakaļ;</w:t>
            </w:r>
          </w:p>
          <w:p w:rsidR="00C35F00" w:rsidRPr="00154DAC" w:rsidRDefault="00C35F00" w:rsidP="00BA56DD">
            <w:pPr>
              <w:shd w:val="clear" w:color="auto" w:fill="FFFFFF"/>
              <w:ind w:left="-66" w:right="-1"/>
              <w:jc w:val="both"/>
            </w:pPr>
            <w:r w:rsidRPr="000A7CC1">
              <w:t xml:space="preserve">4) motivācijas programmās plānots iesaistīt indikatīvi 18 600 bezdarbniekus (25% no kopējā ilgstošo bezdarbnieku skaita jeb 93% no projekta mērķa grupas). Viena mērķa grupas bezdarbnieka vidējās izmaksas ir plānotas indikatīvi 753 </w:t>
            </w:r>
            <w:proofErr w:type="spellStart"/>
            <w:r w:rsidRPr="000A7CC1">
              <w:rPr>
                <w:i/>
              </w:rPr>
              <w:t>euro</w:t>
            </w:r>
            <w:proofErr w:type="spellEnd"/>
            <w:r w:rsidRPr="000A7CC1">
              <w:t xml:space="preserve"> un tās ietver: motivācijas programmu vienam bezdarbniekam (nepārsniedzot 600 </w:t>
            </w:r>
            <w:proofErr w:type="spellStart"/>
            <w:r w:rsidRPr="000A7CC1">
              <w:rPr>
                <w:i/>
              </w:rPr>
              <w:t>euro</w:t>
            </w:r>
            <w:proofErr w:type="spellEnd"/>
            <w:r w:rsidRPr="000A7CC1">
              <w:t xml:space="preserve">), kā arī stipendiju bezdarbniekam indikatīvi 150 </w:t>
            </w:r>
            <w:proofErr w:type="spellStart"/>
            <w:r w:rsidRPr="000A7CC1">
              <w:rPr>
                <w:i/>
              </w:rPr>
              <w:t>euro</w:t>
            </w:r>
            <w:proofErr w:type="spellEnd"/>
            <w:r w:rsidRPr="000A7CC1">
              <w:t xml:space="preserve"> apmērā</w:t>
            </w:r>
            <w:r>
              <w:t xml:space="preserve"> </w:t>
            </w:r>
            <w:r w:rsidRPr="00154DAC">
              <w:t xml:space="preserve">(stipendiju izmaksā proporcionāli iesaistes laikam attiecīgajā mēnesī). </w:t>
            </w:r>
          </w:p>
          <w:p w:rsidR="00C35F00" w:rsidRPr="008046E6" w:rsidRDefault="00C35F00" w:rsidP="00BA56DD">
            <w:pPr>
              <w:shd w:val="clear" w:color="auto" w:fill="FFFFFF"/>
              <w:ind w:left="-66" w:right="-1"/>
              <w:jc w:val="both"/>
            </w:pPr>
            <w:r w:rsidRPr="00154DAC">
              <w:t xml:space="preserve">Bezdarbnieki, kuri paralēli iesaistās algotajos pagaidu sabiedriskajos darbos, motivācijas programmā tiek iesaistīt 12 nedēļas (divas nedēļas katru darba dienu, astoņas akadēmiskās stundas; no trešās darba nedēļas līdz divpadsmitajai darba nedēļai – vienu reizi nedēļā, astoņas akadēmiskās stundas paralēli bezdarbnieka iesaistei algotajos pagaidu sabiedriskajos darbos), savukārt bezdarbnieki, kuri paralēli neiesaistās algotajos pagaidu sabiedriskajos darbos, </w:t>
            </w:r>
            <w:r w:rsidRPr="008046E6">
              <w:t>motivācijas programmā tiek iesaistīti četras nedēļas katru darba dienu, astoņas akadēmiskās stundas.</w:t>
            </w:r>
          </w:p>
          <w:p w:rsidR="00C35F00" w:rsidRPr="008046E6" w:rsidRDefault="00C35F00" w:rsidP="00BA56DD">
            <w:pPr>
              <w:shd w:val="clear" w:color="auto" w:fill="FFFFFF"/>
              <w:ind w:left="-66" w:right="-1"/>
              <w:jc w:val="both"/>
            </w:pPr>
            <w:r w:rsidRPr="008046E6">
              <w:t xml:space="preserve">Pasākuma ietvaros vienam pakalpojumu sniedzējam būs jānodrošina gan motivācijas programma darba meklēšanai, gan mentora pakalpojumi, lai tiktu nodrošināta efektīvāka bezdarbnieku iekārtošanās (pēc motivācijas programmas pabeigšanas) patstāvīgā darbā. Viens mentors vienlaikus </w:t>
            </w:r>
            <w:r w:rsidR="00CE742B">
              <w:t>nodrošina pakalpojumu ne vairāk</w:t>
            </w:r>
            <w:r w:rsidRPr="008046E6">
              <w:t xml:space="preserve"> kā sešiem bezdarbniekiem:</w:t>
            </w:r>
          </w:p>
          <w:p w:rsidR="00C35F00" w:rsidRPr="008046E6" w:rsidRDefault="00C35F00" w:rsidP="00BA56DD">
            <w:pPr>
              <w:shd w:val="clear" w:color="auto" w:fill="FFFFFF"/>
              <w:ind w:left="-66" w:right="-1"/>
              <w:jc w:val="both"/>
            </w:pPr>
            <w:r w:rsidRPr="008046E6">
              <w:t>- nepārsniedzot trīs mēnešus kopš bezdarbnieks ir pabeidzis motivācijas programmu vai mazāk, ja bezdarbnieks iekārtojas patstāvīgā darbā vai;</w:t>
            </w:r>
          </w:p>
          <w:p w:rsidR="00C35F00" w:rsidRDefault="00C35F00" w:rsidP="00BA56DD">
            <w:pPr>
              <w:shd w:val="clear" w:color="auto" w:fill="FFFFFF"/>
              <w:ind w:left="-66" w:right="-1"/>
              <w:jc w:val="both"/>
            </w:pPr>
            <w:r w:rsidRPr="008046E6">
              <w:t>- nepārsniedzot sešu mēnešus kopš bezdarbnieks (persona ar invaliditāti) ir pabeidzis motivācijas programmu vai mazāk, ja bezdarbnieks (persona ar invaliditāti) iekārtojas patstāvīgā darbā.</w:t>
            </w:r>
          </w:p>
          <w:p w:rsidR="00C35F00" w:rsidRPr="00114DA1" w:rsidRDefault="00C35F00" w:rsidP="00BA56DD">
            <w:pPr>
              <w:shd w:val="clear" w:color="auto" w:fill="FFFFFF"/>
              <w:ind w:left="-66" w:right="-1"/>
              <w:jc w:val="both"/>
            </w:pPr>
            <w:r w:rsidRPr="000A7CC1">
              <w:t xml:space="preserve">5) atbalsta pasākumos atkarību ārstēšanai plānots iesaistīt aptuveni 1 350 bezdarbniekus (1.8% no kopējā ilgstošo bezdarbnieku skaita jeb 7% no projekta mērķa grupas). </w:t>
            </w:r>
            <w:r>
              <w:t xml:space="preserve"> </w:t>
            </w:r>
            <w:r w:rsidRPr="00114DA1">
              <w:t xml:space="preserve">Pasākuma ietvaros bezdarbniekiem ar atkarības problēmām paredzēti šādi atbalsta pasākumi: </w:t>
            </w:r>
          </w:p>
          <w:p w:rsidR="00C35F00" w:rsidRPr="00114DA1" w:rsidRDefault="00C35F00" w:rsidP="00BA56DD">
            <w:pPr>
              <w:shd w:val="clear" w:color="auto" w:fill="FFFFFF"/>
              <w:ind w:left="-66" w:right="-1"/>
              <w:jc w:val="both"/>
            </w:pPr>
            <w:r w:rsidRPr="00114DA1">
              <w:t>1) ārstēšana pēc Minesotas 12 soļu programmas;</w:t>
            </w:r>
          </w:p>
          <w:p w:rsidR="00C35F00" w:rsidRPr="00114DA1" w:rsidRDefault="00C35F00" w:rsidP="00BA56DD">
            <w:pPr>
              <w:shd w:val="clear" w:color="auto" w:fill="FFFFFF"/>
              <w:ind w:left="-66" w:right="-1"/>
              <w:jc w:val="both"/>
            </w:pPr>
            <w:r w:rsidRPr="00114DA1">
              <w:t xml:space="preserve">2) emocionālā stresa terapija (kodēšana), ietverot ārsta narkologa konsultācijas, tai skaitā, psihoterapeitisko </w:t>
            </w:r>
            <w:r w:rsidRPr="00114DA1">
              <w:lastRenderedPageBreak/>
              <w:t xml:space="preserve">metožu pielietošanu, suģestīvo terapiju un </w:t>
            </w:r>
            <w:proofErr w:type="spellStart"/>
            <w:r w:rsidRPr="00114DA1">
              <w:t>sensibilizējošo</w:t>
            </w:r>
            <w:proofErr w:type="spellEnd"/>
            <w:r w:rsidRPr="00114DA1">
              <w:t xml:space="preserve"> medikamentu terapiju;</w:t>
            </w:r>
          </w:p>
          <w:p w:rsidR="00C35F00" w:rsidRPr="00114DA1" w:rsidRDefault="00C35F00" w:rsidP="00BA56DD">
            <w:pPr>
              <w:shd w:val="clear" w:color="auto" w:fill="FFFFFF"/>
              <w:ind w:left="-66" w:right="-1"/>
              <w:jc w:val="both"/>
            </w:pPr>
            <w:r w:rsidRPr="00114DA1">
              <w:t>3) narkologa atzinuma saņemšana (bezdarbniekiem, kuriem iespējama alkohola, narkotisko vai psihotropo vielu atkarība, bet nav saņemts narkologa atzinums).</w:t>
            </w:r>
          </w:p>
          <w:p w:rsidR="00C35F00" w:rsidRPr="00114DA1" w:rsidRDefault="000913F7" w:rsidP="00BA56DD">
            <w:pPr>
              <w:shd w:val="clear" w:color="auto" w:fill="FFFFFF"/>
              <w:ind w:left="-66" w:right="-1"/>
              <w:jc w:val="both"/>
            </w:pPr>
            <w:r>
              <w:t>Minesotas 12 soļu programmas ietvaros tiek segta pacienta iemaksa</w:t>
            </w:r>
            <w:r w:rsidR="00C35F00" w:rsidRPr="00114DA1">
              <w:t xml:space="preserve"> 7,11 </w:t>
            </w:r>
            <w:proofErr w:type="spellStart"/>
            <w:r w:rsidR="00C35F00" w:rsidRPr="00114DA1">
              <w:rPr>
                <w:i/>
              </w:rPr>
              <w:t>euro</w:t>
            </w:r>
            <w:proofErr w:type="spellEnd"/>
            <w:r w:rsidR="00C35F00" w:rsidRPr="00114DA1">
              <w:t xml:space="preserve"> apmērā par vienu ārstēšanās dienu, ja bezdarbnieks ārstniecības pakalpojumus saņem ambulatori vai stacionāri, un bezdarbnieka izmitināšanas un ēdināšanas izdevumus 13,37 </w:t>
            </w:r>
            <w:proofErr w:type="spellStart"/>
            <w:r w:rsidR="00C35F00" w:rsidRPr="00114DA1">
              <w:rPr>
                <w:i/>
              </w:rPr>
              <w:t>euro</w:t>
            </w:r>
            <w:proofErr w:type="spellEnd"/>
            <w:r w:rsidR="00C35F00" w:rsidRPr="00114DA1">
              <w:t xml:space="preserve"> dienā proporcionāli faktiskajam bezdarbnieka izmitināšanas un ēdināšanas dienu skaitam, kopā nepārsniedzot 28 dienas, ja ārstniecības pakalpojumus saņem ambulatori (dienas stacionārā). </w:t>
            </w:r>
          </w:p>
          <w:p w:rsidR="00C35F00" w:rsidRPr="00114DA1" w:rsidRDefault="00C35F00" w:rsidP="000913F7">
            <w:pPr>
              <w:shd w:val="clear" w:color="auto" w:fill="FFFFFF"/>
              <w:ind w:left="-66" w:right="-1"/>
              <w:jc w:val="both"/>
            </w:pPr>
            <w:r w:rsidRPr="00114DA1">
              <w:t xml:space="preserve">Pārējās Minesotas 12 soļu programmas izmaksas tiek segtas no veselības aprūpes valsts budžeta līdzekļiem, līdz ar to Minesotas 12 soļu programmā bezdarbnieki tiks iesaistīti vispārējā rindas kārtībā. </w:t>
            </w:r>
          </w:p>
          <w:p w:rsidR="00C35F00" w:rsidRPr="00114DA1" w:rsidRDefault="000913F7" w:rsidP="000913F7">
            <w:pPr>
              <w:shd w:val="clear" w:color="auto" w:fill="FFFFFF"/>
              <w:ind w:left="-66" w:right="-1"/>
              <w:jc w:val="both"/>
            </w:pPr>
            <w:r>
              <w:t>Atbalsta pasākums</w:t>
            </w:r>
            <w:r w:rsidR="00C35F00" w:rsidRPr="00114DA1">
              <w:t xml:space="preserve"> emocionālā s</w:t>
            </w:r>
            <w:r w:rsidR="00625B63">
              <w:t>tresa terapija (kodēšana)</w:t>
            </w:r>
            <w:r w:rsidR="00C35F00" w:rsidRPr="00114DA1">
              <w:t xml:space="preserve"> </w:t>
            </w:r>
            <w:r w:rsidR="00625B63">
              <w:t>ietver</w:t>
            </w:r>
            <w:r w:rsidR="00C35F00" w:rsidRPr="00114DA1">
              <w:t xml:space="preserve"> ārsta narkologa konsultācijas, tai skaitā, psihoterapeitisko metožu pielietošanu, suģestīvo terapiju un </w:t>
            </w:r>
            <w:proofErr w:type="spellStart"/>
            <w:r w:rsidR="00C35F00" w:rsidRPr="00114DA1">
              <w:t>sensib</w:t>
            </w:r>
            <w:r w:rsidR="00625B63">
              <w:t>ilizējošo</w:t>
            </w:r>
            <w:proofErr w:type="spellEnd"/>
            <w:r w:rsidR="00625B63">
              <w:t xml:space="preserve"> medikamentu terapiju un</w:t>
            </w:r>
            <w:r w:rsidR="00C35F00" w:rsidRPr="00114DA1">
              <w:t xml:space="preserve"> no veselības aprūpes valsts budžeta līdzekļiem netiek apmaksāts. Līdz ar to šī atbalsta pasākuma izmaksas tiks segta pilnā apjomā, piesaistot pakalpojumu sniedzēju atbilstoši Publisko iepirkumu likumam. </w:t>
            </w:r>
          </w:p>
          <w:p w:rsidR="00C35F00" w:rsidRPr="00154DAC" w:rsidRDefault="00C35F00" w:rsidP="000913F7">
            <w:pPr>
              <w:shd w:val="clear" w:color="auto" w:fill="FFFFFF"/>
              <w:ind w:left="-66" w:right="-1"/>
              <w:jc w:val="both"/>
            </w:pPr>
            <w:r w:rsidRPr="00154DAC">
              <w:t>Rīgā pasākumā plānots iesaistīt indikatīvi 2046 personas (indikatīvi 10% no dalībnieku kopskaita), Pierīgā – indikatīvi 1415 personas (7%), Kurzemē – indikatīvi 2560 personas (13%), Latgalē – indikatīvi 9444 personas (47%), Vidzemē – indikatīvi 2415 personas (12%) un Zemgalē – indikatīvi 2120 personas (11%).</w:t>
            </w:r>
          </w:p>
          <w:p w:rsidR="00C35F00" w:rsidRDefault="00C35F00" w:rsidP="000913F7">
            <w:pPr>
              <w:shd w:val="clear" w:color="auto" w:fill="FFFFFF"/>
              <w:ind w:left="-66" w:right="-1"/>
              <w:jc w:val="both"/>
            </w:pPr>
            <w:r w:rsidRPr="00154DAC">
              <w:t>Pasākuma ietvaros atkārtoti viena persona var saņemt tikai individuālas speciālistu konsultācijas un grupu konsultācijas (tai skaitā, karjeras, psihologu, psihoterapeitu konsultācijas), kas veicina personas pašapziņas paaugstināšanos un motivāciju integrēties darba tirgū.</w:t>
            </w:r>
            <w:r>
              <w:t xml:space="preserve"> </w:t>
            </w:r>
          </w:p>
          <w:p w:rsidR="007F0825" w:rsidRDefault="00573622" w:rsidP="000913F7">
            <w:pPr>
              <w:shd w:val="clear" w:color="auto" w:fill="FFFFFF"/>
              <w:ind w:left="-66" w:right="-1"/>
              <w:jc w:val="both"/>
            </w:pPr>
            <w:r>
              <w:t>Īstenojot</w:t>
            </w:r>
            <w:r w:rsidR="002542A6">
              <w:t xml:space="preserve"> </w:t>
            </w:r>
            <w:r w:rsidR="009E00F8">
              <w:t>Ilgstošo bezdarbnieku aktivizācijas pasākumu</w:t>
            </w:r>
            <w:r w:rsidR="002542A6">
              <w:t>s</w:t>
            </w:r>
            <w:r w:rsidR="009E00F8">
              <w:t>,</w:t>
            </w:r>
            <w:r>
              <w:t xml:space="preserve"> tiks nodrošināta </w:t>
            </w:r>
            <w:r w:rsidR="009E00F8">
              <w:t xml:space="preserve">atbalsta </w:t>
            </w:r>
            <w:r>
              <w:t>demark</w:t>
            </w:r>
            <w:r w:rsidR="009E00F8">
              <w:t>ācija ar:</w:t>
            </w:r>
          </w:p>
          <w:p w:rsidR="004F305F" w:rsidRPr="004F305F" w:rsidRDefault="007F0825" w:rsidP="00760FB5">
            <w:pPr>
              <w:shd w:val="clear" w:color="auto" w:fill="FFFFFF"/>
              <w:ind w:left="-66" w:right="-1"/>
              <w:jc w:val="both"/>
            </w:pPr>
            <w:r>
              <w:t xml:space="preserve">- </w:t>
            </w:r>
            <w:r w:rsidR="004F305F" w:rsidRPr="004F305F">
              <w:t>7.1.1.</w:t>
            </w:r>
            <w:r>
              <w:t xml:space="preserve"> specifiskā atbalsta mērķa (turpmāk – SAM) </w:t>
            </w:r>
            <w:r w:rsidRPr="007F0825">
              <w:rPr>
                <w:bCs/>
              </w:rPr>
              <w:t>„</w:t>
            </w:r>
            <w:r>
              <w:t>Paaugstināt bezdarbnieku kvalifikāciju un prasmes atbilstoši darba tirgus pieprasījumam”</w:t>
            </w:r>
            <w:r w:rsidR="004F305F" w:rsidRPr="004F305F">
              <w:t xml:space="preserve"> </w:t>
            </w:r>
            <w:r w:rsidR="004F305F" w:rsidRPr="00760FB5">
              <w:t>7.2.1.1.</w:t>
            </w:r>
            <w:r w:rsidR="004F305F" w:rsidRPr="004F305F">
              <w:t>pasākuma</w:t>
            </w:r>
            <w:r w:rsidR="00760FB5">
              <w:t xml:space="preserve"> </w:t>
            </w:r>
            <w:r w:rsidR="00760FB5" w:rsidRPr="00760FB5">
              <w:rPr>
                <w:bCs/>
              </w:rPr>
              <w:t>„Aktīvās darba tirgus politikas pasākumu īstenošana jauniešu bezdarbnieku nodarbinātības veicināšanai”</w:t>
            </w:r>
            <w:r w:rsidR="004F305F" w:rsidRPr="004F305F">
              <w:t xml:space="preserve"> ietvaros sniegtajām konsultācijām, t.i., </w:t>
            </w:r>
            <w:r>
              <w:t>Ilgstošo bezdarbnieku aktivizācijas pasākumu</w:t>
            </w:r>
            <w:r w:rsidR="004F305F" w:rsidRPr="004F305F">
              <w:t xml:space="preserve"> ietvaros personai nesniedz karjeras, psihologa, psihoterapeita u.c. speciālistu konsultācijas, ja persona vienlaikus saņem šādu konsultatīvu atbalstu 7.1.1.SAM</w:t>
            </w:r>
            <w:r w:rsidR="004F305F">
              <w:t xml:space="preserve"> </w:t>
            </w:r>
            <w:r w:rsidR="004F305F" w:rsidRPr="004F305F">
              <w:t xml:space="preserve">un 7.2.1.1.pasākuma </w:t>
            </w:r>
            <w:r w:rsidR="004F305F" w:rsidRPr="004F305F">
              <w:lastRenderedPageBreak/>
              <w:t>ietvaros</w:t>
            </w:r>
            <w:r>
              <w:t xml:space="preserve"> (Noteikumu projekta 1.42.apakšpunkts)</w:t>
            </w:r>
            <w:r w:rsidR="004F305F" w:rsidRPr="004F305F">
              <w:t>;</w:t>
            </w:r>
            <w:r w:rsidRPr="007F0825">
              <w:rPr>
                <w:sz w:val="28"/>
                <w:szCs w:val="28"/>
              </w:rPr>
              <w:t xml:space="preserve"> </w:t>
            </w:r>
          </w:p>
          <w:p w:rsidR="004F305F" w:rsidRPr="004F305F" w:rsidRDefault="004F305F" w:rsidP="007F0825">
            <w:pPr>
              <w:shd w:val="clear" w:color="auto" w:fill="FFFFFF"/>
              <w:ind w:left="-66" w:right="-1"/>
              <w:jc w:val="both"/>
            </w:pPr>
            <w:r w:rsidRPr="004F305F">
              <w:t>-</w:t>
            </w:r>
            <w:r w:rsidR="007F0825">
              <w:t xml:space="preserve"> </w:t>
            </w:r>
            <w:r w:rsidR="00760FB5" w:rsidRPr="00760FB5">
              <w:rPr>
                <w:bCs/>
              </w:rPr>
              <w:t xml:space="preserve">9.1.4.SAM „Palielināt diskriminācijas riskiem pakļauto personu integrāciju sabiedrībā un darba tirgū” </w:t>
            </w:r>
            <w:r w:rsidRPr="004F305F">
              <w:t>9.1.4.1.pasākumu</w:t>
            </w:r>
            <w:r w:rsidR="007F0825">
              <w:t xml:space="preserve"> </w:t>
            </w:r>
            <w:r w:rsidR="007F0825" w:rsidRPr="007F0825">
              <w:rPr>
                <w:bCs/>
              </w:rPr>
              <w:t>„</w:t>
            </w:r>
            <w:r w:rsidR="007F0825">
              <w:rPr>
                <w:bCs/>
              </w:rPr>
              <w:t>Profesionālā rehabilitācija”</w:t>
            </w:r>
            <w:r w:rsidRPr="004F305F">
              <w:t xml:space="preserve">, t.i., </w:t>
            </w:r>
            <w:r w:rsidR="007F0825">
              <w:t>Ilgstošo bezdarbnieku aktivizācijas pasākumu</w:t>
            </w:r>
            <w:r w:rsidRPr="004F305F">
              <w:t xml:space="preserve"> ietvaros personai neveic profesionālās piemērotības noteikšanu, ja personai veikta profesionālās piemērotības noteikšana 9.1.4.1. SAM pasākuma ietvaros;</w:t>
            </w:r>
          </w:p>
          <w:p w:rsidR="004F305F" w:rsidRPr="004F305F" w:rsidRDefault="004F305F" w:rsidP="00760FB5">
            <w:pPr>
              <w:shd w:val="clear" w:color="auto" w:fill="FFFFFF"/>
              <w:ind w:left="-66" w:right="-1"/>
              <w:jc w:val="both"/>
            </w:pPr>
            <w:r w:rsidRPr="004F305F">
              <w:t>-</w:t>
            </w:r>
            <w:r w:rsidR="007F0825">
              <w:t xml:space="preserve"> </w:t>
            </w:r>
            <w:r w:rsidR="007F0825" w:rsidRPr="007F0825">
              <w:rPr>
                <w:bCs/>
              </w:rPr>
              <w:t>9.1.4.SAM „Palielināt diskriminācijas riskiem pakļauto personu integrāciju sabiedrībā un darba tirgū” 9.1.4.4. pasākuma „Dažādību veicināšana (diskriminācijas novēršana)”</w:t>
            </w:r>
            <w:r w:rsidR="007F0825">
              <w:rPr>
                <w:bCs/>
              </w:rPr>
              <w:t xml:space="preserve"> pasākumu</w:t>
            </w:r>
            <w:r w:rsidRPr="004F305F">
              <w:t>, t.i.,</w:t>
            </w:r>
            <w:r w:rsidR="007F0825">
              <w:t xml:space="preserve"> </w:t>
            </w:r>
            <w:r w:rsidRPr="004F305F">
              <w:t xml:space="preserve">personu </w:t>
            </w:r>
            <w:r w:rsidR="00760FB5">
              <w:t xml:space="preserve">Ilgstošo bezdarbnieku aktivizācijas pasākumu ietvaros </w:t>
            </w:r>
            <w:r w:rsidRPr="004F305F">
              <w:t>neiesaista motivācijas programmās darba meklēšanai, ja persona ir iesaistīta</w:t>
            </w:r>
            <w:r w:rsidR="00760FB5">
              <w:t>m motivācijas programmā</w:t>
            </w:r>
            <w:r w:rsidRPr="004F305F">
              <w:t xml:space="preserve"> 9.1.4.4.pasākuma ietvaros</w:t>
            </w:r>
            <w:r w:rsidR="00760FB5">
              <w:t>.</w:t>
            </w:r>
            <w:r w:rsidR="007F0825">
              <w:t xml:space="preserve"> </w:t>
            </w:r>
          </w:p>
          <w:p w:rsidR="001D593B" w:rsidRDefault="001D593B" w:rsidP="007F0825">
            <w:pPr>
              <w:shd w:val="clear" w:color="auto" w:fill="FFFFFF"/>
              <w:ind w:right="-1"/>
              <w:jc w:val="both"/>
            </w:pPr>
          </w:p>
          <w:p w:rsidR="00B82870" w:rsidRPr="006344D9" w:rsidRDefault="001D593B" w:rsidP="00384733">
            <w:pPr>
              <w:pStyle w:val="ListParagraph"/>
              <w:numPr>
                <w:ilvl w:val="0"/>
                <w:numId w:val="4"/>
              </w:numPr>
              <w:shd w:val="clear" w:color="auto" w:fill="FFFFFF"/>
              <w:spacing w:after="0" w:line="240" w:lineRule="auto"/>
              <w:ind w:left="-66" w:right="-1" w:firstLine="0"/>
              <w:jc w:val="both"/>
              <w:rPr>
                <w:rFonts w:ascii="Times New Roman" w:hAnsi="Times New Roman"/>
              </w:rPr>
            </w:pPr>
            <w:r w:rsidRPr="006344D9">
              <w:rPr>
                <w:rFonts w:ascii="Times New Roman" w:hAnsi="Times New Roman"/>
                <w:sz w:val="24"/>
                <w:szCs w:val="24"/>
              </w:rPr>
              <w:t>Komersantu nodarbināto personu reģionālās mobilitā</w:t>
            </w:r>
            <w:r w:rsidR="00F64FDD">
              <w:rPr>
                <w:rFonts w:ascii="Times New Roman" w:hAnsi="Times New Roman"/>
                <w:sz w:val="24"/>
                <w:szCs w:val="24"/>
              </w:rPr>
              <w:t>tes veicināšanas pasākumu mērķis</w:t>
            </w:r>
            <w:r w:rsidRPr="006344D9">
              <w:rPr>
                <w:rFonts w:ascii="Times New Roman" w:hAnsi="Times New Roman"/>
                <w:sz w:val="24"/>
                <w:szCs w:val="24"/>
              </w:rPr>
              <w:t xml:space="preserve"> ir mazināt bezdarba iestāšanās risku, kas saistīts ar nodarbināto pārvietošanos starp dzīvesvietu un darbavietu. Ņemot vērā to, kā šāds risks, kas saistīts ar nodarbināto pārvietošanos starp dzīvesvietu un darbavietu, var rasties neatkarīgi no tā, vai persona strādā publiskajā vai privātajā sektorā, Noteikumu projektā paredzētas izmaiņas pasākuma īstenošanas nosacījumos, paredzot, ka atbalstu reģionālajai mobilitāte var saņemt arī </w:t>
            </w:r>
            <w:r w:rsidR="006344D9" w:rsidRPr="006344D9">
              <w:rPr>
                <w:rFonts w:ascii="Times New Roman" w:hAnsi="Times New Roman"/>
                <w:sz w:val="24"/>
                <w:szCs w:val="24"/>
              </w:rPr>
              <w:t xml:space="preserve">tie </w:t>
            </w:r>
            <w:r w:rsidRPr="006344D9">
              <w:rPr>
                <w:rFonts w:ascii="Times New Roman" w:hAnsi="Times New Roman"/>
                <w:sz w:val="24"/>
                <w:szCs w:val="24"/>
              </w:rPr>
              <w:t xml:space="preserve">nodarbinātie, kuri </w:t>
            </w:r>
            <w:r w:rsidR="006344D9" w:rsidRPr="006344D9">
              <w:rPr>
                <w:rFonts w:ascii="Times New Roman" w:hAnsi="Times New Roman"/>
                <w:sz w:val="24"/>
                <w:szCs w:val="24"/>
              </w:rPr>
              <w:t xml:space="preserve">nodibinājušu dienesta attiecības un uzsākuši darbu publiskā sektora iestādē.  </w:t>
            </w:r>
            <w:r w:rsidRPr="006344D9">
              <w:rPr>
                <w:rFonts w:ascii="Times New Roman" w:hAnsi="Times New Roman"/>
                <w:sz w:val="24"/>
                <w:szCs w:val="24"/>
              </w:rPr>
              <w:t xml:space="preserve">  </w:t>
            </w:r>
          </w:p>
          <w:p w:rsidR="00AD383F" w:rsidRPr="00AD383F" w:rsidRDefault="00AD383F" w:rsidP="00AD383F">
            <w:pPr>
              <w:tabs>
                <w:tab w:val="left" w:pos="-720"/>
                <w:tab w:val="left" w:pos="720"/>
                <w:tab w:val="left" w:pos="1440"/>
                <w:tab w:val="left" w:pos="2160"/>
                <w:tab w:val="left" w:pos="2880"/>
                <w:tab w:val="left" w:pos="3600"/>
                <w:tab w:val="left" w:pos="4320"/>
              </w:tabs>
              <w:autoSpaceDE w:val="0"/>
              <w:autoSpaceDN w:val="0"/>
              <w:adjustRightInd w:val="0"/>
              <w:ind w:left="-68"/>
              <w:contextualSpacing/>
              <w:jc w:val="both"/>
              <w:rPr>
                <w:bCs/>
                <w:iCs/>
              </w:rPr>
            </w:pPr>
            <w:r w:rsidRPr="00AD383F">
              <w:rPr>
                <w:bCs/>
                <w:iCs/>
              </w:rPr>
              <w:t xml:space="preserve">Pasākums „Komersantu nodarbināto personu reģionālās mobilitātes veicināšana” tika uzsākts </w:t>
            </w:r>
            <w:proofErr w:type="gramStart"/>
            <w:r w:rsidRPr="00AD383F">
              <w:rPr>
                <w:bCs/>
                <w:iCs/>
              </w:rPr>
              <w:t>2013.gada</w:t>
            </w:r>
            <w:proofErr w:type="gramEnd"/>
            <w:r w:rsidRPr="00AD383F">
              <w:rPr>
                <w:bCs/>
                <w:iCs/>
              </w:rPr>
              <w:t xml:space="preserve"> martā ar mērķi sniegt atbalstu bezdarbniekiem no reģioniem, kuros darbu atrast neizdodas, un virzīt tos uz brīvajām darba vietām tuvākajos reģionos un pilsētās. </w:t>
            </w:r>
          </w:p>
          <w:p w:rsidR="00AD383F" w:rsidRPr="00AD383F" w:rsidRDefault="00AD383F" w:rsidP="00AD383F">
            <w:pPr>
              <w:tabs>
                <w:tab w:val="left" w:pos="-720"/>
                <w:tab w:val="left" w:pos="720"/>
                <w:tab w:val="left" w:pos="1440"/>
                <w:tab w:val="left" w:pos="2160"/>
                <w:tab w:val="left" w:pos="2880"/>
                <w:tab w:val="left" w:pos="3600"/>
                <w:tab w:val="left" w:pos="4320"/>
              </w:tabs>
              <w:autoSpaceDE w:val="0"/>
              <w:autoSpaceDN w:val="0"/>
              <w:adjustRightInd w:val="0"/>
              <w:ind w:left="-68"/>
              <w:contextualSpacing/>
              <w:jc w:val="both"/>
              <w:rPr>
                <w:bCs/>
                <w:iCs/>
              </w:rPr>
            </w:pPr>
            <w:r w:rsidRPr="00AD383F">
              <w:rPr>
                <w:bCs/>
                <w:iCs/>
              </w:rPr>
              <w:t>2013.gadā pasākumā tikai iesaistīti 182 bezdarbnieki par kopējo finansējumu 35 493 LVL no plānotajiem 350 bezdarbniekiem par kopējo finansējumu 98 000 LVL. Ņemot vērā zemos iesaistes rādītājus, 2013.gada augustā tika veiktas izmaiņas pasākuma īstenošanas nosacījumos, paredzot, ka atbalstu reģionālajai mobilitātei var saņemt bezdarbnieki, kuri 2 mēnešus bijuši bez darba (iepriekšējo 6 mēnešu vietā).</w:t>
            </w:r>
          </w:p>
          <w:p w:rsidR="00AD383F" w:rsidRPr="00AD383F" w:rsidRDefault="00AD383F" w:rsidP="00AD383F">
            <w:pPr>
              <w:tabs>
                <w:tab w:val="left" w:pos="-720"/>
                <w:tab w:val="left" w:pos="720"/>
                <w:tab w:val="left" w:pos="1440"/>
                <w:tab w:val="left" w:pos="2160"/>
                <w:tab w:val="left" w:pos="2880"/>
                <w:tab w:val="left" w:pos="3600"/>
                <w:tab w:val="left" w:pos="4320"/>
              </w:tabs>
              <w:autoSpaceDE w:val="0"/>
              <w:autoSpaceDN w:val="0"/>
              <w:adjustRightInd w:val="0"/>
              <w:ind w:left="-68"/>
              <w:contextualSpacing/>
              <w:jc w:val="both"/>
              <w:rPr>
                <w:bCs/>
                <w:iCs/>
              </w:rPr>
            </w:pPr>
            <w:r w:rsidRPr="00AD383F">
              <w:rPr>
                <w:bCs/>
                <w:iCs/>
              </w:rPr>
              <w:t xml:space="preserve">2014.gadā pasākumā tika iesaistīti 205 bezdarbnieki par kopējo finansējumu 72 187 </w:t>
            </w:r>
            <w:proofErr w:type="spellStart"/>
            <w:r w:rsidRPr="00AD383F">
              <w:rPr>
                <w:bCs/>
                <w:iCs/>
              </w:rPr>
              <w:t>euro</w:t>
            </w:r>
            <w:proofErr w:type="spellEnd"/>
            <w:r w:rsidRPr="00AD383F">
              <w:rPr>
                <w:bCs/>
                <w:iCs/>
              </w:rPr>
              <w:t xml:space="preserve"> no plānotajiem 300 bezdarbniekiem par kopējo finansējumu 119 519 </w:t>
            </w:r>
            <w:proofErr w:type="spellStart"/>
            <w:r w:rsidRPr="00AD383F">
              <w:rPr>
                <w:bCs/>
                <w:iCs/>
              </w:rPr>
              <w:t>euro</w:t>
            </w:r>
            <w:proofErr w:type="spellEnd"/>
            <w:r w:rsidRPr="00AD383F">
              <w:rPr>
                <w:bCs/>
                <w:iCs/>
              </w:rPr>
              <w:t xml:space="preserve"> savukārt 2015.gada pirmajos 3 ceturkšņos pasākumā iesaistīti 136 bezdarbnieki par kopējo finansējumu 44 159 </w:t>
            </w:r>
            <w:proofErr w:type="spellStart"/>
            <w:r w:rsidRPr="00AD383F">
              <w:rPr>
                <w:bCs/>
                <w:iCs/>
              </w:rPr>
              <w:t>euro</w:t>
            </w:r>
            <w:proofErr w:type="spellEnd"/>
            <w:r w:rsidRPr="00AD383F">
              <w:rPr>
                <w:bCs/>
                <w:iCs/>
              </w:rPr>
              <w:t xml:space="preserve"> no plānotajiem 260 bezdarbniekiem par  95 325 </w:t>
            </w:r>
            <w:proofErr w:type="spellStart"/>
            <w:r w:rsidRPr="00AD383F">
              <w:rPr>
                <w:bCs/>
                <w:iCs/>
              </w:rPr>
              <w:t>euro</w:t>
            </w:r>
            <w:proofErr w:type="spellEnd"/>
            <w:r w:rsidRPr="00AD383F">
              <w:rPr>
                <w:bCs/>
                <w:iCs/>
              </w:rPr>
              <w:t xml:space="preserve">. Secināms, ka kopš pasākuma īstenošanas netiek sasniegti plānotie pasākuma iesaistes rādītāji un apgūts pasākumam paredzētais finansējums, tādēļ pasākumu nepieciešams </w:t>
            </w:r>
            <w:r w:rsidRPr="00AD383F">
              <w:rPr>
                <w:bCs/>
                <w:iCs/>
              </w:rPr>
              <w:lastRenderedPageBreak/>
              <w:t>paplašināt, atvieglojot pasākuma iesaistes nosacījumus, kuri sākotnēji paredzēti visai strikti, lai pieprasījums pēc pasākuma nepārsniegtu plānoto.</w:t>
            </w:r>
          </w:p>
          <w:p w:rsidR="00414CE9" w:rsidRDefault="00414CE9" w:rsidP="00414CE9">
            <w:pPr>
              <w:pStyle w:val="ListParagraph"/>
              <w:spacing w:line="240" w:lineRule="auto"/>
              <w:ind w:left="-66"/>
              <w:jc w:val="both"/>
              <w:rPr>
                <w:rFonts w:ascii="Times New Roman" w:hAnsi="Times New Roman"/>
                <w:bCs/>
                <w:iCs/>
                <w:sz w:val="24"/>
              </w:rPr>
            </w:pPr>
            <w:r w:rsidRPr="00414CE9">
              <w:rPr>
                <w:rFonts w:ascii="Times New Roman" w:hAnsi="Times New Roman"/>
                <w:bCs/>
                <w:iCs/>
                <w:sz w:val="24"/>
              </w:rPr>
              <w:t xml:space="preserve">Paredzot iespēju saņemt finanšu atbalstu reģionālajai mobilitātei arī publiskajā sektorā nodarbinātajiem, tiek veicināta pasākuma mērķa sasniegšana - sniegt atbalstu bezdarbniekiem no reģioniem, kuros darbu atrast neizdodas, un virzīt tos uz brīvajām darba vietām tuvākajos reģionos un pilsētās, neatkarīgi no ieņemamā amata publiskajā vai privātajā sektorā.  </w:t>
            </w:r>
          </w:p>
          <w:p w:rsidR="006344D9" w:rsidRPr="008D2B8D" w:rsidRDefault="00FF13D8" w:rsidP="008D2B8D">
            <w:pPr>
              <w:pStyle w:val="ListParagraph"/>
              <w:numPr>
                <w:ilvl w:val="1"/>
                <w:numId w:val="29"/>
              </w:numPr>
              <w:spacing w:after="0" w:line="240" w:lineRule="auto"/>
              <w:ind w:left="-68" w:firstLine="0"/>
              <w:jc w:val="both"/>
              <w:rPr>
                <w:rFonts w:ascii="Times New Roman" w:hAnsi="Times New Roman"/>
                <w:i/>
                <w:sz w:val="24"/>
                <w:szCs w:val="24"/>
              </w:rPr>
            </w:pPr>
            <w:r w:rsidRPr="008D2B8D">
              <w:rPr>
                <w:rFonts w:ascii="Times New Roman" w:hAnsi="Times New Roman"/>
                <w:sz w:val="24"/>
                <w:szCs w:val="24"/>
              </w:rPr>
              <w:t>Lai veicinātu NVA darba efektivitāti, atvieglotu un optimizētu finanšu atbalsta izmaksāšanas kārtību, Noteikumu projekts paredz</w:t>
            </w:r>
            <w:r w:rsidR="001343C4" w:rsidRPr="008D2B8D">
              <w:rPr>
                <w:rFonts w:ascii="Times New Roman" w:hAnsi="Times New Roman"/>
                <w:sz w:val="24"/>
                <w:szCs w:val="24"/>
              </w:rPr>
              <w:t xml:space="preserve">, ka pēc avansa izmaksas, par nākamajiem trijiem dienesta vai darba attiecību mēnešiem, finanšu atlīdzība nepārsniedz 85 </w:t>
            </w:r>
            <w:proofErr w:type="spellStart"/>
            <w:r w:rsidR="001343C4" w:rsidRPr="008D2B8D">
              <w:rPr>
                <w:rFonts w:ascii="Times New Roman" w:hAnsi="Times New Roman"/>
                <w:i/>
                <w:sz w:val="24"/>
                <w:szCs w:val="24"/>
              </w:rPr>
              <w:t>euro</w:t>
            </w:r>
            <w:proofErr w:type="spellEnd"/>
            <w:r w:rsidR="001343C4" w:rsidRPr="008D2B8D">
              <w:rPr>
                <w:rFonts w:ascii="Times New Roman" w:hAnsi="Times New Roman"/>
                <w:i/>
                <w:sz w:val="24"/>
                <w:szCs w:val="24"/>
              </w:rPr>
              <w:t xml:space="preserve">, </w:t>
            </w:r>
            <w:r w:rsidR="001343C4" w:rsidRPr="008D2B8D">
              <w:rPr>
                <w:rFonts w:ascii="Times New Roman" w:hAnsi="Times New Roman"/>
                <w:sz w:val="24"/>
                <w:szCs w:val="24"/>
              </w:rPr>
              <w:t>taču to aprēķina nevis proporcionāli katru mēnesi atskaitot pirmajā mēnesī saņemtās fi</w:t>
            </w:r>
            <w:r w:rsidR="004E422F" w:rsidRPr="008D2B8D">
              <w:rPr>
                <w:rFonts w:ascii="Times New Roman" w:hAnsi="Times New Roman"/>
                <w:sz w:val="24"/>
                <w:szCs w:val="24"/>
              </w:rPr>
              <w:t>nanšu atlīdzības summas atlikumu</w:t>
            </w:r>
            <w:r w:rsidR="001343C4" w:rsidRPr="008D2B8D">
              <w:rPr>
                <w:rFonts w:ascii="Times New Roman" w:hAnsi="Times New Roman"/>
                <w:sz w:val="24"/>
                <w:szCs w:val="24"/>
              </w:rPr>
              <w:t>, bet gan atskaitot saņemtās finanšu summas at</w:t>
            </w:r>
            <w:r w:rsidR="00AA50B4" w:rsidRPr="008D2B8D">
              <w:rPr>
                <w:rFonts w:ascii="Times New Roman" w:hAnsi="Times New Roman"/>
                <w:sz w:val="24"/>
                <w:szCs w:val="24"/>
              </w:rPr>
              <w:t>likumu</w:t>
            </w:r>
            <w:r w:rsidR="001343C4" w:rsidRPr="008D2B8D">
              <w:rPr>
                <w:rFonts w:ascii="Times New Roman" w:hAnsi="Times New Roman"/>
                <w:sz w:val="24"/>
                <w:szCs w:val="24"/>
              </w:rPr>
              <w:t xml:space="preserve"> </w:t>
            </w:r>
            <w:r w:rsidR="00655B5A" w:rsidRPr="008D2B8D">
              <w:rPr>
                <w:rFonts w:ascii="Times New Roman" w:hAnsi="Times New Roman"/>
                <w:sz w:val="24"/>
                <w:szCs w:val="24"/>
              </w:rPr>
              <w:t>nākamajā mēnesī</w:t>
            </w:r>
            <w:r w:rsidR="001343C4" w:rsidRPr="008D2B8D">
              <w:rPr>
                <w:rFonts w:ascii="Times New Roman" w:hAnsi="Times New Roman"/>
                <w:sz w:val="24"/>
                <w:szCs w:val="24"/>
              </w:rPr>
              <w:t>, neievērojot proporcionalitātes principu, jo</w:t>
            </w:r>
            <w:r w:rsidR="004E422F" w:rsidRPr="008D2B8D">
              <w:rPr>
                <w:rFonts w:ascii="Times New Roman" w:hAnsi="Times New Roman"/>
                <w:sz w:val="24"/>
                <w:szCs w:val="24"/>
              </w:rPr>
              <w:t xml:space="preserve"> praksē novērojam</w:t>
            </w:r>
            <w:r w:rsidR="00655B5A" w:rsidRPr="008D2B8D">
              <w:rPr>
                <w:rFonts w:ascii="Times New Roman" w:hAnsi="Times New Roman"/>
                <w:sz w:val="24"/>
                <w:szCs w:val="24"/>
              </w:rPr>
              <w:t>i</w:t>
            </w:r>
            <w:r w:rsidR="004E422F" w:rsidRPr="008D2B8D">
              <w:rPr>
                <w:rFonts w:ascii="Times New Roman" w:hAnsi="Times New Roman"/>
                <w:sz w:val="24"/>
                <w:szCs w:val="24"/>
              </w:rPr>
              <w:t xml:space="preserve"> </w:t>
            </w:r>
            <w:r w:rsidR="001343C4" w:rsidRPr="008D2B8D">
              <w:rPr>
                <w:rFonts w:ascii="Times New Roman" w:hAnsi="Times New Roman"/>
                <w:sz w:val="24"/>
                <w:szCs w:val="24"/>
              </w:rPr>
              <w:t>gad</w:t>
            </w:r>
            <w:r w:rsidR="004E422F" w:rsidRPr="008D2B8D">
              <w:rPr>
                <w:rFonts w:ascii="Times New Roman" w:hAnsi="Times New Roman"/>
                <w:sz w:val="24"/>
                <w:szCs w:val="24"/>
              </w:rPr>
              <w:t>ījumi</w:t>
            </w:r>
            <w:r w:rsidR="001343C4" w:rsidRPr="008D2B8D">
              <w:rPr>
                <w:rFonts w:ascii="Times New Roman" w:hAnsi="Times New Roman"/>
                <w:sz w:val="24"/>
                <w:szCs w:val="24"/>
              </w:rPr>
              <w:t>, ka</w:t>
            </w:r>
            <w:r w:rsidR="004E422F" w:rsidRPr="008D2B8D">
              <w:rPr>
                <w:rFonts w:ascii="Times New Roman" w:hAnsi="Times New Roman"/>
                <w:sz w:val="24"/>
                <w:szCs w:val="24"/>
              </w:rPr>
              <w:t>d</w:t>
            </w:r>
            <w:r w:rsidR="00AA50B4" w:rsidRPr="008D2B8D">
              <w:rPr>
                <w:rFonts w:ascii="Times New Roman" w:hAnsi="Times New Roman"/>
                <w:sz w:val="24"/>
                <w:szCs w:val="24"/>
              </w:rPr>
              <w:t xml:space="preserve"> faktiski iztērētā</w:t>
            </w:r>
            <w:r w:rsidR="001343C4" w:rsidRPr="008D2B8D">
              <w:rPr>
                <w:rFonts w:ascii="Times New Roman" w:hAnsi="Times New Roman"/>
                <w:sz w:val="24"/>
                <w:szCs w:val="24"/>
              </w:rPr>
              <w:t>s avansa summas ir nelielas</w:t>
            </w:r>
            <w:r w:rsidR="00655B5A" w:rsidRPr="008D2B8D">
              <w:rPr>
                <w:rFonts w:ascii="Times New Roman" w:hAnsi="Times New Roman"/>
                <w:sz w:val="24"/>
                <w:szCs w:val="24"/>
              </w:rPr>
              <w:t>,</w:t>
            </w:r>
            <w:r w:rsidR="001343C4" w:rsidRPr="008D2B8D">
              <w:rPr>
                <w:rFonts w:ascii="Times New Roman" w:hAnsi="Times New Roman"/>
                <w:sz w:val="24"/>
                <w:szCs w:val="24"/>
              </w:rPr>
              <w:t xml:space="preserve"> </w:t>
            </w:r>
            <w:r w:rsidR="004E422F" w:rsidRPr="008D2B8D">
              <w:rPr>
                <w:rFonts w:ascii="Times New Roman" w:hAnsi="Times New Roman"/>
                <w:sz w:val="24"/>
                <w:szCs w:val="24"/>
              </w:rPr>
              <w:t>un otrajā mēnesī nav nepieciešams piešķirt tik lielu finanšu atbalstu, kāds piešķirams atbalsta summu izmaksājot</w:t>
            </w:r>
            <w:r w:rsidR="00655B5A" w:rsidRPr="008D2B8D">
              <w:rPr>
                <w:rFonts w:ascii="Times New Roman" w:hAnsi="Times New Roman"/>
                <w:sz w:val="24"/>
                <w:szCs w:val="24"/>
              </w:rPr>
              <w:t>, ievērojot proporcionalitāti</w:t>
            </w:r>
            <w:r w:rsidR="004E422F" w:rsidRPr="008D2B8D">
              <w:rPr>
                <w:rFonts w:ascii="Times New Roman" w:hAnsi="Times New Roman"/>
                <w:sz w:val="24"/>
                <w:szCs w:val="24"/>
              </w:rPr>
              <w:t xml:space="preserve">. </w:t>
            </w:r>
          </w:p>
          <w:p w:rsidR="0081223E" w:rsidRPr="001248ED" w:rsidRDefault="00D03EF5" w:rsidP="008D2B8D">
            <w:pPr>
              <w:pStyle w:val="ListParagraph"/>
              <w:numPr>
                <w:ilvl w:val="1"/>
                <w:numId w:val="29"/>
              </w:numPr>
              <w:spacing w:line="240" w:lineRule="auto"/>
              <w:ind w:left="-66" w:firstLine="0"/>
              <w:jc w:val="both"/>
              <w:rPr>
                <w:rFonts w:ascii="Times New Roman" w:hAnsi="Times New Roman"/>
                <w:i/>
                <w:sz w:val="24"/>
                <w:szCs w:val="24"/>
              </w:rPr>
            </w:pPr>
            <w:r w:rsidRPr="00D03EF5">
              <w:rPr>
                <w:rFonts w:ascii="Times New Roman" w:hAnsi="Times New Roman"/>
                <w:sz w:val="24"/>
                <w:szCs w:val="24"/>
              </w:rPr>
              <w:t xml:space="preserve">Lai nodrošinātu atbalstu reģionālajai mobilitātei atbilstoši Ministru kabineta </w:t>
            </w:r>
            <w:proofErr w:type="gramStart"/>
            <w:r w:rsidRPr="00D03EF5">
              <w:rPr>
                <w:rFonts w:ascii="Times New Roman" w:hAnsi="Times New Roman"/>
                <w:sz w:val="24"/>
                <w:szCs w:val="24"/>
              </w:rPr>
              <w:t>2014.gada</w:t>
            </w:r>
            <w:proofErr w:type="gramEnd"/>
            <w:r w:rsidRPr="00D03EF5">
              <w:rPr>
                <w:rFonts w:ascii="Times New Roman" w:hAnsi="Times New Roman"/>
                <w:sz w:val="24"/>
                <w:szCs w:val="24"/>
              </w:rPr>
              <w:t xml:space="preserve"> 23.decembra noteikumiem Nr.836 „Darbības programmas „Izaugsme un nodarbinātība” 7.1.1.specifiskā atbalsta mērķa „Paaugstināt bezdarbnieku kvalifikāciju un prasmes atbilstoši darba tirgus pieprasījumam” īstenošanas noteikumi</w:t>
            </w:r>
            <w:r>
              <w:rPr>
                <w:rFonts w:ascii="Times New Roman" w:hAnsi="Times New Roman"/>
                <w:sz w:val="24"/>
                <w:szCs w:val="24"/>
              </w:rPr>
              <w:t>”</w:t>
            </w:r>
            <w:r w:rsidRPr="00D03EF5">
              <w:rPr>
                <w:rFonts w:ascii="Times New Roman" w:hAnsi="Times New Roman"/>
                <w:sz w:val="24"/>
                <w:szCs w:val="24"/>
              </w:rPr>
              <w:t>, Noteikumu projekts paredz, ka atbalstu reģionālajai mobilitātei aktīvo nodarbinātības pasāk</w:t>
            </w:r>
            <w:r>
              <w:rPr>
                <w:rFonts w:ascii="Times New Roman" w:hAnsi="Times New Roman"/>
                <w:sz w:val="24"/>
                <w:szCs w:val="24"/>
              </w:rPr>
              <w:t>umu ietvaros var saņemt</w:t>
            </w:r>
            <w:r w:rsidRPr="00D03EF5">
              <w:rPr>
                <w:rFonts w:ascii="Times New Roman" w:hAnsi="Times New Roman"/>
                <w:sz w:val="24"/>
                <w:szCs w:val="24"/>
              </w:rPr>
              <w:t xml:space="preserve"> arī bezdarbnieki, kuri piedalās aktīvajā nodarbinātības pasākumā „Apmācība pie darba devēja”</w:t>
            </w:r>
            <w:r>
              <w:rPr>
                <w:rFonts w:ascii="Times New Roman" w:hAnsi="Times New Roman"/>
                <w:sz w:val="24"/>
                <w:szCs w:val="24"/>
              </w:rPr>
              <w:t>. Vienlaikus, lai paredzētu līdzvērtīgus atbalsta nosacījumus reģionālajai mobilitātei aktīvo nodarbinātības pasākumu ietvaros, Noteikumu projekts paredz vienādu</w:t>
            </w:r>
            <w:r w:rsidR="00F0626D">
              <w:rPr>
                <w:rFonts w:ascii="Times New Roman" w:hAnsi="Times New Roman"/>
                <w:sz w:val="24"/>
                <w:szCs w:val="24"/>
              </w:rPr>
              <w:t xml:space="preserve"> avansa maksājumu (100 </w:t>
            </w:r>
            <w:proofErr w:type="spellStart"/>
            <w:r w:rsidR="00F0626D" w:rsidRPr="00F0626D">
              <w:rPr>
                <w:rFonts w:ascii="Times New Roman" w:hAnsi="Times New Roman"/>
                <w:i/>
                <w:sz w:val="24"/>
                <w:szCs w:val="24"/>
              </w:rPr>
              <w:t>euro</w:t>
            </w:r>
            <w:proofErr w:type="spellEnd"/>
            <w:r w:rsidR="00F0626D">
              <w:rPr>
                <w:rFonts w:ascii="Times New Roman" w:hAnsi="Times New Roman"/>
                <w:sz w:val="24"/>
                <w:szCs w:val="24"/>
              </w:rPr>
              <w:t>), gan uzsākot darba tiesiskās attiecības, gan iesaistoties apmācībā, t.sk. apmācībā pie darba devēja.</w:t>
            </w:r>
            <w:r w:rsidRPr="00D03EF5">
              <w:rPr>
                <w:rFonts w:ascii="Times New Roman" w:hAnsi="Times New Roman"/>
                <w:sz w:val="24"/>
                <w:szCs w:val="24"/>
              </w:rPr>
              <w:t xml:space="preserve"> </w:t>
            </w:r>
          </w:p>
          <w:p w:rsidR="001248ED" w:rsidRPr="00F0626D" w:rsidRDefault="001248ED" w:rsidP="008D2B8D">
            <w:pPr>
              <w:pStyle w:val="ListParagraph"/>
              <w:numPr>
                <w:ilvl w:val="1"/>
                <w:numId w:val="29"/>
              </w:numPr>
              <w:spacing w:line="240" w:lineRule="auto"/>
              <w:ind w:left="-66" w:firstLine="0"/>
              <w:jc w:val="both"/>
              <w:rPr>
                <w:rFonts w:ascii="Times New Roman" w:hAnsi="Times New Roman"/>
                <w:i/>
                <w:sz w:val="24"/>
                <w:szCs w:val="24"/>
              </w:rPr>
            </w:pPr>
            <w:r w:rsidRPr="001248ED">
              <w:rPr>
                <w:rFonts w:ascii="Times New Roman" w:eastAsia="Times New Roman" w:hAnsi="Times New Roman"/>
                <w:bCs/>
                <w:sz w:val="24"/>
                <w:szCs w:val="24"/>
                <w:lang w:eastAsia="lv-LV"/>
              </w:rPr>
              <w:t xml:space="preserve">Ņemot vērā nepilnu darba laiku strādājošo personu īpatsvaru kopējā nodarbināto skaitā (13,1% no visu valstī nodarbināto personu skaita </w:t>
            </w:r>
            <w:proofErr w:type="gramStart"/>
            <w:r w:rsidRPr="001248ED">
              <w:rPr>
                <w:rFonts w:ascii="Times New Roman" w:eastAsia="Times New Roman" w:hAnsi="Times New Roman"/>
                <w:bCs/>
                <w:sz w:val="24"/>
                <w:szCs w:val="24"/>
                <w:lang w:eastAsia="lv-LV"/>
              </w:rPr>
              <w:t>2014.gadā</w:t>
            </w:r>
            <w:proofErr w:type="gramEnd"/>
            <w:r w:rsidRPr="001248ED">
              <w:rPr>
                <w:rFonts w:ascii="Times New Roman" w:eastAsia="Times New Roman" w:hAnsi="Times New Roman"/>
                <w:bCs/>
                <w:sz w:val="24"/>
                <w:szCs w:val="24"/>
                <w:lang w:eastAsia="lv-LV"/>
              </w:rPr>
              <w:t xml:space="preserve"> tika nodarbināti nepilnu darba laiku – mazāk par 40 stundām nedēļā), atbalstu reģionālajai mobilitātei nepieciešams nodrošināt arī nodarbinātajiem, kuri strādā nepilnu darba laiku, taču, lai nodrošinātu darba vietas ilgtspējību un mazinātu risku, ka pēc mobilitātes atbalsta pasākuma pabeigšanas darba tiesiskās attiecības tiek izbeigtas, darba alga būtu jānosaka vismaz valstī noteiktās minimālās mēnešalgas apmērā, neatkarīgi no nostrādāto stundu </w:t>
            </w:r>
            <w:r w:rsidRPr="001248ED">
              <w:rPr>
                <w:rFonts w:ascii="Times New Roman" w:eastAsia="Times New Roman" w:hAnsi="Times New Roman"/>
                <w:bCs/>
                <w:sz w:val="24"/>
                <w:szCs w:val="24"/>
                <w:lang w:eastAsia="lv-LV"/>
              </w:rPr>
              <w:lastRenderedPageBreak/>
              <w:t>skaita, tādējādi mazinot risku, ka bez atbalsta mobilitātei darba tiesiskās attiecības nebūs iespējams turpināt, ņemot vērā augsto transporta vai dzīvojamās telpas īres izmaksu īpatsvaru darba algā.</w:t>
            </w:r>
          </w:p>
          <w:p w:rsidR="00F0626D" w:rsidRPr="001248ED" w:rsidRDefault="00F0626D" w:rsidP="00384733">
            <w:pPr>
              <w:pStyle w:val="ListParagraph"/>
              <w:spacing w:line="240" w:lineRule="auto"/>
              <w:ind w:left="-66"/>
              <w:jc w:val="both"/>
              <w:rPr>
                <w:rFonts w:ascii="Times New Roman" w:hAnsi="Times New Roman"/>
                <w:sz w:val="24"/>
                <w:szCs w:val="24"/>
              </w:rPr>
            </w:pPr>
          </w:p>
          <w:p w:rsidR="00E86176" w:rsidRDefault="0020460B" w:rsidP="008D2B8D">
            <w:pPr>
              <w:pStyle w:val="ListParagraph"/>
              <w:numPr>
                <w:ilvl w:val="0"/>
                <w:numId w:val="29"/>
              </w:numPr>
              <w:spacing w:after="0" w:line="240" w:lineRule="auto"/>
              <w:ind w:left="-68" w:firstLine="0"/>
              <w:jc w:val="both"/>
              <w:rPr>
                <w:rFonts w:ascii="Times New Roman" w:hAnsi="Times New Roman"/>
                <w:i/>
                <w:sz w:val="24"/>
                <w:szCs w:val="24"/>
              </w:rPr>
            </w:pPr>
            <w:r w:rsidRPr="003B0BBD">
              <w:rPr>
                <w:rFonts w:ascii="Times New Roman" w:hAnsi="Times New Roman"/>
                <w:sz w:val="24"/>
                <w:szCs w:val="24"/>
              </w:rPr>
              <w:t xml:space="preserve">Atbilstoši </w:t>
            </w:r>
            <w:r w:rsidR="005C1ED2" w:rsidRPr="003B0BBD">
              <w:rPr>
                <w:rFonts w:ascii="Times New Roman" w:hAnsi="Times New Roman"/>
                <w:sz w:val="24"/>
                <w:szCs w:val="24"/>
              </w:rPr>
              <w:t>Bezdarbnieku un</w:t>
            </w:r>
            <w:r w:rsidRPr="003B0BBD">
              <w:rPr>
                <w:rFonts w:ascii="Times New Roman" w:hAnsi="Times New Roman"/>
                <w:sz w:val="24"/>
                <w:szCs w:val="24"/>
              </w:rPr>
              <w:t xml:space="preserve"> darba meklētāju atbalsta likuma </w:t>
            </w:r>
            <w:proofErr w:type="gramStart"/>
            <w:r w:rsidRPr="003B0BBD">
              <w:rPr>
                <w:rFonts w:ascii="Times New Roman" w:hAnsi="Times New Roman"/>
                <w:sz w:val="24"/>
                <w:szCs w:val="24"/>
              </w:rPr>
              <w:t>6.panta</w:t>
            </w:r>
            <w:proofErr w:type="gramEnd"/>
            <w:r w:rsidRPr="003B0BBD">
              <w:rPr>
                <w:rFonts w:ascii="Times New Roman" w:hAnsi="Times New Roman"/>
                <w:sz w:val="24"/>
                <w:szCs w:val="24"/>
              </w:rPr>
              <w:t xml:space="preserve"> devītajai daļai, </w:t>
            </w:r>
            <w:r w:rsidRPr="003B0BBD">
              <w:rPr>
                <w:rFonts w:ascii="Times New Roman" w:eastAsia="Times New Roman" w:hAnsi="Times New Roman"/>
                <w:sz w:val="24"/>
                <w:szCs w:val="24"/>
              </w:rPr>
              <w:t xml:space="preserve">Nodarbinātības valsts aģentūra slēdz deleģējuma līgumu ar </w:t>
            </w:r>
            <w:r w:rsidRPr="003B0BBD">
              <w:rPr>
                <w:rFonts w:ascii="Times New Roman" w:eastAsia="Times New Roman" w:hAnsi="Times New Roman"/>
                <w:kern w:val="18"/>
                <w:sz w:val="24"/>
                <w:szCs w:val="24"/>
                <w:lang w:eastAsia="lv-LV"/>
              </w:rPr>
              <w:t xml:space="preserve">biedrību </w:t>
            </w:r>
            <w:r w:rsidRPr="003B0BBD">
              <w:rPr>
                <w:rFonts w:ascii="Times New Roman" w:hAnsi="Times New Roman"/>
                <w:sz w:val="24"/>
                <w:szCs w:val="24"/>
              </w:rPr>
              <w:t>„</w:t>
            </w:r>
            <w:r w:rsidRPr="003B0BBD">
              <w:rPr>
                <w:rFonts w:ascii="Times New Roman" w:eastAsia="Times New Roman" w:hAnsi="Times New Roman"/>
                <w:kern w:val="18"/>
                <w:sz w:val="24"/>
                <w:szCs w:val="24"/>
                <w:lang w:eastAsia="lv-LV"/>
              </w:rPr>
              <w:t xml:space="preserve">Latvijas Nedzirdīgo savienība”, lai biedrība sniegtu surdotulka pakalpojumus </w:t>
            </w:r>
            <w:r w:rsidRPr="003B0BBD">
              <w:rPr>
                <w:rFonts w:ascii="Times New Roman" w:eastAsia="Times New Roman" w:hAnsi="Times New Roman"/>
                <w:sz w:val="24"/>
                <w:szCs w:val="24"/>
              </w:rPr>
              <w:t xml:space="preserve">izglītības programmu apguvei un saskarsmes nodrošināšanai ar citām fiziskajām un juridiskajām personām atsevišķu aktīvo nodarbinātības pasākumu ietvaros (apmācību pasākumi un subsidētās nodarbinātības pasākumi), </w:t>
            </w:r>
            <w:r w:rsidR="009163A9" w:rsidRPr="003B0BBD">
              <w:rPr>
                <w:rFonts w:ascii="Times New Roman" w:hAnsi="Times New Roman"/>
                <w:sz w:val="24"/>
                <w:szCs w:val="24"/>
              </w:rPr>
              <w:t xml:space="preserve">tādēļ surdotulku pakalpojumi atsevišķu aktīvo nodarbinātības pasākumu ietvaros turpmāk netiks iepirkti, bet gan nodrošināti deleģējuma līguma ietvaros. </w:t>
            </w:r>
            <w:r w:rsidR="003B0BBD" w:rsidRPr="003B0BBD">
              <w:rPr>
                <w:rFonts w:ascii="Times New Roman" w:hAnsi="Times New Roman"/>
                <w:sz w:val="24"/>
                <w:szCs w:val="24"/>
              </w:rPr>
              <w:t xml:space="preserve">Gadījumos, kad surdotulka pakalpojumus nodrošina vispārējā kārtībā atbilstoši Invaliditātes likumam, pakalpojumu nodrošina atbilstoši Ministru kabineta 2009.gada 15.decembra noteikumiem Nr.1472 „Kārtība, kādā Latvijas Neredzīgo biedrība un Latvijas Nedzirdīgo savienība sniedz sociālās rehabilitācijas pakalpojumus un nodrošina tehniskos palīglīdzekļus </w:t>
            </w:r>
            <w:r w:rsidR="00256F4F">
              <w:rPr>
                <w:rFonts w:ascii="Times New Roman" w:hAnsi="Times New Roman"/>
                <w:sz w:val="24"/>
                <w:szCs w:val="24"/>
              </w:rPr>
              <w:t xml:space="preserve">– </w:t>
            </w:r>
            <w:proofErr w:type="spellStart"/>
            <w:r w:rsidR="00256F4F">
              <w:rPr>
                <w:rFonts w:ascii="Times New Roman" w:hAnsi="Times New Roman"/>
                <w:sz w:val="24"/>
                <w:szCs w:val="24"/>
              </w:rPr>
              <w:t>tiflotehniku</w:t>
            </w:r>
            <w:proofErr w:type="spellEnd"/>
            <w:r w:rsidR="00256F4F">
              <w:rPr>
                <w:rFonts w:ascii="Times New Roman" w:hAnsi="Times New Roman"/>
                <w:sz w:val="24"/>
                <w:szCs w:val="24"/>
              </w:rPr>
              <w:t xml:space="preserve"> un </w:t>
            </w:r>
            <w:proofErr w:type="spellStart"/>
            <w:r w:rsidR="00256F4F">
              <w:rPr>
                <w:rFonts w:ascii="Times New Roman" w:hAnsi="Times New Roman"/>
                <w:sz w:val="24"/>
                <w:szCs w:val="24"/>
              </w:rPr>
              <w:t>surdotehniku</w:t>
            </w:r>
            <w:proofErr w:type="spellEnd"/>
            <w:r w:rsidR="00256F4F">
              <w:rPr>
                <w:rFonts w:ascii="Times New Roman" w:hAnsi="Times New Roman"/>
                <w:sz w:val="24"/>
                <w:szCs w:val="24"/>
              </w:rPr>
              <w:t>”</w:t>
            </w:r>
            <w:r w:rsidR="00EF696D">
              <w:rPr>
                <w:rFonts w:ascii="Times New Roman" w:hAnsi="Times New Roman"/>
                <w:sz w:val="24"/>
                <w:szCs w:val="24"/>
              </w:rPr>
              <w:t xml:space="preserve"> (turpmāk – MK noteikumi Nr.1472)</w:t>
            </w:r>
            <w:r w:rsidR="003B0BBD" w:rsidRPr="003B0BBD">
              <w:rPr>
                <w:rFonts w:ascii="Times New Roman" w:hAnsi="Times New Roman"/>
                <w:sz w:val="24"/>
                <w:szCs w:val="24"/>
              </w:rPr>
              <w:t>, kuri cita starpā nosaka, ka arī ceļā pavadītais laiks uz un no pakalpojuma sniegšanas vietas tiek uzskatīts par pakalpojuma sniegšanas laiku. Līdz ar to, lai nodrošinātu, ka Latvijas Nedzirdīgo savienība sniedz pakalpojumus uz vienlīdzīgiem nosacījumiem arī aktīvo nodarbinātības pasākumu ietvaros, Noteikumu projektā noteikts, ka arī ceļā pavadītais laiks uz no pakalpojuma sniegšanas vietas uzskatāms par pakalpojuma sniegšanas laiku un apmaksājams atbilstoši iepriekš aprēķināt</w:t>
            </w:r>
            <w:r w:rsidR="00AE0CE8">
              <w:rPr>
                <w:rFonts w:ascii="Times New Roman" w:hAnsi="Times New Roman"/>
                <w:sz w:val="24"/>
                <w:szCs w:val="24"/>
              </w:rPr>
              <w:t>a</w:t>
            </w:r>
            <w:r w:rsidR="003B0BBD" w:rsidRPr="003B0BBD">
              <w:rPr>
                <w:rFonts w:ascii="Times New Roman" w:hAnsi="Times New Roman"/>
                <w:sz w:val="24"/>
                <w:szCs w:val="24"/>
              </w:rPr>
              <w:t>i vienas pakalpojuma stundas izmaksu likmei.</w:t>
            </w:r>
            <w:r w:rsidR="003B0BBD" w:rsidRPr="003B0BBD">
              <w:rPr>
                <w:sz w:val="24"/>
                <w:szCs w:val="24"/>
              </w:rPr>
              <w:t xml:space="preserve"> </w:t>
            </w:r>
          </w:p>
          <w:p w:rsidR="004E422F" w:rsidRDefault="00E86176" w:rsidP="003B39C4">
            <w:pPr>
              <w:pStyle w:val="ListParagraph"/>
              <w:spacing w:after="0" w:line="240" w:lineRule="auto"/>
              <w:ind w:left="-68"/>
              <w:jc w:val="both"/>
              <w:rPr>
                <w:rFonts w:ascii="Times New Roman" w:hAnsi="Times New Roman"/>
                <w:sz w:val="24"/>
                <w:szCs w:val="24"/>
              </w:rPr>
            </w:pPr>
            <w:r w:rsidRPr="00E86176">
              <w:rPr>
                <w:rFonts w:ascii="Times New Roman" w:hAnsi="Times New Roman"/>
                <w:sz w:val="24"/>
                <w:szCs w:val="24"/>
              </w:rPr>
              <w:t xml:space="preserve">Labklājības ministrija ir izstrādājusi surdotulku pakalpojuma grozu atbilstoši Invaliditātes likuma 13.panta </w:t>
            </w:r>
            <w:r w:rsidR="001A33A0">
              <w:rPr>
                <w:rFonts w:ascii="Times New Roman" w:hAnsi="Times New Roman"/>
                <w:sz w:val="24"/>
                <w:szCs w:val="24"/>
              </w:rPr>
              <w:t>trešajā</w:t>
            </w:r>
            <w:r w:rsidRPr="00E86176">
              <w:rPr>
                <w:rFonts w:ascii="Times New Roman" w:hAnsi="Times New Roman"/>
                <w:sz w:val="24"/>
                <w:szCs w:val="24"/>
              </w:rPr>
              <w:t xml:space="preserve"> un </w:t>
            </w:r>
            <w:r w:rsidR="001A33A0">
              <w:rPr>
                <w:rFonts w:ascii="Times New Roman" w:hAnsi="Times New Roman"/>
                <w:sz w:val="24"/>
                <w:szCs w:val="24"/>
              </w:rPr>
              <w:t xml:space="preserve">ceturtajā </w:t>
            </w:r>
            <w:r w:rsidRPr="00E86176">
              <w:rPr>
                <w:rFonts w:ascii="Times New Roman" w:hAnsi="Times New Roman"/>
                <w:sz w:val="24"/>
                <w:szCs w:val="24"/>
              </w:rPr>
              <w:t xml:space="preserve">daļā noteiktajam, </w:t>
            </w:r>
            <w:r w:rsidR="00EF696D">
              <w:rPr>
                <w:rFonts w:ascii="Times New Roman" w:hAnsi="Times New Roman"/>
                <w:sz w:val="24"/>
                <w:szCs w:val="24"/>
              </w:rPr>
              <w:t>MK noteikumos</w:t>
            </w:r>
            <w:r w:rsidRPr="00E86176">
              <w:rPr>
                <w:rFonts w:ascii="Times New Roman" w:hAnsi="Times New Roman"/>
                <w:sz w:val="24"/>
                <w:szCs w:val="24"/>
              </w:rPr>
              <w:t xml:space="preserve"> Nr.1472 un Ministru kabineta 2003.gada 3.jūnija noteikumos Nr.291 „Prasības sociālo pakalpojumu sniedzējiem” noteiktajām prasībām. </w:t>
            </w:r>
            <w:r w:rsidRPr="00EF696D">
              <w:rPr>
                <w:rFonts w:ascii="Times New Roman" w:hAnsi="Times New Roman"/>
                <w:sz w:val="24"/>
                <w:szCs w:val="24"/>
              </w:rPr>
              <w:t xml:space="preserve">Pakalpojuma izmaksas tiek rēķinātas uz 1 surdotulku stundā. Viena surdotulka izmaksas stundā surdotulka pakalpojumam izglītības programmas apguvei ir 9,65 </w:t>
            </w:r>
            <w:proofErr w:type="spellStart"/>
            <w:r w:rsidRPr="00EF696D">
              <w:rPr>
                <w:rFonts w:ascii="Times New Roman" w:hAnsi="Times New Roman"/>
                <w:i/>
                <w:sz w:val="24"/>
                <w:szCs w:val="24"/>
              </w:rPr>
              <w:t>euro</w:t>
            </w:r>
            <w:proofErr w:type="spellEnd"/>
            <w:r w:rsidRPr="00EF696D">
              <w:rPr>
                <w:rFonts w:ascii="Times New Roman" w:hAnsi="Times New Roman"/>
                <w:sz w:val="24"/>
                <w:szCs w:val="24"/>
              </w:rPr>
              <w:t xml:space="preserve"> un surdotulka pakalpojumam saskarsmes nodrošināšanai</w:t>
            </w:r>
            <w:r w:rsidR="00EF696D">
              <w:rPr>
                <w:rFonts w:ascii="Times New Roman" w:hAnsi="Times New Roman"/>
                <w:sz w:val="24"/>
                <w:szCs w:val="24"/>
              </w:rPr>
              <w:t xml:space="preserve"> -</w:t>
            </w:r>
            <w:r w:rsidRPr="00EF696D">
              <w:rPr>
                <w:rFonts w:ascii="Times New Roman" w:hAnsi="Times New Roman"/>
                <w:sz w:val="24"/>
                <w:szCs w:val="24"/>
              </w:rPr>
              <w:t xml:space="preserve"> 10,50 </w:t>
            </w:r>
            <w:proofErr w:type="spellStart"/>
            <w:r w:rsidRPr="00EF696D">
              <w:rPr>
                <w:rFonts w:ascii="Times New Roman" w:hAnsi="Times New Roman"/>
                <w:i/>
                <w:sz w:val="24"/>
                <w:szCs w:val="24"/>
              </w:rPr>
              <w:t>euro</w:t>
            </w:r>
            <w:proofErr w:type="spellEnd"/>
            <w:r w:rsidRPr="00EF696D">
              <w:rPr>
                <w:rFonts w:ascii="Times New Roman" w:hAnsi="Times New Roman"/>
                <w:i/>
                <w:sz w:val="24"/>
                <w:szCs w:val="24"/>
              </w:rPr>
              <w:t xml:space="preserve">. </w:t>
            </w:r>
            <w:r w:rsidR="00EF696D">
              <w:rPr>
                <w:rFonts w:ascii="Times New Roman" w:hAnsi="Times New Roman"/>
                <w:sz w:val="24"/>
                <w:szCs w:val="24"/>
              </w:rPr>
              <w:t xml:space="preserve">Ievērojot pakalpojumu grozā paredzētās vienas surdotulku pakalpojumu sniegšanas stundas izmaksas, starp NVA, Labklājības ministriju un </w:t>
            </w:r>
            <w:r w:rsidR="00EF696D" w:rsidRPr="00EF696D">
              <w:rPr>
                <w:rFonts w:ascii="Times New Roman" w:hAnsi="Times New Roman"/>
                <w:sz w:val="24"/>
                <w:szCs w:val="24"/>
              </w:rPr>
              <w:t>biedrību „Latvijas Nedzirdīgo savienība”</w:t>
            </w:r>
            <w:r w:rsidR="00412245">
              <w:rPr>
                <w:rFonts w:ascii="Times New Roman" w:hAnsi="Times New Roman"/>
                <w:sz w:val="24"/>
                <w:szCs w:val="24"/>
              </w:rPr>
              <w:t xml:space="preserve"> tika panākta vienošanās par surdotulku pakalpojumu izmaksu stundas likmēm, kā arī par nepieciešamību skaidrības viešanai izmaksu robežas </w:t>
            </w:r>
            <w:r w:rsidR="00412245">
              <w:rPr>
                <w:rFonts w:ascii="Times New Roman" w:hAnsi="Times New Roman"/>
                <w:sz w:val="24"/>
                <w:szCs w:val="24"/>
              </w:rPr>
              <w:lastRenderedPageBreak/>
              <w:t>paredzēt ārējā normatīvajā aktā.</w:t>
            </w:r>
            <w:r w:rsidR="003B39C4">
              <w:rPr>
                <w:rFonts w:ascii="Times New Roman" w:hAnsi="Times New Roman"/>
                <w:sz w:val="24"/>
                <w:szCs w:val="24"/>
              </w:rPr>
              <w:t xml:space="preserve"> Ņemot vērā to, ka, Noteikumu projektā paredzētas surdotulka pakalpojuma stundas likmes maksimālās robežas, deleģējuma līgumā puses var vienoties arī par zemākām likmēm, taču, lai pakalpojums nevarētu tikt pārlieku sadārdzināts, nepieciešams noteikt vienas pakalpojumu stundas likmes izmaksu robežas. </w:t>
            </w:r>
          </w:p>
          <w:p w:rsidR="00A558D4" w:rsidRPr="003B39C4" w:rsidRDefault="00A558D4" w:rsidP="003B39C4">
            <w:pPr>
              <w:pStyle w:val="ListParagraph"/>
              <w:spacing w:after="0" w:line="240" w:lineRule="auto"/>
              <w:ind w:left="-68"/>
              <w:jc w:val="both"/>
              <w:rPr>
                <w:rFonts w:ascii="Times New Roman" w:hAnsi="Times New Roman"/>
                <w:sz w:val="24"/>
                <w:szCs w:val="24"/>
              </w:rPr>
            </w:pPr>
          </w:p>
          <w:p w:rsidR="0066736C" w:rsidRDefault="004E2D23" w:rsidP="008D2B8D">
            <w:pPr>
              <w:pStyle w:val="naiskr"/>
              <w:numPr>
                <w:ilvl w:val="0"/>
                <w:numId w:val="29"/>
              </w:numPr>
              <w:spacing w:before="0" w:after="0"/>
              <w:ind w:left="-68" w:right="-1" w:firstLine="0"/>
              <w:contextualSpacing/>
              <w:jc w:val="both"/>
              <w:rPr>
                <w:bCs/>
              </w:rPr>
            </w:pPr>
            <w:r>
              <w:t xml:space="preserve">Bezdarbnieku un darba meklētāju likuma 4.panta trešā daļa paredz deleģējumu  Ministru kabinetam noteikt bezdarbnieka stipendijas apmēru profesionālās apmācības, pārkvalifikācijas un kvalifikācijas paaugstināšanas laikā un neformālās izglītības ieguves laikā, kā arī stipendijas piešķiršanas, atlīdzināšanas un piedziņas kārtību. Uz minētā panta pamata ir izdoti </w:t>
            </w:r>
            <w:r w:rsidR="00C4345B" w:rsidRPr="00C4345B">
              <w:rPr>
                <w:bCs/>
              </w:rPr>
              <w:t>Ministru kabineta 2009.gada 3.marta noteikum</w:t>
            </w:r>
            <w:r w:rsidR="00042D08">
              <w:rPr>
                <w:bCs/>
              </w:rPr>
              <w:t xml:space="preserve">i </w:t>
            </w:r>
            <w:r w:rsidR="00C4345B" w:rsidRPr="00C4345B">
              <w:rPr>
                <w:bCs/>
              </w:rPr>
              <w:t>Nr.212 „Noteikumi par bezdarbnieka stipendiju profesionālās apmācības, pārkvalifikācijas un kvalifikācijas paaugstināšanas laikā un neformālās izglītības ieguves laikā”</w:t>
            </w:r>
            <w:r w:rsidR="00C4345B">
              <w:rPr>
                <w:bCs/>
              </w:rPr>
              <w:t xml:space="preserve">. </w:t>
            </w:r>
            <w:r w:rsidR="0066736C" w:rsidRPr="0066736C">
              <w:rPr>
                <w:bCs/>
              </w:rPr>
              <w:t xml:space="preserve">Ņemot vērā to, ka </w:t>
            </w:r>
            <w:r w:rsidR="00B26187">
              <w:rPr>
                <w:bCs/>
              </w:rPr>
              <w:t xml:space="preserve">2011.gada 25.janvāra ministru kabineta noteikumi Nr.75 </w:t>
            </w:r>
            <w:r w:rsidR="00B26187" w:rsidRPr="00B26187">
              <w:rPr>
                <w:bCs/>
              </w:rPr>
              <w:t>„</w:t>
            </w:r>
            <w:r w:rsidR="00B26187">
              <w:t xml:space="preserve">Noteikumi par aktīvo nodarbinātības pasākumu un preventīvo bezdarba samazināšanas pasākumu organizēšanas un finansēšanas kārtību un pasākumu īstenotāju izvēles principiem” (turpmāk - MK noteikumi Nr.75) </w:t>
            </w:r>
            <w:r w:rsidR="0066736C" w:rsidRPr="0066736C">
              <w:rPr>
                <w:bCs/>
              </w:rPr>
              <w:t>regulē bezdarbnieku apmācību īstenošanu, taču neregulē stipendiju apmēru un to izmaksāšanas kārtību profesionālās apmācības, pārkvalifikācijas un kvalifikācijas paaugstināšanas laikā un neformālās izglītības ieguves laikā, Noteikumu projektā pārņemti visi nosacījumi, kas ietveri Ministru kabineta 2009.gada 3.marta noteikumos Nr.212 „Noteikumi par bezdarbnieka stipendiju profesionālās apmācības, pārkvalifikācijas un kvalifikācijas paaugstināšanas laikā un neformālās izglītības ieguves laikā”. Tādējādi tiek nodrošināts, ka visi nosacījumi, kas attiecas uz apmācību pasākumiem, ir ietverti vienā normatīvajā aktā. Līdz ar Noteikumu projekta spēkā stāšanos attiecīgi</w:t>
            </w:r>
            <w:r w:rsidR="00EF760F">
              <w:rPr>
                <w:bCs/>
              </w:rPr>
              <w:t>e MK</w:t>
            </w:r>
            <w:r w:rsidR="0066736C" w:rsidRPr="0066736C">
              <w:rPr>
                <w:bCs/>
              </w:rPr>
              <w:t xml:space="preserve"> noteikumi atzīstami par spēku zaudējušiem. </w:t>
            </w:r>
          </w:p>
          <w:p w:rsidR="00901308" w:rsidRPr="009357D6" w:rsidRDefault="00901308" w:rsidP="008D2B8D">
            <w:pPr>
              <w:pStyle w:val="ListParagraph"/>
              <w:numPr>
                <w:ilvl w:val="1"/>
                <w:numId w:val="29"/>
              </w:numPr>
              <w:tabs>
                <w:tab w:val="left" w:pos="-720"/>
                <w:tab w:val="left" w:pos="1440"/>
                <w:tab w:val="left" w:pos="2160"/>
                <w:tab w:val="left" w:pos="2880"/>
                <w:tab w:val="left" w:pos="3600"/>
                <w:tab w:val="left" w:pos="4320"/>
              </w:tabs>
              <w:autoSpaceDE w:val="0"/>
              <w:autoSpaceDN w:val="0"/>
              <w:adjustRightInd w:val="0"/>
              <w:spacing w:after="0" w:line="240" w:lineRule="auto"/>
              <w:ind w:left="-66" w:firstLine="0"/>
              <w:jc w:val="both"/>
              <w:rPr>
                <w:rFonts w:ascii="Times New Roman" w:hAnsi="Times New Roman"/>
                <w:sz w:val="24"/>
                <w:szCs w:val="24"/>
              </w:rPr>
            </w:pPr>
            <w:r w:rsidRPr="009357D6">
              <w:rPr>
                <w:rFonts w:ascii="Times New Roman" w:hAnsi="Times New Roman"/>
                <w:bCs/>
                <w:sz w:val="24"/>
                <w:szCs w:val="24"/>
              </w:rPr>
              <w:t>Lai</w:t>
            </w:r>
            <w:r w:rsidRPr="009357D6">
              <w:rPr>
                <w:rFonts w:ascii="Times New Roman" w:hAnsi="Times New Roman"/>
                <w:sz w:val="24"/>
                <w:szCs w:val="24"/>
              </w:rPr>
              <w:t xml:space="preserve"> atvieglotu finanšu līdzekļu administrēšanu un mazinātu administratīvo slogu, ikmēneša stipendijas apmērs apmācībās iesaistītajiem noteikts 100 </w:t>
            </w:r>
            <w:proofErr w:type="spellStart"/>
            <w:r w:rsidRPr="009357D6">
              <w:rPr>
                <w:rFonts w:ascii="Times New Roman" w:hAnsi="Times New Roman"/>
                <w:i/>
                <w:sz w:val="24"/>
                <w:szCs w:val="24"/>
              </w:rPr>
              <w:t>euro</w:t>
            </w:r>
            <w:proofErr w:type="spellEnd"/>
            <w:r w:rsidRPr="009357D6">
              <w:rPr>
                <w:rFonts w:ascii="Times New Roman" w:hAnsi="Times New Roman"/>
                <w:i/>
                <w:sz w:val="24"/>
                <w:szCs w:val="24"/>
              </w:rPr>
              <w:t xml:space="preserve"> </w:t>
            </w:r>
            <w:r w:rsidRPr="009357D6">
              <w:rPr>
                <w:rFonts w:ascii="Times New Roman" w:hAnsi="Times New Roman"/>
                <w:sz w:val="24"/>
                <w:szCs w:val="24"/>
              </w:rPr>
              <w:t xml:space="preserve">apmērā (iepriekš 99,60 </w:t>
            </w:r>
            <w:proofErr w:type="spellStart"/>
            <w:r w:rsidRPr="009357D6">
              <w:rPr>
                <w:rFonts w:ascii="Times New Roman" w:hAnsi="Times New Roman"/>
                <w:i/>
                <w:sz w:val="24"/>
                <w:szCs w:val="24"/>
              </w:rPr>
              <w:t>euro</w:t>
            </w:r>
            <w:proofErr w:type="spellEnd"/>
            <w:r w:rsidRPr="009357D6">
              <w:rPr>
                <w:rFonts w:ascii="Times New Roman" w:hAnsi="Times New Roman"/>
                <w:sz w:val="24"/>
                <w:szCs w:val="24"/>
              </w:rPr>
              <w:t>). Vienlaikus izmaiņas nerada būtisku ietekmi uz</w:t>
            </w:r>
            <w:r w:rsidR="009B627E">
              <w:rPr>
                <w:rFonts w:ascii="Times New Roman" w:hAnsi="Times New Roman"/>
                <w:sz w:val="24"/>
                <w:szCs w:val="24"/>
              </w:rPr>
              <w:t xml:space="preserve"> apmācību pasākumiem</w:t>
            </w:r>
            <w:r w:rsidRPr="009357D6">
              <w:rPr>
                <w:rFonts w:ascii="Times New Roman" w:hAnsi="Times New Roman"/>
                <w:sz w:val="24"/>
                <w:szCs w:val="24"/>
              </w:rPr>
              <w:t xml:space="preserve"> pieejamo finansējumu, iesaistāmo skaitu un pasākumu rezultatīvajiem rādītājiem. </w:t>
            </w:r>
          </w:p>
          <w:p w:rsidR="00106151" w:rsidRPr="00901308" w:rsidRDefault="00106151" w:rsidP="00EE7FBB"/>
          <w:p w:rsidR="00901308" w:rsidRPr="009357D6" w:rsidRDefault="00901308" w:rsidP="008D2B8D">
            <w:pPr>
              <w:pStyle w:val="ListParagraph"/>
              <w:numPr>
                <w:ilvl w:val="0"/>
                <w:numId w:val="29"/>
              </w:numPr>
              <w:spacing w:after="0" w:line="240" w:lineRule="auto"/>
              <w:ind w:left="-66" w:firstLine="0"/>
              <w:jc w:val="both"/>
              <w:rPr>
                <w:rFonts w:ascii="Times New Roman" w:hAnsi="Times New Roman"/>
                <w:sz w:val="24"/>
                <w:szCs w:val="24"/>
              </w:rPr>
            </w:pPr>
            <w:r w:rsidRPr="009357D6">
              <w:rPr>
                <w:rFonts w:ascii="Times New Roman" w:hAnsi="Times New Roman"/>
                <w:sz w:val="24"/>
                <w:szCs w:val="24"/>
              </w:rPr>
              <w:t xml:space="preserve">Atbilstoši aktīva nodarbinātības pasākuma </w:t>
            </w:r>
            <w:r w:rsidRPr="009357D6">
              <w:rPr>
                <w:rFonts w:ascii="Times New Roman" w:hAnsi="Times New Roman"/>
                <w:bCs/>
                <w:sz w:val="24"/>
                <w:szCs w:val="24"/>
              </w:rPr>
              <w:t>„</w:t>
            </w:r>
            <w:r w:rsidR="009357D6" w:rsidRPr="009357D6">
              <w:rPr>
                <w:rFonts w:ascii="Times New Roman" w:hAnsi="Times New Roman"/>
                <w:bCs/>
                <w:sz w:val="24"/>
                <w:szCs w:val="24"/>
              </w:rPr>
              <w:t xml:space="preserve">Pasākumi noteiktām personu grupām” īstenošanas nosacījumiem, pasākuma ietvaros darba devējs bezdarbniekam nodrošina kvalificētu darba vadītāju, kurš </w:t>
            </w:r>
            <w:r w:rsidR="009357D6" w:rsidRPr="009357D6">
              <w:rPr>
                <w:rFonts w:ascii="Times New Roman" w:hAnsi="Times New Roman"/>
                <w:bCs/>
                <w:sz w:val="24"/>
                <w:szCs w:val="24"/>
              </w:rPr>
              <w:lastRenderedPageBreak/>
              <w:t xml:space="preserve">palīdz pasākumos iesaistītajiem bezdarbniekiem apgūt darbam nepieciešamās pamatprasmes un iemaņas. Par kvalificētu darba vadītāju uzskata personu, kura ir ieguvusi izglītību vai ne mazāk kā divus gadus ilgu darba pieredzi profesijā, kurā nodarbina bezdarbnieku, vai kura ieguvusi sešu mēnešu darba pieredzi profesijā, ja bezdarbnieku plānots nodarbināt mazkvalificētos darbos (vienkāršo profesiju darbi atbilstoši Profesiju klasifikatora devītajai pamatgrupai). Ņemot vērā to, ka, lai vadītu vienkāršo profesiju darbus nav nepieciešamas īpašas zināšanas un specifiska pieredze, Noteikumu projekts paredz, ka darba vadītājam nav nepieciešama izglītība vai darba pieredze profesijā, ja bezdarbnieku plānots nodarbināt vienkāršo profesiju darbos. </w:t>
            </w:r>
          </w:p>
          <w:p w:rsidR="000264AB" w:rsidRPr="00426226" w:rsidRDefault="009357D6" w:rsidP="008D2B8D">
            <w:pPr>
              <w:pStyle w:val="ListParagraph"/>
              <w:numPr>
                <w:ilvl w:val="1"/>
                <w:numId w:val="29"/>
              </w:numPr>
              <w:spacing w:line="240" w:lineRule="auto"/>
              <w:ind w:left="-66" w:firstLine="0"/>
              <w:jc w:val="both"/>
              <w:rPr>
                <w:rFonts w:ascii="Times New Roman" w:hAnsi="Times New Roman"/>
                <w:sz w:val="24"/>
                <w:szCs w:val="24"/>
              </w:rPr>
            </w:pPr>
            <w:r w:rsidRPr="00B3674C">
              <w:rPr>
                <w:rFonts w:ascii="Times New Roman" w:hAnsi="Times New Roman"/>
                <w:sz w:val="24"/>
                <w:szCs w:val="24"/>
              </w:rPr>
              <w:t xml:space="preserve"> Atbilstoši akt</w:t>
            </w:r>
            <w:r w:rsidR="00B3674C" w:rsidRPr="00B3674C">
              <w:rPr>
                <w:rFonts w:ascii="Times New Roman" w:hAnsi="Times New Roman"/>
                <w:sz w:val="24"/>
                <w:szCs w:val="24"/>
              </w:rPr>
              <w:t>īvo</w:t>
            </w:r>
            <w:r w:rsidRPr="00B3674C">
              <w:rPr>
                <w:rFonts w:ascii="Times New Roman" w:hAnsi="Times New Roman"/>
                <w:sz w:val="24"/>
                <w:szCs w:val="24"/>
              </w:rPr>
              <w:t xml:space="preserve"> nodarbinātības pas</w:t>
            </w:r>
            <w:r w:rsidR="00B3674C" w:rsidRPr="00B3674C">
              <w:rPr>
                <w:rFonts w:ascii="Times New Roman" w:hAnsi="Times New Roman"/>
                <w:sz w:val="24"/>
                <w:szCs w:val="24"/>
              </w:rPr>
              <w:t>ākumu</w:t>
            </w:r>
            <w:r w:rsidRPr="00B3674C">
              <w:rPr>
                <w:rFonts w:ascii="Times New Roman" w:hAnsi="Times New Roman"/>
                <w:sz w:val="24"/>
                <w:szCs w:val="24"/>
              </w:rPr>
              <w:t xml:space="preserve"> </w:t>
            </w:r>
            <w:r w:rsidRPr="00B3674C">
              <w:rPr>
                <w:rFonts w:ascii="Times New Roman" w:hAnsi="Times New Roman"/>
                <w:bCs/>
                <w:sz w:val="24"/>
                <w:szCs w:val="24"/>
              </w:rPr>
              <w:t>„Pasākumi noteiktām personu grupām”</w:t>
            </w:r>
            <w:r w:rsidR="00B3674C" w:rsidRPr="00B3674C">
              <w:rPr>
                <w:rFonts w:ascii="Times New Roman" w:hAnsi="Times New Roman"/>
                <w:bCs/>
                <w:sz w:val="24"/>
                <w:szCs w:val="24"/>
              </w:rPr>
              <w:t>, „</w:t>
            </w:r>
            <w:r w:rsidR="00B3674C" w:rsidRPr="00B3674C">
              <w:rPr>
                <w:rFonts w:ascii="Times New Roman" w:hAnsi="Times New Roman"/>
                <w:sz w:val="24"/>
                <w:szCs w:val="24"/>
              </w:rPr>
              <w:t xml:space="preserve">Nodarbinātības pasākumi vasaras brīvlaikā personām, kuras iegūst izglītību vispārējās, speciālās vai profesionālās izglītības iestādēs” un </w:t>
            </w:r>
            <w:r w:rsidR="00B3674C" w:rsidRPr="00B3674C">
              <w:rPr>
                <w:rFonts w:ascii="Times New Roman" w:hAnsi="Times New Roman"/>
                <w:bCs/>
                <w:sz w:val="24"/>
                <w:szCs w:val="24"/>
              </w:rPr>
              <w:t>„</w:t>
            </w:r>
            <w:r w:rsidR="00B3674C" w:rsidRPr="00B3674C">
              <w:rPr>
                <w:rFonts w:ascii="Times New Roman" w:hAnsi="Times New Roman"/>
                <w:sz w:val="24"/>
                <w:szCs w:val="24"/>
              </w:rPr>
              <w:t>Pirmā darba pieredze jaunietim”</w:t>
            </w:r>
            <w:r w:rsidRPr="00B3674C">
              <w:rPr>
                <w:rFonts w:ascii="Times New Roman" w:hAnsi="Times New Roman"/>
                <w:bCs/>
                <w:sz w:val="24"/>
                <w:szCs w:val="24"/>
              </w:rPr>
              <w:t xml:space="preserve"> īstenošanas nosacījumiem</w:t>
            </w:r>
            <w:r w:rsidR="00B3674C" w:rsidRPr="00B3674C">
              <w:rPr>
                <w:rFonts w:ascii="Times New Roman" w:hAnsi="Times New Roman"/>
                <w:bCs/>
                <w:sz w:val="24"/>
                <w:szCs w:val="24"/>
              </w:rPr>
              <w:t xml:space="preserve">, pasākuma ietvaros darba devējs bezdarbniekam nodrošina kvalificētu darba vadītāju, savukārt NVA darba devējam nodrošina </w:t>
            </w:r>
            <w:r w:rsidR="00B3674C" w:rsidRPr="00B3674C">
              <w:rPr>
                <w:rFonts w:ascii="Times New Roman" w:hAnsi="Times New Roman"/>
                <w:sz w:val="24"/>
                <w:szCs w:val="24"/>
              </w:rPr>
              <w:t>ikmēneša darba algas dotāciju darba vadītājiem, kas strādā ar darbā pieņemtajiem bezdarbniekiem. Tomēr</w:t>
            </w:r>
            <w:r w:rsidR="00ED1A65">
              <w:rPr>
                <w:rFonts w:ascii="Times New Roman" w:hAnsi="Times New Roman"/>
                <w:bCs/>
                <w:sz w:val="24"/>
                <w:szCs w:val="24"/>
              </w:rPr>
              <w:t xml:space="preserve"> p</w:t>
            </w:r>
            <w:r w:rsidRPr="00B3674C">
              <w:rPr>
                <w:rFonts w:ascii="Times New Roman" w:hAnsi="Times New Roman"/>
                <w:bCs/>
                <w:sz w:val="24"/>
                <w:szCs w:val="24"/>
              </w:rPr>
              <w:t>raksē bieži nov</w:t>
            </w:r>
            <w:r w:rsidR="00B3674C" w:rsidRPr="00B3674C">
              <w:rPr>
                <w:rFonts w:ascii="Times New Roman" w:hAnsi="Times New Roman"/>
                <w:bCs/>
                <w:sz w:val="24"/>
                <w:szCs w:val="24"/>
              </w:rPr>
              <w:t>ērojami</w:t>
            </w:r>
            <w:r w:rsidRPr="00B3674C">
              <w:rPr>
                <w:rFonts w:ascii="Times New Roman" w:hAnsi="Times New Roman"/>
                <w:bCs/>
                <w:sz w:val="24"/>
                <w:szCs w:val="24"/>
              </w:rPr>
              <w:t xml:space="preserve"> gadījumi, kad subsidēto darba vietu nodrošina pašnodarbinātai</w:t>
            </w:r>
            <w:r w:rsidR="00B3674C" w:rsidRPr="00B3674C">
              <w:rPr>
                <w:rFonts w:ascii="Times New Roman" w:hAnsi="Times New Roman"/>
                <w:bCs/>
                <w:sz w:val="24"/>
                <w:szCs w:val="24"/>
              </w:rPr>
              <w:t>s</w:t>
            </w:r>
            <w:r w:rsidRPr="00B3674C">
              <w:rPr>
                <w:rFonts w:ascii="Times New Roman" w:hAnsi="Times New Roman"/>
                <w:bCs/>
                <w:sz w:val="24"/>
                <w:szCs w:val="24"/>
              </w:rPr>
              <w:t>, nevis komercsabiedrība. Vairumā gadījumu pašnodarbinātajam nav nodarbināto, tādēļ pašnodarbinātajam nav iespēj</w:t>
            </w:r>
            <w:r w:rsidR="00B3674C" w:rsidRPr="00B3674C">
              <w:rPr>
                <w:rFonts w:ascii="Times New Roman" w:hAnsi="Times New Roman"/>
                <w:bCs/>
                <w:sz w:val="24"/>
                <w:szCs w:val="24"/>
              </w:rPr>
              <w:t xml:space="preserve">u </w:t>
            </w:r>
            <w:r w:rsidRPr="00B3674C">
              <w:rPr>
                <w:rFonts w:ascii="Times New Roman" w:hAnsi="Times New Roman"/>
                <w:bCs/>
                <w:sz w:val="24"/>
                <w:szCs w:val="24"/>
              </w:rPr>
              <w:t xml:space="preserve">nodrošināt darba vadītāju. Lai nodrošinātu iespēju pašnodarbinātajam kā darba devējam vadīt bezdarbnieka darbu, tādējādi veicinot bezdarbnieka prasmju un </w:t>
            </w:r>
            <w:r w:rsidR="00820317">
              <w:rPr>
                <w:rFonts w:ascii="Times New Roman" w:hAnsi="Times New Roman"/>
                <w:bCs/>
                <w:sz w:val="24"/>
                <w:szCs w:val="24"/>
              </w:rPr>
              <w:t>darba iemaņu apguvi</w:t>
            </w:r>
            <w:r w:rsidRPr="00B3674C">
              <w:rPr>
                <w:rFonts w:ascii="Times New Roman" w:hAnsi="Times New Roman"/>
                <w:bCs/>
                <w:sz w:val="24"/>
                <w:szCs w:val="24"/>
              </w:rPr>
              <w:t xml:space="preserve">, </w:t>
            </w:r>
            <w:r w:rsidR="00B3674C" w:rsidRPr="00B3674C">
              <w:rPr>
                <w:rFonts w:ascii="Times New Roman" w:hAnsi="Times New Roman"/>
                <w:bCs/>
                <w:sz w:val="24"/>
                <w:szCs w:val="24"/>
              </w:rPr>
              <w:t>Noteikumu projekts</w:t>
            </w:r>
            <w:r w:rsidR="00DF4B7F">
              <w:rPr>
                <w:rFonts w:ascii="Times New Roman" w:hAnsi="Times New Roman"/>
                <w:bCs/>
                <w:sz w:val="24"/>
                <w:szCs w:val="24"/>
              </w:rPr>
              <w:t xml:space="preserve"> paredz,</w:t>
            </w:r>
            <w:r w:rsidR="00DA1562">
              <w:rPr>
                <w:rFonts w:ascii="Times New Roman" w:hAnsi="Times New Roman"/>
                <w:bCs/>
                <w:sz w:val="24"/>
                <w:szCs w:val="24"/>
              </w:rPr>
              <w:t xml:space="preserve"> </w:t>
            </w:r>
            <w:r w:rsidR="00B3674C" w:rsidRPr="00B3674C">
              <w:rPr>
                <w:rFonts w:ascii="Times New Roman" w:hAnsi="Times New Roman"/>
                <w:bCs/>
                <w:sz w:val="24"/>
                <w:szCs w:val="24"/>
              </w:rPr>
              <w:t xml:space="preserve">ka NVA izmaksā dotāciju, kuras mērķis ne vienmēr būs piemaksa pie darba algas darba vadītājam, kurš atrodas darba tiesiskajās attiecībās ar darba devēju, kurš nodrošina subsidēto darba vietu. </w:t>
            </w:r>
          </w:p>
          <w:p w:rsidR="00426226" w:rsidRDefault="00426226" w:rsidP="00384733">
            <w:pPr>
              <w:pStyle w:val="ListParagraph"/>
              <w:spacing w:line="240" w:lineRule="auto"/>
              <w:ind w:left="0"/>
              <w:jc w:val="both"/>
              <w:rPr>
                <w:rFonts w:ascii="Times New Roman" w:hAnsi="Times New Roman"/>
                <w:bCs/>
                <w:sz w:val="24"/>
                <w:szCs w:val="24"/>
              </w:rPr>
            </w:pPr>
          </w:p>
          <w:p w:rsidR="00426226" w:rsidRPr="006C20A5" w:rsidRDefault="00426226" w:rsidP="008D2B8D">
            <w:pPr>
              <w:pStyle w:val="ListParagraph"/>
              <w:numPr>
                <w:ilvl w:val="0"/>
                <w:numId w:val="29"/>
              </w:numPr>
              <w:spacing w:line="240" w:lineRule="auto"/>
              <w:ind w:left="-66" w:firstLine="0"/>
              <w:jc w:val="both"/>
              <w:rPr>
                <w:rFonts w:ascii="Times New Roman" w:hAnsi="Times New Roman"/>
                <w:sz w:val="24"/>
                <w:szCs w:val="24"/>
              </w:rPr>
            </w:pPr>
            <w:r w:rsidRPr="006C20A5">
              <w:rPr>
                <w:rFonts w:ascii="Times New Roman" w:hAnsi="Times New Roman"/>
                <w:bCs/>
                <w:sz w:val="24"/>
                <w:szCs w:val="24"/>
              </w:rPr>
              <w:t>Šobrīd aktīvajā nodarbinātības pasākumā „</w:t>
            </w:r>
            <w:r w:rsidRPr="006C20A5">
              <w:rPr>
                <w:rFonts w:ascii="Times New Roman" w:hAnsi="Times New Roman"/>
                <w:sz w:val="24"/>
                <w:szCs w:val="24"/>
              </w:rPr>
              <w:t xml:space="preserve">Darbam nepieciešamo iemaņu attīstība nevalstiskajā sektorā” iesaista jauniešus bezdarbniekus vecumā no 18 – 24 gadiem. </w:t>
            </w:r>
            <w:r w:rsidR="006C20A5" w:rsidRPr="006C20A5">
              <w:rPr>
                <w:rFonts w:ascii="Times New Roman" w:hAnsi="Times New Roman"/>
                <w:sz w:val="24"/>
                <w:szCs w:val="24"/>
              </w:rPr>
              <w:t>Noteikumu projekts paredz paplašināt pasākuma mērķa grupu, paredzot iespēju minētajā pasākumā iesaistīties jauniešiem līdz 29 gadu vecumam. Pasākumā iesaista neaktīvos jauniešus, kā arī jauniešus, kurus nevar iesaistīt citos Jauniešu garantijas programmas pasākumos, tādēļ iesaiste pasākumā, kas ir vērsta uz jauniešu bezdarbnieku aktivitātes veicināšanu, būtu piedāvājum</w:t>
            </w:r>
            <w:r w:rsidR="007D4ECD">
              <w:rPr>
                <w:rFonts w:ascii="Times New Roman" w:hAnsi="Times New Roman"/>
                <w:sz w:val="24"/>
                <w:szCs w:val="24"/>
              </w:rPr>
              <w:t>a</w:t>
            </w:r>
            <w:r w:rsidR="006C20A5" w:rsidRPr="006C20A5">
              <w:rPr>
                <w:rFonts w:ascii="Times New Roman" w:hAnsi="Times New Roman"/>
                <w:sz w:val="24"/>
                <w:szCs w:val="24"/>
              </w:rPr>
              <w:t xml:space="preserve"> arī jauniešiem, kas vecāki par 24 gadiem. </w:t>
            </w:r>
          </w:p>
          <w:p w:rsidR="00D71DC7" w:rsidRDefault="006C20A5" w:rsidP="00DF4B7F">
            <w:pPr>
              <w:ind w:left="-66"/>
              <w:contextualSpacing/>
              <w:jc w:val="both"/>
              <w:rPr>
                <w:bCs/>
                <w:sz w:val="28"/>
                <w:szCs w:val="28"/>
              </w:rPr>
            </w:pPr>
            <w:r w:rsidRPr="006C20A5">
              <w:rPr>
                <w:bCs/>
              </w:rPr>
              <w:t>7.</w:t>
            </w:r>
            <w:r w:rsidR="00BF170F" w:rsidRPr="006C20A5">
              <w:rPr>
                <w:bCs/>
              </w:rPr>
              <w:t xml:space="preserve"> </w:t>
            </w:r>
            <w:r w:rsidR="00B3674C" w:rsidRPr="006C20A5">
              <w:rPr>
                <w:bCs/>
              </w:rPr>
              <w:t>Ņemot vērā nelielo jauniešu iesaisti aktīvajā nodarbinātības pasākumā „Pirmā darba pieredze jaunietim”</w:t>
            </w:r>
            <w:r w:rsidRPr="006C20A5">
              <w:rPr>
                <w:bCs/>
              </w:rPr>
              <w:t xml:space="preserve"> (no 2014. – 2018.gadam plānots iesaistīt 1522 </w:t>
            </w:r>
            <w:r w:rsidRPr="006C20A5">
              <w:rPr>
                <w:bCs/>
              </w:rPr>
              <w:lastRenderedPageBreak/>
              <w:t>jauni</w:t>
            </w:r>
            <w:r w:rsidR="007D2EFE">
              <w:rPr>
                <w:bCs/>
              </w:rPr>
              <w:t>ešus bezdarbniekus, taču līdz 201</w:t>
            </w:r>
            <w:r w:rsidRPr="006C20A5">
              <w:rPr>
                <w:bCs/>
              </w:rPr>
              <w:t>5.gada septembra beigām iesaistīti vien 124 jaunieši bezdarbnieki)</w:t>
            </w:r>
            <w:r w:rsidR="00B3674C" w:rsidRPr="006C20A5">
              <w:rPr>
                <w:bCs/>
              </w:rPr>
              <w:t xml:space="preserve"> un to, ka darba devēji labprātāk izvēlas veidot </w:t>
            </w:r>
            <w:r w:rsidRPr="006C20A5">
              <w:rPr>
                <w:bCs/>
              </w:rPr>
              <w:t>subsidētās darba vietas pasākuma</w:t>
            </w:r>
            <w:r w:rsidR="00B3674C" w:rsidRPr="006C20A5">
              <w:rPr>
                <w:bCs/>
              </w:rPr>
              <w:t xml:space="preserve"> „Pasākumi noteiktām personu grupām” ietvaros, Noteikumu projektā paredzēts palielināt ikmēneša darba algas dotāciju jaunietim bezdarbniekam par pilnu darba laiku pirmos sešus mēnešus 200 </w:t>
            </w:r>
            <w:proofErr w:type="spellStart"/>
            <w:r w:rsidR="00B3674C" w:rsidRPr="006C20A5">
              <w:rPr>
                <w:bCs/>
                <w:i/>
              </w:rPr>
              <w:t>euro</w:t>
            </w:r>
            <w:proofErr w:type="spellEnd"/>
            <w:r w:rsidR="00B3674C" w:rsidRPr="006C20A5">
              <w:rPr>
                <w:bCs/>
              </w:rPr>
              <w:t xml:space="preserve"> (iepriekš 160 </w:t>
            </w:r>
            <w:proofErr w:type="spellStart"/>
            <w:r w:rsidR="00B3674C" w:rsidRPr="006C20A5">
              <w:rPr>
                <w:bCs/>
                <w:i/>
              </w:rPr>
              <w:t>euro</w:t>
            </w:r>
            <w:proofErr w:type="spellEnd"/>
            <w:r w:rsidR="00B3674C" w:rsidRPr="006C20A5">
              <w:rPr>
                <w:bCs/>
              </w:rPr>
              <w:t xml:space="preserve">) apmērā proporcionāli mēnesī nostrādātajām dienām (jaunietim bezdarbniekam ar invaliditāti – 300 </w:t>
            </w:r>
            <w:proofErr w:type="spellStart"/>
            <w:r w:rsidR="00B3674C" w:rsidRPr="006C20A5">
              <w:rPr>
                <w:bCs/>
              </w:rPr>
              <w:t>euro</w:t>
            </w:r>
            <w:proofErr w:type="spellEnd"/>
            <w:r w:rsidR="00B3674C" w:rsidRPr="006C20A5">
              <w:rPr>
                <w:bCs/>
              </w:rPr>
              <w:t xml:space="preserve"> apmērā (iepriekš 240 </w:t>
            </w:r>
            <w:proofErr w:type="spellStart"/>
            <w:r w:rsidR="00B3674C" w:rsidRPr="006C20A5">
              <w:rPr>
                <w:bCs/>
                <w:i/>
              </w:rPr>
              <w:t>euro</w:t>
            </w:r>
            <w:proofErr w:type="spellEnd"/>
            <w:r w:rsidR="00B3674C" w:rsidRPr="006C20A5">
              <w:rPr>
                <w:bCs/>
              </w:rPr>
              <w:t xml:space="preserve">)) un atlikušos sešus mēnešus 160 </w:t>
            </w:r>
            <w:proofErr w:type="spellStart"/>
            <w:r w:rsidR="00B3674C" w:rsidRPr="006C20A5">
              <w:rPr>
                <w:bCs/>
                <w:i/>
              </w:rPr>
              <w:t>euro</w:t>
            </w:r>
            <w:proofErr w:type="spellEnd"/>
            <w:r w:rsidR="00B3674C" w:rsidRPr="006C20A5">
              <w:rPr>
                <w:bCs/>
              </w:rPr>
              <w:t xml:space="preserve"> (iepriekš 100 </w:t>
            </w:r>
            <w:proofErr w:type="spellStart"/>
            <w:r w:rsidR="00B3674C" w:rsidRPr="006C20A5">
              <w:rPr>
                <w:bCs/>
                <w:i/>
              </w:rPr>
              <w:t>euro</w:t>
            </w:r>
            <w:proofErr w:type="spellEnd"/>
            <w:r w:rsidR="00B3674C" w:rsidRPr="006C20A5">
              <w:rPr>
                <w:bCs/>
              </w:rPr>
              <w:t xml:space="preserve">) apmērā proporcionāli mēnesī nostrādātajām dienām (jaunietim bezdarbniekam ar invaliditāti – 240 </w:t>
            </w:r>
            <w:proofErr w:type="spellStart"/>
            <w:r w:rsidR="00B3674C" w:rsidRPr="006C20A5">
              <w:rPr>
                <w:bCs/>
                <w:i/>
              </w:rPr>
              <w:t>euro</w:t>
            </w:r>
            <w:proofErr w:type="spellEnd"/>
            <w:r w:rsidR="00B3674C" w:rsidRPr="006C20A5">
              <w:rPr>
                <w:bCs/>
              </w:rPr>
              <w:t xml:space="preserve"> apmērā (iepriekš 200 </w:t>
            </w:r>
            <w:proofErr w:type="spellStart"/>
            <w:r w:rsidR="00B3674C" w:rsidRPr="006C20A5">
              <w:rPr>
                <w:bCs/>
                <w:i/>
              </w:rPr>
              <w:t>euro</w:t>
            </w:r>
            <w:proofErr w:type="spellEnd"/>
            <w:r w:rsidR="00B3674C" w:rsidRPr="006C20A5">
              <w:rPr>
                <w:bCs/>
              </w:rPr>
              <w:t>)).</w:t>
            </w:r>
            <w:r w:rsidR="00B3674C" w:rsidRPr="00B3674C">
              <w:rPr>
                <w:bCs/>
                <w:sz w:val="28"/>
                <w:szCs w:val="28"/>
              </w:rPr>
              <w:t xml:space="preserve"> </w:t>
            </w:r>
          </w:p>
          <w:p w:rsidR="00DF4B7F" w:rsidRPr="00C20DD0" w:rsidRDefault="00DF4B7F" w:rsidP="00DF4B7F">
            <w:pPr>
              <w:ind w:left="-66"/>
              <w:contextualSpacing/>
              <w:jc w:val="both"/>
              <w:rPr>
                <w:bCs/>
                <w:sz w:val="28"/>
                <w:szCs w:val="28"/>
              </w:rPr>
            </w:pPr>
          </w:p>
          <w:p w:rsidR="00D71DC7" w:rsidRDefault="00F0626D" w:rsidP="00DF4B7F">
            <w:pPr>
              <w:pStyle w:val="ListParagraph"/>
              <w:numPr>
                <w:ilvl w:val="0"/>
                <w:numId w:val="26"/>
              </w:numPr>
              <w:spacing w:after="0" w:line="240" w:lineRule="auto"/>
              <w:ind w:left="-68" w:firstLine="0"/>
              <w:jc w:val="both"/>
              <w:rPr>
                <w:rFonts w:ascii="Times New Roman" w:hAnsi="Times New Roman"/>
                <w:sz w:val="24"/>
                <w:szCs w:val="24"/>
              </w:rPr>
            </w:pPr>
            <w:r w:rsidRPr="00384733">
              <w:rPr>
                <w:rFonts w:ascii="Times New Roman" w:hAnsi="Times New Roman"/>
                <w:bCs/>
                <w:sz w:val="24"/>
                <w:szCs w:val="24"/>
              </w:rPr>
              <w:t>B</w:t>
            </w:r>
            <w:r w:rsidR="007D2EFE">
              <w:rPr>
                <w:rFonts w:ascii="Times New Roman" w:hAnsi="Times New Roman"/>
                <w:bCs/>
                <w:sz w:val="24"/>
                <w:szCs w:val="24"/>
              </w:rPr>
              <w:t>ezdarbnieki</w:t>
            </w:r>
            <w:r w:rsidRPr="00384733">
              <w:rPr>
                <w:rFonts w:ascii="Times New Roman" w:hAnsi="Times New Roman"/>
                <w:bCs/>
                <w:sz w:val="24"/>
                <w:szCs w:val="24"/>
              </w:rPr>
              <w:t xml:space="preserve">, kuri piedalās APSD, daļā gadījumu </w:t>
            </w:r>
            <w:r w:rsidR="004E2D23" w:rsidRPr="00384733">
              <w:rPr>
                <w:rFonts w:ascii="Times New Roman" w:hAnsi="Times New Roman"/>
                <w:bCs/>
                <w:sz w:val="24"/>
                <w:szCs w:val="24"/>
              </w:rPr>
              <w:t xml:space="preserve">nevar veikt darbu normālo darba laiku (8 stundas dienā), kam par iemeslu var būt dažādi objektīvi apstākļi (veselības problēmas, nepieciešamība pieskaitīt bērnus u.c.). Lai nodrošinātu elastīgākus pasākuma īstenošanas nosacījumus, Noteikumu projektā paredzēta iespēja bezdarbniekus APSD iesaistīt arī uz īsāku darba laiku, proti, </w:t>
            </w:r>
            <w:r w:rsidR="004E2D23" w:rsidRPr="00384733">
              <w:rPr>
                <w:rFonts w:ascii="Times New Roman" w:hAnsi="Times New Roman"/>
                <w:sz w:val="24"/>
                <w:szCs w:val="24"/>
              </w:rPr>
              <w:t>p</w:t>
            </w:r>
            <w:r w:rsidR="00D71DC7" w:rsidRPr="00384733">
              <w:rPr>
                <w:rFonts w:ascii="Times New Roman" w:hAnsi="Times New Roman"/>
                <w:sz w:val="24"/>
                <w:szCs w:val="24"/>
              </w:rPr>
              <w:t xml:space="preserve">ašvaldība, iepriekš saskaņojot ar </w:t>
            </w:r>
            <w:r w:rsidR="004E2D23" w:rsidRPr="00384733">
              <w:rPr>
                <w:rFonts w:ascii="Times New Roman" w:hAnsi="Times New Roman"/>
                <w:sz w:val="24"/>
                <w:szCs w:val="24"/>
              </w:rPr>
              <w:t>NVA</w:t>
            </w:r>
            <w:r w:rsidR="00D71DC7" w:rsidRPr="00384733">
              <w:rPr>
                <w:rFonts w:ascii="Times New Roman" w:hAnsi="Times New Roman"/>
                <w:sz w:val="24"/>
                <w:szCs w:val="24"/>
              </w:rPr>
              <w:t>, savos saistošajos noteikumos var paredzēt gadījumus, kad algoto pagaidu sabiedrisko darbu veikšanas laiks var tikt saīsināts, ja atbilstoši bezdarbnieka individuālajā darba meklēšanas plānā noteiktajam</w:t>
            </w:r>
            <w:r w:rsidR="007829E6">
              <w:rPr>
                <w:rFonts w:ascii="Times New Roman" w:hAnsi="Times New Roman"/>
                <w:sz w:val="24"/>
                <w:szCs w:val="24"/>
              </w:rPr>
              <w:t>,</w:t>
            </w:r>
            <w:r w:rsidR="00D71DC7" w:rsidRPr="00384733">
              <w:rPr>
                <w:rFonts w:ascii="Times New Roman" w:hAnsi="Times New Roman"/>
                <w:sz w:val="24"/>
                <w:szCs w:val="24"/>
              </w:rPr>
              <w:t xml:space="preserve"> darbu nav iespējams veikt</w:t>
            </w:r>
            <w:r w:rsidR="00D71DC7" w:rsidRPr="00384733" w:rsidDel="00BD7C93">
              <w:rPr>
                <w:rFonts w:ascii="Times New Roman" w:hAnsi="Times New Roman"/>
                <w:sz w:val="24"/>
                <w:szCs w:val="24"/>
              </w:rPr>
              <w:t xml:space="preserve"> </w:t>
            </w:r>
            <w:r w:rsidR="004E2D23" w:rsidRPr="00384733">
              <w:rPr>
                <w:rFonts w:ascii="Times New Roman" w:hAnsi="Times New Roman"/>
                <w:sz w:val="24"/>
                <w:szCs w:val="24"/>
              </w:rPr>
              <w:t>normālā darba laika ietvaros.</w:t>
            </w:r>
          </w:p>
          <w:p w:rsidR="00DF4B7F" w:rsidRPr="00384733" w:rsidRDefault="00DF4B7F" w:rsidP="00DF4B7F">
            <w:pPr>
              <w:pStyle w:val="ListParagraph"/>
              <w:spacing w:after="0" w:line="240" w:lineRule="auto"/>
              <w:ind w:left="-68"/>
              <w:jc w:val="both"/>
              <w:rPr>
                <w:rFonts w:ascii="Times New Roman" w:hAnsi="Times New Roman"/>
                <w:sz w:val="24"/>
                <w:szCs w:val="24"/>
              </w:rPr>
            </w:pPr>
          </w:p>
          <w:p w:rsidR="00F0626D" w:rsidRDefault="00954AAD" w:rsidP="001C2A92">
            <w:pPr>
              <w:shd w:val="clear" w:color="auto" w:fill="FFFFFF"/>
              <w:ind w:left="-66"/>
              <w:jc w:val="both"/>
            </w:pPr>
            <w:r>
              <w:t>9.</w:t>
            </w:r>
            <w:r w:rsidR="00F0626D" w:rsidRPr="000D0EC0">
              <w:rPr>
                <w:rFonts w:eastAsiaTheme="minorHAnsi"/>
                <w:lang w:eastAsia="en-US"/>
              </w:rPr>
              <w:t xml:space="preserve"> </w:t>
            </w:r>
            <w:r w:rsidR="00F0626D" w:rsidRPr="000D0EC0">
              <w:t xml:space="preserve">Lai </w:t>
            </w:r>
            <w:r w:rsidR="00F0626D">
              <w:t xml:space="preserve">MK noteikumos Nr.75 </w:t>
            </w:r>
            <w:r w:rsidR="00F0626D" w:rsidRPr="000D0EC0">
              <w:t xml:space="preserve">netiktu paredzēti tādi nodarbinātības pasākumi, kurus NVA neīsteno, ar </w:t>
            </w:r>
            <w:r w:rsidR="00F0626D">
              <w:t>Noteikumu</w:t>
            </w:r>
            <w:r w:rsidR="0075627A">
              <w:t xml:space="preserve"> </w:t>
            </w:r>
            <w:r w:rsidR="00F0626D" w:rsidRPr="000D0EC0">
              <w:t xml:space="preserve">projektu paredzēts </w:t>
            </w:r>
            <w:r w:rsidR="00F0626D">
              <w:t>svītrot</w:t>
            </w:r>
            <w:r w:rsidR="00F0626D" w:rsidRPr="000D0EC0">
              <w:t xml:space="preserve"> noteikumu </w:t>
            </w:r>
            <w:r w:rsidR="00F0626D">
              <w:t xml:space="preserve">3.4.3.apakšnodaļu </w:t>
            </w:r>
            <w:r w:rsidR="00F0626D" w:rsidRPr="00D82864">
              <w:t>„</w:t>
            </w:r>
            <w:r w:rsidR="00F0626D">
              <w:t>Darba izmēģinājumi</w:t>
            </w:r>
            <w:r w:rsidR="00F0626D" w:rsidRPr="000D0EC0">
              <w:t>”, jo N</w:t>
            </w:r>
            <w:r w:rsidR="00F0626D">
              <w:t>VA</w:t>
            </w:r>
            <w:r w:rsidR="00F0626D" w:rsidRPr="000D0EC0">
              <w:t xml:space="preserve"> šo pasākumu neīsteno</w:t>
            </w:r>
            <w:r w:rsidR="00F0626D">
              <w:t xml:space="preserve"> un dalību šajā pasākumā pabeigušas visas iepriekš pasākumā iesaistītās personas</w:t>
            </w:r>
            <w:r w:rsidR="00F0626D" w:rsidRPr="000D0EC0">
              <w:t xml:space="preserve"> un arī turpmāk nav plānots atsākt šī pasākuma īstenošanu.</w:t>
            </w:r>
          </w:p>
          <w:p w:rsidR="00D56D12" w:rsidRDefault="00D56D12" w:rsidP="001C2A92">
            <w:pPr>
              <w:shd w:val="clear" w:color="auto" w:fill="FFFFFF"/>
              <w:ind w:left="-66"/>
              <w:jc w:val="both"/>
            </w:pPr>
          </w:p>
          <w:p w:rsidR="00D56D12" w:rsidRPr="00D56D12" w:rsidRDefault="00D56D12" w:rsidP="00D56D12">
            <w:pPr>
              <w:pStyle w:val="ListParagraph"/>
              <w:numPr>
                <w:ilvl w:val="0"/>
                <w:numId w:val="27"/>
              </w:numPr>
              <w:shd w:val="clear" w:color="auto" w:fill="FFFFFF"/>
              <w:spacing w:after="0" w:line="240" w:lineRule="auto"/>
              <w:ind w:left="-66" w:firstLine="0"/>
              <w:jc w:val="both"/>
              <w:rPr>
                <w:rFonts w:ascii="Times New Roman" w:hAnsi="Times New Roman"/>
                <w:sz w:val="24"/>
                <w:szCs w:val="24"/>
              </w:rPr>
            </w:pPr>
            <w:r w:rsidRPr="00D56D12">
              <w:rPr>
                <w:rFonts w:ascii="Times New Roman" w:hAnsi="Times New Roman"/>
                <w:sz w:val="24"/>
                <w:szCs w:val="24"/>
              </w:rPr>
              <w:t>Lai nodrošinātu vienotu pieeju asistenta pakalpojumu sniegšanai, Noteikumu projektā paredzēts, ka minētos pakalpojumus bezdarbniekiem ar invaliditāti nodrošina pašvaldība atbilstoši normatīvajos aktos par kārtību, kādā piešķir un finansē asistenta pakalpojumus pašvaldībā, noteiktajam (t.i., no valsts budžeta līdzekļiem). Invaliditātes likumā ir atrunāta kārtība, kādā saņemams minētais pakalpojums, t.sk., demarkācija ar pabalsta par asistenta izmantošanu saņemšanu.</w:t>
            </w:r>
          </w:p>
          <w:p w:rsidR="00D56D12" w:rsidRPr="00D56D12" w:rsidRDefault="00D56D12" w:rsidP="00D56D12">
            <w:pPr>
              <w:shd w:val="clear" w:color="auto" w:fill="FFFFFF"/>
              <w:ind w:left="-66"/>
              <w:contextualSpacing/>
              <w:jc w:val="both"/>
            </w:pPr>
            <w:r w:rsidRPr="00D56D12">
              <w:t>Atbilstoši Invaliditātes likuma 12.panta pirmās daļas 3. un 3</w:t>
            </w:r>
            <w:r w:rsidRPr="00D56D12">
              <w:rPr>
                <w:vertAlign w:val="superscript"/>
              </w:rPr>
              <w:t>1</w:t>
            </w:r>
            <w:r w:rsidRPr="00D56D12">
              <w:t>.punktam, 12.panta 5.</w:t>
            </w:r>
            <w:r w:rsidRPr="00D56D12">
              <w:rPr>
                <w:vertAlign w:val="superscript"/>
              </w:rPr>
              <w:t xml:space="preserve">1 </w:t>
            </w:r>
            <w:r w:rsidRPr="00D56D12">
              <w:t xml:space="preserve">daļai, 6.daļai un saskaņā ar Ministru kabineta 18.12.2012. noteikumiem Nr. 942 „Kārtība, kādā piešķir un finansē asistenta pakalpojumu </w:t>
            </w:r>
            <w:r w:rsidRPr="00D56D12">
              <w:lastRenderedPageBreak/>
              <w:t xml:space="preserve">pašvaldībā”, ar 01.01.2013. valstī tika uzsākts jauns pakalpojums personām ar invaliditāti – asistenta pakalpojums pašvaldībās. No 01.01.2013. pašvaldībā pēc deklarētās dzīvesvietas var saņemt no valsts budžeta apmaksātu asistenta pakalpojumu, kas paredzēts, lai palīdzētu cilvēkiem ar invaliditāti veikt </w:t>
            </w:r>
            <w:proofErr w:type="spellStart"/>
            <w:r w:rsidRPr="00D56D12">
              <w:t>ārpusmājas</w:t>
            </w:r>
            <w:proofErr w:type="spellEnd"/>
            <w:r w:rsidRPr="00D56D12">
              <w:t xml:space="preserve"> aktivitātes - nokļūt vietā, kur viņi mācās, strādā vai saņem pakalpojumus. Pakalpojuma mērķis ir sniegt atbalstu ikdienas dzīves aktivitātēs, veicināt cilvēku ar invaliditāti neatkarību.</w:t>
            </w:r>
          </w:p>
          <w:p w:rsidR="00D56D12" w:rsidRPr="000D0EC0" w:rsidRDefault="00D56D12" w:rsidP="00D56D12">
            <w:pPr>
              <w:shd w:val="clear" w:color="auto" w:fill="FFFFFF"/>
              <w:ind w:left="-66"/>
              <w:jc w:val="both"/>
            </w:pPr>
            <w:r w:rsidRPr="00D56D12">
              <w:t xml:space="preserve">Vienlaikus šādu asistenta pakalpojumu </w:t>
            </w:r>
            <w:r w:rsidR="001C68FA">
              <w:t>nodrošināšanas kārtību atsevišķu</w:t>
            </w:r>
            <w:r w:rsidRPr="00D56D12">
              <w:t xml:space="preserve"> aktīvo nodarbinātības pasākumu ietvaros šobrīd paredz arī Ministru kabineta 2014.gada 23.decembra noteikumi „Darbības programmas „Izaugsme un nodarbinātība” 7.1.1.specifiskā atbalsta mērķa „Paaugstināt bezdarbnieku kvalifikāciju un prasmes atbilstoši darba tirgus pieprasījumam” īstenošanas noteikumi” un Ministra kabineta 2014.gada 23.decembra noteikumi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AC4A22">
              <w:t>””</w:t>
            </w:r>
            <w:r w:rsidRPr="00D56D12">
              <w:t>.</w:t>
            </w:r>
          </w:p>
          <w:p w:rsidR="00954AAD" w:rsidRDefault="00954AAD" w:rsidP="004C4FE3">
            <w:pPr>
              <w:jc w:val="both"/>
              <w:rPr>
                <w:rFonts w:ascii="Calibri" w:eastAsia="Calibri" w:hAnsi="Calibri"/>
                <w:sz w:val="28"/>
                <w:szCs w:val="28"/>
                <w:lang w:eastAsia="en-US"/>
              </w:rPr>
            </w:pPr>
          </w:p>
          <w:p w:rsidR="00E47AD9" w:rsidRPr="003D30E9" w:rsidRDefault="00E47AD9" w:rsidP="004C4FE3">
            <w:pPr>
              <w:jc w:val="both"/>
              <w:rPr>
                <w:b/>
                <w:kern w:val="18"/>
              </w:rPr>
            </w:pPr>
            <w:r w:rsidRPr="003D30E9">
              <w:rPr>
                <w:b/>
                <w:kern w:val="18"/>
              </w:rPr>
              <w:t>Lai novēr</w:t>
            </w:r>
            <w:r w:rsidR="00F660F2" w:rsidRPr="003D30E9">
              <w:rPr>
                <w:b/>
                <w:kern w:val="18"/>
              </w:rPr>
              <w:t>s</w:t>
            </w:r>
            <w:r w:rsidRPr="003D30E9">
              <w:rPr>
                <w:b/>
                <w:kern w:val="18"/>
              </w:rPr>
              <w:t>tu iepriekš minētās problēmas</w:t>
            </w:r>
            <w:r w:rsidR="00797D2D" w:rsidRPr="003D30E9">
              <w:rPr>
                <w:b/>
                <w:kern w:val="18"/>
              </w:rPr>
              <w:t>,</w:t>
            </w:r>
            <w:r w:rsidRPr="003D30E9">
              <w:rPr>
                <w:b/>
                <w:kern w:val="18"/>
              </w:rPr>
              <w:t xml:space="preserve"> Noteikumu projekts paredz šādas izmaiņas:</w:t>
            </w:r>
          </w:p>
          <w:p w:rsidR="00F55C8E" w:rsidRPr="00384733" w:rsidRDefault="00F55C8E" w:rsidP="00384733">
            <w:pPr>
              <w:pStyle w:val="ListParagraph"/>
              <w:numPr>
                <w:ilvl w:val="0"/>
                <w:numId w:val="25"/>
              </w:numPr>
              <w:spacing w:after="0" w:line="240" w:lineRule="auto"/>
              <w:ind w:left="714" w:hanging="357"/>
              <w:jc w:val="both"/>
              <w:rPr>
                <w:rFonts w:ascii="Times New Roman" w:hAnsi="Times New Roman"/>
                <w:kern w:val="18"/>
                <w:sz w:val="24"/>
                <w:szCs w:val="24"/>
              </w:rPr>
            </w:pPr>
            <w:r w:rsidRPr="003D30E9">
              <w:rPr>
                <w:rFonts w:ascii="Times New Roman" w:hAnsi="Times New Roman"/>
                <w:kern w:val="18"/>
                <w:sz w:val="24"/>
                <w:szCs w:val="24"/>
              </w:rPr>
              <w:t>Noteikumu projektā paredzēti atbalsta pasā</w:t>
            </w:r>
            <w:r w:rsidR="00FD362B" w:rsidRPr="003D30E9">
              <w:rPr>
                <w:rFonts w:ascii="Times New Roman" w:hAnsi="Times New Roman"/>
                <w:kern w:val="18"/>
                <w:sz w:val="24"/>
                <w:szCs w:val="24"/>
              </w:rPr>
              <w:t>kumi ilgstošo bezdarbnieku atbalstam, kuri</w:t>
            </w:r>
            <w:r w:rsidRPr="003D30E9">
              <w:rPr>
                <w:rFonts w:ascii="Times New Roman" w:hAnsi="Times New Roman"/>
                <w:kern w:val="18"/>
                <w:sz w:val="24"/>
                <w:szCs w:val="24"/>
              </w:rPr>
              <w:t xml:space="preserve"> tiks nodrošināts „Darbības programmas „Izaugsme un nodarbinātība” 9.1.1. specifiskā atbalsta mērķa „Palielināt nelabvēlīgākā situācijā esošu bezdarbnieku iekļaušanos darba tirgū” 9.1.1.2. pasākuma „Ilgstošo bezdarbnieku aktivizācijas pasākumi” ietvaros</w:t>
            </w:r>
            <w:r w:rsidR="00FD362B" w:rsidRPr="003D30E9">
              <w:rPr>
                <w:rFonts w:ascii="Times New Roman" w:hAnsi="Times New Roman"/>
                <w:kern w:val="18"/>
                <w:sz w:val="24"/>
                <w:szCs w:val="24"/>
              </w:rPr>
              <w:t xml:space="preserve"> (N</w:t>
            </w:r>
            <w:r w:rsidR="00FD362B" w:rsidRPr="00384733">
              <w:rPr>
                <w:rFonts w:ascii="Times New Roman" w:hAnsi="Times New Roman"/>
                <w:kern w:val="18"/>
                <w:sz w:val="24"/>
                <w:szCs w:val="24"/>
              </w:rPr>
              <w:t>oteikumu projekta 1.</w:t>
            </w:r>
            <w:r w:rsidR="001522AE">
              <w:rPr>
                <w:rFonts w:ascii="Times New Roman" w:hAnsi="Times New Roman"/>
                <w:kern w:val="18"/>
                <w:sz w:val="24"/>
                <w:szCs w:val="24"/>
              </w:rPr>
              <w:t>40</w:t>
            </w:r>
            <w:r w:rsidR="00FD362B" w:rsidRPr="00384733">
              <w:rPr>
                <w:rFonts w:ascii="Times New Roman" w:hAnsi="Times New Roman"/>
                <w:kern w:val="18"/>
                <w:sz w:val="24"/>
                <w:szCs w:val="24"/>
              </w:rPr>
              <w:t xml:space="preserve">. un </w:t>
            </w:r>
            <w:r w:rsidR="001522AE">
              <w:rPr>
                <w:rFonts w:ascii="Times New Roman" w:hAnsi="Times New Roman"/>
                <w:kern w:val="18"/>
                <w:sz w:val="24"/>
                <w:szCs w:val="24"/>
              </w:rPr>
              <w:t>1.42</w:t>
            </w:r>
            <w:r w:rsidR="00FD362B" w:rsidRPr="00384733">
              <w:rPr>
                <w:rFonts w:ascii="Times New Roman" w:hAnsi="Times New Roman"/>
                <w:kern w:val="18"/>
                <w:sz w:val="24"/>
                <w:szCs w:val="24"/>
              </w:rPr>
              <w:t>.apakšpunkts)</w:t>
            </w:r>
            <w:r w:rsidRPr="00384733">
              <w:rPr>
                <w:rFonts w:ascii="Times New Roman" w:hAnsi="Times New Roman"/>
                <w:kern w:val="18"/>
                <w:sz w:val="24"/>
                <w:szCs w:val="24"/>
              </w:rPr>
              <w:t xml:space="preserve">. </w:t>
            </w:r>
          </w:p>
          <w:p w:rsidR="00384733" w:rsidRPr="003D30E9" w:rsidRDefault="00384733" w:rsidP="00384733">
            <w:pPr>
              <w:pStyle w:val="ListParagraph"/>
              <w:numPr>
                <w:ilvl w:val="0"/>
                <w:numId w:val="25"/>
              </w:numPr>
              <w:shd w:val="clear" w:color="auto" w:fill="FFFFFF"/>
              <w:spacing w:after="0" w:line="240" w:lineRule="auto"/>
              <w:ind w:left="714" w:right="-1" w:hanging="357"/>
              <w:jc w:val="both"/>
              <w:rPr>
                <w:rFonts w:ascii="Times New Roman" w:hAnsi="Times New Roman"/>
                <w:sz w:val="24"/>
                <w:szCs w:val="24"/>
              </w:rPr>
            </w:pPr>
            <w:r w:rsidRPr="003D30E9">
              <w:rPr>
                <w:rFonts w:ascii="Times New Roman" w:hAnsi="Times New Roman"/>
                <w:sz w:val="24"/>
                <w:szCs w:val="24"/>
              </w:rPr>
              <w:t xml:space="preserve">Noteikumu projektā paredzētas izmaiņas pasākuma </w:t>
            </w:r>
            <w:r w:rsidRPr="003D30E9">
              <w:rPr>
                <w:rFonts w:ascii="Times New Roman" w:hAnsi="Times New Roman"/>
                <w:kern w:val="18"/>
                <w:sz w:val="24"/>
                <w:szCs w:val="24"/>
              </w:rPr>
              <w:t xml:space="preserve">„Komersantu nodarbināto reģionālās mobilitātes veicināšana” </w:t>
            </w:r>
            <w:r w:rsidRPr="003D30E9">
              <w:rPr>
                <w:rFonts w:ascii="Times New Roman" w:hAnsi="Times New Roman"/>
                <w:sz w:val="24"/>
                <w:szCs w:val="24"/>
              </w:rPr>
              <w:t xml:space="preserve">īstenošanas nosacījumos, </w:t>
            </w:r>
            <w:proofErr w:type="gramStart"/>
            <w:r w:rsidR="00804A3E" w:rsidRPr="003D30E9">
              <w:rPr>
                <w:rFonts w:ascii="Times New Roman" w:hAnsi="Times New Roman"/>
                <w:sz w:val="24"/>
                <w:szCs w:val="24"/>
              </w:rPr>
              <w:t>paredzot, ka atbalstu reģionālajai mobilitātei</w:t>
            </w:r>
            <w:proofErr w:type="gramEnd"/>
            <w:r w:rsidRPr="003D30E9">
              <w:rPr>
                <w:rFonts w:ascii="Times New Roman" w:hAnsi="Times New Roman"/>
                <w:sz w:val="24"/>
                <w:szCs w:val="24"/>
              </w:rPr>
              <w:t xml:space="preserve"> var saņemt arī tie nodarbinātie, kuri nodibinājušu dienesta attiecības un uzsākuši darbu publiskā sektora iestādē (Noteikumu projekta</w:t>
            </w:r>
            <w:r w:rsidR="001522AE" w:rsidRPr="003D30E9">
              <w:rPr>
                <w:rFonts w:ascii="Times New Roman" w:hAnsi="Times New Roman"/>
                <w:sz w:val="24"/>
                <w:szCs w:val="24"/>
              </w:rPr>
              <w:t xml:space="preserve"> 1.43</w:t>
            </w:r>
            <w:r w:rsidRPr="003D30E9">
              <w:rPr>
                <w:rFonts w:ascii="Times New Roman" w:hAnsi="Times New Roman"/>
                <w:sz w:val="24"/>
                <w:szCs w:val="24"/>
              </w:rPr>
              <w:t>. – 1.</w:t>
            </w:r>
            <w:r w:rsidR="001522AE" w:rsidRPr="003D30E9">
              <w:rPr>
                <w:rFonts w:ascii="Times New Roman" w:hAnsi="Times New Roman"/>
                <w:sz w:val="24"/>
                <w:szCs w:val="24"/>
              </w:rPr>
              <w:t>56</w:t>
            </w:r>
            <w:r w:rsidRPr="003D30E9">
              <w:rPr>
                <w:rFonts w:ascii="Times New Roman" w:hAnsi="Times New Roman"/>
                <w:sz w:val="24"/>
                <w:szCs w:val="24"/>
              </w:rPr>
              <w:t>.apakšpunkts).</w:t>
            </w:r>
          </w:p>
          <w:p w:rsidR="00624723" w:rsidRDefault="00384733" w:rsidP="00384733">
            <w:pPr>
              <w:pStyle w:val="ListParagraph"/>
              <w:numPr>
                <w:ilvl w:val="0"/>
                <w:numId w:val="25"/>
              </w:numPr>
              <w:shd w:val="clear" w:color="auto" w:fill="FFFFFF"/>
              <w:spacing w:after="0" w:line="240" w:lineRule="auto"/>
              <w:ind w:left="714" w:right="-1" w:hanging="357"/>
              <w:jc w:val="both"/>
              <w:rPr>
                <w:rFonts w:ascii="Times New Roman" w:hAnsi="Times New Roman"/>
                <w:sz w:val="24"/>
                <w:szCs w:val="24"/>
              </w:rPr>
            </w:pPr>
            <w:r w:rsidRPr="00384733">
              <w:rPr>
                <w:rFonts w:ascii="Times New Roman" w:hAnsi="Times New Roman"/>
                <w:sz w:val="24"/>
                <w:szCs w:val="24"/>
              </w:rPr>
              <w:t xml:space="preserve">Noteikumu projekts paredz, ka atbalstu reģionālajai mobilitātei aktīvo nodarbinātības pasākumu ietvaros var saņemt arī bezdarbnieki, kuri piedalās aktīvajā nodarbinātības pasākumā „Apmācība pie darba devēja”. Vienlaikus, lai paredzētu līdzvērtīgus atbalsta nosacījumus </w:t>
            </w:r>
            <w:r w:rsidRPr="00384733">
              <w:rPr>
                <w:rFonts w:ascii="Times New Roman" w:hAnsi="Times New Roman"/>
                <w:sz w:val="24"/>
                <w:szCs w:val="24"/>
              </w:rPr>
              <w:lastRenderedPageBreak/>
              <w:t xml:space="preserve">reģionālajai mobilitātei aktīvo nodarbinātības pasākumu ietvaros, Noteikumu projekts paredz vienādu avansa maksājumu (100 </w:t>
            </w:r>
            <w:proofErr w:type="spellStart"/>
            <w:r w:rsidRPr="00384733">
              <w:rPr>
                <w:rFonts w:ascii="Times New Roman" w:hAnsi="Times New Roman"/>
                <w:i/>
                <w:sz w:val="24"/>
                <w:szCs w:val="24"/>
              </w:rPr>
              <w:t>euro</w:t>
            </w:r>
            <w:proofErr w:type="spellEnd"/>
            <w:r w:rsidRPr="00384733">
              <w:rPr>
                <w:rFonts w:ascii="Times New Roman" w:hAnsi="Times New Roman"/>
                <w:sz w:val="24"/>
                <w:szCs w:val="24"/>
              </w:rPr>
              <w:t>), gan uzsākot darba tiesiskās attiecības, gan iesaistoties apmācībā, t.sk. apmācībā pie darba devēja</w:t>
            </w:r>
            <w:r>
              <w:rPr>
                <w:rFonts w:ascii="Times New Roman" w:hAnsi="Times New Roman"/>
                <w:sz w:val="24"/>
                <w:szCs w:val="24"/>
              </w:rPr>
              <w:t xml:space="preserve"> (Noteikumu projekta </w:t>
            </w:r>
            <w:r w:rsidR="00804A3E">
              <w:rPr>
                <w:rFonts w:ascii="Times New Roman" w:hAnsi="Times New Roman"/>
                <w:sz w:val="24"/>
                <w:szCs w:val="24"/>
              </w:rPr>
              <w:t>1.</w:t>
            </w:r>
            <w:r w:rsidR="001522AE">
              <w:rPr>
                <w:rFonts w:ascii="Times New Roman" w:hAnsi="Times New Roman"/>
                <w:sz w:val="24"/>
                <w:szCs w:val="24"/>
              </w:rPr>
              <w:t>60.</w:t>
            </w:r>
            <w:r w:rsidR="00163E7C">
              <w:rPr>
                <w:rFonts w:ascii="Times New Roman" w:hAnsi="Times New Roman"/>
                <w:sz w:val="24"/>
                <w:szCs w:val="24"/>
              </w:rPr>
              <w:t xml:space="preserve"> un 1.61.</w:t>
            </w:r>
            <w:r w:rsidR="00FC2A43">
              <w:rPr>
                <w:rFonts w:ascii="Times New Roman" w:hAnsi="Times New Roman"/>
                <w:sz w:val="24"/>
                <w:szCs w:val="24"/>
              </w:rPr>
              <w:t>apakšpunkts).</w:t>
            </w:r>
          </w:p>
          <w:p w:rsidR="00624723" w:rsidRPr="00624723" w:rsidRDefault="00384733" w:rsidP="00624723">
            <w:pPr>
              <w:pStyle w:val="ListParagraph"/>
              <w:numPr>
                <w:ilvl w:val="0"/>
                <w:numId w:val="25"/>
              </w:numPr>
              <w:shd w:val="clear" w:color="auto" w:fill="FFFFFF"/>
              <w:spacing w:after="0" w:line="240" w:lineRule="auto"/>
              <w:ind w:left="714" w:right="-1" w:hanging="357"/>
              <w:jc w:val="both"/>
              <w:rPr>
                <w:rFonts w:ascii="Times New Roman" w:hAnsi="Times New Roman"/>
                <w:sz w:val="24"/>
                <w:szCs w:val="24"/>
              </w:rPr>
            </w:pPr>
            <w:r w:rsidRPr="00384733">
              <w:rPr>
                <w:rFonts w:ascii="Times New Roman" w:hAnsi="Times New Roman"/>
                <w:sz w:val="24"/>
                <w:szCs w:val="24"/>
              </w:rPr>
              <w:t xml:space="preserve"> </w:t>
            </w:r>
            <w:r w:rsidR="00624723" w:rsidRPr="00624723">
              <w:rPr>
                <w:rFonts w:ascii="Times New Roman" w:hAnsi="Times New Roman"/>
                <w:sz w:val="24"/>
                <w:szCs w:val="24"/>
              </w:rPr>
              <w:t xml:space="preserve">Lai nodrošinātu, ka biedrība </w:t>
            </w:r>
            <w:r w:rsidRPr="00624723">
              <w:rPr>
                <w:rFonts w:ascii="Times New Roman" w:hAnsi="Times New Roman"/>
                <w:sz w:val="24"/>
                <w:szCs w:val="24"/>
              </w:rPr>
              <w:t>„</w:t>
            </w:r>
            <w:r w:rsidR="00624723" w:rsidRPr="00624723">
              <w:rPr>
                <w:rFonts w:ascii="Times New Roman" w:hAnsi="Times New Roman"/>
                <w:sz w:val="24"/>
                <w:szCs w:val="24"/>
              </w:rPr>
              <w:t xml:space="preserve">Latvijas Nedzirdīgo savienība” sniedz </w:t>
            </w:r>
            <w:r w:rsidR="00624723">
              <w:rPr>
                <w:rFonts w:ascii="Times New Roman" w:hAnsi="Times New Roman"/>
                <w:sz w:val="24"/>
                <w:szCs w:val="24"/>
              </w:rPr>
              <w:t xml:space="preserve">surdotulka </w:t>
            </w:r>
            <w:r w:rsidR="00624723" w:rsidRPr="00624723">
              <w:rPr>
                <w:rFonts w:ascii="Times New Roman" w:hAnsi="Times New Roman"/>
                <w:sz w:val="24"/>
                <w:szCs w:val="24"/>
              </w:rPr>
              <w:t>pakalpojumus uz vienlīdzīgiem nosacījumiem arī aktīvo nodarbinātības pasākumu ietvaros, Noteikumu projektā noteikts, ka arī ceļā pavadītais laiks uz no pakalpojuma sniegšanas vietas uzskatāms par pakalpojuma sniegšanas laiku un apmaksājam</w:t>
            </w:r>
            <w:r w:rsidR="00016D3D">
              <w:rPr>
                <w:rFonts w:ascii="Times New Roman" w:hAnsi="Times New Roman"/>
                <w:sz w:val="24"/>
                <w:szCs w:val="24"/>
              </w:rPr>
              <w:t>s atbilstoši iepriekš aprēķinātai</w:t>
            </w:r>
            <w:r w:rsidR="00624723" w:rsidRPr="00624723">
              <w:rPr>
                <w:rFonts w:ascii="Times New Roman" w:hAnsi="Times New Roman"/>
                <w:sz w:val="24"/>
                <w:szCs w:val="24"/>
              </w:rPr>
              <w:t xml:space="preserve"> vienas pakalpojuma stundas izmaksu likmei</w:t>
            </w:r>
            <w:r w:rsidR="00624723">
              <w:rPr>
                <w:rFonts w:ascii="Times New Roman" w:hAnsi="Times New Roman"/>
                <w:sz w:val="24"/>
                <w:szCs w:val="24"/>
              </w:rPr>
              <w:t xml:space="preserve"> (Noteikumu projekta 1.3.,</w:t>
            </w:r>
            <w:r w:rsidR="0014600C">
              <w:rPr>
                <w:rFonts w:ascii="Times New Roman" w:hAnsi="Times New Roman"/>
                <w:sz w:val="24"/>
                <w:szCs w:val="24"/>
              </w:rPr>
              <w:t xml:space="preserve"> 1.13., 1.27</w:t>
            </w:r>
            <w:r w:rsidR="00E813DE">
              <w:rPr>
                <w:rFonts w:ascii="Times New Roman" w:hAnsi="Times New Roman"/>
                <w:sz w:val="24"/>
                <w:szCs w:val="24"/>
              </w:rPr>
              <w:t xml:space="preserve">. un </w:t>
            </w:r>
            <w:r w:rsidR="0014600C">
              <w:rPr>
                <w:rFonts w:ascii="Times New Roman" w:hAnsi="Times New Roman"/>
                <w:sz w:val="24"/>
                <w:szCs w:val="24"/>
              </w:rPr>
              <w:t>1.34</w:t>
            </w:r>
            <w:r w:rsidR="00624723">
              <w:rPr>
                <w:rFonts w:ascii="Times New Roman" w:hAnsi="Times New Roman"/>
                <w:sz w:val="24"/>
                <w:szCs w:val="24"/>
              </w:rPr>
              <w:t>.apakšpunkts)</w:t>
            </w:r>
            <w:r w:rsidR="00624723" w:rsidRPr="00624723">
              <w:rPr>
                <w:rFonts w:ascii="Times New Roman" w:hAnsi="Times New Roman"/>
                <w:sz w:val="24"/>
                <w:szCs w:val="24"/>
              </w:rPr>
              <w:t>.</w:t>
            </w:r>
            <w:r w:rsidR="00624723" w:rsidRPr="00624723">
              <w:rPr>
                <w:sz w:val="24"/>
                <w:szCs w:val="24"/>
              </w:rPr>
              <w:t xml:space="preserve"> </w:t>
            </w:r>
          </w:p>
          <w:p w:rsidR="00384733" w:rsidRPr="00D06622" w:rsidRDefault="00791DB0" w:rsidP="00D06622">
            <w:pPr>
              <w:numPr>
                <w:ilvl w:val="0"/>
                <w:numId w:val="25"/>
              </w:numPr>
              <w:jc w:val="both"/>
              <w:rPr>
                <w:kern w:val="18"/>
              </w:rPr>
            </w:pPr>
            <w:r>
              <w:rPr>
                <w:bCs/>
                <w:kern w:val="18"/>
              </w:rPr>
              <w:t xml:space="preserve">Lai nodrošinātu, ka </w:t>
            </w:r>
            <w:r w:rsidRPr="00791DB0">
              <w:rPr>
                <w:bCs/>
                <w:kern w:val="18"/>
              </w:rPr>
              <w:t>visi nosacījumi, kas attiecas uz apmācību pasākumiem, ir ietverti vienā normatīvajā aktā</w:t>
            </w:r>
            <w:r w:rsidR="006F033F">
              <w:rPr>
                <w:bCs/>
                <w:kern w:val="18"/>
              </w:rPr>
              <w:t>,</w:t>
            </w:r>
            <w:r>
              <w:rPr>
                <w:bCs/>
                <w:kern w:val="18"/>
              </w:rPr>
              <w:t xml:space="preserve"> </w:t>
            </w:r>
            <w:r w:rsidRPr="00791DB0">
              <w:rPr>
                <w:bCs/>
                <w:kern w:val="18"/>
              </w:rPr>
              <w:t>Noteikumu projektā pārņemti nosacījumi, kas ietveri Ministru kabineta 2009.gada 3.marta noteikumos Nr.212 „Noteikumi par bezdarbnieka stipendiju profesionālās apmācības, pārkvalifikācijas un kvalifikācijas paaugstināšanas laikā un neformālās izglītības ieguves laikā”</w:t>
            </w:r>
            <w:r w:rsidR="0027101F">
              <w:rPr>
                <w:bCs/>
                <w:kern w:val="18"/>
              </w:rPr>
              <w:t xml:space="preserve">. </w:t>
            </w:r>
            <w:r w:rsidR="0027101F" w:rsidRPr="009357D6">
              <w:rPr>
                <w:bCs/>
              </w:rPr>
              <w:t>Lai</w:t>
            </w:r>
            <w:r w:rsidR="0027101F" w:rsidRPr="009357D6">
              <w:t xml:space="preserve"> atvieglotu finanšu līdzekļu administrēšanu un mazinātu administratīvo slogu, ikmēneša stipendijas apmērs apmācībās iesaistītajiem noteikts 100 </w:t>
            </w:r>
            <w:proofErr w:type="spellStart"/>
            <w:r w:rsidR="0027101F" w:rsidRPr="009357D6">
              <w:rPr>
                <w:i/>
              </w:rPr>
              <w:t>euro</w:t>
            </w:r>
            <w:proofErr w:type="spellEnd"/>
            <w:r w:rsidR="0027101F" w:rsidRPr="009357D6">
              <w:rPr>
                <w:i/>
              </w:rPr>
              <w:t xml:space="preserve"> </w:t>
            </w:r>
            <w:r w:rsidR="0027101F" w:rsidRPr="009357D6">
              <w:t>apmērā</w:t>
            </w:r>
            <w:r>
              <w:rPr>
                <w:bCs/>
                <w:kern w:val="18"/>
              </w:rPr>
              <w:t xml:space="preserve"> (Noteikumu proj</w:t>
            </w:r>
            <w:r w:rsidR="00134122">
              <w:rPr>
                <w:bCs/>
                <w:kern w:val="18"/>
              </w:rPr>
              <w:t>ekta 1.1., 1.2., 1.6., 1.</w:t>
            </w:r>
            <w:r w:rsidR="00D06622">
              <w:rPr>
                <w:bCs/>
                <w:kern w:val="18"/>
              </w:rPr>
              <w:t>8., 1.10., 1.11., 1.12. un 1.14.apakšpunkts).</w:t>
            </w:r>
            <w:r w:rsidRPr="00D06622">
              <w:rPr>
                <w:bCs/>
                <w:kern w:val="18"/>
              </w:rPr>
              <w:t xml:space="preserve"> </w:t>
            </w:r>
          </w:p>
          <w:p w:rsidR="0027101F" w:rsidRPr="00DA1562" w:rsidRDefault="00DA1562" w:rsidP="00384733">
            <w:pPr>
              <w:numPr>
                <w:ilvl w:val="0"/>
                <w:numId w:val="25"/>
              </w:numPr>
              <w:jc w:val="both"/>
              <w:rPr>
                <w:kern w:val="18"/>
              </w:rPr>
            </w:pPr>
            <w:r w:rsidRPr="00DA1562">
              <w:rPr>
                <w:bCs/>
                <w:kern w:val="18"/>
              </w:rPr>
              <w:t>Noteikumu projekts paredz, ka darba vadītājam</w:t>
            </w:r>
            <w:r w:rsidR="001D4637">
              <w:rPr>
                <w:bCs/>
                <w:kern w:val="18"/>
              </w:rPr>
              <w:t xml:space="preserve"> subsidētās nodarbinātības pasākumu ietvaros</w:t>
            </w:r>
            <w:r w:rsidRPr="00DA1562">
              <w:rPr>
                <w:bCs/>
                <w:kern w:val="18"/>
              </w:rPr>
              <w:t xml:space="preserve"> nav nepieciešama izglītība vai darba pieredze profesijā, ja bezdarbnieku plānots nodarbināt vienkāršo profesiju darbos</w:t>
            </w:r>
            <w:r w:rsidR="007F6C68">
              <w:rPr>
                <w:bCs/>
                <w:kern w:val="18"/>
              </w:rPr>
              <w:t xml:space="preserve"> (Noteikumu projekta 1.16.apakšpunkts)</w:t>
            </w:r>
            <w:r w:rsidRPr="00DA1562">
              <w:rPr>
                <w:bCs/>
                <w:kern w:val="18"/>
              </w:rPr>
              <w:t>.</w:t>
            </w:r>
          </w:p>
          <w:p w:rsidR="00DA1562" w:rsidRPr="00DA1562" w:rsidRDefault="00DA1562" w:rsidP="00DA1562">
            <w:pPr>
              <w:numPr>
                <w:ilvl w:val="0"/>
                <w:numId w:val="25"/>
              </w:numPr>
              <w:jc w:val="both"/>
              <w:rPr>
                <w:kern w:val="18"/>
              </w:rPr>
            </w:pPr>
            <w:r w:rsidRPr="00DA1562">
              <w:rPr>
                <w:bCs/>
              </w:rPr>
              <w:t xml:space="preserve">Noteikumu projekts </w:t>
            </w:r>
            <w:r>
              <w:rPr>
                <w:bCs/>
              </w:rPr>
              <w:t>paredz,</w:t>
            </w:r>
            <w:r w:rsidRPr="00DA1562">
              <w:rPr>
                <w:bCs/>
              </w:rPr>
              <w:t xml:space="preserve"> ka NVA izmaksā dotāciju</w:t>
            </w:r>
            <w:r>
              <w:rPr>
                <w:bCs/>
              </w:rPr>
              <w:t xml:space="preserve"> darba vadītājam par bezdarbnieka darba vadīšanu subsidētās nodarbinātības pasākumos. Dotācijas mērķis</w:t>
            </w:r>
            <w:r w:rsidRPr="00DA1562">
              <w:rPr>
                <w:bCs/>
              </w:rPr>
              <w:t xml:space="preserve"> ne vienmēr būs piemaksa pie darba algas darba vadītājam, kurš atrodas darba tiesiskajās attiecībās ar darba devēju, kurš nodrošina subsidēto darba vietu</w:t>
            </w:r>
            <w:r>
              <w:rPr>
                <w:bCs/>
              </w:rPr>
              <w:t xml:space="preserve"> (Noteikumu projekta</w:t>
            </w:r>
            <w:r w:rsidR="0019186C">
              <w:rPr>
                <w:bCs/>
              </w:rPr>
              <w:t xml:space="preserve"> 1.17., 1.18.,</w:t>
            </w:r>
            <w:r w:rsidR="00302776">
              <w:rPr>
                <w:bCs/>
              </w:rPr>
              <w:t xml:space="preserve"> 1.19.,</w:t>
            </w:r>
            <w:r w:rsidR="0019186C">
              <w:rPr>
                <w:bCs/>
              </w:rPr>
              <w:t xml:space="preserve"> 1.2</w:t>
            </w:r>
            <w:r w:rsidR="00302776">
              <w:rPr>
                <w:bCs/>
              </w:rPr>
              <w:t>4</w:t>
            </w:r>
            <w:r w:rsidR="0019186C">
              <w:rPr>
                <w:bCs/>
              </w:rPr>
              <w:t xml:space="preserve">., </w:t>
            </w:r>
            <w:r w:rsidR="00116AFC">
              <w:rPr>
                <w:bCs/>
              </w:rPr>
              <w:t>1.26</w:t>
            </w:r>
            <w:r w:rsidR="00E278C0">
              <w:rPr>
                <w:bCs/>
              </w:rPr>
              <w:t>. un</w:t>
            </w:r>
            <w:r w:rsidR="0019186C">
              <w:rPr>
                <w:bCs/>
              </w:rPr>
              <w:t xml:space="preserve"> </w:t>
            </w:r>
            <w:r w:rsidR="00E278C0">
              <w:rPr>
                <w:bCs/>
              </w:rPr>
              <w:t>1.3</w:t>
            </w:r>
            <w:r w:rsidR="00302776">
              <w:rPr>
                <w:bCs/>
              </w:rPr>
              <w:t>3</w:t>
            </w:r>
            <w:r w:rsidR="00E278C0">
              <w:rPr>
                <w:bCs/>
              </w:rPr>
              <w:t xml:space="preserve">.apakšpunkts). </w:t>
            </w:r>
            <w:r w:rsidRPr="00DA1562">
              <w:rPr>
                <w:bCs/>
              </w:rPr>
              <w:t xml:space="preserve"> </w:t>
            </w:r>
          </w:p>
          <w:p w:rsidR="00DA1562" w:rsidRDefault="00CB1E93" w:rsidP="00384733">
            <w:pPr>
              <w:numPr>
                <w:ilvl w:val="0"/>
                <w:numId w:val="25"/>
              </w:numPr>
              <w:jc w:val="both"/>
              <w:rPr>
                <w:kern w:val="18"/>
              </w:rPr>
            </w:pPr>
            <w:r>
              <w:rPr>
                <w:bCs/>
                <w:kern w:val="18"/>
              </w:rPr>
              <w:t xml:space="preserve">Noteikumu projekts paredz, ka aktīvajā nodarbinātības pasākumā </w:t>
            </w:r>
            <w:r w:rsidRPr="00CB1E93">
              <w:rPr>
                <w:bCs/>
                <w:kern w:val="18"/>
              </w:rPr>
              <w:t>„</w:t>
            </w:r>
            <w:r w:rsidRPr="00CB1E93">
              <w:rPr>
                <w:kern w:val="18"/>
              </w:rPr>
              <w:t xml:space="preserve">Darbam nepieciešamo iemaņu attīstība nevalstiskajā sektorā” iesaista jauniešus bezdarbniekus vecumā </w:t>
            </w:r>
            <w:r w:rsidR="00E278C0" w:rsidRPr="00CB1E93">
              <w:rPr>
                <w:kern w:val="18"/>
              </w:rPr>
              <w:t>no 18 līdz 29</w:t>
            </w:r>
            <w:r w:rsidRPr="00CB1E93">
              <w:rPr>
                <w:kern w:val="18"/>
              </w:rPr>
              <w:t xml:space="preserve"> gadiem</w:t>
            </w:r>
            <w:r w:rsidR="003E5367">
              <w:rPr>
                <w:kern w:val="18"/>
              </w:rPr>
              <w:t xml:space="preserve"> (Noteikumu projekta 1.</w:t>
            </w:r>
            <w:r w:rsidR="00116AFC">
              <w:rPr>
                <w:kern w:val="18"/>
              </w:rPr>
              <w:t>30</w:t>
            </w:r>
            <w:r w:rsidR="003E5367">
              <w:rPr>
                <w:kern w:val="18"/>
              </w:rPr>
              <w:t>.apakšpunkts)</w:t>
            </w:r>
            <w:r w:rsidRPr="00CB1E93">
              <w:rPr>
                <w:kern w:val="18"/>
              </w:rPr>
              <w:t>.</w:t>
            </w:r>
          </w:p>
          <w:p w:rsidR="00384733" w:rsidRPr="001B4CFE" w:rsidRDefault="008A02B3" w:rsidP="00284A11">
            <w:pPr>
              <w:numPr>
                <w:ilvl w:val="0"/>
                <w:numId w:val="25"/>
              </w:numPr>
              <w:jc w:val="both"/>
              <w:rPr>
                <w:kern w:val="18"/>
              </w:rPr>
            </w:pPr>
            <w:r w:rsidRPr="008A02B3">
              <w:rPr>
                <w:bCs/>
                <w:kern w:val="18"/>
              </w:rPr>
              <w:lastRenderedPageBreak/>
              <w:t>Noteikumu projektā paredzēts palielināt algas dotācijas apmēru jaunietim bezdarbniekam aktīvās nodarbinātības pasākumā „Pirmā darba pieredze jaunietim” (Noteikumu projekt</w:t>
            </w:r>
            <w:r w:rsidR="00116AFC">
              <w:rPr>
                <w:bCs/>
                <w:kern w:val="18"/>
              </w:rPr>
              <w:t>a 1.32</w:t>
            </w:r>
            <w:r w:rsidR="003E5367">
              <w:rPr>
                <w:bCs/>
                <w:kern w:val="18"/>
              </w:rPr>
              <w:t>.apakšpunkts)</w:t>
            </w:r>
            <w:r>
              <w:rPr>
                <w:bCs/>
                <w:kern w:val="18"/>
              </w:rPr>
              <w:t>.</w:t>
            </w:r>
          </w:p>
          <w:p w:rsidR="001B4CFE" w:rsidRPr="001B4CFE" w:rsidRDefault="001B4CFE" w:rsidP="001B4CFE">
            <w:pPr>
              <w:numPr>
                <w:ilvl w:val="0"/>
                <w:numId w:val="25"/>
              </w:numPr>
              <w:jc w:val="both"/>
              <w:rPr>
                <w:kern w:val="18"/>
              </w:rPr>
            </w:pPr>
            <w:r w:rsidRPr="001B4CFE">
              <w:rPr>
                <w:bCs/>
              </w:rPr>
              <w:t xml:space="preserve">Noteikumu projektā paredzēta iespēja bezdarbniekus APSD iesaistīt arī uz īsāku darba laiku, </w:t>
            </w:r>
            <w:r w:rsidRPr="001B4CFE">
              <w:t>ja</w:t>
            </w:r>
            <w:r>
              <w:t xml:space="preserve"> objektīvu apstākļu dēļ</w:t>
            </w:r>
            <w:r w:rsidRPr="001B4CFE">
              <w:t xml:space="preserve"> darbu nav iespējams veikt</w:t>
            </w:r>
            <w:r w:rsidRPr="001B4CFE" w:rsidDel="00BD7C93">
              <w:t xml:space="preserve"> </w:t>
            </w:r>
            <w:r w:rsidRPr="001B4CFE">
              <w:t>normālā darba laika ietvaros</w:t>
            </w:r>
            <w:r w:rsidR="00326A79">
              <w:t xml:space="preserve"> (Noteikumu projekta 1.39</w:t>
            </w:r>
            <w:r w:rsidR="008458BD">
              <w:t>. – 1.</w:t>
            </w:r>
            <w:r w:rsidR="00326A79">
              <w:t>41</w:t>
            </w:r>
            <w:r w:rsidR="008458BD">
              <w:t>.apakšpunkts)</w:t>
            </w:r>
            <w:r w:rsidRPr="001B4CFE">
              <w:t>.</w:t>
            </w:r>
          </w:p>
          <w:p w:rsidR="00A24503" w:rsidRPr="0075627A" w:rsidRDefault="0075627A" w:rsidP="0075627A">
            <w:pPr>
              <w:numPr>
                <w:ilvl w:val="0"/>
                <w:numId w:val="25"/>
              </w:numPr>
              <w:jc w:val="both"/>
              <w:rPr>
                <w:kern w:val="18"/>
              </w:rPr>
            </w:pPr>
            <w:r w:rsidRPr="0075627A">
              <w:rPr>
                <w:kern w:val="18"/>
              </w:rPr>
              <w:t xml:space="preserve">Noteikumu </w:t>
            </w:r>
            <w:r>
              <w:rPr>
                <w:kern w:val="18"/>
              </w:rPr>
              <w:t xml:space="preserve">projekts paredz </w:t>
            </w:r>
            <w:r w:rsidRPr="0075627A">
              <w:rPr>
                <w:kern w:val="18"/>
              </w:rPr>
              <w:t>svītrot noteikumu 3.4.3.apakšnodaļu „Darba izmēģinājumi”</w:t>
            </w:r>
            <w:r>
              <w:rPr>
                <w:kern w:val="18"/>
              </w:rPr>
              <w:t xml:space="preserve"> (Noteikumu projekta</w:t>
            </w:r>
            <w:r w:rsidR="002F062E" w:rsidRPr="00E64801">
              <w:t xml:space="preserve"> </w:t>
            </w:r>
            <w:r w:rsidR="00326A79">
              <w:t>1.15. un 1.23</w:t>
            </w:r>
            <w:r w:rsidR="00134122">
              <w:t>.apakšpunkts).</w:t>
            </w:r>
          </w:p>
        </w:tc>
      </w:tr>
      <w:tr w:rsidR="00B76D85" w:rsidRPr="006A7D0B" w:rsidTr="006A7D0B">
        <w:tc>
          <w:tcPr>
            <w:tcW w:w="213" w:type="pct"/>
            <w:shd w:val="clear" w:color="auto" w:fill="auto"/>
          </w:tcPr>
          <w:p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654" w:type="pct"/>
            <w:shd w:val="clear" w:color="auto" w:fill="auto"/>
          </w:tcPr>
          <w:p w:rsidR="00B76D85" w:rsidRPr="000F10BB" w:rsidRDefault="00B76D85" w:rsidP="00B76D85">
            <w:r w:rsidRPr="000F10BB">
              <w:t>Projekta izstrādē iesaistītās institūcijas</w:t>
            </w:r>
          </w:p>
        </w:tc>
        <w:tc>
          <w:tcPr>
            <w:tcW w:w="3133" w:type="pct"/>
            <w:shd w:val="clear" w:color="auto" w:fill="auto"/>
          </w:tcPr>
          <w:p w:rsidR="00B76D85" w:rsidRPr="000F10BB" w:rsidRDefault="00AD7547" w:rsidP="000E14D8">
            <w:pPr>
              <w:jc w:val="both"/>
              <w:rPr>
                <w:color w:val="000000"/>
              </w:rPr>
            </w:pPr>
            <w:r w:rsidRPr="000F10BB">
              <w:rPr>
                <w:iCs/>
                <w:color w:val="000000"/>
              </w:rPr>
              <w:t xml:space="preserve">Noteikumu projekta izstrādē attiecībā </w:t>
            </w:r>
            <w:r w:rsidR="00C17EFB" w:rsidRPr="000F10BB">
              <w:rPr>
                <w:iCs/>
                <w:color w:val="000000"/>
              </w:rPr>
              <w:t>par</w:t>
            </w:r>
            <w:r w:rsidRPr="000F10BB">
              <w:rPr>
                <w:iCs/>
                <w:color w:val="000000"/>
              </w:rPr>
              <w:t xml:space="preserve"> </w:t>
            </w:r>
            <w:r w:rsidR="000F10BB" w:rsidRPr="000F10BB">
              <w:rPr>
                <w:iCs/>
                <w:color w:val="000000"/>
              </w:rPr>
              <w:t>surdotulku pakalpojumu nodrošināšanu atseviš</w:t>
            </w:r>
            <w:r w:rsidR="00F86A40">
              <w:rPr>
                <w:iCs/>
                <w:color w:val="000000"/>
              </w:rPr>
              <w:t>ķu</w:t>
            </w:r>
            <w:r w:rsidR="000F10BB" w:rsidRPr="000F10BB">
              <w:rPr>
                <w:iCs/>
                <w:color w:val="000000"/>
              </w:rPr>
              <w:t xml:space="preserve"> aktīvo nodarbinātības pasākumu ietvaros</w:t>
            </w:r>
            <w:r w:rsidR="0001203B" w:rsidRPr="000F10BB">
              <w:rPr>
                <w:iCs/>
                <w:color w:val="000000"/>
              </w:rPr>
              <w:t xml:space="preserve"> piedalījās</w:t>
            </w:r>
            <w:r w:rsidR="006C5E5A">
              <w:rPr>
                <w:iCs/>
                <w:color w:val="000000"/>
              </w:rPr>
              <w:t xml:space="preserve"> biedrība </w:t>
            </w:r>
            <w:r w:rsidR="00D77123" w:rsidRPr="00D77123">
              <w:rPr>
                <w:iCs/>
                <w:color w:val="000000"/>
              </w:rPr>
              <w:t>„</w:t>
            </w:r>
            <w:r w:rsidR="006C5E5A">
              <w:rPr>
                <w:iCs/>
                <w:color w:val="000000"/>
              </w:rPr>
              <w:t>Latvijas N</w:t>
            </w:r>
            <w:r w:rsidR="000F10BB" w:rsidRPr="000F10BB">
              <w:rPr>
                <w:iCs/>
                <w:color w:val="000000"/>
              </w:rPr>
              <w:t>edzirdīgo savienība</w:t>
            </w:r>
            <w:r w:rsidR="00D77123">
              <w:rPr>
                <w:iCs/>
                <w:color w:val="000000"/>
              </w:rPr>
              <w:t>”</w:t>
            </w:r>
            <w:r w:rsidR="000F10BB" w:rsidRPr="000F10BB">
              <w:rPr>
                <w:iCs/>
                <w:color w:val="000000"/>
              </w:rPr>
              <w:t xml:space="preserve">. </w:t>
            </w:r>
            <w:r w:rsidRPr="000F10BB">
              <w:rPr>
                <w:iCs/>
                <w:color w:val="000000"/>
              </w:rPr>
              <w:t>Tāpat oficiāl</w:t>
            </w:r>
            <w:r w:rsidR="000E14D8">
              <w:rPr>
                <w:iCs/>
                <w:color w:val="000000"/>
              </w:rPr>
              <w:t>ās</w:t>
            </w:r>
            <w:r w:rsidRPr="000F10BB">
              <w:rPr>
                <w:iCs/>
                <w:color w:val="000000"/>
              </w:rPr>
              <w:t xml:space="preserve"> saskaņošanas procesā </w:t>
            </w:r>
            <w:r w:rsidR="00A21BD9">
              <w:rPr>
                <w:iCs/>
                <w:color w:val="000000"/>
              </w:rPr>
              <w:t>sniegt atzinumus tika aicināta</w:t>
            </w:r>
            <w:r w:rsidR="00D11F1B" w:rsidRPr="000F10BB">
              <w:rPr>
                <w:iCs/>
                <w:color w:val="000000"/>
              </w:rPr>
              <w:t xml:space="preserve"> arī Latvijas Darba devēju konfederācija, </w:t>
            </w:r>
            <w:r w:rsidRPr="000F10BB">
              <w:rPr>
                <w:iCs/>
                <w:color w:val="000000"/>
              </w:rPr>
              <w:t>Latvij</w:t>
            </w:r>
            <w:r w:rsidR="0001203B" w:rsidRPr="000F10BB">
              <w:rPr>
                <w:iCs/>
                <w:color w:val="000000"/>
              </w:rPr>
              <w:t>as Brīvo arodbiedrību savienība</w:t>
            </w:r>
            <w:r w:rsidRPr="000F10BB">
              <w:rPr>
                <w:iCs/>
                <w:color w:val="000000"/>
              </w:rPr>
              <w:t xml:space="preserve"> </w:t>
            </w:r>
            <w:r w:rsidR="00D11F1B" w:rsidRPr="000F10BB">
              <w:rPr>
                <w:iCs/>
                <w:color w:val="000000"/>
              </w:rPr>
              <w:t>un Latvijas Pašvaldību savienība</w:t>
            </w:r>
            <w:r w:rsidRPr="000F10BB">
              <w:rPr>
                <w:iCs/>
                <w:color w:val="000000"/>
              </w:rPr>
              <w:t>.</w:t>
            </w:r>
          </w:p>
        </w:tc>
      </w:tr>
      <w:tr w:rsidR="00B76D85" w:rsidRPr="006A7D0B" w:rsidTr="006A7D0B">
        <w:tc>
          <w:tcPr>
            <w:tcW w:w="213" w:type="pct"/>
            <w:shd w:val="clear" w:color="auto" w:fill="auto"/>
          </w:tcPr>
          <w:p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654" w:type="pct"/>
            <w:shd w:val="clear" w:color="auto" w:fill="auto"/>
          </w:tcPr>
          <w:p w:rsidR="00B76D85" w:rsidRPr="000F10BB" w:rsidRDefault="00B76D85" w:rsidP="00B76D85">
            <w:r w:rsidRPr="000F10BB">
              <w:t>Cita informācija</w:t>
            </w:r>
          </w:p>
        </w:tc>
        <w:tc>
          <w:tcPr>
            <w:tcW w:w="3133" w:type="pct"/>
            <w:shd w:val="clear" w:color="auto" w:fill="auto"/>
          </w:tcPr>
          <w:p w:rsidR="00B76D85" w:rsidRPr="000F10BB" w:rsidRDefault="00FC797D" w:rsidP="006A7D0B">
            <w:pPr>
              <w:jc w:val="both"/>
              <w:rPr>
                <w:color w:val="000000"/>
              </w:rPr>
            </w:pPr>
            <w:r w:rsidRPr="000F10BB">
              <w:rPr>
                <w:color w:val="000000"/>
              </w:rPr>
              <w:t>Nav</w:t>
            </w:r>
            <w:r w:rsidR="00372BBA" w:rsidRPr="000F10BB">
              <w:rPr>
                <w:color w:val="000000"/>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B76D85" w:rsidTr="006A7D0B">
        <w:tc>
          <w:tcPr>
            <w:tcW w:w="9287" w:type="dxa"/>
            <w:gridSpan w:val="3"/>
            <w:shd w:val="clear" w:color="auto" w:fill="auto"/>
          </w:tcPr>
          <w:p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rsidR="00C01716" w:rsidRPr="006A7D0B" w:rsidRDefault="00230730" w:rsidP="006A7D0B">
            <w:pPr>
              <w:jc w:val="center"/>
              <w:rPr>
                <w:b/>
              </w:rPr>
            </w:pPr>
            <w:r w:rsidRPr="006A7D0B">
              <w:rPr>
                <w:b/>
              </w:rPr>
              <w:t>un administratīvo slogu</w:t>
            </w:r>
          </w:p>
        </w:tc>
      </w:tr>
      <w:tr w:rsidR="00B76D85" w:rsidRPr="006A7D0B" w:rsidTr="006A7D0B">
        <w:tc>
          <w:tcPr>
            <w:tcW w:w="396" w:type="dxa"/>
            <w:shd w:val="clear" w:color="auto" w:fill="auto"/>
          </w:tcPr>
          <w:p w:rsidR="00B76D85" w:rsidRPr="006A7D0B" w:rsidRDefault="00B76D85" w:rsidP="00242D7D">
            <w:pPr>
              <w:rPr>
                <w:sz w:val="22"/>
                <w:szCs w:val="22"/>
              </w:rPr>
            </w:pPr>
            <w:r w:rsidRPr="006A7D0B">
              <w:rPr>
                <w:sz w:val="22"/>
                <w:szCs w:val="22"/>
              </w:rPr>
              <w:t>1.</w:t>
            </w:r>
          </w:p>
        </w:tc>
        <w:tc>
          <w:tcPr>
            <w:tcW w:w="3072" w:type="dxa"/>
            <w:shd w:val="clear" w:color="auto" w:fill="auto"/>
          </w:tcPr>
          <w:p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rsidR="00275E90" w:rsidRDefault="00530882" w:rsidP="00425DFD">
            <w:pPr>
              <w:jc w:val="both"/>
              <w:rPr>
                <w:iCs/>
                <w:color w:val="000000"/>
              </w:rPr>
            </w:pPr>
            <w:r w:rsidRPr="00ED7E0C">
              <w:rPr>
                <w:iCs/>
                <w:color w:val="000000"/>
              </w:rPr>
              <w:t xml:space="preserve">Noteikumu projekts attiecas uz </w:t>
            </w:r>
            <w:r w:rsidR="00AD31D2">
              <w:rPr>
                <w:iCs/>
                <w:color w:val="000000"/>
              </w:rPr>
              <w:t>A</w:t>
            </w:r>
            <w:r w:rsidRPr="00ED7E0C">
              <w:rPr>
                <w:iCs/>
                <w:color w:val="000000"/>
              </w:rPr>
              <w:t>ģentūrā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kā arī </w:t>
            </w:r>
            <w:r w:rsidR="00734A90" w:rsidRPr="00734A90">
              <w:rPr>
                <w:iCs/>
                <w:color w:val="000000"/>
              </w:rPr>
              <w:t>Latvijas Republikā reģistrētām un akreditētām izglītības iestādēm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AD31D2" w:rsidRPr="00167021">
              <w:rPr>
                <w:iCs/>
                <w:color w:val="000000"/>
              </w:rPr>
              <w:t>A</w:t>
            </w:r>
            <w:r w:rsidR="00F8389D" w:rsidRPr="00167021">
              <w:rPr>
                <w:iCs/>
                <w:color w:val="000000"/>
              </w:rPr>
              <w:t xml:space="preserve">ģentūras statistiskajai informācijai </w:t>
            </w:r>
            <w:r w:rsidR="006F4B62">
              <w:rPr>
                <w:iCs/>
                <w:color w:val="000000"/>
              </w:rPr>
              <w:t>2015</w:t>
            </w:r>
            <w:r w:rsidR="00F8389D" w:rsidRPr="006D7ACC">
              <w:rPr>
                <w:iCs/>
                <w:color w:val="000000"/>
              </w:rPr>
              <w:t xml:space="preserve">.gada </w:t>
            </w:r>
            <w:r w:rsidR="006C5E5A">
              <w:rPr>
                <w:iCs/>
                <w:color w:val="000000"/>
              </w:rPr>
              <w:t>oktobra beigās</w:t>
            </w:r>
            <w:r w:rsidR="009F5B90">
              <w:rPr>
                <w:iCs/>
                <w:color w:val="000000"/>
              </w:rPr>
              <w:t xml:space="preserve"> </w:t>
            </w:r>
            <w:r w:rsidR="00F8389D" w:rsidRPr="006D7ACC">
              <w:rPr>
                <w:iCs/>
                <w:color w:val="000000"/>
              </w:rPr>
              <w:t xml:space="preserve">bezdarbnieka statusā atradās </w:t>
            </w:r>
            <w:r w:rsidR="006C5E5A">
              <w:rPr>
                <w:iCs/>
                <w:color w:val="000000"/>
              </w:rPr>
              <w:t>78</w:t>
            </w:r>
            <w:r w:rsidR="006F4B62">
              <w:rPr>
                <w:iCs/>
                <w:color w:val="000000"/>
              </w:rPr>
              <w:t> </w:t>
            </w:r>
            <w:r w:rsidR="006C5E5A">
              <w:rPr>
                <w:iCs/>
                <w:color w:val="000000"/>
              </w:rPr>
              <w:t>052</w:t>
            </w:r>
            <w:r w:rsidR="006F4B62">
              <w:rPr>
                <w:iCs/>
                <w:color w:val="000000"/>
              </w:rPr>
              <w:t xml:space="preserve"> </w:t>
            </w:r>
            <w:r w:rsidR="00F8389D" w:rsidRPr="006D7ACC">
              <w:rPr>
                <w:iCs/>
                <w:color w:val="000000"/>
              </w:rPr>
              <w:t xml:space="preserve"> personas</w:t>
            </w:r>
            <w:r w:rsidR="009F5B90">
              <w:rPr>
                <w:iCs/>
                <w:color w:val="000000"/>
              </w:rPr>
              <w:t xml:space="preserve">, savukārt </w:t>
            </w:r>
            <w:r w:rsidR="00186718">
              <w:rPr>
                <w:iCs/>
              </w:rPr>
              <w:t>199</w:t>
            </w:r>
            <w:r w:rsidR="009F5B90" w:rsidRPr="006C5E5A">
              <w:rPr>
                <w:iCs/>
                <w:color w:val="FF0000"/>
              </w:rPr>
              <w:t xml:space="preserve"> </w:t>
            </w:r>
            <w:r w:rsidR="009F5B90">
              <w:rPr>
                <w:iCs/>
                <w:color w:val="000000"/>
              </w:rPr>
              <w:t>personas atradās darba meklētāja statusā.</w:t>
            </w:r>
          </w:p>
          <w:p w:rsidR="00B76D85" w:rsidRPr="006C5E5A" w:rsidRDefault="00275E90" w:rsidP="006C5E5A">
            <w:pPr>
              <w:jc w:val="both"/>
              <w:rPr>
                <w:bCs/>
                <w:iCs/>
                <w:color w:val="000000"/>
              </w:rPr>
            </w:pPr>
            <w:r w:rsidRPr="00275E90">
              <w:rPr>
                <w:iCs/>
                <w:color w:val="000000"/>
              </w:rPr>
              <w:t xml:space="preserve">2015.gada </w:t>
            </w:r>
            <w:r w:rsidR="006C5E5A">
              <w:rPr>
                <w:iCs/>
                <w:color w:val="000000"/>
              </w:rPr>
              <w:t>oktobra beigās</w:t>
            </w:r>
            <w:r w:rsidRPr="00275E90">
              <w:rPr>
                <w:iCs/>
                <w:color w:val="000000"/>
              </w:rPr>
              <w:t xml:space="preserve"> </w:t>
            </w:r>
            <w:r w:rsidR="006C5E5A">
              <w:rPr>
                <w:iCs/>
                <w:color w:val="000000"/>
              </w:rPr>
              <w:t>NVA</w:t>
            </w:r>
            <w:r w:rsidRPr="00275E90">
              <w:rPr>
                <w:iCs/>
                <w:color w:val="000000"/>
              </w:rPr>
              <w:t xml:space="preserve"> bija reģistrēti </w:t>
            </w:r>
            <w:r w:rsidR="006C5E5A">
              <w:rPr>
                <w:iCs/>
                <w:color w:val="000000"/>
              </w:rPr>
              <w:t>6830</w:t>
            </w:r>
            <w:r w:rsidRPr="00275E90">
              <w:rPr>
                <w:iCs/>
                <w:color w:val="000000"/>
              </w:rPr>
              <w:t xml:space="preserve"> jaunieši bezdarbnieki vecumā no 15 - 24 gadiem, savukārt </w:t>
            </w:r>
            <w:r w:rsidR="006C5E5A">
              <w:rPr>
                <w:iCs/>
                <w:color w:val="000000"/>
              </w:rPr>
              <w:t>15804</w:t>
            </w:r>
            <w:r w:rsidRPr="00275E90">
              <w:rPr>
                <w:iCs/>
                <w:color w:val="000000"/>
              </w:rPr>
              <w:t xml:space="preserve"> bezdarbnieki bija vecumā no 25 - 29 gadiem. </w:t>
            </w:r>
            <w:r w:rsidRPr="00275E90">
              <w:rPr>
                <w:iCs/>
                <w:color w:val="000000"/>
              </w:rPr>
              <w:br/>
              <w:t>Bezdarbnieki ar invaliditāti - 8</w:t>
            </w:r>
            <w:r w:rsidR="006C5E5A">
              <w:rPr>
                <w:iCs/>
                <w:color w:val="000000"/>
              </w:rPr>
              <w:t>230</w:t>
            </w:r>
            <w:r w:rsidRPr="00275E90">
              <w:rPr>
                <w:iCs/>
                <w:color w:val="000000"/>
              </w:rPr>
              <w:t>.</w:t>
            </w:r>
            <w:r w:rsidRPr="00275E90">
              <w:rPr>
                <w:iCs/>
                <w:color w:val="000000"/>
              </w:rPr>
              <w:br/>
              <w:t xml:space="preserve">Ilgstošo bezdarbnieku skaits (bezdarbnieka statusā vismaz 12 mēnešus) </w:t>
            </w:r>
            <w:r w:rsidR="00B97923">
              <w:rPr>
                <w:iCs/>
                <w:color w:val="000000"/>
              </w:rPr>
              <w:t>–</w:t>
            </w:r>
            <w:r w:rsidRPr="00275E90">
              <w:rPr>
                <w:iCs/>
                <w:color w:val="000000"/>
              </w:rPr>
              <w:t xml:space="preserve"> </w:t>
            </w:r>
            <w:r w:rsidR="006C5E5A">
              <w:rPr>
                <w:iCs/>
                <w:color w:val="000000"/>
              </w:rPr>
              <w:t>24407</w:t>
            </w:r>
            <w:r w:rsidR="00B97923">
              <w:rPr>
                <w:iCs/>
                <w:color w:val="000000"/>
              </w:rPr>
              <w:t>,</w:t>
            </w:r>
            <w:r w:rsidR="00B97923">
              <w:rPr>
                <w:iCs/>
                <w:color w:val="000000"/>
              </w:rPr>
              <w:br/>
              <w:t>b</w:t>
            </w:r>
            <w:r w:rsidRPr="00275E90">
              <w:rPr>
                <w:iCs/>
                <w:color w:val="000000"/>
              </w:rPr>
              <w:t>ezdarbnieki vecāki par 50 gadiem -</w:t>
            </w:r>
            <w:r>
              <w:rPr>
                <w:iCs/>
                <w:color w:val="000000"/>
              </w:rPr>
              <w:t xml:space="preserve"> </w:t>
            </w:r>
            <w:r w:rsidR="006C5E5A">
              <w:rPr>
                <w:iCs/>
                <w:color w:val="000000"/>
              </w:rPr>
              <w:t>28973</w:t>
            </w:r>
            <w:r w:rsidRPr="00275E90">
              <w:rPr>
                <w:iCs/>
                <w:color w:val="000000"/>
              </w:rPr>
              <w:t>.</w:t>
            </w: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t xml:space="preserve">2. </w:t>
            </w:r>
          </w:p>
        </w:tc>
        <w:tc>
          <w:tcPr>
            <w:tcW w:w="3072" w:type="dxa"/>
            <w:shd w:val="clear" w:color="auto" w:fill="auto"/>
          </w:tcPr>
          <w:p w:rsidR="00230730" w:rsidRPr="00F86A40" w:rsidRDefault="00230730" w:rsidP="00242D7D">
            <w:r w:rsidRPr="00F86A40">
              <w:t>Tiesiskā regulējuma ietekme uz tautsaimniecību un administratīvo slogu</w:t>
            </w:r>
          </w:p>
        </w:tc>
        <w:tc>
          <w:tcPr>
            <w:tcW w:w="5819" w:type="dxa"/>
            <w:shd w:val="clear" w:color="auto" w:fill="auto"/>
          </w:tcPr>
          <w:p w:rsidR="00230730" w:rsidRPr="00F86A40" w:rsidRDefault="005F23F9" w:rsidP="006A7D0B">
            <w:pPr>
              <w:jc w:val="both"/>
              <w:rPr>
                <w:color w:val="000000"/>
              </w:rPr>
            </w:pPr>
            <w:r w:rsidRPr="00F86A40">
              <w:rPr>
                <w:iCs/>
                <w:color w:val="000000"/>
              </w:rPr>
              <w:t>Noteikumu projekts šo jomu neskar.</w:t>
            </w:r>
          </w:p>
        </w:tc>
      </w:tr>
      <w:tr w:rsidR="00230730" w:rsidRPr="006A7D0B" w:rsidTr="006A7D0B">
        <w:tc>
          <w:tcPr>
            <w:tcW w:w="396" w:type="dxa"/>
            <w:shd w:val="clear" w:color="auto" w:fill="auto"/>
          </w:tcPr>
          <w:p w:rsidR="00230730" w:rsidRPr="006A7D0B" w:rsidRDefault="00230730" w:rsidP="00230730">
            <w:pPr>
              <w:rPr>
                <w:sz w:val="22"/>
                <w:szCs w:val="22"/>
              </w:rPr>
            </w:pPr>
            <w:r w:rsidRPr="006A7D0B">
              <w:rPr>
                <w:sz w:val="22"/>
                <w:szCs w:val="22"/>
              </w:rPr>
              <w:t>3.</w:t>
            </w:r>
          </w:p>
        </w:tc>
        <w:tc>
          <w:tcPr>
            <w:tcW w:w="3072" w:type="dxa"/>
            <w:shd w:val="clear" w:color="auto" w:fill="auto"/>
          </w:tcPr>
          <w:p w:rsidR="00230730" w:rsidRPr="00F86A40" w:rsidRDefault="00230730" w:rsidP="00242D7D">
            <w:r w:rsidRPr="00F86A40">
              <w:t>Administratīvo izmaksu monetārs novērtējums</w:t>
            </w:r>
          </w:p>
        </w:tc>
        <w:tc>
          <w:tcPr>
            <w:tcW w:w="5819" w:type="dxa"/>
            <w:shd w:val="clear" w:color="auto" w:fill="auto"/>
          </w:tcPr>
          <w:p w:rsidR="00230730" w:rsidRPr="00F86A40" w:rsidRDefault="005F23F9" w:rsidP="006A7D0B">
            <w:pPr>
              <w:jc w:val="both"/>
              <w:rPr>
                <w:i/>
                <w:color w:val="000000"/>
              </w:rPr>
            </w:pPr>
            <w:r w:rsidRPr="00F86A40">
              <w:rPr>
                <w:iCs/>
                <w:color w:val="000000"/>
              </w:rPr>
              <w:t>Noteikumu projekts šo jomu neskar.</w:t>
            </w: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t xml:space="preserve">4. </w:t>
            </w:r>
          </w:p>
        </w:tc>
        <w:tc>
          <w:tcPr>
            <w:tcW w:w="3072" w:type="dxa"/>
            <w:shd w:val="clear" w:color="auto" w:fill="auto"/>
          </w:tcPr>
          <w:p w:rsidR="00230730" w:rsidRPr="00F86A40" w:rsidRDefault="00230730" w:rsidP="00242D7D">
            <w:r w:rsidRPr="00F86A40">
              <w:t>Cita informācija</w:t>
            </w:r>
          </w:p>
        </w:tc>
        <w:tc>
          <w:tcPr>
            <w:tcW w:w="5819" w:type="dxa"/>
            <w:shd w:val="clear" w:color="auto" w:fill="auto"/>
          </w:tcPr>
          <w:p w:rsidR="00230730" w:rsidRPr="00F86A40" w:rsidRDefault="00230730" w:rsidP="006A7D0B">
            <w:pPr>
              <w:jc w:val="both"/>
              <w:rPr>
                <w:iCs/>
                <w:color w:val="000000"/>
              </w:rPr>
            </w:pPr>
            <w:r w:rsidRPr="00F86A40">
              <w:rPr>
                <w:iCs/>
                <w:color w:val="000000"/>
              </w:rPr>
              <w:t>Nav</w:t>
            </w:r>
            <w:r w:rsidR="005F23F9" w:rsidRPr="00F86A40">
              <w:rPr>
                <w:iCs/>
                <w:color w:val="000000"/>
              </w:rPr>
              <w:t>.</w:t>
            </w:r>
          </w:p>
        </w:tc>
      </w:tr>
    </w:tbl>
    <w:p w:rsidR="007F777B" w:rsidRDefault="007F777B"/>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727"/>
        <w:gridCol w:w="1709"/>
        <w:gridCol w:w="1231"/>
        <w:gridCol w:w="1231"/>
        <w:gridCol w:w="1231"/>
      </w:tblGrid>
      <w:tr w:rsidR="00273F99" w:rsidTr="001401BD">
        <w:tc>
          <w:tcPr>
            <w:tcW w:w="9287" w:type="dxa"/>
            <w:gridSpan w:val="6"/>
            <w:shd w:val="clear" w:color="auto" w:fill="auto"/>
          </w:tcPr>
          <w:p w:rsidR="00273F99" w:rsidRDefault="00DB4594" w:rsidP="006A7D0B">
            <w:pPr>
              <w:jc w:val="center"/>
            </w:pPr>
            <w:r>
              <w:br w:type="page"/>
            </w:r>
            <w:r w:rsidR="00273F99" w:rsidRPr="006A7D0B">
              <w:rPr>
                <w:b/>
              </w:rPr>
              <w:t>III</w:t>
            </w:r>
            <w:r w:rsidR="00DC37D9" w:rsidRPr="006A7D0B">
              <w:rPr>
                <w:b/>
              </w:rPr>
              <w:t>.</w:t>
            </w:r>
            <w:r w:rsidR="00273F99">
              <w:t xml:space="preserve"> </w:t>
            </w:r>
            <w:r w:rsidR="00273F99" w:rsidRPr="006A7D0B">
              <w:rPr>
                <w:b/>
                <w:bCs/>
              </w:rPr>
              <w:t xml:space="preserve">Tiesību </w:t>
            </w:r>
            <w:smartTag w:uri="schemas-tilde-lv/tildestengine" w:element="veidnes">
              <w:smartTagPr>
                <w:attr w:name="text" w:val="akta"/>
                <w:attr w:name="id" w:val="-1"/>
                <w:attr w:name="baseform" w:val="akt|s"/>
              </w:smartTagPr>
              <w:r w:rsidR="00273F99" w:rsidRPr="006A7D0B">
                <w:rPr>
                  <w:b/>
                  <w:bCs/>
                </w:rPr>
                <w:t>akta</w:t>
              </w:r>
            </w:smartTag>
            <w:r w:rsidR="00273F99" w:rsidRPr="006A7D0B">
              <w:rPr>
                <w:b/>
                <w:bCs/>
              </w:rPr>
              <w:t xml:space="preserve"> projekta ietekme uz valsts budžetu un pašvaldību budžetiem</w:t>
            </w:r>
          </w:p>
        </w:tc>
      </w:tr>
      <w:tr w:rsidR="00273F99" w:rsidTr="001401BD">
        <w:tc>
          <w:tcPr>
            <w:tcW w:w="2193" w:type="dxa"/>
            <w:vMerge w:val="restart"/>
            <w:shd w:val="clear" w:color="auto" w:fill="auto"/>
            <w:vAlign w:val="center"/>
          </w:tcPr>
          <w:p w:rsidR="00273F99" w:rsidRDefault="00273F99" w:rsidP="006A7D0B">
            <w:pPr>
              <w:jc w:val="center"/>
            </w:pPr>
            <w:r w:rsidRPr="006A7D0B">
              <w:rPr>
                <w:b/>
                <w:sz w:val="22"/>
                <w:szCs w:val="22"/>
              </w:rPr>
              <w:t>Rādītāji</w:t>
            </w:r>
          </w:p>
        </w:tc>
        <w:tc>
          <w:tcPr>
            <w:tcW w:w="3374" w:type="dxa"/>
            <w:gridSpan w:val="2"/>
            <w:vMerge w:val="restart"/>
            <w:shd w:val="clear" w:color="auto" w:fill="auto"/>
            <w:vAlign w:val="center"/>
          </w:tcPr>
          <w:p w:rsidR="00273F99" w:rsidRDefault="00273F99" w:rsidP="006A7D0B">
            <w:pPr>
              <w:jc w:val="center"/>
            </w:pPr>
            <w:r w:rsidRPr="006A7D0B">
              <w:rPr>
                <w:b/>
                <w:sz w:val="22"/>
                <w:szCs w:val="22"/>
              </w:rPr>
              <w:t>201</w:t>
            </w:r>
            <w:r w:rsidR="004357CA">
              <w:rPr>
                <w:b/>
                <w:sz w:val="22"/>
                <w:szCs w:val="22"/>
              </w:rPr>
              <w:t>6</w:t>
            </w:r>
          </w:p>
        </w:tc>
        <w:tc>
          <w:tcPr>
            <w:tcW w:w="3720" w:type="dxa"/>
            <w:gridSpan w:val="3"/>
            <w:shd w:val="clear" w:color="auto" w:fill="auto"/>
            <w:vAlign w:val="center"/>
          </w:tcPr>
          <w:p w:rsidR="00273F99" w:rsidRDefault="00273F99" w:rsidP="006A7D0B">
            <w:pPr>
              <w:jc w:val="center"/>
            </w:pPr>
            <w:r w:rsidRPr="006A7D0B">
              <w:rPr>
                <w:sz w:val="22"/>
                <w:szCs w:val="22"/>
              </w:rPr>
              <w:t>Turpmākie trīs gadi</w:t>
            </w:r>
            <w:r w:rsidR="00230730" w:rsidRPr="006A7D0B">
              <w:rPr>
                <w:sz w:val="22"/>
                <w:szCs w:val="22"/>
              </w:rPr>
              <w:t xml:space="preserve"> (</w:t>
            </w:r>
            <w:proofErr w:type="spellStart"/>
            <w:r w:rsidR="00230730" w:rsidRPr="006A7D0B">
              <w:rPr>
                <w:i/>
                <w:sz w:val="22"/>
                <w:szCs w:val="22"/>
              </w:rPr>
              <w:t>euro</w:t>
            </w:r>
            <w:proofErr w:type="spellEnd"/>
            <w:r w:rsidR="00230730" w:rsidRPr="006A7D0B">
              <w:rPr>
                <w:sz w:val="22"/>
                <w:szCs w:val="22"/>
              </w:rPr>
              <w:t>)</w:t>
            </w:r>
          </w:p>
        </w:tc>
      </w:tr>
      <w:tr w:rsidR="00273F99" w:rsidTr="001401BD">
        <w:tc>
          <w:tcPr>
            <w:tcW w:w="2193" w:type="dxa"/>
            <w:vMerge/>
            <w:shd w:val="clear" w:color="auto" w:fill="auto"/>
          </w:tcPr>
          <w:p w:rsidR="00273F99" w:rsidRDefault="00273F99" w:rsidP="006A7D0B">
            <w:pPr>
              <w:jc w:val="center"/>
            </w:pPr>
          </w:p>
        </w:tc>
        <w:tc>
          <w:tcPr>
            <w:tcW w:w="3374" w:type="dxa"/>
            <w:gridSpan w:val="2"/>
            <w:vMerge/>
            <w:shd w:val="clear" w:color="auto" w:fill="auto"/>
          </w:tcPr>
          <w:p w:rsidR="00273F99" w:rsidRPr="006A7D0B" w:rsidRDefault="00273F99" w:rsidP="006A7D0B">
            <w:pPr>
              <w:jc w:val="center"/>
              <w:rPr>
                <w:b/>
                <w:sz w:val="22"/>
                <w:szCs w:val="22"/>
              </w:rPr>
            </w:pPr>
          </w:p>
        </w:tc>
        <w:tc>
          <w:tcPr>
            <w:tcW w:w="1240" w:type="dxa"/>
            <w:shd w:val="clear" w:color="auto" w:fill="auto"/>
            <w:vAlign w:val="bottom"/>
          </w:tcPr>
          <w:p w:rsidR="00273F99" w:rsidRPr="006A7D0B" w:rsidRDefault="00273F99" w:rsidP="006A7D0B">
            <w:pPr>
              <w:pStyle w:val="naisf"/>
              <w:spacing w:before="0" w:after="0"/>
              <w:ind w:firstLine="0"/>
              <w:jc w:val="center"/>
              <w:rPr>
                <w:b/>
                <w:i/>
                <w:sz w:val="22"/>
                <w:szCs w:val="22"/>
              </w:rPr>
            </w:pPr>
            <w:r w:rsidRPr="006A7D0B">
              <w:rPr>
                <w:b/>
                <w:bCs/>
                <w:sz w:val="22"/>
                <w:szCs w:val="22"/>
              </w:rPr>
              <w:t>201</w:t>
            </w:r>
            <w:r w:rsidR="004357CA">
              <w:rPr>
                <w:b/>
                <w:bCs/>
                <w:sz w:val="22"/>
                <w:szCs w:val="22"/>
              </w:rPr>
              <w:t>7</w:t>
            </w:r>
          </w:p>
        </w:tc>
        <w:tc>
          <w:tcPr>
            <w:tcW w:w="1240" w:type="dxa"/>
            <w:shd w:val="clear" w:color="auto" w:fill="auto"/>
            <w:vAlign w:val="bottom"/>
          </w:tcPr>
          <w:p w:rsidR="00273F99" w:rsidRPr="006A7D0B" w:rsidRDefault="004357CA" w:rsidP="006A7D0B">
            <w:pPr>
              <w:pStyle w:val="naisf"/>
              <w:spacing w:before="0" w:after="0"/>
              <w:ind w:firstLine="0"/>
              <w:jc w:val="center"/>
              <w:rPr>
                <w:b/>
                <w:i/>
                <w:sz w:val="22"/>
                <w:szCs w:val="22"/>
              </w:rPr>
            </w:pPr>
            <w:r>
              <w:rPr>
                <w:b/>
                <w:bCs/>
                <w:sz w:val="22"/>
                <w:szCs w:val="22"/>
              </w:rPr>
              <w:t>2018</w:t>
            </w:r>
          </w:p>
        </w:tc>
        <w:tc>
          <w:tcPr>
            <w:tcW w:w="1240" w:type="dxa"/>
            <w:shd w:val="clear" w:color="auto" w:fill="auto"/>
            <w:vAlign w:val="bottom"/>
          </w:tcPr>
          <w:p w:rsidR="00273F99" w:rsidRPr="006A7D0B" w:rsidRDefault="00273F99" w:rsidP="006A7D0B">
            <w:pPr>
              <w:pStyle w:val="naisf"/>
              <w:spacing w:before="0" w:after="0"/>
              <w:ind w:firstLine="0"/>
              <w:jc w:val="center"/>
              <w:rPr>
                <w:b/>
                <w:i/>
                <w:sz w:val="22"/>
                <w:szCs w:val="22"/>
              </w:rPr>
            </w:pPr>
            <w:r w:rsidRPr="006A7D0B">
              <w:rPr>
                <w:b/>
                <w:bCs/>
                <w:sz w:val="22"/>
                <w:szCs w:val="22"/>
              </w:rPr>
              <w:t>201</w:t>
            </w:r>
            <w:r w:rsidR="004357CA">
              <w:rPr>
                <w:b/>
                <w:bCs/>
                <w:sz w:val="22"/>
                <w:szCs w:val="22"/>
              </w:rPr>
              <w:t>9</w:t>
            </w:r>
          </w:p>
        </w:tc>
      </w:tr>
      <w:tr w:rsidR="00273F99" w:rsidRPr="006A7D0B" w:rsidTr="001401BD">
        <w:tc>
          <w:tcPr>
            <w:tcW w:w="2193" w:type="dxa"/>
            <w:vMerge/>
            <w:shd w:val="clear" w:color="auto" w:fill="auto"/>
            <w:vAlign w:val="bottom"/>
          </w:tcPr>
          <w:p w:rsidR="00273F99" w:rsidRPr="006A7D0B" w:rsidRDefault="00273F99" w:rsidP="006A7D0B">
            <w:pPr>
              <w:jc w:val="center"/>
              <w:rPr>
                <w:sz w:val="22"/>
                <w:szCs w:val="22"/>
              </w:rPr>
            </w:pPr>
          </w:p>
        </w:tc>
        <w:tc>
          <w:tcPr>
            <w:tcW w:w="1628" w:type="dxa"/>
            <w:shd w:val="clear" w:color="auto" w:fill="auto"/>
          </w:tcPr>
          <w:p w:rsidR="00273F99" w:rsidRPr="006A7D0B" w:rsidRDefault="00230730" w:rsidP="006A7D0B">
            <w:pPr>
              <w:jc w:val="center"/>
              <w:rPr>
                <w:sz w:val="22"/>
                <w:szCs w:val="22"/>
              </w:rPr>
            </w:pPr>
            <w:r w:rsidRPr="006A7D0B">
              <w:rPr>
                <w:sz w:val="22"/>
                <w:szCs w:val="22"/>
              </w:rPr>
              <w:t>s</w:t>
            </w:r>
            <w:r w:rsidR="00273F99" w:rsidRPr="006A7D0B">
              <w:rPr>
                <w:sz w:val="22"/>
                <w:szCs w:val="22"/>
              </w:rPr>
              <w:t xml:space="preserve">askaņā ar valsts budžetu </w:t>
            </w:r>
            <w:r w:rsidR="00273F99" w:rsidRPr="006A7D0B">
              <w:rPr>
                <w:sz w:val="22"/>
                <w:szCs w:val="22"/>
              </w:rPr>
              <w:lastRenderedPageBreak/>
              <w:t>kārtējam gadam</w:t>
            </w:r>
          </w:p>
        </w:tc>
        <w:tc>
          <w:tcPr>
            <w:tcW w:w="1746" w:type="dxa"/>
            <w:shd w:val="clear" w:color="auto" w:fill="auto"/>
          </w:tcPr>
          <w:p w:rsidR="00273F99" w:rsidRPr="006A7D0B" w:rsidRDefault="00230730" w:rsidP="006A7D0B">
            <w:pPr>
              <w:jc w:val="center"/>
              <w:rPr>
                <w:sz w:val="22"/>
                <w:szCs w:val="22"/>
              </w:rPr>
            </w:pPr>
            <w:r w:rsidRPr="006A7D0B">
              <w:rPr>
                <w:sz w:val="22"/>
                <w:szCs w:val="22"/>
              </w:rPr>
              <w:lastRenderedPageBreak/>
              <w:t>i</w:t>
            </w:r>
            <w:r w:rsidR="00273F99" w:rsidRPr="006A7D0B">
              <w:rPr>
                <w:sz w:val="22"/>
                <w:szCs w:val="22"/>
              </w:rPr>
              <w:t xml:space="preserve">zmaiņas kārtējā gadā salīdzinot </w:t>
            </w:r>
            <w:r w:rsidR="00273F99" w:rsidRPr="006A7D0B">
              <w:rPr>
                <w:sz w:val="22"/>
                <w:szCs w:val="22"/>
              </w:rPr>
              <w:lastRenderedPageBreak/>
              <w:t xml:space="preserve">ar </w:t>
            </w:r>
            <w:r w:rsidRPr="006A7D0B">
              <w:rPr>
                <w:sz w:val="22"/>
                <w:szCs w:val="22"/>
              </w:rPr>
              <w:t xml:space="preserve">valsts </w:t>
            </w:r>
            <w:r w:rsidR="00273F99" w:rsidRPr="006A7D0B">
              <w:rPr>
                <w:sz w:val="22"/>
                <w:szCs w:val="22"/>
              </w:rPr>
              <w:t>budžetu kārtējam gadam</w:t>
            </w:r>
          </w:p>
        </w:tc>
        <w:tc>
          <w:tcPr>
            <w:tcW w:w="1240" w:type="dxa"/>
            <w:shd w:val="clear" w:color="auto" w:fill="auto"/>
          </w:tcPr>
          <w:p w:rsidR="00273F99" w:rsidRPr="006A7D0B" w:rsidRDefault="00230730" w:rsidP="006A7D0B">
            <w:pPr>
              <w:jc w:val="center"/>
              <w:rPr>
                <w:sz w:val="22"/>
                <w:szCs w:val="22"/>
              </w:rPr>
            </w:pPr>
            <w:r w:rsidRPr="006A7D0B">
              <w:rPr>
                <w:sz w:val="22"/>
                <w:szCs w:val="22"/>
              </w:rPr>
              <w:lastRenderedPageBreak/>
              <w:t>i</w:t>
            </w:r>
            <w:r w:rsidR="00273F99" w:rsidRPr="006A7D0B">
              <w:rPr>
                <w:sz w:val="22"/>
                <w:szCs w:val="22"/>
              </w:rPr>
              <w:t xml:space="preserve">zmaiņas salīdzinot </w:t>
            </w:r>
            <w:r w:rsidR="00273F99" w:rsidRPr="006A7D0B">
              <w:rPr>
                <w:sz w:val="22"/>
                <w:szCs w:val="22"/>
              </w:rPr>
              <w:lastRenderedPageBreak/>
              <w:t>ar kārtējo gadu</w:t>
            </w:r>
          </w:p>
        </w:tc>
        <w:tc>
          <w:tcPr>
            <w:tcW w:w="1240" w:type="dxa"/>
            <w:shd w:val="clear" w:color="auto" w:fill="auto"/>
          </w:tcPr>
          <w:p w:rsidR="00273F99" w:rsidRPr="006A7D0B" w:rsidRDefault="00230730" w:rsidP="006A7D0B">
            <w:pPr>
              <w:jc w:val="center"/>
              <w:rPr>
                <w:sz w:val="22"/>
                <w:szCs w:val="22"/>
              </w:rPr>
            </w:pPr>
            <w:r w:rsidRPr="006A7D0B">
              <w:rPr>
                <w:sz w:val="22"/>
                <w:szCs w:val="22"/>
              </w:rPr>
              <w:lastRenderedPageBreak/>
              <w:t>i</w:t>
            </w:r>
            <w:r w:rsidR="00273F99" w:rsidRPr="006A7D0B">
              <w:rPr>
                <w:sz w:val="22"/>
                <w:szCs w:val="22"/>
              </w:rPr>
              <w:t xml:space="preserve">zmaiņas salīdzinot </w:t>
            </w:r>
            <w:r w:rsidR="00273F99" w:rsidRPr="006A7D0B">
              <w:rPr>
                <w:sz w:val="22"/>
                <w:szCs w:val="22"/>
              </w:rPr>
              <w:lastRenderedPageBreak/>
              <w:t>ar kārtējo gadu</w:t>
            </w:r>
          </w:p>
        </w:tc>
        <w:tc>
          <w:tcPr>
            <w:tcW w:w="1240" w:type="dxa"/>
            <w:shd w:val="clear" w:color="auto" w:fill="auto"/>
          </w:tcPr>
          <w:p w:rsidR="00273F99" w:rsidRPr="006A7D0B" w:rsidRDefault="00230730" w:rsidP="006A7D0B">
            <w:pPr>
              <w:jc w:val="center"/>
              <w:rPr>
                <w:sz w:val="22"/>
                <w:szCs w:val="22"/>
              </w:rPr>
            </w:pPr>
            <w:r w:rsidRPr="006A7D0B">
              <w:rPr>
                <w:sz w:val="22"/>
                <w:szCs w:val="22"/>
              </w:rPr>
              <w:lastRenderedPageBreak/>
              <w:t>i</w:t>
            </w:r>
            <w:r w:rsidR="00273F99" w:rsidRPr="006A7D0B">
              <w:rPr>
                <w:sz w:val="22"/>
                <w:szCs w:val="22"/>
              </w:rPr>
              <w:t xml:space="preserve">zmaiņas salīdzinot </w:t>
            </w:r>
            <w:r w:rsidR="00273F99" w:rsidRPr="006A7D0B">
              <w:rPr>
                <w:sz w:val="22"/>
                <w:szCs w:val="22"/>
              </w:rPr>
              <w:lastRenderedPageBreak/>
              <w:t>ar kārtējo gadu</w:t>
            </w:r>
          </w:p>
        </w:tc>
      </w:tr>
      <w:tr w:rsidR="003B629D" w:rsidTr="001401BD">
        <w:tc>
          <w:tcPr>
            <w:tcW w:w="2193"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lastRenderedPageBreak/>
              <w:t>1</w:t>
            </w:r>
          </w:p>
        </w:tc>
        <w:tc>
          <w:tcPr>
            <w:tcW w:w="1628"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2</w:t>
            </w:r>
          </w:p>
        </w:tc>
        <w:tc>
          <w:tcPr>
            <w:tcW w:w="1746"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3</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4</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5</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6</w:t>
            </w:r>
          </w:p>
        </w:tc>
      </w:tr>
      <w:tr w:rsidR="00330E6E" w:rsidTr="001401BD">
        <w:tc>
          <w:tcPr>
            <w:tcW w:w="2193" w:type="dxa"/>
            <w:shd w:val="clear" w:color="auto" w:fill="auto"/>
          </w:tcPr>
          <w:p w:rsidR="00330E6E" w:rsidRDefault="00330E6E" w:rsidP="003F27FC">
            <w:r w:rsidRPr="006A7D0B">
              <w:rPr>
                <w:sz w:val="22"/>
                <w:szCs w:val="22"/>
              </w:rPr>
              <w:t>1. Budžeta ieņēmumi:</w:t>
            </w:r>
          </w:p>
        </w:tc>
        <w:tc>
          <w:tcPr>
            <w:tcW w:w="1628" w:type="dxa"/>
            <w:shd w:val="clear" w:color="auto" w:fill="auto"/>
            <w:vAlign w:val="center"/>
          </w:tcPr>
          <w:p w:rsidR="00330E6E" w:rsidRPr="008E69EF" w:rsidRDefault="004357CA" w:rsidP="008011D6">
            <w:pPr>
              <w:jc w:val="center"/>
              <w:rPr>
                <w:sz w:val="20"/>
                <w:szCs w:val="20"/>
              </w:rPr>
            </w:pPr>
            <w:r w:rsidRPr="004357CA">
              <w:rPr>
                <w:color w:val="000000"/>
                <w:sz w:val="20"/>
                <w:szCs w:val="20"/>
                <w:lang w:eastAsia="ar-SA"/>
              </w:rPr>
              <w:t>36 745 788</w:t>
            </w:r>
          </w:p>
        </w:tc>
        <w:tc>
          <w:tcPr>
            <w:tcW w:w="1746" w:type="dxa"/>
            <w:shd w:val="clear" w:color="auto" w:fill="auto"/>
            <w:vAlign w:val="center"/>
          </w:tcPr>
          <w:p w:rsidR="00330E6E" w:rsidRPr="008011D6" w:rsidRDefault="006539B1"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r>
      <w:tr w:rsidR="007F777B" w:rsidTr="001401BD">
        <w:tc>
          <w:tcPr>
            <w:tcW w:w="2193" w:type="dxa"/>
            <w:shd w:val="clear" w:color="auto" w:fill="auto"/>
          </w:tcPr>
          <w:p w:rsidR="007F777B" w:rsidRPr="006A7D0B" w:rsidRDefault="007F777B" w:rsidP="003F27FC">
            <w:pPr>
              <w:rPr>
                <w:sz w:val="22"/>
                <w:szCs w:val="22"/>
              </w:rPr>
            </w:pPr>
            <w:r>
              <w:rPr>
                <w:sz w:val="22"/>
                <w:szCs w:val="22"/>
              </w:rPr>
              <w:t>1.1. V</w:t>
            </w:r>
            <w:r w:rsidRPr="007F777B">
              <w:rPr>
                <w:sz w:val="22"/>
                <w:szCs w:val="22"/>
              </w:rPr>
              <w:t>alsts pamatbudžets</w:t>
            </w:r>
          </w:p>
        </w:tc>
        <w:tc>
          <w:tcPr>
            <w:tcW w:w="1628" w:type="dxa"/>
            <w:shd w:val="clear" w:color="auto" w:fill="auto"/>
            <w:vAlign w:val="center"/>
          </w:tcPr>
          <w:p w:rsidR="00725D12" w:rsidRDefault="007F777B" w:rsidP="008011D6">
            <w:pPr>
              <w:jc w:val="center"/>
              <w:rPr>
                <w:color w:val="000000"/>
                <w:sz w:val="20"/>
                <w:szCs w:val="20"/>
                <w:lang w:eastAsia="ar-SA"/>
              </w:rPr>
            </w:pPr>
            <w:r w:rsidRPr="007F777B">
              <w:rPr>
                <w:color w:val="000000"/>
                <w:sz w:val="20"/>
                <w:szCs w:val="20"/>
                <w:lang w:eastAsia="ar-SA"/>
              </w:rPr>
              <w:t xml:space="preserve">Valsts pamatbudžeta apakšprogrammā 63.07.00 “Eiropas Sociālā fonda (ESF) īstenotie projekti labklājības nozarē (2014-2020)” </w:t>
            </w:r>
          </w:p>
          <w:p w:rsidR="007F777B" w:rsidRPr="007F777B" w:rsidRDefault="00D914B2" w:rsidP="008011D6">
            <w:pPr>
              <w:jc w:val="center"/>
              <w:rPr>
                <w:color w:val="000000"/>
                <w:sz w:val="20"/>
                <w:szCs w:val="20"/>
                <w:lang w:eastAsia="ar-SA"/>
              </w:rPr>
            </w:pPr>
            <w:r w:rsidRPr="00D914B2">
              <w:rPr>
                <w:color w:val="000000"/>
                <w:sz w:val="20"/>
                <w:szCs w:val="20"/>
                <w:lang w:eastAsia="ar-SA"/>
              </w:rPr>
              <w:t>29 412 741</w:t>
            </w:r>
          </w:p>
        </w:tc>
        <w:tc>
          <w:tcPr>
            <w:tcW w:w="1746"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r>
      <w:tr w:rsidR="007F777B" w:rsidTr="001401BD">
        <w:tc>
          <w:tcPr>
            <w:tcW w:w="2193" w:type="dxa"/>
            <w:shd w:val="clear" w:color="auto" w:fill="auto"/>
          </w:tcPr>
          <w:p w:rsidR="007F777B" w:rsidRDefault="007F777B" w:rsidP="003F27FC">
            <w:pPr>
              <w:rPr>
                <w:sz w:val="22"/>
                <w:szCs w:val="22"/>
              </w:rPr>
            </w:pPr>
            <w:r>
              <w:rPr>
                <w:sz w:val="22"/>
                <w:szCs w:val="22"/>
              </w:rPr>
              <w:t>1.2. V</w:t>
            </w:r>
            <w:r w:rsidRPr="007F777B">
              <w:rPr>
                <w:sz w:val="22"/>
                <w:szCs w:val="22"/>
              </w:rPr>
              <w:t>alsts speciālais budžets</w:t>
            </w:r>
          </w:p>
        </w:tc>
        <w:tc>
          <w:tcPr>
            <w:tcW w:w="1628" w:type="dxa"/>
            <w:shd w:val="clear" w:color="auto" w:fill="auto"/>
            <w:vAlign w:val="center"/>
          </w:tcPr>
          <w:p w:rsidR="00725D12" w:rsidRDefault="00725D12" w:rsidP="008011D6">
            <w:pPr>
              <w:jc w:val="center"/>
              <w:rPr>
                <w:color w:val="000000"/>
                <w:sz w:val="20"/>
                <w:szCs w:val="20"/>
                <w:lang w:eastAsia="ar-SA"/>
              </w:rPr>
            </w:pPr>
            <w:r w:rsidRPr="00725D12">
              <w:rPr>
                <w:color w:val="000000"/>
                <w:sz w:val="20"/>
                <w:szCs w:val="20"/>
                <w:lang w:eastAsia="ar-SA"/>
              </w:rPr>
              <w:t xml:space="preserve">Apakšprogrammas 04.02.00 „Nodarbinātības speciālais budžets” plānotie ieņēmumi nodarbinātības </w:t>
            </w:r>
            <w:r>
              <w:rPr>
                <w:color w:val="000000"/>
                <w:sz w:val="20"/>
                <w:szCs w:val="20"/>
                <w:lang w:eastAsia="ar-SA"/>
              </w:rPr>
              <w:t>pasākumu īstenošanai</w:t>
            </w:r>
          </w:p>
          <w:p w:rsidR="007F777B" w:rsidRPr="007F777B" w:rsidRDefault="00D914B2" w:rsidP="008011D6">
            <w:pPr>
              <w:jc w:val="center"/>
              <w:rPr>
                <w:color w:val="000000"/>
                <w:sz w:val="20"/>
                <w:szCs w:val="20"/>
                <w:lang w:eastAsia="ar-SA"/>
              </w:rPr>
            </w:pPr>
            <w:r w:rsidRPr="00D914B2">
              <w:rPr>
                <w:color w:val="000000"/>
                <w:sz w:val="20"/>
                <w:szCs w:val="20"/>
                <w:lang w:eastAsia="ar-SA"/>
              </w:rPr>
              <w:t>7 333 047</w:t>
            </w:r>
          </w:p>
        </w:tc>
        <w:tc>
          <w:tcPr>
            <w:tcW w:w="1746"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r>
      <w:tr w:rsidR="006539B1" w:rsidTr="001401BD">
        <w:tc>
          <w:tcPr>
            <w:tcW w:w="2193" w:type="dxa"/>
            <w:shd w:val="clear" w:color="auto" w:fill="auto"/>
          </w:tcPr>
          <w:p w:rsidR="006539B1" w:rsidRDefault="006539B1" w:rsidP="003F27FC">
            <w:r w:rsidRPr="006A7D0B">
              <w:rPr>
                <w:sz w:val="22"/>
                <w:szCs w:val="22"/>
              </w:rPr>
              <w:t>2. Budžeta izdevumi:</w:t>
            </w:r>
          </w:p>
        </w:tc>
        <w:tc>
          <w:tcPr>
            <w:tcW w:w="1628" w:type="dxa"/>
            <w:shd w:val="clear" w:color="auto" w:fill="auto"/>
          </w:tcPr>
          <w:p w:rsidR="006539B1" w:rsidRPr="008E69EF" w:rsidRDefault="003F05EF" w:rsidP="006539B1">
            <w:pPr>
              <w:jc w:val="center"/>
            </w:pPr>
            <w:r w:rsidRPr="003F05EF">
              <w:rPr>
                <w:color w:val="000000"/>
                <w:sz w:val="20"/>
                <w:szCs w:val="20"/>
                <w:lang w:eastAsia="ar-SA"/>
              </w:rPr>
              <w:t>40 506 454</w:t>
            </w:r>
          </w:p>
        </w:tc>
        <w:tc>
          <w:tcPr>
            <w:tcW w:w="1746" w:type="dxa"/>
            <w:shd w:val="clear" w:color="auto" w:fill="auto"/>
          </w:tcPr>
          <w:p w:rsidR="006539B1" w:rsidRDefault="006539B1" w:rsidP="006539B1">
            <w:pPr>
              <w:jc w:val="center"/>
            </w:pPr>
            <w:r w:rsidRPr="004A437F">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r>
      <w:tr w:rsidR="001A354E" w:rsidTr="001401BD">
        <w:tc>
          <w:tcPr>
            <w:tcW w:w="2193" w:type="dxa"/>
            <w:shd w:val="clear" w:color="auto" w:fill="auto"/>
          </w:tcPr>
          <w:p w:rsidR="001A354E" w:rsidRPr="006A7D0B" w:rsidRDefault="001A354E" w:rsidP="003F27FC">
            <w:pPr>
              <w:rPr>
                <w:sz w:val="22"/>
                <w:szCs w:val="22"/>
              </w:rPr>
            </w:pPr>
            <w:r w:rsidRPr="001A354E">
              <w:rPr>
                <w:sz w:val="22"/>
                <w:szCs w:val="22"/>
              </w:rPr>
              <w:t>2</w:t>
            </w:r>
            <w:r>
              <w:rPr>
                <w:sz w:val="22"/>
                <w:szCs w:val="22"/>
              </w:rPr>
              <w:t>.1. V</w:t>
            </w:r>
            <w:r w:rsidRPr="001A354E">
              <w:rPr>
                <w:sz w:val="22"/>
                <w:szCs w:val="22"/>
              </w:rPr>
              <w:t>alsts pamatbudžets</w:t>
            </w:r>
          </w:p>
        </w:tc>
        <w:tc>
          <w:tcPr>
            <w:tcW w:w="1628" w:type="dxa"/>
            <w:shd w:val="clear" w:color="auto" w:fill="auto"/>
          </w:tcPr>
          <w:p w:rsidR="00725D12" w:rsidRDefault="001A354E" w:rsidP="006539B1">
            <w:pPr>
              <w:jc w:val="center"/>
              <w:rPr>
                <w:color w:val="000000"/>
                <w:sz w:val="20"/>
                <w:szCs w:val="20"/>
                <w:lang w:eastAsia="ar-SA"/>
              </w:rPr>
            </w:pPr>
            <w:r w:rsidRPr="001A354E">
              <w:rPr>
                <w:color w:val="000000"/>
                <w:sz w:val="20"/>
                <w:szCs w:val="20"/>
                <w:lang w:eastAsia="ar-SA"/>
              </w:rPr>
              <w:t xml:space="preserve">Valsts pamatbudžeta apakšprogrammā 63.07.00 “Eiropas Sociālā fonda (ESF) īstenotie projekti labklājības nozarē (2014-2020)” </w:t>
            </w:r>
          </w:p>
          <w:p w:rsidR="001A354E" w:rsidRPr="001A354E" w:rsidRDefault="00433DE0" w:rsidP="006539B1">
            <w:pPr>
              <w:jc w:val="center"/>
              <w:rPr>
                <w:color w:val="000000"/>
                <w:sz w:val="20"/>
                <w:szCs w:val="20"/>
                <w:lang w:eastAsia="ar-SA"/>
              </w:rPr>
            </w:pPr>
            <w:r w:rsidRPr="00433DE0">
              <w:rPr>
                <w:color w:val="000000"/>
                <w:sz w:val="20"/>
                <w:szCs w:val="20"/>
                <w:lang w:eastAsia="ar-SA"/>
              </w:rPr>
              <w:t>33 173 407</w:t>
            </w:r>
          </w:p>
        </w:tc>
        <w:tc>
          <w:tcPr>
            <w:tcW w:w="1746" w:type="dxa"/>
            <w:shd w:val="clear" w:color="auto" w:fill="auto"/>
          </w:tcPr>
          <w:p w:rsidR="001A354E" w:rsidRPr="004A437F" w:rsidRDefault="001A354E" w:rsidP="006539B1">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r>
      <w:tr w:rsidR="001A354E" w:rsidTr="001401BD">
        <w:tc>
          <w:tcPr>
            <w:tcW w:w="2193" w:type="dxa"/>
            <w:shd w:val="clear" w:color="auto" w:fill="auto"/>
          </w:tcPr>
          <w:p w:rsidR="001A354E" w:rsidRPr="006A7D0B" w:rsidRDefault="001A354E" w:rsidP="003F27FC">
            <w:pPr>
              <w:rPr>
                <w:sz w:val="22"/>
                <w:szCs w:val="22"/>
              </w:rPr>
            </w:pPr>
            <w:r w:rsidRPr="001A354E">
              <w:rPr>
                <w:sz w:val="22"/>
                <w:szCs w:val="22"/>
              </w:rPr>
              <w:t>2</w:t>
            </w:r>
            <w:r>
              <w:rPr>
                <w:sz w:val="22"/>
                <w:szCs w:val="22"/>
              </w:rPr>
              <w:t>.2. V</w:t>
            </w:r>
            <w:r w:rsidRPr="001A354E">
              <w:rPr>
                <w:sz w:val="22"/>
                <w:szCs w:val="22"/>
              </w:rPr>
              <w:t>alsts speciālais budžets</w:t>
            </w:r>
          </w:p>
        </w:tc>
        <w:tc>
          <w:tcPr>
            <w:tcW w:w="1628" w:type="dxa"/>
            <w:shd w:val="clear" w:color="auto" w:fill="auto"/>
          </w:tcPr>
          <w:p w:rsidR="00D10E76" w:rsidRDefault="001A354E" w:rsidP="006539B1">
            <w:pPr>
              <w:jc w:val="center"/>
              <w:rPr>
                <w:color w:val="000000"/>
                <w:sz w:val="20"/>
                <w:szCs w:val="20"/>
                <w:lang w:eastAsia="ar-SA"/>
              </w:rPr>
            </w:pPr>
            <w:r w:rsidRPr="001A354E">
              <w:rPr>
                <w:color w:val="000000"/>
                <w:sz w:val="20"/>
                <w:szCs w:val="20"/>
                <w:lang w:eastAsia="ar-SA"/>
              </w:rPr>
              <w:t xml:space="preserve">Apakšprogrammas 04.02.00 Nodarbinātības speciālais budžets plānotie ieņēmumi nodarbinātības pasākumu īstenošanai </w:t>
            </w:r>
          </w:p>
          <w:p w:rsidR="001A354E" w:rsidRPr="001A354E" w:rsidRDefault="00105177" w:rsidP="006539B1">
            <w:pPr>
              <w:jc w:val="center"/>
              <w:rPr>
                <w:color w:val="000000"/>
                <w:sz w:val="20"/>
                <w:szCs w:val="20"/>
                <w:lang w:eastAsia="ar-SA"/>
              </w:rPr>
            </w:pPr>
            <w:r w:rsidRPr="00105177">
              <w:rPr>
                <w:color w:val="000000"/>
                <w:sz w:val="20"/>
                <w:szCs w:val="20"/>
                <w:lang w:eastAsia="ar-SA"/>
              </w:rPr>
              <w:t>7 333 047</w:t>
            </w:r>
          </w:p>
        </w:tc>
        <w:tc>
          <w:tcPr>
            <w:tcW w:w="1746" w:type="dxa"/>
            <w:shd w:val="clear" w:color="auto" w:fill="auto"/>
          </w:tcPr>
          <w:p w:rsidR="001A354E" w:rsidRPr="004A437F" w:rsidRDefault="001A354E" w:rsidP="006539B1">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r>
      <w:tr w:rsidR="00AC36BF" w:rsidTr="001401BD">
        <w:tc>
          <w:tcPr>
            <w:tcW w:w="2193" w:type="dxa"/>
            <w:shd w:val="clear" w:color="auto" w:fill="auto"/>
          </w:tcPr>
          <w:p w:rsidR="00AC36BF" w:rsidRDefault="00AC36BF" w:rsidP="003F27FC">
            <w:r w:rsidRPr="006A7D0B">
              <w:rPr>
                <w:sz w:val="22"/>
                <w:szCs w:val="22"/>
              </w:rPr>
              <w:t>3. Finansiālā ietekme</w:t>
            </w:r>
            <w:r w:rsidR="00CD6908">
              <w:rPr>
                <w:sz w:val="22"/>
                <w:szCs w:val="22"/>
              </w:rPr>
              <w:t xml:space="preserve"> (valsts pamatbudžets)</w:t>
            </w:r>
            <w:r w:rsidRPr="006A7D0B">
              <w:rPr>
                <w:sz w:val="22"/>
                <w:szCs w:val="22"/>
              </w:rPr>
              <w:t>:</w:t>
            </w:r>
          </w:p>
        </w:tc>
        <w:tc>
          <w:tcPr>
            <w:tcW w:w="1628" w:type="dxa"/>
            <w:shd w:val="clear" w:color="auto" w:fill="auto"/>
            <w:vAlign w:val="center"/>
          </w:tcPr>
          <w:p w:rsidR="00AC36BF" w:rsidRDefault="00D10E76" w:rsidP="006539B1">
            <w:pPr>
              <w:jc w:val="center"/>
            </w:pPr>
            <w:r w:rsidRPr="00D10E76">
              <w:rPr>
                <w:sz w:val="20"/>
                <w:szCs w:val="20"/>
              </w:rPr>
              <w:t>-</w:t>
            </w:r>
            <w:r w:rsidR="008B668C" w:rsidRPr="008B668C">
              <w:rPr>
                <w:sz w:val="20"/>
                <w:szCs w:val="20"/>
              </w:rPr>
              <w:t>3 760 666</w:t>
            </w:r>
          </w:p>
        </w:tc>
        <w:tc>
          <w:tcPr>
            <w:tcW w:w="1746" w:type="dxa"/>
            <w:shd w:val="clear" w:color="auto" w:fill="auto"/>
          </w:tcPr>
          <w:p w:rsidR="001D3BDF" w:rsidRDefault="001D3BDF" w:rsidP="006539B1">
            <w:pPr>
              <w:jc w:val="center"/>
              <w:rPr>
                <w:sz w:val="20"/>
                <w:szCs w:val="20"/>
              </w:rPr>
            </w:pPr>
          </w:p>
          <w:p w:rsidR="00AC36BF" w:rsidRPr="00695209" w:rsidRDefault="00AC36BF" w:rsidP="006539B1">
            <w:pPr>
              <w:jc w:val="center"/>
            </w:pPr>
            <w:r w:rsidRPr="00695209">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r>
      <w:tr w:rsidR="00AC36BF" w:rsidTr="001401BD">
        <w:tc>
          <w:tcPr>
            <w:tcW w:w="2193" w:type="dxa"/>
            <w:shd w:val="clear" w:color="auto" w:fill="auto"/>
          </w:tcPr>
          <w:p w:rsidR="00AC36BF" w:rsidRDefault="00AC36BF" w:rsidP="00273F99">
            <w:r w:rsidRPr="006A7D0B">
              <w:rPr>
                <w:sz w:val="22"/>
                <w:szCs w:val="22"/>
              </w:rPr>
              <w:t>4. Finanšu līdzekļi papildu izdevumu finansēšanai (kompensējošu izdevumu samazinājumu norāda ar "+" zīmi)</w:t>
            </w:r>
          </w:p>
        </w:tc>
        <w:tc>
          <w:tcPr>
            <w:tcW w:w="1628" w:type="dxa"/>
            <w:shd w:val="clear" w:color="auto" w:fill="auto"/>
            <w:vAlign w:val="center"/>
          </w:tcPr>
          <w:p w:rsidR="00AC36BF" w:rsidRPr="00FD34AB" w:rsidRDefault="00AC36BF" w:rsidP="006A7D0B">
            <w:pPr>
              <w:jc w:val="center"/>
              <w:rPr>
                <w:b/>
                <w:sz w:val="20"/>
                <w:szCs w:val="20"/>
              </w:rPr>
            </w:pPr>
            <w:r w:rsidRPr="00FD34AB">
              <w:rPr>
                <w:b/>
                <w:sz w:val="20"/>
                <w:szCs w:val="20"/>
              </w:rPr>
              <w:t>x</w:t>
            </w:r>
          </w:p>
        </w:tc>
        <w:tc>
          <w:tcPr>
            <w:tcW w:w="1746" w:type="dxa"/>
            <w:shd w:val="clear" w:color="auto" w:fill="auto"/>
          </w:tcPr>
          <w:p w:rsidR="00AC36BF" w:rsidRDefault="00AC36BF" w:rsidP="006539B1">
            <w:pPr>
              <w:jc w:val="center"/>
              <w:rPr>
                <w:sz w:val="20"/>
                <w:szCs w:val="20"/>
              </w:rPr>
            </w:pPr>
          </w:p>
          <w:p w:rsidR="00AC36BF" w:rsidRDefault="00AC36BF" w:rsidP="006539B1">
            <w:pPr>
              <w:jc w:val="center"/>
              <w:rPr>
                <w:sz w:val="20"/>
                <w:szCs w:val="20"/>
              </w:rPr>
            </w:pPr>
          </w:p>
          <w:p w:rsidR="00AC36BF" w:rsidRDefault="00AC36BF" w:rsidP="006539B1">
            <w:pPr>
              <w:jc w:val="center"/>
              <w:rPr>
                <w:sz w:val="20"/>
                <w:szCs w:val="20"/>
              </w:rPr>
            </w:pPr>
          </w:p>
          <w:p w:rsidR="00AC36BF" w:rsidRDefault="00AC36BF" w:rsidP="006539B1">
            <w:pPr>
              <w:ind w:left="710"/>
            </w:pPr>
            <w:r w:rsidRPr="004A437F">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r>
      <w:tr w:rsidR="00AC36BF" w:rsidTr="001401BD">
        <w:tc>
          <w:tcPr>
            <w:tcW w:w="2193" w:type="dxa"/>
            <w:shd w:val="clear" w:color="auto" w:fill="auto"/>
          </w:tcPr>
          <w:p w:rsidR="00AC36BF" w:rsidRDefault="00AC36BF" w:rsidP="00273F99">
            <w:pPr>
              <w:rPr>
                <w:sz w:val="22"/>
                <w:szCs w:val="22"/>
              </w:rPr>
            </w:pPr>
          </w:p>
          <w:p w:rsidR="00AC36BF" w:rsidRDefault="00AC36BF" w:rsidP="00273F99">
            <w:pPr>
              <w:rPr>
                <w:sz w:val="22"/>
                <w:szCs w:val="22"/>
              </w:rPr>
            </w:pPr>
          </w:p>
          <w:p w:rsidR="00AC36BF" w:rsidRDefault="00AC36BF" w:rsidP="00273F99">
            <w:r w:rsidRPr="006A7D0B">
              <w:rPr>
                <w:sz w:val="22"/>
                <w:szCs w:val="22"/>
              </w:rPr>
              <w:t>5. Precizēta finansiālā ietekme:</w:t>
            </w:r>
          </w:p>
        </w:tc>
        <w:tc>
          <w:tcPr>
            <w:tcW w:w="1628" w:type="dxa"/>
            <w:shd w:val="clear" w:color="auto" w:fill="auto"/>
            <w:vAlign w:val="center"/>
          </w:tcPr>
          <w:p w:rsidR="00AC36BF" w:rsidRDefault="00AC36BF" w:rsidP="006A7D0B">
            <w:pPr>
              <w:jc w:val="center"/>
              <w:rPr>
                <w:b/>
                <w:sz w:val="20"/>
                <w:szCs w:val="20"/>
              </w:rPr>
            </w:pPr>
          </w:p>
          <w:p w:rsidR="00AC36BF" w:rsidRPr="00FD34AB" w:rsidRDefault="00AC36BF" w:rsidP="006A7D0B">
            <w:pPr>
              <w:jc w:val="center"/>
              <w:rPr>
                <w:sz w:val="20"/>
                <w:szCs w:val="20"/>
              </w:rPr>
            </w:pPr>
            <w:r w:rsidRPr="00FD34AB">
              <w:rPr>
                <w:b/>
                <w:sz w:val="20"/>
                <w:szCs w:val="20"/>
              </w:rPr>
              <w:t>x</w:t>
            </w:r>
          </w:p>
        </w:tc>
        <w:tc>
          <w:tcPr>
            <w:tcW w:w="1746"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r>
      <w:tr w:rsidR="00AC36BF" w:rsidTr="001401BD">
        <w:tc>
          <w:tcPr>
            <w:tcW w:w="9287" w:type="dxa"/>
            <w:gridSpan w:val="6"/>
            <w:shd w:val="clear" w:color="auto" w:fill="auto"/>
          </w:tcPr>
          <w:p w:rsidR="00AC36BF" w:rsidRDefault="00AC36BF" w:rsidP="003F27FC">
            <w:r w:rsidRPr="006A7D0B">
              <w:rPr>
                <w:sz w:val="22"/>
                <w:szCs w:val="22"/>
              </w:rPr>
              <w:lastRenderedPageBreak/>
              <w:t>6. Detalizēts ieņēmumu un izdevumu aprēķins (ja nepieciešams, detalizētu ieņēmumu un izdevumu aprēķinu var pievienot anotācijas pielikumā):</w:t>
            </w:r>
          </w:p>
        </w:tc>
      </w:tr>
      <w:tr w:rsidR="00AC36BF" w:rsidTr="001401BD">
        <w:tc>
          <w:tcPr>
            <w:tcW w:w="2193" w:type="dxa"/>
            <w:shd w:val="clear" w:color="auto" w:fill="auto"/>
          </w:tcPr>
          <w:p w:rsidR="00AC36BF" w:rsidRPr="006A7D0B" w:rsidRDefault="00AC36BF" w:rsidP="00273F99">
            <w:pPr>
              <w:rPr>
                <w:sz w:val="22"/>
                <w:szCs w:val="22"/>
              </w:rPr>
            </w:pPr>
            <w:r w:rsidRPr="006A7D0B">
              <w:rPr>
                <w:sz w:val="22"/>
                <w:szCs w:val="22"/>
              </w:rPr>
              <w:t>6.1. Detalizēts ieņēmumu aprēķins</w:t>
            </w:r>
          </w:p>
        </w:tc>
        <w:tc>
          <w:tcPr>
            <w:tcW w:w="7094" w:type="dxa"/>
            <w:gridSpan w:val="5"/>
            <w:vMerge w:val="restart"/>
            <w:shd w:val="clear" w:color="auto" w:fill="auto"/>
            <w:vAlign w:val="center"/>
          </w:tcPr>
          <w:p w:rsidR="007F777B" w:rsidRPr="00685083" w:rsidRDefault="007F777B" w:rsidP="007F777B">
            <w:pPr>
              <w:jc w:val="both"/>
            </w:pPr>
            <w:r w:rsidRPr="00685083">
              <w:t>Aktīvās darba tirgus po</w:t>
            </w:r>
            <w:r w:rsidR="00311D5C" w:rsidRPr="00685083">
              <w:t>litikas pasākumu īstenošana 2016</w:t>
            </w:r>
            <w:r w:rsidRPr="00685083">
              <w:t>.gadā tiks nodrošināta atbilstoši</w:t>
            </w:r>
            <w:r w:rsidR="00311D5C" w:rsidRPr="00685083">
              <w:t xml:space="preserve"> likumā „Par valsts budžetu 2016</w:t>
            </w:r>
            <w:r w:rsidRPr="00685083">
              <w:t xml:space="preserve">.gadam” noteiktajam, piesaistot valsts budžeta apakšprogrammas 63.07.00. „Eiropas Sociālā fonda (ESF) īstenotie projekti labklājības nozarē (2014 – 2020)” un apakšprogrammas 04.02.00 „Nodarbinātības speciālais budžets” finanšu līdzekļus. </w:t>
            </w:r>
            <w:r w:rsidR="00DF1699" w:rsidRPr="00685083">
              <w:rPr>
                <w:szCs w:val="20"/>
                <w:lang w:eastAsia="en-US"/>
              </w:rPr>
              <w:t xml:space="preserve">Atbilstoši likumam </w:t>
            </w:r>
            <w:r w:rsidR="00DF1699" w:rsidRPr="00685083">
              <w:t>„</w:t>
            </w:r>
            <w:r w:rsidR="00DF1699" w:rsidRPr="00685083">
              <w:rPr>
                <w:szCs w:val="20"/>
                <w:lang w:eastAsia="en-US"/>
              </w:rPr>
              <w:t>Par vidēja termiņa budžeta ietvaru 2016., 2017. un 2018.gadam” 2017.gadā projektam „</w:t>
            </w:r>
            <w:r w:rsidR="00586B97" w:rsidRPr="00685083">
              <w:rPr>
                <w:szCs w:val="20"/>
                <w:lang w:eastAsia="en-US"/>
              </w:rPr>
              <w:t>Jauniešu garantija</w:t>
            </w:r>
            <w:r w:rsidR="00DF1699" w:rsidRPr="00685083">
              <w:rPr>
                <w:szCs w:val="20"/>
                <w:lang w:eastAsia="en-US"/>
              </w:rPr>
              <w:t xml:space="preserve">” ir plānots finansējums 6 614 101 </w:t>
            </w:r>
            <w:proofErr w:type="spellStart"/>
            <w:r w:rsidR="00DF1699" w:rsidRPr="00685083">
              <w:rPr>
                <w:i/>
                <w:szCs w:val="20"/>
                <w:lang w:eastAsia="en-US"/>
              </w:rPr>
              <w:t>euro</w:t>
            </w:r>
            <w:proofErr w:type="spellEnd"/>
            <w:r w:rsidR="00DF1699" w:rsidRPr="00685083">
              <w:rPr>
                <w:i/>
                <w:szCs w:val="20"/>
                <w:lang w:eastAsia="en-US"/>
              </w:rPr>
              <w:t xml:space="preserve"> </w:t>
            </w:r>
            <w:r w:rsidR="00DF1699" w:rsidRPr="00685083">
              <w:rPr>
                <w:szCs w:val="20"/>
                <w:lang w:eastAsia="en-US"/>
              </w:rPr>
              <w:t>apmērā.</w:t>
            </w:r>
            <w:r w:rsidRPr="00685083">
              <w:t xml:space="preserve"> Pārējiem aktīvās nodarbinātības projektiem finansējum</w:t>
            </w:r>
            <w:r w:rsidR="008B5F72" w:rsidRPr="00685083">
              <w:t>s</w:t>
            </w:r>
            <w:r w:rsidRPr="00685083">
              <w:t xml:space="preserve"> tiks iest</w:t>
            </w:r>
            <w:r w:rsidR="008B5F72" w:rsidRPr="00685083">
              <w:t>rādāts</w:t>
            </w:r>
            <w:r w:rsidRPr="00685083">
              <w:t xml:space="preserve"> atbilstoši SAM noteikumos apstiprin</w:t>
            </w:r>
            <w:r w:rsidR="00466487" w:rsidRPr="00685083">
              <w:t>ātajam, saskaņā ar likumprojektā</w:t>
            </w:r>
            <w:r w:rsidRPr="00685083">
              <w:t xml:space="preserve"> „Par vidējā termiņa budžeta ietvaru 2016., 2017. un 2018.gadam” noteikto.</w:t>
            </w:r>
          </w:p>
          <w:p w:rsidR="007F777B" w:rsidRPr="00685083" w:rsidRDefault="007F777B" w:rsidP="007F777B">
            <w:pPr>
              <w:jc w:val="both"/>
            </w:pPr>
            <w:r w:rsidRPr="00685083">
              <w:t>Provizoriski tiek plānots, ka finan</w:t>
            </w:r>
            <w:r w:rsidR="00AA0DEF" w:rsidRPr="00685083">
              <w:t>sējuma apmērs pa pasākumiem 2017</w:t>
            </w:r>
            <w:r w:rsidRPr="00685083">
              <w:t>. - 20</w:t>
            </w:r>
            <w:r w:rsidR="00AA0DEF" w:rsidRPr="00685083">
              <w:t>18.gadiem būs tāds pats, kā 2016</w:t>
            </w:r>
            <w:r w:rsidRPr="00685083">
              <w:t>.gadā.</w:t>
            </w:r>
          </w:p>
          <w:p w:rsidR="00311D5C" w:rsidRPr="00685083" w:rsidRDefault="007F777B" w:rsidP="007F777B">
            <w:pPr>
              <w:jc w:val="both"/>
            </w:pPr>
            <w:r w:rsidRPr="00685083">
              <w:t>Zemāk ir sniegts detalizētāks atsevišķu aktīvās darba tirgus politikas pasākumu izdevumu aprēķins</w:t>
            </w:r>
            <w:r w:rsidR="00311D5C" w:rsidRPr="00685083">
              <w:t xml:space="preserve"> par pasākumiem, kuru īstenošanas/finansēšanas kārībā plānotas izmaiņas atbilstoši Noteikumu projektam</w:t>
            </w:r>
            <w:r w:rsidRPr="00685083">
              <w:t>.</w:t>
            </w:r>
          </w:p>
          <w:p w:rsidR="009A4FFB" w:rsidRPr="004B6CC8" w:rsidRDefault="009A4FFB" w:rsidP="004B6CC8">
            <w:pPr>
              <w:pStyle w:val="ListParagraph"/>
              <w:numPr>
                <w:ilvl w:val="0"/>
                <w:numId w:val="19"/>
              </w:numPr>
              <w:jc w:val="center"/>
              <w:rPr>
                <w:rFonts w:ascii="Times New Roman" w:hAnsi="Times New Roman"/>
                <w:b/>
                <w:i/>
                <w:sz w:val="24"/>
                <w:szCs w:val="24"/>
                <w:u w:val="single"/>
              </w:rPr>
            </w:pPr>
            <w:r w:rsidRPr="009A4FFB">
              <w:rPr>
                <w:rFonts w:ascii="Times New Roman" w:hAnsi="Times New Roman"/>
                <w:b/>
                <w:i/>
                <w:sz w:val="24"/>
                <w:szCs w:val="24"/>
                <w:u w:val="single"/>
              </w:rPr>
              <w:t>Aktīvais nodarbinātības pasākums „Ilgstošo bezdarbnieku aktivizācijas pasākumi”</w:t>
            </w:r>
          </w:p>
          <w:p w:rsidR="00741541" w:rsidRPr="004B6CC8" w:rsidRDefault="00311D5C" w:rsidP="00741541">
            <w:pPr>
              <w:jc w:val="both"/>
            </w:pPr>
            <w:r w:rsidRPr="004B6CC8">
              <w:t xml:space="preserve">Ilgstošo bezdarbnieku aktivizācijas </w:t>
            </w:r>
            <w:r w:rsidR="004B6CC8" w:rsidRPr="004B6CC8">
              <w:t>p</w:t>
            </w:r>
            <w:r w:rsidR="00741541" w:rsidRPr="004B6CC8">
              <w:t>asākum</w:t>
            </w:r>
            <w:r w:rsidR="004B6CC8">
              <w:t xml:space="preserve">us ir plānots īstenot </w:t>
            </w:r>
            <w:r w:rsidR="004B6CC8" w:rsidRPr="00BD392F">
              <w:t>piesaistot Eiropas Sociālā fonda finansējumu (</w:t>
            </w:r>
            <w:r w:rsidR="004B6CC8">
              <w:t>apakš</w:t>
            </w:r>
            <w:r w:rsidR="004B6CC8" w:rsidRPr="00BD392F">
              <w:t xml:space="preserve">programma </w:t>
            </w:r>
            <w:r w:rsidR="004B6CC8" w:rsidRPr="00BA512F">
              <w:t xml:space="preserve">63.07.00. </w:t>
            </w:r>
            <w:r w:rsidR="004B6CC8" w:rsidRPr="004B6CC8">
              <w:t>„</w:t>
            </w:r>
            <w:r w:rsidR="004B6CC8" w:rsidRPr="00BA512F">
              <w:t>Eiropas Sociālā fonda (ESF) īstenotie projekti labklājības nozarē (2014 – 2020)”</w:t>
            </w:r>
            <w:r w:rsidR="004B6CC8" w:rsidRPr="00BD392F">
              <w:t xml:space="preserve">). </w:t>
            </w:r>
            <w:r w:rsidR="004B6CC8">
              <w:t xml:space="preserve"> </w:t>
            </w:r>
            <w:r w:rsidR="004B6CC8" w:rsidRPr="004B6CC8">
              <w:t>2014.-2020.gadā Eiropas Savienības fondu darbības programmas „Izaugsme un nodarbinātība” 9.1.1. specifiskā atbalsta mērķa „Palielināt nelabvēlīgākā situācijā esošu bezdarbnieku iekļaušanos darba tirgū” pasākuma</w:t>
            </w:r>
            <w:r w:rsidR="004B6CC8">
              <w:t xml:space="preserve"> </w:t>
            </w:r>
            <w:r w:rsidR="004B6CC8" w:rsidRPr="004B6CC8">
              <w:t>„Ilgstošo bezdarbnieku aktivizācijas pasākumi</w:t>
            </w:r>
            <w:r w:rsidR="004B6CC8">
              <w:t xml:space="preserve">” </w:t>
            </w:r>
            <w:r w:rsidR="00741541" w:rsidRPr="004B6CC8">
              <w:t xml:space="preserve">kopējais pieejamais attiecināmais finansējums ir 40 043 677 </w:t>
            </w:r>
            <w:proofErr w:type="spellStart"/>
            <w:r w:rsidR="00741541" w:rsidRPr="004B6CC8">
              <w:rPr>
                <w:i/>
              </w:rPr>
              <w:t>euro</w:t>
            </w:r>
            <w:proofErr w:type="spellEnd"/>
            <w:r w:rsidR="00741541" w:rsidRPr="004B6CC8">
              <w:t>, tai skaitā Eiropas Sociālā fonda finansējums – 34 037 125</w:t>
            </w:r>
            <w:r w:rsidR="00741541" w:rsidRPr="004B6CC8">
              <w:rPr>
                <w:i/>
              </w:rPr>
              <w:t xml:space="preserve"> </w:t>
            </w:r>
            <w:proofErr w:type="spellStart"/>
            <w:r w:rsidR="00741541" w:rsidRPr="004B6CC8">
              <w:rPr>
                <w:i/>
              </w:rPr>
              <w:t>euro</w:t>
            </w:r>
            <w:proofErr w:type="spellEnd"/>
            <w:r w:rsidR="00741541" w:rsidRPr="004B6CC8">
              <w:t xml:space="preserve"> un valsts budžeta finansējums – 6 006 552 </w:t>
            </w:r>
            <w:proofErr w:type="spellStart"/>
            <w:r w:rsidR="00741541" w:rsidRPr="004B6CC8">
              <w:rPr>
                <w:i/>
              </w:rPr>
              <w:t>euro</w:t>
            </w:r>
            <w:proofErr w:type="spellEnd"/>
            <w:r w:rsidR="00741541" w:rsidRPr="004B6CC8">
              <w:t>.</w:t>
            </w:r>
          </w:p>
          <w:p w:rsidR="00741541" w:rsidRPr="004B6CC8" w:rsidRDefault="00741541" w:rsidP="00741541">
            <w:pPr>
              <w:jc w:val="both"/>
            </w:pPr>
            <w:r w:rsidRPr="004B6CC8">
              <w:t>Tiek paredzēts, ka pasākuma ietvaros līdz 2023.gada 31.decembri tiks sasniegti šādi uzraudzības rādītāji:  pasākumā kopumā iesaistīti 20 000 bezdarbnieki, tai skaitā līdz 2018. gada 31.decembrim – 10 110 (iznākuma rādītājs), 1 260 pasākuma dalībnieki, kas pēc dalības projektā, ir nodarbināti vai pašnodarbināti, 4 246 pasākuma dalībnieki ir izglītībā/apmācībā, kvalifikācijas ieguvē, nodarbināti vai pašnodarbināti 6 mēnešu laikā pēc dalības projektā (rezultāta rādītājs).</w:t>
            </w:r>
          </w:p>
          <w:p w:rsidR="0051495B" w:rsidRPr="0051495B" w:rsidRDefault="0051495B" w:rsidP="0051495B">
            <w:pPr>
              <w:jc w:val="both"/>
            </w:pPr>
            <w:r w:rsidRPr="0051495B">
              <w:t>Projektu plānots ieviest no 2015. gada III ceturkšņa līdz 2021.gada IV ceturksnim. Pirmajā ieviešanas gadā plānots mazāks finansējums, saistībā ar aktivitāšu uzsākšanu, bet pārējos gados finansējums plānots vienmērīgi.</w:t>
            </w:r>
          </w:p>
          <w:p w:rsidR="0051495B" w:rsidRPr="009F1A7E" w:rsidRDefault="0051495B" w:rsidP="0051495B">
            <w:pPr>
              <w:jc w:val="both"/>
            </w:pPr>
            <w:r w:rsidRPr="0051495B">
              <w:rPr>
                <w:b/>
              </w:rPr>
              <w:t>2015. gadam</w:t>
            </w:r>
            <w:r w:rsidRPr="0051495B">
              <w:t xml:space="preserve"> indikatīvi kopējās izmaksas 32 935 </w:t>
            </w:r>
            <w:proofErr w:type="spellStart"/>
            <w:r w:rsidRPr="0051495B">
              <w:rPr>
                <w:i/>
              </w:rPr>
              <w:t>euro</w:t>
            </w:r>
            <w:proofErr w:type="spellEnd"/>
            <w:r w:rsidRPr="0051495B">
              <w:t xml:space="preserve">, tai skaitā ESF finansējums 27 995 </w:t>
            </w:r>
            <w:proofErr w:type="spellStart"/>
            <w:r w:rsidRPr="0051495B">
              <w:rPr>
                <w:i/>
              </w:rPr>
              <w:t>euro</w:t>
            </w:r>
            <w:proofErr w:type="spellEnd"/>
            <w:r w:rsidRPr="0051495B">
              <w:t xml:space="preserve"> un valsts budžeta līdzfinansējums 4 940 </w:t>
            </w:r>
            <w:proofErr w:type="spellStart"/>
            <w:r w:rsidRPr="0051495B">
              <w:rPr>
                <w:i/>
              </w:rPr>
              <w:t>euro</w:t>
            </w:r>
            <w:proofErr w:type="spellEnd"/>
            <w:r w:rsidR="009F1A7E">
              <w:t>, faktiski izlietots Faktiski izlietoti 11 498,</w:t>
            </w:r>
            <w:r w:rsidR="009F1A7E" w:rsidRPr="009F1A7E">
              <w:t xml:space="preserve">45 </w:t>
            </w:r>
            <w:proofErr w:type="spellStart"/>
            <w:r w:rsidR="009F1A7E" w:rsidRPr="009F1A7E">
              <w:rPr>
                <w:i/>
              </w:rPr>
              <w:t>euro</w:t>
            </w:r>
            <w:proofErr w:type="spellEnd"/>
            <w:r w:rsidR="009F1A7E">
              <w:t>.</w:t>
            </w:r>
          </w:p>
          <w:p w:rsidR="0051495B" w:rsidRDefault="0051495B" w:rsidP="0051495B">
            <w:pPr>
              <w:jc w:val="both"/>
            </w:pPr>
            <w:r w:rsidRPr="0051495B">
              <w:rPr>
                <w:b/>
              </w:rPr>
              <w:t>No 2016. gada līdz 2020.gadam</w:t>
            </w:r>
            <w:r w:rsidRPr="0051495B">
              <w:t xml:space="preserve"> ik gadu kopējās izmaksas būs indikatīvi 6 668 459 </w:t>
            </w:r>
            <w:proofErr w:type="spellStart"/>
            <w:r w:rsidRPr="0051495B">
              <w:rPr>
                <w:i/>
              </w:rPr>
              <w:t>euro</w:t>
            </w:r>
            <w:proofErr w:type="spellEnd"/>
            <w:r w:rsidRPr="0051495B">
              <w:t xml:space="preserve">, tai skaitā ESF finansējums 5 668 190 </w:t>
            </w:r>
            <w:proofErr w:type="spellStart"/>
            <w:r w:rsidRPr="0051495B">
              <w:rPr>
                <w:i/>
              </w:rPr>
              <w:t>euro</w:t>
            </w:r>
            <w:proofErr w:type="spellEnd"/>
            <w:r w:rsidRPr="0051495B">
              <w:t xml:space="preserve"> un valsts budžeta līdzfinansējums 1 000 269 </w:t>
            </w:r>
            <w:proofErr w:type="spellStart"/>
            <w:r w:rsidRPr="0051495B">
              <w:rPr>
                <w:i/>
              </w:rPr>
              <w:t>euro</w:t>
            </w:r>
            <w:proofErr w:type="spellEnd"/>
            <w:r w:rsidRPr="0051495B">
              <w:t xml:space="preserve">. </w:t>
            </w:r>
          </w:p>
          <w:p w:rsidR="001E78E3" w:rsidRDefault="001E78E3" w:rsidP="001E78E3">
            <w:pPr>
              <w:jc w:val="both"/>
            </w:pPr>
            <w:r>
              <w:lastRenderedPageBreak/>
              <w:t xml:space="preserve">2016.gadā normatīvajos aktos noteiktajā kārtībā Finanšu ministrijai iesniegts līdzekļu pieprasījums 2016.gada finansējumam – 5 726 532 </w:t>
            </w:r>
            <w:proofErr w:type="spellStart"/>
            <w:r w:rsidRPr="001E78E3">
              <w:rPr>
                <w:i/>
              </w:rPr>
              <w:t>euro</w:t>
            </w:r>
            <w:proofErr w:type="spellEnd"/>
            <w:r>
              <w:t>. Turpmāko gadu sadalījums, kas tiks iestrādāts ilgtermiņa saistībās:</w:t>
            </w:r>
          </w:p>
          <w:p w:rsidR="001E78E3" w:rsidRDefault="001E78E3" w:rsidP="001E78E3">
            <w:pPr>
              <w:jc w:val="both"/>
            </w:pPr>
            <w:r>
              <w:t xml:space="preserve">2017.gads – 10 011 270 </w:t>
            </w:r>
            <w:proofErr w:type="spellStart"/>
            <w:r w:rsidRPr="001E78E3">
              <w:rPr>
                <w:i/>
              </w:rPr>
              <w:t>euro</w:t>
            </w:r>
            <w:proofErr w:type="spellEnd"/>
            <w:r>
              <w:t>;</w:t>
            </w:r>
          </w:p>
          <w:p w:rsidR="001E78E3" w:rsidRDefault="001E78E3" w:rsidP="001E78E3">
            <w:pPr>
              <w:jc w:val="both"/>
            </w:pPr>
            <w:r>
              <w:t xml:space="preserve">2018.gads – 10 007 906 </w:t>
            </w:r>
            <w:proofErr w:type="spellStart"/>
            <w:r w:rsidRPr="001E78E3">
              <w:rPr>
                <w:i/>
              </w:rPr>
              <w:t>euro</w:t>
            </w:r>
            <w:proofErr w:type="spellEnd"/>
            <w:r>
              <w:t>;</w:t>
            </w:r>
          </w:p>
          <w:p w:rsidR="001E78E3" w:rsidRDefault="001E78E3" w:rsidP="001E78E3">
            <w:pPr>
              <w:jc w:val="both"/>
            </w:pPr>
            <w:r>
              <w:t xml:space="preserve">2019.gads – 5 343 508 </w:t>
            </w:r>
            <w:proofErr w:type="spellStart"/>
            <w:r w:rsidRPr="001E78E3">
              <w:rPr>
                <w:i/>
              </w:rPr>
              <w:t>euro</w:t>
            </w:r>
            <w:proofErr w:type="spellEnd"/>
            <w:r w:rsidR="00143F26">
              <w:t>.</w:t>
            </w:r>
          </w:p>
          <w:p w:rsidR="001E78E3" w:rsidRPr="0051495B" w:rsidRDefault="001E78E3" w:rsidP="0051495B">
            <w:pPr>
              <w:jc w:val="both"/>
            </w:pPr>
            <w:r>
              <w:t xml:space="preserve">Tālākā laika posmā līdz projekta īstenošanai – 8 942 919 </w:t>
            </w:r>
            <w:proofErr w:type="spellStart"/>
            <w:r w:rsidRPr="00143F26">
              <w:rPr>
                <w:i/>
              </w:rPr>
              <w:t>euro</w:t>
            </w:r>
            <w:proofErr w:type="spellEnd"/>
            <w:r>
              <w:t>.</w:t>
            </w:r>
          </w:p>
          <w:p w:rsidR="0051495B" w:rsidRPr="0051495B" w:rsidRDefault="0051495B" w:rsidP="0051495B">
            <w:pPr>
              <w:jc w:val="both"/>
              <w:rPr>
                <w:b/>
              </w:rPr>
            </w:pPr>
            <w:r w:rsidRPr="0051495B">
              <w:rPr>
                <w:b/>
              </w:rPr>
              <w:t xml:space="preserve">2021.gadam </w:t>
            </w:r>
            <w:r w:rsidRPr="0051495B">
              <w:t xml:space="preserve">kopējās izmaksas būs indikatīvi 6  668 447 </w:t>
            </w:r>
            <w:proofErr w:type="spellStart"/>
            <w:r w:rsidRPr="0051495B">
              <w:rPr>
                <w:i/>
              </w:rPr>
              <w:t>euro</w:t>
            </w:r>
            <w:proofErr w:type="spellEnd"/>
            <w:r w:rsidRPr="0051495B">
              <w:t xml:space="preserve">, tai skaitā ESF finansējums 5 668 180 </w:t>
            </w:r>
            <w:proofErr w:type="spellStart"/>
            <w:r w:rsidRPr="0051495B">
              <w:rPr>
                <w:i/>
              </w:rPr>
              <w:t>euro</w:t>
            </w:r>
            <w:proofErr w:type="spellEnd"/>
            <w:r w:rsidRPr="0051495B">
              <w:t xml:space="preserve"> un valsts budžeta līdzfinansējums 1 000 267 </w:t>
            </w:r>
            <w:proofErr w:type="spellStart"/>
            <w:r w:rsidRPr="0051495B">
              <w:rPr>
                <w:i/>
              </w:rPr>
              <w:t>euro</w:t>
            </w:r>
            <w:proofErr w:type="spellEnd"/>
            <w:r w:rsidRPr="0051495B">
              <w:t>.</w:t>
            </w:r>
          </w:p>
          <w:p w:rsidR="004B6CC8" w:rsidRDefault="004B6CC8" w:rsidP="00741541">
            <w:pPr>
              <w:jc w:val="both"/>
              <w:rPr>
                <w:color w:val="FF0000"/>
              </w:rPr>
            </w:pPr>
          </w:p>
          <w:p w:rsidR="004B6CC8" w:rsidRPr="00384BA1" w:rsidRDefault="009163A9" w:rsidP="00384BA1">
            <w:pPr>
              <w:pStyle w:val="ListParagraph"/>
              <w:numPr>
                <w:ilvl w:val="0"/>
                <w:numId w:val="19"/>
              </w:numPr>
              <w:jc w:val="center"/>
              <w:rPr>
                <w:rFonts w:ascii="Times New Roman" w:hAnsi="Times New Roman"/>
                <w:b/>
                <w:i/>
                <w:sz w:val="24"/>
                <w:szCs w:val="24"/>
                <w:u w:val="single"/>
              </w:rPr>
            </w:pPr>
            <w:r w:rsidRPr="009163A9">
              <w:rPr>
                <w:rFonts w:ascii="Times New Roman" w:hAnsi="Times New Roman"/>
                <w:b/>
                <w:i/>
                <w:sz w:val="24"/>
                <w:szCs w:val="24"/>
                <w:u w:val="single"/>
              </w:rPr>
              <w:t>Aktīvais nodarbinātības pasākums „Pirmā darba pieredze jaunietim”</w:t>
            </w:r>
          </w:p>
          <w:p w:rsidR="00E278C0" w:rsidRPr="00E278C0" w:rsidRDefault="00E278C0" w:rsidP="00E278C0">
            <w:pPr>
              <w:jc w:val="both"/>
            </w:pPr>
            <w:r w:rsidRPr="00E278C0">
              <w:rPr>
                <w:bCs/>
              </w:rPr>
              <w:t xml:space="preserve">Aktīvais nodarbinātības pasākums </w:t>
            </w:r>
            <w:r w:rsidRPr="00E278C0">
              <w:t xml:space="preserve">„Pirmā darba pieredze jaunietim” tiek īstenots </w:t>
            </w:r>
            <w:r w:rsidRPr="00E278C0">
              <w:rPr>
                <w:bCs/>
              </w:rPr>
              <w:t xml:space="preserve">7.2.1. specifiskā atbalsta mērķa </w:t>
            </w:r>
            <w:r w:rsidR="00683EEA" w:rsidRPr="00683EEA">
              <w:rPr>
                <w:bCs/>
              </w:rPr>
              <w:t>„</w:t>
            </w:r>
            <w:r w:rsidRPr="00E278C0">
              <w:t>Palielināt nodarbinātībā, izglītībā vai apmācībās neiesaistītu jauniešu nodarbinātību un izglītības ieguvi Jauniešu garantijas ietvaros</w:t>
            </w:r>
            <w:r w:rsidRPr="00E278C0">
              <w:rPr>
                <w:bCs/>
              </w:rPr>
              <w:t xml:space="preserve">” pasākumu </w:t>
            </w:r>
            <w:r w:rsidR="00683EEA" w:rsidRPr="00683EEA">
              <w:rPr>
                <w:bCs/>
              </w:rPr>
              <w:t>„</w:t>
            </w:r>
            <w:r w:rsidRPr="00E278C0">
              <w:rPr>
                <w:bCs/>
              </w:rPr>
              <w:t>Aktīvās darba tirgus politikas pasākumu īstenošana jauniešu bezdarbnieku nodarbinātības veicināšanai” ietvaros, kuram</w:t>
            </w:r>
            <w:r w:rsidRPr="00E278C0">
              <w:t xml:space="preserve"> kopējais attiecināmais finansējums ir EUR 33 977 162, tai skaitā ES budžeta speciālais piešķīrums Jauniešu nodarbinātības iniciatīvu finansēšanai – EUR 15 515 561, ESF finansējums – EUR 15 692 361, valsts budžeta līdzfinansējums – EUR 1 625 667 un privātais līdzfinansējums - EUR 1 143 573.</w:t>
            </w:r>
          </w:p>
          <w:p w:rsidR="00E278C0" w:rsidRPr="00E278C0" w:rsidRDefault="00E278C0" w:rsidP="00E278C0">
            <w:pPr>
              <w:jc w:val="both"/>
            </w:pPr>
            <w:r w:rsidRPr="00E278C0">
              <w:t xml:space="preserve">Finanšu līdzekļi ieviešanai plānoti LM budžeta apakšprogrammā 63.07.00 </w:t>
            </w:r>
            <w:r w:rsidR="00683EEA" w:rsidRPr="00683EEA">
              <w:t>„</w:t>
            </w:r>
            <w:r w:rsidRPr="00E278C0">
              <w:t>Eiropas Sociālā fonda (ESF) īstenotie projekti labklājības nozarē (2014-2020)”</w:t>
            </w:r>
          </w:p>
          <w:p w:rsidR="00E278C0" w:rsidRDefault="00E278C0" w:rsidP="00741541">
            <w:pPr>
              <w:jc w:val="both"/>
              <w:rPr>
                <w:color w:val="FF0000"/>
              </w:rPr>
            </w:pPr>
          </w:p>
          <w:p w:rsidR="00B51B76" w:rsidRPr="00384BA1" w:rsidRDefault="00B51B76" w:rsidP="00741541">
            <w:pPr>
              <w:jc w:val="both"/>
            </w:pPr>
            <w:r w:rsidRPr="00384BA1">
              <w:t xml:space="preserve">Laika periodā no 2014.gada līdz 2018.gada beigām aktīvās nodarbinātības pasākumā „Pirmā darba pieredze jaunietim” plānots iesaistīti 1522 jauniešus bezdarbniekus. Līdz 2015.gada septembra beigām pasākumā iesaistīti 124 jaunieši bezdarbnieki. Vidējās izmaksas par viena dalībnieka iesaisti – 1349,35 </w:t>
            </w:r>
            <w:proofErr w:type="spellStart"/>
            <w:r w:rsidRPr="00384BA1">
              <w:rPr>
                <w:i/>
              </w:rPr>
              <w:t>euro</w:t>
            </w:r>
            <w:proofErr w:type="spellEnd"/>
            <w:r w:rsidRPr="00384BA1">
              <w:rPr>
                <w:i/>
              </w:rPr>
              <w:t xml:space="preserve">. </w:t>
            </w:r>
            <w:r w:rsidR="00135DF7" w:rsidRPr="00384BA1">
              <w:t xml:space="preserve">Plānots, ka dotācijai jauniešu bezdarbnieku darba algai izdevumi pieaugs par aptuveni 600 </w:t>
            </w:r>
            <w:proofErr w:type="spellStart"/>
            <w:r w:rsidR="00135DF7" w:rsidRPr="00384BA1">
              <w:rPr>
                <w:i/>
              </w:rPr>
              <w:t>euro</w:t>
            </w:r>
            <w:proofErr w:type="spellEnd"/>
            <w:r w:rsidR="00135DF7" w:rsidRPr="00384BA1">
              <w:rPr>
                <w:i/>
              </w:rPr>
              <w:t xml:space="preserve"> </w:t>
            </w:r>
            <w:r w:rsidR="00135DF7" w:rsidRPr="00384BA1">
              <w:t>par vienu pasākumā iesaistīto jaunieti bezdarbnieku:</w:t>
            </w:r>
          </w:p>
          <w:p w:rsidR="00AC36BF" w:rsidRPr="003D0A12" w:rsidRDefault="00135DF7" w:rsidP="00E934A7">
            <w:pPr>
              <w:jc w:val="both"/>
            </w:pPr>
            <w:r w:rsidRPr="00384BA1">
              <w:t xml:space="preserve">(200*6+160*6) - (160*6 + 100*6) = 600 </w:t>
            </w:r>
            <w:proofErr w:type="spellStart"/>
            <w:r w:rsidRPr="00384BA1">
              <w:rPr>
                <w:i/>
              </w:rPr>
              <w:t>euro</w:t>
            </w:r>
            <w:proofErr w:type="spellEnd"/>
            <w:r w:rsidRPr="00384BA1">
              <w:rPr>
                <w:i/>
              </w:rPr>
              <w:t xml:space="preserve">, </w:t>
            </w:r>
            <w:r w:rsidRPr="00384BA1">
              <w:t xml:space="preserve">līdz ar to vidējās viena dalībnieka iesaistes izmaksas sasniegs 1934,35 </w:t>
            </w:r>
            <w:proofErr w:type="spellStart"/>
            <w:r w:rsidRPr="00384BA1">
              <w:rPr>
                <w:i/>
              </w:rPr>
              <w:t>euro</w:t>
            </w:r>
            <w:proofErr w:type="spellEnd"/>
            <w:r w:rsidRPr="00384BA1">
              <w:rPr>
                <w:i/>
              </w:rPr>
              <w:t xml:space="preserve"> </w:t>
            </w:r>
            <w:r w:rsidRPr="00384BA1">
              <w:t>un pasākumam kopējais nepieciešamais finansējums, lai iesaistīt</w:t>
            </w:r>
            <w:r w:rsidR="00E934A7">
              <w:t>u</w:t>
            </w:r>
            <w:r w:rsidRPr="00384BA1">
              <w:t xml:space="preserve"> plānotos atlikušos </w:t>
            </w:r>
            <w:r w:rsidR="00384BA1" w:rsidRPr="00384BA1">
              <w:t xml:space="preserve">1398 jauniešu bezdarbniekus, ir 2 704 221,3 </w:t>
            </w:r>
            <w:proofErr w:type="spellStart"/>
            <w:r w:rsidR="00384BA1" w:rsidRPr="00384BA1">
              <w:rPr>
                <w:i/>
              </w:rPr>
              <w:t>euro</w:t>
            </w:r>
            <w:proofErr w:type="spellEnd"/>
            <w:r w:rsidR="00384BA1" w:rsidRPr="00384BA1">
              <w:t>.</w:t>
            </w:r>
            <w:r w:rsidR="00384BA1">
              <w:t xml:space="preserve"> Papildus finansējums konkrētās aktivitātes īstenošanai </w:t>
            </w:r>
            <w:r w:rsidR="00C91666">
              <w:t xml:space="preserve">no </w:t>
            </w:r>
            <w:r w:rsidR="00C91666" w:rsidRPr="00D10E76">
              <w:t xml:space="preserve">budžeta apakšprogrammas </w:t>
            </w:r>
            <w:r w:rsidR="00C91666" w:rsidRPr="00C91666">
              <w:t>63.07.</w:t>
            </w:r>
            <w:r w:rsidR="00C91666" w:rsidRPr="00D10E76">
              <w:t xml:space="preserve">00. „Eiropas Sociālā fonda (ESF) īstenotie projekti labklājības nozarē (2014 – 2020)” un apakšprogrammas </w:t>
            </w:r>
            <w:r w:rsidR="00C91666" w:rsidRPr="00C91666">
              <w:t>04.02</w:t>
            </w:r>
            <w:r w:rsidR="00C91666" w:rsidRPr="00D10E76">
              <w:t>.00 „Nodarbinātības speciālais budžets” finanšu līdzekļus</w:t>
            </w:r>
            <w:r w:rsidR="00C91666">
              <w:t xml:space="preserve"> </w:t>
            </w:r>
            <w:r w:rsidR="00384BA1">
              <w:t>netiks piešķirts</w:t>
            </w:r>
            <w:r w:rsidR="00C91666">
              <w:t>,</w:t>
            </w:r>
            <w:r w:rsidR="00384BA1">
              <w:t xml:space="preserve"> un tas tiks nodrošināts projekta ietvaros, pārdalot finanšu atlikumus no citām atbalstāmajām darbībām.  </w:t>
            </w:r>
          </w:p>
        </w:tc>
      </w:tr>
      <w:tr w:rsidR="00AC36BF" w:rsidTr="001401BD">
        <w:tc>
          <w:tcPr>
            <w:tcW w:w="2193" w:type="dxa"/>
            <w:shd w:val="clear" w:color="auto" w:fill="auto"/>
          </w:tcPr>
          <w:p w:rsidR="00AC36BF" w:rsidRPr="006A7D0B" w:rsidRDefault="00AC36BF" w:rsidP="00DB4594">
            <w:pPr>
              <w:rPr>
                <w:sz w:val="22"/>
                <w:szCs w:val="22"/>
              </w:rPr>
            </w:pPr>
            <w:r w:rsidRPr="006A7D0B">
              <w:rPr>
                <w:sz w:val="22"/>
                <w:szCs w:val="22"/>
              </w:rPr>
              <w:t>6.2. Detalizēts izdevumu aprēķins</w:t>
            </w:r>
          </w:p>
        </w:tc>
        <w:tc>
          <w:tcPr>
            <w:tcW w:w="7094" w:type="dxa"/>
            <w:gridSpan w:val="5"/>
            <w:vMerge/>
            <w:shd w:val="clear" w:color="auto" w:fill="auto"/>
          </w:tcPr>
          <w:p w:rsidR="00AC36BF" w:rsidRDefault="00AC36BF" w:rsidP="006A7D0B">
            <w:pPr>
              <w:jc w:val="both"/>
            </w:pPr>
          </w:p>
        </w:tc>
      </w:tr>
      <w:tr w:rsidR="00AC36BF" w:rsidTr="001401BD">
        <w:tc>
          <w:tcPr>
            <w:tcW w:w="2193" w:type="dxa"/>
            <w:shd w:val="clear" w:color="auto" w:fill="auto"/>
          </w:tcPr>
          <w:p w:rsidR="00AC36BF" w:rsidRPr="005E61FA" w:rsidRDefault="00AC36BF" w:rsidP="006A7D0B">
            <w:pPr>
              <w:jc w:val="both"/>
            </w:pPr>
            <w:r w:rsidRPr="005E61FA">
              <w:lastRenderedPageBreak/>
              <w:t>7. Cita informācija</w:t>
            </w:r>
          </w:p>
        </w:tc>
        <w:tc>
          <w:tcPr>
            <w:tcW w:w="7094" w:type="dxa"/>
            <w:gridSpan w:val="5"/>
            <w:shd w:val="clear" w:color="auto" w:fill="auto"/>
          </w:tcPr>
          <w:p w:rsidR="00AC36BF" w:rsidRPr="005E61FA" w:rsidRDefault="00AC36BF" w:rsidP="002640D9">
            <w:pPr>
              <w:pStyle w:val="naiskr"/>
              <w:spacing w:before="0" w:after="0"/>
              <w:jc w:val="both"/>
            </w:pPr>
            <w:r w:rsidRPr="005E61FA">
              <w:t>Nav.</w:t>
            </w:r>
          </w:p>
          <w:p w:rsidR="00AC36BF" w:rsidRPr="005E61FA" w:rsidRDefault="00AC36BF" w:rsidP="002640D9">
            <w:pPr>
              <w:pStyle w:val="naiskr"/>
              <w:spacing w:before="0" w:after="0"/>
              <w:jc w:val="both"/>
              <w:rPr>
                <w:i/>
                <w:color w:val="FF0000"/>
              </w:rPr>
            </w:pPr>
          </w:p>
        </w:tc>
      </w:tr>
    </w:tbl>
    <w:p w:rsidR="00FF50CB" w:rsidRDefault="00FF50CB" w:rsidP="00A96D6E"/>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026"/>
        <w:gridCol w:w="5645"/>
      </w:tblGrid>
      <w:tr w:rsidR="007F60EC" w:rsidRPr="002F6619" w:rsidTr="007F60EC">
        <w:trPr>
          <w:trHeight w:val="461"/>
          <w:jc w:val="center"/>
        </w:trPr>
        <w:tc>
          <w:tcPr>
            <w:tcW w:w="9353" w:type="dxa"/>
            <w:gridSpan w:val="3"/>
            <w:vAlign w:val="center"/>
          </w:tcPr>
          <w:p w:rsidR="007F60EC" w:rsidRPr="002F6619" w:rsidRDefault="007F60EC" w:rsidP="00AF062A">
            <w:pPr>
              <w:jc w:val="center"/>
              <w:rPr>
                <w:rFonts w:eastAsia="Calibri"/>
                <w:b/>
                <w:lang w:eastAsia="en-US"/>
              </w:rPr>
            </w:pPr>
            <w:r w:rsidRPr="002F6619">
              <w:rPr>
                <w:rFonts w:eastAsia="Calibri"/>
                <w:lang w:eastAsia="en-US"/>
              </w:rPr>
              <w:lastRenderedPageBreak/>
              <w:br w:type="page"/>
            </w:r>
            <w:r w:rsidRPr="002F6619">
              <w:rPr>
                <w:rFonts w:eastAsia="Calibri"/>
                <w:b/>
                <w:lang w:eastAsia="en-US"/>
              </w:rPr>
              <w:t>IV. Tiesību akta projekta ietekme uz spēkā esošo tiesību normu sistēmu</w:t>
            </w:r>
          </w:p>
        </w:tc>
      </w:tr>
      <w:tr w:rsidR="007F60EC" w:rsidRPr="002F6619" w:rsidTr="007F60EC">
        <w:trPr>
          <w:jc w:val="center"/>
        </w:trPr>
        <w:tc>
          <w:tcPr>
            <w:tcW w:w="682" w:type="dxa"/>
          </w:tcPr>
          <w:p w:rsidR="007F60EC" w:rsidRPr="002F6619" w:rsidRDefault="007F60EC" w:rsidP="00F516AA">
            <w:pPr>
              <w:jc w:val="center"/>
              <w:rPr>
                <w:rFonts w:eastAsia="Calibri"/>
                <w:iCs/>
                <w:lang w:eastAsia="en-US"/>
              </w:rPr>
            </w:pPr>
            <w:r w:rsidRPr="002F6619">
              <w:rPr>
                <w:rFonts w:eastAsia="Calibri"/>
                <w:iCs/>
                <w:lang w:eastAsia="en-US"/>
              </w:rPr>
              <w:t>1.</w:t>
            </w:r>
          </w:p>
        </w:tc>
        <w:tc>
          <w:tcPr>
            <w:tcW w:w="3026" w:type="dxa"/>
          </w:tcPr>
          <w:p w:rsidR="007F60EC" w:rsidRPr="002F6619" w:rsidRDefault="007F60EC" w:rsidP="00AF062A">
            <w:pPr>
              <w:rPr>
                <w:rFonts w:eastAsia="Calibri"/>
                <w:iCs/>
                <w:lang w:eastAsia="en-US"/>
              </w:rPr>
            </w:pPr>
            <w:r w:rsidRPr="002F6619">
              <w:rPr>
                <w:rFonts w:eastAsia="Calibri"/>
                <w:lang w:eastAsia="en-US"/>
              </w:rPr>
              <w:t>Nepieciešamie saistītie tiesību aktu projekti</w:t>
            </w:r>
          </w:p>
        </w:tc>
        <w:tc>
          <w:tcPr>
            <w:tcW w:w="5645" w:type="dxa"/>
          </w:tcPr>
          <w:p w:rsidR="007F60EC" w:rsidRDefault="007F60EC" w:rsidP="007F60EC">
            <w:pPr>
              <w:ind w:left="11"/>
              <w:jc w:val="both"/>
              <w:rPr>
                <w:rFonts w:eastAsia="Calibri"/>
                <w:iCs/>
                <w:lang w:eastAsia="en-US"/>
              </w:rPr>
            </w:pPr>
            <w:r>
              <w:rPr>
                <w:rFonts w:eastAsia="Calibri"/>
                <w:iCs/>
                <w:lang w:eastAsia="en-US"/>
              </w:rPr>
              <w:t>Atbilstoši Noteikumu projektā paredzētajām izmaiņām Ilgstošo bezdarbnieku aktivizācijas pasākumu un Pasākumu noteiktām personu grupām īstenošanas nosacījumos, tiks rosināti grozījumi arī Labklājības ministrijas pārziņā esošajos:</w:t>
            </w:r>
          </w:p>
          <w:p w:rsidR="007F60EC" w:rsidRPr="007F60EC" w:rsidRDefault="007F60EC" w:rsidP="007F60EC">
            <w:pPr>
              <w:pStyle w:val="ListParagraph"/>
              <w:numPr>
                <w:ilvl w:val="0"/>
                <w:numId w:val="28"/>
              </w:numPr>
              <w:spacing w:after="0" w:line="240" w:lineRule="auto"/>
              <w:ind w:left="368" w:hanging="357"/>
              <w:jc w:val="both"/>
              <w:rPr>
                <w:rFonts w:ascii="Times New Roman" w:hAnsi="Times New Roman"/>
                <w:iCs/>
                <w:sz w:val="24"/>
                <w:szCs w:val="24"/>
              </w:rPr>
            </w:pPr>
            <w:r w:rsidRPr="007F60EC">
              <w:rPr>
                <w:rFonts w:ascii="Times New Roman" w:hAnsi="Times New Roman"/>
                <w:iCs/>
                <w:sz w:val="24"/>
                <w:szCs w:val="24"/>
              </w:rPr>
              <w:t xml:space="preserve">2015.gada 11.augusta MK noteikumos Nr.468 </w:t>
            </w:r>
            <w:r w:rsidRPr="007F60EC">
              <w:rPr>
                <w:rFonts w:ascii="Times New Roman" w:hAnsi="Times New Roman"/>
                <w:bCs/>
                <w:iCs/>
                <w:sz w:val="24"/>
                <w:szCs w:val="24"/>
              </w:rPr>
              <w:t xml:space="preserve">„Darbības programmas </w:t>
            </w:r>
            <w:r w:rsidR="00E301BA" w:rsidRPr="00E301BA">
              <w:rPr>
                <w:rFonts w:ascii="Times New Roman" w:hAnsi="Times New Roman"/>
                <w:bCs/>
                <w:iCs/>
                <w:sz w:val="24"/>
                <w:szCs w:val="24"/>
              </w:rPr>
              <w:t>„</w:t>
            </w:r>
            <w:r w:rsidR="00E301BA">
              <w:rPr>
                <w:rFonts w:ascii="Times New Roman" w:hAnsi="Times New Roman"/>
                <w:bCs/>
                <w:iCs/>
                <w:sz w:val="24"/>
                <w:szCs w:val="24"/>
              </w:rPr>
              <w:t>Izaugsme un nodarbinātība”</w:t>
            </w:r>
            <w:r w:rsidRPr="007F60EC">
              <w:rPr>
                <w:rFonts w:ascii="Times New Roman" w:hAnsi="Times New Roman"/>
                <w:bCs/>
                <w:iCs/>
                <w:sz w:val="24"/>
                <w:szCs w:val="24"/>
              </w:rPr>
              <w:t xml:space="preserve"> 9.1.1. specifiskā atbalsta mērķa </w:t>
            </w:r>
            <w:r w:rsidR="00E301BA" w:rsidRPr="00E301BA">
              <w:rPr>
                <w:rFonts w:ascii="Times New Roman" w:hAnsi="Times New Roman"/>
                <w:bCs/>
                <w:iCs/>
                <w:sz w:val="24"/>
                <w:szCs w:val="24"/>
              </w:rPr>
              <w:t>„</w:t>
            </w:r>
            <w:r w:rsidRPr="007F60EC">
              <w:rPr>
                <w:rFonts w:ascii="Times New Roman" w:hAnsi="Times New Roman"/>
                <w:bCs/>
                <w:iCs/>
                <w:sz w:val="24"/>
                <w:szCs w:val="24"/>
              </w:rPr>
              <w:t>Palielināt nelabvēlīgākā situācijā esošu bezda</w:t>
            </w:r>
            <w:r w:rsidR="00E301BA">
              <w:rPr>
                <w:rFonts w:ascii="Times New Roman" w:hAnsi="Times New Roman"/>
                <w:bCs/>
                <w:iCs/>
                <w:sz w:val="24"/>
                <w:szCs w:val="24"/>
              </w:rPr>
              <w:t>rbnieku iekļaušanos darba tirgū”</w:t>
            </w:r>
            <w:r w:rsidRPr="007F60EC">
              <w:rPr>
                <w:rFonts w:ascii="Times New Roman" w:hAnsi="Times New Roman"/>
                <w:bCs/>
                <w:iCs/>
                <w:sz w:val="24"/>
                <w:szCs w:val="24"/>
              </w:rPr>
              <w:t xml:space="preserve"> 9.1.1.2. pasākuma </w:t>
            </w:r>
            <w:r w:rsidR="00E301BA" w:rsidRPr="00E301BA">
              <w:rPr>
                <w:rFonts w:ascii="Times New Roman" w:hAnsi="Times New Roman"/>
                <w:bCs/>
                <w:iCs/>
                <w:sz w:val="24"/>
                <w:szCs w:val="24"/>
              </w:rPr>
              <w:t>„</w:t>
            </w:r>
            <w:r w:rsidRPr="007F60EC">
              <w:rPr>
                <w:rFonts w:ascii="Times New Roman" w:hAnsi="Times New Roman"/>
                <w:bCs/>
                <w:iCs/>
                <w:sz w:val="24"/>
                <w:szCs w:val="24"/>
              </w:rPr>
              <w:t>Ilgstošo bezdarbnieku aktivizācijas pasākumi" īstenošanas noteikumi”</w:t>
            </w:r>
            <w:r>
              <w:rPr>
                <w:rFonts w:ascii="Times New Roman" w:hAnsi="Times New Roman"/>
                <w:bCs/>
                <w:iCs/>
                <w:sz w:val="24"/>
                <w:szCs w:val="24"/>
              </w:rPr>
              <w:t xml:space="preserve"> (izsludināti VSS 28.01.2016., VSS – 71)</w:t>
            </w:r>
            <w:r w:rsidRPr="007F60EC">
              <w:rPr>
                <w:rFonts w:ascii="Times New Roman" w:hAnsi="Times New Roman"/>
                <w:bCs/>
                <w:iCs/>
                <w:sz w:val="24"/>
                <w:szCs w:val="24"/>
              </w:rPr>
              <w:t>;</w:t>
            </w:r>
          </w:p>
          <w:p w:rsidR="007F60EC" w:rsidRPr="00F36A6A" w:rsidRDefault="007F60EC" w:rsidP="007F60EC">
            <w:pPr>
              <w:pStyle w:val="ListParagraph"/>
              <w:numPr>
                <w:ilvl w:val="0"/>
                <w:numId w:val="28"/>
              </w:numPr>
              <w:spacing w:after="0" w:line="240" w:lineRule="auto"/>
              <w:ind w:left="368" w:hanging="357"/>
              <w:jc w:val="both"/>
              <w:rPr>
                <w:rFonts w:ascii="Times New Roman" w:hAnsi="Times New Roman"/>
                <w:iCs/>
                <w:sz w:val="24"/>
                <w:szCs w:val="24"/>
              </w:rPr>
            </w:pPr>
            <w:r w:rsidRPr="007F60EC">
              <w:rPr>
                <w:rFonts w:ascii="Times New Roman" w:hAnsi="Times New Roman"/>
                <w:bCs/>
                <w:iCs/>
                <w:sz w:val="24"/>
                <w:szCs w:val="24"/>
              </w:rPr>
              <w:t>2014.gada 23.decembra MK noteikumos Nr.835 „Darbības progra</w:t>
            </w:r>
            <w:r w:rsidR="00E301BA">
              <w:rPr>
                <w:rFonts w:ascii="Times New Roman" w:hAnsi="Times New Roman"/>
                <w:bCs/>
                <w:iCs/>
                <w:sz w:val="24"/>
                <w:szCs w:val="24"/>
              </w:rPr>
              <w:t xml:space="preserve">mmas </w:t>
            </w:r>
            <w:r w:rsidR="00E301BA" w:rsidRPr="00E301BA">
              <w:rPr>
                <w:rFonts w:ascii="Times New Roman" w:hAnsi="Times New Roman"/>
                <w:bCs/>
                <w:iCs/>
                <w:sz w:val="24"/>
                <w:szCs w:val="24"/>
              </w:rPr>
              <w:t>„</w:t>
            </w:r>
            <w:r w:rsidR="00E301BA">
              <w:rPr>
                <w:rFonts w:ascii="Times New Roman" w:hAnsi="Times New Roman"/>
                <w:bCs/>
                <w:iCs/>
                <w:sz w:val="24"/>
                <w:szCs w:val="24"/>
              </w:rPr>
              <w:t>Izaugsme un nodarbinātība”</w:t>
            </w:r>
            <w:r w:rsidRPr="007F60EC">
              <w:rPr>
                <w:rFonts w:ascii="Times New Roman" w:hAnsi="Times New Roman"/>
                <w:bCs/>
                <w:iCs/>
                <w:sz w:val="24"/>
                <w:szCs w:val="24"/>
              </w:rPr>
              <w:t xml:space="preserve"> 9.1.1. specifiskā atbalsta mērķa </w:t>
            </w:r>
            <w:r w:rsidR="00E301BA" w:rsidRPr="00E301BA">
              <w:rPr>
                <w:rFonts w:ascii="Times New Roman" w:hAnsi="Times New Roman"/>
                <w:bCs/>
                <w:iCs/>
                <w:sz w:val="24"/>
                <w:szCs w:val="24"/>
              </w:rPr>
              <w:t>„</w:t>
            </w:r>
            <w:r w:rsidRPr="007F60EC">
              <w:rPr>
                <w:rFonts w:ascii="Times New Roman" w:hAnsi="Times New Roman"/>
                <w:bCs/>
                <w:iCs/>
                <w:sz w:val="24"/>
                <w:szCs w:val="24"/>
              </w:rPr>
              <w:t xml:space="preserve">Palielināt nelabvēlīgākā situācijā esošu bezdarbnieku iekļaušanos darba tirgū" 9.1.1.1. pasākuma </w:t>
            </w:r>
            <w:r w:rsidR="00E301BA" w:rsidRPr="00E301BA">
              <w:rPr>
                <w:rFonts w:ascii="Times New Roman" w:hAnsi="Times New Roman"/>
                <w:bCs/>
                <w:iCs/>
                <w:sz w:val="24"/>
                <w:szCs w:val="24"/>
              </w:rPr>
              <w:t>„</w:t>
            </w:r>
            <w:r w:rsidRPr="007F60EC">
              <w:rPr>
                <w:rFonts w:ascii="Times New Roman" w:hAnsi="Times New Roman"/>
                <w:bCs/>
                <w:iCs/>
                <w:sz w:val="24"/>
                <w:szCs w:val="24"/>
              </w:rPr>
              <w:t>Subsidētās darbavietas nelabvēlīgākā situācijā esošiem bezda</w:t>
            </w:r>
            <w:r w:rsidR="00E301BA">
              <w:rPr>
                <w:rFonts w:ascii="Times New Roman" w:hAnsi="Times New Roman"/>
                <w:bCs/>
                <w:iCs/>
                <w:sz w:val="24"/>
                <w:szCs w:val="24"/>
              </w:rPr>
              <w:t>rbniekiem”</w:t>
            </w:r>
            <w:r w:rsidRPr="007F60EC">
              <w:rPr>
                <w:rFonts w:ascii="Times New Roman" w:hAnsi="Times New Roman"/>
                <w:bCs/>
                <w:iCs/>
                <w:sz w:val="24"/>
                <w:szCs w:val="24"/>
              </w:rPr>
              <w:t xml:space="preserve"> īstenošanas noteikumi”</w:t>
            </w:r>
            <w:r>
              <w:rPr>
                <w:rFonts w:ascii="Times New Roman" w:hAnsi="Times New Roman"/>
                <w:bCs/>
                <w:iCs/>
                <w:sz w:val="24"/>
                <w:szCs w:val="24"/>
              </w:rPr>
              <w:t xml:space="preserve"> (izsludināti VSS 28.01.2016., VSS-70)</w:t>
            </w:r>
            <w:r w:rsidRPr="007F60EC">
              <w:rPr>
                <w:rFonts w:ascii="Times New Roman" w:hAnsi="Times New Roman"/>
                <w:bCs/>
                <w:iCs/>
                <w:sz w:val="24"/>
                <w:szCs w:val="24"/>
              </w:rPr>
              <w:t>.</w:t>
            </w:r>
          </w:p>
          <w:p w:rsidR="007F60EC" w:rsidRPr="002F6619" w:rsidRDefault="00F36A6A" w:rsidP="00AF062A">
            <w:pPr>
              <w:jc w:val="both"/>
              <w:rPr>
                <w:rFonts w:eastAsia="Calibri"/>
                <w:iCs/>
              </w:rPr>
            </w:pPr>
            <w:r>
              <w:rPr>
                <w:rFonts w:eastAsia="Calibri"/>
                <w:iCs/>
              </w:rPr>
              <w:t>Atbilstoši noteikumu projektā paredzētām izmaiņām</w:t>
            </w:r>
            <w:r w:rsidR="00E301BA">
              <w:rPr>
                <w:rFonts w:eastAsia="Calibri"/>
                <w:iCs/>
              </w:rPr>
              <w:t xml:space="preserve"> attiecībā uz dotācijas apmēru pasākumā </w:t>
            </w:r>
            <w:r w:rsidR="00E301BA">
              <w:rPr>
                <w:bCs/>
              </w:rPr>
              <w:t xml:space="preserve">„Pirmā darba pieredze jaunietim” un pasākuma </w:t>
            </w:r>
            <w:r w:rsidR="00E301BA" w:rsidRPr="00E301BA">
              <w:rPr>
                <w:bCs/>
              </w:rPr>
              <w:t>„</w:t>
            </w:r>
            <w:r w:rsidR="00E301BA">
              <w:t xml:space="preserve">Darbam nepieciešamo iemaņu attīstība nevalstiskajā sektorā” </w:t>
            </w:r>
            <w:r w:rsidR="00E301BA">
              <w:rPr>
                <w:bCs/>
              </w:rPr>
              <w:t>mērķa grupu,</w:t>
            </w:r>
            <w:r w:rsidR="00E301BA">
              <w:rPr>
                <w:rFonts w:eastAsia="Calibri"/>
                <w:iCs/>
              </w:rPr>
              <w:t xml:space="preserve"> </w:t>
            </w:r>
            <w:r w:rsidR="007F60EC" w:rsidRPr="002F6619">
              <w:rPr>
                <w:rFonts w:eastAsia="Calibri"/>
                <w:iCs/>
                <w:lang w:eastAsia="en-US"/>
              </w:rPr>
              <w:t>tiks rosināti</w:t>
            </w:r>
            <w:r w:rsidR="00E301BA">
              <w:rPr>
                <w:rFonts w:eastAsia="Calibri"/>
                <w:iCs/>
                <w:lang w:eastAsia="en-US"/>
              </w:rPr>
              <w:t xml:space="preserve"> grozījumi</w:t>
            </w:r>
            <w:r w:rsidR="007F60EC" w:rsidRPr="002F6619">
              <w:rPr>
                <w:rFonts w:eastAsia="Calibri"/>
                <w:iCs/>
                <w:lang w:eastAsia="en-US"/>
              </w:rPr>
              <w:t xml:space="preserve"> arī Labklājīb</w:t>
            </w:r>
            <w:r w:rsidR="00E301BA">
              <w:rPr>
                <w:rFonts w:eastAsia="Calibri"/>
                <w:iCs/>
                <w:lang w:eastAsia="en-US"/>
              </w:rPr>
              <w:t xml:space="preserve">as ministrijas pārziņā esošajos </w:t>
            </w:r>
            <w:r w:rsidR="007F60EC" w:rsidRPr="002F6619">
              <w:rPr>
                <w:rFonts w:eastAsia="Calibri"/>
                <w:iCs/>
                <w:lang w:eastAsia="en-US"/>
              </w:rPr>
              <w:t xml:space="preserve">2015.gada 28.aprīļa </w:t>
            </w:r>
            <w:r w:rsidR="007F60EC">
              <w:rPr>
                <w:rFonts w:eastAsia="Calibri"/>
                <w:iCs/>
                <w:lang w:eastAsia="en-US"/>
              </w:rPr>
              <w:t xml:space="preserve">MK noteikumos Nr.207 </w:t>
            </w:r>
            <w:r w:rsidR="007F60EC">
              <w:rPr>
                <w:bCs/>
              </w:rPr>
              <w:t>„</w:t>
            </w:r>
            <w:r w:rsidR="007F60EC" w:rsidRPr="002F6619">
              <w:rPr>
                <w:rFonts w:eastAsia="Calibri"/>
                <w:iCs/>
                <w:lang w:eastAsia="en-US"/>
              </w:rPr>
              <w:t xml:space="preserve">Darbības programmas </w:t>
            </w:r>
            <w:r w:rsidR="007F60EC">
              <w:rPr>
                <w:bCs/>
              </w:rPr>
              <w:t>„</w:t>
            </w:r>
            <w:r w:rsidR="007F60EC">
              <w:rPr>
                <w:rFonts w:eastAsia="Calibri"/>
                <w:iCs/>
                <w:lang w:eastAsia="en-US"/>
              </w:rPr>
              <w:t>Izaugsme un nodarbinātība”</w:t>
            </w:r>
            <w:r w:rsidR="007F60EC" w:rsidRPr="002F6619">
              <w:rPr>
                <w:rFonts w:eastAsia="Calibri"/>
                <w:iCs/>
                <w:lang w:eastAsia="en-US"/>
              </w:rPr>
              <w:t xml:space="preserve"> 7.2.1.specifiskā atbalsta mērķa </w:t>
            </w:r>
            <w:r w:rsidR="007F60EC">
              <w:rPr>
                <w:bCs/>
              </w:rPr>
              <w:t>„</w:t>
            </w:r>
            <w:r w:rsidR="007F60EC" w:rsidRPr="002F6619">
              <w:rPr>
                <w:rFonts w:eastAsia="Calibri"/>
                <w:iCs/>
                <w:lang w:eastAsia="en-US"/>
              </w:rPr>
              <w:t>Palielināt nodarbinātībā, izglītībā vai apmācībās neiesaistītu jauniešu nodarbinātību un izglītības iegu</w:t>
            </w:r>
            <w:r w:rsidR="007F60EC">
              <w:rPr>
                <w:rFonts w:eastAsia="Calibri"/>
                <w:iCs/>
                <w:lang w:eastAsia="en-US"/>
              </w:rPr>
              <w:t>vi Jauniešu garantijas ietvaros”</w:t>
            </w:r>
            <w:r w:rsidR="007F60EC" w:rsidRPr="002F6619">
              <w:rPr>
                <w:rFonts w:eastAsia="Calibri"/>
                <w:iCs/>
                <w:lang w:eastAsia="en-US"/>
              </w:rPr>
              <w:t xml:space="preserve"> pasākumu </w:t>
            </w:r>
            <w:r w:rsidR="007F60EC">
              <w:rPr>
                <w:bCs/>
              </w:rPr>
              <w:t>„</w:t>
            </w:r>
            <w:r w:rsidR="007F60EC" w:rsidRPr="002F6619">
              <w:rPr>
                <w:rFonts w:eastAsia="Calibri"/>
                <w:iCs/>
                <w:lang w:eastAsia="en-US"/>
              </w:rPr>
              <w:t>Aktīvās darba tirgus politikas pasākumu īstenošana jauniešu bezdarbnieku n</w:t>
            </w:r>
            <w:r w:rsidR="007F60EC">
              <w:rPr>
                <w:rFonts w:eastAsia="Calibri"/>
                <w:iCs/>
                <w:lang w:eastAsia="en-US"/>
              </w:rPr>
              <w:t xml:space="preserve">odarbinātības veicināšanai” un </w:t>
            </w:r>
            <w:r w:rsidR="007F60EC">
              <w:rPr>
                <w:bCs/>
              </w:rPr>
              <w:t>„</w:t>
            </w:r>
            <w:r w:rsidR="007F60EC" w:rsidRPr="002F6619">
              <w:rPr>
                <w:rFonts w:eastAsia="Calibri"/>
                <w:iCs/>
                <w:lang w:eastAsia="en-US"/>
              </w:rPr>
              <w:t xml:space="preserve">Sākotnējās profesionālās izglītības programmu īstenošana Jauniešu </w:t>
            </w:r>
            <w:r w:rsidR="007F60EC">
              <w:rPr>
                <w:rFonts w:eastAsia="Calibri"/>
                <w:iCs/>
                <w:lang w:eastAsia="en-US"/>
              </w:rPr>
              <w:t>garantijas ietvaros”</w:t>
            </w:r>
            <w:r w:rsidR="007F60EC" w:rsidRPr="002F6619">
              <w:rPr>
                <w:rFonts w:eastAsia="Calibri"/>
                <w:iCs/>
                <w:lang w:eastAsia="en-US"/>
              </w:rPr>
              <w:t xml:space="preserve"> īsten</w:t>
            </w:r>
            <w:r w:rsidR="007F60EC">
              <w:rPr>
                <w:rFonts w:eastAsia="Calibri"/>
                <w:iCs/>
                <w:lang w:eastAsia="en-US"/>
              </w:rPr>
              <w:t>ošanas noteikumi”</w:t>
            </w:r>
            <w:r w:rsidR="001E5CCF">
              <w:rPr>
                <w:rFonts w:eastAsia="Calibri"/>
                <w:iCs/>
                <w:lang w:eastAsia="en-US"/>
              </w:rPr>
              <w:t xml:space="preserve"> (izsludināti VSS 28</w:t>
            </w:r>
            <w:r w:rsidR="007F60EC" w:rsidRPr="002F6619">
              <w:rPr>
                <w:rFonts w:eastAsia="Calibri"/>
                <w:iCs/>
                <w:lang w:eastAsia="en-US"/>
              </w:rPr>
              <w:t>.</w:t>
            </w:r>
            <w:r w:rsidR="001E5CCF">
              <w:rPr>
                <w:rFonts w:eastAsia="Calibri"/>
                <w:iCs/>
                <w:lang w:eastAsia="en-US"/>
              </w:rPr>
              <w:t>01.2016., VSS – 69).</w:t>
            </w:r>
          </w:p>
          <w:p w:rsidR="007F60EC" w:rsidRPr="002F6619" w:rsidRDefault="007F60EC" w:rsidP="00E301BA">
            <w:pPr>
              <w:jc w:val="both"/>
              <w:rPr>
                <w:rFonts w:eastAsia="Calibri"/>
                <w:lang w:eastAsia="en-US"/>
              </w:rPr>
            </w:pPr>
            <w:r w:rsidRPr="002F6619">
              <w:rPr>
                <w:rFonts w:eastAsia="Calibri"/>
                <w:iCs/>
                <w:lang w:eastAsia="en-US"/>
              </w:rPr>
              <w:t>Minētie grozījumi virzāmi izskatīšanai MK vienlaikus</w:t>
            </w:r>
            <w:r>
              <w:rPr>
                <w:rFonts w:eastAsia="Calibri"/>
                <w:iCs/>
                <w:lang w:eastAsia="en-US"/>
              </w:rPr>
              <w:t xml:space="preserve"> ar</w:t>
            </w:r>
            <w:r w:rsidRPr="002F6619">
              <w:rPr>
                <w:rFonts w:eastAsia="Calibri"/>
                <w:iCs/>
                <w:lang w:eastAsia="en-US"/>
              </w:rPr>
              <w:t xml:space="preserve"> Noteikumu projektu.</w:t>
            </w:r>
          </w:p>
        </w:tc>
      </w:tr>
      <w:tr w:rsidR="007F60EC" w:rsidRPr="002F6619" w:rsidTr="007F60EC">
        <w:trPr>
          <w:jc w:val="center"/>
        </w:trPr>
        <w:tc>
          <w:tcPr>
            <w:tcW w:w="682" w:type="dxa"/>
          </w:tcPr>
          <w:p w:rsidR="007F60EC" w:rsidRPr="002F6619" w:rsidRDefault="007F60EC" w:rsidP="00F516AA">
            <w:pPr>
              <w:jc w:val="center"/>
              <w:rPr>
                <w:rFonts w:eastAsia="Calibri"/>
                <w:iCs/>
                <w:lang w:eastAsia="en-US"/>
              </w:rPr>
            </w:pPr>
            <w:r w:rsidRPr="002F6619">
              <w:rPr>
                <w:rFonts w:eastAsia="Calibri"/>
                <w:iCs/>
                <w:lang w:eastAsia="en-US"/>
              </w:rPr>
              <w:t>2.</w:t>
            </w:r>
          </w:p>
        </w:tc>
        <w:tc>
          <w:tcPr>
            <w:tcW w:w="3026" w:type="dxa"/>
          </w:tcPr>
          <w:p w:rsidR="007F60EC" w:rsidRPr="002F6619" w:rsidRDefault="007F60EC" w:rsidP="00AF062A">
            <w:pPr>
              <w:rPr>
                <w:rFonts w:eastAsia="Calibri"/>
                <w:lang w:eastAsia="en-US"/>
              </w:rPr>
            </w:pPr>
            <w:r w:rsidRPr="002F6619">
              <w:rPr>
                <w:rFonts w:eastAsia="Calibri"/>
                <w:lang w:eastAsia="en-US"/>
              </w:rPr>
              <w:t>Atbildīgā institūcija</w:t>
            </w:r>
          </w:p>
        </w:tc>
        <w:tc>
          <w:tcPr>
            <w:tcW w:w="5645" w:type="dxa"/>
          </w:tcPr>
          <w:p w:rsidR="007F60EC" w:rsidRPr="002F6619" w:rsidRDefault="007F60EC" w:rsidP="00AF062A">
            <w:pPr>
              <w:rPr>
                <w:rFonts w:eastAsia="Calibri"/>
                <w:lang w:eastAsia="en-US"/>
              </w:rPr>
            </w:pPr>
            <w:r w:rsidRPr="002F6619">
              <w:rPr>
                <w:rFonts w:eastAsia="Calibri"/>
                <w:lang w:eastAsia="en-US"/>
              </w:rPr>
              <w:t>Labklājības ministrija</w:t>
            </w:r>
            <w:r>
              <w:rPr>
                <w:rFonts w:eastAsia="Calibri"/>
                <w:lang w:eastAsia="en-US"/>
              </w:rPr>
              <w:t>.</w:t>
            </w:r>
          </w:p>
        </w:tc>
      </w:tr>
      <w:tr w:rsidR="007F60EC" w:rsidRPr="002F6619" w:rsidTr="007F60EC">
        <w:trPr>
          <w:jc w:val="center"/>
        </w:trPr>
        <w:tc>
          <w:tcPr>
            <w:tcW w:w="682" w:type="dxa"/>
          </w:tcPr>
          <w:p w:rsidR="007F60EC" w:rsidRPr="002F6619" w:rsidRDefault="007F60EC" w:rsidP="00F516AA">
            <w:pPr>
              <w:jc w:val="center"/>
              <w:rPr>
                <w:rFonts w:eastAsia="Calibri"/>
                <w:iCs/>
                <w:lang w:eastAsia="en-US"/>
              </w:rPr>
            </w:pPr>
            <w:r w:rsidRPr="002F6619">
              <w:rPr>
                <w:rFonts w:eastAsia="Calibri"/>
                <w:iCs/>
                <w:lang w:eastAsia="en-US"/>
              </w:rPr>
              <w:t>3.</w:t>
            </w:r>
          </w:p>
        </w:tc>
        <w:tc>
          <w:tcPr>
            <w:tcW w:w="3026" w:type="dxa"/>
          </w:tcPr>
          <w:p w:rsidR="007F60EC" w:rsidRPr="002F6619" w:rsidRDefault="007F60EC" w:rsidP="00AF062A">
            <w:pPr>
              <w:rPr>
                <w:rFonts w:eastAsia="Calibri"/>
                <w:iCs/>
                <w:lang w:eastAsia="en-US"/>
              </w:rPr>
            </w:pPr>
            <w:r w:rsidRPr="002F6619">
              <w:rPr>
                <w:rFonts w:eastAsia="Calibri"/>
                <w:lang w:eastAsia="en-US"/>
              </w:rPr>
              <w:t>Cita informācija</w:t>
            </w:r>
          </w:p>
        </w:tc>
        <w:tc>
          <w:tcPr>
            <w:tcW w:w="5645" w:type="dxa"/>
          </w:tcPr>
          <w:p w:rsidR="007F60EC" w:rsidRPr="002F6619" w:rsidRDefault="007F60EC" w:rsidP="00AF062A">
            <w:pPr>
              <w:jc w:val="both"/>
              <w:rPr>
                <w:rFonts w:eastAsia="Calibri"/>
                <w:iCs/>
                <w:lang w:eastAsia="en-US"/>
              </w:rPr>
            </w:pPr>
            <w:r>
              <w:rPr>
                <w:rFonts w:eastAsia="Calibri"/>
                <w:iCs/>
                <w:lang w:eastAsia="en-US"/>
              </w:rPr>
              <w:t>Nav.</w:t>
            </w:r>
          </w:p>
        </w:tc>
      </w:tr>
    </w:tbl>
    <w:p w:rsidR="007F60EC" w:rsidRDefault="007F60EC" w:rsidP="00A96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B76D85" w:rsidRPr="006A7D0B" w:rsidTr="006A7D0B">
        <w:tc>
          <w:tcPr>
            <w:tcW w:w="9287" w:type="dxa"/>
            <w:gridSpan w:val="3"/>
            <w:shd w:val="clear" w:color="auto" w:fill="auto"/>
          </w:tcPr>
          <w:p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rsidTr="006A7D0B">
        <w:tc>
          <w:tcPr>
            <w:tcW w:w="396" w:type="dxa"/>
            <w:shd w:val="clear" w:color="auto" w:fill="auto"/>
          </w:tcPr>
          <w:p w:rsidR="00BC4041" w:rsidRPr="00B76D85" w:rsidRDefault="00BC4041" w:rsidP="00A36979">
            <w:r>
              <w:t xml:space="preserve">1. </w:t>
            </w:r>
          </w:p>
        </w:tc>
        <w:tc>
          <w:tcPr>
            <w:tcW w:w="3072" w:type="dxa"/>
            <w:shd w:val="clear" w:color="auto" w:fill="auto"/>
          </w:tcPr>
          <w:p w:rsidR="00BC4041" w:rsidRPr="00F86A40" w:rsidRDefault="00BB50B2" w:rsidP="006A7D0B">
            <w:pPr>
              <w:pStyle w:val="naiskr"/>
              <w:spacing w:before="0" w:after="0"/>
              <w:ind w:left="57" w:right="57"/>
            </w:pPr>
            <w:r w:rsidRPr="00F86A40">
              <w:t>Plānotās sabiedrības līdzdalības un komunikācijas aktivitātes saistībā ar projektu</w:t>
            </w:r>
          </w:p>
        </w:tc>
        <w:tc>
          <w:tcPr>
            <w:tcW w:w="5819" w:type="dxa"/>
            <w:shd w:val="clear" w:color="auto" w:fill="auto"/>
          </w:tcPr>
          <w:p w:rsidR="00EE0272" w:rsidRPr="00F86A40" w:rsidRDefault="00F86A40" w:rsidP="001D1B55">
            <w:pPr>
              <w:jc w:val="both"/>
              <w:rPr>
                <w:i/>
                <w:color w:val="FF0000"/>
              </w:rPr>
            </w:pPr>
            <w:r w:rsidRPr="00F86A40">
              <w:rPr>
                <w:iCs/>
              </w:rPr>
              <w:t>Noteikumu projekts 2015</w:t>
            </w:r>
            <w:r w:rsidR="00EE0272" w:rsidRPr="00F86A40">
              <w:rPr>
                <w:iCs/>
              </w:rPr>
              <w:t xml:space="preserve">.gada </w:t>
            </w:r>
            <w:r w:rsidR="00556139" w:rsidRPr="00F86A40">
              <w:rPr>
                <w:iCs/>
                <w:color w:val="000000"/>
              </w:rPr>
              <w:t xml:space="preserve">novembrī </w:t>
            </w:r>
            <w:r w:rsidR="00EE0272" w:rsidRPr="00F86A40">
              <w:rPr>
                <w:iCs/>
              </w:rPr>
              <w:t>sabiedrības līdzda</w:t>
            </w:r>
            <w:r w:rsidR="00B51B76">
              <w:rPr>
                <w:iCs/>
              </w:rPr>
              <w:t>l</w:t>
            </w:r>
            <w:r w:rsidR="00EE0272" w:rsidRPr="00F86A40">
              <w:rPr>
                <w:iCs/>
              </w:rPr>
              <w:t xml:space="preserve">ības nolūkos tika ievietots LM </w:t>
            </w:r>
            <w:r w:rsidR="001D1B55">
              <w:rPr>
                <w:iCs/>
              </w:rPr>
              <w:t>tīmekļa vietnē</w:t>
            </w:r>
            <w:r w:rsidR="00EE0272" w:rsidRPr="00F86A40">
              <w:rPr>
                <w:iCs/>
              </w:rPr>
              <w:t>.</w:t>
            </w:r>
          </w:p>
        </w:tc>
      </w:tr>
      <w:tr w:rsidR="00BC4041" w:rsidRPr="00B76D85" w:rsidTr="006A7D0B">
        <w:tc>
          <w:tcPr>
            <w:tcW w:w="396" w:type="dxa"/>
            <w:shd w:val="clear" w:color="auto" w:fill="auto"/>
          </w:tcPr>
          <w:p w:rsidR="00BC4041" w:rsidRPr="00B76D85" w:rsidRDefault="00BC4041" w:rsidP="00A36979">
            <w:r>
              <w:t xml:space="preserve">2. </w:t>
            </w:r>
          </w:p>
        </w:tc>
        <w:tc>
          <w:tcPr>
            <w:tcW w:w="3072" w:type="dxa"/>
            <w:shd w:val="clear" w:color="auto" w:fill="auto"/>
          </w:tcPr>
          <w:p w:rsidR="00BC4041" w:rsidRPr="00F86A40" w:rsidRDefault="00BC4041" w:rsidP="006A7D0B">
            <w:pPr>
              <w:pStyle w:val="naiskr"/>
              <w:spacing w:before="0" w:after="0"/>
              <w:ind w:left="57" w:right="57"/>
            </w:pPr>
            <w:r w:rsidRPr="00F86A40">
              <w:t xml:space="preserve">Sabiedrības līdzdalība </w:t>
            </w:r>
            <w:r w:rsidRPr="00F86A40">
              <w:lastRenderedPageBreak/>
              <w:t xml:space="preserve">projekta izstrādē </w:t>
            </w:r>
          </w:p>
        </w:tc>
        <w:tc>
          <w:tcPr>
            <w:tcW w:w="5819" w:type="dxa"/>
            <w:shd w:val="clear" w:color="auto" w:fill="auto"/>
          </w:tcPr>
          <w:p w:rsidR="00EE0272" w:rsidRPr="00F86A40" w:rsidRDefault="00EE0272" w:rsidP="0041662A">
            <w:pPr>
              <w:jc w:val="both"/>
              <w:rPr>
                <w:i/>
                <w:iCs/>
                <w:color w:val="FF0000"/>
              </w:rPr>
            </w:pPr>
            <w:r w:rsidRPr="00F86A40">
              <w:rPr>
                <w:iCs/>
              </w:rPr>
              <w:lastRenderedPageBreak/>
              <w:t xml:space="preserve">Noteikumu projekts </w:t>
            </w:r>
            <w:r w:rsidR="00F86A40" w:rsidRPr="00F86A40">
              <w:rPr>
                <w:iCs/>
              </w:rPr>
              <w:t>2015</w:t>
            </w:r>
            <w:r w:rsidR="0041662A" w:rsidRPr="00F86A40">
              <w:rPr>
                <w:iCs/>
              </w:rPr>
              <w:t xml:space="preserve">.gada </w:t>
            </w:r>
            <w:r w:rsidR="00F86A40" w:rsidRPr="00F86A40">
              <w:rPr>
                <w:iCs/>
                <w:color w:val="000000"/>
              </w:rPr>
              <w:t>decembrī</w:t>
            </w:r>
            <w:r w:rsidR="0041662A" w:rsidRPr="00F86A40">
              <w:rPr>
                <w:iCs/>
              </w:rPr>
              <w:t xml:space="preserve"> </w:t>
            </w:r>
            <w:r w:rsidR="00B51B76">
              <w:rPr>
                <w:iCs/>
              </w:rPr>
              <w:t xml:space="preserve">sabiedrības </w:t>
            </w:r>
            <w:r w:rsidR="00B51B76">
              <w:rPr>
                <w:iCs/>
              </w:rPr>
              <w:lastRenderedPageBreak/>
              <w:t>līdzdal</w:t>
            </w:r>
            <w:r w:rsidRPr="00F86A40">
              <w:rPr>
                <w:iCs/>
              </w:rPr>
              <w:t xml:space="preserve">ības nolūkos tika ievietots LM </w:t>
            </w:r>
            <w:r w:rsidR="001D1B55">
              <w:rPr>
                <w:iCs/>
              </w:rPr>
              <w:t>tīmekļa vietnē</w:t>
            </w:r>
            <w:r w:rsidRPr="00F86A40">
              <w:rPr>
                <w:iCs/>
              </w:rPr>
              <w:t>.</w:t>
            </w:r>
          </w:p>
          <w:p w:rsidR="00BC4041" w:rsidRPr="00F86A40" w:rsidRDefault="00F86A40" w:rsidP="00AD31D2">
            <w:pPr>
              <w:jc w:val="both"/>
            </w:pPr>
            <w:r w:rsidRPr="00F86A40">
              <w:rPr>
                <w:iCs/>
                <w:color w:val="000000"/>
              </w:rPr>
              <w:t>Noteikumu projekta izstrādē attiecībā par surdotulku pakalpojumu nodrošināšanu atsevišķu aktīvo nodarbinātības pasākumu ietvaros piedalījās</w:t>
            </w:r>
            <w:r w:rsidR="009C442E">
              <w:rPr>
                <w:iCs/>
                <w:color w:val="000000"/>
              </w:rPr>
              <w:t xml:space="preserve"> biedrība</w:t>
            </w:r>
            <w:r w:rsidRPr="00F86A40">
              <w:rPr>
                <w:iCs/>
                <w:color w:val="000000"/>
              </w:rPr>
              <w:t xml:space="preserve"> </w:t>
            </w:r>
            <w:r w:rsidR="009C442E" w:rsidRPr="009C442E">
              <w:rPr>
                <w:iCs/>
                <w:color w:val="000000"/>
              </w:rPr>
              <w:t>„</w:t>
            </w:r>
            <w:r w:rsidRPr="00F86A40">
              <w:rPr>
                <w:iCs/>
                <w:color w:val="000000"/>
              </w:rPr>
              <w:t>Latvijas nedzirdīgo savienība</w:t>
            </w:r>
            <w:r w:rsidR="009C442E">
              <w:rPr>
                <w:iCs/>
                <w:color w:val="000000"/>
              </w:rPr>
              <w:t>”</w:t>
            </w:r>
            <w:r w:rsidRPr="00F86A40">
              <w:rPr>
                <w:iCs/>
                <w:color w:val="000000"/>
              </w:rPr>
              <w:t>.</w:t>
            </w:r>
          </w:p>
        </w:tc>
      </w:tr>
      <w:tr w:rsidR="00BC4041" w:rsidRPr="00B76D85" w:rsidTr="006A7D0B">
        <w:tc>
          <w:tcPr>
            <w:tcW w:w="396" w:type="dxa"/>
            <w:shd w:val="clear" w:color="auto" w:fill="auto"/>
          </w:tcPr>
          <w:p w:rsidR="00BC4041" w:rsidRPr="00B76D85" w:rsidRDefault="00BC4041" w:rsidP="00A36979">
            <w:r>
              <w:lastRenderedPageBreak/>
              <w:t>3.</w:t>
            </w:r>
          </w:p>
        </w:tc>
        <w:tc>
          <w:tcPr>
            <w:tcW w:w="3072" w:type="dxa"/>
            <w:shd w:val="clear" w:color="auto" w:fill="auto"/>
          </w:tcPr>
          <w:p w:rsidR="00BC4041" w:rsidRPr="00F86A40" w:rsidRDefault="00BC4041" w:rsidP="006A7D0B">
            <w:pPr>
              <w:pStyle w:val="naiskr"/>
              <w:spacing w:before="0" w:after="0"/>
              <w:ind w:left="57" w:right="57"/>
            </w:pPr>
            <w:r w:rsidRPr="00F86A40">
              <w:t xml:space="preserve">Sabiedrības līdzdalības rezultāti </w:t>
            </w:r>
          </w:p>
        </w:tc>
        <w:tc>
          <w:tcPr>
            <w:tcW w:w="5819" w:type="dxa"/>
            <w:shd w:val="clear" w:color="auto" w:fill="auto"/>
          </w:tcPr>
          <w:p w:rsidR="00C17418" w:rsidRPr="00F86A40" w:rsidRDefault="00C17418" w:rsidP="00C17418">
            <w:pPr>
              <w:suppressAutoHyphens/>
              <w:ind w:right="57"/>
              <w:jc w:val="both"/>
              <w:rPr>
                <w:iCs/>
                <w:lang w:eastAsia="ar-SA"/>
              </w:rPr>
            </w:pPr>
            <w:r w:rsidRPr="00F86A40">
              <w:rPr>
                <w:iCs/>
                <w:lang w:eastAsia="ar-SA"/>
              </w:rPr>
              <w:t>Individuālie sabiedrības</w:t>
            </w:r>
            <w:r w:rsidRPr="00F86A40">
              <w:rPr>
                <w:b/>
                <w:iCs/>
                <w:lang w:eastAsia="ar-SA"/>
              </w:rPr>
              <w:t xml:space="preserve"> </w:t>
            </w:r>
            <w:r w:rsidRPr="00F86A40">
              <w:rPr>
                <w:iCs/>
                <w:lang w:eastAsia="ar-SA"/>
              </w:rPr>
              <w:t xml:space="preserve">locekļu vērtējumi par Noteikumu projektu </w:t>
            </w:r>
            <w:r w:rsidR="00700EAF" w:rsidRPr="00F86A40">
              <w:rPr>
                <w:iCs/>
                <w:lang w:eastAsia="ar-SA"/>
              </w:rPr>
              <w:t>nav</w:t>
            </w:r>
            <w:r w:rsidRPr="00F86A40">
              <w:rPr>
                <w:iCs/>
                <w:lang w:eastAsia="ar-SA"/>
              </w:rPr>
              <w:t xml:space="preserve"> saņemti.</w:t>
            </w:r>
          </w:p>
          <w:p w:rsidR="00C17418" w:rsidRPr="00F86A40" w:rsidRDefault="00C17418" w:rsidP="00BC7920">
            <w:pPr>
              <w:suppressAutoHyphens/>
              <w:ind w:right="57"/>
              <w:jc w:val="both"/>
              <w:rPr>
                <w:iCs/>
                <w:lang w:eastAsia="ar-SA"/>
              </w:rPr>
            </w:pPr>
            <w:r w:rsidRPr="00F86A40">
              <w:rPr>
                <w:iCs/>
                <w:lang w:eastAsia="ar-SA"/>
              </w:rPr>
              <w:t xml:space="preserve">Noteikumu projekts oficiālās saskaņošanas ietvaros </w:t>
            </w:r>
            <w:r w:rsidR="00E908AD" w:rsidRPr="00F86A40">
              <w:rPr>
                <w:iCs/>
                <w:lang w:eastAsia="ar-SA"/>
              </w:rPr>
              <w:t>ti</w:t>
            </w:r>
            <w:r w:rsidR="00D4440C" w:rsidRPr="00F86A40">
              <w:rPr>
                <w:iCs/>
                <w:lang w:eastAsia="ar-SA"/>
              </w:rPr>
              <w:t>ka</w:t>
            </w:r>
            <w:r w:rsidR="00E908AD" w:rsidRPr="00F86A40">
              <w:rPr>
                <w:iCs/>
                <w:lang w:eastAsia="ar-SA"/>
              </w:rPr>
              <w:t xml:space="preserve"> </w:t>
            </w:r>
            <w:r w:rsidRPr="00F86A40">
              <w:rPr>
                <w:iCs/>
                <w:lang w:eastAsia="ar-SA"/>
              </w:rPr>
              <w:t>saskaņots ar Latvijas Darba devēju konfederāciju, Latvijas Brīvo arodbiedrību savienību</w:t>
            </w:r>
            <w:r w:rsidR="00B007D7" w:rsidRPr="00F86A40">
              <w:rPr>
                <w:iCs/>
                <w:lang w:eastAsia="ar-SA"/>
              </w:rPr>
              <w:t xml:space="preserve"> un</w:t>
            </w:r>
            <w:r w:rsidR="002B264A" w:rsidRPr="00F86A40">
              <w:rPr>
                <w:iCs/>
                <w:lang w:eastAsia="ar-SA"/>
              </w:rPr>
              <w:t xml:space="preserve"> </w:t>
            </w:r>
            <w:r w:rsidRPr="00F86A40">
              <w:rPr>
                <w:iCs/>
                <w:lang w:eastAsia="ar-SA"/>
              </w:rPr>
              <w:t>Latvijas Pašvaldību savienību</w:t>
            </w:r>
            <w:r w:rsidR="00B007D7" w:rsidRPr="00F86A40">
              <w:rPr>
                <w:iCs/>
                <w:lang w:eastAsia="ar-SA"/>
              </w:rPr>
              <w:t xml:space="preserve">. </w:t>
            </w:r>
          </w:p>
        </w:tc>
      </w:tr>
      <w:tr w:rsidR="00BC4041" w:rsidRPr="00B76D85" w:rsidTr="006A7D0B">
        <w:tc>
          <w:tcPr>
            <w:tcW w:w="396" w:type="dxa"/>
            <w:shd w:val="clear" w:color="auto" w:fill="auto"/>
          </w:tcPr>
          <w:p w:rsidR="00BC4041" w:rsidRPr="00B76D85" w:rsidRDefault="004A1651" w:rsidP="004A1651">
            <w:r>
              <w:t>4</w:t>
            </w:r>
            <w:r w:rsidR="00BC4041">
              <w:t>.</w:t>
            </w:r>
          </w:p>
        </w:tc>
        <w:tc>
          <w:tcPr>
            <w:tcW w:w="3072" w:type="dxa"/>
            <w:shd w:val="clear" w:color="auto" w:fill="auto"/>
          </w:tcPr>
          <w:p w:rsidR="00BC4041" w:rsidRPr="00F86A40" w:rsidRDefault="00BC4041" w:rsidP="006A7D0B">
            <w:pPr>
              <w:pStyle w:val="naiskr"/>
              <w:spacing w:before="0" w:after="0"/>
              <w:ind w:left="57" w:right="57"/>
            </w:pPr>
            <w:r w:rsidRPr="00F86A40">
              <w:t>Cita informācija</w:t>
            </w:r>
          </w:p>
          <w:p w:rsidR="00BC4041" w:rsidRPr="00F86A40" w:rsidRDefault="00BC4041" w:rsidP="006A7D0B">
            <w:pPr>
              <w:pStyle w:val="naiskr"/>
              <w:spacing w:before="0" w:after="0"/>
              <w:ind w:left="57" w:right="57"/>
            </w:pPr>
          </w:p>
        </w:tc>
        <w:tc>
          <w:tcPr>
            <w:tcW w:w="5819" w:type="dxa"/>
            <w:shd w:val="clear" w:color="auto" w:fill="auto"/>
          </w:tcPr>
          <w:p w:rsidR="00BC4041" w:rsidRPr="00F86A40" w:rsidRDefault="00BC4041" w:rsidP="006A7D0B">
            <w:pPr>
              <w:jc w:val="both"/>
              <w:rPr>
                <w:color w:val="000000"/>
              </w:rPr>
            </w:pPr>
            <w:r w:rsidRPr="00F86A40">
              <w:rPr>
                <w:color w:val="000000"/>
              </w:rPr>
              <w:t>Nav</w:t>
            </w:r>
            <w:r w:rsidR="00D95119" w:rsidRPr="00F86A40">
              <w:rPr>
                <w:color w:val="000000"/>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6A7D0B" w:rsidTr="006A7D0B">
        <w:tc>
          <w:tcPr>
            <w:tcW w:w="9287" w:type="dxa"/>
            <w:gridSpan w:val="3"/>
            <w:shd w:val="clear" w:color="auto" w:fill="auto"/>
          </w:tcPr>
          <w:p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rsidTr="006A7D0B">
        <w:tc>
          <w:tcPr>
            <w:tcW w:w="396" w:type="dxa"/>
            <w:shd w:val="clear" w:color="auto" w:fill="auto"/>
          </w:tcPr>
          <w:p w:rsidR="00B76D85" w:rsidRPr="00B76D85" w:rsidRDefault="00194614" w:rsidP="00242D7D">
            <w:r>
              <w:t>1</w:t>
            </w:r>
            <w:r w:rsidR="00B76D85">
              <w:t xml:space="preserve">. </w:t>
            </w:r>
          </w:p>
        </w:tc>
        <w:tc>
          <w:tcPr>
            <w:tcW w:w="3072" w:type="dxa"/>
            <w:shd w:val="clear" w:color="auto" w:fill="auto"/>
          </w:tcPr>
          <w:p w:rsidR="00B76D85" w:rsidRPr="006A7D0B" w:rsidRDefault="00194614" w:rsidP="00242D7D">
            <w:pPr>
              <w:rPr>
                <w:sz w:val="22"/>
                <w:szCs w:val="22"/>
              </w:rPr>
            </w:pPr>
            <w:r w:rsidRPr="006A7D0B">
              <w:rPr>
                <w:sz w:val="22"/>
                <w:szCs w:val="22"/>
              </w:rPr>
              <w:t>Projekta izpildē iesaistītās institūcijas</w:t>
            </w:r>
          </w:p>
        </w:tc>
        <w:tc>
          <w:tcPr>
            <w:tcW w:w="5819" w:type="dxa"/>
            <w:shd w:val="clear" w:color="auto" w:fill="auto"/>
          </w:tcPr>
          <w:p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rsidTr="006A7D0B">
        <w:tc>
          <w:tcPr>
            <w:tcW w:w="396" w:type="dxa"/>
            <w:shd w:val="clear" w:color="auto" w:fill="auto"/>
          </w:tcPr>
          <w:p w:rsidR="006A694C" w:rsidRPr="00B76D85" w:rsidRDefault="006A694C" w:rsidP="00046760">
            <w:r>
              <w:t xml:space="preserve">2. </w:t>
            </w:r>
          </w:p>
        </w:tc>
        <w:tc>
          <w:tcPr>
            <w:tcW w:w="3072" w:type="dxa"/>
            <w:shd w:val="clear" w:color="auto" w:fill="auto"/>
          </w:tcPr>
          <w:p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shd w:val="clear" w:color="auto" w:fill="auto"/>
          </w:tcPr>
          <w:p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rsidTr="006A7D0B">
        <w:tc>
          <w:tcPr>
            <w:tcW w:w="396" w:type="dxa"/>
            <w:shd w:val="clear" w:color="auto" w:fill="auto"/>
          </w:tcPr>
          <w:p w:rsidR="006A694C" w:rsidRDefault="006A694C" w:rsidP="00046760">
            <w:r>
              <w:t xml:space="preserve">3. </w:t>
            </w:r>
          </w:p>
        </w:tc>
        <w:tc>
          <w:tcPr>
            <w:tcW w:w="3072" w:type="dxa"/>
            <w:shd w:val="clear" w:color="auto" w:fill="auto"/>
          </w:tcPr>
          <w:p w:rsidR="006A694C" w:rsidRPr="006A7D0B" w:rsidRDefault="006A694C" w:rsidP="00046760">
            <w:pPr>
              <w:rPr>
                <w:sz w:val="22"/>
                <w:szCs w:val="22"/>
              </w:rPr>
            </w:pPr>
            <w:r w:rsidRPr="006A7D0B">
              <w:rPr>
                <w:sz w:val="22"/>
                <w:szCs w:val="22"/>
              </w:rPr>
              <w:t>Cita informācija</w:t>
            </w:r>
          </w:p>
        </w:tc>
        <w:tc>
          <w:tcPr>
            <w:tcW w:w="5819" w:type="dxa"/>
            <w:shd w:val="clear" w:color="auto" w:fill="auto"/>
          </w:tcPr>
          <w:p w:rsidR="006A694C" w:rsidRPr="002A2700" w:rsidRDefault="006A694C" w:rsidP="00046760">
            <w:pPr>
              <w:jc w:val="both"/>
              <w:rPr>
                <w:color w:val="000000"/>
              </w:rPr>
            </w:pPr>
            <w:r w:rsidRPr="002A2700">
              <w:rPr>
                <w:color w:val="000000"/>
              </w:rPr>
              <w:t>Nav.</w:t>
            </w:r>
          </w:p>
        </w:tc>
      </w:tr>
    </w:tbl>
    <w:p w:rsidR="004B2F3F" w:rsidRDefault="004B2F3F" w:rsidP="006A694C"/>
    <w:p w:rsidR="00B76D85" w:rsidRPr="004B2F3F" w:rsidRDefault="004B2F3F" w:rsidP="002B264A">
      <w:pPr>
        <w:jc w:val="center"/>
        <w:rPr>
          <w:i/>
        </w:rPr>
      </w:pPr>
      <w:r w:rsidRPr="004B2F3F">
        <w:rPr>
          <w:i/>
        </w:rPr>
        <w:t xml:space="preserve">Noteikumu projekts </w:t>
      </w:r>
      <w:r w:rsidRPr="002B264A">
        <w:rPr>
          <w:i/>
        </w:rPr>
        <w:t>anotācijas</w:t>
      </w:r>
      <w:r w:rsidR="00A96D6E">
        <w:rPr>
          <w:i/>
        </w:rPr>
        <w:t xml:space="preserve"> </w:t>
      </w:r>
      <w:r w:rsidR="00B75AD6" w:rsidRPr="00A96D6E">
        <w:rPr>
          <w:i/>
        </w:rPr>
        <w:t>V</w:t>
      </w:r>
      <w:r w:rsidR="00B75AD6">
        <w:rPr>
          <w:i/>
        </w:rPr>
        <w:t xml:space="preserve"> </w:t>
      </w:r>
      <w:r w:rsidR="00A96D6E" w:rsidRPr="00A96D6E">
        <w:rPr>
          <w:i/>
        </w:rPr>
        <w:t>sadaļu neskar.</w:t>
      </w:r>
    </w:p>
    <w:p w:rsidR="00FE5D00" w:rsidRDefault="00FE5D00" w:rsidP="00B76D85">
      <w:pPr>
        <w:jc w:val="center"/>
      </w:pPr>
    </w:p>
    <w:p w:rsidR="007B614D" w:rsidRDefault="007B614D" w:rsidP="00B76D85">
      <w:pPr>
        <w:jc w:val="center"/>
      </w:pPr>
    </w:p>
    <w:p w:rsidR="006D7ACC" w:rsidRDefault="00194614" w:rsidP="006D7ACC">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r>
      <w:r w:rsidR="00E703EF">
        <w:t>J.Reirs</w:t>
      </w:r>
      <w:r w:rsidRPr="008B0AD5">
        <w:tab/>
      </w:r>
      <w:r w:rsidRPr="008B0AD5">
        <w:tab/>
      </w:r>
    </w:p>
    <w:p w:rsidR="006D7ACC" w:rsidRDefault="006D7ACC" w:rsidP="006D7ACC">
      <w:pPr>
        <w:ind w:firstLine="720"/>
      </w:pPr>
    </w:p>
    <w:p w:rsidR="007B614D" w:rsidRDefault="007B614D" w:rsidP="006D7ACC">
      <w:pPr>
        <w:ind w:firstLine="720"/>
      </w:pPr>
    </w:p>
    <w:p w:rsidR="00330E6E" w:rsidRDefault="00194614" w:rsidP="00FF573B">
      <w:r w:rsidRPr="008B0AD5">
        <w:tab/>
      </w:r>
      <w:r w:rsidRPr="008B0AD5">
        <w:tab/>
      </w:r>
      <w:r w:rsidRPr="008B0AD5">
        <w:tab/>
        <w:t xml:space="preserve">          </w:t>
      </w:r>
      <w:r w:rsidR="00330E6E" w:rsidRPr="008B0AD5">
        <w:t xml:space="preserve">        </w:t>
      </w:r>
    </w:p>
    <w:p w:rsidR="00250408" w:rsidRPr="008B41C2" w:rsidRDefault="00B50DEA" w:rsidP="00250408">
      <w:pPr>
        <w:tabs>
          <w:tab w:val="center" w:pos="4535"/>
        </w:tabs>
        <w:suppressAutoHyphens/>
        <w:rPr>
          <w:sz w:val="20"/>
          <w:szCs w:val="20"/>
          <w:lang w:eastAsia="ar-SA"/>
        </w:rPr>
      </w:pPr>
      <w:r>
        <w:rPr>
          <w:sz w:val="20"/>
          <w:szCs w:val="20"/>
          <w:lang w:eastAsia="ar-SA"/>
        </w:rPr>
        <w:t>1</w:t>
      </w:r>
      <w:r w:rsidR="0067790F">
        <w:rPr>
          <w:sz w:val="20"/>
          <w:szCs w:val="20"/>
          <w:lang w:eastAsia="ar-SA"/>
        </w:rPr>
        <w:t>8</w:t>
      </w:r>
      <w:r w:rsidR="006814CC" w:rsidRPr="008B41C2">
        <w:rPr>
          <w:sz w:val="20"/>
          <w:szCs w:val="20"/>
          <w:lang w:eastAsia="ar-SA"/>
        </w:rPr>
        <w:t>.</w:t>
      </w:r>
      <w:r w:rsidR="00411DD5">
        <w:rPr>
          <w:sz w:val="20"/>
          <w:szCs w:val="20"/>
          <w:lang w:eastAsia="ar-SA"/>
        </w:rPr>
        <w:t>02</w:t>
      </w:r>
      <w:r w:rsidR="00553FA0">
        <w:rPr>
          <w:sz w:val="20"/>
          <w:szCs w:val="20"/>
          <w:lang w:eastAsia="ar-SA"/>
        </w:rPr>
        <w:t>.2016</w:t>
      </w:r>
      <w:r w:rsidR="00250408" w:rsidRPr="008B41C2">
        <w:rPr>
          <w:sz w:val="20"/>
          <w:szCs w:val="20"/>
          <w:lang w:eastAsia="ar-SA"/>
        </w:rPr>
        <w:t xml:space="preserve">. </w:t>
      </w:r>
      <w:r w:rsidR="00197FB5">
        <w:rPr>
          <w:sz w:val="20"/>
          <w:szCs w:val="20"/>
          <w:lang w:eastAsia="ar-SA"/>
        </w:rPr>
        <w:t>10</w:t>
      </w:r>
      <w:r w:rsidR="009E2C0B">
        <w:rPr>
          <w:sz w:val="20"/>
          <w:szCs w:val="20"/>
          <w:lang w:eastAsia="ar-SA"/>
        </w:rPr>
        <w:t>:</w:t>
      </w:r>
      <w:r w:rsidR="0076682F">
        <w:rPr>
          <w:sz w:val="20"/>
          <w:szCs w:val="20"/>
          <w:lang w:eastAsia="ar-SA"/>
        </w:rPr>
        <w:t>4</w:t>
      </w:r>
      <w:r w:rsidR="0067790F">
        <w:rPr>
          <w:sz w:val="20"/>
          <w:szCs w:val="20"/>
          <w:lang w:eastAsia="ar-SA"/>
        </w:rPr>
        <w:t>0</w:t>
      </w:r>
      <w:r w:rsidR="00250408" w:rsidRPr="008B41C2">
        <w:rPr>
          <w:sz w:val="20"/>
          <w:szCs w:val="20"/>
          <w:lang w:eastAsia="ar-SA"/>
        </w:rPr>
        <w:tab/>
      </w:r>
    </w:p>
    <w:p w:rsidR="00250408" w:rsidRPr="00250408" w:rsidRDefault="00685083" w:rsidP="00250408">
      <w:pPr>
        <w:suppressAutoHyphens/>
        <w:textAlignment w:val="baseline"/>
        <w:rPr>
          <w:rFonts w:eastAsia="Arial"/>
          <w:kern w:val="1"/>
          <w:sz w:val="20"/>
          <w:szCs w:val="20"/>
          <w:lang w:eastAsia="ar-SA"/>
        </w:rPr>
      </w:pPr>
      <w:r>
        <w:rPr>
          <w:rFonts w:eastAsia="Arial"/>
          <w:kern w:val="1"/>
          <w:sz w:val="20"/>
          <w:szCs w:val="20"/>
          <w:lang w:eastAsia="ar-SA"/>
        </w:rPr>
        <w:t>5</w:t>
      </w:r>
      <w:r w:rsidR="00564FC8">
        <w:rPr>
          <w:rFonts w:eastAsia="Arial"/>
          <w:kern w:val="1"/>
          <w:sz w:val="20"/>
          <w:szCs w:val="20"/>
          <w:lang w:eastAsia="ar-SA"/>
        </w:rPr>
        <w:t>393</w:t>
      </w:r>
    </w:p>
    <w:p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bookmarkStart w:id="0" w:name="_GoBack"/>
      <w:bookmarkEnd w:id="0"/>
    </w:p>
    <w:p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B2" w:rsidRDefault="00C779B2">
      <w:r>
        <w:separator/>
      </w:r>
    </w:p>
  </w:endnote>
  <w:endnote w:type="continuationSeparator" w:id="0">
    <w:p w:rsidR="00C779B2" w:rsidRDefault="00C7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5" w:rsidRPr="00C0201F" w:rsidRDefault="00D03EF5" w:rsidP="00F2273E">
    <w:pPr>
      <w:pStyle w:val="NormalWeb"/>
      <w:spacing w:before="0" w:after="0"/>
      <w:jc w:val="both"/>
      <w:rPr>
        <w:sz w:val="20"/>
        <w:szCs w:val="20"/>
      </w:rPr>
    </w:pPr>
    <w:r>
      <w:rPr>
        <w:sz w:val="20"/>
        <w:szCs w:val="20"/>
      </w:rPr>
      <w:t>LMAnot_</w:t>
    </w:r>
    <w:r w:rsidR="00D35FAD">
      <w:rPr>
        <w:sz w:val="20"/>
        <w:szCs w:val="20"/>
      </w:rPr>
      <w:t>1</w:t>
    </w:r>
    <w:r w:rsidR="00EB4D3F">
      <w:rPr>
        <w:sz w:val="20"/>
        <w:szCs w:val="20"/>
      </w:rPr>
      <w:t>8</w:t>
    </w:r>
    <w:r w:rsidR="00071E58">
      <w:rPr>
        <w:sz w:val="20"/>
        <w:szCs w:val="20"/>
      </w:rPr>
      <w:t>02</w:t>
    </w:r>
    <w:r w:rsidR="00553FA0">
      <w:rPr>
        <w:sz w:val="20"/>
        <w:szCs w:val="20"/>
      </w:rPr>
      <w:t>16</w:t>
    </w:r>
    <w:r>
      <w:rPr>
        <w:sz w:val="20"/>
        <w:szCs w:val="20"/>
      </w:rPr>
      <w:t>_75</w:t>
    </w:r>
    <w:r w:rsidR="000C6747">
      <w:rPr>
        <w:sz w:val="20"/>
        <w:szCs w:val="20"/>
      </w:rPr>
      <w:t>_groz</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rsidR="00D03EF5" w:rsidRPr="00F2273E" w:rsidRDefault="00D03EF5"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5" w:rsidRPr="00C0201F" w:rsidRDefault="00D03EF5" w:rsidP="00F2273E">
    <w:pPr>
      <w:pStyle w:val="NormalWeb"/>
      <w:spacing w:before="0" w:after="0"/>
      <w:jc w:val="both"/>
      <w:rPr>
        <w:sz w:val="20"/>
        <w:szCs w:val="20"/>
      </w:rPr>
    </w:pPr>
    <w:r>
      <w:rPr>
        <w:sz w:val="20"/>
        <w:szCs w:val="20"/>
      </w:rPr>
      <w:t>LMAnot_</w:t>
    </w:r>
    <w:r w:rsidR="00D35FAD">
      <w:rPr>
        <w:sz w:val="20"/>
        <w:szCs w:val="20"/>
      </w:rPr>
      <w:t>1</w:t>
    </w:r>
    <w:r w:rsidR="00EB4D3F">
      <w:rPr>
        <w:sz w:val="20"/>
        <w:szCs w:val="20"/>
      </w:rPr>
      <w:t>8</w:t>
    </w:r>
    <w:r w:rsidR="00071E58">
      <w:rPr>
        <w:sz w:val="20"/>
        <w:szCs w:val="20"/>
      </w:rPr>
      <w:t>02</w:t>
    </w:r>
    <w:r>
      <w:rPr>
        <w:sz w:val="20"/>
        <w:szCs w:val="20"/>
      </w:rPr>
      <w:t>1</w:t>
    </w:r>
    <w:r w:rsidR="00553FA0">
      <w:rPr>
        <w:sz w:val="20"/>
        <w:szCs w:val="20"/>
      </w:rPr>
      <w:t>6</w:t>
    </w:r>
    <w:r>
      <w:rPr>
        <w:sz w:val="20"/>
        <w:szCs w:val="20"/>
      </w:rPr>
      <w:t>_75</w:t>
    </w:r>
    <w:r w:rsidR="00115CCE">
      <w:rPr>
        <w:sz w:val="20"/>
        <w:szCs w:val="20"/>
      </w:rPr>
      <w:t>_groz</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rsidR="00D03EF5" w:rsidRPr="00F2273E" w:rsidRDefault="00D03EF5"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B2" w:rsidRDefault="00C779B2">
      <w:r>
        <w:separator/>
      </w:r>
    </w:p>
  </w:footnote>
  <w:footnote w:type="continuationSeparator" w:id="0">
    <w:p w:rsidR="00C779B2" w:rsidRDefault="00C7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5" w:rsidRDefault="00D03EF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EF5" w:rsidRDefault="00D03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5" w:rsidRDefault="00D03EF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FB5">
      <w:rPr>
        <w:rStyle w:val="PageNumber"/>
        <w:noProof/>
      </w:rPr>
      <w:t>19</w:t>
    </w:r>
    <w:r>
      <w:rPr>
        <w:rStyle w:val="PageNumber"/>
      </w:rPr>
      <w:fldChar w:fldCharType="end"/>
    </w:r>
  </w:p>
  <w:p w:rsidR="00D03EF5" w:rsidRDefault="00D03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15:restartNumberingAfterBreak="0">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1" w15:restartNumberingAfterBreak="0">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0" w15:restartNumberingAfterBreak="0">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7"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7"/>
  </w:num>
  <w:num w:numId="4">
    <w:abstractNumId w:val="18"/>
  </w:num>
  <w:num w:numId="5">
    <w:abstractNumId w:val="15"/>
  </w:num>
  <w:num w:numId="6">
    <w:abstractNumId w:val="4"/>
  </w:num>
  <w:num w:numId="7">
    <w:abstractNumId w:val="22"/>
  </w:num>
  <w:num w:numId="8">
    <w:abstractNumId w:val="6"/>
  </w:num>
  <w:num w:numId="9">
    <w:abstractNumId w:val="28"/>
  </w:num>
  <w:num w:numId="10">
    <w:abstractNumId w:val="21"/>
  </w:num>
  <w:num w:numId="11">
    <w:abstractNumId w:val="27"/>
  </w:num>
  <w:num w:numId="12">
    <w:abstractNumId w:val="3"/>
  </w:num>
  <w:num w:numId="13">
    <w:abstractNumId w:val="9"/>
  </w:num>
  <w:num w:numId="14">
    <w:abstractNumId w:val="8"/>
  </w:num>
  <w:num w:numId="15">
    <w:abstractNumId w:val="1"/>
  </w:num>
  <w:num w:numId="16">
    <w:abstractNumId w:val="11"/>
  </w:num>
  <w:num w:numId="17">
    <w:abstractNumId w:val="5"/>
  </w:num>
  <w:num w:numId="18">
    <w:abstractNumId w:val="0"/>
  </w:num>
  <w:num w:numId="19">
    <w:abstractNumId w:val="2"/>
  </w:num>
  <w:num w:numId="20">
    <w:abstractNumId w:val="25"/>
  </w:num>
  <w:num w:numId="21">
    <w:abstractNumId w:val="16"/>
  </w:num>
  <w:num w:numId="22">
    <w:abstractNumId w:val="26"/>
  </w:num>
  <w:num w:numId="23">
    <w:abstractNumId w:val="10"/>
  </w:num>
  <w:num w:numId="24">
    <w:abstractNumId w:val="12"/>
  </w:num>
  <w:num w:numId="25">
    <w:abstractNumId w:val="13"/>
  </w:num>
  <w:num w:numId="26">
    <w:abstractNumId w:val="7"/>
  </w:num>
  <w:num w:numId="27">
    <w:abstractNumId w:val="23"/>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10EF"/>
    <w:rsid w:val="000049FD"/>
    <w:rsid w:val="00004BE3"/>
    <w:rsid w:val="00010C24"/>
    <w:rsid w:val="0001203B"/>
    <w:rsid w:val="000128A6"/>
    <w:rsid w:val="00012BCF"/>
    <w:rsid w:val="00014889"/>
    <w:rsid w:val="000154DC"/>
    <w:rsid w:val="000162FD"/>
    <w:rsid w:val="00016D3D"/>
    <w:rsid w:val="00017E5D"/>
    <w:rsid w:val="00020B4F"/>
    <w:rsid w:val="000232EB"/>
    <w:rsid w:val="000251D9"/>
    <w:rsid w:val="000260C1"/>
    <w:rsid w:val="000264AB"/>
    <w:rsid w:val="00027414"/>
    <w:rsid w:val="0003124C"/>
    <w:rsid w:val="00032FCA"/>
    <w:rsid w:val="000344C0"/>
    <w:rsid w:val="00034970"/>
    <w:rsid w:val="00035214"/>
    <w:rsid w:val="00036245"/>
    <w:rsid w:val="00036804"/>
    <w:rsid w:val="000372B9"/>
    <w:rsid w:val="00037BB3"/>
    <w:rsid w:val="00042D08"/>
    <w:rsid w:val="00043389"/>
    <w:rsid w:val="000450B6"/>
    <w:rsid w:val="00046760"/>
    <w:rsid w:val="00046C87"/>
    <w:rsid w:val="000476FC"/>
    <w:rsid w:val="000509A8"/>
    <w:rsid w:val="00056345"/>
    <w:rsid w:val="00057176"/>
    <w:rsid w:val="0006002A"/>
    <w:rsid w:val="0006076A"/>
    <w:rsid w:val="00060968"/>
    <w:rsid w:val="00061004"/>
    <w:rsid w:val="00065B49"/>
    <w:rsid w:val="00065FDF"/>
    <w:rsid w:val="00067067"/>
    <w:rsid w:val="0007050B"/>
    <w:rsid w:val="000713E1"/>
    <w:rsid w:val="00071E58"/>
    <w:rsid w:val="00071EAF"/>
    <w:rsid w:val="000736E1"/>
    <w:rsid w:val="0007491F"/>
    <w:rsid w:val="00076B0C"/>
    <w:rsid w:val="00076D11"/>
    <w:rsid w:val="00080296"/>
    <w:rsid w:val="000829C1"/>
    <w:rsid w:val="0008362C"/>
    <w:rsid w:val="00084751"/>
    <w:rsid w:val="000849CB"/>
    <w:rsid w:val="00084CB0"/>
    <w:rsid w:val="000902BF"/>
    <w:rsid w:val="000913F7"/>
    <w:rsid w:val="00093744"/>
    <w:rsid w:val="00093E1A"/>
    <w:rsid w:val="0009450F"/>
    <w:rsid w:val="00095D94"/>
    <w:rsid w:val="0009784B"/>
    <w:rsid w:val="000A1D01"/>
    <w:rsid w:val="000A35D2"/>
    <w:rsid w:val="000A5509"/>
    <w:rsid w:val="000A7827"/>
    <w:rsid w:val="000B45F0"/>
    <w:rsid w:val="000B67FC"/>
    <w:rsid w:val="000B6A7F"/>
    <w:rsid w:val="000B78EC"/>
    <w:rsid w:val="000C1D63"/>
    <w:rsid w:val="000C23D3"/>
    <w:rsid w:val="000C29B0"/>
    <w:rsid w:val="000C4D05"/>
    <w:rsid w:val="000C6747"/>
    <w:rsid w:val="000D0DA0"/>
    <w:rsid w:val="000D0EC0"/>
    <w:rsid w:val="000D1449"/>
    <w:rsid w:val="000D740B"/>
    <w:rsid w:val="000D7C1A"/>
    <w:rsid w:val="000E0C7D"/>
    <w:rsid w:val="000E14D8"/>
    <w:rsid w:val="000E1F9F"/>
    <w:rsid w:val="000E384F"/>
    <w:rsid w:val="000E421B"/>
    <w:rsid w:val="000E678C"/>
    <w:rsid w:val="000F10BB"/>
    <w:rsid w:val="000F1C62"/>
    <w:rsid w:val="000F2C0D"/>
    <w:rsid w:val="000F305C"/>
    <w:rsid w:val="000F3932"/>
    <w:rsid w:val="000F40BD"/>
    <w:rsid w:val="000F5F6B"/>
    <w:rsid w:val="00102682"/>
    <w:rsid w:val="00105177"/>
    <w:rsid w:val="00106151"/>
    <w:rsid w:val="0010720E"/>
    <w:rsid w:val="00111137"/>
    <w:rsid w:val="001121F2"/>
    <w:rsid w:val="001141FC"/>
    <w:rsid w:val="001149F8"/>
    <w:rsid w:val="00115437"/>
    <w:rsid w:val="00115CCE"/>
    <w:rsid w:val="00116098"/>
    <w:rsid w:val="00116AFC"/>
    <w:rsid w:val="0012151E"/>
    <w:rsid w:val="00122F3D"/>
    <w:rsid w:val="00124853"/>
    <w:rsid w:val="001248ED"/>
    <w:rsid w:val="00125B86"/>
    <w:rsid w:val="00126C64"/>
    <w:rsid w:val="001272CE"/>
    <w:rsid w:val="00130276"/>
    <w:rsid w:val="0013088E"/>
    <w:rsid w:val="00130C31"/>
    <w:rsid w:val="00131478"/>
    <w:rsid w:val="0013206C"/>
    <w:rsid w:val="00133BF5"/>
    <w:rsid w:val="00134122"/>
    <w:rsid w:val="001343C4"/>
    <w:rsid w:val="00134B34"/>
    <w:rsid w:val="001350F4"/>
    <w:rsid w:val="00135DF7"/>
    <w:rsid w:val="001401BD"/>
    <w:rsid w:val="00143584"/>
    <w:rsid w:val="001435A8"/>
    <w:rsid w:val="00143F26"/>
    <w:rsid w:val="001443DF"/>
    <w:rsid w:val="00144C2C"/>
    <w:rsid w:val="0014600C"/>
    <w:rsid w:val="00147461"/>
    <w:rsid w:val="00147E93"/>
    <w:rsid w:val="001522AE"/>
    <w:rsid w:val="00152425"/>
    <w:rsid w:val="00152E95"/>
    <w:rsid w:val="00153AE9"/>
    <w:rsid w:val="00160638"/>
    <w:rsid w:val="00163E7C"/>
    <w:rsid w:val="00167021"/>
    <w:rsid w:val="00167401"/>
    <w:rsid w:val="00170E63"/>
    <w:rsid w:val="00174A87"/>
    <w:rsid w:val="0018166E"/>
    <w:rsid w:val="0018200B"/>
    <w:rsid w:val="0018244A"/>
    <w:rsid w:val="00184B14"/>
    <w:rsid w:val="00185E65"/>
    <w:rsid w:val="00186718"/>
    <w:rsid w:val="001869A8"/>
    <w:rsid w:val="0019186C"/>
    <w:rsid w:val="00191899"/>
    <w:rsid w:val="00191E0E"/>
    <w:rsid w:val="001934C0"/>
    <w:rsid w:val="00194614"/>
    <w:rsid w:val="00196EF2"/>
    <w:rsid w:val="00197DF7"/>
    <w:rsid w:val="00197FB5"/>
    <w:rsid w:val="001A33A0"/>
    <w:rsid w:val="001A354E"/>
    <w:rsid w:val="001A360B"/>
    <w:rsid w:val="001A51E6"/>
    <w:rsid w:val="001B4CFE"/>
    <w:rsid w:val="001B7328"/>
    <w:rsid w:val="001C0089"/>
    <w:rsid w:val="001C0D90"/>
    <w:rsid w:val="001C141E"/>
    <w:rsid w:val="001C2A92"/>
    <w:rsid w:val="001C509E"/>
    <w:rsid w:val="001C67A6"/>
    <w:rsid w:val="001C68FA"/>
    <w:rsid w:val="001D0050"/>
    <w:rsid w:val="001D0AEA"/>
    <w:rsid w:val="001D1950"/>
    <w:rsid w:val="001D1B55"/>
    <w:rsid w:val="001D1C3C"/>
    <w:rsid w:val="001D3BDF"/>
    <w:rsid w:val="001D42CD"/>
    <w:rsid w:val="001D4637"/>
    <w:rsid w:val="001D593B"/>
    <w:rsid w:val="001D76B1"/>
    <w:rsid w:val="001D7806"/>
    <w:rsid w:val="001D7AD1"/>
    <w:rsid w:val="001E1307"/>
    <w:rsid w:val="001E184A"/>
    <w:rsid w:val="001E19A9"/>
    <w:rsid w:val="001E5C57"/>
    <w:rsid w:val="001E5CCF"/>
    <w:rsid w:val="001E78E3"/>
    <w:rsid w:val="001F3077"/>
    <w:rsid w:val="001F40FF"/>
    <w:rsid w:val="001F50DF"/>
    <w:rsid w:val="001F5D7D"/>
    <w:rsid w:val="00201973"/>
    <w:rsid w:val="00204107"/>
    <w:rsid w:val="0020460B"/>
    <w:rsid w:val="00205A93"/>
    <w:rsid w:val="00206FB6"/>
    <w:rsid w:val="002142DC"/>
    <w:rsid w:val="002157A8"/>
    <w:rsid w:val="00215A6B"/>
    <w:rsid w:val="00215F6C"/>
    <w:rsid w:val="00216591"/>
    <w:rsid w:val="002175D9"/>
    <w:rsid w:val="0021789A"/>
    <w:rsid w:val="00224061"/>
    <w:rsid w:val="002242CB"/>
    <w:rsid w:val="0022698A"/>
    <w:rsid w:val="00226F75"/>
    <w:rsid w:val="00230730"/>
    <w:rsid w:val="0023232C"/>
    <w:rsid w:val="00232C33"/>
    <w:rsid w:val="00232C58"/>
    <w:rsid w:val="0023478C"/>
    <w:rsid w:val="00234C48"/>
    <w:rsid w:val="002354DF"/>
    <w:rsid w:val="00237649"/>
    <w:rsid w:val="00241080"/>
    <w:rsid w:val="002424A9"/>
    <w:rsid w:val="00242D7D"/>
    <w:rsid w:val="002432E7"/>
    <w:rsid w:val="0024555E"/>
    <w:rsid w:val="002500CB"/>
    <w:rsid w:val="00250408"/>
    <w:rsid w:val="00252213"/>
    <w:rsid w:val="002542A6"/>
    <w:rsid w:val="00256F4F"/>
    <w:rsid w:val="00257250"/>
    <w:rsid w:val="00257DD4"/>
    <w:rsid w:val="002607A6"/>
    <w:rsid w:val="00261071"/>
    <w:rsid w:val="00261F5F"/>
    <w:rsid w:val="00262EBA"/>
    <w:rsid w:val="002640D9"/>
    <w:rsid w:val="002654CD"/>
    <w:rsid w:val="002662E3"/>
    <w:rsid w:val="002700EF"/>
    <w:rsid w:val="00270E4A"/>
    <w:rsid w:val="0027101F"/>
    <w:rsid w:val="00271F7F"/>
    <w:rsid w:val="00273F99"/>
    <w:rsid w:val="002747BA"/>
    <w:rsid w:val="00275E90"/>
    <w:rsid w:val="00276E78"/>
    <w:rsid w:val="00277E18"/>
    <w:rsid w:val="0028162B"/>
    <w:rsid w:val="00284191"/>
    <w:rsid w:val="00285E8D"/>
    <w:rsid w:val="00291238"/>
    <w:rsid w:val="00294074"/>
    <w:rsid w:val="00294E7C"/>
    <w:rsid w:val="00296A90"/>
    <w:rsid w:val="002A1B5B"/>
    <w:rsid w:val="002A2200"/>
    <w:rsid w:val="002A2700"/>
    <w:rsid w:val="002B264A"/>
    <w:rsid w:val="002B4ECF"/>
    <w:rsid w:val="002B6A76"/>
    <w:rsid w:val="002B6ABC"/>
    <w:rsid w:val="002B7BCD"/>
    <w:rsid w:val="002C1A38"/>
    <w:rsid w:val="002C234A"/>
    <w:rsid w:val="002C6ABF"/>
    <w:rsid w:val="002C7C67"/>
    <w:rsid w:val="002D0558"/>
    <w:rsid w:val="002D175B"/>
    <w:rsid w:val="002D35DB"/>
    <w:rsid w:val="002D37AB"/>
    <w:rsid w:val="002D529C"/>
    <w:rsid w:val="002D5363"/>
    <w:rsid w:val="002E11C5"/>
    <w:rsid w:val="002E224D"/>
    <w:rsid w:val="002E2B3B"/>
    <w:rsid w:val="002E3B40"/>
    <w:rsid w:val="002E5400"/>
    <w:rsid w:val="002E721A"/>
    <w:rsid w:val="002E7C45"/>
    <w:rsid w:val="002F062E"/>
    <w:rsid w:val="002F2FD3"/>
    <w:rsid w:val="002F42A2"/>
    <w:rsid w:val="002F7FEA"/>
    <w:rsid w:val="00302138"/>
    <w:rsid w:val="003023A0"/>
    <w:rsid w:val="00302776"/>
    <w:rsid w:val="003027C8"/>
    <w:rsid w:val="00302CB3"/>
    <w:rsid w:val="003042AF"/>
    <w:rsid w:val="003053F0"/>
    <w:rsid w:val="00307F36"/>
    <w:rsid w:val="003101CA"/>
    <w:rsid w:val="00311D5C"/>
    <w:rsid w:val="003125A1"/>
    <w:rsid w:val="00316BC4"/>
    <w:rsid w:val="003216C3"/>
    <w:rsid w:val="003251E6"/>
    <w:rsid w:val="00326A79"/>
    <w:rsid w:val="00327684"/>
    <w:rsid w:val="00330647"/>
    <w:rsid w:val="00330A50"/>
    <w:rsid w:val="00330B59"/>
    <w:rsid w:val="00330E6E"/>
    <w:rsid w:val="00331033"/>
    <w:rsid w:val="00333D7C"/>
    <w:rsid w:val="0033776D"/>
    <w:rsid w:val="00337E07"/>
    <w:rsid w:val="003408CE"/>
    <w:rsid w:val="00346A87"/>
    <w:rsid w:val="003539EE"/>
    <w:rsid w:val="00354249"/>
    <w:rsid w:val="00354D6D"/>
    <w:rsid w:val="00357C5A"/>
    <w:rsid w:val="003626E2"/>
    <w:rsid w:val="00363857"/>
    <w:rsid w:val="0036402F"/>
    <w:rsid w:val="00364388"/>
    <w:rsid w:val="003668DA"/>
    <w:rsid w:val="003670FB"/>
    <w:rsid w:val="003675BC"/>
    <w:rsid w:val="003679AE"/>
    <w:rsid w:val="00372BBA"/>
    <w:rsid w:val="00372BFB"/>
    <w:rsid w:val="003751BC"/>
    <w:rsid w:val="003801CB"/>
    <w:rsid w:val="003804C1"/>
    <w:rsid w:val="00380F5C"/>
    <w:rsid w:val="003819E0"/>
    <w:rsid w:val="00384733"/>
    <w:rsid w:val="00384BA1"/>
    <w:rsid w:val="003857EF"/>
    <w:rsid w:val="00385EC9"/>
    <w:rsid w:val="0038652B"/>
    <w:rsid w:val="00386C06"/>
    <w:rsid w:val="00386CC2"/>
    <w:rsid w:val="00391C74"/>
    <w:rsid w:val="00393EA9"/>
    <w:rsid w:val="00394004"/>
    <w:rsid w:val="003948D6"/>
    <w:rsid w:val="003962C4"/>
    <w:rsid w:val="003A2A16"/>
    <w:rsid w:val="003A2A38"/>
    <w:rsid w:val="003A6E33"/>
    <w:rsid w:val="003A6F58"/>
    <w:rsid w:val="003A774C"/>
    <w:rsid w:val="003A7CD2"/>
    <w:rsid w:val="003B0BBD"/>
    <w:rsid w:val="003B212C"/>
    <w:rsid w:val="003B22AA"/>
    <w:rsid w:val="003B306A"/>
    <w:rsid w:val="003B39C4"/>
    <w:rsid w:val="003B4106"/>
    <w:rsid w:val="003B5452"/>
    <w:rsid w:val="003B59A0"/>
    <w:rsid w:val="003B5ADB"/>
    <w:rsid w:val="003B5D70"/>
    <w:rsid w:val="003B629D"/>
    <w:rsid w:val="003C2256"/>
    <w:rsid w:val="003C4869"/>
    <w:rsid w:val="003C650F"/>
    <w:rsid w:val="003C66CE"/>
    <w:rsid w:val="003C6948"/>
    <w:rsid w:val="003D0A12"/>
    <w:rsid w:val="003D164C"/>
    <w:rsid w:val="003D2E74"/>
    <w:rsid w:val="003D30E9"/>
    <w:rsid w:val="003D5E86"/>
    <w:rsid w:val="003D6AB9"/>
    <w:rsid w:val="003E07C8"/>
    <w:rsid w:val="003E412C"/>
    <w:rsid w:val="003E5101"/>
    <w:rsid w:val="003E5367"/>
    <w:rsid w:val="003E619B"/>
    <w:rsid w:val="003E6618"/>
    <w:rsid w:val="003F05EF"/>
    <w:rsid w:val="003F27FC"/>
    <w:rsid w:val="003F2D05"/>
    <w:rsid w:val="003F31D2"/>
    <w:rsid w:val="003F489F"/>
    <w:rsid w:val="003F4BB4"/>
    <w:rsid w:val="003F7EB1"/>
    <w:rsid w:val="00400423"/>
    <w:rsid w:val="00402D35"/>
    <w:rsid w:val="004041F2"/>
    <w:rsid w:val="00404BBC"/>
    <w:rsid w:val="004062E8"/>
    <w:rsid w:val="0040663A"/>
    <w:rsid w:val="004111DD"/>
    <w:rsid w:val="0041151B"/>
    <w:rsid w:val="00411DD5"/>
    <w:rsid w:val="00412245"/>
    <w:rsid w:val="00413919"/>
    <w:rsid w:val="00414CE9"/>
    <w:rsid w:val="00415DE0"/>
    <w:rsid w:val="0041662A"/>
    <w:rsid w:val="00420520"/>
    <w:rsid w:val="00421529"/>
    <w:rsid w:val="00422841"/>
    <w:rsid w:val="00425DFD"/>
    <w:rsid w:val="00426226"/>
    <w:rsid w:val="004302F9"/>
    <w:rsid w:val="00433352"/>
    <w:rsid w:val="00433DE0"/>
    <w:rsid w:val="004357CA"/>
    <w:rsid w:val="004362F1"/>
    <w:rsid w:val="00437178"/>
    <w:rsid w:val="004373E9"/>
    <w:rsid w:val="00440A1F"/>
    <w:rsid w:val="00441361"/>
    <w:rsid w:val="00443853"/>
    <w:rsid w:val="00443E52"/>
    <w:rsid w:val="00447FA7"/>
    <w:rsid w:val="004551D6"/>
    <w:rsid w:val="0045648D"/>
    <w:rsid w:val="004570AE"/>
    <w:rsid w:val="00461B31"/>
    <w:rsid w:val="004638EB"/>
    <w:rsid w:val="00466487"/>
    <w:rsid w:val="00466776"/>
    <w:rsid w:val="00467E20"/>
    <w:rsid w:val="00470DB6"/>
    <w:rsid w:val="0048071D"/>
    <w:rsid w:val="004811B1"/>
    <w:rsid w:val="00484F8D"/>
    <w:rsid w:val="0048663C"/>
    <w:rsid w:val="00491216"/>
    <w:rsid w:val="00491392"/>
    <w:rsid w:val="00492E35"/>
    <w:rsid w:val="00494652"/>
    <w:rsid w:val="004973C0"/>
    <w:rsid w:val="004A0240"/>
    <w:rsid w:val="004A1651"/>
    <w:rsid w:val="004A2DDC"/>
    <w:rsid w:val="004A6E74"/>
    <w:rsid w:val="004B0C0C"/>
    <w:rsid w:val="004B1202"/>
    <w:rsid w:val="004B1AE5"/>
    <w:rsid w:val="004B2C33"/>
    <w:rsid w:val="004B2F3F"/>
    <w:rsid w:val="004B6518"/>
    <w:rsid w:val="004B6CC8"/>
    <w:rsid w:val="004C129A"/>
    <w:rsid w:val="004C289C"/>
    <w:rsid w:val="004C4FE3"/>
    <w:rsid w:val="004D2C80"/>
    <w:rsid w:val="004D2D92"/>
    <w:rsid w:val="004D4815"/>
    <w:rsid w:val="004D6A07"/>
    <w:rsid w:val="004E0FE8"/>
    <w:rsid w:val="004E1530"/>
    <w:rsid w:val="004E1C7C"/>
    <w:rsid w:val="004E24B8"/>
    <w:rsid w:val="004E2D23"/>
    <w:rsid w:val="004E3377"/>
    <w:rsid w:val="004E3D80"/>
    <w:rsid w:val="004E3EF8"/>
    <w:rsid w:val="004E422F"/>
    <w:rsid w:val="004E6DF3"/>
    <w:rsid w:val="004F2EA4"/>
    <w:rsid w:val="004F305F"/>
    <w:rsid w:val="004F42E2"/>
    <w:rsid w:val="004F4524"/>
    <w:rsid w:val="004F4F50"/>
    <w:rsid w:val="004F5F6A"/>
    <w:rsid w:val="00500860"/>
    <w:rsid w:val="00502F62"/>
    <w:rsid w:val="00510F83"/>
    <w:rsid w:val="0051235A"/>
    <w:rsid w:val="005131D9"/>
    <w:rsid w:val="0051376F"/>
    <w:rsid w:val="00513819"/>
    <w:rsid w:val="0051495B"/>
    <w:rsid w:val="0052064B"/>
    <w:rsid w:val="00523AA3"/>
    <w:rsid w:val="00524303"/>
    <w:rsid w:val="00524443"/>
    <w:rsid w:val="005269A3"/>
    <w:rsid w:val="00526DD0"/>
    <w:rsid w:val="00530882"/>
    <w:rsid w:val="0053295A"/>
    <w:rsid w:val="0053299C"/>
    <w:rsid w:val="00533FE2"/>
    <w:rsid w:val="00537432"/>
    <w:rsid w:val="00542C64"/>
    <w:rsid w:val="005438FE"/>
    <w:rsid w:val="005439E6"/>
    <w:rsid w:val="00544FB6"/>
    <w:rsid w:val="00546425"/>
    <w:rsid w:val="0054664E"/>
    <w:rsid w:val="00551014"/>
    <w:rsid w:val="00552B24"/>
    <w:rsid w:val="00553FA0"/>
    <w:rsid w:val="005553DC"/>
    <w:rsid w:val="00555E7F"/>
    <w:rsid w:val="00555F29"/>
    <w:rsid w:val="00556139"/>
    <w:rsid w:val="00562C7A"/>
    <w:rsid w:val="00564FC8"/>
    <w:rsid w:val="0056713F"/>
    <w:rsid w:val="0057031B"/>
    <w:rsid w:val="0057037E"/>
    <w:rsid w:val="00572343"/>
    <w:rsid w:val="005727D7"/>
    <w:rsid w:val="00572F13"/>
    <w:rsid w:val="00573622"/>
    <w:rsid w:val="00576803"/>
    <w:rsid w:val="00577791"/>
    <w:rsid w:val="005805BC"/>
    <w:rsid w:val="005816D7"/>
    <w:rsid w:val="00582B65"/>
    <w:rsid w:val="00586B97"/>
    <w:rsid w:val="00587020"/>
    <w:rsid w:val="005919CE"/>
    <w:rsid w:val="00596450"/>
    <w:rsid w:val="0059781B"/>
    <w:rsid w:val="005A1912"/>
    <w:rsid w:val="005A193A"/>
    <w:rsid w:val="005A2892"/>
    <w:rsid w:val="005A4C43"/>
    <w:rsid w:val="005A5741"/>
    <w:rsid w:val="005A7D98"/>
    <w:rsid w:val="005B2CAB"/>
    <w:rsid w:val="005B3D35"/>
    <w:rsid w:val="005B7E07"/>
    <w:rsid w:val="005C01A9"/>
    <w:rsid w:val="005C12AD"/>
    <w:rsid w:val="005C1ED2"/>
    <w:rsid w:val="005C20E5"/>
    <w:rsid w:val="005C3A67"/>
    <w:rsid w:val="005C56C0"/>
    <w:rsid w:val="005C7D74"/>
    <w:rsid w:val="005D1A6A"/>
    <w:rsid w:val="005D6371"/>
    <w:rsid w:val="005D721F"/>
    <w:rsid w:val="005D7B40"/>
    <w:rsid w:val="005E61FA"/>
    <w:rsid w:val="005F23F9"/>
    <w:rsid w:val="005F2445"/>
    <w:rsid w:val="005F3ABB"/>
    <w:rsid w:val="005F54F2"/>
    <w:rsid w:val="005F6E36"/>
    <w:rsid w:val="005F703D"/>
    <w:rsid w:val="0060324C"/>
    <w:rsid w:val="00605089"/>
    <w:rsid w:val="00606F3D"/>
    <w:rsid w:val="00610790"/>
    <w:rsid w:val="00611B34"/>
    <w:rsid w:val="0061393B"/>
    <w:rsid w:val="0061475F"/>
    <w:rsid w:val="00614AAD"/>
    <w:rsid w:val="00614F38"/>
    <w:rsid w:val="00617341"/>
    <w:rsid w:val="00621B75"/>
    <w:rsid w:val="00622B16"/>
    <w:rsid w:val="006241DF"/>
    <w:rsid w:val="0062461D"/>
    <w:rsid w:val="00624723"/>
    <w:rsid w:val="0062529F"/>
    <w:rsid w:val="00625B63"/>
    <w:rsid w:val="00626053"/>
    <w:rsid w:val="00626D1A"/>
    <w:rsid w:val="0062749E"/>
    <w:rsid w:val="00627593"/>
    <w:rsid w:val="00630B60"/>
    <w:rsid w:val="00631C59"/>
    <w:rsid w:val="006344D9"/>
    <w:rsid w:val="00634A1B"/>
    <w:rsid w:val="00634DB9"/>
    <w:rsid w:val="0063566C"/>
    <w:rsid w:val="0063621D"/>
    <w:rsid w:val="00641621"/>
    <w:rsid w:val="006437E9"/>
    <w:rsid w:val="00646EEF"/>
    <w:rsid w:val="00650BA4"/>
    <w:rsid w:val="00652EBD"/>
    <w:rsid w:val="006539B1"/>
    <w:rsid w:val="00653B3B"/>
    <w:rsid w:val="00655A75"/>
    <w:rsid w:val="00655B5A"/>
    <w:rsid w:val="006577ED"/>
    <w:rsid w:val="00665040"/>
    <w:rsid w:val="00665429"/>
    <w:rsid w:val="00665E6D"/>
    <w:rsid w:val="0066736C"/>
    <w:rsid w:val="006710F2"/>
    <w:rsid w:val="00672129"/>
    <w:rsid w:val="0067300A"/>
    <w:rsid w:val="006745B7"/>
    <w:rsid w:val="00675077"/>
    <w:rsid w:val="0067790F"/>
    <w:rsid w:val="006814CC"/>
    <w:rsid w:val="006826A6"/>
    <w:rsid w:val="00683EEA"/>
    <w:rsid w:val="006843B4"/>
    <w:rsid w:val="00684571"/>
    <w:rsid w:val="00685083"/>
    <w:rsid w:val="0068598D"/>
    <w:rsid w:val="0068651F"/>
    <w:rsid w:val="006870B0"/>
    <w:rsid w:val="0069030A"/>
    <w:rsid w:val="00694DC1"/>
    <w:rsid w:val="00695209"/>
    <w:rsid w:val="00695242"/>
    <w:rsid w:val="006978FC"/>
    <w:rsid w:val="006A0299"/>
    <w:rsid w:val="006A0595"/>
    <w:rsid w:val="006A0C6E"/>
    <w:rsid w:val="006A1718"/>
    <w:rsid w:val="006A261A"/>
    <w:rsid w:val="006A4903"/>
    <w:rsid w:val="006A694C"/>
    <w:rsid w:val="006A6AD8"/>
    <w:rsid w:val="006A7824"/>
    <w:rsid w:val="006A7D0B"/>
    <w:rsid w:val="006B05E5"/>
    <w:rsid w:val="006B1EA1"/>
    <w:rsid w:val="006B26EE"/>
    <w:rsid w:val="006B5053"/>
    <w:rsid w:val="006B5C11"/>
    <w:rsid w:val="006B6496"/>
    <w:rsid w:val="006B73F1"/>
    <w:rsid w:val="006B7AAD"/>
    <w:rsid w:val="006C0CCD"/>
    <w:rsid w:val="006C1DF6"/>
    <w:rsid w:val="006C1EF4"/>
    <w:rsid w:val="006C20A5"/>
    <w:rsid w:val="006C215F"/>
    <w:rsid w:val="006C5E5A"/>
    <w:rsid w:val="006D1046"/>
    <w:rsid w:val="006D3874"/>
    <w:rsid w:val="006D6455"/>
    <w:rsid w:val="006D7ACC"/>
    <w:rsid w:val="006E23BC"/>
    <w:rsid w:val="006E258A"/>
    <w:rsid w:val="006E3120"/>
    <w:rsid w:val="006E3312"/>
    <w:rsid w:val="006E3369"/>
    <w:rsid w:val="006E4BC8"/>
    <w:rsid w:val="006F033F"/>
    <w:rsid w:val="006F40D5"/>
    <w:rsid w:val="006F4B62"/>
    <w:rsid w:val="006F76E1"/>
    <w:rsid w:val="00700EAF"/>
    <w:rsid w:val="00703FD6"/>
    <w:rsid w:val="00704C57"/>
    <w:rsid w:val="0071113B"/>
    <w:rsid w:val="0071151B"/>
    <w:rsid w:val="00711921"/>
    <w:rsid w:val="00711C5D"/>
    <w:rsid w:val="00716DE7"/>
    <w:rsid w:val="0072078B"/>
    <w:rsid w:val="0072181A"/>
    <w:rsid w:val="007218D4"/>
    <w:rsid w:val="00722294"/>
    <w:rsid w:val="00722AE8"/>
    <w:rsid w:val="00724239"/>
    <w:rsid w:val="00724BC7"/>
    <w:rsid w:val="007259D5"/>
    <w:rsid w:val="00725D12"/>
    <w:rsid w:val="00730409"/>
    <w:rsid w:val="007337A1"/>
    <w:rsid w:val="00734A90"/>
    <w:rsid w:val="00735B9C"/>
    <w:rsid w:val="0073684E"/>
    <w:rsid w:val="00737143"/>
    <w:rsid w:val="0074072C"/>
    <w:rsid w:val="00741541"/>
    <w:rsid w:val="00741AC9"/>
    <w:rsid w:val="00741B2F"/>
    <w:rsid w:val="00742310"/>
    <w:rsid w:val="0074308C"/>
    <w:rsid w:val="00743C4D"/>
    <w:rsid w:val="00744448"/>
    <w:rsid w:val="007450F9"/>
    <w:rsid w:val="007500F0"/>
    <w:rsid w:val="00750273"/>
    <w:rsid w:val="007513BD"/>
    <w:rsid w:val="007522E3"/>
    <w:rsid w:val="007529BA"/>
    <w:rsid w:val="00753FD9"/>
    <w:rsid w:val="00755242"/>
    <w:rsid w:val="00755C9D"/>
    <w:rsid w:val="0075627A"/>
    <w:rsid w:val="00760FB5"/>
    <w:rsid w:val="0076105D"/>
    <w:rsid w:val="00762A81"/>
    <w:rsid w:val="00763BFA"/>
    <w:rsid w:val="007660FC"/>
    <w:rsid w:val="0076682F"/>
    <w:rsid w:val="007676EF"/>
    <w:rsid w:val="00775436"/>
    <w:rsid w:val="0077652F"/>
    <w:rsid w:val="00776E71"/>
    <w:rsid w:val="00780539"/>
    <w:rsid w:val="00781BA3"/>
    <w:rsid w:val="007821D3"/>
    <w:rsid w:val="007827C4"/>
    <w:rsid w:val="007829E6"/>
    <w:rsid w:val="00783E57"/>
    <w:rsid w:val="00784868"/>
    <w:rsid w:val="00787315"/>
    <w:rsid w:val="00787486"/>
    <w:rsid w:val="007905CF"/>
    <w:rsid w:val="00790C04"/>
    <w:rsid w:val="00791DB0"/>
    <w:rsid w:val="00792B1A"/>
    <w:rsid w:val="007974A9"/>
    <w:rsid w:val="00797D2D"/>
    <w:rsid w:val="007A2C82"/>
    <w:rsid w:val="007A3B89"/>
    <w:rsid w:val="007A5634"/>
    <w:rsid w:val="007A6706"/>
    <w:rsid w:val="007A6A56"/>
    <w:rsid w:val="007A6F6F"/>
    <w:rsid w:val="007A7792"/>
    <w:rsid w:val="007B0E2A"/>
    <w:rsid w:val="007B37AB"/>
    <w:rsid w:val="007B614D"/>
    <w:rsid w:val="007B76F6"/>
    <w:rsid w:val="007C024F"/>
    <w:rsid w:val="007C02BE"/>
    <w:rsid w:val="007C0E0C"/>
    <w:rsid w:val="007C3D03"/>
    <w:rsid w:val="007C4B9C"/>
    <w:rsid w:val="007C6887"/>
    <w:rsid w:val="007C6CD2"/>
    <w:rsid w:val="007C74B4"/>
    <w:rsid w:val="007D2EFE"/>
    <w:rsid w:val="007D3181"/>
    <w:rsid w:val="007D4ECD"/>
    <w:rsid w:val="007D59CD"/>
    <w:rsid w:val="007D5CD5"/>
    <w:rsid w:val="007D69C2"/>
    <w:rsid w:val="007E3034"/>
    <w:rsid w:val="007E7678"/>
    <w:rsid w:val="007E7854"/>
    <w:rsid w:val="007F0825"/>
    <w:rsid w:val="007F09E1"/>
    <w:rsid w:val="007F1969"/>
    <w:rsid w:val="007F1E46"/>
    <w:rsid w:val="007F2251"/>
    <w:rsid w:val="007F2580"/>
    <w:rsid w:val="007F25C7"/>
    <w:rsid w:val="007F505E"/>
    <w:rsid w:val="007F5EE5"/>
    <w:rsid w:val="007F60EC"/>
    <w:rsid w:val="007F6C68"/>
    <w:rsid w:val="007F777B"/>
    <w:rsid w:val="007F7AD1"/>
    <w:rsid w:val="00800BD6"/>
    <w:rsid w:val="00800F76"/>
    <w:rsid w:val="008011D6"/>
    <w:rsid w:val="008013C7"/>
    <w:rsid w:val="008028B0"/>
    <w:rsid w:val="00803DEF"/>
    <w:rsid w:val="0080430C"/>
    <w:rsid w:val="00804A3E"/>
    <w:rsid w:val="00804BFE"/>
    <w:rsid w:val="00805592"/>
    <w:rsid w:val="00807340"/>
    <w:rsid w:val="0081062F"/>
    <w:rsid w:val="00811C7B"/>
    <w:rsid w:val="0081223E"/>
    <w:rsid w:val="008163BB"/>
    <w:rsid w:val="00820049"/>
    <w:rsid w:val="00820317"/>
    <w:rsid w:val="00820695"/>
    <w:rsid w:val="00821576"/>
    <w:rsid w:val="00821AAF"/>
    <w:rsid w:val="00822ACC"/>
    <w:rsid w:val="008237F8"/>
    <w:rsid w:val="00825D03"/>
    <w:rsid w:val="008277D6"/>
    <w:rsid w:val="00827930"/>
    <w:rsid w:val="00832AD8"/>
    <w:rsid w:val="00840698"/>
    <w:rsid w:val="00845145"/>
    <w:rsid w:val="0084516D"/>
    <w:rsid w:val="008458BD"/>
    <w:rsid w:val="00846301"/>
    <w:rsid w:val="0084656D"/>
    <w:rsid w:val="008479E9"/>
    <w:rsid w:val="00852F2B"/>
    <w:rsid w:val="008548A1"/>
    <w:rsid w:val="008548FC"/>
    <w:rsid w:val="00855004"/>
    <w:rsid w:val="00861ED9"/>
    <w:rsid w:val="0086295C"/>
    <w:rsid w:val="008649C0"/>
    <w:rsid w:val="00864B05"/>
    <w:rsid w:val="00865A0F"/>
    <w:rsid w:val="008660C5"/>
    <w:rsid w:val="008667F9"/>
    <w:rsid w:val="00866E80"/>
    <w:rsid w:val="00866EEB"/>
    <w:rsid w:val="00866F51"/>
    <w:rsid w:val="00870749"/>
    <w:rsid w:val="00870C13"/>
    <w:rsid w:val="008710FF"/>
    <w:rsid w:val="00873BDD"/>
    <w:rsid w:val="00874B41"/>
    <w:rsid w:val="00881E55"/>
    <w:rsid w:val="00883A3C"/>
    <w:rsid w:val="0088548E"/>
    <w:rsid w:val="00885D44"/>
    <w:rsid w:val="008877FE"/>
    <w:rsid w:val="00887BC2"/>
    <w:rsid w:val="00890003"/>
    <w:rsid w:val="008929B3"/>
    <w:rsid w:val="00895B62"/>
    <w:rsid w:val="008971DD"/>
    <w:rsid w:val="00897327"/>
    <w:rsid w:val="00897AEF"/>
    <w:rsid w:val="008A02B3"/>
    <w:rsid w:val="008A1531"/>
    <w:rsid w:val="008A1556"/>
    <w:rsid w:val="008A1E2A"/>
    <w:rsid w:val="008A2BD9"/>
    <w:rsid w:val="008A33AD"/>
    <w:rsid w:val="008A59D2"/>
    <w:rsid w:val="008A60B5"/>
    <w:rsid w:val="008A6A60"/>
    <w:rsid w:val="008B0AD5"/>
    <w:rsid w:val="008B13D8"/>
    <w:rsid w:val="008B41C2"/>
    <w:rsid w:val="008B5F72"/>
    <w:rsid w:val="008B668C"/>
    <w:rsid w:val="008B7535"/>
    <w:rsid w:val="008B79E4"/>
    <w:rsid w:val="008C0899"/>
    <w:rsid w:val="008C180E"/>
    <w:rsid w:val="008C2922"/>
    <w:rsid w:val="008C38F1"/>
    <w:rsid w:val="008C527D"/>
    <w:rsid w:val="008C7291"/>
    <w:rsid w:val="008D2B8D"/>
    <w:rsid w:val="008D3A8A"/>
    <w:rsid w:val="008E1C68"/>
    <w:rsid w:val="008E4148"/>
    <w:rsid w:val="008E458E"/>
    <w:rsid w:val="008E4C40"/>
    <w:rsid w:val="008E69EF"/>
    <w:rsid w:val="008E6F07"/>
    <w:rsid w:val="008F1097"/>
    <w:rsid w:val="008F10A1"/>
    <w:rsid w:val="008F1CB6"/>
    <w:rsid w:val="008F34EA"/>
    <w:rsid w:val="008F594F"/>
    <w:rsid w:val="008F7B3C"/>
    <w:rsid w:val="00901308"/>
    <w:rsid w:val="009019EB"/>
    <w:rsid w:val="00902545"/>
    <w:rsid w:val="0090292B"/>
    <w:rsid w:val="00905103"/>
    <w:rsid w:val="00905E08"/>
    <w:rsid w:val="00906323"/>
    <w:rsid w:val="009112CD"/>
    <w:rsid w:val="00912FC6"/>
    <w:rsid w:val="0091403B"/>
    <w:rsid w:val="009159E6"/>
    <w:rsid w:val="009163A9"/>
    <w:rsid w:val="00917B30"/>
    <w:rsid w:val="009212A0"/>
    <w:rsid w:val="00923C70"/>
    <w:rsid w:val="009250EC"/>
    <w:rsid w:val="00932D58"/>
    <w:rsid w:val="009333B3"/>
    <w:rsid w:val="00935337"/>
    <w:rsid w:val="009357D6"/>
    <w:rsid w:val="009367D8"/>
    <w:rsid w:val="009368EA"/>
    <w:rsid w:val="00936AC0"/>
    <w:rsid w:val="00937EBF"/>
    <w:rsid w:val="009417C4"/>
    <w:rsid w:val="0094210E"/>
    <w:rsid w:val="009431A2"/>
    <w:rsid w:val="00943896"/>
    <w:rsid w:val="00943EA9"/>
    <w:rsid w:val="00944630"/>
    <w:rsid w:val="00945D81"/>
    <w:rsid w:val="00945FFA"/>
    <w:rsid w:val="00946311"/>
    <w:rsid w:val="00946A86"/>
    <w:rsid w:val="00951B43"/>
    <w:rsid w:val="00951CA5"/>
    <w:rsid w:val="00951E0F"/>
    <w:rsid w:val="00952814"/>
    <w:rsid w:val="00952E2D"/>
    <w:rsid w:val="00953C07"/>
    <w:rsid w:val="00954AAD"/>
    <w:rsid w:val="0095728B"/>
    <w:rsid w:val="00961F2C"/>
    <w:rsid w:val="00964074"/>
    <w:rsid w:val="00966185"/>
    <w:rsid w:val="00967917"/>
    <w:rsid w:val="00970B8C"/>
    <w:rsid w:val="00972F05"/>
    <w:rsid w:val="00977757"/>
    <w:rsid w:val="0098113F"/>
    <w:rsid w:val="009816D9"/>
    <w:rsid w:val="009823A4"/>
    <w:rsid w:val="00987B4B"/>
    <w:rsid w:val="00990CE7"/>
    <w:rsid w:val="009919DC"/>
    <w:rsid w:val="00997C1D"/>
    <w:rsid w:val="009A186A"/>
    <w:rsid w:val="009A3081"/>
    <w:rsid w:val="009A4FFB"/>
    <w:rsid w:val="009A5ECB"/>
    <w:rsid w:val="009A65F3"/>
    <w:rsid w:val="009A69D2"/>
    <w:rsid w:val="009B01C4"/>
    <w:rsid w:val="009B20CD"/>
    <w:rsid w:val="009B2AF6"/>
    <w:rsid w:val="009B627E"/>
    <w:rsid w:val="009B64D4"/>
    <w:rsid w:val="009B7085"/>
    <w:rsid w:val="009B76F8"/>
    <w:rsid w:val="009C442E"/>
    <w:rsid w:val="009C51EA"/>
    <w:rsid w:val="009C5DA7"/>
    <w:rsid w:val="009D0B26"/>
    <w:rsid w:val="009D0CF0"/>
    <w:rsid w:val="009D4901"/>
    <w:rsid w:val="009D6253"/>
    <w:rsid w:val="009D691A"/>
    <w:rsid w:val="009D72F8"/>
    <w:rsid w:val="009D7FE8"/>
    <w:rsid w:val="009E00F8"/>
    <w:rsid w:val="009E2A09"/>
    <w:rsid w:val="009E2B68"/>
    <w:rsid w:val="009E2C0B"/>
    <w:rsid w:val="009E514D"/>
    <w:rsid w:val="009E75B1"/>
    <w:rsid w:val="009F1A7E"/>
    <w:rsid w:val="009F5B90"/>
    <w:rsid w:val="009F5F90"/>
    <w:rsid w:val="00A016EA"/>
    <w:rsid w:val="00A01E6F"/>
    <w:rsid w:val="00A05C39"/>
    <w:rsid w:val="00A07DA0"/>
    <w:rsid w:val="00A100E1"/>
    <w:rsid w:val="00A11FE2"/>
    <w:rsid w:val="00A136BB"/>
    <w:rsid w:val="00A148CC"/>
    <w:rsid w:val="00A14F15"/>
    <w:rsid w:val="00A17115"/>
    <w:rsid w:val="00A20925"/>
    <w:rsid w:val="00A21BD9"/>
    <w:rsid w:val="00A2441A"/>
    <w:rsid w:val="00A24503"/>
    <w:rsid w:val="00A24845"/>
    <w:rsid w:val="00A26D8B"/>
    <w:rsid w:val="00A32E82"/>
    <w:rsid w:val="00A338F3"/>
    <w:rsid w:val="00A34A32"/>
    <w:rsid w:val="00A36882"/>
    <w:rsid w:val="00A36979"/>
    <w:rsid w:val="00A37061"/>
    <w:rsid w:val="00A40632"/>
    <w:rsid w:val="00A426BD"/>
    <w:rsid w:val="00A4307F"/>
    <w:rsid w:val="00A4498A"/>
    <w:rsid w:val="00A44F16"/>
    <w:rsid w:val="00A453A9"/>
    <w:rsid w:val="00A46FD8"/>
    <w:rsid w:val="00A4726E"/>
    <w:rsid w:val="00A5283D"/>
    <w:rsid w:val="00A52EC0"/>
    <w:rsid w:val="00A54BCB"/>
    <w:rsid w:val="00A550C3"/>
    <w:rsid w:val="00A558D4"/>
    <w:rsid w:val="00A55A48"/>
    <w:rsid w:val="00A5644F"/>
    <w:rsid w:val="00A5744B"/>
    <w:rsid w:val="00A61E53"/>
    <w:rsid w:val="00A61EAE"/>
    <w:rsid w:val="00A63D50"/>
    <w:rsid w:val="00A70843"/>
    <w:rsid w:val="00A74ABE"/>
    <w:rsid w:val="00A75348"/>
    <w:rsid w:val="00A75A87"/>
    <w:rsid w:val="00A77D60"/>
    <w:rsid w:val="00A80097"/>
    <w:rsid w:val="00A81499"/>
    <w:rsid w:val="00A821CE"/>
    <w:rsid w:val="00A84460"/>
    <w:rsid w:val="00A84932"/>
    <w:rsid w:val="00A8517D"/>
    <w:rsid w:val="00A85778"/>
    <w:rsid w:val="00A862E3"/>
    <w:rsid w:val="00A86740"/>
    <w:rsid w:val="00A86889"/>
    <w:rsid w:val="00A8697F"/>
    <w:rsid w:val="00A96D6E"/>
    <w:rsid w:val="00AA0DEF"/>
    <w:rsid w:val="00AA1C53"/>
    <w:rsid w:val="00AA393B"/>
    <w:rsid w:val="00AA50B4"/>
    <w:rsid w:val="00AA6389"/>
    <w:rsid w:val="00AA63A5"/>
    <w:rsid w:val="00AA6B1E"/>
    <w:rsid w:val="00AB1E26"/>
    <w:rsid w:val="00AB2740"/>
    <w:rsid w:val="00AB4F5B"/>
    <w:rsid w:val="00AB7A33"/>
    <w:rsid w:val="00AB7A8F"/>
    <w:rsid w:val="00AC2862"/>
    <w:rsid w:val="00AC29BE"/>
    <w:rsid w:val="00AC2DE8"/>
    <w:rsid w:val="00AC31ED"/>
    <w:rsid w:val="00AC36BF"/>
    <w:rsid w:val="00AC404C"/>
    <w:rsid w:val="00AC4A22"/>
    <w:rsid w:val="00AC61C3"/>
    <w:rsid w:val="00AD19EC"/>
    <w:rsid w:val="00AD31D2"/>
    <w:rsid w:val="00AD383F"/>
    <w:rsid w:val="00AD49BA"/>
    <w:rsid w:val="00AD4C91"/>
    <w:rsid w:val="00AD7547"/>
    <w:rsid w:val="00AE0CE8"/>
    <w:rsid w:val="00AE22C5"/>
    <w:rsid w:val="00AE768A"/>
    <w:rsid w:val="00AF2A64"/>
    <w:rsid w:val="00AF2AA3"/>
    <w:rsid w:val="00AF4AB2"/>
    <w:rsid w:val="00AF4D52"/>
    <w:rsid w:val="00AF4E96"/>
    <w:rsid w:val="00AF4EEE"/>
    <w:rsid w:val="00AF4FD5"/>
    <w:rsid w:val="00B007D7"/>
    <w:rsid w:val="00B00D42"/>
    <w:rsid w:val="00B00EB5"/>
    <w:rsid w:val="00B037D5"/>
    <w:rsid w:val="00B06472"/>
    <w:rsid w:val="00B06C03"/>
    <w:rsid w:val="00B100D6"/>
    <w:rsid w:val="00B10115"/>
    <w:rsid w:val="00B11963"/>
    <w:rsid w:val="00B12065"/>
    <w:rsid w:val="00B12838"/>
    <w:rsid w:val="00B1518D"/>
    <w:rsid w:val="00B21287"/>
    <w:rsid w:val="00B23557"/>
    <w:rsid w:val="00B26187"/>
    <w:rsid w:val="00B26604"/>
    <w:rsid w:val="00B268A9"/>
    <w:rsid w:val="00B303BD"/>
    <w:rsid w:val="00B35796"/>
    <w:rsid w:val="00B3674C"/>
    <w:rsid w:val="00B445F0"/>
    <w:rsid w:val="00B502EE"/>
    <w:rsid w:val="00B50DEA"/>
    <w:rsid w:val="00B51B76"/>
    <w:rsid w:val="00B5218F"/>
    <w:rsid w:val="00B53295"/>
    <w:rsid w:val="00B53D7D"/>
    <w:rsid w:val="00B5405A"/>
    <w:rsid w:val="00B54170"/>
    <w:rsid w:val="00B5491A"/>
    <w:rsid w:val="00B5497D"/>
    <w:rsid w:val="00B54D14"/>
    <w:rsid w:val="00B568A8"/>
    <w:rsid w:val="00B61470"/>
    <w:rsid w:val="00B61D11"/>
    <w:rsid w:val="00B6462C"/>
    <w:rsid w:val="00B67995"/>
    <w:rsid w:val="00B702A6"/>
    <w:rsid w:val="00B70D19"/>
    <w:rsid w:val="00B726DA"/>
    <w:rsid w:val="00B75AD6"/>
    <w:rsid w:val="00B75B3B"/>
    <w:rsid w:val="00B76D85"/>
    <w:rsid w:val="00B81B48"/>
    <w:rsid w:val="00B82870"/>
    <w:rsid w:val="00B8295E"/>
    <w:rsid w:val="00B86491"/>
    <w:rsid w:val="00B86F9E"/>
    <w:rsid w:val="00B9114A"/>
    <w:rsid w:val="00B91FCF"/>
    <w:rsid w:val="00B96328"/>
    <w:rsid w:val="00B97923"/>
    <w:rsid w:val="00B97C72"/>
    <w:rsid w:val="00BA56DD"/>
    <w:rsid w:val="00BA772B"/>
    <w:rsid w:val="00BA7BC8"/>
    <w:rsid w:val="00BB0E5B"/>
    <w:rsid w:val="00BB0FDF"/>
    <w:rsid w:val="00BB50B2"/>
    <w:rsid w:val="00BC34DF"/>
    <w:rsid w:val="00BC4041"/>
    <w:rsid w:val="00BC6902"/>
    <w:rsid w:val="00BC6963"/>
    <w:rsid w:val="00BC7920"/>
    <w:rsid w:val="00BD0940"/>
    <w:rsid w:val="00BD2E0D"/>
    <w:rsid w:val="00BD2EB6"/>
    <w:rsid w:val="00BD392F"/>
    <w:rsid w:val="00BD75C4"/>
    <w:rsid w:val="00BE2E77"/>
    <w:rsid w:val="00BE52B1"/>
    <w:rsid w:val="00BE56AC"/>
    <w:rsid w:val="00BE710B"/>
    <w:rsid w:val="00BE7750"/>
    <w:rsid w:val="00BF0154"/>
    <w:rsid w:val="00BF170F"/>
    <w:rsid w:val="00BF1A20"/>
    <w:rsid w:val="00BF22D0"/>
    <w:rsid w:val="00BF43E1"/>
    <w:rsid w:val="00BF5891"/>
    <w:rsid w:val="00C0161E"/>
    <w:rsid w:val="00C01716"/>
    <w:rsid w:val="00C07711"/>
    <w:rsid w:val="00C11CD2"/>
    <w:rsid w:val="00C16B98"/>
    <w:rsid w:val="00C17418"/>
    <w:rsid w:val="00C17EFB"/>
    <w:rsid w:val="00C219E4"/>
    <w:rsid w:val="00C30017"/>
    <w:rsid w:val="00C3069D"/>
    <w:rsid w:val="00C31263"/>
    <w:rsid w:val="00C322DC"/>
    <w:rsid w:val="00C324C0"/>
    <w:rsid w:val="00C35F00"/>
    <w:rsid w:val="00C40B5B"/>
    <w:rsid w:val="00C4345B"/>
    <w:rsid w:val="00C46D1C"/>
    <w:rsid w:val="00C50FE2"/>
    <w:rsid w:val="00C51021"/>
    <w:rsid w:val="00C52552"/>
    <w:rsid w:val="00C52A6E"/>
    <w:rsid w:val="00C53B4A"/>
    <w:rsid w:val="00C5638B"/>
    <w:rsid w:val="00C60642"/>
    <w:rsid w:val="00C608F8"/>
    <w:rsid w:val="00C61919"/>
    <w:rsid w:val="00C636AB"/>
    <w:rsid w:val="00C657FB"/>
    <w:rsid w:val="00C66BD4"/>
    <w:rsid w:val="00C71966"/>
    <w:rsid w:val="00C7462C"/>
    <w:rsid w:val="00C75B7E"/>
    <w:rsid w:val="00C76E86"/>
    <w:rsid w:val="00C775F1"/>
    <w:rsid w:val="00C779B2"/>
    <w:rsid w:val="00C81961"/>
    <w:rsid w:val="00C81D43"/>
    <w:rsid w:val="00C82364"/>
    <w:rsid w:val="00C82AAB"/>
    <w:rsid w:val="00C858EC"/>
    <w:rsid w:val="00C90E96"/>
    <w:rsid w:val="00C91328"/>
    <w:rsid w:val="00C91666"/>
    <w:rsid w:val="00C97816"/>
    <w:rsid w:val="00CA06E6"/>
    <w:rsid w:val="00CA2DD6"/>
    <w:rsid w:val="00CA3114"/>
    <w:rsid w:val="00CA3A4A"/>
    <w:rsid w:val="00CA5031"/>
    <w:rsid w:val="00CB1E93"/>
    <w:rsid w:val="00CB4C70"/>
    <w:rsid w:val="00CB70EB"/>
    <w:rsid w:val="00CB7609"/>
    <w:rsid w:val="00CC006B"/>
    <w:rsid w:val="00CC225C"/>
    <w:rsid w:val="00CC5EA2"/>
    <w:rsid w:val="00CC7253"/>
    <w:rsid w:val="00CD0DEC"/>
    <w:rsid w:val="00CD1DE4"/>
    <w:rsid w:val="00CD33C7"/>
    <w:rsid w:val="00CD4CD8"/>
    <w:rsid w:val="00CD5210"/>
    <w:rsid w:val="00CD6908"/>
    <w:rsid w:val="00CD74BA"/>
    <w:rsid w:val="00CE3E52"/>
    <w:rsid w:val="00CE48D0"/>
    <w:rsid w:val="00CE742B"/>
    <w:rsid w:val="00CF2CBA"/>
    <w:rsid w:val="00CF4EB2"/>
    <w:rsid w:val="00CF4F20"/>
    <w:rsid w:val="00CF5FB7"/>
    <w:rsid w:val="00D0203A"/>
    <w:rsid w:val="00D03785"/>
    <w:rsid w:val="00D03EF5"/>
    <w:rsid w:val="00D057C9"/>
    <w:rsid w:val="00D06247"/>
    <w:rsid w:val="00D06622"/>
    <w:rsid w:val="00D0665B"/>
    <w:rsid w:val="00D0766C"/>
    <w:rsid w:val="00D077A1"/>
    <w:rsid w:val="00D10773"/>
    <w:rsid w:val="00D10E76"/>
    <w:rsid w:val="00D11F1B"/>
    <w:rsid w:val="00D12C2E"/>
    <w:rsid w:val="00D161E1"/>
    <w:rsid w:val="00D174AE"/>
    <w:rsid w:val="00D2119B"/>
    <w:rsid w:val="00D22CD3"/>
    <w:rsid w:val="00D24B0F"/>
    <w:rsid w:val="00D25CD8"/>
    <w:rsid w:val="00D25D1F"/>
    <w:rsid w:val="00D266F6"/>
    <w:rsid w:val="00D26856"/>
    <w:rsid w:val="00D30B48"/>
    <w:rsid w:val="00D30EA3"/>
    <w:rsid w:val="00D323E0"/>
    <w:rsid w:val="00D335CE"/>
    <w:rsid w:val="00D33824"/>
    <w:rsid w:val="00D338F6"/>
    <w:rsid w:val="00D35FAD"/>
    <w:rsid w:val="00D42001"/>
    <w:rsid w:val="00D422CD"/>
    <w:rsid w:val="00D43B25"/>
    <w:rsid w:val="00D4440C"/>
    <w:rsid w:val="00D46A70"/>
    <w:rsid w:val="00D508CB"/>
    <w:rsid w:val="00D51C49"/>
    <w:rsid w:val="00D5358F"/>
    <w:rsid w:val="00D5430A"/>
    <w:rsid w:val="00D54B5C"/>
    <w:rsid w:val="00D55C5F"/>
    <w:rsid w:val="00D56ADF"/>
    <w:rsid w:val="00D56D12"/>
    <w:rsid w:val="00D6613B"/>
    <w:rsid w:val="00D67089"/>
    <w:rsid w:val="00D70912"/>
    <w:rsid w:val="00D71DC7"/>
    <w:rsid w:val="00D73F45"/>
    <w:rsid w:val="00D750A7"/>
    <w:rsid w:val="00D77123"/>
    <w:rsid w:val="00D80CFB"/>
    <w:rsid w:val="00D82864"/>
    <w:rsid w:val="00D832C0"/>
    <w:rsid w:val="00D84D97"/>
    <w:rsid w:val="00D87023"/>
    <w:rsid w:val="00D914B2"/>
    <w:rsid w:val="00D92A9E"/>
    <w:rsid w:val="00D94595"/>
    <w:rsid w:val="00D94C88"/>
    <w:rsid w:val="00D95119"/>
    <w:rsid w:val="00DA1562"/>
    <w:rsid w:val="00DA33F7"/>
    <w:rsid w:val="00DB10A6"/>
    <w:rsid w:val="00DB3435"/>
    <w:rsid w:val="00DB4594"/>
    <w:rsid w:val="00DB4DD4"/>
    <w:rsid w:val="00DB59AB"/>
    <w:rsid w:val="00DB67EF"/>
    <w:rsid w:val="00DB6FE3"/>
    <w:rsid w:val="00DC0D21"/>
    <w:rsid w:val="00DC11EF"/>
    <w:rsid w:val="00DC17E4"/>
    <w:rsid w:val="00DC1D36"/>
    <w:rsid w:val="00DC2FF4"/>
    <w:rsid w:val="00DC37D9"/>
    <w:rsid w:val="00DC40B0"/>
    <w:rsid w:val="00DC4660"/>
    <w:rsid w:val="00DC521C"/>
    <w:rsid w:val="00DC74A4"/>
    <w:rsid w:val="00DC7F52"/>
    <w:rsid w:val="00DD0B19"/>
    <w:rsid w:val="00DD37F8"/>
    <w:rsid w:val="00DE1E7E"/>
    <w:rsid w:val="00DE3BE9"/>
    <w:rsid w:val="00DE42E3"/>
    <w:rsid w:val="00DE4DDC"/>
    <w:rsid w:val="00DE50BB"/>
    <w:rsid w:val="00DE59D6"/>
    <w:rsid w:val="00DE7C61"/>
    <w:rsid w:val="00DF08EC"/>
    <w:rsid w:val="00DF13EE"/>
    <w:rsid w:val="00DF1699"/>
    <w:rsid w:val="00DF2A52"/>
    <w:rsid w:val="00DF4B7F"/>
    <w:rsid w:val="00DF4D5C"/>
    <w:rsid w:val="00DF6A0A"/>
    <w:rsid w:val="00DF6BE2"/>
    <w:rsid w:val="00DF71B3"/>
    <w:rsid w:val="00E00B04"/>
    <w:rsid w:val="00E04270"/>
    <w:rsid w:val="00E0677F"/>
    <w:rsid w:val="00E100EE"/>
    <w:rsid w:val="00E1013D"/>
    <w:rsid w:val="00E1162E"/>
    <w:rsid w:val="00E13C97"/>
    <w:rsid w:val="00E16155"/>
    <w:rsid w:val="00E16E8F"/>
    <w:rsid w:val="00E17963"/>
    <w:rsid w:val="00E20D75"/>
    <w:rsid w:val="00E21DFF"/>
    <w:rsid w:val="00E223C9"/>
    <w:rsid w:val="00E2415E"/>
    <w:rsid w:val="00E24720"/>
    <w:rsid w:val="00E2524F"/>
    <w:rsid w:val="00E278C0"/>
    <w:rsid w:val="00E301BA"/>
    <w:rsid w:val="00E30A6D"/>
    <w:rsid w:val="00E335C8"/>
    <w:rsid w:val="00E33A04"/>
    <w:rsid w:val="00E34563"/>
    <w:rsid w:val="00E41DC1"/>
    <w:rsid w:val="00E4509D"/>
    <w:rsid w:val="00E466C8"/>
    <w:rsid w:val="00E47AD9"/>
    <w:rsid w:val="00E50BAD"/>
    <w:rsid w:val="00E52083"/>
    <w:rsid w:val="00E532BA"/>
    <w:rsid w:val="00E54341"/>
    <w:rsid w:val="00E560F4"/>
    <w:rsid w:val="00E57173"/>
    <w:rsid w:val="00E57C15"/>
    <w:rsid w:val="00E620F9"/>
    <w:rsid w:val="00E62A1D"/>
    <w:rsid w:val="00E63231"/>
    <w:rsid w:val="00E64801"/>
    <w:rsid w:val="00E65863"/>
    <w:rsid w:val="00E65B89"/>
    <w:rsid w:val="00E703EF"/>
    <w:rsid w:val="00E72FAB"/>
    <w:rsid w:val="00E80579"/>
    <w:rsid w:val="00E80D1B"/>
    <w:rsid w:val="00E813DE"/>
    <w:rsid w:val="00E8291C"/>
    <w:rsid w:val="00E8315F"/>
    <w:rsid w:val="00E83C51"/>
    <w:rsid w:val="00E83E73"/>
    <w:rsid w:val="00E842A4"/>
    <w:rsid w:val="00E842AB"/>
    <w:rsid w:val="00E85268"/>
    <w:rsid w:val="00E85415"/>
    <w:rsid w:val="00E85C09"/>
    <w:rsid w:val="00E85E02"/>
    <w:rsid w:val="00E85FB3"/>
    <w:rsid w:val="00E86176"/>
    <w:rsid w:val="00E8666B"/>
    <w:rsid w:val="00E908AD"/>
    <w:rsid w:val="00E91398"/>
    <w:rsid w:val="00E934A7"/>
    <w:rsid w:val="00E9447B"/>
    <w:rsid w:val="00EA2BDC"/>
    <w:rsid w:val="00EA2D19"/>
    <w:rsid w:val="00EA316B"/>
    <w:rsid w:val="00EA6A6E"/>
    <w:rsid w:val="00EB11D4"/>
    <w:rsid w:val="00EB17CB"/>
    <w:rsid w:val="00EB2C5D"/>
    <w:rsid w:val="00EB2C79"/>
    <w:rsid w:val="00EB3DD2"/>
    <w:rsid w:val="00EB4D3F"/>
    <w:rsid w:val="00EB679C"/>
    <w:rsid w:val="00EB7FDB"/>
    <w:rsid w:val="00EC01E4"/>
    <w:rsid w:val="00EC0548"/>
    <w:rsid w:val="00EC09D4"/>
    <w:rsid w:val="00EC3FF5"/>
    <w:rsid w:val="00EC51E1"/>
    <w:rsid w:val="00EC6491"/>
    <w:rsid w:val="00EC70F1"/>
    <w:rsid w:val="00ED1A65"/>
    <w:rsid w:val="00ED5D34"/>
    <w:rsid w:val="00ED7ABB"/>
    <w:rsid w:val="00ED7E0C"/>
    <w:rsid w:val="00EE0272"/>
    <w:rsid w:val="00EE1E2D"/>
    <w:rsid w:val="00EE51C2"/>
    <w:rsid w:val="00EE592D"/>
    <w:rsid w:val="00EE64A9"/>
    <w:rsid w:val="00EE67FE"/>
    <w:rsid w:val="00EE6861"/>
    <w:rsid w:val="00EE6B1B"/>
    <w:rsid w:val="00EE6F8F"/>
    <w:rsid w:val="00EE7953"/>
    <w:rsid w:val="00EE7FBB"/>
    <w:rsid w:val="00EF1873"/>
    <w:rsid w:val="00EF418E"/>
    <w:rsid w:val="00EF4771"/>
    <w:rsid w:val="00EF5285"/>
    <w:rsid w:val="00EF5D9D"/>
    <w:rsid w:val="00EF68D0"/>
    <w:rsid w:val="00EF696D"/>
    <w:rsid w:val="00EF760F"/>
    <w:rsid w:val="00F0025D"/>
    <w:rsid w:val="00F010E5"/>
    <w:rsid w:val="00F03087"/>
    <w:rsid w:val="00F03772"/>
    <w:rsid w:val="00F04BE4"/>
    <w:rsid w:val="00F0626D"/>
    <w:rsid w:val="00F075AD"/>
    <w:rsid w:val="00F07D2A"/>
    <w:rsid w:val="00F111F3"/>
    <w:rsid w:val="00F13195"/>
    <w:rsid w:val="00F14670"/>
    <w:rsid w:val="00F169FA"/>
    <w:rsid w:val="00F17D50"/>
    <w:rsid w:val="00F2143F"/>
    <w:rsid w:val="00F21AC6"/>
    <w:rsid w:val="00F2273E"/>
    <w:rsid w:val="00F23E23"/>
    <w:rsid w:val="00F242A2"/>
    <w:rsid w:val="00F27C1E"/>
    <w:rsid w:val="00F31547"/>
    <w:rsid w:val="00F31A97"/>
    <w:rsid w:val="00F33D16"/>
    <w:rsid w:val="00F33D35"/>
    <w:rsid w:val="00F34B0F"/>
    <w:rsid w:val="00F3556B"/>
    <w:rsid w:val="00F36A6A"/>
    <w:rsid w:val="00F370CB"/>
    <w:rsid w:val="00F37220"/>
    <w:rsid w:val="00F3743E"/>
    <w:rsid w:val="00F37904"/>
    <w:rsid w:val="00F40F2D"/>
    <w:rsid w:val="00F41AAE"/>
    <w:rsid w:val="00F44E64"/>
    <w:rsid w:val="00F45647"/>
    <w:rsid w:val="00F47DD9"/>
    <w:rsid w:val="00F501C1"/>
    <w:rsid w:val="00F516AA"/>
    <w:rsid w:val="00F5289C"/>
    <w:rsid w:val="00F548AF"/>
    <w:rsid w:val="00F55C8E"/>
    <w:rsid w:val="00F5672D"/>
    <w:rsid w:val="00F57BD3"/>
    <w:rsid w:val="00F60E13"/>
    <w:rsid w:val="00F62DAB"/>
    <w:rsid w:val="00F642E4"/>
    <w:rsid w:val="00F64FDD"/>
    <w:rsid w:val="00F660F2"/>
    <w:rsid w:val="00F6628F"/>
    <w:rsid w:val="00F6713B"/>
    <w:rsid w:val="00F71B4A"/>
    <w:rsid w:val="00F72CC7"/>
    <w:rsid w:val="00F76110"/>
    <w:rsid w:val="00F808F1"/>
    <w:rsid w:val="00F80AB4"/>
    <w:rsid w:val="00F81547"/>
    <w:rsid w:val="00F8389D"/>
    <w:rsid w:val="00F840DA"/>
    <w:rsid w:val="00F852BD"/>
    <w:rsid w:val="00F85304"/>
    <w:rsid w:val="00F86A40"/>
    <w:rsid w:val="00F87231"/>
    <w:rsid w:val="00F90400"/>
    <w:rsid w:val="00F921EE"/>
    <w:rsid w:val="00F95E08"/>
    <w:rsid w:val="00F96154"/>
    <w:rsid w:val="00FA0679"/>
    <w:rsid w:val="00FA3180"/>
    <w:rsid w:val="00FA589C"/>
    <w:rsid w:val="00FB112E"/>
    <w:rsid w:val="00FB14BA"/>
    <w:rsid w:val="00FB2419"/>
    <w:rsid w:val="00FB27BF"/>
    <w:rsid w:val="00FB39D9"/>
    <w:rsid w:val="00FB3CE8"/>
    <w:rsid w:val="00FB5A0F"/>
    <w:rsid w:val="00FB62D5"/>
    <w:rsid w:val="00FB7F7C"/>
    <w:rsid w:val="00FC1AC4"/>
    <w:rsid w:val="00FC26F6"/>
    <w:rsid w:val="00FC2A43"/>
    <w:rsid w:val="00FC4119"/>
    <w:rsid w:val="00FC4A8F"/>
    <w:rsid w:val="00FC797D"/>
    <w:rsid w:val="00FD2204"/>
    <w:rsid w:val="00FD34AB"/>
    <w:rsid w:val="00FD3531"/>
    <w:rsid w:val="00FD362B"/>
    <w:rsid w:val="00FD3B25"/>
    <w:rsid w:val="00FD3DAB"/>
    <w:rsid w:val="00FD40E3"/>
    <w:rsid w:val="00FD4626"/>
    <w:rsid w:val="00FD6D68"/>
    <w:rsid w:val="00FE1CB8"/>
    <w:rsid w:val="00FE4096"/>
    <w:rsid w:val="00FE5D00"/>
    <w:rsid w:val="00FE60F5"/>
    <w:rsid w:val="00FE6F51"/>
    <w:rsid w:val="00FF13D8"/>
    <w:rsid w:val="00FF1422"/>
    <w:rsid w:val="00FF329E"/>
    <w:rsid w:val="00FF50CB"/>
    <w:rsid w:val="00FF573B"/>
    <w:rsid w:val="00FF7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E0412DE-500F-4EB1-A60E-6BE894D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D9"/>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B5CC-549B-4A33-BF5A-CA7C2EFF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Pages>
  <Words>28868</Words>
  <Characters>16455</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45233</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1000</cp:revision>
  <cp:lastPrinted>2016-02-18T08:39:00Z</cp:lastPrinted>
  <dcterms:created xsi:type="dcterms:W3CDTF">2015-03-10T09:58:00Z</dcterms:created>
  <dcterms:modified xsi:type="dcterms:W3CDTF">2016-02-18T08:52:00Z</dcterms:modified>
</cp:coreProperties>
</file>