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Paris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Being Parties to the United Nations Framework Convention on Climate Change, hereinafter referred to as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Pursuant to the Durban Platform for Enhanced Action established by decision 1/CP.17 of the Conference of the Parties to the Convention at its seventeenth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In pursuit of the objective of the Convention, and being guided by its principles, including the principle of equity and common but differentiated responsibilities and respective capabilities, in the light of different national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Recognizing the need for an effective and progressive response to the urgent threat of climate change on the basis of the best available scientific knowledge,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Also recognizing the specific needs and special circumstances of developing country Parties, especially those that are particularly vulnerable to the adverse effects of climate change, as provided for in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Taking full account of the specific needs and special situations of the least developed countries with regard to funding and transfer of technology,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that Parties may be affected not only by climate change, but also by the impacts of the measures taken in response to it,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Emphasizing the intrinsic relationship that climate change actions, responses and impacts have with equitable access to sustainable development and eradication of poverty,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fundamental priority of safeguarding food security and ending hunger, and the particular vulnerabilities of food production systems to the adverse impacts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Taking into account the imperatives of a just transition of the workforce and the creation of decent work and quality jobs in accordance with nationally defined development priorities,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importance of the conservation and enhancement, as appropriate, of sinks and reservoirs of the greenhouse gases referred to in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Noting the importance of ensuring the integrity of all ecosystems, including oceans, and the protection of biodiversity, recognized by some cultures as Mother Earth, and noting the importance for some of the concept of “climate justice”, when taking action to address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Affirming the importance of education, training, public awareness, public participation, public access to information and cooperation at all levels on the matters addressed in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importance of the engagements of all levels of government and various actors, in accordance with respective national legislations of Parties, in addressing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Also recognizing that sustainable lifestyles and sustainable patterns of consumption and production, with developed country Parties taking the lead, play an important role in addressing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Have agreed as follows: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For the purpose of this Agreement, the definitions contained in Article 1 of the Convention shall apply. In addition: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(a)</w:t>
      </w:r>
      <w:r w:rsidRPr="00F84B6B">
        <w:rPr>
          <w:rFonts w:ascii="Times New Roman" w:hAnsi="Times New Roman" w:cs="Times New Roman"/>
          <w:sz w:val="28"/>
          <w:szCs w:val="28"/>
          <w:lang w:val="en-GB"/>
        </w:rPr>
        <w:tab/>
        <w:t xml:space="preserve">“Convention” means the United Nations Framework Convention on Climate Change, adopted in New York on 9 May 1992;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“Conference of the Parties” means the Conference of the Parties to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“Party” means a Party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This Agreement, in enhancing the implementation of the Convention, including its objective, aims to strengthen the global response to the threat of climate change, in the context of sustainable development and efforts to eradicate poverty, including by: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Holding the increase in the global average temperature to well below 2 °C above pre-industrial levels and pursuing efforts to limit the temperature increase to 1.5 °C above pre-industrial levels, recognizing that this would significantly reduce the risks and impacts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Increasing the ability to adapt to the adverse impacts of climate change and foster climate resilience and low greenhouse gas emissions development, in a manner that does not threaten food production;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 xml:space="preserve">Making finance flows consistent with a pathway towards low greenhouse gas emissions and climate-resilient development.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This Agreement will be implemented to reflect equity and the principle of common but differentiated responsibilities and respective capabilities, in the light of different national circumstances.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3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As nationally determined contributions to the global response to climate change, all Parties are to undertake and communicate ambitious efforts as defined in Articles 4, 7, 9, 10, 11 and 13 with the view to achieving the purpose of this Agreement as set out in Article 2. The efforts of all Parties will represent a progression over time, while recognizing the need to support developing country Parties for the effective implementation of this Agreement.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lastRenderedPageBreak/>
        <w:t xml:space="preserve">Article 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In order to achieve the long-term temperature goal set out in Article 2, Parties aim to reach global peaking of greenhouse gas emissions as soon as possible, recognizing that peaking will take longer for developing country Parties, and to undertake rapid reductions thereafter in accordance with best available science, so as to achieve a balance between anthropogenic emissions by sources and removals by sinks of greenhouse gases in the second half of this century, on the basis of equity, and in the context of sustainable development and efforts to eradicate poverty.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Each Party shall prepare, communicate and maintain successive nationally determined contributions that it intends to achieve. Parties shall pursue domestic mitigation measures, with the aim of achieving the objectives of such contributions.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Each Party’s successive nationally determined contribution will represent a progression beyond the Party’s then current nationally determined contribution and reflect its highest possible ambition, reflecting its common but differentiated responsibilities and respective capabilities, in the light of different national circumstances.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Developed country Parties should continue taking the lead by undertaking economy-wide absolute emission reduction targets. Developing country Parties should continue enhancing their mitigation efforts, and are encouraged to move over time towards economy-wide emission reduction or limitation targets in the light of different national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Support shall be provided to developing country Parties for the implementation of this Article, in accordance with Articles 9, 10 and 11, recognizing that enhanced support for developing country Parties will allow for higher ambition in their actions.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 xml:space="preserve">The least developed countries and small island developing States may prepare and communicate strategies, plans and actions for low greenhouse gas emissions development reflecting their special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7.</w:t>
      </w:r>
      <w:r w:rsidRPr="00F84B6B">
        <w:rPr>
          <w:rFonts w:ascii="Times New Roman" w:hAnsi="Times New Roman" w:cs="Times New Roman"/>
          <w:sz w:val="28"/>
          <w:szCs w:val="28"/>
          <w:lang w:val="en-GB"/>
        </w:rPr>
        <w:tab/>
        <w:t>Mitigation co-benefits resulting from Parties’ adaptation actions and/or economic diversification plans can contribute to mitigation outcomes under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In communicating their nationally determined contributions, all Parties shall provide the information necessary for clarity, transparency and understanding in accordance with decision 1/CP.21 and any relevant decisions of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Each Party shall communicate a nationally determined contribution every five years in accordance with decision 1/CP.21 and any relevant decisions of the Conference of the Parties serving as the meeting of the Parties to this Agreement and be informed by the outcomes of the global stocktake referred to in Article 14.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The Conference of the Parties serving as the meeting of the Parties to this Agreement shall consider common time frames for nationally determined contributions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A Party may at any time adjust its existing nationally determined contribution with a view to enhancing its level of ambition, in accordance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Nationally determined contributions communicated by Parties shall be recorded in a public registry maintained by the secretariat.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 xml:space="preserve">Parties shall account for their nationally determined contributions. In accounting for anthropogenic emissions and removals corresponding to their nationally determined contributions, Parties shall promote environmental integrity, transparency, accuracy, completeness, comparability and consistency, and ensure the avoidance of double counting, in accordance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In the context of their nationally determined contributions, when recognizing and implementing mitigation actions with respect to anthropogenic emissions and removals, Parties should take into account, as appropriate, existing methods and guidance under the Convention, in the light of the provisions of paragraph 13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15.</w:t>
      </w:r>
      <w:r w:rsidRPr="00F84B6B">
        <w:rPr>
          <w:rFonts w:ascii="Times New Roman" w:hAnsi="Times New Roman" w:cs="Times New Roman"/>
          <w:sz w:val="28"/>
          <w:szCs w:val="28"/>
          <w:lang w:val="en-GB"/>
        </w:rPr>
        <w:tab/>
        <w:t xml:space="preserve">Parties shall take into consideration in the implementation of this Agreement the concerns of Parties with economies most affected by the impacts of response measures, particularly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16.</w:t>
      </w:r>
      <w:r w:rsidRPr="00F84B6B">
        <w:rPr>
          <w:rFonts w:ascii="Times New Roman" w:hAnsi="Times New Roman" w:cs="Times New Roman"/>
          <w:sz w:val="28"/>
          <w:szCs w:val="28"/>
          <w:lang w:val="en-GB"/>
        </w:rPr>
        <w:tab/>
        <w:t>Parties, including regional economic integration organizations and their member States, that have reached an agreement to act jointly under paragraph 2 of this Article shall notify the secretariat of the terms of that agreement, including the emission level allocated to each Party within the relevant time period, when they communicate their nationally determined contributions. The secretariat shall in turn inform the Parties and signatories to the Convention of the terms of that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17.</w:t>
      </w:r>
      <w:r w:rsidRPr="00F84B6B">
        <w:rPr>
          <w:rFonts w:ascii="Times New Roman" w:hAnsi="Times New Roman" w:cs="Times New Roman"/>
          <w:sz w:val="28"/>
          <w:szCs w:val="28"/>
          <w:lang w:val="en-GB"/>
        </w:rPr>
        <w:tab/>
        <w:t xml:space="preserve">Each party to such an agreement shall be responsible for its emission level as set out in the agreement referred to in paragraph 16 of this Article in accordance with paragraphs 13 and 14 of this Article and Articles 13 and 15.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18.</w:t>
      </w:r>
      <w:r w:rsidRPr="00F84B6B">
        <w:rPr>
          <w:rFonts w:ascii="Times New Roman" w:hAnsi="Times New Roman" w:cs="Times New Roman"/>
          <w:sz w:val="28"/>
          <w:szCs w:val="28"/>
          <w:lang w:val="en-GB"/>
        </w:rPr>
        <w:tab/>
        <w:t>If Parties acting jointly do so in the framework of, and together with, a regional economic integration organization which is itself a Party to this Agreement, each member State of that regional economic integration organization individually, and together with the regional economic integration organization, shall be responsible for its emission level as set out in the agreement communicated under paragraph 16 of this Article in accordance with paragraphs 13 and 14 of this Article and Articles 13 and 15.</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19.</w:t>
      </w:r>
      <w:r w:rsidRPr="00F84B6B">
        <w:rPr>
          <w:rFonts w:ascii="Times New Roman" w:hAnsi="Times New Roman" w:cs="Times New Roman"/>
          <w:sz w:val="28"/>
          <w:szCs w:val="28"/>
          <w:lang w:val="en-GB"/>
        </w:rPr>
        <w:tab/>
        <w:t>All Parties should strive to formulate and communicate long-term low greenhouse gas emission development strategies, mindful of Article 2 taking into account their common but differentiated responsibilities and respective capabilities, in the light of different national circumstances.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Parties should take action to conserve and enhance, as appropriate, sinks and reservoirs of greenhouse gases as referred to in Article 4, paragraph 1(d), of the Convention, including forests.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Parties are encouraged to take action to implement and support, including through results-based payments, the existing framework as set out in related guidance and decisions already agreed under the Convention for: policy approaches and positive incentives for activities </w:t>
      </w:r>
      <w:r w:rsidRPr="00F84B6B">
        <w:rPr>
          <w:rFonts w:ascii="Times New Roman" w:hAnsi="Times New Roman" w:cs="Times New Roman"/>
          <w:sz w:val="28"/>
          <w:szCs w:val="28"/>
          <w:lang w:val="en-GB"/>
        </w:rPr>
        <w:lastRenderedPageBreak/>
        <w:t>relating to reducing emissions from deforestation and forest degradation, and the role of conservation, sustainable management of forests and enhancement of forest carbon stocks in developing countries; and alternative policy approaches, such as joint mitigation and adaptation approaches for the integral and sustainable management of forests, while reaffirming the importance of incentivizing, as appropriate, non-carbon benefits associated with such approaches.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recognize that some Parties choose to pursue voluntary cooperation in the implementation of their nationally determined contributions to allow for higher ambition in their mitigation and adaptation actions and to promote sustainable development and environmental integrity.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Parties shall, where engaging on a voluntary basis in cooperative approaches that involve the use of internationally transferred mitigation outcomes towards nationally determined contributions, promote sustainable development and ensure environmental integrity and transparency, including in governance, and shall apply robust accounting to ensure, inter alia, the avoidance of double counting, consistent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use of internationally transferred mitigation outcomes to achieve nationally determined contributions under this Agreement shall be voluntary and authorized by participating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 mechanism to contribute to the mitigation of greenhouse gas emissions and support sustainable development is hereby established under the authority and guidance of the Conference of the Parties serving as the meeting of the Parties to this Agreement for use by Parties on a voluntary basis. It shall be supervised by a body designated by the Conference of the Parties serving as the meeting of the Parties to this Agreement, and shall aim: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To promote the mitigation of greenhouse gas emissions while fostering sustainable development;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(b)</w:t>
      </w:r>
      <w:r w:rsidRPr="00F84B6B">
        <w:rPr>
          <w:rFonts w:ascii="Times New Roman" w:hAnsi="Times New Roman" w:cs="Times New Roman"/>
          <w:sz w:val="28"/>
          <w:szCs w:val="28"/>
          <w:lang w:val="en-GB"/>
        </w:rPr>
        <w:tab/>
        <w:t>To incentivize and facilitate participation in the mitigation of greenhouse gas emissions by public and private entities authorized by a Party;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To contribute to the reduction of emission levels in the host Party, which will benefit from mitigation activities resulting in emission reductions that can also be used by another Party to fulfil its nationally determined contribution;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To deliver an overall mitigation in global emissions.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Emission reductions resulting from the mechanism referred to in paragraph 4 of this Article shall not be used to demonstrate achievement of the host Party’s nationally determined contribution if used by another Party to demonstrate achievement of its nationally determined contribution.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The Conference of the Parties serving as the meeting of the Parties to this Agreement shall ensure that a share of the proceeds from activities under the mechanism referred to in paragraph 4 of this Article is used to cover administrative expenses as well as to assist developing country Parties that are particularly vulnerable to the adverse effects of climate change to meet the costs of adaptation.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The Conference of the Parties serving as the meeting of the Parties to this Agreement shall adopt rules, modalities and procedures for the mechanism referred to in paragraph 4 of this Article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Parties recognize the importance of integrated, holistic and balanced non-market approaches being available to Parties to assist in the implementation of their nationally determined contributions, in the context of sustainable development and poverty eradication, in a coordinated and effective manner, including through, inter alia, mitigation, adaptation, finance, technology transfer and capacity-building, as appropriate. These approaches shall aim to: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Promote mitigation and adaptation ambition;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Enhance public and private sector participation in the implementation of nationally determined contributions;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(c)</w:t>
      </w:r>
      <w:r w:rsidRPr="00F84B6B">
        <w:rPr>
          <w:rFonts w:ascii="Times New Roman" w:hAnsi="Times New Roman" w:cs="Times New Roman"/>
          <w:sz w:val="28"/>
          <w:szCs w:val="28"/>
          <w:lang w:val="en-GB"/>
        </w:rPr>
        <w:tab/>
        <w:t xml:space="preserve">Enable opportunities for coordination across instruments and relevant institutional arrangements.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A framework for non-market approaches to sustainable development is hereby defined to promote the non-market approaches referred to in paragraph 8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7</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hereby establish the global goal on adaptation of enhancing adaptive capacity, strengthening resilience and reducing vulnerability to climate change, with a view to contributing to sustainable development and ensuring an adequate adaptation response in the context of the temperature goal referred to in Article 2.</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recognize that adaptation is a global challenge faced by all with local, subnational, national, regional and international dimensions, and that it is a key component of and makes a contribution to the long-term global response to climate change to protect people, livelihoods and ecosystems, taking into account the urgent and immediate needs of those developing country Parties that are particularly vulnerable to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adaptation efforts of developing country Parties shall be recognized, in accordance with the modalities to be adopted by the Conference of the Parties serving as the meeting of the Parties to this Agreement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Parties recognize that the current need for adaptation is significant and that greater levels of mitigation can reduce the need for additional adaptation efforts, and that greater adaptation needs can involve greater adaptation costs.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6.</w:t>
      </w:r>
      <w:r w:rsidRPr="00F84B6B">
        <w:rPr>
          <w:rFonts w:ascii="Times New Roman" w:hAnsi="Times New Roman" w:cs="Times New Roman"/>
          <w:sz w:val="28"/>
          <w:szCs w:val="28"/>
          <w:lang w:val="en-GB"/>
        </w:rPr>
        <w:tab/>
        <w:t>Parties recognize the importance of support for and international cooperation on adaptation efforts and the importance of taking into account the needs of developing country Parties, especially those that are particularly vulnerable to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Parties should strengthen their cooperation on enhancing action on adaptation, taking into account the Cancun Adaptation Framework, including with regard to: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Sharing information, good practices, experiences and lessons learned, including, as appropriate, as these relate to science, planning, policies and implementation in relation to adaptation actions;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Strengthening institutional arrangements, including those under the Convention that serve this Agreement, to support the synthesis of relevant information and knowledge, and the provision of technical support and guidance to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Strengthening scientific knowledge on climate, including research, systematic observation of the climate system and early warning systems, in a manner that informs climate services and supports decision-making;</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Assisting developing country Parties in identifying effective adaptation practices, adaptation needs, priorities, support provided and received for adaptation actions and efforts, and challenges and gaps, in a manner consistent with encouraging good practices;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Improving the effectiveness and durability of adaptation actions.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United Nations </w:t>
      </w:r>
      <w:proofErr w:type="gramStart"/>
      <w:r w:rsidRPr="00F84B6B">
        <w:rPr>
          <w:rFonts w:ascii="Times New Roman" w:hAnsi="Times New Roman" w:cs="Times New Roman"/>
          <w:sz w:val="28"/>
          <w:szCs w:val="28"/>
          <w:lang w:val="en-GB"/>
        </w:rPr>
        <w:t>specialized</w:t>
      </w:r>
      <w:proofErr w:type="gramEnd"/>
      <w:r w:rsidRPr="00F84B6B">
        <w:rPr>
          <w:rFonts w:ascii="Times New Roman" w:hAnsi="Times New Roman" w:cs="Times New Roman"/>
          <w:sz w:val="28"/>
          <w:szCs w:val="28"/>
          <w:lang w:val="en-GB"/>
        </w:rPr>
        <w:t xml:space="preserve"> organizations and agencies are encouraged to support the efforts of Parties to implement the actions referred to in paragraph 7 of this Article, taking into account the provisions of paragraph 5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Each Party shall, as appropriate, engage in adaptation planning processes and the implementation of actions, including the development or enhancement of relevant plans, policies and/or contributions, which may include: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The implementation of adaptation actions, undertakings and/or efforts;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(b)</w:t>
      </w:r>
      <w:r w:rsidRPr="00F84B6B">
        <w:rPr>
          <w:rFonts w:ascii="Times New Roman" w:hAnsi="Times New Roman" w:cs="Times New Roman"/>
          <w:sz w:val="28"/>
          <w:szCs w:val="28"/>
          <w:lang w:val="en-GB"/>
        </w:rPr>
        <w:tab/>
        <w:t>The process to formulate and implement national adaptation plans;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The assessment of climate change impacts and vulnerability, with a view to formulating nationally determined prioritized actions, taking into account vulnerable people, places and ecosystems;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Monitoring and evaluating and learning from adaptation plans, policies, programmes and actions;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Building the resilience of socioeconomic and ecological systems, including through economic diversification and sustainable management of natural resources.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Each Party should, as appropriate, submit and update periodically an adaptation communication, which may include its priorities, implementation and support needs, plans and actions, without creating any additional burden for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The adaptation communication referred to in paragraph 10 of this Article shall be, as appropriate, submitted and updated periodically, as a component of or in conjunction with other communications or documents, including a national adaptation plan, a nationally determined contribution as referred to in Article 4, paragraph 2, and/or a national communication.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The adaptation communications referred to in paragraph 10 of this Article shall be recorded in a public registry maintained by the secretariat.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Continuous and enhanced international support shall be provided to developing country Parties for the implementation of paragraphs 7, 9, 10 and 11 of this Article, in accordance with the provisions of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 xml:space="preserve">The global stocktake referred to in Article 14 shall, inter alia: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 xml:space="preserve">Recognize adaptation efforts of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Enhance the implementation of adaptation action taking into account the adaptation communication referred to in paragraph 10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(c)</w:t>
      </w:r>
      <w:r w:rsidRPr="00F84B6B">
        <w:rPr>
          <w:rFonts w:ascii="Times New Roman" w:hAnsi="Times New Roman" w:cs="Times New Roman"/>
          <w:sz w:val="28"/>
          <w:szCs w:val="28"/>
          <w:lang w:val="en-GB"/>
        </w:rPr>
        <w:tab/>
        <w:t>Review the adequacy and effectiveness of adaptation and support provided for adaptation;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Review the overall progress made in achieving the global goal on adaptation referred to in paragraph 1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Parties recognize the importance of averting, minimizing and addressing loss and damage associated with the adverse effects of climate change, including extreme weather events and slow onset events, and the role of sustainable development in reducing the risk of loss and damage.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Warsaw International Mechanism for Loss and Damage associated with Climate Change Impacts shall be subject to the authority and guidance of the Conference of the Parties serving as the meeting of the Parties to this Agreement and may be enhanced and strengthened, as determined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Parties should enhance understanding, action and support, including through the Warsaw International Mechanism, as appropriate, on a cooperative and facilitative basis with respect to loss and damage associated with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Accordingly, areas of cooperation and facilitation to enhance understanding, action and support may include: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Early warning 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 xml:space="preserve">Emergency preparedness;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Slow onset events;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Events that may involve irreversible and permanent loss and damage;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Comprehensive risk assessment and management;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(f)</w:t>
      </w:r>
      <w:r w:rsidRPr="00F84B6B">
        <w:rPr>
          <w:rFonts w:ascii="Times New Roman" w:hAnsi="Times New Roman" w:cs="Times New Roman"/>
          <w:sz w:val="28"/>
          <w:szCs w:val="28"/>
          <w:lang w:val="en-GB"/>
        </w:rPr>
        <w:tab/>
        <w:t xml:space="preserve">Risk insurance facilities, climate risk pooling and other insurance solutions;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(g)</w:t>
      </w:r>
      <w:r w:rsidRPr="00F84B6B">
        <w:rPr>
          <w:rFonts w:ascii="Times New Roman" w:hAnsi="Times New Roman" w:cs="Times New Roman"/>
          <w:sz w:val="28"/>
          <w:szCs w:val="28"/>
          <w:lang w:val="en-GB"/>
        </w:rPr>
        <w:tab/>
        <w:t>Non-economic losses;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(h)</w:t>
      </w:r>
      <w:r w:rsidRPr="00F84B6B">
        <w:rPr>
          <w:rFonts w:ascii="Times New Roman" w:hAnsi="Times New Roman" w:cs="Times New Roman"/>
          <w:sz w:val="28"/>
          <w:szCs w:val="28"/>
          <w:lang w:val="en-GB"/>
        </w:rPr>
        <w:tab/>
        <w:t>Resilience of communities, livelihoods and ecosystems.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The Warsaw International Mechanism shall collaborate with existing bodies and expert groups under the Agreement, as well as relevant organizations and expert bodies outside the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9</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Developed country Parties shall provide financial resources to assist developing country Parties with respect to both mitigation and adaptation in continuation of their existing obligations under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Other Parties are encouraged to provide or continue to provide such support voluntarily.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As part of a global effort, developed country Parties should continue to take the lead in mobilizing climate finance from a wide variety of sources, instruments and channels, noting the significant role of public funds, through a variety of actions, including supporting country-driven strategies, and taking into account the needs and priorities of developing country Parties. Such mobilization of climate finance should represent a progression beyond previous efforts.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provision of scaled-up financial resources should aim to achieve a balance between adaptation and mitigation, taking into account country-driven strategies, and the priorities and needs of developing country Parties, especially those that are particularly vulnerable to the adverse effects of climate change and have significant capacity constraints, such as the least developed countries and small island developing States, considering the need for public and grant-based resources for adaptation.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Developed country Parties shall biennially communicate indicative quantitative and qualitative information related to paragraphs 1 and 3 of this Article, as applicable, including, as available, projected levels of public financial resources to be provided to developing country Parties. Other Parties providing resources are encouraged to communicate biennially such information on a voluntary basis.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6.</w:t>
      </w:r>
      <w:r w:rsidRPr="00F84B6B">
        <w:rPr>
          <w:rFonts w:ascii="Times New Roman" w:hAnsi="Times New Roman" w:cs="Times New Roman"/>
          <w:sz w:val="28"/>
          <w:szCs w:val="28"/>
          <w:lang w:val="en-GB"/>
        </w:rPr>
        <w:tab/>
        <w:t xml:space="preserve">The global stocktake referred to in Article 14 shall take into account the relevant information provided by developed country Parties and/or Agreement bodies on efforts related to climate finance.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Developed country Parties shall provide transparent and consistent information on support for developing country Parties provided and mobilized through public interventions biennially in accordance with the modalities, procedures and guidelines to be adopted by the Conference of the Parties serving as the meeting of the Parties to this Agreement, at its first session, as stipulated in Article 13, paragraph 13. Other Parties are encouraged to do so.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The Financial Mechanism of the Convention, including its operating entities, shall serve as the financial mechanism of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 xml:space="preserve">The institutions serving this Agreement, including the operating entities of the Financial Mechanism of the Convention, shall aim to ensure efficient access to financial resources through simplified approval procedures and enhanced readiness support for developing country Parties, in particular for the least developed countries and </w:t>
      </w:r>
      <w:proofErr w:type="gramStart"/>
      <w:r w:rsidRPr="00F84B6B">
        <w:rPr>
          <w:rFonts w:ascii="Times New Roman" w:hAnsi="Times New Roman" w:cs="Times New Roman"/>
          <w:sz w:val="28"/>
          <w:szCs w:val="28"/>
          <w:lang w:val="en-GB"/>
        </w:rPr>
        <w:t>small island</w:t>
      </w:r>
      <w:proofErr w:type="gramEnd"/>
      <w:r w:rsidRPr="00F84B6B">
        <w:rPr>
          <w:rFonts w:ascii="Times New Roman" w:hAnsi="Times New Roman" w:cs="Times New Roman"/>
          <w:sz w:val="28"/>
          <w:szCs w:val="28"/>
          <w:lang w:val="en-GB"/>
        </w:rPr>
        <w:t xml:space="preserve"> developing States, in the context of their national climate strategies and plans.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10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share a long-term vision on the importance of fully realizing technology development and transfer in order to improve resilience to climate change and to reduce greenhouse gas emissions.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noting the importance of technology for the implementation of mitigation and adaptation actions under this Agreement and recognizing existing technology deployment and dissemination efforts, shall strengthen cooperative action on technology development and transfer.</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Technology Mechanism established under the Convention shall serve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 technology framework is hereby established to provide overarching guidance to the work of the Technology Mechanism in </w:t>
      </w:r>
      <w:r w:rsidRPr="00F84B6B">
        <w:rPr>
          <w:rFonts w:ascii="Times New Roman" w:hAnsi="Times New Roman" w:cs="Times New Roman"/>
          <w:sz w:val="28"/>
          <w:szCs w:val="28"/>
          <w:lang w:val="en-GB"/>
        </w:rPr>
        <w:lastRenderedPageBreak/>
        <w:t xml:space="preserve">promoting and facilitating enhanced action on technology development and transfer in order to support the implementation of this Agreement, in pursuit of the long-term vision referred to in paragraph 1 of this Article.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Accelerating, encouraging and enabling innovation is critical for an effective, long-term global response to climate change and promoting economic growth and sustainable development. Such effort shall be, as appropriate, supported, including by the Technology Mechanism and, through financial means, by the Financial Mechanism of the Convention, for collaborative approaches to research and development, and facilitating access to technology, in particular for early stages of the technology cycle, to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Support, including financial support, shall be provided to developing country Parties for the implementation of this Article, including for strengthening cooperative action on technology development and transfer at different stages of the technology cycle, with a view to achieving a balance between support for mitigation and adaptation. The global stocktake referred to in Article 14 shall take into account available information on efforts related to support on technology development and transfer for developing country Parties.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11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Capacity-building under this Agreement should enhance the capacity and ability of developing country Parties, in particular countries with the least capacity, such as the least developed countries, and those that are particularly vulnerable to the adverse effects of climate change, such as small island developing States, to take effective climate change action, including, inter alia, to implement adaptation and mitigation actions, and should facilitate technology development, dissemination and deployment, access to climate finance, relevant aspects of education, training and public awareness, and the transparent, timely and accurate communication of information.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Capacity-building should be country-driven, based on and responsive to national needs, and foster country ownership of Parties, in particular, for developing country Parties, including at the national, subnational and local levels. Capacity-building should be guided by lessons learned, including those from capacity-building activities under </w:t>
      </w:r>
      <w:r w:rsidRPr="00F84B6B">
        <w:rPr>
          <w:rFonts w:ascii="Times New Roman" w:hAnsi="Times New Roman" w:cs="Times New Roman"/>
          <w:sz w:val="28"/>
          <w:szCs w:val="28"/>
          <w:lang w:val="en-GB"/>
        </w:rPr>
        <w:lastRenderedPageBreak/>
        <w:t xml:space="preserve">the Convention, and should be an effective, iterative process that is participatory, cross-cutting and gender-responsive.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All Parties should cooperate to enhance the capacity of developing country Parties to implement this Agreement. Developed country Parties should enhance support for capacity-building actions in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All Parties enhancing the capacity of developing country Parties to implement this Agreement, including through regional, bilateral and multilateral approaches, shall regularly communicate on these actions or measures on capacity-building. Developing country Parties should regularly communicate progress made on implementing capacity-building plans, policies, actions or measures to implement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Capacity-building activities shall be enhanced through appropriate institutional arrangements to support the implementation of this Agreement, including the appropriate institutional arrangements established under the Convention that serve this Agreement. The Conference of the Parties serving as the meeting of the Parties to this Agreement shall, at its first session, consider and adopt a decision on the initial institutional arrangements for capacity-building.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12</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Parties shall cooperate in taking measures, as appropriate, to enhance climate change education, training, public awareness, public participation and public access to information, recognizing the importance of these steps with respect to enhancing actions under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13</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In order to build mutual trust and confidence and to promote effective implementation, an enhanced transparency framework for action and support, with built-in flexibility which takes into account Parties’ different capacities and builds upon collective experience is hereby established.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transparency framework shall provide flexibility in the implementation of the provisions of this Article to those developing country Parties that need it in the light of their capacities. The modalities, </w:t>
      </w:r>
      <w:r w:rsidRPr="00F84B6B">
        <w:rPr>
          <w:rFonts w:ascii="Times New Roman" w:hAnsi="Times New Roman" w:cs="Times New Roman"/>
          <w:sz w:val="28"/>
          <w:szCs w:val="28"/>
          <w:lang w:val="en-GB"/>
        </w:rPr>
        <w:lastRenderedPageBreak/>
        <w:t xml:space="preserve">procedures and guidelines referred to in paragraph 13 of this Article shall reflect such flexibility.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transparency framework shall build on and enhance the transparency arrangements under the Convention, recognizing the special circumstances of the least developed countries and small island developing States, and be implemented in a facilitative, non-intrusive, non-punitive manner, respectful of national sovereignty, and avoid placing undue burden on Parties.</w:t>
      </w:r>
      <w:r w:rsidRPr="00F84B6B">
        <w:rPr>
          <w:rFonts w:ascii="Times New Roman" w:hAnsi="Times New Roman" w:cs="Times New Roman"/>
          <w:sz w:val="28"/>
          <w:szCs w:val="28"/>
          <w:lang w:val="en-GB"/>
        </w:rPr>
        <w:tab/>
        <w:t xml:space="preserv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transparency arrangements under the Convention, including national communications, biennial reports and biennial update reports, international assessment and review and international consultation and analysis, shall form part of the experience drawn upon for the development of the modalities, procedures and guidelines under paragraph 13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The purpose of the framework for transparency of action is to provide a clear understanding of climate change action in the light of the objective of the Convention as set out in its Article 2, including clarity and tracking of progress towards achieving Parties’ individual nationally determined contributions under Article 4, and Parties’ adaptation actions under Article 7, including good practices, priorities, needs and gaps, to inform the global stocktake under Article 14.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The purpose of the framework for transparency of support is to provide clarity on support provided and received by relevant individual Parties in the context of climate change actions under Articles 4, 7, 9, 10 and 11, and, to the extent possible, to provide a full overview of aggregate financial support provided, to inform the global stocktake under Article 14.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Each Party shall regularly provide the following information: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A national inventory report of anthropogenic emissions by sources and removals by sinks of greenhouse gases, prepared using good practice methodologies accepted by the Intergovernmental Panel on Climate Change and agreed upon by the Conference of the Parties serving as the meeting of the Parties to this Agreement;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(b)</w:t>
      </w:r>
      <w:r w:rsidRPr="00F84B6B">
        <w:rPr>
          <w:rFonts w:ascii="Times New Roman" w:hAnsi="Times New Roman" w:cs="Times New Roman"/>
          <w:sz w:val="28"/>
          <w:szCs w:val="28"/>
          <w:lang w:val="en-GB"/>
        </w:rPr>
        <w:tab/>
        <w:t>Information necessary to track progress made in implementing and achieving its nationally determined contribution under Article 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Each Party should also provide information related to climate change impacts and adaptation under Article 7, as appropriate.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Developed country Parties shall, and other Parties that provide support should, provide information on financial, technology transfer and capacity-building support provided to developing country Parties under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Developing country Parties should provide information on financial, technology transfer and capacity-building support needed and received under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Information submitted by each Party under paragraphs 7 and 9 of this Article shall undergo a technical expert review, in accordance with decision 1/CP.21. For those developing country Parties that need it in the light of their capacities, the review process shall include assistance in identifying capacity-building needs. In addition, each Party shall participate in a facilitative, multilateral consideration of progress with respect to efforts under Article 9, and its respective implementation and achievement of its nationally determined contribution.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The technical expert review under this paragraph shall consist of a consideration of the Party’s support provided, as relevant, and its implementation and achievement of its nationally determined contribution. The review shall also identify areas of improvement for the Party, and include a review of the consistency of the information with the modalities, procedures and guidelines referred to in paragraph 13 of this Article, taking into account the flexibility accorded to the Party under paragraph 2 of this Article. The review shall pay particular attention to the respective national capabilities and circumstances of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 xml:space="preserve">The Conference of the Parties serving as the meeting of the Parties to this Agreement shall, at its first session, building on experience from the arrangements related to transparency under the Convention, and elaborating on the provisions in this Article, adopt common modalities, </w:t>
      </w:r>
      <w:r w:rsidRPr="00F84B6B">
        <w:rPr>
          <w:rFonts w:ascii="Times New Roman" w:hAnsi="Times New Roman" w:cs="Times New Roman"/>
          <w:sz w:val="28"/>
          <w:szCs w:val="28"/>
          <w:lang w:val="en-GB"/>
        </w:rPr>
        <w:lastRenderedPageBreak/>
        <w:t>procedures and guidelines, as appropriate, for the transparency of action and support.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Support shall be provided to developing countries for the implementation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15.</w:t>
      </w:r>
      <w:r w:rsidRPr="00F84B6B">
        <w:rPr>
          <w:rFonts w:ascii="Times New Roman" w:hAnsi="Times New Roman" w:cs="Times New Roman"/>
          <w:sz w:val="28"/>
          <w:szCs w:val="28"/>
          <w:lang w:val="en-GB"/>
        </w:rPr>
        <w:tab/>
        <w:t>Support shall also be provided for the building of transparency-related capacity of developing country Parties on a continuous basis.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The Conference of the Parties serving as the meeting of the Parties to this Agreement shall periodically take stock of the implementation of this Agreement to assess the collective progress towards achieving the purpose of this Agreement and its long-term goals (referred to as the “global stocktake”). It shall do so in a comprehensive and facilitative manner, considering mitigation, adaptation and the means of implementation and support, and in the light of equity and the best available science.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The Conference of the Parties serving as the meeting of the Parties to this Agreement shall undertake its first global stocktake in 2023 and every five years thereafter unless otherwise decided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 xml:space="preserve">The outcome of the global stocktake shall inform Parties in updating and enhancing, in a nationally determined manner, their actions and support in accordance with the relevant provisions of this Agreement, as well as in enhancing international cooperation for climate action.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15</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A mechanism to facilitate implementation of and promote compliance with the provisions of this Agreement is hereby established.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The mechanism referred to in paragraph 1 of this Article shall consist of a committee that shall be expert-based and facilitative in nature and function in a manner that is transparent, non-adversarial and non-punitive. The committee shall pay particular attention to the respective national capabilities and circumstances of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3.</w:t>
      </w:r>
      <w:r w:rsidRPr="00F84B6B">
        <w:rPr>
          <w:rFonts w:ascii="Times New Roman" w:hAnsi="Times New Roman" w:cs="Times New Roman"/>
          <w:sz w:val="28"/>
          <w:szCs w:val="28"/>
          <w:lang w:val="en-GB"/>
        </w:rPr>
        <w:tab/>
        <w:t>The committee shall operate under the modalities and procedures adopted by the Conference of the Parties serving as the meeting of the Parties to this Agreement at its first session and report annually to the Conference of the Parties serving as the meeting of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Conference of the Parties, the supreme body of the Convention, shall serve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amongst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Conference of the Parties serving as the meeting of the Parties to this Agreement shall keep under regular review the implementation of this Agreement and shall make, within its mandate, the decisions necessary to promote its effective implementation. It shall perform the functions assigned to it by this Agreement and shall:</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Establish such subsidiary bodies as deemed necessary for the implementation of this Agreement;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Exercise such other functions as may be required for the implementation of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The rules of procedure of the Conference of the Parties and the financial procedures applied under the Convention shall be applied mutatis mutandis under this Agreement, except as may be otherwise decided by consensus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6.</w:t>
      </w:r>
      <w:r w:rsidRPr="00F84B6B">
        <w:rPr>
          <w:rFonts w:ascii="Times New Roman" w:hAnsi="Times New Roman" w:cs="Times New Roman"/>
          <w:sz w:val="28"/>
          <w:szCs w:val="28"/>
          <w:lang w:val="en-GB"/>
        </w:rPr>
        <w:tab/>
        <w:t>The first session of the Conference of the Parties serving as the meeting of the Parties to this Agreement shall be convened by the secretariat in conjunction with the first session of the Conference of the Parties that is scheduled after the date of entry into force of this Agreement. Subsequent ordinary sessions of the Conference of the Parties serving as the meeting of the Parties to this Agreement shall be held in conjunction with ordinary sessions of the Conference of the Parties, unless otherwise decided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The United Nations and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w:t>
      </w:r>
      <w:proofErr w:type="spellStart"/>
      <w:r w:rsidRPr="00F84B6B">
        <w:rPr>
          <w:rFonts w:ascii="Times New Roman" w:hAnsi="Times New Roman" w:cs="Times New Roman"/>
          <w:sz w:val="28"/>
          <w:szCs w:val="28"/>
          <w:lang w:val="en-GB"/>
        </w:rPr>
        <w:t>Any body</w:t>
      </w:r>
      <w:proofErr w:type="spellEnd"/>
      <w:r w:rsidRPr="00F84B6B">
        <w:rPr>
          <w:rFonts w:ascii="Times New Roman" w:hAnsi="Times New Roman" w:cs="Times New Roman"/>
          <w:sz w:val="28"/>
          <w:szCs w:val="28"/>
          <w:lang w:val="en-GB"/>
        </w:rPr>
        <w:t xml:space="preserve"> or agency, whether national or international, governmental or non-governmental, which is qualified in matters covered by this Agreement and which has informed the secretariat of its wish to be represented at a session of the Conference of the Parties serving as the meeting of the Parties to this Agreement as an observer, may be so admitted unless at least one third of the Parties present object. The admission and participation of observers shall be subject to the rules of procedure referred to in paragraph 5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17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secretariat established by Article 8 of the Convention shall serve as the secretariat of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Article 8, paragraph 2, of the Convention on the functions of the secretariat, and Article 8, paragraph 3, of the Convention, on the arrangements made for the functioning of the secretariat, shall apply </w:t>
      </w:r>
      <w:r w:rsidRPr="00F84B6B">
        <w:rPr>
          <w:rFonts w:ascii="Times New Roman" w:hAnsi="Times New Roman" w:cs="Times New Roman"/>
          <w:sz w:val="28"/>
          <w:szCs w:val="28"/>
          <w:lang w:val="en-GB"/>
        </w:rPr>
        <w:lastRenderedPageBreak/>
        <w:t>mutatis mutandis to this Agreement. The secretariat shall, in addition, exercise the functions assigned to it under this Agreement and by the Conference of the Parties serving as the meeting of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Subsidiary Body for Scientific and Technological Advice and the Subsidiary Body for Implementation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mutatis mutandis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amongst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19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Subsidiary bodies or other institutional arrangements established by or under the Convention, other than those referred to in this Agreement, shall serve this Agreement upon a decision of the Conference of the Parties serving as the meeting of the Parties to this Agreement. The Conference of the Parties serving as the meeting of the Parties to this </w:t>
      </w:r>
      <w:r w:rsidRPr="00F84B6B">
        <w:rPr>
          <w:rFonts w:ascii="Times New Roman" w:hAnsi="Times New Roman" w:cs="Times New Roman"/>
          <w:sz w:val="28"/>
          <w:szCs w:val="28"/>
          <w:lang w:val="en-GB"/>
        </w:rPr>
        <w:lastRenderedPageBreak/>
        <w:t>Agreement shall specify the functions to be exercised by such subsidiary bodies or arrangements.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Conference of the Parties serving as the meeting of the Parties to this Agreement may provide further guidance to such subsidiary bodies and institutional arrangements.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20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This Agreement shall be open for signature and subject to ratification, acceptance or approval by States and regional economic integration organizations that are Parties to the Convention. It shall be open for signature at the United Nations Headquarters in New York from 22 April 2016 to 21 April 2017. Thereafter, this Agreement shall be open for accession from the day following the date on which it is closed for signature. Instruments of ratification, acceptance, approval or accession shall be deposited with the Depositary.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21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This Agreement shall enter into force on the thirtieth day after the date on which at least 55 Parties to the Convention accounting in total for at least an estimated 55 per cent of the total global greenhouse gas </w:t>
      </w:r>
      <w:r w:rsidRPr="00F84B6B">
        <w:rPr>
          <w:rFonts w:ascii="Times New Roman" w:hAnsi="Times New Roman" w:cs="Times New Roman"/>
          <w:sz w:val="28"/>
          <w:szCs w:val="28"/>
          <w:lang w:val="en-GB"/>
        </w:rPr>
        <w:lastRenderedPageBreak/>
        <w:t xml:space="preserve">emissions have deposited their instruments of ratification, acceptance, approval or accession.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Solely for the limited purpose of paragraph 1 of this Article, “total global greenhouse gas emissions” means the most up-to-date amount communicated on or before the date of adoption of this Agreement by the Parties to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For each State or regional economic integration organization that ratifies, accepts or approves this Agreement or accedes thereto after the conditions set out in paragraph 1 of this Article for entry into force have been fulfilled, this Agreement shall enter into force on the thirtieth day after the date of deposit by such State or regional economic integration organization of its instrument of ratification, acceptance, approval or accession.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For the purposes of paragraph 1 of this Article, any instrument deposited by a regional economic integration organization shall not be counted as additional to those deposited by its member States.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provisions of Article 15 of the Convention on the adoption of amendments to the Convention shall apply mutatis mutandis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23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The provisions of Article 16 of the Convention on the adoption and amendment of annexes to the Convention shall apply mutatis mutandis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Annexes to this Agreement shall form an integral part thereof and, unless otherwise expressly provided for, a reference to this Agreement constitutes at the same time a reference to any annexes thereto. Such annexes shall be restricted to lists, forms and any other material of a descriptive nature that is of a scientific, technical, procedural or administrative character.</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The provisions of Article 14 of the Convention on settlement of disputes shall apply mutatis mutandis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Each Party shall have one vote, except as provided for in paragraph 2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Secretary-General of the United Nations shall be the Depositary of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27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No reservations may be made to this Agreement.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At any time after three years from the date on which this Agreement has entered into force for a </w:t>
      </w:r>
      <w:proofErr w:type="gramStart"/>
      <w:r w:rsidRPr="00F84B6B">
        <w:rPr>
          <w:rFonts w:ascii="Times New Roman" w:hAnsi="Times New Roman" w:cs="Times New Roman"/>
          <w:sz w:val="28"/>
          <w:szCs w:val="28"/>
          <w:lang w:val="en-GB"/>
        </w:rPr>
        <w:t>Party, that</w:t>
      </w:r>
      <w:proofErr w:type="gramEnd"/>
      <w:r w:rsidRPr="00F84B6B">
        <w:rPr>
          <w:rFonts w:ascii="Times New Roman" w:hAnsi="Times New Roman" w:cs="Times New Roman"/>
          <w:sz w:val="28"/>
          <w:szCs w:val="28"/>
          <w:lang w:val="en-GB"/>
        </w:rPr>
        <w:t xml:space="preserve"> Party may withdraw from this Agreement by giving written notification to the Depositary.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Any such withdrawal shall take effect upon expiry of one year from the date of receipt by the Depositary of the notification of withdrawal, or on such later date as may be specified in the notification of withdrawal.</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Any Party that withdraws from the Convention shall be considered as also having withdrawn from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29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original of this Agreement, of which the Arabic, Chinese, English, French, Russian and Spanish texts are equally authentic, shall be deposited with the Secretary-General of the United Nations.</w:t>
      </w:r>
    </w:p>
    <w:p w:rsidR="00F84B6B" w:rsidRPr="00F84B6B" w:rsidRDefault="00F84B6B" w:rsidP="00F84B6B">
      <w:pPr>
        <w:jc w:val="both"/>
        <w:rPr>
          <w:rFonts w:ascii="Times New Roman" w:hAnsi="Times New Roman" w:cs="Times New Roman"/>
          <w:sz w:val="28"/>
          <w:szCs w:val="28"/>
          <w:lang w:val="en-GB"/>
        </w:rPr>
      </w:pP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DONE at Paris this twelfth day of December two thousand and fifteen.</w:t>
      </w:r>
    </w:p>
    <w:p w:rsidR="009E4750"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IN WITNESS WHEREOF, the undersigned, being duly authorized to that effect, have signed this Agreement.</w:t>
      </w:r>
    </w:p>
    <w:p w:rsidR="008A5E9B" w:rsidRDefault="008A5E9B" w:rsidP="00F84B6B">
      <w:pPr>
        <w:jc w:val="both"/>
        <w:rPr>
          <w:rFonts w:ascii="Times New Roman" w:hAnsi="Times New Roman" w:cs="Times New Roman"/>
          <w:sz w:val="28"/>
          <w:szCs w:val="28"/>
          <w:lang w:val="en-GB"/>
        </w:rPr>
      </w:pPr>
    </w:p>
    <w:p w:rsidR="008A5E9B" w:rsidRPr="005B5200" w:rsidRDefault="008A5E9B" w:rsidP="008A5E9B">
      <w:pPr>
        <w:spacing w:after="0" w:line="240" w:lineRule="auto"/>
        <w:rPr>
          <w:rFonts w:ascii="Times New Roman" w:hAnsi="Times New Roman"/>
          <w:sz w:val="28"/>
          <w:szCs w:val="28"/>
        </w:rPr>
      </w:pPr>
      <w:r w:rsidRPr="005B5200">
        <w:rPr>
          <w:rFonts w:ascii="Times New Roman" w:hAnsi="Times New Roman"/>
          <w:sz w:val="28"/>
          <w:szCs w:val="28"/>
        </w:rPr>
        <w:t>Vides aizsardzības un r</w:t>
      </w:r>
      <w:r>
        <w:rPr>
          <w:rFonts w:ascii="Times New Roman" w:hAnsi="Times New Roman"/>
          <w:sz w:val="28"/>
          <w:szCs w:val="28"/>
        </w:rPr>
        <w:t>eģionālās attīstības ministrs</w:t>
      </w:r>
      <w:r>
        <w:rPr>
          <w:rFonts w:ascii="Times New Roman" w:hAnsi="Times New Roman"/>
          <w:sz w:val="28"/>
          <w:szCs w:val="28"/>
        </w:rPr>
        <w:tab/>
      </w:r>
      <w:r>
        <w:rPr>
          <w:rFonts w:ascii="Times New Roman" w:hAnsi="Times New Roman"/>
          <w:sz w:val="28"/>
          <w:szCs w:val="28"/>
        </w:rPr>
        <w:tab/>
      </w:r>
      <w:r w:rsidRPr="005B5200">
        <w:rPr>
          <w:rFonts w:ascii="Times New Roman" w:hAnsi="Times New Roman"/>
          <w:sz w:val="28"/>
          <w:szCs w:val="28"/>
        </w:rPr>
        <w:t>K.Gerhards</w:t>
      </w:r>
    </w:p>
    <w:p w:rsidR="008A5E9B" w:rsidRDefault="008A5E9B" w:rsidP="008A5E9B">
      <w:pPr>
        <w:spacing w:after="0" w:line="240" w:lineRule="auto"/>
        <w:rPr>
          <w:rFonts w:ascii="Times New Roman" w:hAnsi="Times New Roman"/>
          <w:sz w:val="24"/>
          <w:szCs w:val="24"/>
        </w:rPr>
      </w:pPr>
    </w:p>
    <w:p w:rsidR="008A5E9B" w:rsidRDefault="008A5E9B" w:rsidP="008A5E9B">
      <w:pPr>
        <w:spacing w:after="0" w:line="240" w:lineRule="auto"/>
        <w:rPr>
          <w:rFonts w:ascii="Times New Roman" w:hAnsi="Times New Roman"/>
          <w:sz w:val="24"/>
          <w:szCs w:val="24"/>
        </w:rPr>
      </w:pPr>
    </w:p>
    <w:p w:rsidR="008A5E9B" w:rsidRPr="000B739C" w:rsidRDefault="008A5E9B" w:rsidP="008A5E9B">
      <w:pPr>
        <w:spacing w:after="0" w:line="240" w:lineRule="auto"/>
        <w:rPr>
          <w:rFonts w:ascii="Times New Roman" w:hAnsi="Times New Roman"/>
          <w:sz w:val="24"/>
          <w:szCs w:val="24"/>
        </w:rPr>
      </w:pPr>
    </w:p>
    <w:p w:rsidR="008A5E9B" w:rsidRPr="005B5200" w:rsidRDefault="008A5E9B" w:rsidP="008A5E9B">
      <w:pPr>
        <w:spacing w:after="0" w:line="240" w:lineRule="auto"/>
        <w:rPr>
          <w:rFonts w:ascii="Times New Roman" w:hAnsi="Times New Roman"/>
          <w:sz w:val="28"/>
          <w:szCs w:val="28"/>
        </w:rPr>
      </w:pPr>
      <w:r w:rsidRPr="005B5200">
        <w:rPr>
          <w:rFonts w:ascii="Times New Roman" w:hAnsi="Times New Roman"/>
          <w:sz w:val="28"/>
          <w:szCs w:val="28"/>
        </w:rPr>
        <w:t>Valsts sekretārs</w:t>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proofErr w:type="spellStart"/>
      <w:r>
        <w:rPr>
          <w:rFonts w:ascii="Times New Roman" w:hAnsi="Times New Roman"/>
          <w:sz w:val="28"/>
          <w:szCs w:val="28"/>
        </w:rPr>
        <w:t>R</w:t>
      </w:r>
      <w:r w:rsidRPr="005B5200">
        <w:rPr>
          <w:rFonts w:ascii="Times New Roman" w:hAnsi="Times New Roman"/>
          <w:sz w:val="28"/>
          <w:szCs w:val="28"/>
        </w:rPr>
        <w:t>.</w:t>
      </w:r>
      <w:r>
        <w:rPr>
          <w:rFonts w:ascii="Times New Roman" w:hAnsi="Times New Roman"/>
          <w:sz w:val="28"/>
          <w:szCs w:val="28"/>
        </w:rPr>
        <w:t>Muciņš</w:t>
      </w:r>
      <w:proofErr w:type="spellEnd"/>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tabs>
          <w:tab w:val="center" w:pos="4535"/>
        </w:tabs>
        <w:spacing w:after="0" w:line="240" w:lineRule="auto"/>
        <w:rPr>
          <w:rFonts w:ascii="Times New Roman" w:hAnsi="Times New Roman"/>
          <w:sz w:val="18"/>
          <w:szCs w:val="18"/>
        </w:rPr>
      </w:pPr>
    </w:p>
    <w:p w:rsidR="008A5E9B" w:rsidRPr="000B739C" w:rsidRDefault="008A5E9B" w:rsidP="008A5E9B">
      <w:pPr>
        <w:tabs>
          <w:tab w:val="center" w:pos="4535"/>
        </w:tabs>
        <w:spacing w:after="0" w:line="240" w:lineRule="auto"/>
        <w:rPr>
          <w:rFonts w:ascii="Times New Roman" w:hAnsi="Times New Roman"/>
          <w:sz w:val="18"/>
          <w:szCs w:val="18"/>
        </w:rPr>
      </w:pPr>
      <w:r>
        <w:rPr>
          <w:rFonts w:ascii="Times New Roman" w:hAnsi="Times New Roman"/>
          <w:sz w:val="18"/>
          <w:szCs w:val="18"/>
        </w:rPr>
        <w:t>30.03</w:t>
      </w:r>
      <w:r w:rsidRPr="000B739C">
        <w:rPr>
          <w:rFonts w:ascii="Times New Roman" w:hAnsi="Times New Roman"/>
          <w:sz w:val="18"/>
          <w:szCs w:val="18"/>
        </w:rPr>
        <w:t>.201</w:t>
      </w:r>
      <w:r>
        <w:rPr>
          <w:rFonts w:ascii="Times New Roman" w:hAnsi="Times New Roman"/>
          <w:sz w:val="18"/>
          <w:szCs w:val="18"/>
        </w:rPr>
        <w:t>6</w:t>
      </w:r>
      <w:r w:rsidRPr="000B739C">
        <w:rPr>
          <w:rFonts w:ascii="Times New Roman" w:hAnsi="Times New Roman"/>
          <w:sz w:val="18"/>
          <w:szCs w:val="18"/>
        </w:rPr>
        <w:t xml:space="preserve">. </w:t>
      </w:r>
      <w:r>
        <w:rPr>
          <w:rFonts w:ascii="Times New Roman" w:hAnsi="Times New Roman"/>
          <w:sz w:val="18"/>
          <w:szCs w:val="18"/>
        </w:rPr>
        <w:t>10</w:t>
      </w:r>
      <w:r w:rsidRPr="000B739C">
        <w:rPr>
          <w:rFonts w:ascii="Times New Roman" w:hAnsi="Times New Roman"/>
          <w:sz w:val="18"/>
          <w:szCs w:val="18"/>
        </w:rPr>
        <w:t>:00</w:t>
      </w:r>
      <w:r>
        <w:rPr>
          <w:rFonts w:ascii="Times New Roman" w:hAnsi="Times New Roman"/>
          <w:sz w:val="18"/>
          <w:szCs w:val="18"/>
        </w:rPr>
        <w:tab/>
      </w:r>
    </w:p>
    <w:p w:rsidR="008A5E9B" w:rsidRPr="000B739C" w:rsidRDefault="00A80F9E" w:rsidP="008A5E9B">
      <w:pPr>
        <w:spacing w:after="0" w:line="240" w:lineRule="auto"/>
        <w:rPr>
          <w:rFonts w:ascii="Times New Roman" w:hAnsi="Times New Roman"/>
          <w:sz w:val="18"/>
          <w:szCs w:val="18"/>
        </w:rPr>
      </w:pPr>
      <w:fldSimple w:instr=" NUMWORDS   \* MERGEFORMAT ">
        <w:r w:rsidR="009E4792" w:rsidRPr="009E4792">
          <w:rPr>
            <w:rFonts w:ascii="Times New Roman" w:hAnsi="Times New Roman"/>
            <w:noProof/>
            <w:sz w:val="18"/>
            <w:szCs w:val="18"/>
          </w:rPr>
          <w:t>7313</w:t>
        </w:r>
      </w:fldSimple>
    </w:p>
    <w:p w:rsidR="008A5E9B" w:rsidRPr="000B739C" w:rsidRDefault="008A5E9B" w:rsidP="008A5E9B">
      <w:pPr>
        <w:spacing w:after="0" w:line="240" w:lineRule="auto"/>
        <w:rPr>
          <w:rFonts w:ascii="Times New Roman" w:hAnsi="Times New Roman"/>
          <w:sz w:val="18"/>
          <w:szCs w:val="18"/>
        </w:rPr>
      </w:pPr>
      <w:r>
        <w:rPr>
          <w:rFonts w:ascii="Times New Roman" w:hAnsi="Times New Roman"/>
          <w:sz w:val="18"/>
          <w:szCs w:val="18"/>
        </w:rPr>
        <w:t>E.Baltroka</w:t>
      </w:r>
      <w:r w:rsidRPr="000B739C">
        <w:rPr>
          <w:rFonts w:ascii="Times New Roman" w:hAnsi="Times New Roman"/>
          <w:sz w:val="18"/>
          <w:szCs w:val="18"/>
        </w:rPr>
        <w:tab/>
      </w:r>
    </w:p>
    <w:p w:rsidR="008A5E9B" w:rsidRPr="000B739C" w:rsidRDefault="008A5E9B" w:rsidP="008A5E9B">
      <w:pPr>
        <w:spacing w:after="0" w:line="240" w:lineRule="auto"/>
        <w:rPr>
          <w:sz w:val="18"/>
          <w:szCs w:val="18"/>
        </w:rPr>
      </w:pPr>
      <w:r w:rsidRPr="000B739C">
        <w:rPr>
          <w:rFonts w:ascii="Times New Roman" w:hAnsi="Times New Roman"/>
          <w:sz w:val="18"/>
          <w:szCs w:val="18"/>
        </w:rPr>
        <w:t>670265</w:t>
      </w:r>
      <w:r>
        <w:rPr>
          <w:rFonts w:ascii="Times New Roman" w:hAnsi="Times New Roman"/>
          <w:sz w:val="18"/>
          <w:szCs w:val="18"/>
        </w:rPr>
        <w:t>94</w:t>
      </w:r>
      <w:r w:rsidRPr="000B739C">
        <w:rPr>
          <w:rFonts w:ascii="Times New Roman" w:hAnsi="Times New Roman"/>
          <w:sz w:val="18"/>
          <w:szCs w:val="18"/>
        </w:rPr>
        <w:t xml:space="preserve">, </w:t>
      </w:r>
      <w:r>
        <w:rPr>
          <w:rFonts w:ascii="Times New Roman" w:hAnsi="Times New Roman"/>
          <w:sz w:val="18"/>
          <w:szCs w:val="18"/>
        </w:rPr>
        <w:t>Elina.Baltroka</w:t>
      </w:r>
      <w:r w:rsidRPr="000B739C">
        <w:rPr>
          <w:rFonts w:ascii="Times New Roman" w:hAnsi="Times New Roman"/>
          <w:sz w:val="18"/>
          <w:szCs w:val="18"/>
        </w:rPr>
        <w:t>@varam.gov.lv</w:t>
      </w:r>
    </w:p>
    <w:p w:rsidR="008A5E9B" w:rsidRPr="00F84B6B" w:rsidRDefault="008A5E9B" w:rsidP="00F84B6B">
      <w:pPr>
        <w:jc w:val="both"/>
        <w:rPr>
          <w:rFonts w:ascii="Times New Roman" w:hAnsi="Times New Roman" w:cs="Times New Roman"/>
          <w:sz w:val="28"/>
          <w:szCs w:val="28"/>
          <w:lang w:val="en-GB"/>
        </w:rPr>
      </w:pPr>
    </w:p>
    <w:sectPr w:rsidR="008A5E9B" w:rsidRPr="00F84B6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6A" w:rsidRDefault="0022496A" w:rsidP="00F84B6B">
      <w:pPr>
        <w:spacing w:after="0" w:line="240" w:lineRule="auto"/>
      </w:pPr>
      <w:r>
        <w:separator/>
      </w:r>
    </w:p>
  </w:endnote>
  <w:endnote w:type="continuationSeparator" w:id="0">
    <w:p w:rsidR="0022496A" w:rsidRDefault="0022496A" w:rsidP="00F8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B9" w:rsidRDefault="00953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23140682"/>
      <w:docPartObj>
        <w:docPartGallery w:val="Page Numbers (Bottom of Page)"/>
        <w:docPartUnique/>
      </w:docPartObj>
    </w:sdtPr>
    <w:sdtEndPr>
      <w:rPr>
        <w:noProof/>
      </w:rPr>
    </w:sdtEndPr>
    <w:sdtContent>
      <w:p w:rsidR="000644D4" w:rsidRPr="009538B9" w:rsidRDefault="000644D4">
        <w:pPr>
          <w:pStyle w:val="Footer"/>
          <w:jc w:val="center"/>
          <w:rPr>
            <w:rFonts w:ascii="Times New Roman" w:hAnsi="Times New Roman" w:cs="Times New Roman"/>
          </w:rPr>
        </w:pPr>
        <w:r w:rsidRPr="009538B9">
          <w:rPr>
            <w:rFonts w:ascii="Times New Roman" w:hAnsi="Times New Roman" w:cs="Times New Roman"/>
          </w:rPr>
          <w:fldChar w:fldCharType="begin"/>
        </w:r>
        <w:r w:rsidRPr="009538B9">
          <w:rPr>
            <w:rFonts w:ascii="Times New Roman" w:hAnsi="Times New Roman" w:cs="Times New Roman"/>
          </w:rPr>
          <w:instrText xml:space="preserve"> PAGE   \* MERGEFORMAT </w:instrText>
        </w:r>
        <w:r w:rsidRPr="009538B9">
          <w:rPr>
            <w:rFonts w:ascii="Times New Roman" w:hAnsi="Times New Roman" w:cs="Times New Roman"/>
          </w:rPr>
          <w:fldChar w:fldCharType="separate"/>
        </w:r>
        <w:r w:rsidR="009538B9">
          <w:rPr>
            <w:rFonts w:ascii="Times New Roman" w:hAnsi="Times New Roman" w:cs="Times New Roman"/>
            <w:noProof/>
          </w:rPr>
          <w:t>1</w:t>
        </w:r>
        <w:r w:rsidRPr="009538B9">
          <w:rPr>
            <w:rFonts w:ascii="Times New Roman" w:hAnsi="Times New Roman" w:cs="Times New Roman"/>
            <w:noProof/>
          </w:rPr>
          <w:fldChar w:fldCharType="end"/>
        </w:r>
      </w:p>
    </w:sdtContent>
  </w:sdt>
  <w:p w:rsidR="00F84B6B" w:rsidRPr="009538B9" w:rsidRDefault="009538B9" w:rsidP="009538B9">
    <w:pPr>
      <w:pStyle w:val="Footer"/>
      <w:jc w:val="both"/>
      <w:rPr>
        <w:rFonts w:ascii="Times New Roman" w:hAnsi="Times New Roman" w:cs="Times New Roman"/>
        <w:sz w:val="20"/>
      </w:rPr>
    </w:pPr>
    <w:r w:rsidRPr="009538B9">
      <w:rPr>
        <w:rFonts w:ascii="Times New Roman" w:hAnsi="Times New Roman" w:cs="Times New Roman"/>
        <w:sz w:val="16"/>
        <w:lang w:val="en-GB"/>
      </w:rPr>
      <w:fldChar w:fldCharType="begin"/>
    </w:r>
    <w:r w:rsidRPr="009538B9">
      <w:rPr>
        <w:rFonts w:ascii="Times New Roman" w:hAnsi="Times New Roman" w:cs="Times New Roman"/>
      </w:rPr>
      <w:instrText xml:space="preserve"> FILENAME   \* MERGEFORMAT </w:instrText>
    </w:r>
    <w:r w:rsidRPr="009538B9">
      <w:rPr>
        <w:rFonts w:ascii="Times New Roman" w:hAnsi="Times New Roman" w:cs="Times New Roman"/>
        <w:sz w:val="16"/>
        <w:lang w:val="en-GB"/>
      </w:rPr>
      <w:fldChar w:fldCharType="separate"/>
    </w:r>
    <w:r w:rsidRPr="009538B9">
      <w:rPr>
        <w:rFonts w:ascii="Times New Roman" w:hAnsi="Times New Roman" w:cs="Times New Roman"/>
        <w:noProof/>
        <w:sz w:val="20"/>
      </w:rPr>
      <w:t>VARAMSls_300316_ParizesNoligums_EN</w:t>
    </w:r>
    <w:r w:rsidRPr="009538B9">
      <w:rPr>
        <w:rFonts w:ascii="Times New Roman" w:hAnsi="Times New Roman" w:cs="Times New Roman"/>
        <w:noProof/>
        <w:sz w:val="20"/>
      </w:rPr>
      <w:fldChar w:fldCharType="end"/>
    </w:r>
    <w:r w:rsidRPr="009538B9">
      <w:rPr>
        <w:rFonts w:ascii="Times New Roman" w:hAnsi="Times New Roman" w:cs="Times New Roman"/>
        <w:sz w:val="20"/>
      </w:rPr>
      <w:t xml:space="preserve">; </w:t>
    </w:r>
    <w:r w:rsidRPr="009538B9">
      <w:rPr>
        <w:rFonts w:ascii="Times New Roman" w:hAnsi="Times New Roman" w:cs="Times New Roman"/>
        <w:sz w:val="20"/>
      </w:rPr>
      <w:t xml:space="preserve">Paris </w:t>
    </w:r>
    <w:proofErr w:type="spellStart"/>
    <w:r w:rsidRPr="009538B9">
      <w:rPr>
        <w:rFonts w:ascii="Times New Roman" w:hAnsi="Times New Roman" w:cs="Times New Roman"/>
        <w:sz w:val="20"/>
      </w:rPr>
      <w:t>Agreement</w:t>
    </w:r>
    <w:proofErr w:type="spellEnd"/>
    <w:r w:rsidRPr="009538B9">
      <w:rPr>
        <w:rFonts w:ascii="Times New Roman" w:hAnsi="Times New Roman" w:cs="Times New Roman"/>
        <w:sz w:val="20"/>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B9" w:rsidRDefault="00953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6A" w:rsidRDefault="0022496A" w:rsidP="00F84B6B">
      <w:pPr>
        <w:spacing w:after="0" w:line="240" w:lineRule="auto"/>
      </w:pPr>
      <w:r>
        <w:separator/>
      </w:r>
    </w:p>
  </w:footnote>
  <w:footnote w:type="continuationSeparator" w:id="0">
    <w:p w:rsidR="0022496A" w:rsidRDefault="0022496A" w:rsidP="00F8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B9" w:rsidRDefault="00953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B9" w:rsidRDefault="00953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B9" w:rsidRDefault="00953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6B"/>
    <w:rsid w:val="000644D4"/>
    <w:rsid w:val="0022496A"/>
    <w:rsid w:val="002F4D74"/>
    <w:rsid w:val="003B2106"/>
    <w:rsid w:val="006B2970"/>
    <w:rsid w:val="008A5E9B"/>
    <w:rsid w:val="009538B9"/>
    <w:rsid w:val="009E4750"/>
    <w:rsid w:val="009E4792"/>
    <w:rsid w:val="00A80F9E"/>
    <w:rsid w:val="00C65B97"/>
    <w:rsid w:val="00F620B8"/>
    <w:rsid w:val="00F84B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B6B"/>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F84B6B"/>
    <w:pPr>
      <w:tabs>
        <w:tab w:val="center" w:pos="4153"/>
        <w:tab w:val="right" w:pos="8306"/>
      </w:tabs>
      <w:spacing w:after="0" w:line="240" w:lineRule="auto"/>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F84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B6B"/>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F84B6B"/>
    <w:pPr>
      <w:tabs>
        <w:tab w:val="center" w:pos="4153"/>
        <w:tab w:val="right" w:pos="8306"/>
      </w:tabs>
      <w:spacing w:after="0" w:line="240" w:lineRule="auto"/>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F8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5946</Words>
  <Characters>43526</Characters>
  <Application>Microsoft Office Word</Application>
  <DocSecurity>0</DocSecurity>
  <Lines>1500</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Baltroka</dc:creator>
  <cp:lastModifiedBy>Elīna Baltroka</cp:lastModifiedBy>
  <cp:revision>7</cp:revision>
  <dcterms:created xsi:type="dcterms:W3CDTF">2016-03-30T05:56:00Z</dcterms:created>
  <dcterms:modified xsi:type="dcterms:W3CDTF">2016-03-30T07:58:00Z</dcterms:modified>
</cp:coreProperties>
</file>