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5D" w:rsidRPr="00DC0A5D" w:rsidRDefault="00DC0A5D" w:rsidP="00DC0A5D">
      <w:pPr>
        <w:jc w:val="center"/>
        <w:rPr>
          <w:sz w:val="28"/>
          <w:szCs w:val="28"/>
        </w:rPr>
      </w:pPr>
      <w:bookmarkStart w:id="0" w:name="OLE_LINK3"/>
      <w:bookmarkStart w:id="1" w:name="OLE_LINK4"/>
      <w:bookmarkStart w:id="2" w:name="OLE_LINK13"/>
      <w:bookmarkStart w:id="3" w:name="OLE_LINK14"/>
      <w:bookmarkStart w:id="4" w:name="OLE_LINK19"/>
      <w:bookmarkStart w:id="5" w:name="OLE_LINK20"/>
      <w:bookmarkStart w:id="6" w:name="OLE_LINK1"/>
      <w:bookmarkStart w:id="7" w:name="OLE_LINK2"/>
      <w:bookmarkStart w:id="8" w:name="OLE_LINK6"/>
      <w:bookmarkStart w:id="9" w:name="OLE_LINK7"/>
      <w:bookmarkStart w:id="10" w:name="OLE_LINK8"/>
      <w:bookmarkStart w:id="11" w:name="OLE_LINK5"/>
      <w:r w:rsidRPr="00DC0A5D">
        <w:rPr>
          <w:sz w:val="28"/>
          <w:szCs w:val="28"/>
        </w:rPr>
        <w:t xml:space="preserve">Likumprojekta </w:t>
      </w:r>
    </w:p>
    <w:p w:rsidR="00DC0A5D" w:rsidRPr="00DC0A5D" w:rsidRDefault="00DC0A5D" w:rsidP="00DC0A5D">
      <w:pPr>
        <w:jc w:val="center"/>
        <w:rPr>
          <w:bCs/>
          <w:sz w:val="28"/>
          <w:szCs w:val="28"/>
        </w:rPr>
      </w:pPr>
      <w:r w:rsidRPr="00DC0A5D">
        <w:rPr>
          <w:sz w:val="28"/>
          <w:szCs w:val="28"/>
        </w:rPr>
        <w:t>„</w:t>
      </w:r>
      <w:r w:rsidRPr="00DC0A5D">
        <w:rPr>
          <w:rFonts w:eastAsia="Calibri"/>
          <w:bCs/>
          <w:sz w:val="28"/>
          <w:szCs w:val="28"/>
        </w:rPr>
        <w:t>Grozījum</w:t>
      </w:r>
      <w:r w:rsidR="00DB62B4">
        <w:rPr>
          <w:rFonts w:eastAsia="Calibri"/>
          <w:bCs/>
          <w:sz w:val="28"/>
          <w:szCs w:val="28"/>
        </w:rPr>
        <w:t>i</w:t>
      </w:r>
      <w:r w:rsidR="001A49B0">
        <w:rPr>
          <w:rFonts w:eastAsia="Calibri"/>
          <w:bCs/>
          <w:sz w:val="28"/>
          <w:szCs w:val="28"/>
        </w:rPr>
        <w:t xml:space="preserve"> Ārstniecība</w:t>
      </w:r>
      <w:r w:rsidR="0041763B">
        <w:rPr>
          <w:rFonts w:eastAsia="Calibri"/>
          <w:bCs/>
          <w:sz w:val="28"/>
          <w:szCs w:val="28"/>
        </w:rPr>
        <w:t>s likumā</w:t>
      </w:r>
      <w:r w:rsidRPr="00DC0A5D">
        <w:rPr>
          <w:bCs/>
          <w:sz w:val="28"/>
          <w:szCs w:val="28"/>
        </w:rPr>
        <w:t xml:space="preserve">” </w:t>
      </w:r>
    </w:p>
    <w:p w:rsidR="00DC0A5D" w:rsidRPr="00DC0A5D" w:rsidRDefault="00DC0A5D" w:rsidP="00DC0A5D">
      <w:pPr>
        <w:jc w:val="center"/>
        <w:rPr>
          <w:b/>
          <w:sz w:val="28"/>
          <w:szCs w:val="28"/>
        </w:rPr>
      </w:pPr>
      <w:r w:rsidRPr="00DC0A5D">
        <w:rPr>
          <w:sz w:val="28"/>
          <w:szCs w:val="28"/>
        </w:rPr>
        <w:t>sākotnējās ietekmes novērtējuma ziņojums</w:t>
      </w:r>
      <w:r w:rsidRPr="00DC0A5D">
        <w:rPr>
          <w:b/>
          <w:sz w:val="28"/>
          <w:szCs w:val="28"/>
        </w:rPr>
        <w:t xml:space="preserve"> </w:t>
      </w:r>
    </w:p>
    <w:bookmarkEnd w:id="0"/>
    <w:bookmarkEnd w:id="1"/>
    <w:p w:rsidR="00956867" w:rsidRPr="00DC0A5D" w:rsidRDefault="00DC0A5D" w:rsidP="00DC0A5D">
      <w:pPr>
        <w:jc w:val="center"/>
        <w:rPr>
          <w:b/>
          <w:sz w:val="28"/>
          <w:szCs w:val="28"/>
        </w:rPr>
      </w:pPr>
      <w:r w:rsidRPr="00DC0A5D">
        <w:rPr>
          <w:b/>
          <w:sz w:val="28"/>
          <w:szCs w:val="28"/>
        </w:rPr>
        <w:t>(anotācija)</w:t>
      </w:r>
    </w:p>
    <w:tbl>
      <w:tblPr>
        <w:tblpPr w:leftFromText="180" w:rightFromText="180" w:vertAnchor="text" w:horzAnchor="margin" w:tblpXSpec="center" w:tblpY="149"/>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0"/>
        <w:gridCol w:w="1936"/>
        <w:gridCol w:w="6738"/>
      </w:tblGrid>
      <w:tr w:rsidR="00DC0A5D" w:rsidRPr="002D7C67" w:rsidTr="002F0C89">
        <w:tc>
          <w:tcPr>
            <w:tcW w:w="9404" w:type="dxa"/>
            <w:gridSpan w:val="3"/>
            <w:vAlign w:val="center"/>
          </w:tcPr>
          <w:bookmarkEnd w:id="2"/>
          <w:bookmarkEnd w:id="3"/>
          <w:bookmarkEnd w:id="4"/>
          <w:bookmarkEnd w:id="5"/>
          <w:bookmarkEnd w:id="6"/>
          <w:bookmarkEnd w:id="7"/>
          <w:bookmarkEnd w:id="8"/>
          <w:bookmarkEnd w:id="9"/>
          <w:bookmarkEnd w:id="10"/>
          <w:bookmarkEnd w:id="11"/>
          <w:p w:rsidR="00DC0A5D" w:rsidRPr="002D7C67" w:rsidRDefault="00DC0A5D" w:rsidP="00E13923">
            <w:pPr>
              <w:pStyle w:val="naisnod"/>
              <w:spacing w:before="0" w:after="0"/>
              <w:rPr>
                <w:color w:val="000000"/>
                <w:sz w:val="28"/>
                <w:szCs w:val="28"/>
              </w:rPr>
            </w:pPr>
            <w:r w:rsidRPr="002D7C67">
              <w:rPr>
                <w:color w:val="000000"/>
                <w:sz w:val="28"/>
                <w:szCs w:val="28"/>
              </w:rPr>
              <w:t>I. Tiesību akta projekta izstrādes nepieciešamība</w:t>
            </w:r>
            <w:r>
              <w:rPr>
                <w:color w:val="000000"/>
                <w:sz w:val="28"/>
                <w:szCs w:val="28"/>
              </w:rPr>
              <w:t xml:space="preserve"> </w:t>
            </w:r>
          </w:p>
        </w:tc>
      </w:tr>
      <w:tr w:rsidR="00DC0A5D" w:rsidRPr="002D7C67" w:rsidTr="002F0C89">
        <w:trPr>
          <w:trHeight w:val="630"/>
        </w:trPr>
        <w:tc>
          <w:tcPr>
            <w:tcW w:w="730" w:type="dxa"/>
          </w:tcPr>
          <w:p w:rsidR="00DC0A5D" w:rsidRPr="002D7C67" w:rsidRDefault="00DC0A5D" w:rsidP="00E13923">
            <w:pPr>
              <w:pStyle w:val="naiskr"/>
              <w:spacing w:before="0" w:after="0"/>
              <w:rPr>
                <w:color w:val="000000"/>
                <w:sz w:val="28"/>
                <w:szCs w:val="28"/>
              </w:rPr>
            </w:pPr>
            <w:r w:rsidRPr="002D7C67">
              <w:rPr>
                <w:color w:val="000000"/>
                <w:sz w:val="28"/>
                <w:szCs w:val="28"/>
              </w:rPr>
              <w:t>1.</w:t>
            </w:r>
          </w:p>
        </w:tc>
        <w:tc>
          <w:tcPr>
            <w:tcW w:w="1936" w:type="dxa"/>
          </w:tcPr>
          <w:p w:rsidR="00DC0A5D" w:rsidRPr="002D7C67" w:rsidRDefault="00DC0A5D" w:rsidP="00AC066D">
            <w:pPr>
              <w:pStyle w:val="naiskr"/>
              <w:spacing w:before="0" w:after="0"/>
              <w:ind w:hanging="10"/>
              <w:rPr>
                <w:color w:val="000000"/>
                <w:sz w:val="28"/>
                <w:szCs w:val="28"/>
              </w:rPr>
            </w:pPr>
            <w:r w:rsidRPr="002D7C67">
              <w:rPr>
                <w:color w:val="000000"/>
                <w:sz w:val="28"/>
                <w:szCs w:val="28"/>
              </w:rPr>
              <w:t>Pamatojum</w:t>
            </w:r>
            <w:r w:rsidR="00FD4949">
              <w:rPr>
                <w:color w:val="000000"/>
                <w:sz w:val="28"/>
                <w:szCs w:val="28"/>
              </w:rPr>
              <w:t>s</w:t>
            </w:r>
          </w:p>
        </w:tc>
        <w:tc>
          <w:tcPr>
            <w:tcW w:w="6738" w:type="dxa"/>
          </w:tcPr>
          <w:p w:rsidR="00693DEA" w:rsidRPr="00693DEA" w:rsidRDefault="00DB62B4" w:rsidP="001041C1">
            <w:pPr>
              <w:jc w:val="both"/>
              <w:rPr>
                <w:sz w:val="28"/>
                <w:szCs w:val="28"/>
              </w:rPr>
            </w:pPr>
            <w:r>
              <w:rPr>
                <w:sz w:val="28"/>
                <w:szCs w:val="28"/>
              </w:rPr>
              <w:t xml:space="preserve">Likumprojekts „Grozījumi Ārstniecības likumā” </w:t>
            </w:r>
            <w:r w:rsidR="0037099E">
              <w:rPr>
                <w:sz w:val="28"/>
                <w:szCs w:val="28"/>
              </w:rPr>
              <w:t xml:space="preserve">(turpmāk – Likumprojekts) </w:t>
            </w:r>
            <w:r>
              <w:rPr>
                <w:sz w:val="28"/>
                <w:szCs w:val="28"/>
              </w:rPr>
              <w:t xml:space="preserve">izstrādāts pēc </w:t>
            </w:r>
            <w:r w:rsidR="001A49B0">
              <w:rPr>
                <w:sz w:val="28"/>
                <w:szCs w:val="28"/>
              </w:rPr>
              <w:t>Veselības ministrijas iniciatīva</w:t>
            </w:r>
            <w:r>
              <w:rPr>
                <w:sz w:val="28"/>
                <w:szCs w:val="28"/>
              </w:rPr>
              <w:t>s</w:t>
            </w:r>
            <w:r w:rsidR="001416B6">
              <w:rPr>
                <w:sz w:val="28"/>
                <w:szCs w:val="28"/>
              </w:rPr>
              <w:t xml:space="preserve"> </w:t>
            </w:r>
            <w:r w:rsidR="001416B6" w:rsidRPr="009D75A5">
              <w:rPr>
                <w:sz w:val="28"/>
                <w:szCs w:val="28"/>
              </w:rPr>
              <w:t>un izpildot Ministru kabineta 2015.gada 1.decembra sēdē dotos uzdevumus (prot. Nr.64 32.§, TA-2288, 6.punkts un 33.§, TA-2388, 4.</w:t>
            </w:r>
            <w:r w:rsidR="007F0606">
              <w:rPr>
                <w:sz w:val="28"/>
                <w:szCs w:val="28"/>
              </w:rPr>
              <w:t xml:space="preserve"> </w:t>
            </w:r>
            <w:r w:rsidR="007F0606" w:rsidRPr="00E50030">
              <w:rPr>
                <w:sz w:val="28"/>
                <w:szCs w:val="28"/>
              </w:rPr>
              <w:t xml:space="preserve">un 5. </w:t>
            </w:r>
            <w:r w:rsidR="001416B6" w:rsidRPr="00E50030">
              <w:rPr>
                <w:sz w:val="28"/>
                <w:szCs w:val="28"/>
              </w:rPr>
              <w:t>punkts</w:t>
            </w:r>
            <w:r w:rsidR="001416B6" w:rsidRPr="009D75A5">
              <w:rPr>
                <w:sz w:val="28"/>
                <w:szCs w:val="28"/>
              </w:rPr>
              <w:t>).</w:t>
            </w:r>
          </w:p>
        </w:tc>
      </w:tr>
      <w:tr w:rsidR="00DC0A5D" w:rsidRPr="002D7C67" w:rsidTr="002F0C89">
        <w:trPr>
          <w:trHeight w:val="472"/>
        </w:trPr>
        <w:tc>
          <w:tcPr>
            <w:tcW w:w="730" w:type="dxa"/>
          </w:tcPr>
          <w:p w:rsidR="00DC0A5D" w:rsidRPr="002D7C67" w:rsidRDefault="00DC0A5D" w:rsidP="00E13923">
            <w:pPr>
              <w:pStyle w:val="naiskr"/>
              <w:spacing w:before="0" w:after="0"/>
              <w:rPr>
                <w:color w:val="000000"/>
                <w:sz w:val="28"/>
                <w:szCs w:val="28"/>
              </w:rPr>
            </w:pPr>
            <w:r w:rsidRPr="002D7C67">
              <w:rPr>
                <w:color w:val="000000"/>
                <w:sz w:val="28"/>
                <w:szCs w:val="28"/>
              </w:rPr>
              <w:t>2.</w:t>
            </w:r>
          </w:p>
        </w:tc>
        <w:tc>
          <w:tcPr>
            <w:tcW w:w="1936" w:type="dxa"/>
          </w:tcPr>
          <w:p w:rsidR="00DC0A5D" w:rsidRPr="002D7C67" w:rsidRDefault="00DC0A5D" w:rsidP="00E13923">
            <w:pPr>
              <w:pStyle w:val="naiskr"/>
              <w:tabs>
                <w:tab w:val="left" w:pos="170"/>
              </w:tabs>
              <w:spacing w:before="0" w:after="0"/>
              <w:rPr>
                <w:color w:val="000000"/>
                <w:sz w:val="28"/>
                <w:szCs w:val="28"/>
              </w:rPr>
            </w:pPr>
            <w:r w:rsidRPr="002D7C67">
              <w:rPr>
                <w:color w:val="000000"/>
                <w:sz w:val="28"/>
                <w:szCs w:val="28"/>
              </w:rPr>
              <w:t>Pašreizējā situācija un problēmas</w:t>
            </w:r>
            <w:r>
              <w:rPr>
                <w:color w:val="000000"/>
                <w:sz w:val="28"/>
                <w:szCs w:val="28"/>
              </w:rPr>
              <w:t>, kuru risināšanai tiesību akta projekts izstrādāts, tiesiskā regulējuma mērķis un būtība</w:t>
            </w:r>
          </w:p>
        </w:tc>
        <w:tc>
          <w:tcPr>
            <w:tcW w:w="6738" w:type="dxa"/>
            <w:shd w:val="clear" w:color="auto" w:fill="auto"/>
          </w:tcPr>
          <w:p w:rsidR="007626EC" w:rsidRPr="009D75A5" w:rsidRDefault="007626EC" w:rsidP="003753CE">
            <w:pPr>
              <w:jc w:val="both"/>
              <w:rPr>
                <w:bCs/>
                <w:sz w:val="28"/>
                <w:szCs w:val="28"/>
              </w:rPr>
            </w:pPr>
            <w:r>
              <w:rPr>
                <w:sz w:val="28"/>
                <w:szCs w:val="28"/>
              </w:rPr>
              <w:t xml:space="preserve">1) </w:t>
            </w:r>
            <w:r w:rsidRPr="00D02A37">
              <w:rPr>
                <w:bCs/>
              </w:rPr>
              <w:t xml:space="preserve"> </w:t>
            </w:r>
            <w:r w:rsidR="001041C1">
              <w:rPr>
                <w:bCs/>
                <w:sz w:val="28"/>
                <w:szCs w:val="28"/>
              </w:rPr>
              <w:t xml:space="preserve"> </w:t>
            </w:r>
            <w:r w:rsidR="001041C1" w:rsidRPr="009D75A5">
              <w:rPr>
                <w:bCs/>
                <w:sz w:val="28"/>
                <w:szCs w:val="28"/>
              </w:rPr>
              <w:t xml:space="preserve">Ārstniecības likuma (turpmāk – Likums) </w:t>
            </w:r>
            <w:r w:rsidRPr="009D75A5">
              <w:rPr>
                <w:bCs/>
                <w:sz w:val="28"/>
                <w:szCs w:val="28"/>
              </w:rPr>
              <w:t>26.panta  otrā daļa nosaka, ka patstāvīgi nodarboties ar ārstniecību konkrētā pamatspecialitātē, apakšspecialitātē vai papildspecialitātē atbilstoši Ministru kabineta noteiktajai kompetencei</w:t>
            </w:r>
            <w:r w:rsidRPr="009D75A5">
              <w:rPr>
                <w:rStyle w:val="FootnoteReference"/>
                <w:bCs/>
                <w:sz w:val="28"/>
                <w:szCs w:val="28"/>
              </w:rPr>
              <w:footnoteReference w:id="1"/>
            </w:r>
            <w:r w:rsidR="008E4253" w:rsidRPr="009D75A5">
              <w:rPr>
                <w:bCs/>
                <w:sz w:val="28"/>
                <w:szCs w:val="28"/>
              </w:rPr>
              <w:t xml:space="preserve"> </w:t>
            </w:r>
            <w:r w:rsidRPr="009D75A5">
              <w:rPr>
                <w:bCs/>
                <w:sz w:val="28"/>
                <w:szCs w:val="28"/>
              </w:rPr>
              <w:t>atļauts ārstniecības personām, kuras ir sertificētas un reģistrētas ārstniecības personu reģistrā</w:t>
            </w:r>
            <w:r w:rsidRPr="009D75A5">
              <w:rPr>
                <w:rStyle w:val="FootnoteReference"/>
                <w:bCs/>
                <w:sz w:val="28"/>
                <w:szCs w:val="28"/>
              </w:rPr>
              <w:footnoteReference w:id="2"/>
            </w:r>
            <w:r w:rsidRPr="009D75A5">
              <w:rPr>
                <w:bCs/>
                <w:sz w:val="28"/>
                <w:szCs w:val="28"/>
              </w:rPr>
              <w:t>. Turklāt tiesības pretendēt uz ārstniecības personas sertifikātu noteiktā specialitātē ir ārstniecības personām, kuras apguvušas izglītības programmu, kas atbilst normatīvajos aktos noteiktajām prasībām attiecībā uz izglītību, kāda nepieciešama konkrētās specialitātes iegūšanai (Likuma 26.panta trešā daļa).</w:t>
            </w:r>
          </w:p>
          <w:p w:rsidR="007626EC" w:rsidRPr="009D75A5" w:rsidRDefault="007626EC" w:rsidP="003753CE">
            <w:pPr>
              <w:jc w:val="both"/>
              <w:rPr>
                <w:bCs/>
                <w:sz w:val="28"/>
                <w:szCs w:val="28"/>
              </w:rPr>
            </w:pPr>
            <w:r w:rsidRPr="009D75A5">
              <w:rPr>
                <w:bCs/>
                <w:sz w:val="28"/>
                <w:szCs w:val="28"/>
              </w:rPr>
              <w:t>Veselības aprūpe attīstās un pilnveidoj</w:t>
            </w:r>
            <w:r w:rsidR="001041C1" w:rsidRPr="009D75A5">
              <w:rPr>
                <w:bCs/>
                <w:sz w:val="28"/>
                <w:szCs w:val="28"/>
              </w:rPr>
              <w:t>a</w:t>
            </w:r>
            <w:r w:rsidRPr="009D75A5">
              <w:rPr>
                <w:bCs/>
                <w:sz w:val="28"/>
                <w:szCs w:val="28"/>
              </w:rPr>
              <w:t>s, atbilstoši zinātnes un pētniecības novitātēm un tam pēctecīgs ir ārstniecības personu izglītības process. Līdz ar to nepieciešams aktualizēt ārstniecības personu profesiju specialitāšu klasifikatoru, jo atsevišķu specialitāšu aktualitāte var mainīties, ņemot vērā šo speciālistu kompetenci ārstniecībā un nodarbinātības iespējas darba tirgū. Jaunu ārstniecības personu profesiju specialitāšu ieviešana ir pamatojama ar sabiedrības interesēm kvalitatīvu veselības aprūpes pakalpojumu saņemšanai specifiskā jomā.</w:t>
            </w:r>
          </w:p>
          <w:p w:rsidR="007626EC" w:rsidRPr="009D75A5" w:rsidRDefault="007626EC" w:rsidP="003753CE">
            <w:pPr>
              <w:jc w:val="both"/>
              <w:rPr>
                <w:bCs/>
                <w:sz w:val="28"/>
                <w:szCs w:val="28"/>
              </w:rPr>
            </w:pPr>
            <w:r w:rsidRPr="009D75A5">
              <w:rPr>
                <w:bCs/>
                <w:sz w:val="28"/>
                <w:szCs w:val="28"/>
              </w:rPr>
              <w:t xml:space="preserve">Gadījumos, kad tiek veidota jauna apakšspecialitāte vai papildspecialitāte, izglītības iestāde izstrādā izglītības programmu.  Izglītības iestādei ir tiesības izvēlēties, kādas </w:t>
            </w:r>
            <w:r w:rsidRPr="009D75A5">
              <w:rPr>
                <w:bCs/>
                <w:sz w:val="28"/>
                <w:szCs w:val="28"/>
              </w:rPr>
              <w:lastRenderedPageBreak/>
              <w:t xml:space="preserve">izglītības programmas izstrādāt, licencēt, akreditēt un īstenot, tajā skaitā, izvērtējot izglītības iestādes finansiālās iespējas šo pasākumu īstenošanai. Lai nodrošinātu atsevišķu specifisku jautājumu apmācību ir nepieciešami specializēti apmācīttiesīgi speciālisti, kuriem ir piešķirtas prakses tiesības jaunizveidotajā apakšspecialitātē vai papildspecialitātē. </w:t>
            </w:r>
          </w:p>
          <w:p w:rsidR="007626EC" w:rsidRPr="009D75A5" w:rsidRDefault="007626EC" w:rsidP="003753CE">
            <w:pPr>
              <w:jc w:val="both"/>
              <w:rPr>
                <w:bCs/>
                <w:sz w:val="28"/>
                <w:szCs w:val="28"/>
              </w:rPr>
            </w:pPr>
            <w:r w:rsidRPr="009D75A5">
              <w:rPr>
                <w:bCs/>
                <w:sz w:val="28"/>
                <w:szCs w:val="28"/>
              </w:rPr>
              <w:t xml:space="preserve">Veselības ministrija ir saņēmusi Latvijas Ārstu biedrības (turpmāk – LĀB) ierosinājumu noteikt laika periodu un kritērijus ārstniecības personām, kuras bez izglītības programmas apguves jaunajā apakšspecialitātē vai papildspecialitātē, iegūst apakšspecialitātes vai papildspecialitātes sertifikātu un ir tiesīga piedalīties speciālistu apmācībā (kā arī patstāvīgi praktizēt specialitātē).  Ārstniecības personu teorētisko zināšanu un praktisko iemaņu apgūšanas process ir sarežģīts, piemēram, persona pēc ārsta grāda iegūšanas (pamatstudiju apmācība 6 gadi) turpina studijas kādā no ārsta profesijas pamatspecialitātēm (iegūst speciālista kvalifikāciju) un pēc sertifikācijas eksāmena nokārtošanas iegūst sertifikātu attiecīgajā pamatspecialitātē. Un tikai tad ārsts var apgūt kādu no ārsta profesijas apakšspecialitātēm un vai papildspecialitātēm, kas ir atbilstošas jau apgūtajai pamatspecialitātei. </w:t>
            </w:r>
          </w:p>
          <w:p w:rsidR="007626EC" w:rsidRPr="009D75A5" w:rsidRDefault="007626EC" w:rsidP="003753CE">
            <w:pPr>
              <w:jc w:val="both"/>
              <w:rPr>
                <w:bCs/>
                <w:sz w:val="28"/>
                <w:szCs w:val="28"/>
              </w:rPr>
            </w:pPr>
            <w:r w:rsidRPr="009D75A5">
              <w:rPr>
                <w:bCs/>
                <w:sz w:val="28"/>
                <w:szCs w:val="28"/>
              </w:rPr>
              <w:t xml:space="preserve">Attīstoties jaunām medicīniskām tehnoloģijām, ārstniecības personām ir jāapgūst ārstnieciskā vai diagnostiskā metode tālākizglītības studijās un jāiegūst attiecīgās metodes sertifikāts, atbilstoši normatīvajos aktos noteiktajai kārtībai. Ja ārstnieciskās vai diagnostiskās metodes lietošana ir noteikta pamatspecialitātes kompetencē, tad to ārsts apgūst rezidentūras laikā. Apkopojot vairākas ārstnieciskās vai diagnostiskās metodes, ko pielieto attiecīgās pamatspecialitātes ārsts var tikt izveidota jauna apakšspecialitāte vai papildspecialitāte, tādējādi jau rezidentūras studiju programmā ārsts apgūs teorētiskās zināšanas un praktiskās iemaņas vairāku metožu pielietošanā. </w:t>
            </w:r>
          </w:p>
          <w:p w:rsidR="007626EC" w:rsidRPr="009D75A5" w:rsidRDefault="004B477B" w:rsidP="003753CE">
            <w:pPr>
              <w:jc w:val="both"/>
              <w:rPr>
                <w:bCs/>
                <w:sz w:val="28"/>
                <w:szCs w:val="28"/>
              </w:rPr>
            </w:pPr>
            <w:r w:rsidRPr="009D75A5">
              <w:rPr>
                <w:bCs/>
                <w:sz w:val="28"/>
                <w:szCs w:val="28"/>
              </w:rPr>
              <w:t>Ievērojot</w:t>
            </w:r>
            <w:r w:rsidR="001041C1" w:rsidRPr="009D75A5">
              <w:rPr>
                <w:bCs/>
                <w:sz w:val="28"/>
                <w:szCs w:val="28"/>
              </w:rPr>
              <w:t xml:space="preserve"> minēto</w:t>
            </w:r>
            <w:r w:rsidRPr="009D75A5">
              <w:rPr>
                <w:bCs/>
                <w:sz w:val="28"/>
                <w:szCs w:val="28"/>
              </w:rPr>
              <w:t xml:space="preserve">, </w:t>
            </w:r>
            <w:r w:rsidR="001041C1" w:rsidRPr="009D75A5">
              <w:rPr>
                <w:bCs/>
                <w:sz w:val="28"/>
                <w:szCs w:val="28"/>
              </w:rPr>
              <w:t>nepieciešams Likumu papildināt ar tiesību normu,</w:t>
            </w:r>
            <w:r w:rsidRPr="009D75A5">
              <w:rPr>
                <w:bCs/>
                <w:sz w:val="28"/>
                <w:szCs w:val="28"/>
              </w:rPr>
              <w:t xml:space="preserve"> kas paredz</w:t>
            </w:r>
            <w:r w:rsidR="007626EC" w:rsidRPr="009D75A5">
              <w:rPr>
                <w:bCs/>
                <w:sz w:val="28"/>
                <w:szCs w:val="28"/>
              </w:rPr>
              <w:t xml:space="preserve"> Ministru kabinetam noteikt kritērijus ārstniecības personām noteiktās jaunās papildspecialitātes vai apakšspecialitātes iegūšanai bez izglītības programmas apgūšanas jaunajā apakšspecialitātē </w:t>
            </w:r>
            <w:r w:rsidR="007626EC" w:rsidRPr="009D75A5">
              <w:rPr>
                <w:bCs/>
                <w:sz w:val="28"/>
                <w:szCs w:val="28"/>
              </w:rPr>
              <w:lastRenderedPageBreak/>
              <w:t xml:space="preserve">vai papildspecialitātē un laika periodu, kurā ārstniecības personām, kas atbilst noteiktajiem kritērijiem, ir tiesības pretendēt uz ārstniecības personas sertifikātu noteiktā apakšspecialitātē vai papildspecialitātē. </w:t>
            </w:r>
          </w:p>
          <w:p w:rsidR="003753CE" w:rsidRDefault="007626EC" w:rsidP="003753CE">
            <w:pPr>
              <w:jc w:val="both"/>
              <w:rPr>
                <w:sz w:val="28"/>
                <w:szCs w:val="28"/>
              </w:rPr>
            </w:pPr>
            <w:r>
              <w:rPr>
                <w:sz w:val="28"/>
                <w:szCs w:val="28"/>
              </w:rPr>
              <w:t>2</w:t>
            </w:r>
            <w:r w:rsidR="00DB62B4">
              <w:rPr>
                <w:sz w:val="28"/>
                <w:szCs w:val="28"/>
              </w:rPr>
              <w:t>)</w:t>
            </w:r>
            <w:r w:rsidR="00015E97" w:rsidRPr="00DB62B4">
              <w:rPr>
                <w:sz w:val="28"/>
                <w:szCs w:val="28"/>
              </w:rPr>
              <w:t xml:space="preserve"> </w:t>
            </w:r>
            <w:r w:rsidR="00BC37B5" w:rsidRPr="00BC37B5">
              <w:rPr>
                <w:sz w:val="28"/>
                <w:szCs w:val="28"/>
              </w:rPr>
              <w:t xml:space="preserve"> </w:t>
            </w:r>
            <w:r w:rsidR="008E4253">
              <w:rPr>
                <w:sz w:val="28"/>
                <w:szCs w:val="28"/>
              </w:rPr>
              <w:t xml:space="preserve">Likuma </w:t>
            </w:r>
            <w:r w:rsidR="006D583D" w:rsidRPr="00DB62B4">
              <w:rPr>
                <w:sz w:val="28"/>
                <w:szCs w:val="28"/>
              </w:rPr>
              <w:t>53.panta otrais teikums ietver deleģējumu Ministru kabinetam noteikt kārtību, kādā izsniedz pārejošu darbnespēju apliecinošos dokumentu</w:t>
            </w:r>
            <w:r w:rsidR="00C67297" w:rsidRPr="00DB62B4">
              <w:rPr>
                <w:sz w:val="28"/>
                <w:szCs w:val="28"/>
              </w:rPr>
              <w:t>s</w:t>
            </w:r>
            <w:r w:rsidR="007E2ADA" w:rsidRPr="00DB62B4">
              <w:rPr>
                <w:sz w:val="28"/>
                <w:szCs w:val="28"/>
              </w:rPr>
              <w:t xml:space="preserve"> (turpmāk – darbnespējas lapas)</w:t>
            </w:r>
            <w:r w:rsidR="006D583D" w:rsidRPr="00DB62B4">
              <w:rPr>
                <w:sz w:val="28"/>
                <w:szCs w:val="28"/>
              </w:rPr>
              <w:t>.</w:t>
            </w:r>
            <w:r w:rsidR="00C67297" w:rsidRPr="00DB62B4">
              <w:rPr>
                <w:sz w:val="28"/>
                <w:szCs w:val="28"/>
              </w:rPr>
              <w:t xml:space="preserve"> </w:t>
            </w:r>
            <w:r w:rsidR="0036337A" w:rsidRPr="00DB62B4">
              <w:rPr>
                <w:sz w:val="28"/>
                <w:szCs w:val="28"/>
              </w:rPr>
              <w:t>A</w:t>
            </w:r>
            <w:r w:rsidR="00C67297" w:rsidRPr="00DB62B4">
              <w:rPr>
                <w:sz w:val="28"/>
                <w:szCs w:val="28"/>
              </w:rPr>
              <w:t>tbilstoši šim deleģējumam i</w:t>
            </w:r>
            <w:r w:rsidR="00EE0F90" w:rsidRPr="00DB62B4">
              <w:rPr>
                <w:sz w:val="28"/>
                <w:szCs w:val="28"/>
              </w:rPr>
              <w:t xml:space="preserve">zdotie </w:t>
            </w:r>
            <w:r w:rsidR="006D583D" w:rsidRPr="00DB62B4">
              <w:rPr>
                <w:sz w:val="28"/>
                <w:szCs w:val="28"/>
              </w:rPr>
              <w:t>Mini</w:t>
            </w:r>
            <w:r w:rsidR="00B735EB" w:rsidRPr="00DB62B4">
              <w:rPr>
                <w:sz w:val="28"/>
                <w:szCs w:val="28"/>
              </w:rPr>
              <w:t>s</w:t>
            </w:r>
            <w:r w:rsidR="006D583D" w:rsidRPr="00DB62B4">
              <w:rPr>
                <w:sz w:val="28"/>
                <w:szCs w:val="28"/>
              </w:rPr>
              <w:t>t</w:t>
            </w:r>
            <w:r w:rsidR="00B735EB" w:rsidRPr="00DB62B4">
              <w:rPr>
                <w:sz w:val="28"/>
                <w:szCs w:val="28"/>
              </w:rPr>
              <w:t>r</w:t>
            </w:r>
            <w:r w:rsidR="006D583D" w:rsidRPr="00DB62B4">
              <w:rPr>
                <w:sz w:val="28"/>
                <w:szCs w:val="28"/>
              </w:rPr>
              <w:t>u kabineta</w:t>
            </w:r>
            <w:r w:rsidR="00D55693" w:rsidRPr="00DB62B4">
              <w:rPr>
                <w:sz w:val="28"/>
                <w:szCs w:val="28"/>
              </w:rPr>
              <w:t xml:space="preserve"> 2001.gada 3.aprīļa </w:t>
            </w:r>
            <w:r w:rsidR="00C67297" w:rsidRPr="00DB62B4">
              <w:rPr>
                <w:sz w:val="28"/>
                <w:szCs w:val="28"/>
              </w:rPr>
              <w:t xml:space="preserve"> noteikumi Nr.152 „Darbnespējas lapu izsniegšanas kārtība” </w:t>
            </w:r>
            <w:r w:rsidR="00EE0F90" w:rsidRPr="00DB62B4">
              <w:rPr>
                <w:sz w:val="28"/>
                <w:szCs w:val="28"/>
              </w:rPr>
              <w:t>nosaka gan darbnespējas lapu izdošanas, gan anulēšanas</w:t>
            </w:r>
            <w:r w:rsidR="00BE2F07" w:rsidRPr="00DB62B4">
              <w:rPr>
                <w:sz w:val="28"/>
                <w:szCs w:val="28"/>
              </w:rPr>
              <w:t xml:space="preserve"> kārtību, jo</w:t>
            </w:r>
            <w:r w:rsidR="00DB62B4">
              <w:rPr>
                <w:sz w:val="28"/>
                <w:szCs w:val="28"/>
              </w:rPr>
              <w:t xml:space="preserve"> </w:t>
            </w:r>
            <w:r w:rsidR="00DB62B4">
              <w:rPr>
                <w:rFonts w:eastAsiaTheme="minorHAnsi"/>
                <w:color w:val="000000"/>
                <w:sz w:val="28"/>
                <w:szCs w:val="28"/>
                <w:lang w:bidi="my-MM"/>
              </w:rPr>
              <w:t xml:space="preserve">viens </w:t>
            </w:r>
            <w:r w:rsidR="00630C8C" w:rsidRPr="00630C8C">
              <w:rPr>
                <w:rFonts w:eastAsiaTheme="minorHAnsi"/>
                <w:color w:val="000000"/>
                <w:sz w:val="28"/>
                <w:szCs w:val="28"/>
                <w:lang w:bidi="my-MM"/>
              </w:rPr>
              <w:t>no darbnespēj</w:t>
            </w:r>
            <w:r w:rsidR="00630C8C">
              <w:rPr>
                <w:rFonts w:eastAsiaTheme="minorHAnsi"/>
                <w:color w:val="000000"/>
                <w:sz w:val="28"/>
                <w:szCs w:val="28"/>
                <w:lang w:bidi="my-MM"/>
              </w:rPr>
              <w:t xml:space="preserve">as lapu izsniegšanas aspektiem </w:t>
            </w:r>
            <w:r w:rsidR="00630C8C" w:rsidRPr="00630C8C">
              <w:rPr>
                <w:rFonts w:eastAsiaTheme="minorHAnsi"/>
                <w:color w:val="000000"/>
                <w:sz w:val="28"/>
                <w:szCs w:val="28"/>
                <w:lang w:bidi="my-MM"/>
              </w:rPr>
              <w:t>ir nepamatoti izsniegtu darbnespējas lapu anulēšana, ja darbnespējas lapa ir izsniegta neievērojot izsniegšanas nosacījumus. Tādējādi darbnespējas lapas anulēšana ir neatņemama darbnespējas lapu izsniegšanas sastāvdaļa.</w:t>
            </w:r>
            <w:r w:rsidR="00DB62B4">
              <w:rPr>
                <w:rFonts w:eastAsiaTheme="minorHAnsi"/>
                <w:color w:val="000000"/>
                <w:sz w:val="28"/>
                <w:szCs w:val="28"/>
                <w:lang w:bidi="my-MM"/>
              </w:rPr>
              <w:t xml:space="preserve"> Tajā pašā laikā nedz Likuma 53.pantā dotais deleģējums Ministru kabinetam, ne a</w:t>
            </w:r>
            <w:r w:rsidR="007E2ADA" w:rsidRPr="00DB62B4">
              <w:rPr>
                <w:rFonts w:eastAsiaTheme="minorHAnsi"/>
                <w:color w:val="000000"/>
                <w:sz w:val="28"/>
                <w:szCs w:val="28"/>
                <w:lang w:eastAsia="en-US"/>
              </w:rPr>
              <w:t>rī likuma „Par maternitātes un slimības</w:t>
            </w:r>
            <w:r w:rsidR="00DB62B4">
              <w:rPr>
                <w:rFonts w:eastAsiaTheme="minorHAnsi"/>
                <w:color w:val="000000"/>
                <w:sz w:val="28"/>
                <w:szCs w:val="28"/>
                <w:lang w:eastAsia="en-US"/>
              </w:rPr>
              <w:t xml:space="preserve"> apdrošināšanu” 9. vai 12. pantā</w:t>
            </w:r>
            <w:r w:rsidR="007E2ADA" w:rsidRPr="00DB62B4">
              <w:rPr>
                <w:rFonts w:eastAsiaTheme="minorHAnsi"/>
                <w:color w:val="000000"/>
                <w:sz w:val="28"/>
                <w:szCs w:val="28"/>
                <w:lang w:eastAsia="en-US"/>
              </w:rPr>
              <w:t xml:space="preserve"> un likuma „Par obligāto sociālo apdrošināšanu pret nelaimes gadījumiem darbā </w:t>
            </w:r>
            <w:r w:rsidR="00DB62B4">
              <w:rPr>
                <w:rFonts w:eastAsiaTheme="minorHAnsi"/>
                <w:color w:val="000000"/>
                <w:sz w:val="28"/>
                <w:szCs w:val="28"/>
                <w:lang w:eastAsia="en-US"/>
              </w:rPr>
              <w:t>un arodslimībām” 19. panta pirmajā daļā dotais deleģējums Ministru kabinetam</w:t>
            </w:r>
            <w:r w:rsidR="007E2ADA" w:rsidRPr="00DB62B4">
              <w:rPr>
                <w:rFonts w:eastAsiaTheme="minorHAnsi"/>
                <w:color w:val="000000"/>
                <w:sz w:val="28"/>
                <w:szCs w:val="28"/>
                <w:lang w:eastAsia="en-US"/>
              </w:rPr>
              <w:t xml:space="preserve">, nesatur </w:t>
            </w:r>
            <w:r w:rsidR="00630C8C" w:rsidRPr="00DB62B4">
              <w:rPr>
                <w:rFonts w:eastAsiaTheme="minorHAnsi"/>
                <w:color w:val="000000"/>
                <w:sz w:val="28"/>
                <w:szCs w:val="28"/>
                <w:lang w:eastAsia="en-US"/>
              </w:rPr>
              <w:t xml:space="preserve">skaidru </w:t>
            </w:r>
            <w:r w:rsidR="007E2ADA" w:rsidRPr="00DB62B4">
              <w:rPr>
                <w:rFonts w:eastAsiaTheme="minorHAnsi"/>
                <w:color w:val="000000"/>
                <w:sz w:val="28"/>
                <w:szCs w:val="28"/>
                <w:lang w:eastAsia="en-US"/>
              </w:rPr>
              <w:t>pilnvarojumu Ministru kabinetam noteikt kārtību, kādā tiek anulēta darbnespējas lapa.</w:t>
            </w:r>
            <w:r w:rsidR="007E2ADA" w:rsidRPr="00DB62B4">
              <w:rPr>
                <w:sz w:val="28"/>
                <w:szCs w:val="28"/>
              </w:rPr>
              <w:t xml:space="preserve"> </w:t>
            </w:r>
            <w:r w:rsidR="00DB62B4">
              <w:rPr>
                <w:sz w:val="28"/>
                <w:szCs w:val="28"/>
              </w:rPr>
              <w:t xml:space="preserve">Saskaņā ar Administratīvā procesa </w:t>
            </w:r>
            <w:r w:rsidR="006C1269">
              <w:rPr>
                <w:sz w:val="28"/>
                <w:szCs w:val="28"/>
              </w:rPr>
              <w:t>l</w:t>
            </w:r>
            <w:r w:rsidR="00DB62B4">
              <w:rPr>
                <w:sz w:val="28"/>
                <w:szCs w:val="28"/>
              </w:rPr>
              <w:t xml:space="preserve">ikuma 11.pantā nostiprināto likuma atrunas principu privātpersonai nelabvēlīgu administratīvo aktu izdot vai faktisko rīcību veikt iestāde var uz Satversmes, likuma, kā arī uz starptautisko tiesību normu pamata. Ministru kabineta noteikumi var būt par pamatu šādam administratīvajam aktam vai faktiskai rīcībai tikai tad, ja Satversmē, likumā vai starptautisko tiesību normā tieši vai netieši ir ietverts pilnvarojums Ministru kabinetam, izdodot noteikumus, tajos paredzēt šādus administratīvos aktus vai faktisko rīcību. </w:t>
            </w:r>
            <w:r w:rsidR="00630C8C" w:rsidRPr="00DB62B4">
              <w:rPr>
                <w:sz w:val="28"/>
                <w:szCs w:val="28"/>
              </w:rPr>
              <w:t xml:space="preserve">Ievērojot minēto, tiesiskās skaidrības labad </w:t>
            </w:r>
            <w:r w:rsidR="009559AB" w:rsidRPr="00DB62B4">
              <w:rPr>
                <w:sz w:val="28"/>
                <w:szCs w:val="28"/>
              </w:rPr>
              <w:t xml:space="preserve">nepieciešams </w:t>
            </w:r>
            <w:r w:rsidR="00630C8C" w:rsidRPr="00DB62B4">
              <w:rPr>
                <w:sz w:val="28"/>
                <w:szCs w:val="28"/>
              </w:rPr>
              <w:t>precizēt</w:t>
            </w:r>
            <w:r w:rsidR="009559AB" w:rsidRPr="00DB62B4">
              <w:rPr>
                <w:sz w:val="28"/>
                <w:szCs w:val="28"/>
              </w:rPr>
              <w:t xml:space="preserve"> Likuma 53.pantā Ministru kabinetam doto deleģējumu</w:t>
            </w:r>
            <w:r w:rsidR="00630C8C" w:rsidRPr="00DB62B4">
              <w:rPr>
                <w:sz w:val="28"/>
                <w:szCs w:val="28"/>
              </w:rPr>
              <w:t>,</w:t>
            </w:r>
            <w:r w:rsidR="009559AB" w:rsidRPr="00DB62B4">
              <w:rPr>
                <w:sz w:val="28"/>
                <w:szCs w:val="28"/>
              </w:rPr>
              <w:t xml:space="preserve"> </w:t>
            </w:r>
            <w:r w:rsidR="00630C8C" w:rsidRPr="00DB62B4">
              <w:rPr>
                <w:sz w:val="28"/>
                <w:szCs w:val="28"/>
              </w:rPr>
              <w:t xml:space="preserve">skaidri </w:t>
            </w:r>
            <w:r w:rsidR="009559AB" w:rsidRPr="00DB62B4">
              <w:rPr>
                <w:sz w:val="28"/>
                <w:szCs w:val="28"/>
              </w:rPr>
              <w:t>no</w:t>
            </w:r>
            <w:r w:rsidR="00630C8C" w:rsidRPr="00DB62B4">
              <w:rPr>
                <w:sz w:val="28"/>
                <w:szCs w:val="28"/>
              </w:rPr>
              <w:t>sakot</w:t>
            </w:r>
            <w:r w:rsidR="009559AB" w:rsidRPr="00DB62B4">
              <w:rPr>
                <w:sz w:val="28"/>
                <w:szCs w:val="28"/>
              </w:rPr>
              <w:t xml:space="preserve"> </w:t>
            </w:r>
            <w:r w:rsidR="00630C8C" w:rsidRPr="00DB62B4">
              <w:rPr>
                <w:sz w:val="28"/>
                <w:szCs w:val="28"/>
              </w:rPr>
              <w:t xml:space="preserve">deleģējumu Ministru kabinetam noteikt arī </w:t>
            </w:r>
            <w:r w:rsidR="007E2ADA" w:rsidRPr="00DB62B4">
              <w:rPr>
                <w:sz w:val="28"/>
                <w:szCs w:val="28"/>
              </w:rPr>
              <w:t xml:space="preserve">darbnespējas lapu </w:t>
            </w:r>
            <w:r w:rsidR="009559AB" w:rsidRPr="00DB62B4">
              <w:rPr>
                <w:sz w:val="28"/>
                <w:szCs w:val="28"/>
              </w:rPr>
              <w:t>anulēšanas kārtību.</w:t>
            </w:r>
          </w:p>
          <w:p w:rsidR="006D1D50" w:rsidRDefault="007626EC" w:rsidP="003753CE">
            <w:pPr>
              <w:jc w:val="both"/>
              <w:rPr>
                <w:sz w:val="28"/>
                <w:szCs w:val="28"/>
              </w:rPr>
            </w:pPr>
            <w:r>
              <w:rPr>
                <w:sz w:val="28"/>
                <w:szCs w:val="28"/>
              </w:rPr>
              <w:t>3</w:t>
            </w:r>
            <w:r w:rsidR="00DB62B4">
              <w:rPr>
                <w:sz w:val="28"/>
                <w:szCs w:val="28"/>
              </w:rPr>
              <w:t xml:space="preserve">) </w:t>
            </w:r>
            <w:r w:rsidR="006D1D50" w:rsidRPr="003D49AB">
              <w:rPr>
                <w:sz w:val="28"/>
                <w:szCs w:val="28"/>
              </w:rPr>
              <w:t>Saskaņā ar Eiropas Parlamenta un Padomes Direktīvas 2011/24/ES par pacientu tiesību piemērošanu pārrobežu veselības aprūpē 12.panta 3.punkta b</w:t>
            </w:r>
            <w:r w:rsidR="00DB62B4">
              <w:rPr>
                <w:sz w:val="28"/>
                <w:szCs w:val="28"/>
              </w:rPr>
              <w:t>)</w:t>
            </w:r>
            <w:r w:rsidR="006D1D50" w:rsidRPr="003D49AB">
              <w:rPr>
                <w:sz w:val="28"/>
                <w:szCs w:val="28"/>
              </w:rPr>
              <w:t xml:space="preserve"> apakšpunktā noteikto</w:t>
            </w:r>
            <w:r w:rsidR="006D1D50">
              <w:rPr>
                <w:sz w:val="28"/>
                <w:szCs w:val="28"/>
              </w:rPr>
              <w:t>,</w:t>
            </w:r>
            <w:r w:rsidR="006D1D50" w:rsidRPr="003D49AB">
              <w:rPr>
                <w:sz w:val="28"/>
                <w:szCs w:val="28"/>
              </w:rPr>
              <w:t xml:space="preserve"> Eiropas Savienības dalībvalstis tiek mudinātas </w:t>
            </w:r>
            <w:r w:rsidR="006D1D50" w:rsidRPr="003D49AB">
              <w:rPr>
                <w:sz w:val="28"/>
                <w:szCs w:val="28"/>
              </w:rPr>
              <w:lastRenderedPageBreak/>
              <w:t xml:space="preserve">veicināt Eiropas references tīklu veidošanu, veicinot veselības aprūpes sniedzēju un ekspertīzes centru dalību Eiropas references tīklos. </w:t>
            </w:r>
          </w:p>
          <w:p w:rsidR="001A49B0" w:rsidRPr="001770EE" w:rsidRDefault="001A49B0" w:rsidP="00DB62B4">
            <w:pPr>
              <w:pStyle w:val="NoSpacing"/>
              <w:jc w:val="both"/>
              <w:rPr>
                <w:sz w:val="28"/>
                <w:szCs w:val="28"/>
              </w:rPr>
            </w:pPr>
            <w:r w:rsidRPr="00C44C1D">
              <w:rPr>
                <w:rFonts w:eastAsiaTheme="minorHAnsi"/>
                <w:color w:val="000000"/>
                <w:sz w:val="28"/>
                <w:szCs w:val="28"/>
              </w:rPr>
              <w:t xml:space="preserve">Eiropas references tīklu veidošanas mērķis ir uzlabot diagnostikas pieejamību un kvalitatīvu veselības aprūpi visiem pacientiem, kuru veselības stāvoklis prasa īpašu resursu un zināšanu koncentrāciju, un šie tīkli, īpaši attiecībā uz retām slimībām, varētu kalpot arī kā medicīnas izglītības un pētniecības, informācijas izplatīšanas un izvērtēšanas centri. </w:t>
            </w:r>
            <w:r w:rsidRPr="001770EE">
              <w:rPr>
                <w:rFonts w:eastAsiaTheme="minorHAnsi"/>
                <w:color w:val="000000"/>
                <w:sz w:val="28"/>
                <w:szCs w:val="28"/>
              </w:rPr>
              <w:t>Paredzēts, ka dalība minētajos tīklos ir brīvprātīga.</w:t>
            </w:r>
          </w:p>
          <w:p w:rsidR="001A49B0" w:rsidRPr="00C44C1D" w:rsidRDefault="001A49B0" w:rsidP="00693DEA">
            <w:pPr>
              <w:autoSpaceDE w:val="0"/>
              <w:autoSpaceDN w:val="0"/>
              <w:adjustRightInd w:val="0"/>
              <w:jc w:val="both"/>
              <w:rPr>
                <w:rFonts w:eastAsiaTheme="minorHAnsi"/>
                <w:color w:val="000000"/>
                <w:sz w:val="28"/>
                <w:szCs w:val="28"/>
              </w:rPr>
            </w:pPr>
            <w:r w:rsidRPr="00C44C1D">
              <w:rPr>
                <w:rFonts w:eastAsiaTheme="minorHAnsi"/>
                <w:color w:val="000000"/>
                <w:sz w:val="28"/>
                <w:szCs w:val="28"/>
              </w:rPr>
              <w:t xml:space="preserve">Eiropas Komisija ir izstrādājusi </w:t>
            </w:r>
            <w:r>
              <w:rPr>
                <w:rFonts w:eastAsiaTheme="minorHAnsi"/>
                <w:color w:val="000000"/>
                <w:sz w:val="28"/>
                <w:szCs w:val="28"/>
              </w:rPr>
              <w:t xml:space="preserve">2014.gada 10.marta </w:t>
            </w:r>
            <w:r w:rsidRPr="00C44C1D">
              <w:rPr>
                <w:rFonts w:eastAsiaTheme="minorHAnsi"/>
                <w:color w:val="000000"/>
                <w:sz w:val="28"/>
                <w:szCs w:val="28"/>
              </w:rPr>
              <w:t xml:space="preserve">Komisijas </w:t>
            </w:r>
            <w:r>
              <w:rPr>
                <w:rFonts w:eastAsiaTheme="minorHAnsi"/>
                <w:color w:val="000000"/>
                <w:sz w:val="28"/>
                <w:szCs w:val="28"/>
              </w:rPr>
              <w:t>deleģēto</w:t>
            </w:r>
            <w:r w:rsidRPr="00C44C1D">
              <w:rPr>
                <w:rFonts w:eastAsiaTheme="minorHAnsi"/>
                <w:color w:val="000000"/>
                <w:sz w:val="28"/>
                <w:szCs w:val="28"/>
              </w:rPr>
              <w:t xml:space="preserve"> lēmumu Nr.2014/286</w:t>
            </w:r>
            <w:r>
              <w:rPr>
                <w:rFonts w:eastAsiaTheme="minorHAnsi"/>
                <w:color w:val="000000"/>
                <w:sz w:val="28"/>
                <w:szCs w:val="28"/>
              </w:rPr>
              <w:t>/ES</w:t>
            </w:r>
            <w:r w:rsidRPr="00C44C1D">
              <w:rPr>
                <w:rFonts w:eastAsiaTheme="minorHAnsi"/>
                <w:color w:val="000000"/>
                <w:sz w:val="28"/>
                <w:szCs w:val="28"/>
              </w:rPr>
              <w:t>, ar ko nosaka  kritēriju</w:t>
            </w:r>
            <w:r>
              <w:rPr>
                <w:rFonts w:eastAsiaTheme="minorHAnsi"/>
                <w:color w:val="000000"/>
                <w:sz w:val="28"/>
                <w:szCs w:val="28"/>
              </w:rPr>
              <w:t>s</w:t>
            </w:r>
            <w:r w:rsidRPr="00C44C1D">
              <w:rPr>
                <w:rFonts w:eastAsiaTheme="minorHAnsi"/>
                <w:color w:val="000000"/>
                <w:sz w:val="28"/>
                <w:szCs w:val="28"/>
              </w:rPr>
              <w:t xml:space="preserve"> un nosacījumus, kas jāizpilda Eiropas references tīkliem un veselības aprūpes sniedzējiem, kuri vēlas pievienoties Eiropas references tīklam un </w:t>
            </w:r>
            <w:r>
              <w:rPr>
                <w:rFonts w:eastAsiaTheme="minorHAnsi"/>
                <w:color w:val="000000"/>
                <w:sz w:val="28"/>
                <w:szCs w:val="28"/>
              </w:rPr>
              <w:t xml:space="preserve">2014.gada 10.marta </w:t>
            </w:r>
            <w:r w:rsidRPr="00C44C1D">
              <w:rPr>
                <w:rFonts w:eastAsiaTheme="minorHAnsi"/>
                <w:color w:val="000000"/>
                <w:sz w:val="28"/>
                <w:szCs w:val="28"/>
              </w:rPr>
              <w:t>Komisijas īstenošanas</w:t>
            </w:r>
            <w:r>
              <w:rPr>
                <w:rFonts w:eastAsiaTheme="minorHAnsi"/>
                <w:color w:val="000000"/>
                <w:sz w:val="28"/>
                <w:szCs w:val="28"/>
              </w:rPr>
              <w:t xml:space="preserve"> lēmumu</w:t>
            </w:r>
            <w:r w:rsidRPr="00C44C1D">
              <w:rPr>
                <w:rFonts w:eastAsiaTheme="minorHAnsi"/>
                <w:color w:val="000000"/>
                <w:sz w:val="28"/>
                <w:szCs w:val="28"/>
              </w:rPr>
              <w:t xml:space="preserve"> Nr.2014/287/ES, ar kuru nosaka kritērijus Eiropas references tīklu un to dalībnieku izveidošanai un izvērtēšanai, kā arī informācijas un zināšanu apmaiņas veicināšanai saistībā ar šādu tīklu izveidi un izvērtēšanu, paredzot, ka iesniedzot pieteikumu dalībai Eiropas references tīklā ir jāiesniedz dalībvalsts rakstisks apliecinājums, ka minētā veselības aprūpes pakalpojuma sniedzēja</w:t>
            </w:r>
            <w:r>
              <w:rPr>
                <w:rFonts w:eastAsiaTheme="minorHAnsi"/>
                <w:color w:val="000000"/>
                <w:sz w:val="28"/>
                <w:szCs w:val="28"/>
              </w:rPr>
              <w:t xml:space="preserve"> </w:t>
            </w:r>
            <w:r w:rsidRPr="00C44C1D">
              <w:rPr>
                <w:rFonts w:eastAsiaTheme="minorHAnsi"/>
                <w:color w:val="000000"/>
                <w:sz w:val="28"/>
                <w:szCs w:val="28"/>
              </w:rPr>
              <w:t xml:space="preserve">līdzdalība tīkla izveides priekšlikumā atbilst dalībvalsts tiesību aktiem. </w:t>
            </w:r>
          </w:p>
          <w:p w:rsidR="003753CE" w:rsidRDefault="00DB62B4" w:rsidP="003753CE">
            <w:pPr>
              <w:tabs>
                <w:tab w:val="left" w:pos="709"/>
                <w:tab w:val="left" w:pos="1418"/>
              </w:tabs>
              <w:jc w:val="both"/>
              <w:rPr>
                <w:rFonts w:eastAsiaTheme="minorHAnsi"/>
                <w:color w:val="000000"/>
                <w:sz w:val="28"/>
                <w:szCs w:val="28"/>
              </w:rPr>
            </w:pPr>
            <w:r>
              <w:rPr>
                <w:rFonts w:eastAsiaTheme="minorHAnsi"/>
                <w:color w:val="000000"/>
                <w:sz w:val="28"/>
                <w:szCs w:val="28"/>
              </w:rPr>
              <w:t xml:space="preserve"> </w:t>
            </w:r>
            <w:r w:rsidR="001A49B0" w:rsidRPr="00C44C1D">
              <w:rPr>
                <w:rFonts w:eastAsiaTheme="minorHAnsi"/>
                <w:color w:val="000000"/>
                <w:sz w:val="28"/>
                <w:szCs w:val="28"/>
              </w:rPr>
              <w:t>Latvijas normatīvajos aktos</w:t>
            </w:r>
            <w:r w:rsidR="001A49B0">
              <w:rPr>
                <w:rFonts w:eastAsiaTheme="minorHAnsi"/>
                <w:color w:val="000000"/>
                <w:sz w:val="28"/>
                <w:szCs w:val="28"/>
              </w:rPr>
              <w:t xml:space="preserve"> šobrīd</w:t>
            </w:r>
            <w:r w:rsidR="001A49B0" w:rsidRPr="00C44C1D">
              <w:rPr>
                <w:rFonts w:eastAsiaTheme="minorHAnsi"/>
                <w:color w:val="000000"/>
                <w:sz w:val="28"/>
                <w:szCs w:val="28"/>
              </w:rPr>
              <w:t xml:space="preserve"> nav iekļautas prasības ārstniecības iestādēm, kas vēlas piedalīties Eiropas references tīklos. Ņemot vērā minēto, lai nodrošinātu iespēju ārstniecības iestādēm</w:t>
            </w:r>
            <w:r w:rsidR="001A49B0">
              <w:rPr>
                <w:rFonts w:eastAsiaTheme="minorHAnsi"/>
                <w:color w:val="000000"/>
                <w:sz w:val="28"/>
                <w:szCs w:val="28"/>
              </w:rPr>
              <w:t>,</w:t>
            </w:r>
            <w:r w:rsidR="001A49B0" w:rsidRPr="00C44C1D">
              <w:rPr>
                <w:rFonts w:eastAsiaTheme="minorHAnsi"/>
                <w:color w:val="000000"/>
                <w:sz w:val="28"/>
                <w:szCs w:val="28"/>
              </w:rPr>
              <w:t xml:space="preserve"> atbilstot Eiropas Komisijas izstrādātajiem kritērijiem, iesaistīties atbilstošas jomas Eiropas references tīklos, tādējādi uzlabojot pacientu veselības aprūpes kvalitāti un pakalpojumu saņemšanas savlaicīgumu, nepieciešams </w:t>
            </w:r>
            <w:r w:rsidR="009744BD">
              <w:rPr>
                <w:rFonts w:eastAsiaTheme="minorHAnsi"/>
                <w:color w:val="000000"/>
                <w:sz w:val="28"/>
                <w:szCs w:val="28"/>
              </w:rPr>
              <w:t>L</w:t>
            </w:r>
            <w:r w:rsidR="001A49B0" w:rsidRPr="00C44C1D">
              <w:rPr>
                <w:rFonts w:eastAsiaTheme="minorHAnsi"/>
                <w:color w:val="000000"/>
                <w:sz w:val="28"/>
                <w:szCs w:val="28"/>
              </w:rPr>
              <w:t xml:space="preserve">ikumu papildināt ar </w:t>
            </w:r>
            <w:r w:rsidR="008929AA">
              <w:rPr>
                <w:rFonts w:eastAsiaTheme="minorHAnsi"/>
                <w:color w:val="000000"/>
                <w:sz w:val="28"/>
                <w:szCs w:val="28"/>
              </w:rPr>
              <w:t xml:space="preserve">tiesību normām, kas paredz </w:t>
            </w:r>
            <w:r w:rsidR="001A49B0" w:rsidRPr="00C44C1D">
              <w:rPr>
                <w:rFonts w:eastAsiaTheme="minorHAnsi"/>
                <w:color w:val="000000"/>
                <w:sz w:val="28"/>
                <w:szCs w:val="28"/>
              </w:rPr>
              <w:t>Ministru kabinetam noteikt prasības</w:t>
            </w:r>
            <w:r w:rsidR="001A49B0">
              <w:rPr>
                <w:rFonts w:eastAsiaTheme="minorHAnsi"/>
                <w:color w:val="000000"/>
                <w:sz w:val="28"/>
                <w:szCs w:val="28"/>
              </w:rPr>
              <w:t xml:space="preserve"> ārstniecības iestādēm, kuras vēlas pievienoties Eiropas references tīkliem un kārtību, kādā ārstniecības iestādes pievienojas šiem tīkliem</w:t>
            </w:r>
            <w:r w:rsidR="001A49B0" w:rsidRPr="00C44C1D">
              <w:rPr>
                <w:rFonts w:eastAsiaTheme="minorHAnsi"/>
                <w:color w:val="000000"/>
                <w:sz w:val="28"/>
                <w:szCs w:val="28"/>
              </w:rPr>
              <w:t>.</w:t>
            </w:r>
          </w:p>
          <w:p w:rsidR="001A65E5" w:rsidRDefault="007626EC" w:rsidP="003753CE">
            <w:pPr>
              <w:tabs>
                <w:tab w:val="left" w:pos="709"/>
                <w:tab w:val="left" w:pos="1418"/>
              </w:tabs>
              <w:jc w:val="both"/>
              <w:rPr>
                <w:color w:val="000000"/>
                <w:sz w:val="28"/>
                <w:szCs w:val="28"/>
                <w:lang w:eastAsia="en-US"/>
              </w:rPr>
            </w:pPr>
            <w:r>
              <w:rPr>
                <w:color w:val="000000"/>
                <w:sz w:val="28"/>
                <w:szCs w:val="28"/>
                <w:lang w:eastAsia="en-US"/>
              </w:rPr>
              <w:t>4</w:t>
            </w:r>
            <w:r w:rsidR="00DB62B4">
              <w:rPr>
                <w:color w:val="000000"/>
                <w:sz w:val="28"/>
                <w:szCs w:val="28"/>
                <w:lang w:eastAsia="en-US"/>
              </w:rPr>
              <w:t xml:space="preserve">) </w:t>
            </w:r>
            <w:r w:rsidR="00B8029D" w:rsidRPr="00DB62B4">
              <w:rPr>
                <w:color w:val="000000"/>
                <w:sz w:val="28"/>
                <w:szCs w:val="28"/>
                <w:lang w:eastAsia="en-US"/>
              </w:rPr>
              <w:t>Elektronisko dokumentu juridisko spēku nosaka Ele</w:t>
            </w:r>
            <w:r w:rsidR="007E2ADA" w:rsidRPr="00DB62B4">
              <w:rPr>
                <w:color w:val="000000"/>
                <w:sz w:val="28"/>
                <w:szCs w:val="28"/>
                <w:lang w:eastAsia="en-US"/>
              </w:rPr>
              <w:t>ktronisko dokumentu likums</w:t>
            </w:r>
            <w:r w:rsidR="00260A4F" w:rsidRPr="00DB62B4">
              <w:rPr>
                <w:color w:val="000000"/>
                <w:sz w:val="28"/>
                <w:szCs w:val="28"/>
                <w:lang w:eastAsia="en-US"/>
              </w:rPr>
              <w:t xml:space="preserve">, kura 3.panta </w:t>
            </w:r>
            <w:r w:rsidR="00B735EB" w:rsidRPr="00DB62B4">
              <w:rPr>
                <w:color w:val="000000"/>
                <w:sz w:val="28"/>
                <w:szCs w:val="28"/>
                <w:lang w:eastAsia="en-US"/>
              </w:rPr>
              <w:t xml:space="preserve">piektajā </w:t>
            </w:r>
            <w:r w:rsidR="00260A4F" w:rsidRPr="00DB62B4">
              <w:rPr>
                <w:color w:val="000000"/>
                <w:sz w:val="28"/>
                <w:szCs w:val="28"/>
                <w:lang w:eastAsia="en-US"/>
              </w:rPr>
              <w:t>daļā noteikts, ka</w:t>
            </w:r>
            <w:r w:rsidR="007F007E" w:rsidRPr="00DB62B4">
              <w:rPr>
                <w:color w:val="000000"/>
                <w:sz w:val="28"/>
                <w:szCs w:val="28"/>
                <w:lang w:eastAsia="en-US"/>
              </w:rPr>
              <w:t xml:space="preserve"> e</w:t>
            </w:r>
            <w:r w:rsidR="00575FBC" w:rsidRPr="00DB62B4">
              <w:rPr>
                <w:sz w:val="28"/>
                <w:szCs w:val="28"/>
              </w:rPr>
              <w:t>lektronisko dokumentu apritē starp valsts un pašvaldību iestādēm vai starp šīm iestādēm un fiziskajām un juridiskajām personām elektroniskais do</w:t>
            </w:r>
            <w:r w:rsidR="007F007E" w:rsidRPr="00DB62B4">
              <w:rPr>
                <w:sz w:val="28"/>
                <w:szCs w:val="28"/>
              </w:rPr>
              <w:t xml:space="preserve">kuments </w:t>
            </w:r>
            <w:r w:rsidR="007F007E" w:rsidRPr="00DB62B4">
              <w:rPr>
                <w:sz w:val="28"/>
                <w:szCs w:val="28"/>
              </w:rPr>
              <w:lastRenderedPageBreak/>
              <w:t>uzskatāms par parakstītu</w:t>
            </w:r>
            <w:r w:rsidR="00575FBC" w:rsidRPr="00DB62B4">
              <w:rPr>
                <w:sz w:val="28"/>
                <w:szCs w:val="28"/>
              </w:rPr>
              <w:t xml:space="preserve">, ja tam ir </w:t>
            </w:r>
            <w:r w:rsidR="00575FBC" w:rsidRPr="006C1269">
              <w:rPr>
                <w:sz w:val="28"/>
                <w:szCs w:val="28"/>
              </w:rPr>
              <w:t>drošs elektroniskais paraksts un laika zīmogs</w:t>
            </w:r>
            <w:r w:rsidR="00575FBC" w:rsidRPr="00DB62B4">
              <w:rPr>
                <w:sz w:val="28"/>
                <w:szCs w:val="28"/>
              </w:rPr>
              <w:t xml:space="preserve"> vai </w:t>
            </w:r>
            <w:r w:rsidR="00575FBC" w:rsidRPr="006C1269">
              <w:rPr>
                <w:sz w:val="28"/>
                <w:szCs w:val="28"/>
              </w:rPr>
              <w:t>elektroniskais paraksts</w:t>
            </w:r>
            <w:r w:rsidR="00575FBC" w:rsidRPr="00DB62B4">
              <w:rPr>
                <w:sz w:val="28"/>
                <w:szCs w:val="28"/>
              </w:rPr>
              <w:t>, ja puses šā panta otrajā daļā noteiktajā kārtībā rakstveidā vienojušās par elektroniskā dokumenta parakstīšanu ar elektronisko parakstu.</w:t>
            </w:r>
            <w:r w:rsidR="00335523" w:rsidRPr="00DB62B4">
              <w:rPr>
                <w:color w:val="000000"/>
                <w:sz w:val="28"/>
                <w:szCs w:val="28"/>
                <w:lang w:eastAsia="en-US"/>
              </w:rPr>
              <w:t xml:space="preserve"> </w:t>
            </w:r>
            <w:r w:rsidR="004E4B9C" w:rsidRPr="00DB62B4">
              <w:rPr>
                <w:color w:val="000000"/>
                <w:sz w:val="28"/>
                <w:szCs w:val="28"/>
                <w:lang w:eastAsia="en-US"/>
              </w:rPr>
              <w:t>Vienotajā v</w:t>
            </w:r>
            <w:r w:rsidR="00314BFD" w:rsidRPr="00DB62B4">
              <w:rPr>
                <w:color w:val="000000"/>
                <w:sz w:val="28"/>
                <w:szCs w:val="28"/>
                <w:lang w:eastAsia="en-US"/>
              </w:rPr>
              <w:t xml:space="preserve">eselības </w:t>
            </w:r>
            <w:r w:rsidR="004E4B9C" w:rsidRPr="00DB62B4">
              <w:rPr>
                <w:color w:val="000000"/>
                <w:sz w:val="28"/>
                <w:szCs w:val="28"/>
                <w:lang w:eastAsia="en-US"/>
              </w:rPr>
              <w:t xml:space="preserve">nozares elektroniskajā </w:t>
            </w:r>
            <w:r w:rsidR="00314BFD" w:rsidRPr="00DB62B4">
              <w:rPr>
                <w:color w:val="000000"/>
                <w:sz w:val="28"/>
                <w:szCs w:val="28"/>
                <w:lang w:eastAsia="en-US"/>
              </w:rPr>
              <w:t>informācijas sistēmā</w:t>
            </w:r>
            <w:r w:rsidR="004E4B9C" w:rsidRPr="00DB62B4">
              <w:rPr>
                <w:color w:val="000000"/>
                <w:sz w:val="28"/>
                <w:szCs w:val="28"/>
                <w:lang w:eastAsia="en-US"/>
              </w:rPr>
              <w:t xml:space="preserve"> (turpmāk – veselības informācijas sistēma)</w:t>
            </w:r>
            <w:r w:rsidR="00314BFD" w:rsidRPr="00DB62B4">
              <w:rPr>
                <w:color w:val="000000"/>
                <w:sz w:val="28"/>
                <w:szCs w:val="28"/>
                <w:lang w:eastAsia="en-US"/>
              </w:rPr>
              <w:t xml:space="preserve"> d</w:t>
            </w:r>
            <w:r w:rsidR="00335523" w:rsidRPr="00DB62B4">
              <w:rPr>
                <w:color w:val="000000"/>
                <w:sz w:val="28"/>
                <w:szCs w:val="28"/>
                <w:lang w:eastAsia="en-US"/>
              </w:rPr>
              <w:t>okumentu parakstīšanu</w:t>
            </w:r>
            <w:r w:rsidR="00B8029D" w:rsidRPr="00DB62B4">
              <w:rPr>
                <w:color w:val="000000"/>
                <w:sz w:val="28"/>
                <w:szCs w:val="28"/>
                <w:lang w:eastAsia="en-US"/>
              </w:rPr>
              <w:t xml:space="preserve"> ar drošu </w:t>
            </w:r>
            <w:r w:rsidR="00314BFD" w:rsidRPr="00DB62B4">
              <w:rPr>
                <w:color w:val="000000"/>
                <w:sz w:val="28"/>
                <w:szCs w:val="28"/>
                <w:lang w:eastAsia="en-US"/>
              </w:rPr>
              <w:t>elektronisko parakstu</w:t>
            </w:r>
            <w:r w:rsidR="00FE36B0" w:rsidRPr="00DB62B4">
              <w:rPr>
                <w:color w:val="000000"/>
                <w:sz w:val="28"/>
                <w:szCs w:val="28"/>
                <w:lang w:eastAsia="en-US"/>
              </w:rPr>
              <w:t xml:space="preserve"> nav iespējams īst</w:t>
            </w:r>
            <w:r w:rsidR="00B735EB" w:rsidRPr="00DB62B4">
              <w:rPr>
                <w:color w:val="000000"/>
                <w:sz w:val="28"/>
                <w:szCs w:val="28"/>
                <w:lang w:eastAsia="en-US"/>
              </w:rPr>
              <w:t>e</w:t>
            </w:r>
            <w:r w:rsidR="00FE36B0" w:rsidRPr="00DB62B4">
              <w:rPr>
                <w:color w:val="000000"/>
                <w:sz w:val="28"/>
                <w:szCs w:val="28"/>
                <w:lang w:eastAsia="en-US"/>
              </w:rPr>
              <w:t>not</w:t>
            </w:r>
            <w:r w:rsidR="00AE1183" w:rsidRPr="00DB62B4">
              <w:rPr>
                <w:color w:val="000000"/>
                <w:sz w:val="28"/>
                <w:szCs w:val="28"/>
                <w:lang w:eastAsia="en-US"/>
              </w:rPr>
              <w:t>, jo papildus</w:t>
            </w:r>
            <w:r w:rsidR="00E00F25" w:rsidRPr="00DB62B4">
              <w:rPr>
                <w:color w:val="000000"/>
                <w:sz w:val="28"/>
                <w:szCs w:val="28"/>
                <w:lang w:eastAsia="en-US"/>
              </w:rPr>
              <w:t xml:space="preserve"> veicamās</w:t>
            </w:r>
            <w:r w:rsidR="00AE1183" w:rsidRPr="00DB62B4">
              <w:rPr>
                <w:color w:val="000000"/>
                <w:sz w:val="28"/>
                <w:szCs w:val="28"/>
                <w:lang w:eastAsia="en-US"/>
              </w:rPr>
              <w:t xml:space="preserve"> darb</w:t>
            </w:r>
            <w:r w:rsidR="00DA3FA9" w:rsidRPr="00DB62B4">
              <w:rPr>
                <w:color w:val="000000"/>
                <w:sz w:val="28"/>
                <w:szCs w:val="28"/>
                <w:lang w:eastAsia="en-US"/>
              </w:rPr>
              <w:t>ības</w:t>
            </w:r>
            <w:r w:rsidR="00005AF8" w:rsidRPr="00DB62B4">
              <w:rPr>
                <w:color w:val="000000"/>
                <w:sz w:val="28"/>
                <w:szCs w:val="28"/>
                <w:lang w:eastAsia="en-US"/>
              </w:rPr>
              <w:t xml:space="preserve"> ārstam </w:t>
            </w:r>
            <w:r w:rsidR="0036337A" w:rsidRPr="00DB62B4">
              <w:rPr>
                <w:color w:val="000000"/>
                <w:sz w:val="28"/>
                <w:szCs w:val="28"/>
                <w:lang w:eastAsia="en-US"/>
              </w:rPr>
              <w:t>sarežģīs pacientu apka</w:t>
            </w:r>
            <w:r w:rsidR="00B8029D" w:rsidRPr="00DB62B4">
              <w:rPr>
                <w:color w:val="000000"/>
                <w:sz w:val="28"/>
                <w:szCs w:val="28"/>
                <w:lang w:eastAsia="en-US"/>
              </w:rPr>
              <w:t>lpošanu un paildzinās vizīt</w:t>
            </w:r>
            <w:r w:rsidR="0036337A" w:rsidRPr="00DB62B4">
              <w:rPr>
                <w:color w:val="000000"/>
                <w:sz w:val="28"/>
                <w:szCs w:val="28"/>
                <w:lang w:eastAsia="en-US"/>
              </w:rPr>
              <w:t>i</w:t>
            </w:r>
            <w:r w:rsidR="00B8029D" w:rsidRPr="00DB62B4">
              <w:rPr>
                <w:color w:val="000000"/>
                <w:sz w:val="28"/>
                <w:szCs w:val="28"/>
                <w:lang w:eastAsia="en-US"/>
              </w:rPr>
              <w:t>, kā arī prasīs fin</w:t>
            </w:r>
            <w:r w:rsidR="00314BFD" w:rsidRPr="00DB62B4">
              <w:rPr>
                <w:color w:val="000000"/>
                <w:sz w:val="28"/>
                <w:szCs w:val="28"/>
                <w:lang w:eastAsia="en-US"/>
              </w:rPr>
              <w:t>ansiālus ieguldījumus no ārstniecības iestādēm (</w:t>
            </w:r>
            <w:r w:rsidR="00FE36B0" w:rsidRPr="00DB62B4">
              <w:rPr>
                <w:color w:val="000000"/>
                <w:sz w:val="28"/>
                <w:szCs w:val="28"/>
                <w:lang w:eastAsia="en-US"/>
              </w:rPr>
              <w:t xml:space="preserve">ārstniecības </w:t>
            </w:r>
            <w:r w:rsidR="00314BFD" w:rsidRPr="00DB62B4">
              <w:rPr>
                <w:color w:val="000000"/>
                <w:sz w:val="28"/>
                <w:szCs w:val="28"/>
                <w:lang w:eastAsia="en-US"/>
              </w:rPr>
              <w:t>personām</w:t>
            </w:r>
            <w:r w:rsidR="00FE36B0" w:rsidRPr="00DB62B4">
              <w:rPr>
                <w:color w:val="000000"/>
                <w:sz w:val="28"/>
                <w:szCs w:val="28"/>
                <w:lang w:eastAsia="en-US"/>
              </w:rPr>
              <w:t>)</w:t>
            </w:r>
            <w:r w:rsidR="00AE1183" w:rsidRPr="00DB62B4">
              <w:rPr>
                <w:color w:val="000000"/>
                <w:sz w:val="28"/>
                <w:szCs w:val="28"/>
                <w:lang w:eastAsia="en-US"/>
              </w:rPr>
              <w:t xml:space="preserve"> virtuālā e-paraksta lietošanas apm</w:t>
            </w:r>
            <w:r w:rsidR="0036337A" w:rsidRPr="00DB62B4">
              <w:rPr>
                <w:color w:val="000000"/>
                <w:sz w:val="28"/>
                <w:szCs w:val="28"/>
                <w:lang w:eastAsia="en-US"/>
              </w:rPr>
              <w:t>a</w:t>
            </w:r>
            <w:r w:rsidR="00AE1183" w:rsidRPr="00DB62B4">
              <w:rPr>
                <w:color w:val="000000"/>
                <w:sz w:val="28"/>
                <w:szCs w:val="28"/>
                <w:lang w:eastAsia="en-US"/>
              </w:rPr>
              <w:t>ksai</w:t>
            </w:r>
            <w:r w:rsidR="00FE36B0" w:rsidRPr="00DB62B4">
              <w:rPr>
                <w:color w:val="000000"/>
                <w:sz w:val="28"/>
                <w:szCs w:val="28"/>
                <w:lang w:eastAsia="en-US"/>
              </w:rPr>
              <w:t>. S</w:t>
            </w:r>
            <w:r w:rsidR="000425AB" w:rsidRPr="00DB62B4">
              <w:rPr>
                <w:color w:val="000000"/>
                <w:sz w:val="28"/>
                <w:szCs w:val="28"/>
                <w:lang w:eastAsia="en-US"/>
              </w:rPr>
              <w:t>avukārt, lai veselības informācijas sistēmā</w:t>
            </w:r>
            <w:r w:rsidR="00B8029D" w:rsidRPr="00DB62B4">
              <w:rPr>
                <w:color w:val="000000"/>
                <w:sz w:val="28"/>
                <w:szCs w:val="28"/>
                <w:lang w:eastAsia="en-US"/>
              </w:rPr>
              <w:t xml:space="preserve"> sagatavotos dokumentus un ierakstus parakstī</w:t>
            </w:r>
            <w:r w:rsidR="000425AB" w:rsidRPr="00DB62B4">
              <w:rPr>
                <w:color w:val="000000"/>
                <w:sz w:val="28"/>
                <w:szCs w:val="28"/>
                <w:lang w:eastAsia="en-US"/>
              </w:rPr>
              <w:t>tu ar elektronisko parakstu, Nacionālajam veselības dienestam, kā sist</w:t>
            </w:r>
            <w:r w:rsidR="00314BFD" w:rsidRPr="00DB62B4">
              <w:rPr>
                <w:color w:val="000000"/>
                <w:sz w:val="28"/>
                <w:szCs w:val="28"/>
                <w:lang w:eastAsia="en-US"/>
              </w:rPr>
              <w:t>ēmas pārzinim</w:t>
            </w:r>
            <w:r w:rsidR="007E2ADA" w:rsidRPr="00DB62B4">
              <w:rPr>
                <w:color w:val="000000"/>
                <w:sz w:val="28"/>
                <w:szCs w:val="28"/>
                <w:lang w:eastAsia="en-US"/>
              </w:rPr>
              <w:t>,</w:t>
            </w:r>
            <w:r w:rsidR="00314BFD" w:rsidRPr="00DB62B4">
              <w:rPr>
                <w:color w:val="000000"/>
                <w:sz w:val="28"/>
                <w:szCs w:val="28"/>
                <w:lang w:eastAsia="en-US"/>
              </w:rPr>
              <w:t xml:space="preserve"> būtu</w:t>
            </w:r>
            <w:r w:rsidR="00AE1183" w:rsidRPr="00DB62B4">
              <w:rPr>
                <w:color w:val="000000"/>
                <w:sz w:val="28"/>
                <w:szCs w:val="28"/>
                <w:lang w:eastAsia="en-US"/>
              </w:rPr>
              <w:t xml:space="preserve"> jāslē</w:t>
            </w:r>
            <w:r w:rsidR="00B8029D" w:rsidRPr="00DB62B4">
              <w:rPr>
                <w:color w:val="000000"/>
                <w:sz w:val="28"/>
                <w:szCs w:val="28"/>
                <w:lang w:eastAsia="en-US"/>
              </w:rPr>
              <w:t xml:space="preserve">dz vienošanās ar visiem Latvijas iedzīvotājiem, kas nav racionāli un praktiski iespējams. </w:t>
            </w:r>
            <w:r w:rsidR="000425AB" w:rsidRPr="00DB62B4">
              <w:rPr>
                <w:color w:val="000000"/>
                <w:sz w:val="28"/>
                <w:szCs w:val="28"/>
                <w:lang w:eastAsia="en-US"/>
              </w:rPr>
              <w:t>Ievērojot minēto</w:t>
            </w:r>
            <w:r w:rsidR="00C01177" w:rsidRPr="00DB62B4">
              <w:rPr>
                <w:color w:val="000000"/>
                <w:sz w:val="28"/>
                <w:szCs w:val="28"/>
                <w:lang w:eastAsia="en-US"/>
              </w:rPr>
              <w:t xml:space="preserve"> un Elektronisko dokumentu likuma 3.panta </w:t>
            </w:r>
            <w:r w:rsidR="00C01177" w:rsidRPr="00DB62B4">
              <w:rPr>
                <w:sz w:val="28"/>
                <w:szCs w:val="28"/>
              </w:rPr>
              <w:t>6.daļā noteikto (likums piemērojams tiktāl, ciktāl citos normatīvajos aktos nav noteikta cita dokumentu noformēšanas kārtība un nosacījumi),</w:t>
            </w:r>
            <w:r w:rsidR="00C01177" w:rsidRPr="00DB62B4">
              <w:rPr>
                <w:color w:val="000000"/>
                <w:sz w:val="28"/>
                <w:szCs w:val="28"/>
                <w:lang w:eastAsia="en-US"/>
              </w:rPr>
              <w:t xml:space="preserve"> </w:t>
            </w:r>
            <w:r w:rsidR="000425AB" w:rsidRPr="00DB62B4">
              <w:rPr>
                <w:color w:val="000000"/>
                <w:sz w:val="28"/>
                <w:szCs w:val="28"/>
                <w:lang w:eastAsia="en-US"/>
              </w:rPr>
              <w:t>Likumā</w:t>
            </w:r>
            <w:r w:rsidR="00B8029D" w:rsidRPr="00DB62B4">
              <w:rPr>
                <w:color w:val="000000"/>
                <w:sz w:val="28"/>
                <w:szCs w:val="28"/>
                <w:lang w:eastAsia="en-US"/>
              </w:rPr>
              <w:t xml:space="preserve"> </w:t>
            </w:r>
            <w:r w:rsidR="000425AB" w:rsidRPr="00DB62B4">
              <w:rPr>
                <w:color w:val="000000"/>
                <w:sz w:val="28"/>
                <w:szCs w:val="28"/>
                <w:lang w:eastAsia="en-US"/>
              </w:rPr>
              <w:t>ir</w:t>
            </w:r>
            <w:r w:rsidR="00B8029D" w:rsidRPr="00DB62B4">
              <w:rPr>
                <w:color w:val="000000"/>
                <w:sz w:val="28"/>
                <w:szCs w:val="28"/>
                <w:lang w:eastAsia="en-US"/>
              </w:rPr>
              <w:t xml:space="preserve"> </w:t>
            </w:r>
            <w:r w:rsidR="000425AB" w:rsidRPr="00DB62B4">
              <w:rPr>
                <w:color w:val="000000"/>
                <w:sz w:val="28"/>
                <w:szCs w:val="28"/>
                <w:lang w:eastAsia="en-US"/>
              </w:rPr>
              <w:t>jāiekļauj speciāl</w:t>
            </w:r>
            <w:r w:rsidR="00AD7813" w:rsidRPr="00DB62B4">
              <w:rPr>
                <w:color w:val="000000"/>
                <w:sz w:val="28"/>
                <w:szCs w:val="28"/>
                <w:lang w:eastAsia="en-US"/>
              </w:rPr>
              <w:t>a norma</w:t>
            </w:r>
            <w:r w:rsidR="000425AB" w:rsidRPr="00DB62B4">
              <w:rPr>
                <w:color w:val="000000"/>
                <w:sz w:val="28"/>
                <w:szCs w:val="28"/>
                <w:lang w:eastAsia="en-US"/>
              </w:rPr>
              <w:t xml:space="preserve"> par vese</w:t>
            </w:r>
            <w:r w:rsidR="00B735EB" w:rsidRPr="00DB62B4">
              <w:rPr>
                <w:color w:val="000000"/>
                <w:sz w:val="28"/>
                <w:szCs w:val="28"/>
                <w:lang w:eastAsia="en-US"/>
              </w:rPr>
              <w:t>l</w:t>
            </w:r>
            <w:r w:rsidR="000425AB" w:rsidRPr="00DB62B4">
              <w:rPr>
                <w:color w:val="000000"/>
                <w:sz w:val="28"/>
                <w:szCs w:val="28"/>
                <w:lang w:eastAsia="en-US"/>
              </w:rPr>
              <w:t>ības informācijas sistēmā sagatavoto ierak</w:t>
            </w:r>
            <w:r w:rsidR="00B735EB" w:rsidRPr="00DB62B4">
              <w:rPr>
                <w:color w:val="000000"/>
                <w:sz w:val="28"/>
                <w:szCs w:val="28"/>
                <w:lang w:eastAsia="en-US"/>
              </w:rPr>
              <w:t>s</w:t>
            </w:r>
            <w:r w:rsidR="000425AB" w:rsidRPr="00DB62B4">
              <w:rPr>
                <w:color w:val="000000"/>
                <w:sz w:val="28"/>
                <w:szCs w:val="28"/>
                <w:lang w:eastAsia="en-US"/>
              </w:rPr>
              <w:t xml:space="preserve">tu juridisko spēku, nosakot, </w:t>
            </w:r>
            <w:r w:rsidR="00352D7A" w:rsidRPr="00DB62B4">
              <w:rPr>
                <w:color w:val="000000"/>
                <w:sz w:val="28"/>
                <w:szCs w:val="28"/>
                <w:lang w:eastAsia="en-US"/>
              </w:rPr>
              <w:t xml:space="preserve">ka </w:t>
            </w:r>
            <w:r w:rsidR="007E2ADA" w:rsidRPr="00DB62B4">
              <w:rPr>
                <w:color w:val="000000"/>
                <w:sz w:val="28"/>
                <w:szCs w:val="28"/>
                <w:lang w:eastAsia="en-US"/>
              </w:rPr>
              <w:t>veselības informācijas sistēmā</w:t>
            </w:r>
            <w:r w:rsidR="00B8029D" w:rsidRPr="00DB62B4">
              <w:rPr>
                <w:color w:val="000000"/>
                <w:sz w:val="28"/>
                <w:szCs w:val="28"/>
                <w:lang w:eastAsia="en-US"/>
              </w:rPr>
              <w:t xml:space="preserve"> veiktajiem ierakstiem un sagatavotajiem medicīniskajiem dokumentiem ir juridiskais spēks arī tad, ja tie</w:t>
            </w:r>
            <w:r w:rsidR="00F8523E" w:rsidRPr="00DB62B4">
              <w:rPr>
                <w:color w:val="000000"/>
                <w:sz w:val="28"/>
                <w:szCs w:val="28"/>
                <w:lang w:eastAsia="en-US"/>
              </w:rPr>
              <w:t xml:space="preserve"> nav parakstīti ar</w:t>
            </w:r>
            <w:r w:rsidR="00B8029D" w:rsidRPr="00DB62B4">
              <w:rPr>
                <w:color w:val="000000"/>
                <w:sz w:val="28"/>
                <w:szCs w:val="28"/>
                <w:lang w:eastAsia="en-US"/>
              </w:rPr>
              <w:t xml:space="preserve"> </w:t>
            </w:r>
            <w:r w:rsidR="00F8523E" w:rsidRPr="006C1269">
              <w:rPr>
                <w:sz w:val="28"/>
                <w:szCs w:val="28"/>
              </w:rPr>
              <w:t>drošu elektronisko parakstu ar laika zīmogu</w:t>
            </w:r>
            <w:r w:rsidR="00F8523E" w:rsidRPr="00DB62B4">
              <w:rPr>
                <w:sz w:val="28"/>
                <w:szCs w:val="28"/>
              </w:rPr>
              <w:t xml:space="preserve"> vai </w:t>
            </w:r>
            <w:r w:rsidR="00F8523E" w:rsidRPr="006C1269">
              <w:rPr>
                <w:sz w:val="28"/>
                <w:szCs w:val="28"/>
              </w:rPr>
              <w:t>elektronisko parakstu</w:t>
            </w:r>
            <w:r w:rsidR="00B8029D" w:rsidRPr="006C1269">
              <w:rPr>
                <w:color w:val="000000"/>
                <w:sz w:val="28"/>
                <w:szCs w:val="28"/>
                <w:lang w:eastAsia="en-US"/>
              </w:rPr>
              <w:t xml:space="preserve">. </w:t>
            </w:r>
          </w:p>
          <w:p w:rsidR="007F0606" w:rsidRPr="00E50030" w:rsidRDefault="007F0606" w:rsidP="00932EA1">
            <w:pPr>
              <w:autoSpaceDE w:val="0"/>
              <w:autoSpaceDN w:val="0"/>
              <w:adjustRightInd w:val="0"/>
              <w:jc w:val="both"/>
              <w:rPr>
                <w:rFonts w:eastAsiaTheme="minorHAnsi"/>
                <w:color w:val="000000"/>
                <w:lang w:eastAsia="en-US" w:bidi="my-MM"/>
              </w:rPr>
            </w:pPr>
            <w:r w:rsidRPr="00E50030">
              <w:rPr>
                <w:color w:val="000000"/>
                <w:sz w:val="28"/>
                <w:szCs w:val="28"/>
                <w:lang w:eastAsia="en-US"/>
              </w:rPr>
              <w:t>5)</w:t>
            </w:r>
            <w:r w:rsidRPr="00E50030">
              <w:rPr>
                <w:sz w:val="28"/>
                <w:szCs w:val="28"/>
              </w:rPr>
              <w:t xml:space="preserve"> Saskaņā ar grozījumiem Ministru kabineta 2001.gada 3.aprīļa noteikumos Nr.152 „Darbnespējas lapu izsniegšanas kārtība” (Ministru kabineta 2015.gada 1.decembra noteikumi Nr.683</w:t>
            </w:r>
            <w:r w:rsidR="00E51F74" w:rsidRPr="00E50030">
              <w:rPr>
                <w:sz w:val="28"/>
                <w:szCs w:val="28"/>
              </w:rPr>
              <w:t xml:space="preserve"> „Grozījumi Ministru kabineta 2001.gada 3.aprīļa noteikumos Nr. 152 „Darbnespējas lapu izsniegšanas kārtība”) ārsts vai ārsta palīgs darbnespējas lapu sagatavo elektroniski veselības informācijas sistēmā atbilstoši normatīvajiem aktiem par vienoto veselības nozares elektronisko informācijas sistēmu. </w:t>
            </w:r>
            <w:r w:rsidRPr="00E50030">
              <w:rPr>
                <w:sz w:val="28"/>
                <w:szCs w:val="28"/>
              </w:rPr>
              <w:t xml:space="preserve">Darbinieka slimošana darba devējam rada noteiktas tiesības un pienākumus, </w:t>
            </w:r>
            <w:r w:rsidR="00E51F74" w:rsidRPr="00E50030">
              <w:rPr>
                <w:sz w:val="28"/>
                <w:szCs w:val="28"/>
              </w:rPr>
              <w:t xml:space="preserve">un </w:t>
            </w:r>
            <w:r w:rsidRPr="00E50030">
              <w:rPr>
                <w:sz w:val="28"/>
                <w:szCs w:val="28"/>
              </w:rPr>
              <w:t xml:space="preserve">viņam ir jābūt informētam par darbiniekam izsniegtu darbnespējas lapu. Lai līdz ar elektronisko darbnespējas lapu ieviešanu novērstu nepieciešamību tās izdrukāt, lai iesniegtu darba devējam, </w:t>
            </w:r>
            <w:r w:rsidR="00E51F74" w:rsidRPr="00E50030">
              <w:rPr>
                <w:sz w:val="28"/>
                <w:szCs w:val="28"/>
              </w:rPr>
              <w:t xml:space="preserve">darba devēju informēšanai par darbinieku </w:t>
            </w:r>
            <w:r w:rsidR="00E51F74" w:rsidRPr="00E50030">
              <w:rPr>
                <w:sz w:val="28"/>
                <w:szCs w:val="28"/>
              </w:rPr>
              <w:lastRenderedPageBreak/>
              <w:t xml:space="preserve">darbnespēju tiks izmantota </w:t>
            </w:r>
            <w:r w:rsidR="009D5349" w:rsidRPr="00E50030">
              <w:rPr>
                <w:sz w:val="28"/>
                <w:szCs w:val="28"/>
              </w:rPr>
              <w:t>Valsts ieņēmumu dienesta pārziņā esošā valsts informācijas sistēma „E</w:t>
            </w:r>
            <w:r w:rsidR="00E51F74" w:rsidRPr="00E50030">
              <w:rPr>
                <w:sz w:val="28"/>
                <w:szCs w:val="28"/>
              </w:rPr>
              <w:t>lektroniskās deklarēšanas sistēma</w:t>
            </w:r>
            <w:r w:rsidR="009D5349" w:rsidRPr="00E50030">
              <w:rPr>
                <w:sz w:val="28"/>
                <w:szCs w:val="28"/>
              </w:rPr>
              <w:t>”</w:t>
            </w:r>
            <w:r w:rsidR="00E51F74" w:rsidRPr="00E50030">
              <w:rPr>
                <w:sz w:val="28"/>
                <w:szCs w:val="28"/>
              </w:rPr>
              <w:t xml:space="preserve"> (turpmāk – EDS), kuras izmantošana nodokļu maksātājiem saskaņā ar likumu „Par nodokļiem un nodevām” ir obligāta</w:t>
            </w:r>
            <w:r w:rsidR="009D5349" w:rsidRPr="00E50030">
              <w:rPr>
                <w:sz w:val="28"/>
                <w:szCs w:val="28"/>
              </w:rPr>
              <w:t>.</w:t>
            </w:r>
            <w:r w:rsidR="00E51F74" w:rsidRPr="00E50030">
              <w:rPr>
                <w:sz w:val="28"/>
                <w:szCs w:val="28"/>
              </w:rPr>
              <w:t xml:space="preserve"> Ministru kabineta </w:t>
            </w:r>
            <w:r w:rsidR="009D5349" w:rsidRPr="00E50030">
              <w:rPr>
                <w:sz w:val="28"/>
                <w:szCs w:val="28"/>
              </w:rPr>
              <w:t>2014.</w:t>
            </w:r>
            <w:r w:rsidR="00E51F74" w:rsidRPr="00E50030">
              <w:rPr>
                <w:sz w:val="28"/>
                <w:szCs w:val="28"/>
              </w:rPr>
              <w:t xml:space="preserve">gada 11.marta noteikumos Nr.134 „Noteikumi par vienoto veselības nozares elektronisko informācijas sistēmu” noteikta kārtība, kādā veselības informācijas sistēma nodod VID informācijas sistēmām informāciju par personai izsniegtu </w:t>
            </w:r>
            <w:r w:rsidR="009D5349" w:rsidRPr="00E50030">
              <w:rPr>
                <w:sz w:val="28"/>
                <w:szCs w:val="28"/>
              </w:rPr>
              <w:t xml:space="preserve">elektronisko </w:t>
            </w:r>
            <w:r w:rsidR="00E51F74" w:rsidRPr="00E50030">
              <w:rPr>
                <w:sz w:val="28"/>
                <w:szCs w:val="28"/>
              </w:rPr>
              <w:t xml:space="preserve">darbnespējas lapu. </w:t>
            </w:r>
            <w:r w:rsidR="005A0C5F" w:rsidRPr="00E50030">
              <w:rPr>
                <w:sz w:val="28"/>
                <w:szCs w:val="28"/>
              </w:rPr>
              <w:t xml:space="preserve">Papildus tam normatīvajos aktos jānosaka termiņš, cik ilgi VID informācijas </w:t>
            </w:r>
            <w:r w:rsidR="00EA3202" w:rsidRPr="00E50030">
              <w:rPr>
                <w:sz w:val="28"/>
                <w:szCs w:val="28"/>
              </w:rPr>
              <w:t xml:space="preserve">sistēmās darba devējam tiek nodrošināta piekļuve darbiniekam izsniegtajai </w:t>
            </w:r>
            <w:r w:rsidR="009D5349" w:rsidRPr="00E50030">
              <w:rPr>
                <w:sz w:val="28"/>
                <w:szCs w:val="28"/>
              </w:rPr>
              <w:t xml:space="preserve">elektroniskajai </w:t>
            </w:r>
            <w:r w:rsidR="005A0C5F" w:rsidRPr="00E50030">
              <w:rPr>
                <w:sz w:val="28"/>
                <w:szCs w:val="28"/>
              </w:rPr>
              <w:t>dar</w:t>
            </w:r>
            <w:r w:rsidR="007D0AF4" w:rsidRPr="00E50030">
              <w:rPr>
                <w:sz w:val="28"/>
                <w:szCs w:val="28"/>
              </w:rPr>
              <w:t>b</w:t>
            </w:r>
            <w:r w:rsidR="005A0C5F" w:rsidRPr="00E50030">
              <w:rPr>
                <w:sz w:val="28"/>
                <w:szCs w:val="28"/>
              </w:rPr>
              <w:t xml:space="preserve">nespējas lapai. </w:t>
            </w:r>
            <w:r w:rsidR="005A0C5F" w:rsidRPr="00E50030">
              <w:rPr>
                <w:rFonts w:eastAsiaTheme="minorHAnsi"/>
                <w:color w:val="000000"/>
                <w:sz w:val="28"/>
                <w:szCs w:val="28"/>
                <w:lang w:eastAsia="en-US" w:bidi="my-MM"/>
              </w:rPr>
              <w:t>S</w:t>
            </w:r>
            <w:r w:rsidR="00797384" w:rsidRPr="00E50030">
              <w:rPr>
                <w:rFonts w:eastAsiaTheme="minorHAnsi"/>
                <w:color w:val="000000"/>
                <w:sz w:val="28"/>
                <w:szCs w:val="28"/>
                <w:lang w:eastAsia="en-US" w:bidi="my-MM"/>
              </w:rPr>
              <w:t xml:space="preserve">askaņā ar Fizisko personu datu aizsardzības likuma 10. panta pirmās daļas 3. punktu, lai aizsargātu datu subjekta intereses, pārzinis nodrošina tādu personas datu glabāšanas veidu, kas datu subjektu ļauj identificēt attiecīgā laikposmā, kurš nepārsniedz paredzētajam datu apstrādes mērķim noteikto laiku. </w:t>
            </w:r>
            <w:r w:rsidR="007D0AF4" w:rsidRPr="00E50030">
              <w:rPr>
                <w:rFonts w:eastAsiaTheme="minorHAnsi"/>
                <w:color w:val="000000"/>
                <w:sz w:val="28"/>
                <w:szCs w:val="28"/>
                <w:lang w:eastAsia="en-US" w:bidi="my-MM"/>
              </w:rPr>
              <w:t>Tā kā</w:t>
            </w:r>
            <w:r w:rsidR="00797384" w:rsidRPr="00E50030">
              <w:rPr>
                <w:rFonts w:eastAsiaTheme="minorHAnsi"/>
                <w:color w:val="000000"/>
                <w:sz w:val="28"/>
                <w:szCs w:val="28"/>
                <w:lang w:eastAsia="en-US" w:bidi="my-MM"/>
              </w:rPr>
              <w:t xml:space="preserve"> visa ar nodokļu administrēšanu saistītā informācija ir aktuāla iepriekšējo trīs gadu periodā, </w:t>
            </w:r>
            <w:r w:rsidR="00344F35" w:rsidRPr="00E50030">
              <w:rPr>
                <w:rFonts w:eastAsiaTheme="minorHAnsi"/>
                <w:color w:val="000000"/>
                <w:sz w:val="28"/>
                <w:szCs w:val="28"/>
                <w:lang w:eastAsia="en-US" w:bidi="my-MM"/>
              </w:rPr>
              <w:t xml:space="preserve">Ārstniecības likuma  </w:t>
            </w:r>
            <w:r w:rsidR="009D1D29" w:rsidRPr="00E50030">
              <w:rPr>
                <w:rFonts w:eastAsiaTheme="minorHAnsi"/>
                <w:color w:val="000000"/>
                <w:sz w:val="28"/>
                <w:szCs w:val="28"/>
                <w:lang w:eastAsia="en-US" w:bidi="my-MM"/>
              </w:rPr>
              <w:t>79.pants</w:t>
            </w:r>
            <w:r w:rsidR="00344F35" w:rsidRPr="00E50030">
              <w:rPr>
                <w:rFonts w:eastAsiaTheme="minorHAnsi"/>
                <w:color w:val="000000"/>
                <w:sz w:val="28"/>
                <w:szCs w:val="28"/>
                <w:lang w:eastAsia="en-US" w:bidi="my-MM"/>
              </w:rPr>
              <w:t>tiek papildināt</w:t>
            </w:r>
            <w:r w:rsidR="009D1D29" w:rsidRPr="00E50030">
              <w:rPr>
                <w:rFonts w:eastAsiaTheme="minorHAnsi"/>
                <w:color w:val="000000"/>
                <w:sz w:val="28"/>
                <w:szCs w:val="28"/>
                <w:lang w:eastAsia="en-US" w:bidi="my-MM"/>
              </w:rPr>
              <w:t>s</w:t>
            </w:r>
            <w:r w:rsidR="00344F35" w:rsidRPr="00E50030">
              <w:rPr>
                <w:rFonts w:eastAsiaTheme="minorHAnsi"/>
                <w:color w:val="000000"/>
                <w:sz w:val="28"/>
                <w:szCs w:val="28"/>
                <w:lang w:eastAsia="en-US" w:bidi="my-MM"/>
              </w:rPr>
              <w:t xml:space="preserve"> ar jaunu </w:t>
            </w:r>
            <w:r w:rsidR="009D1D29" w:rsidRPr="00E50030">
              <w:rPr>
                <w:rFonts w:eastAsiaTheme="minorHAnsi"/>
                <w:color w:val="000000"/>
                <w:sz w:val="28"/>
                <w:szCs w:val="28"/>
                <w:lang w:eastAsia="en-US" w:bidi="my-MM"/>
              </w:rPr>
              <w:t>daļu</w:t>
            </w:r>
            <w:r w:rsidR="00344F35" w:rsidRPr="00E50030">
              <w:rPr>
                <w:rFonts w:eastAsiaTheme="minorHAnsi"/>
                <w:color w:val="000000"/>
                <w:sz w:val="28"/>
                <w:szCs w:val="28"/>
                <w:lang w:eastAsia="en-US" w:bidi="my-MM"/>
              </w:rPr>
              <w:t>, kas nosaka, ka</w:t>
            </w:r>
            <w:r w:rsidR="00223C2C" w:rsidRPr="00E50030">
              <w:rPr>
                <w:rFonts w:eastAsiaTheme="minorHAnsi"/>
                <w:color w:val="000000"/>
                <w:sz w:val="28"/>
                <w:szCs w:val="28"/>
                <w:lang w:eastAsia="en-US" w:bidi="my-MM"/>
              </w:rPr>
              <w:t xml:space="preserve"> </w:t>
            </w:r>
            <w:r w:rsidR="00344F35" w:rsidRPr="00E50030">
              <w:rPr>
                <w:rFonts w:eastAsiaTheme="minorHAnsi"/>
                <w:color w:val="000000"/>
                <w:sz w:val="28"/>
                <w:szCs w:val="28"/>
                <w:lang w:eastAsia="en-US" w:bidi="my-MM"/>
              </w:rPr>
              <w:t xml:space="preserve">darba devējam </w:t>
            </w:r>
            <w:r w:rsidR="00223C2C" w:rsidRPr="00E50030">
              <w:rPr>
                <w:sz w:val="28"/>
                <w:szCs w:val="28"/>
              </w:rPr>
              <w:t>informāciju par darbiniekam izsniegtu elektronisku darbnespējas lapu VID inf</w:t>
            </w:r>
            <w:r w:rsidR="009D5349" w:rsidRPr="00E50030">
              <w:rPr>
                <w:sz w:val="28"/>
                <w:szCs w:val="28"/>
              </w:rPr>
              <w:t>o</w:t>
            </w:r>
            <w:r w:rsidR="00223C2C" w:rsidRPr="00E50030">
              <w:rPr>
                <w:sz w:val="28"/>
                <w:szCs w:val="28"/>
              </w:rPr>
              <w:t xml:space="preserve">rmācijas sistēmā </w:t>
            </w:r>
            <w:r w:rsidR="00344F35" w:rsidRPr="00E50030">
              <w:rPr>
                <w:sz w:val="28"/>
                <w:szCs w:val="28"/>
              </w:rPr>
              <w:t>ir pieejama</w:t>
            </w:r>
            <w:r w:rsidR="00223C2C" w:rsidRPr="00E50030">
              <w:rPr>
                <w:sz w:val="28"/>
                <w:szCs w:val="28"/>
              </w:rPr>
              <w:t xml:space="preserve"> trīs gadus no darbnespējas lapas</w:t>
            </w:r>
            <w:r w:rsidR="009D1D29" w:rsidRPr="00E50030">
              <w:rPr>
                <w:sz w:val="28"/>
                <w:szCs w:val="28"/>
              </w:rPr>
              <w:t xml:space="preserve"> saņemšanas brīža VID informācijas sistēmās</w:t>
            </w:r>
            <w:r w:rsidR="00EA3202" w:rsidRPr="00E50030">
              <w:rPr>
                <w:sz w:val="28"/>
                <w:szCs w:val="28"/>
              </w:rPr>
              <w:t xml:space="preserve">. </w:t>
            </w:r>
          </w:p>
        </w:tc>
      </w:tr>
      <w:tr w:rsidR="00DC0A5D" w:rsidRPr="002D7C67" w:rsidTr="002F0C89">
        <w:trPr>
          <w:trHeight w:val="648"/>
        </w:trPr>
        <w:tc>
          <w:tcPr>
            <w:tcW w:w="730" w:type="dxa"/>
          </w:tcPr>
          <w:p w:rsidR="00DC0A5D" w:rsidRPr="002D7C67" w:rsidRDefault="00DC0A5D" w:rsidP="00E13923">
            <w:pPr>
              <w:pStyle w:val="naiskr"/>
              <w:spacing w:before="0" w:after="0"/>
              <w:rPr>
                <w:color w:val="000000"/>
                <w:sz w:val="28"/>
                <w:szCs w:val="28"/>
              </w:rPr>
            </w:pPr>
            <w:r w:rsidRPr="002D7C67">
              <w:rPr>
                <w:color w:val="000000"/>
                <w:sz w:val="28"/>
                <w:szCs w:val="28"/>
              </w:rPr>
              <w:lastRenderedPageBreak/>
              <w:t>3.</w:t>
            </w:r>
          </w:p>
        </w:tc>
        <w:tc>
          <w:tcPr>
            <w:tcW w:w="1936" w:type="dxa"/>
          </w:tcPr>
          <w:p w:rsidR="00DC0A5D" w:rsidRPr="00F23720" w:rsidRDefault="00DC0A5D" w:rsidP="00E13923">
            <w:pPr>
              <w:pStyle w:val="naiskr"/>
              <w:spacing w:before="0" w:after="0"/>
              <w:rPr>
                <w:color w:val="000000"/>
                <w:sz w:val="28"/>
                <w:szCs w:val="28"/>
              </w:rPr>
            </w:pPr>
            <w:r w:rsidRPr="00F23720">
              <w:rPr>
                <w:color w:val="000000"/>
                <w:sz w:val="28"/>
                <w:szCs w:val="28"/>
              </w:rPr>
              <w:t>Projekta izstrādē iesaistītās institūcijas</w:t>
            </w:r>
          </w:p>
        </w:tc>
        <w:tc>
          <w:tcPr>
            <w:tcW w:w="6738" w:type="dxa"/>
          </w:tcPr>
          <w:p w:rsidR="00DC0A5D" w:rsidRPr="002D7C67" w:rsidRDefault="00CE3DDA" w:rsidP="001A49B0">
            <w:pPr>
              <w:pStyle w:val="FootnoteText"/>
              <w:spacing w:before="100" w:beforeAutospacing="1" w:after="100" w:afterAutospacing="1"/>
              <w:jc w:val="both"/>
              <w:rPr>
                <w:color w:val="000000"/>
                <w:sz w:val="28"/>
                <w:szCs w:val="28"/>
              </w:rPr>
            </w:pPr>
            <w:r w:rsidRPr="00287E01">
              <w:rPr>
                <w:sz w:val="28"/>
                <w:szCs w:val="28"/>
              </w:rPr>
              <w:t>Veselības ministrija</w:t>
            </w:r>
            <w:r>
              <w:rPr>
                <w:sz w:val="28"/>
                <w:szCs w:val="28"/>
              </w:rPr>
              <w:t>.</w:t>
            </w:r>
          </w:p>
        </w:tc>
      </w:tr>
      <w:tr w:rsidR="00DC0A5D" w:rsidRPr="002D7C67" w:rsidTr="002F0C89">
        <w:trPr>
          <w:trHeight w:val="648"/>
        </w:trPr>
        <w:tc>
          <w:tcPr>
            <w:tcW w:w="730" w:type="dxa"/>
          </w:tcPr>
          <w:p w:rsidR="00DC0A5D" w:rsidRPr="002D7C67" w:rsidRDefault="00DC0A5D" w:rsidP="00E13923">
            <w:pPr>
              <w:pStyle w:val="naiskr"/>
              <w:spacing w:before="0" w:after="0"/>
              <w:rPr>
                <w:color w:val="000000"/>
                <w:sz w:val="28"/>
                <w:szCs w:val="28"/>
              </w:rPr>
            </w:pPr>
            <w:r>
              <w:rPr>
                <w:color w:val="000000"/>
                <w:sz w:val="28"/>
                <w:szCs w:val="28"/>
              </w:rPr>
              <w:t>4.</w:t>
            </w:r>
          </w:p>
        </w:tc>
        <w:tc>
          <w:tcPr>
            <w:tcW w:w="1936" w:type="dxa"/>
          </w:tcPr>
          <w:p w:rsidR="00DC0A5D" w:rsidRPr="00F23720" w:rsidRDefault="00DC0A5D" w:rsidP="00E13923">
            <w:pPr>
              <w:pStyle w:val="naiskr"/>
              <w:spacing w:before="0" w:after="0"/>
              <w:rPr>
                <w:color w:val="000000"/>
                <w:sz w:val="28"/>
                <w:szCs w:val="28"/>
              </w:rPr>
            </w:pPr>
            <w:r w:rsidRPr="00F23720">
              <w:rPr>
                <w:color w:val="000000"/>
                <w:sz w:val="28"/>
                <w:szCs w:val="28"/>
              </w:rPr>
              <w:t>Cita informācija</w:t>
            </w:r>
          </w:p>
        </w:tc>
        <w:tc>
          <w:tcPr>
            <w:tcW w:w="6738" w:type="dxa"/>
          </w:tcPr>
          <w:p w:rsidR="00DC0A5D" w:rsidRPr="002D7C67" w:rsidRDefault="00C539CB" w:rsidP="00E13923">
            <w:pPr>
              <w:pStyle w:val="FootnoteText"/>
              <w:jc w:val="both"/>
              <w:rPr>
                <w:color w:val="000000"/>
                <w:sz w:val="28"/>
                <w:szCs w:val="28"/>
              </w:rPr>
            </w:pPr>
            <w:r>
              <w:rPr>
                <w:color w:val="000000"/>
                <w:sz w:val="28"/>
                <w:szCs w:val="28"/>
              </w:rPr>
              <w:t>Nav</w:t>
            </w:r>
          </w:p>
        </w:tc>
      </w:tr>
    </w:tbl>
    <w:p w:rsidR="00DC0A5D" w:rsidRPr="002D7C67" w:rsidRDefault="00DC0A5D" w:rsidP="00DC0A5D">
      <w:pPr>
        <w:rPr>
          <w:color w:val="000000"/>
          <w:sz w:val="28"/>
          <w:szCs w:val="28"/>
        </w:rPr>
      </w:pPr>
    </w:p>
    <w:tbl>
      <w:tblPr>
        <w:tblStyle w:val="TableGrid"/>
        <w:tblW w:w="5037" w:type="pct"/>
        <w:tblInd w:w="-34" w:type="dxa"/>
        <w:tblLayout w:type="fixed"/>
        <w:tblLook w:val="0000"/>
      </w:tblPr>
      <w:tblGrid>
        <w:gridCol w:w="600"/>
        <w:gridCol w:w="2551"/>
        <w:gridCol w:w="6205"/>
      </w:tblGrid>
      <w:tr w:rsidR="00DC0A5D" w:rsidRPr="00AA7A3C" w:rsidTr="001770EE">
        <w:tc>
          <w:tcPr>
            <w:tcW w:w="9356" w:type="dxa"/>
            <w:gridSpan w:val="3"/>
          </w:tcPr>
          <w:p w:rsidR="00DC0A5D" w:rsidRPr="00AA7A3C" w:rsidRDefault="00DC0A5D" w:rsidP="00E13923">
            <w:pPr>
              <w:jc w:val="center"/>
              <w:rPr>
                <w:b/>
                <w:bCs/>
                <w:sz w:val="28"/>
                <w:szCs w:val="28"/>
                <w:lang w:val="lv-LV"/>
              </w:rPr>
            </w:pPr>
            <w:r w:rsidRPr="00AA7A3C">
              <w:rPr>
                <w:b/>
                <w:bCs/>
                <w:sz w:val="28"/>
                <w:szCs w:val="28"/>
                <w:lang w:val="lv-LV"/>
              </w:rPr>
              <w:t>II. Tiesību akta projekta ietekme uz sabiedrību, tautsaimniecības attīstību un administratīvo slogu</w:t>
            </w:r>
          </w:p>
        </w:tc>
      </w:tr>
      <w:tr w:rsidR="00DC0A5D" w:rsidRPr="00AA7A3C" w:rsidTr="001770EE">
        <w:tc>
          <w:tcPr>
            <w:tcW w:w="600" w:type="dxa"/>
          </w:tcPr>
          <w:p w:rsidR="00DC0A5D" w:rsidRPr="00AA7A3C" w:rsidRDefault="00DC0A5D" w:rsidP="00E13923">
            <w:pPr>
              <w:jc w:val="both"/>
              <w:rPr>
                <w:sz w:val="28"/>
                <w:szCs w:val="28"/>
                <w:lang w:val="lv-LV"/>
              </w:rPr>
            </w:pPr>
            <w:r w:rsidRPr="00AA7A3C">
              <w:rPr>
                <w:sz w:val="28"/>
                <w:szCs w:val="28"/>
                <w:lang w:val="lv-LV"/>
              </w:rPr>
              <w:t>1.</w:t>
            </w:r>
          </w:p>
        </w:tc>
        <w:tc>
          <w:tcPr>
            <w:tcW w:w="2551" w:type="dxa"/>
          </w:tcPr>
          <w:p w:rsidR="00DC0A5D" w:rsidRPr="00AA7A3C" w:rsidRDefault="00DC0A5D" w:rsidP="00E13923">
            <w:pPr>
              <w:jc w:val="both"/>
              <w:rPr>
                <w:sz w:val="28"/>
                <w:szCs w:val="28"/>
                <w:lang w:val="lv-LV"/>
              </w:rPr>
            </w:pPr>
            <w:r w:rsidRPr="00AA7A3C">
              <w:rPr>
                <w:sz w:val="28"/>
                <w:szCs w:val="28"/>
                <w:lang w:val="lv-LV"/>
              </w:rPr>
              <w:t>Sabiedrības mērķgrupas, kuras tiesiskais regulējums ietekmē vai varētu ietekmēt</w:t>
            </w:r>
          </w:p>
        </w:tc>
        <w:tc>
          <w:tcPr>
            <w:tcW w:w="6205" w:type="dxa"/>
          </w:tcPr>
          <w:p w:rsidR="00E41B05" w:rsidRPr="00E41B05" w:rsidRDefault="00E41B05" w:rsidP="00724017">
            <w:pPr>
              <w:jc w:val="both"/>
              <w:rPr>
                <w:sz w:val="28"/>
                <w:szCs w:val="28"/>
                <w:lang w:val="lv-LV"/>
              </w:rPr>
            </w:pPr>
            <w:r w:rsidRPr="00E41B05">
              <w:rPr>
                <w:sz w:val="28"/>
                <w:szCs w:val="28"/>
                <w:lang w:val="lv-LV"/>
              </w:rPr>
              <w:t>Likumprojekta tiesiskais regulējums attiecas uz:</w:t>
            </w:r>
          </w:p>
          <w:p w:rsidR="003F609B" w:rsidRPr="007F0606" w:rsidRDefault="00E41B05" w:rsidP="003753CE">
            <w:pPr>
              <w:jc w:val="both"/>
              <w:rPr>
                <w:bCs/>
                <w:sz w:val="28"/>
                <w:szCs w:val="28"/>
                <w:lang w:val="lv-LV"/>
              </w:rPr>
            </w:pPr>
            <w:r w:rsidRPr="009D75A5">
              <w:rPr>
                <w:sz w:val="28"/>
                <w:szCs w:val="28"/>
                <w:lang w:val="lv-LV"/>
              </w:rPr>
              <w:t xml:space="preserve">1) </w:t>
            </w:r>
            <w:r w:rsidR="00855487" w:rsidRPr="009D75A5">
              <w:rPr>
                <w:sz w:val="28"/>
                <w:szCs w:val="28"/>
                <w:lang w:val="lv-LV"/>
              </w:rPr>
              <w:t xml:space="preserve">ārstniecības personām, kuras atbildīs Ministru kabineta noteiktajiem </w:t>
            </w:r>
            <w:r w:rsidR="00855487" w:rsidRPr="007F0606">
              <w:rPr>
                <w:bCs/>
                <w:sz w:val="28"/>
                <w:szCs w:val="28"/>
                <w:lang w:val="lv-LV"/>
              </w:rPr>
              <w:t>kritērijiem jaunās papildspecialitātes vai apakšspecialitātes iegūšanai bez izglītības programmas apgūšanas jaunajā apakšspecialitātē vai papildspecialitātē</w:t>
            </w:r>
            <w:r w:rsidR="003F609B" w:rsidRPr="007F0606">
              <w:rPr>
                <w:bCs/>
                <w:sz w:val="28"/>
                <w:szCs w:val="28"/>
                <w:lang w:val="lv-LV"/>
              </w:rPr>
              <w:t>;</w:t>
            </w:r>
          </w:p>
          <w:p w:rsidR="00DC0A5D" w:rsidRPr="00E41B05" w:rsidRDefault="00855487" w:rsidP="003753CE">
            <w:pPr>
              <w:jc w:val="both"/>
              <w:rPr>
                <w:sz w:val="28"/>
                <w:szCs w:val="28"/>
                <w:lang w:val="lv-LV"/>
              </w:rPr>
            </w:pPr>
            <w:r w:rsidRPr="007F0606">
              <w:rPr>
                <w:bCs/>
                <w:sz w:val="28"/>
                <w:szCs w:val="28"/>
                <w:lang w:val="lv-LV"/>
              </w:rPr>
              <w:t xml:space="preserve"> </w:t>
            </w:r>
            <w:r>
              <w:rPr>
                <w:sz w:val="28"/>
                <w:szCs w:val="28"/>
                <w:lang w:val="lv-LV"/>
              </w:rPr>
              <w:t>2)</w:t>
            </w:r>
            <w:r w:rsidR="003F609B">
              <w:rPr>
                <w:sz w:val="28"/>
                <w:szCs w:val="28"/>
                <w:lang w:val="lv-LV"/>
              </w:rPr>
              <w:t xml:space="preserve"> </w:t>
            </w:r>
            <w:r w:rsidR="00E41B05">
              <w:rPr>
                <w:sz w:val="28"/>
                <w:szCs w:val="28"/>
                <w:lang w:val="lv-LV"/>
              </w:rPr>
              <w:t>ā</w:t>
            </w:r>
            <w:r w:rsidR="00BF6CC2" w:rsidRPr="00E41B05">
              <w:rPr>
                <w:sz w:val="28"/>
                <w:szCs w:val="28"/>
                <w:lang w:val="lv-LV"/>
              </w:rPr>
              <w:t>rstniecības iestād</w:t>
            </w:r>
            <w:r w:rsidR="006C1269">
              <w:rPr>
                <w:sz w:val="28"/>
                <w:szCs w:val="28"/>
                <w:lang w:val="lv-LV"/>
              </w:rPr>
              <w:t>ēm</w:t>
            </w:r>
            <w:r w:rsidR="00BF6CC2" w:rsidRPr="00E41B05">
              <w:rPr>
                <w:sz w:val="28"/>
                <w:szCs w:val="28"/>
                <w:lang w:val="lv-LV"/>
              </w:rPr>
              <w:t>,</w:t>
            </w:r>
            <w:r w:rsidR="00724017" w:rsidRPr="00E41B05">
              <w:rPr>
                <w:sz w:val="28"/>
                <w:szCs w:val="28"/>
                <w:lang w:val="lv-LV"/>
              </w:rPr>
              <w:t xml:space="preserve"> kas vēlēsies brīvprātīgi pievieno</w:t>
            </w:r>
            <w:r w:rsidR="006C1269">
              <w:rPr>
                <w:sz w:val="28"/>
                <w:szCs w:val="28"/>
                <w:lang w:val="lv-LV"/>
              </w:rPr>
              <w:t>t</w:t>
            </w:r>
            <w:r w:rsidR="00724017" w:rsidRPr="00E41B05">
              <w:rPr>
                <w:sz w:val="28"/>
                <w:szCs w:val="28"/>
                <w:lang w:val="lv-LV"/>
              </w:rPr>
              <w:t>ies Eiropas references tīkliem</w:t>
            </w:r>
            <w:r w:rsidR="00E41B05" w:rsidRPr="00E41B05">
              <w:rPr>
                <w:sz w:val="28"/>
                <w:szCs w:val="28"/>
                <w:lang w:val="lv-LV"/>
              </w:rPr>
              <w:t>;</w:t>
            </w:r>
          </w:p>
          <w:p w:rsidR="008E4253" w:rsidRDefault="00855487" w:rsidP="00CE3DDA">
            <w:pPr>
              <w:jc w:val="both"/>
              <w:rPr>
                <w:sz w:val="28"/>
                <w:szCs w:val="28"/>
                <w:lang w:val="lv-LV" w:eastAsia="en-US"/>
              </w:rPr>
            </w:pPr>
            <w:r>
              <w:rPr>
                <w:sz w:val="28"/>
                <w:szCs w:val="28"/>
                <w:lang w:val="lv-LV"/>
              </w:rPr>
              <w:lastRenderedPageBreak/>
              <w:t>3</w:t>
            </w:r>
            <w:r w:rsidR="00E41B05" w:rsidRPr="00E41B05">
              <w:rPr>
                <w:sz w:val="28"/>
                <w:szCs w:val="28"/>
                <w:lang w:val="lv-LV"/>
              </w:rPr>
              <w:t xml:space="preserve">) </w:t>
            </w:r>
            <w:r w:rsidR="006C1269">
              <w:rPr>
                <w:sz w:val="28"/>
                <w:szCs w:val="28"/>
                <w:lang w:val="lv-LV"/>
              </w:rPr>
              <w:t>visām ārstniecības personām</w:t>
            </w:r>
            <w:r w:rsidR="00E41B05">
              <w:rPr>
                <w:sz w:val="28"/>
                <w:szCs w:val="28"/>
                <w:lang w:val="lv-LV"/>
              </w:rPr>
              <w:t>, kuras strādās veselības informācijas sistēmā (</w:t>
            </w:r>
            <w:r w:rsidR="00390FB0">
              <w:rPr>
                <w:sz w:val="28"/>
                <w:szCs w:val="28"/>
                <w:lang w:val="lv-LV"/>
              </w:rPr>
              <w:t>49 498 ārstniecības personas)</w:t>
            </w:r>
            <w:r w:rsidR="009B29CA">
              <w:rPr>
                <w:sz w:val="28"/>
                <w:szCs w:val="28"/>
                <w:lang w:val="lv-LV" w:eastAsia="en-US"/>
              </w:rPr>
              <w:t>;</w:t>
            </w:r>
          </w:p>
          <w:p w:rsidR="009B29CA" w:rsidRPr="00AA7A3C" w:rsidRDefault="009B29CA" w:rsidP="00CE3DDA">
            <w:pPr>
              <w:jc w:val="both"/>
              <w:rPr>
                <w:sz w:val="28"/>
                <w:szCs w:val="28"/>
                <w:lang w:val="lv-LV" w:eastAsia="en-US"/>
              </w:rPr>
            </w:pPr>
            <w:r>
              <w:rPr>
                <w:sz w:val="28"/>
                <w:szCs w:val="28"/>
                <w:lang w:val="lv-LV" w:eastAsia="en-US"/>
              </w:rPr>
              <w:t xml:space="preserve">4) </w:t>
            </w:r>
            <w:r w:rsidRPr="00E50030">
              <w:rPr>
                <w:sz w:val="28"/>
                <w:szCs w:val="28"/>
                <w:lang w:val="lv-LV" w:eastAsia="en-US"/>
              </w:rPr>
              <w:t>darba devējiem.</w:t>
            </w:r>
          </w:p>
        </w:tc>
      </w:tr>
      <w:tr w:rsidR="00DC0A5D" w:rsidRPr="00AA7A3C" w:rsidTr="001770EE">
        <w:tc>
          <w:tcPr>
            <w:tcW w:w="600" w:type="dxa"/>
          </w:tcPr>
          <w:p w:rsidR="00DC0A5D" w:rsidRPr="00AA7A3C" w:rsidRDefault="00DC0A5D" w:rsidP="00E13923">
            <w:pPr>
              <w:rPr>
                <w:sz w:val="28"/>
                <w:szCs w:val="28"/>
                <w:lang w:val="lv-LV"/>
              </w:rPr>
            </w:pPr>
            <w:r w:rsidRPr="00AA7A3C">
              <w:rPr>
                <w:sz w:val="28"/>
                <w:szCs w:val="28"/>
                <w:lang w:val="lv-LV"/>
              </w:rPr>
              <w:lastRenderedPageBreak/>
              <w:t>2.</w:t>
            </w:r>
          </w:p>
        </w:tc>
        <w:tc>
          <w:tcPr>
            <w:tcW w:w="2551" w:type="dxa"/>
          </w:tcPr>
          <w:p w:rsidR="00DC0A5D" w:rsidRPr="00AA7A3C" w:rsidRDefault="00DC0A5D" w:rsidP="00E13923">
            <w:pPr>
              <w:rPr>
                <w:sz w:val="28"/>
                <w:szCs w:val="28"/>
                <w:lang w:val="lv-LV"/>
              </w:rPr>
            </w:pPr>
            <w:r w:rsidRPr="00AA7A3C">
              <w:rPr>
                <w:sz w:val="28"/>
                <w:szCs w:val="28"/>
                <w:lang w:val="lv-LV"/>
              </w:rPr>
              <w:t>Tiesiskā regulējuma ietekme uz tautsaimniecību un administratīvo slogu</w:t>
            </w:r>
          </w:p>
        </w:tc>
        <w:tc>
          <w:tcPr>
            <w:tcW w:w="6205" w:type="dxa"/>
          </w:tcPr>
          <w:p w:rsidR="00E41B05" w:rsidRDefault="00390FB0" w:rsidP="00E41B05">
            <w:pPr>
              <w:pStyle w:val="NormalWeb"/>
              <w:spacing w:before="0" w:beforeAutospacing="0" w:after="0" w:afterAutospacing="0"/>
              <w:jc w:val="both"/>
              <w:rPr>
                <w:sz w:val="28"/>
                <w:szCs w:val="28"/>
                <w:lang w:val="lv-LV"/>
              </w:rPr>
            </w:pPr>
            <w:r>
              <w:rPr>
                <w:sz w:val="28"/>
                <w:szCs w:val="28"/>
                <w:lang w:val="lv-LV"/>
              </w:rPr>
              <w:t>Administratīvais slogs palielināsies tām ārstniecības iestādēm, kuras vēlēsies pievienoties Eiropas references tīkliem. Tajā pašā laikā pievienošanās Eiropas references tīkliem ir brīvprātīga un katra ārstniecības iestāde varēs pati izvērtēt savas iespējas un nepieciešamību šajos tīklos darboties.</w:t>
            </w:r>
          </w:p>
          <w:p w:rsidR="00390FB0" w:rsidRPr="00AA7A3C" w:rsidRDefault="00390FB0" w:rsidP="00E41B05">
            <w:pPr>
              <w:pStyle w:val="NormalWeb"/>
              <w:spacing w:before="0" w:beforeAutospacing="0" w:after="0" w:afterAutospacing="0"/>
              <w:jc w:val="both"/>
              <w:rPr>
                <w:sz w:val="28"/>
                <w:szCs w:val="28"/>
                <w:lang w:val="lv-LV"/>
              </w:rPr>
            </w:pPr>
            <w:r>
              <w:rPr>
                <w:sz w:val="28"/>
                <w:szCs w:val="28"/>
                <w:lang w:val="lv-LV"/>
              </w:rPr>
              <w:t>Ārstniecības personām, kuras strādās veselības informācijas sistēmā, administratīvais slogs samazināsies, jo, lai dokuments iegūtu juridisko spēku, nebūs nepieciešams parakstīt veselības informācijas sistēmā izveidotu dokumentu vai veiktu ierakstu ar drošu elektronisko parakstu.</w:t>
            </w:r>
          </w:p>
        </w:tc>
      </w:tr>
      <w:tr w:rsidR="00DC0A5D" w:rsidRPr="00AA7A3C" w:rsidTr="001770EE">
        <w:tc>
          <w:tcPr>
            <w:tcW w:w="600" w:type="dxa"/>
          </w:tcPr>
          <w:p w:rsidR="00DC0A5D" w:rsidRPr="00AA7A3C" w:rsidRDefault="00DC0A5D" w:rsidP="00E13923">
            <w:pPr>
              <w:jc w:val="both"/>
              <w:rPr>
                <w:sz w:val="28"/>
                <w:szCs w:val="28"/>
                <w:lang w:val="lv-LV"/>
              </w:rPr>
            </w:pPr>
            <w:r w:rsidRPr="00AA7A3C">
              <w:rPr>
                <w:sz w:val="28"/>
                <w:szCs w:val="28"/>
                <w:lang w:val="lv-LV"/>
              </w:rPr>
              <w:t>3.</w:t>
            </w:r>
          </w:p>
        </w:tc>
        <w:tc>
          <w:tcPr>
            <w:tcW w:w="2551" w:type="dxa"/>
          </w:tcPr>
          <w:p w:rsidR="00DC0A5D" w:rsidRPr="00AA7A3C" w:rsidRDefault="00DC0A5D" w:rsidP="00E13923">
            <w:pPr>
              <w:rPr>
                <w:sz w:val="28"/>
                <w:szCs w:val="28"/>
                <w:lang w:val="lv-LV"/>
              </w:rPr>
            </w:pPr>
            <w:r w:rsidRPr="00AA7A3C">
              <w:rPr>
                <w:sz w:val="28"/>
                <w:szCs w:val="28"/>
                <w:lang w:val="lv-LV"/>
              </w:rPr>
              <w:t>Administratīvo izmaksu monetārs novērtējums</w:t>
            </w:r>
          </w:p>
        </w:tc>
        <w:tc>
          <w:tcPr>
            <w:tcW w:w="6205" w:type="dxa"/>
          </w:tcPr>
          <w:p w:rsidR="00DC0A5D" w:rsidRPr="00AA7A3C" w:rsidRDefault="00724017" w:rsidP="00AA7A3C">
            <w:pPr>
              <w:jc w:val="both"/>
              <w:rPr>
                <w:sz w:val="28"/>
                <w:szCs w:val="28"/>
                <w:lang w:val="lv-LV"/>
              </w:rPr>
            </w:pPr>
            <w:r>
              <w:rPr>
                <w:sz w:val="28"/>
                <w:szCs w:val="28"/>
                <w:lang w:val="lv-LV"/>
              </w:rPr>
              <w:t>P</w:t>
            </w:r>
            <w:r w:rsidR="00AA7A3C" w:rsidRPr="00AA7A3C">
              <w:rPr>
                <w:sz w:val="28"/>
                <w:szCs w:val="28"/>
                <w:lang w:val="lv-LV"/>
              </w:rPr>
              <w:t xml:space="preserve">rojekts šo jomu neskar. </w:t>
            </w:r>
          </w:p>
        </w:tc>
      </w:tr>
      <w:tr w:rsidR="00DC0A5D" w:rsidRPr="00AA7A3C" w:rsidTr="001770EE">
        <w:tc>
          <w:tcPr>
            <w:tcW w:w="600" w:type="dxa"/>
          </w:tcPr>
          <w:p w:rsidR="00DC0A5D" w:rsidRPr="00AA7A3C" w:rsidRDefault="00DC0A5D" w:rsidP="00E13923">
            <w:pPr>
              <w:jc w:val="both"/>
              <w:rPr>
                <w:sz w:val="28"/>
                <w:szCs w:val="28"/>
                <w:lang w:val="lv-LV"/>
              </w:rPr>
            </w:pPr>
            <w:r w:rsidRPr="00AA7A3C">
              <w:rPr>
                <w:sz w:val="28"/>
                <w:szCs w:val="28"/>
                <w:lang w:val="lv-LV"/>
              </w:rPr>
              <w:t>4.</w:t>
            </w:r>
          </w:p>
        </w:tc>
        <w:tc>
          <w:tcPr>
            <w:tcW w:w="2551" w:type="dxa"/>
          </w:tcPr>
          <w:p w:rsidR="00DC0A5D" w:rsidRPr="00AA7A3C" w:rsidRDefault="00DC0A5D" w:rsidP="00E13923">
            <w:pPr>
              <w:rPr>
                <w:sz w:val="28"/>
                <w:szCs w:val="28"/>
                <w:lang w:val="lv-LV"/>
              </w:rPr>
            </w:pPr>
            <w:r w:rsidRPr="00AA7A3C">
              <w:rPr>
                <w:sz w:val="28"/>
                <w:szCs w:val="28"/>
                <w:lang w:val="lv-LV"/>
              </w:rPr>
              <w:t>Cita informācija</w:t>
            </w:r>
          </w:p>
        </w:tc>
        <w:tc>
          <w:tcPr>
            <w:tcW w:w="6205" w:type="dxa"/>
          </w:tcPr>
          <w:p w:rsidR="00DC0A5D" w:rsidRPr="00AA7A3C" w:rsidRDefault="00DC0A5D" w:rsidP="00E13923">
            <w:pPr>
              <w:jc w:val="both"/>
              <w:rPr>
                <w:sz w:val="28"/>
                <w:szCs w:val="28"/>
                <w:highlight w:val="yellow"/>
                <w:lang w:val="lv-LV"/>
              </w:rPr>
            </w:pPr>
            <w:r w:rsidRPr="00AA7A3C">
              <w:rPr>
                <w:sz w:val="28"/>
                <w:szCs w:val="28"/>
                <w:lang w:val="lv-LV"/>
              </w:rPr>
              <w:t>Nav</w:t>
            </w:r>
            <w:r w:rsidR="00C539CB" w:rsidRPr="00AA7A3C">
              <w:rPr>
                <w:sz w:val="28"/>
                <w:szCs w:val="28"/>
                <w:lang w:val="lv-LV"/>
              </w:rPr>
              <w:t>.</w:t>
            </w:r>
          </w:p>
        </w:tc>
      </w:tr>
    </w:tbl>
    <w:p w:rsidR="00DC0A5D" w:rsidRDefault="00DC0A5D" w:rsidP="00DC0A5D">
      <w:pPr>
        <w:jc w:val="both"/>
        <w:rPr>
          <w:sz w:val="28"/>
          <w:szCs w:val="28"/>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8"/>
      </w:tblGrid>
      <w:tr w:rsidR="00DA11C7" w:rsidRPr="00583CC4" w:rsidTr="00DA11C7">
        <w:tc>
          <w:tcPr>
            <w:tcW w:w="9498" w:type="dxa"/>
            <w:tcBorders>
              <w:top w:val="single" w:sz="4" w:space="0" w:color="000000"/>
              <w:left w:val="single" w:sz="4" w:space="0" w:color="000000"/>
              <w:bottom w:val="single" w:sz="4" w:space="0" w:color="000000"/>
              <w:right w:val="single" w:sz="4" w:space="0" w:color="000000"/>
            </w:tcBorders>
          </w:tcPr>
          <w:p w:rsidR="00DA11C7" w:rsidRPr="00583CC4" w:rsidRDefault="00DA11C7" w:rsidP="00F13824">
            <w:pPr>
              <w:jc w:val="center"/>
              <w:rPr>
                <w:sz w:val="28"/>
                <w:szCs w:val="28"/>
              </w:rPr>
            </w:pPr>
            <w:r w:rsidRPr="00583CC4">
              <w:rPr>
                <w:b/>
                <w:bCs/>
                <w:sz w:val="28"/>
                <w:szCs w:val="28"/>
              </w:rPr>
              <w:t>III. Tiesību akta projekta ietekme uz valsts budžetu un pašvaldību budžetiem</w:t>
            </w:r>
          </w:p>
        </w:tc>
      </w:tr>
      <w:tr w:rsidR="00DA11C7" w:rsidRPr="00583CC4" w:rsidTr="00DA11C7">
        <w:tc>
          <w:tcPr>
            <w:tcW w:w="9498" w:type="dxa"/>
            <w:tcBorders>
              <w:top w:val="single" w:sz="4" w:space="0" w:color="000000"/>
              <w:left w:val="single" w:sz="4" w:space="0" w:color="000000"/>
              <w:bottom w:val="single" w:sz="4" w:space="0" w:color="000000"/>
              <w:right w:val="single" w:sz="4" w:space="0" w:color="000000"/>
            </w:tcBorders>
          </w:tcPr>
          <w:p w:rsidR="00DA11C7" w:rsidRPr="00583CC4" w:rsidRDefault="00DA11C7" w:rsidP="00F13824">
            <w:pPr>
              <w:jc w:val="center"/>
              <w:rPr>
                <w:sz w:val="28"/>
                <w:szCs w:val="28"/>
              </w:rPr>
            </w:pPr>
            <w:r w:rsidRPr="00583CC4">
              <w:rPr>
                <w:sz w:val="28"/>
                <w:szCs w:val="28"/>
              </w:rPr>
              <w:t>Projekts šo jomu neskar</w:t>
            </w:r>
          </w:p>
        </w:tc>
      </w:tr>
    </w:tbl>
    <w:p w:rsidR="00DC0A5D" w:rsidRDefault="00DC0A5D" w:rsidP="00DC0A5D">
      <w:pPr>
        <w:jc w:val="both"/>
        <w:rPr>
          <w:sz w:val="28"/>
          <w:szCs w:val="28"/>
        </w:rPr>
      </w:pPr>
    </w:p>
    <w:tbl>
      <w:tblPr>
        <w:tblStyle w:val="TableGrid"/>
        <w:tblW w:w="9464" w:type="dxa"/>
        <w:tblLayout w:type="fixed"/>
        <w:tblLook w:val="0000"/>
      </w:tblPr>
      <w:tblGrid>
        <w:gridCol w:w="534"/>
        <w:gridCol w:w="2551"/>
        <w:gridCol w:w="6379"/>
      </w:tblGrid>
      <w:tr w:rsidR="00DC0A5D" w:rsidRPr="0044308C" w:rsidTr="00E13923">
        <w:tc>
          <w:tcPr>
            <w:tcW w:w="9464" w:type="dxa"/>
            <w:gridSpan w:val="3"/>
          </w:tcPr>
          <w:p w:rsidR="00DC0A5D" w:rsidRPr="0044308C" w:rsidRDefault="00DC0A5D" w:rsidP="00E13923">
            <w:pPr>
              <w:pStyle w:val="naisnod"/>
              <w:rPr>
                <w:b w:val="0"/>
                <w:sz w:val="28"/>
                <w:szCs w:val="28"/>
                <w:lang w:val="lv-LV"/>
              </w:rPr>
            </w:pPr>
            <w:r w:rsidRPr="0044308C">
              <w:rPr>
                <w:sz w:val="28"/>
                <w:szCs w:val="28"/>
                <w:lang w:val="lv-LV"/>
              </w:rPr>
              <w:t>IV. Tiesību akta projekta ietekme uz spēkā esošo tiesību normu sistēmu</w:t>
            </w:r>
          </w:p>
        </w:tc>
      </w:tr>
      <w:tr w:rsidR="00DC0A5D" w:rsidRPr="0044308C" w:rsidTr="008E4253">
        <w:tc>
          <w:tcPr>
            <w:tcW w:w="534" w:type="dxa"/>
          </w:tcPr>
          <w:p w:rsidR="00DC0A5D" w:rsidRPr="0044308C" w:rsidRDefault="00DC0A5D" w:rsidP="00E13923">
            <w:pPr>
              <w:pStyle w:val="naiskr"/>
              <w:rPr>
                <w:sz w:val="28"/>
                <w:szCs w:val="28"/>
                <w:lang w:val="lv-LV"/>
              </w:rPr>
            </w:pPr>
            <w:r w:rsidRPr="0044308C">
              <w:rPr>
                <w:sz w:val="28"/>
                <w:szCs w:val="28"/>
                <w:lang w:val="lv-LV"/>
              </w:rPr>
              <w:t> 1.</w:t>
            </w:r>
          </w:p>
        </w:tc>
        <w:tc>
          <w:tcPr>
            <w:tcW w:w="2551" w:type="dxa"/>
          </w:tcPr>
          <w:p w:rsidR="00DC0A5D" w:rsidRPr="0044308C" w:rsidRDefault="00DC0A5D" w:rsidP="00E13923">
            <w:pPr>
              <w:pStyle w:val="naiskr"/>
              <w:rPr>
                <w:sz w:val="28"/>
                <w:szCs w:val="28"/>
                <w:lang w:val="lv-LV"/>
              </w:rPr>
            </w:pPr>
            <w:r w:rsidRPr="0044308C">
              <w:rPr>
                <w:sz w:val="28"/>
                <w:szCs w:val="28"/>
                <w:lang w:val="lv-LV"/>
              </w:rPr>
              <w:t>Nepieciešamie saistītie tiesību aktu projekti</w:t>
            </w:r>
          </w:p>
        </w:tc>
        <w:tc>
          <w:tcPr>
            <w:tcW w:w="6379" w:type="dxa"/>
          </w:tcPr>
          <w:p w:rsidR="00F35ABE" w:rsidRDefault="007032BA" w:rsidP="00CE3DDA">
            <w:pPr>
              <w:jc w:val="both"/>
              <w:rPr>
                <w:sz w:val="28"/>
                <w:szCs w:val="28"/>
                <w:lang w:val="lv-LV"/>
              </w:rPr>
            </w:pPr>
            <w:r w:rsidRPr="00390FB0">
              <w:rPr>
                <w:sz w:val="28"/>
                <w:szCs w:val="28"/>
                <w:lang w:val="lv-LV"/>
              </w:rPr>
              <w:t xml:space="preserve">  Līdz ar</w:t>
            </w:r>
            <w:r w:rsidR="00390FB0">
              <w:rPr>
                <w:sz w:val="28"/>
                <w:szCs w:val="28"/>
                <w:lang w:val="lv-LV"/>
              </w:rPr>
              <w:t xml:space="preserve"> Likumprojektā</w:t>
            </w:r>
            <w:r w:rsidRPr="00390FB0">
              <w:rPr>
                <w:sz w:val="28"/>
                <w:szCs w:val="28"/>
                <w:lang w:val="lv-LV"/>
              </w:rPr>
              <w:t xml:space="preserve"> ietverto normu īstenošanu būs nepieciešams</w:t>
            </w:r>
            <w:r w:rsidR="00F35ABE">
              <w:rPr>
                <w:sz w:val="28"/>
                <w:szCs w:val="28"/>
                <w:lang w:val="lv-LV"/>
              </w:rPr>
              <w:t>:</w:t>
            </w:r>
          </w:p>
          <w:p w:rsidR="001A65E5" w:rsidRDefault="00F35ABE" w:rsidP="00CE3DDA">
            <w:pPr>
              <w:jc w:val="both"/>
              <w:rPr>
                <w:rFonts w:eastAsiaTheme="minorHAnsi"/>
                <w:color w:val="000000"/>
                <w:sz w:val="28"/>
                <w:szCs w:val="28"/>
                <w:lang w:val="lv-LV"/>
              </w:rPr>
            </w:pPr>
            <w:r>
              <w:rPr>
                <w:sz w:val="28"/>
                <w:szCs w:val="28"/>
                <w:lang w:val="lv-LV"/>
              </w:rPr>
              <w:t>1)</w:t>
            </w:r>
            <w:r w:rsidR="00390FB0" w:rsidRPr="00390FB0">
              <w:rPr>
                <w:sz w:val="28"/>
                <w:szCs w:val="28"/>
                <w:lang w:val="lv-LV"/>
              </w:rPr>
              <w:t xml:space="preserve"> izstrādāt</w:t>
            </w:r>
            <w:r w:rsidR="00390FB0">
              <w:rPr>
                <w:sz w:val="28"/>
                <w:szCs w:val="28"/>
                <w:lang w:val="lv-LV"/>
              </w:rPr>
              <w:t xml:space="preserve"> </w:t>
            </w:r>
            <w:r w:rsidR="00BF6CC2" w:rsidRPr="00390FB0">
              <w:rPr>
                <w:sz w:val="28"/>
                <w:szCs w:val="28"/>
                <w:lang w:val="lv-LV"/>
              </w:rPr>
              <w:t xml:space="preserve">Ministru kabineta noteikumu projektu, kurā tiks noteiktas </w:t>
            </w:r>
            <w:r w:rsidR="00BF6CC2" w:rsidRPr="00390FB0">
              <w:rPr>
                <w:rFonts w:eastAsiaTheme="minorHAnsi"/>
                <w:color w:val="000000"/>
                <w:sz w:val="28"/>
                <w:szCs w:val="28"/>
                <w:lang w:val="lv-LV"/>
              </w:rPr>
              <w:t>prasības ārstniecības iestādēm, kuras vēlas brīvprātīgi pievienoties Eiropas references tīkliem, un kārtību, kādā ārstniecības iestādes pievien</w:t>
            </w:r>
            <w:r w:rsidR="00390FB0">
              <w:rPr>
                <w:rFonts w:eastAsiaTheme="minorHAnsi"/>
                <w:color w:val="000000"/>
                <w:sz w:val="28"/>
                <w:szCs w:val="28"/>
                <w:lang w:val="lv-LV"/>
              </w:rPr>
              <w:t>ojas Eiropas references tīkliem</w:t>
            </w:r>
            <w:r>
              <w:rPr>
                <w:rFonts w:eastAsiaTheme="minorHAnsi"/>
                <w:color w:val="000000"/>
                <w:sz w:val="28"/>
                <w:szCs w:val="28"/>
                <w:lang w:val="lv-LV"/>
              </w:rPr>
              <w:t>;</w:t>
            </w:r>
          </w:p>
          <w:p w:rsidR="00F35ABE" w:rsidRPr="007F0606" w:rsidRDefault="00F35ABE" w:rsidP="003753CE">
            <w:pPr>
              <w:jc w:val="both"/>
              <w:rPr>
                <w:bCs/>
                <w:sz w:val="28"/>
                <w:szCs w:val="28"/>
                <w:lang w:val="lv-LV"/>
              </w:rPr>
            </w:pPr>
            <w:r w:rsidRPr="009D75A5">
              <w:rPr>
                <w:rFonts w:eastAsiaTheme="minorHAnsi"/>
                <w:color w:val="000000"/>
                <w:sz w:val="28"/>
                <w:szCs w:val="28"/>
                <w:lang w:val="lv-LV"/>
              </w:rPr>
              <w:t xml:space="preserve">2) veikt grozījumus </w:t>
            </w:r>
            <w:r w:rsidRPr="007F0606">
              <w:rPr>
                <w:sz w:val="28"/>
                <w:szCs w:val="28"/>
                <w:lang w:val="lv-LV"/>
              </w:rPr>
              <w:t xml:space="preserve">Ministru kabineta 2009. gada 24.marta noteikumos Nr.268 „Noteikumi par ārstniecības personu un studējošo, kuri apgūst pirmā vai otrā līmeņa profesionālās augstākās medicīniskās izglītības programmas, kompetenci ārstniecībā un šo personu teorētisko un praktisko zināšanu apjomu”, papildinot tos ar </w:t>
            </w:r>
            <w:r w:rsidRPr="007F0606">
              <w:rPr>
                <w:bCs/>
                <w:sz w:val="28"/>
                <w:szCs w:val="28"/>
                <w:lang w:val="lv-LV"/>
              </w:rPr>
              <w:t xml:space="preserve">kritērijiem ārstniecības personām noteiktās jaunās papildspecialitātes vai apakšspecialitātes iegūšanai bez izglītības programmas </w:t>
            </w:r>
            <w:r w:rsidRPr="007F0606">
              <w:rPr>
                <w:bCs/>
                <w:sz w:val="28"/>
                <w:szCs w:val="28"/>
                <w:lang w:val="lv-LV"/>
              </w:rPr>
              <w:lastRenderedPageBreak/>
              <w:t>apgūšanas jaunajā apakšspecialitātē vai papildspecialitātē un laika periodu, kurā ārstniecības personām, kas atbilst noteiktajiem kritērijiem, ir tiesības pretendēt uz ārstniecības personas sertifikātu noteiktā apakšspecialitātē vai papildspecialitātē</w:t>
            </w:r>
            <w:r w:rsidR="001770EE" w:rsidRPr="007F0606">
              <w:rPr>
                <w:bCs/>
                <w:sz w:val="28"/>
                <w:szCs w:val="28"/>
                <w:lang w:val="lv-LV"/>
              </w:rPr>
              <w:t>;</w:t>
            </w:r>
          </w:p>
          <w:p w:rsidR="001770EE" w:rsidRPr="009D75A5" w:rsidRDefault="001770EE" w:rsidP="003753CE">
            <w:pPr>
              <w:jc w:val="both"/>
              <w:rPr>
                <w:rFonts w:eastAsiaTheme="minorHAnsi"/>
                <w:color w:val="000000"/>
                <w:sz w:val="28"/>
                <w:szCs w:val="28"/>
                <w:lang w:val="lv-LV"/>
              </w:rPr>
            </w:pPr>
            <w:r w:rsidRPr="007F0606">
              <w:rPr>
                <w:bCs/>
                <w:sz w:val="28"/>
                <w:szCs w:val="28"/>
                <w:lang w:val="lv-LV"/>
              </w:rPr>
              <w:t>3)</w:t>
            </w:r>
            <w:r w:rsidRPr="009D75A5">
              <w:rPr>
                <w:rFonts w:eastAsiaTheme="minorHAnsi"/>
                <w:color w:val="000000"/>
                <w:sz w:val="28"/>
                <w:szCs w:val="28"/>
                <w:lang w:val="lv-LV"/>
              </w:rPr>
              <w:t xml:space="preserve"> veikt grozījumus </w:t>
            </w:r>
            <w:r w:rsidRPr="007F0606">
              <w:rPr>
                <w:sz w:val="28"/>
                <w:szCs w:val="28"/>
                <w:lang w:val="lv-LV"/>
              </w:rPr>
              <w:t xml:space="preserve">Ministru kabineta 2012. gada 18.decembra noteikumos Nr.943 „Ārstniecības personu sertifikācijas kārtība”, papildinot tos ar </w:t>
            </w:r>
            <w:r w:rsidRPr="007F0606">
              <w:rPr>
                <w:bCs/>
                <w:sz w:val="28"/>
                <w:szCs w:val="28"/>
                <w:lang w:val="lv-LV"/>
              </w:rPr>
              <w:t>kritērijiem ārstniecības personām noteiktās jaunās papildspecialitātes vai apakšspecialitātes iegūšanai bez izglītības programmas apgūšanas jaunajā apakšspecialitātē vai papildspecialitātē un laika periodu, kurā ārstniecības personām, kas atbilst noteiktajiem kritērijiem, ir tiesības pretendēt uz ārstniecības personas sertifikātu noteiktā apakšspecialitātē vai papildspecialitātē.</w:t>
            </w:r>
          </w:p>
        </w:tc>
      </w:tr>
      <w:tr w:rsidR="00DC0A5D" w:rsidRPr="0044308C" w:rsidTr="008E4253">
        <w:tc>
          <w:tcPr>
            <w:tcW w:w="534" w:type="dxa"/>
          </w:tcPr>
          <w:p w:rsidR="00DC0A5D" w:rsidRPr="0044308C" w:rsidRDefault="007032BA" w:rsidP="00E13923">
            <w:pPr>
              <w:pStyle w:val="naiskr"/>
              <w:rPr>
                <w:sz w:val="28"/>
                <w:szCs w:val="28"/>
                <w:lang w:val="lv-LV"/>
              </w:rPr>
            </w:pPr>
            <w:r>
              <w:rPr>
                <w:sz w:val="28"/>
                <w:szCs w:val="28"/>
                <w:lang w:val="lv-LV"/>
              </w:rPr>
              <w:lastRenderedPageBreak/>
              <w:t>2</w:t>
            </w:r>
          </w:p>
        </w:tc>
        <w:tc>
          <w:tcPr>
            <w:tcW w:w="2551" w:type="dxa"/>
          </w:tcPr>
          <w:p w:rsidR="00DC0A5D" w:rsidRPr="0044308C" w:rsidRDefault="00DC0A5D" w:rsidP="00E13923">
            <w:pPr>
              <w:pStyle w:val="naiskr"/>
              <w:rPr>
                <w:sz w:val="28"/>
                <w:szCs w:val="28"/>
                <w:lang w:val="lv-LV"/>
              </w:rPr>
            </w:pPr>
            <w:r w:rsidRPr="0044308C">
              <w:rPr>
                <w:sz w:val="28"/>
                <w:szCs w:val="28"/>
                <w:lang w:val="lv-LV"/>
              </w:rPr>
              <w:t>Atbildīgā institūcija</w:t>
            </w:r>
          </w:p>
        </w:tc>
        <w:tc>
          <w:tcPr>
            <w:tcW w:w="6379" w:type="dxa"/>
          </w:tcPr>
          <w:p w:rsidR="00DC0A5D" w:rsidRPr="0044308C" w:rsidRDefault="00DC0A5D" w:rsidP="00E13923">
            <w:pPr>
              <w:jc w:val="both"/>
              <w:rPr>
                <w:sz w:val="28"/>
                <w:szCs w:val="28"/>
                <w:lang w:val="lv-LV"/>
              </w:rPr>
            </w:pPr>
            <w:r w:rsidRPr="0044308C">
              <w:rPr>
                <w:sz w:val="28"/>
                <w:szCs w:val="28"/>
                <w:lang w:val="lv-LV"/>
              </w:rPr>
              <w:t>Veselības ministrija</w:t>
            </w:r>
          </w:p>
        </w:tc>
      </w:tr>
      <w:tr w:rsidR="00DC0A5D" w:rsidRPr="0044308C" w:rsidTr="008E4253">
        <w:tc>
          <w:tcPr>
            <w:tcW w:w="534" w:type="dxa"/>
          </w:tcPr>
          <w:p w:rsidR="00DC0A5D" w:rsidRPr="0044308C" w:rsidRDefault="00DC0A5D" w:rsidP="00E13923">
            <w:pPr>
              <w:pStyle w:val="naiskr"/>
              <w:rPr>
                <w:sz w:val="28"/>
                <w:szCs w:val="28"/>
                <w:lang w:val="lv-LV"/>
              </w:rPr>
            </w:pPr>
            <w:r w:rsidRPr="0044308C">
              <w:rPr>
                <w:sz w:val="28"/>
                <w:szCs w:val="28"/>
                <w:lang w:val="lv-LV"/>
              </w:rPr>
              <w:t>3.</w:t>
            </w:r>
          </w:p>
        </w:tc>
        <w:tc>
          <w:tcPr>
            <w:tcW w:w="2551" w:type="dxa"/>
          </w:tcPr>
          <w:p w:rsidR="00DC0A5D" w:rsidRPr="0044308C" w:rsidRDefault="00DC0A5D" w:rsidP="00E13923">
            <w:pPr>
              <w:pStyle w:val="naiskr"/>
              <w:rPr>
                <w:sz w:val="28"/>
                <w:szCs w:val="28"/>
                <w:lang w:val="lv-LV"/>
              </w:rPr>
            </w:pPr>
            <w:r w:rsidRPr="0044308C">
              <w:rPr>
                <w:sz w:val="28"/>
                <w:szCs w:val="28"/>
                <w:lang w:val="lv-LV"/>
              </w:rPr>
              <w:t>Cita informācija</w:t>
            </w:r>
          </w:p>
        </w:tc>
        <w:tc>
          <w:tcPr>
            <w:tcW w:w="6379" w:type="dxa"/>
          </w:tcPr>
          <w:p w:rsidR="00DC0A5D" w:rsidRPr="0044308C" w:rsidRDefault="00DC0A5D" w:rsidP="00E13923">
            <w:pPr>
              <w:pStyle w:val="naiskr"/>
              <w:jc w:val="both"/>
              <w:rPr>
                <w:sz w:val="28"/>
                <w:szCs w:val="28"/>
                <w:lang w:val="lv-LV"/>
              </w:rPr>
            </w:pPr>
            <w:r w:rsidRPr="0044308C">
              <w:rPr>
                <w:sz w:val="28"/>
                <w:szCs w:val="28"/>
                <w:lang w:val="lv-LV"/>
              </w:rPr>
              <w:t>Nav</w:t>
            </w:r>
          </w:p>
        </w:tc>
      </w:tr>
    </w:tbl>
    <w:p w:rsidR="00956867" w:rsidRDefault="00956867" w:rsidP="00DC0A5D">
      <w:pPr>
        <w:jc w:val="both"/>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1"/>
        <w:gridCol w:w="947"/>
        <w:gridCol w:w="1017"/>
        <w:gridCol w:w="2385"/>
        <w:gridCol w:w="2492"/>
      </w:tblGrid>
      <w:tr w:rsidR="00B66C4A" w:rsidRPr="00B66C4A" w:rsidTr="00B66C4A">
        <w:trPr>
          <w:trHeight w:val="280"/>
        </w:trPr>
        <w:tc>
          <w:tcPr>
            <w:tcW w:w="9322" w:type="dxa"/>
            <w:gridSpan w:val="5"/>
          </w:tcPr>
          <w:p w:rsidR="00B66C4A" w:rsidRPr="00B66C4A" w:rsidRDefault="00B66C4A" w:rsidP="00B66C4A">
            <w:pPr>
              <w:jc w:val="center"/>
              <w:rPr>
                <w:b/>
                <w:sz w:val="28"/>
                <w:szCs w:val="28"/>
              </w:rPr>
            </w:pPr>
            <w:r w:rsidRPr="00B66C4A">
              <w:rPr>
                <w:b/>
                <w:sz w:val="28"/>
                <w:szCs w:val="28"/>
              </w:rPr>
              <w:t xml:space="preserve">V. Tiesību </w:t>
            </w:r>
            <w:smartTag w:uri="schemas-tilde-lv/tildestengine" w:element="veidnes">
              <w:smartTagPr>
                <w:attr w:name="text" w:val="akta"/>
                <w:attr w:name="id" w:val="-1"/>
                <w:attr w:name="baseform" w:val="akt|s"/>
              </w:smartTagPr>
              <w:r w:rsidRPr="00B66C4A">
                <w:rPr>
                  <w:b/>
                  <w:sz w:val="28"/>
                  <w:szCs w:val="28"/>
                </w:rPr>
                <w:t>akta</w:t>
              </w:r>
            </w:smartTag>
            <w:r w:rsidRPr="00B66C4A">
              <w:rPr>
                <w:b/>
                <w:sz w:val="28"/>
                <w:szCs w:val="28"/>
              </w:rPr>
              <w:t xml:space="preserve"> projekta atbilstība Latvijas Republikas starptautiskajām saistībām </w:t>
            </w:r>
          </w:p>
        </w:tc>
      </w:tr>
      <w:tr w:rsidR="00B66C4A" w:rsidRPr="00B66C4A" w:rsidTr="00B66C4A">
        <w:trPr>
          <w:trHeight w:val="1025"/>
        </w:trPr>
        <w:tc>
          <w:tcPr>
            <w:tcW w:w="3428" w:type="dxa"/>
            <w:gridSpan w:val="2"/>
          </w:tcPr>
          <w:p w:rsidR="00B66C4A" w:rsidRPr="00B66C4A" w:rsidRDefault="00B66C4A" w:rsidP="00B66C4A">
            <w:pPr>
              <w:jc w:val="both"/>
              <w:rPr>
                <w:sz w:val="28"/>
                <w:szCs w:val="28"/>
              </w:rPr>
            </w:pPr>
            <w:r w:rsidRPr="00B66C4A">
              <w:rPr>
                <w:sz w:val="28"/>
                <w:szCs w:val="28"/>
              </w:rPr>
              <w:t>Saistības pret Eiropas Savienību</w:t>
            </w:r>
          </w:p>
        </w:tc>
        <w:tc>
          <w:tcPr>
            <w:tcW w:w="5894" w:type="dxa"/>
            <w:gridSpan w:val="3"/>
          </w:tcPr>
          <w:p w:rsidR="00B66C4A" w:rsidRPr="00B66C4A" w:rsidRDefault="00B66C4A" w:rsidP="00B66C4A">
            <w:pPr>
              <w:tabs>
                <w:tab w:val="left" w:pos="34"/>
              </w:tabs>
              <w:jc w:val="both"/>
              <w:rPr>
                <w:sz w:val="28"/>
                <w:szCs w:val="28"/>
              </w:rPr>
            </w:pPr>
            <w:r w:rsidRPr="00B66C4A">
              <w:rPr>
                <w:sz w:val="28"/>
                <w:szCs w:val="28"/>
              </w:rPr>
              <w:t>Eiropas Parlamenta un Padomes 2011.gada 9.marta Direktīva 2011/24/ES par pacientu tiesību piemērošanu pārrobežu veselības aprūpē.</w:t>
            </w:r>
          </w:p>
        </w:tc>
      </w:tr>
      <w:tr w:rsidR="00B66C4A" w:rsidRPr="00B66C4A" w:rsidTr="00B66C4A">
        <w:trPr>
          <w:trHeight w:val="280"/>
        </w:trPr>
        <w:tc>
          <w:tcPr>
            <w:tcW w:w="3428" w:type="dxa"/>
            <w:gridSpan w:val="2"/>
          </w:tcPr>
          <w:p w:rsidR="00B66C4A" w:rsidRPr="00B66C4A" w:rsidRDefault="00B66C4A" w:rsidP="00B66C4A">
            <w:pPr>
              <w:jc w:val="both"/>
              <w:rPr>
                <w:sz w:val="28"/>
                <w:szCs w:val="28"/>
              </w:rPr>
            </w:pPr>
            <w:r w:rsidRPr="00B66C4A">
              <w:rPr>
                <w:sz w:val="28"/>
                <w:szCs w:val="28"/>
              </w:rPr>
              <w:t>Citas starptautiskās saistības</w:t>
            </w:r>
          </w:p>
        </w:tc>
        <w:tc>
          <w:tcPr>
            <w:tcW w:w="5894" w:type="dxa"/>
            <w:gridSpan w:val="3"/>
          </w:tcPr>
          <w:p w:rsidR="00B66C4A" w:rsidRPr="00B66C4A" w:rsidRDefault="00B66C4A" w:rsidP="00B66C4A">
            <w:pPr>
              <w:jc w:val="both"/>
              <w:rPr>
                <w:sz w:val="28"/>
                <w:szCs w:val="28"/>
              </w:rPr>
            </w:pPr>
            <w:r w:rsidRPr="00B66C4A">
              <w:rPr>
                <w:sz w:val="28"/>
                <w:szCs w:val="28"/>
              </w:rPr>
              <w:t xml:space="preserve">Projekts šo jomu neskar </w:t>
            </w:r>
          </w:p>
        </w:tc>
      </w:tr>
      <w:tr w:rsidR="00B66C4A" w:rsidRPr="00B66C4A" w:rsidTr="00B66C4A">
        <w:trPr>
          <w:trHeight w:val="296"/>
        </w:trPr>
        <w:tc>
          <w:tcPr>
            <w:tcW w:w="3428" w:type="dxa"/>
            <w:gridSpan w:val="2"/>
          </w:tcPr>
          <w:p w:rsidR="00B66C4A" w:rsidRPr="00B66C4A" w:rsidRDefault="00B66C4A" w:rsidP="00B66C4A">
            <w:pPr>
              <w:jc w:val="both"/>
              <w:rPr>
                <w:sz w:val="28"/>
                <w:szCs w:val="28"/>
              </w:rPr>
            </w:pPr>
            <w:r w:rsidRPr="00B66C4A">
              <w:rPr>
                <w:sz w:val="28"/>
                <w:szCs w:val="28"/>
              </w:rPr>
              <w:t xml:space="preserve">Cita informācija </w:t>
            </w:r>
          </w:p>
        </w:tc>
        <w:tc>
          <w:tcPr>
            <w:tcW w:w="5894" w:type="dxa"/>
            <w:gridSpan w:val="3"/>
          </w:tcPr>
          <w:p w:rsidR="00B66C4A" w:rsidRPr="00B66C4A" w:rsidRDefault="00B66C4A" w:rsidP="00B66C4A">
            <w:pPr>
              <w:jc w:val="both"/>
              <w:rPr>
                <w:sz w:val="28"/>
                <w:szCs w:val="28"/>
              </w:rPr>
            </w:pPr>
            <w:r w:rsidRPr="00B66C4A">
              <w:rPr>
                <w:sz w:val="28"/>
                <w:szCs w:val="28"/>
              </w:rPr>
              <w:t>Nav</w:t>
            </w:r>
          </w:p>
        </w:tc>
      </w:tr>
      <w:tr w:rsidR="00B66C4A" w:rsidRPr="00B66C4A" w:rsidTr="00B66C4A">
        <w:tc>
          <w:tcPr>
            <w:tcW w:w="9322" w:type="dxa"/>
            <w:gridSpan w:val="5"/>
          </w:tcPr>
          <w:p w:rsidR="00B66C4A" w:rsidRPr="00B66C4A" w:rsidRDefault="00B66C4A" w:rsidP="00B66C4A">
            <w:pPr>
              <w:rPr>
                <w:sz w:val="28"/>
                <w:szCs w:val="28"/>
              </w:rPr>
            </w:pPr>
          </w:p>
          <w:p w:rsidR="00B66C4A" w:rsidRPr="00B66C4A" w:rsidRDefault="00B66C4A" w:rsidP="00B66C4A">
            <w:pPr>
              <w:jc w:val="center"/>
              <w:rPr>
                <w:b/>
                <w:sz w:val="28"/>
                <w:szCs w:val="28"/>
              </w:rPr>
            </w:pPr>
            <w:r w:rsidRPr="00B66C4A">
              <w:rPr>
                <w:b/>
                <w:sz w:val="28"/>
                <w:szCs w:val="28"/>
              </w:rPr>
              <w:t>1.tabula</w:t>
            </w:r>
          </w:p>
          <w:p w:rsidR="00B66C4A" w:rsidRPr="00B66C4A" w:rsidRDefault="00B66C4A" w:rsidP="00B66C4A">
            <w:pPr>
              <w:jc w:val="center"/>
              <w:rPr>
                <w:b/>
                <w:sz w:val="28"/>
                <w:szCs w:val="28"/>
              </w:rPr>
            </w:pPr>
            <w:r w:rsidRPr="00B66C4A">
              <w:rPr>
                <w:b/>
                <w:sz w:val="28"/>
                <w:szCs w:val="28"/>
              </w:rPr>
              <w:t xml:space="preserve">Tiesību akta projekta atbilstība ES tiesību aktiem </w:t>
            </w:r>
          </w:p>
        </w:tc>
      </w:tr>
      <w:tr w:rsidR="00B66C4A" w:rsidRPr="00B66C4A" w:rsidTr="00B66C4A">
        <w:tc>
          <w:tcPr>
            <w:tcW w:w="2481" w:type="dxa"/>
          </w:tcPr>
          <w:p w:rsidR="00B66C4A" w:rsidRPr="00B66C4A" w:rsidRDefault="00B66C4A" w:rsidP="00B66C4A">
            <w:pPr>
              <w:jc w:val="both"/>
              <w:rPr>
                <w:sz w:val="28"/>
                <w:szCs w:val="28"/>
              </w:rPr>
            </w:pPr>
            <w:r w:rsidRPr="00B66C4A">
              <w:rPr>
                <w:sz w:val="28"/>
                <w:szCs w:val="28"/>
              </w:rPr>
              <w:t>Attiecīgā ES tiesību akta datums, numurs un nosaukums</w:t>
            </w:r>
          </w:p>
        </w:tc>
        <w:tc>
          <w:tcPr>
            <w:tcW w:w="6841" w:type="dxa"/>
            <w:gridSpan w:val="4"/>
          </w:tcPr>
          <w:p w:rsidR="00B66C4A" w:rsidRPr="00B66C4A" w:rsidRDefault="00B66C4A" w:rsidP="00B66C4A">
            <w:pPr>
              <w:jc w:val="both"/>
              <w:rPr>
                <w:sz w:val="28"/>
                <w:szCs w:val="28"/>
              </w:rPr>
            </w:pPr>
            <w:r w:rsidRPr="00B66C4A">
              <w:rPr>
                <w:sz w:val="28"/>
                <w:szCs w:val="28"/>
              </w:rPr>
              <w:t xml:space="preserve">1. Eiropas Parlamenta un Padomes 2011.gada 9.marta Direktīva </w:t>
            </w:r>
            <w:r w:rsidRPr="00B66C4A">
              <w:rPr>
                <w:sz w:val="28"/>
                <w:szCs w:val="28"/>
                <w:u w:val="single"/>
              </w:rPr>
              <w:t>2011/24/ES</w:t>
            </w:r>
            <w:r w:rsidRPr="00B66C4A">
              <w:rPr>
                <w:sz w:val="28"/>
                <w:szCs w:val="28"/>
              </w:rPr>
              <w:t xml:space="preserve"> par pacientu tiesību piemērošanu pārrobežu veselības aprūpē</w:t>
            </w:r>
          </w:p>
        </w:tc>
      </w:tr>
      <w:tr w:rsidR="00B66C4A" w:rsidRPr="00B66C4A" w:rsidTr="00B66C4A">
        <w:tc>
          <w:tcPr>
            <w:tcW w:w="2481" w:type="dxa"/>
            <w:vAlign w:val="center"/>
          </w:tcPr>
          <w:p w:rsidR="00B66C4A" w:rsidRPr="00B66C4A" w:rsidRDefault="00B66C4A" w:rsidP="00B66C4A">
            <w:pPr>
              <w:ind w:firstLine="176"/>
              <w:jc w:val="center"/>
              <w:rPr>
                <w:sz w:val="28"/>
                <w:szCs w:val="28"/>
              </w:rPr>
            </w:pPr>
            <w:r w:rsidRPr="00B66C4A">
              <w:rPr>
                <w:sz w:val="28"/>
                <w:szCs w:val="28"/>
              </w:rPr>
              <w:t>A</w:t>
            </w:r>
          </w:p>
        </w:tc>
        <w:tc>
          <w:tcPr>
            <w:tcW w:w="1964" w:type="dxa"/>
            <w:gridSpan w:val="2"/>
            <w:vAlign w:val="center"/>
          </w:tcPr>
          <w:p w:rsidR="00B66C4A" w:rsidRPr="00B66C4A" w:rsidRDefault="00B66C4A" w:rsidP="00B66C4A">
            <w:pPr>
              <w:ind w:firstLine="176"/>
              <w:jc w:val="center"/>
              <w:rPr>
                <w:sz w:val="28"/>
                <w:szCs w:val="28"/>
              </w:rPr>
            </w:pPr>
            <w:r w:rsidRPr="00B66C4A">
              <w:rPr>
                <w:sz w:val="28"/>
                <w:szCs w:val="28"/>
              </w:rPr>
              <w:t>B</w:t>
            </w:r>
          </w:p>
        </w:tc>
        <w:tc>
          <w:tcPr>
            <w:tcW w:w="2385" w:type="dxa"/>
            <w:vAlign w:val="center"/>
          </w:tcPr>
          <w:p w:rsidR="00B66C4A" w:rsidRPr="00B66C4A" w:rsidRDefault="00B66C4A" w:rsidP="00B66C4A">
            <w:pPr>
              <w:ind w:firstLine="176"/>
              <w:jc w:val="center"/>
              <w:rPr>
                <w:sz w:val="28"/>
                <w:szCs w:val="28"/>
              </w:rPr>
            </w:pPr>
            <w:r w:rsidRPr="00B66C4A">
              <w:rPr>
                <w:sz w:val="28"/>
                <w:szCs w:val="28"/>
              </w:rPr>
              <w:t>C</w:t>
            </w:r>
          </w:p>
        </w:tc>
        <w:tc>
          <w:tcPr>
            <w:tcW w:w="2492" w:type="dxa"/>
            <w:vAlign w:val="center"/>
          </w:tcPr>
          <w:p w:rsidR="00B66C4A" w:rsidRPr="00B66C4A" w:rsidRDefault="00B66C4A" w:rsidP="00B66C4A">
            <w:pPr>
              <w:ind w:firstLine="176"/>
              <w:jc w:val="center"/>
              <w:rPr>
                <w:sz w:val="28"/>
                <w:szCs w:val="28"/>
              </w:rPr>
            </w:pPr>
            <w:r w:rsidRPr="00B66C4A">
              <w:rPr>
                <w:sz w:val="28"/>
                <w:szCs w:val="28"/>
              </w:rPr>
              <w:t>D</w:t>
            </w:r>
          </w:p>
        </w:tc>
      </w:tr>
      <w:tr w:rsidR="00B66C4A" w:rsidRPr="00B66C4A" w:rsidTr="00B66C4A">
        <w:tc>
          <w:tcPr>
            <w:tcW w:w="2481" w:type="dxa"/>
          </w:tcPr>
          <w:p w:rsidR="00B66C4A" w:rsidRPr="00B66C4A" w:rsidRDefault="00B66C4A" w:rsidP="00B66C4A">
            <w:pPr>
              <w:ind w:firstLine="176"/>
              <w:jc w:val="both"/>
              <w:rPr>
                <w:sz w:val="28"/>
                <w:szCs w:val="28"/>
              </w:rPr>
            </w:pPr>
            <w:r w:rsidRPr="00B66C4A">
              <w:rPr>
                <w:sz w:val="28"/>
                <w:szCs w:val="28"/>
              </w:rPr>
              <w:t xml:space="preserve">Attiecīgā ES tiesību akta panta numurs (uzskaitot katru tiesību akta </w:t>
            </w:r>
            <w:r w:rsidRPr="00B66C4A">
              <w:rPr>
                <w:sz w:val="28"/>
                <w:szCs w:val="28"/>
              </w:rPr>
              <w:br/>
              <w:t>vienību – pantu, daļu, punktu, apakšpunktu)</w:t>
            </w:r>
          </w:p>
        </w:tc>
        <w:tc>
          <w:tcPr>
            <w:tcW w:w="1964" w:type="dxa"/>
            <w:gridSpan w:val="2"/>
          </w:tcPr>
          <w:p w:rsidR="00B66C4A" w:rsidRPr="00B66C4A" w:rsidRDefault="00B66C4A" w:rsidP="00B66C4A">
            <w:pPr>
              <w:ind w:firstLine="176"/>
              <w:jc w:val="both"/>
              <w:rPr>
                <w:sz w:val="28"/>
                <w:szCs w:val="28"/>
              </w:rPr>
            </w:pPr>
            <w:r w:rsidRPr="00B66C4A">
              <w:rPr>
                <w:sz w:val="28"/>
                <w:szCs w:val="28"/>
              </w:rPr>
              <w:t xml:space="preserve">Projekta vienība, kas pārņem vai ievieš katru šīs tabulas A ailē minēto ES tiesību akta </w:t>
            </w:r>
            <w:r w:rsidRPr="00B66C4A">
              <w:rPr>
                <w:sz w:val="28"/>
                <w:szCs w:val="28"/>
              </w:rPr>
              <w:lastRenderedPageBreak/>
              <w:t>vienību, vai tiesību akts, kur attiecīgā ES tiesību akta vienība pārņemta vai ieviesta</w:t>
            </w:r>
          </w:p>
        </w:tc>
        <w:tc>
          <w:tcPr>
            <w:tcW w:w="2385" w:type="dxa"/>
          </w:tcPr>
          <w:p w:rsidR="00B66C4A" w:rsidRPr="00B66C4A" w:rsidRDefault="00B66C4A" w:rsidP="00B66C4A">
            <w:pPr>
              <w:jc w:val="both"/>
              <w:rPr>
                <w:sz w:val="28"/>
                <w:szCs w:val="28"/>
              </w:rPr>
            </w:pPr>
            <w:r w:rsidRPr="00B66C4A">
              <w:rPr>
                <w:sz w:val="28"/>
                <w:szCs w:val="28"/>
              </w:rPr>
              <w:lastRenderedPageBreak/>
              <w:t xml:space="preserve">Informācija par to, vai šīs tabulas A ailē minētās ES tiesību akta vienības tiek pārņemtas vai ieviestas pilnībā </w:t>
            </w:r>
            <w:r w:rsidRPr="00B66C4A">
              <w:rPr>
                <w:sz w:val="28"/>
                <w:szCs w:val="28"/>
              </w:rPr>
              <w:lastRenderedPageBreak/>
              <w:t>vai daļēji.</w:t>
            </w:r>
          </w:p>
          <w:p w:rsidR="00B66C4A" w:rsidRPr="00B66C4A" w:rsidRDefault="00B66C4A" w:rsidP="00B66C4A">
            <w:pPr>
              <w:jc w:val="both"/>
              <w:rPr>
                <w:sz w:val="28"/>
                <w:szCs w:val="28"/>
              </w:rPr>
            </w:pPr>
            <w:r w:rsidRPr="00B66C4A">
              <w:rPr>
                <w:sz w:val="28"/>
                <w:szCs w:val="28"/>
              </w:rPr>
              <w:t>Ja attiecīgā ES tiesību akta vienība tiek pārņemta vai ieviesta daļēji, – sniedz attiecīgu skaidrojumu, kā arī precīzi norāda, kad un kādā veidā ES tiesību akta vienība tiks pārņemta vai ieviesta pilnībā.</w:t>
            </w:r>
          </w:p>
          <w:p w:rsidR="00B66C4A" w:rsidRPr="00B66C4A" w:rsidRDefault="00B66C4A" w:rsidP="00B66C4A">
            <w:pPr>
              <w:ind w:firstLine="176"/>
              <w:jc w:val="both"/>
              <w:rPr>
                <w:sz w:val="28"/>
                <w:szCs w:val="28"/>
              </w:rPr>
            </w:pPr>
            <w:r w:rsidRPr="00B66C4A">
              <w:rPr>
                <w:sz w:val="28"/>
                <w:szCs w:val="28"/>
              </w:rPr>
              <w:t>Norāda institūciju, kas ir atbildīga par šo saistību izpildi pilnībā</w:t>
            </w:r>
          </w:p>
        </w:tc>
        <w:tc>
          <w:tcPr>
            <w:tcW w:w="2492" w:type="dxa"/>
            <w:vAlign w:val="center"/>
          </w:tcPr>
          <w:p w:rsidR="00B66C4A" w:rsidRPr="00B66C4A" w:rsidRDefault="00B66C4A" w:rsidP="00B66C4A">
            <w:pPr>
              <w:jc w:val="both"/>
              <w:rPr>
                <w:sz w:val="28"/>
                <w:szCs w:val="28"/>
              </w:rPr>
            </w:pPr>
            <w:r w:rsidRPr="00B66C4A">
              <w:rPr>
                <w:sz w:val="28"/>
                <w:szCs w:val="28"/>
              </w:rPr>
              <w:lastRenderedPageBreak/>
              <w:t xml:space="preserve">Informācija par to, vai šīs tabulas B ailē minētās projekta vienības paredz stingrākas prasības nekā šīs tabulas A ailē </w:t>
            </w:r>
            <w:r w:rsidRPr="00B66C4A">
              <w:rPr>
                <w:sz w:val="28"/>
                <w:szCs w:val="28"/>
              </w:rPr>
              <w:lastRenderedPageBreak/>
              <w:t>minētās ES tiesību akta vienības.</w:t>
            </w:r>
          </w:p>
          <w:p w:rsidR="00B66C4A" w:rsidRPr="00B66C4A" w:rsidRDefault="00B66C4A" w:rsidP="00B66C4A">
            <w:pPr>
              <w:jc w:val="both"/>
              <w:rPr>
                <w:sz w:val="28"/>
                <w:szCs w:val="28"/>
              </w:rPr>
            </w:pPr>
            <w:r w:rsidRPr="00B66C4A">
              <w:rPr>
                <w:sz w:val="28"/>
                <w:szCs w:val="28"/>
              </w:rPr>
              <w:t xml:space="preserve">Ja projekts satur stingrākas prasības nekā attiecīgais ES tiesību </w:t>
            </w:r>
            <w:smartTag w:uri="schemas-tilde-lv/tildestengine" w:element="veidnes">
              <w:smartTagPr>
                <w:attr w:name="text" w:val="akts"/>
                <w:attr w:name="baseform" w:val="akts"/>
                <w:attr w:name="id" w:val="-1"/>
              </w:smartTagPr>
              <w:r w:rsidRPr="00B66C4A">
                <w:rPr>
                  <w:sz w:val="28"/>
                  <w:szCs w:val="28"/>
                </w:rPr>
                <w:t>akts</w:t>
              </w:r>
            </w:smartTag>
            <w:r w:rsidRPr="00B66C4A">
              <w:rPr>
                <w:sz w:val="28"/>
                <w:szCs w:val="28"/>
              </w:rPr>
              <w:t>, – norāda pamatojumu un samērīgumu.</w:t>
            </w:r>
          </w:p>
          <w:p w:rsidR="00B66C4A" w:rsidRPr="00B66C4A" w:rsidRDefault="00B66C4A" w:rsidP="00B66C4A">
            <w:pPr>
              <w:ind w:firstLine="176"/>
              <w:jc w:val="both"/>
              <w:rPr>
                <w:sz w:val="28"/>
                <w:szCs w:val="28"/>
              </w:rPr>
            </w:pPr>
            <w:r w:rsidRPr="00B66C4A">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B66C4A" w:rsidRPr="00B66C4A" w:rsidTr="00B66C4A">
        <w:tc>
          <w:tcPr>
            <w:tcW w:w="2481" w:type="dxa"/>
          </w:tcPr>
          <w:p w:rsidR="00B66C4A" w:rsidRPr="00B66C4A" w:rsidRDefault="00B66C4A" w:rsidP="00B66C4A">
            <w:pPr>
              <w:ind w:firstLine="176"/>
              <w:rPr>
                <w:sz w:val="28"/>
                <w:szCs w:val="28"/>
              </w:rPr>
            </w:pPr>
            <w:r w:rsidRPr="00B66C4A">
              <w:rPr>
                <w:sz w:val="28"/>
                <w:szCs w:val="28"/>
              </w:rPr>
              <w:lastRenderedPageBreak/>
              <w:t xml:space="preserve">Direktīvas 2011/24/ES </w:t>
            </w:r>
            <w:r>
              <w:rPr>
                <w:sz w:val="28"/>
                <w:szCs w:val="28"/>
              </w:rPr>
              <w:t xml:space="preserve"> 12.panta 1.punkts</w:t>
            </w:r>
          </w:p>
        </w:tc>
        <w:tc>
          <w:tcPr>
            <w:tcW w:w="1964" w:type="dxa"/>
            <w:gridSpan w:val="2"/>
          </w:tcPr>
          <w:p w:rsidR="00B66C4A" w:rsidRPr="00B66C4A" w:rsidRDefault="00B66C4A" w:rsidP="00086212">
            <w:pPr>
              <w:rPr>
                <w:sz w:val="28"/>
                <w:szCs w:val="28"/>
              </w:rPr>
            </w:pPr>
            <w:r w:rsidRPr="00B66C4A">
              <w:rPr>
                <w:sz w:val="28"/>
                <w:szCs w:val="28"/>
              </w:rPr>
              <w:t xml:space="preserve">Likumprojekta </w:t>
            </w:r>
            <w:r w:rsidR="0076215C" w:rsidRPr="009D75A5">
              <w:rPr>
                <w:sz w:val="28"/>
                <w:szCs w:val="28"/>
              </w:rPr>
              <w:t>4</w:t>
            </w:r>
            <w:r w:rsidRPr="009D75A5">
              <w:rPr>
                <w:sz w:val="28"/>
                <w:szCs w:val="28"/>
              </w:rPr>
              <w:t>.pants</w:t>
            </w:r>
          </w:p>
        </w:tc>
        <w:tc>
          <w:tcPr>
            <w:tcW w:w="2385" w:type="dxa"/>
          </w:tcPr>
          <w:p w:rsidR="00B66C4A" w:rsidRPr="00B66C4A" w:rsidRDefault="00B66C4A" w:rsidP="00B66C4A">
            <w:pPr>
              <w:jc w:val="both"/>
              <w:rPr>
                <w:iCs/>
                <w:sz w:val="28"/>
                <w:szCs w:val="28"/>
              </w:rPr>
            </w:pPr>
            <w:r w:rsidRPr="00B66C4A">
              <w:rPr>
                <w:iCs/>
                <w:sz w:val="28"/>
                <w:szCs w:val="28"/>
              </w:rPr>
              <w:t>Ieviesta pilnībā</w:t>
            </w:r>
          </w:p>
        </w:tc>
        <w:tc>
          <w:tcPr>
            <w:tcW w:w="2492" w:type="dxa"/>
          </w:tcPr>
          <w:p w:rsidR="00B66C4A" w:rsidRPr="00B66C4A" w:rsidRDefault="00B66C4A" w:rsidP="00B66C4A">
            <w:pPr>
              <w:jc w:val="both"/>
              <w:rPr>
                <w:iCs/>
                <w:sz w:val="28"/>
                <w:szCs w:val="28"/>
              </w:rPr>
            </w:pPr>
            <w:r w:rsidRPr="00B66C4A">
              <w:rPr>
                <w:iCs/>
                <w:sz w:val="28"/>
                <w:szCs w:val="28"/>
              </w:rPr>
              <w:t>Tiesību norma neparedz stingrākas prasības</w:t>
            </w:r>
          </w:p>
        </w:tc>
      </w:tr>
      <w:tr w:rsidR="00B66C4A" w:rsidRPr="00B66C4A" w:rsidTr="00B66C4A">
        <w:tc>
          <w:tcPr>
            <w:tcW w:w="4445" w:type="dxa"/>
            <w:gridSpan w:val="3"/>
          </w:tcPr>
          <w:p w:rsidR="00B66C4A" w:rsidRPr="00B66C4A" w:rsidRDefault="00B66C4A" w:rsidP="00B66C4A">
            <w:pPr>
              <w:spacing w:before="75" w:after="75"/>
              <w:jc w:val="both"/>
              <w:rPr>
                <w:sz w:val="28"/>
                <w:szCs w:val="28"/>
              </w:rPr>
            </w:pPr>
            <w:r w:rsidRPr="00B66C4A">
              <w:rPr>
                <w:sz w:val="28"/>
                <w:szCs w:val="28"/>
              </w:rPr>
              <w:t>Kā ir izmantota ES tiesību aktā paredzētā rīcības brīvība dalībvalstij pārņemt vai ieviest noteiktas ES tiesību akta normas.</w:t>
            </w:r>
          </w:p>
          <w:p w:rsidR="00B66C4A" w:rsidRPr="00B66C4A" w:rsidRDefault="00B66C4A" w:rsidP="00B66C4A">
            <w:pPr>
              <w:jc w:val="both"/>
              <w:rPr>
                <w:sz w:val="28"/>
                <w:szCs w:val="28"/>
              </w:rPr>
            </w:pPr>
            <w:r w:rsidRPr="00B66C4A">
              <w:rPr>
                <w:sz w:val="28"/>
                <w:szCs w:val="28"/>
              </w:rPr>
              <w:t>Kādēļ?</w:t>
            </w:r>
          </w:p>
        </w:tc>
        <w:tc>
          <w:tcPr>
            <w:tcW w:w="4877" w:type="dxa"/>
            <w:gridSpan w:val="2"/>
          </w:tcPr>
          <w:p w:rsidR="00B66C4A" w:rsidRPr="00B66C4A" w:rsidRDefault="00B66C4A" w:rsidP="00B66C4A">
            <w:pPr>
              <w:jc w:val="both"/>
              <w:rPr>
                <w:sz w:val="28"/>
                <w:szCs w:val="28"/>
              </w:rPr>
            </w:pPr>
            <w:r w:rsidRPr="00B66C4A">
              <w:rPr>
                <w:sz w:val="28"/>
                <w:szCs w:val="28"/>
              </w:rPr>
              <w:t>Projekts šo jomu neskar</w:t>
            </w:r>
          </w:p>
        </w:tc>
      </w:tr>
      <w:tr w:rsidR="00B66C4A" w:rsidRPr="00B66C4A" w:rsidTr="00B66C4A">
        <w:tc>
          <w:tcPr>
            <w:tcW w:w="4445" w:type="dxa"/>
            <w:gridSpan w:val="3"/>
          </w:tcPr>
          <w:p w:rsidR="00B66C4A" w:rsidRPr="00B66C4A" w:rsidRDefault="00B66C4A" w:rsidP="00B66C4A">
            <w:pPr>
              <w:jc w:val="both"/>
              <w:rPr>
                <w:sz w:val="28"/>
                <w:szCs w:val="28"/>
              </w:rPr>
            </w:pPr>
            <w:r w:rsidRPr="00B66C4A">
              <w:rPr>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877" w:type="dxa"/>
            <w:gridSpan w:val="2"/>
          </w:tcPr>
          <w:p w:rsidR="00B66C4A" w:rsidRPr="00B66C4A" w:rsidRDefault="00B66C4A" w:rsidP="00B66C4A">
            <w:pPr>
              <w:jc w:val="both"/>
              <w:rPr>
                <w:sz w:val="28"/>
                <w:szCs w:val="28"/>
              </w:rPr>
            </w:pPr>
            <w:r w:rsidRPr="00B66C4A">
              <w:rPr>
                <w:sz w:val="28"/>
                <w:szCs w:val="28"/>
              </w:rPr>
              <w:t>Projekts šo jomu neskar</w:t>
            </w:r>
          </w:p>
        </w:tc>
      </w:tr>
      <w:tr w:rsidR="00B66C4A" w:rsidRPr="00B66C4A" w:rsidTr="00B66C4A">
        <w:tc>
          <w:tcPr>
            <w:tcW w:w="4445" w:type="dxa"/>
            <w:gridSpan w:val="3"/>
          </w:tcPr>
          <w:p w:rsidR="00B66C4A" w:rsidRPr="00B66C4A" w:rsidRDefault="00B66C4A" w:rsidP="00B66C4A">
            <w:pPr>
              <w:jc w:val="both"/>
              <w:rPr>
                <w:sz w:val="28"/>
                <w:szCs w:val="28"/>
              </w:rPr>
            </w:pPr>
            <w:r w:rsidRPr="00B66C4A">
              <w:rPr>
                <w:sz w:val="28"/>
                <w:szCs w:val="28"/>
              </w:rPr>
              <w:t>Cita informācija</w:t>
            </w:r>
          </w:p>
        </w:tc>
        <w:tc>
          <w:tcPr>
            <w:tcW w:w="4877" w:type="dxa"/>
            <w:gridSpan w:val="2"/>
          </w:tcPr>
          <w:p w:rsidR="00B66C4A" w:rsidRPr="00B66C4A" w:rsidRDefault="00B66C4A" w:rsidP="00B66C4A">
            <w:pPr>
              <w:rPr>
                <w:sz w:val="28"/>
                <w:szCs w:val="28"/>
              </w:rPr>
            </w:pPr>
            <w:r w:rsidRPr="00B66C4A">
              <w:rPr>
                <w:sz w:val="28"/>
                <w:szCs w:val="28"/>
              </w:rPr>
              <w:t>Nav</w:t>
            </w:r>
          </w:p>
        </w:tc>
      </w:tr>
    </w:tbl>
    <w:p w:rsidR="00DC0A5D" w:rsidRDefault="00DC0A5D" w:rsidP="00DC0A5D">
      <w:pPr>
        <w:jc w:val="both"/>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9"/>
        <w:gridCol w:w="7047"/>
      </w:tblGrid>
      <w:tr w:rsidR="00DC0A5D" w:rsidRPr="00D411FD" w:rsidTr="00E13923">
        <w:tc>
          <w:tcPr>
            <w:tcW w:w="9322" w:type="dxa"/>
            <w:gridSpan w:val="3"/>
          </w:tcPr>
          <w:p w:rsidR="001770EE" w:rsidRDefault="001770EE" w:rsidP="00E13923">
            <w:pPr>
              <w:jc w:val="center"/>
              <w:rPr>
                <w:b/>
                <w:sz w:val="28"/>
                <w:szCs w:val="28"/>
              </w:rPr>
            </w:pPr>
          </w:p>
          <w:p w:rsidR="00DC0A5D" w:rsidRPr="00D411FD" w:rsidRDefault="00DC0A5D" w:rsidP="00E13923">
            <w:pPr>
              <w:jc w:val="center"/>
              <w:rPr>
                <w:b/>
                <w:sz w:val="28"/>
                <w:szCs w:val="28"/>
              </w:rPr>
            </w:pPr>
            <w:r w:rsidRPr="00D411FD">
              <w:rPr>
                <w:b/>
                <w:sz w:val="28"/>
                <w:szCs w:val="28"/>
              </w:rPr>
              <w:lastRenderedPageBreak/>
              <w:t>VI. Sabiedrības līdzdalība un komunikācijas aktivitātes</w:t>
            </w:r>
          </w:p>
        </w:tc>
      </w:tr>
      <w:tr w:rsidR="00DC0A5D" w:rsidRPr="00D411FD" w:rsidTr="00E13923">
        <w:tc>
          <w:tcPr>
            <w:tcW w:w="426" w:type="dxa"/>
          </w:tcPr>
          <w:p w:rsidR="00DC0A5D" w:rsidRPr="00D411FD" w:rsidRDefault="00DC0A5D" w:rsidP="00E13923">
            <w:pPr>
              <w:jc w:val="both"/>
              <w:rPr>
                <w:sz w:val="28"/>
                <w:szCs w:val="28"/>
              </w:rPr>
            </w:pPr>
            <w:r w:rsidRPr="00D411FD">
              <w:rPr>
                <w:sz w:val="28"/>
                <w:szCs w:val="28"/>
              </w:rPr>
              <w:lastRenderedPageBreak/>
              <w:t>1.</w:t>
            </w:r>
          </w:p>
        </w:tc>
        <w:tc>
          <w:tcPr>
            <w:tcW w:w="1849" w:type="dxa"/>
          </w:tcPr>
          <w:p w:rsidR="00DC0A5D" w:rsidRPr="00D411FD" w:rsidRDefault="00DC0A5D" w:rsidP="00E13923">
            <w:pPr>
              <w:jc w:val="both"/>
              <w:rPr>
                <w:sz w:val="28"/>
                <w:szCs w:val="28"/>
              </w:rPr>
            </w:pPr>
            <w:r w:rsidRPr="00D411FD">
              <w:rPr>
                <w:sz w:val="28"/>
                <w:szCs w:val="28"/>
              </w:rPr>
              <w:t>Plānotās sabiedrības līdzdalības un komunikācijas aktivitātes saistībā ar projektu</w:t>
            </w:r>
          </w:p>
        </w:tc>
        <w:tc>
          <w:tcPr>
            <w:tcW w:w="7047" w:type="dxa"/>
          </w:tcPr>
          <w:p w:rsidR="00B66C4A" w:rsidRPr="002A424B" w:rsidRDefault="00956867" w:rsidP="00CE3DDA">
            <w:pPr>
              <w:jc w:val="both"/>
              <w:rPr>
                <w:sz w:val="28"/>
                <w:szCs w:val="28"/>
              </w:rPr>
            </w:pPr>
            <w:r>
              <w:rPr>
                <w:sz w:val="28"/>
                <w:szCs w:val="28"/>
              </w:rPr>
              <w:t xml:space="preserve">Sabiedrība par </w:t>
            </w:r>
            <w:r w:rsidR="00497854">
              <w:rPr>
                <w:sz w:val="28"/>
                <w:szCs w:val="28"/>
              </w:rPr>
              <w:t>P</w:t>
            </w:r>
            <w:r>
              <w:rPr>
                <w:sz w:val="28"/>
                <w:szCs w:val="28"/>
              </w:rPr>
              <w:t xml:space="preserve">rojektu tika informēta sabiedriskās apspriedes ietvaros. </w:t>
            </w:r>
            <w:r w:rsidR="00B66C4A">
              <w:rPr>
                <w:sz w:val="28"/>
                <w:szCs w:val="28"/>
              </w:rPr>
              <w:t>Attiecībā par Eiropas references tīkliem i</w:t>
            </w:r>
            <w:r>
              <w:rPr>
                <w:sz w:val="28"/>
                <w:szCs w:val="28"/>
              </w:rPr>
              <w:t xml:space="preserve">nformācija par </w:t>
            </w:r>
            <w:r>
              <w:rPr>
                <w:bCs/>
                <w:sz w:val="28"/>
                <w:szCs w:val="28"/>
              </w:rPr>
              <w:t>sabiedrisko apspriedi</w:t>
            </w:r>
            <w:r w:rsidR="00497854">
              <w:rPr>
                <w:bCs/>
                <w:sz w:val="28"/>
                <w:szCs w:val="28"/>
              </w:rPr>
              <w:t xml:space="preserve"> 2015.gada 25.septembrī</w:t>
            </w:r>
            <w:r>
              <w:rPr>
                <w:bCs/>
                <w:sz w:val="28"/>
                <w:szCs w:val="28"/>
              </w:rPr>
              <w:t xml:space="preserve"> tika nosūtīta šādām organizācijām: </w:t>
            </w:r>
            <w:r w:rsidRPr="009C1D95">
              <w:rPr>
                <w:sz w:val="28"/>
                <w:szCs w:val="28"/>
              </w:rPr>
              <w:t xml:space="preserve">Latvijas Ārstu biedrībai, Latvijas </w:t>
            </w:r>
            <w:r>
              <w:rPr>
                <w:sz w:val="28"/>
                <w:szCs w:val="28"/>
              </w:rPr>
              <w:t>Slimnīcu biedrībai, sabiedrībai ar ierobežotu atbildību „Rīgas Austrumu klīniskā universitātes slimnīca”, valsts sabiedrībai ar ierobežotu atbildību „Bērnu klīniskā universitātes slimnīca”, valsts sabiedrībai ar ierobežotu atbildību „Paula Stradiņa klīniskā universitātes slimnīca”</w:t>
            </w:r>
            <w:r w:rsidRPr="009C1D95">
              <w:rPr>
                <w:sz w:val="28"/>
                <w:szCs w:val="28"/>
              </w:rPr>
              <w:t>.</w:t>
            </w:r>
          </w:p>
        </w:tc>
      </w:tr>
      <w:tr w:rsidR="00DC0A5D" w:rsidRPr="00D411FD" w:rsidTr="00E13923">
        <w:tc>
          <w:tcPr>
            <w:tcW w:w="426" w:type="dxa"/>
          </w:tcPr>
          <w:p w:rsidR="00DC0A5D" w:rsidRPr="00D411FD" w:rsidRDefault="00DC0A5D" w:rsidP="00E13923">
            <w:pPr>
              <w:jc w:val="both"/>
              <w:rPr>
                <w:sz w:val="28"/>
                <w:szCs w:val="28"/>
              </w:rPr>
            </w:pPr>
            <w:r w:rsidRPr="00D411FD">
              <w:rPr>
                <w:sz w:val="28"/>
                <w:szCs w:val="28"/>
              </w:rPr>
              <w:t>2.</w:t>
            </w:r>
          </w:p>
        </w:tc>
        <w:tc>
          <w:tcPr>
            <w:tcW w:w="1849" w:type="dxa"/>
          </w:tcPr>
          <w:p w:rsidR="00DC0A5D" w:rsidRPr="00D411FD" w:rsidRDefault="00DC0A5D" w:rsidP="00E13923">
            <w:pPr>
              <w:jc w:val="both"/>
              <w:rPr>
                <w:sz w:val="28"/>
                <w:szCs w:val="28"/>
              </w:rPr>
            </w:pPr>
            <w:r w:rsidRPr="00D411FD">
              <w:rPr>
                <w:sz w:val="28"/>
                <w:szCs w:val="28"/>
              </w:rPr>
              <w:t>Sabiedrības līdzdalība projekta izstrādē</w:t>
            </w:r>
          </w:p>
        </w:tc>
        <w:tc>
          <w:tcPr>
            <w:tcW w:w="7047" w:type="dxa"/>
          </w:tcPr>
          <w:p w:rsidR="00B66C4A" w:rsidRPr="002A424B" w:rsidRDefault="00956867" w:rsidP="00CE3DDA">
            <w:pPr>
              <w:jc w:val="both"/>
              <w:rPr>
                <w:sz w:val="28"/>
                <w:szCs w:val="28"/>
              </w:rPr>
            </w:pPr>
            <w:r>
              <w:rPr>
                <w:sz w:val="28"/>
                <w:szCs w:val="28"/>
              </w:rPr>
              <w:t xml:space="preserve">Sabiedriskā apspriedē </w:t>
            </w:r>
            <w:r w:rsidR="00B66C4A">
              <w:rPr>
                <w:sz w:val="28"/>
                <w:szCs w:val="28"/>
              </w:rPr>
              <w:t xml:space="preserve">par Eiropas references tīkliem </w:t>
            </w:r>
            <w:r w:rsidRPr="009C1D95">
              <w:rPr>
                <w:sz w:val="28"/>
                <w:szCs w:val="28"/>
              </w:rPr>
              <w:t xml:space="preserve">piedalījās </w:t>
            </w:r>
            <w:r>
              <w:rPr>
                <w:sz w:val="28"/>
                <w:szCs w:val="28"/>
              </w:rPr>
              <w:t xml:space="preserve">sabiedrības ar ierobežotu atbildību „Rīgas Austrumu klīniskā universitātes slimnīca”, valsts sabiedrības ar ierobežotu atbildību „Bērnu klīniskā universitātes slimnīca”, valsts sabiedrības ar ierobežotu atbildību „Paula Stradiņa klīniskā universitātes slimnīca”, Latvijas Ārstu biedrības un Latvijas Slimnīcu biedrības pārstāvji. </w:t>
            </w:r>
          </w:p>
        </w:tc>
      </w:tr>
      <w:tr w:rsidR="00DC0A5D" w:rsidRPr="00D411FD" w:rsidTr="00E13923">
        <w:tc>
          <w:tcPr>
            <w:tcW w:w="426" w:type="dxa"/>
          </w:tcPr>
          <w:p w:rsidR="00DC0A5D" w:rsidRPr="00D411FD" w:rsidRDefault="00DC0A5D" w:rsidP="00E13923">
            <w:pPr>
              <w:jc w:val="both"/>
              <w:rPr>
                <w:sz w:val="28"/>
                <w:szCs w:val="28"/>
              </w:rPr>
            </w:pPr>
            <w:r w:rsidRPr="00D411FD">
              <w:rPr>
                <w:sz w:val="28"/>
                <w:szCs w:val="28"/>
              </w:rPr>
              <w:t>3.</w:t>
            </w:r>
          </w:p>
        </w:tc>
        <w:tc>
          <w:tcPr>
            <w:tcW w:w="1849" w:type="dxa"/>
          </w:tcPr>
          <w:p w:rsidR="00DC0A5D" w:rsidRPr="00D411FD" w:rsidRDefault="00DC0A5D" w:rsidP="00E13923">
            <w:pPr>
              <w:jc w:val="both"/>
              <w:rPr>
                <w:sz w:val="28"/>
                <w:szCs w:val="28"/>
              </w:rPr>
            </w:pPr>
            <w:r w:rsidRPr="00D411FD">
              <w:rPr>
                <w:sz w:val="28"/>
                <w:szCs w:val="28"/>
              </w:rPr>
              <w:t>Sabiedrības līdzdalības rezultāti</w:t>
            </w:r>
          </w:p>
        </w:tc>
        <w:tc>
          <w:tcPr>
            <w:tcW w:w="7047" w:type="dxa"/>
          </w:tcPr>
          <w:p w:rsidR="00B66C4A" w:rsidRDefault="0057716E" w:rsidP="00CE3DDA">
            <w:pPr>
              <w:jc w:val="both"/>
              <w:rPr>
                <w:sz w:val="28"/>
                <w:szCs w:val="28"/>
              </w:rPr>
            </w:pPr>
            <w:r>
              <w:rPr>
                <w:sz w:val="28"/>
                <w:szCs w:val="28"/>
              </w:rPr>
              <w:t xml:space="preserve">2015.gada </w:t>
            </w:r>
            <w:r w:rsidR="00956867">
              <w:rPr>
                <w:sz w:val="28"/>
                <w:szCs w:val="28"/>
              </w:rPr>
              <w:t xml:space="preserve">8.oktobra sabiedriskās apspriedes ietvaros organizētajā sanāksmē </w:t>
            </w:r>
            <w:r w:rsidR="00B66C4A">
              <w:rPr>
                <w:sz w:val="28"/>
                <w:szCs w:val="28"/>
              </w:rPr>
              <w:t xml:space="preserve">par Eiropas references tīkliem </w:t>
            </w:r>
            <w:r w:rsidR="00956867">
              <w:rPr>
                <w:sz w:val="28"/>
                <w:szCs w:val="28"/>
              </w:rPr>
              <w:t xml:space="preserve">sabiedrības ar ierobežotu atbildību „Rīgas Austrumu klīniskā universitātes slimnīca”, valsts sabiedrības ar ierobežotu atbildību „Bērnu klīniskā universitātes slimnīca”, valsts sabiedrības ar ierobežotu atbildību „Paula Stradiņa klīniskā universitātes slimnīca”, Latvijas Ārstu biedrības un Latvijas Slimnīcu biedrības pārstāvji </w:t>
            </w:r>
            <w:r>
              <w:rPr>
                <w:sz w:val="28"/>
                <w:szCs w:val="28"/>
              </w:rPr>
              <w:t xml:space="preserve">informēja par  atbalstu  </w:t>
            </w:r>
            <w:r w:rsidR="00956867">
              <w:rPr>
                <w:sz w:val="28"/>
                <w:szCs w:val="28"/>
              </w:rPr>
              <w:t>Likump</w:t>
            </w:r>
            <w:r>
              <w:rPr>
                <w:sz w:val="28"/>
                <w:szCs w:val="28"/>
              </w:rPr>
              <w:t>rojekta virzībai.</w:t>
            </w:r>
          </w:p>
          <w:p w:rsidR="004660E3" w:rsidRPr="009D75A5" w:rsidRDefault="0037099E" w:rsidP="00CE3DDA">
            <w:pPr>
              <w:jc w:val="both"/>
              <w:rPr>
                <w:sz w:val="28"/>
                <w:szCs w:val="28"/>
              </w:rPr>
            </w:pPr>
            <w:r w:rsidRPr="009D75A5">
              <w:rPr>
                <w:sz w:val="28"/>
                <w:szCs w:val="28"/>
              </w:rPr>
              <w:t>Latvijas Slimnīcu biedrība aicināja precizēt Likuma 2.panta  redakciju un aktualizēja jautājumu par Likumprojektā iekļauto tiesību normu attiecībā uz Veselības informācijas sistēmā izdarīto ierakstu vai izveidoto dokumentu juridisko spēku, norādot, ka jau šobrīd Likumā iekļautās tiesību normas nosaka, ka min</w:t>
            </w:r>
            <w:r w:rsidR="004660E3" w:rsidRPr="009D75A5">
              <w:rPr>
                <w:sz w:val="28"/>
                <w:szCs w:val="28"/>
              </w:rPr>
              <w:t>ētās sistēmas autentifikācijas rīku izmantošanas kārtību, kā arī procedūras ierakstu autentiskumu nodrošināšanas kārtību nosaka Ministru kabinets.</w:t>
            </w:r>
          </w:p>
          <w:p w:rsidR="0037099E" w:rsidRPr="009D75A5" w:rsidRDefault="004660E3" w:rsidP="00CE3DDA">
            <w:pPr>
              <w:jc w:val="both"/>
              <w:rPr>
                <w:sz w:val="28"/>
                <w:szCs w:val="28"/>
              </w:rPr>
            </w:pPr>
            <w:r w:rsidRPr="009D75A5">
              <w:rPr>
                <w:sz w:val="28"/>
                <w:szCs w:val="28"/>
              </w:rPr>
              <w:t xml:space="preserve">Valsts sabiedrība ar ierobežotu atbildību „Bērnu klīniskā universitātes slimnīca” savā 2015.gada 12.novembra vēstulē izteica atbalstu Likumprojekta virzībai, vienlaikus aicinot izvērtēt iespēju precizēt Likumprojektā iekļautās tiesību normas attiecībā uz Veselības informācijas sistēmā izdarīto ierakstu vai izveidoto dokumentu juridisko spēku </w:t>
            </w:r>
            <w:r w:rsidRPr="009D75A5">
              <w:rPr>
                <w:sz w:val="28"/>
                <w:szCs w:val="28"/>
              </w:rPr>
              <w:lastRenderedPageBreak/>
              <w:t>formulējumu, vēršot uzmanību uz to, ka ne vienmēr dokumenta tehniskais sagatavotājs ir dokumenta autors, kā arī aktualizēja jautājumu par iespēju aktualizēt medicīnas māsas lomu pacienta ārstniecības procesā.</w:t>
            </w:r>
          </w:p>
          <w:p w:rsidR="004660E3" w:rsidRPr="009D75A5" w:rsidRDefault="004660E3" w:rsidP="00CE3DDA">
            <w:pPr>
              <w:jc w:val="both"/>
              <w:rPr>
                <w:sz w:val="28"/>
                <w:szCs w:val="28"/>
              </w:rPr>
            </w:pPr>
            <w:r w:rsidRPr="009D75A5">
              <w:rPr>
                <w:sz w:val="28"/>
                <w:szCs w:val="28"/>
              </w:rPr>
              <w:t>Izvērtējot Latvijas Slimnīcu biedrības, Valsts sabiedrība ar ierobežotu atbildību „Bērnu klīniskā universitātes slimnīca” un Likumprojekta saskaņotāju sniegtos iebildumus un priekšlikumus par Likumprojektā ietverto tiesību normu attiecībā uz Veselības informācijas sistēmā izdarīto ierakstu vai izveidoto dokumentu juridisko spēku, tika precizēts Likumprojekta 5.pant</w:t>
            </w:r>
            <w:r w:rsidR="006F786D" w:rsidRPr="009D75A5">
              <w:rPr>
                <w:sz w:val="28"/>
                <w:szCs w:val="28"/>
              </w:rPr>
              <w:t>s.</w:t>
            </w:r>
          </w:p>
          <w:p w:rsidR="00205DAC" w:rsidRPr="006F786D" w:rsidRDefault="006F786D" w:rsidP="001770EE">
            <w:pPr>
              <w:jc w:val="both"/>
              <w:rPr>
                <w:color w:val="FF0000"/>
                <w:sz w:val="28"/>
                <w:szCs w:val="28"/>
              </w:rPr>
            </w:pPr>
            <w:r w:rsidRPr="009D75A5">
              <w:rPr>
                <w:sz w:val="28"/>
                <w:szCs w:val="28"/>
              </w:rPr>
              <w:t>Savukārt Latvijas Slimnīcu biedrības izteiktais priekšlikums Likuma 2.panta redakcijas precizēšanai un Valsts sabiedrības ar ierobežotu atbildību „Bērnu klīniskā universitātes slimnīca” aktualizētais jautājums par nepieciešamību paaugstināt medicīnas māsas lomu pacienta ārstniecības procesā būtu jāizvērtē padziļināti, saņemot nozares speciālistu viedokli.</w:t>
            </w:r>
            <w:r w:rsidRPr="006F786D">
              <w:rPr>
                <w:sz w:val="28"/>
                <w:szCs w:val="28"/>
                <w:u w:val="single"/>
              </w:rPr>
              <w:t xml:space="preserve"> </w:t>
            </w:r>
          </w:p>
        </w:tc>
      </w:tr>
      <w:tr w:rsidR="00DC0A5D" w:rsidRPr="00D411FD" w:rsidTr="00E13923">
        <w:tc>
          <w:tcPr>
            <w:tcW w:w="426" w:type="dxa"/>
          </w:tcPr>
          <w:p w:rsidR="00DC0A5D" w:rsidRPr="00D411FD" w:rsidRDefault="00DC0A5D" w:rsidP="00E13923">
            <w:pPr>
              <w:jc w:val="both"/>
              <w:rPr>
                <w:sz w:val="28"/>
                <w:szCs w:val="28"/>
              </w:rPr>
            </w:pPr>
            <w:r w:rsidRPr="00D411FD">
              <w:rPr>
                <w:sz w:val="28"/>
                <w:szCs w:val="28"/>
              </w:rPr>
              <w:lastRenderedPageBreak/>
              <w:t>4.</w:t>
            </w:r>
          </w:p>
        </w:tc>
        <w:tc>
          <w:tcPr>
            <w:tcW w:w="1849" w:type="dxa"/>
          </w:tcPr>
          <w:p w:rsidR="00DC0A5D" w:rsidRPr="00D411FD" w:rsidRDefault="00DC0A5D" w:rsidP="00E13923">
            <w:pPr>
              <w:jc w:val="both"/>
              <w:rPr>
                <w:sz w:val="28"/>
                <w:szCs w:val="28"/>
              </w:rPr>
            </w:pPr>
            <w:r w:rsidRPr="00D411FD">
              <w:rPr>
                <w:sz w:val="28"/>
                <w:szCs w:val="28"/>
              </w:rPr>
              <w:t>Cita informācija</w:t>
            </w:r>
          </w:p>
        </w:tc>
        <w:tc>
          <w:tcPr>
            <w:tcW w:w="7047" w:type="dxa"/>
          </w:tcPr>
          <w:p w:rsidR="00DC0A5D" w:rsidRPr="00D411FD" w:rsidRDefault="00DC0A5D" w:rsidP="00E13923">
            <w:pPr>
              <w:jc w:val="both"/>
              <w:rPr>
                <w:sz w:val="28"/>
                <w:szCs w:val="28"/>
              </w:rPr>
            </w:pPr>
            <w:r w:rsidRPr="00D411FD">
              <w:rPr>
                <w:sz w:val="28"/>
                <w:szCs w:val="28"/>
              </w:rPr>
              <w:t>Nav</w:t>
            </w:r>
          </w:p>
        </w:tc>
      </w:tr>
    </w:tbl>
    <w:p w:rsidR="00DC0A5D" w:rsidRDefault="00DC0A5D" w:rsidP="00DC0A5D">
      <w:pPr>
        <w:jc w:val="both"/>
        <w:rPr>
          <w:sz w:val="28"/>
          <w:szCs w:val="28"/>
        </w:rPr>
      </w:pPr>
    </w:p>
    <w:tbl>
      <w:tblPr>
        <w:tblW w:w="9498"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568"/>
        <w:gridCol w:w="4110"/>
        <w:gridCol w:w="4820"/>
      </w:tblGrid>
      <w:tr w:rsidR="00DC0A5D" w:rsidRPr="002D7C67" w:rsidTr="00E13923">
        <w:tc>
          <w:tcPr>
            <w:tcW w:w="9498" w:type="dxa"/>
            <w:gridSpan w:val="3"/>
            <w:tcBorders>
              <w:top w:val="outset" w:sz="6" w:space="0" w:color="000000"/>
              <w:left w:val="outset" w:sz="6" w:space="0" w:color="000000"/>
              <w:bottom w:val="outset" w:sz="6" w:space="0" w:color="000000"/>
              <w:right w:val="outset" w:sz="6" w:space="0" w:color="000000"/>
            </w:tcBorders>
          </w:tcPr>
          <w:p w:rsidR="00DC0A5D" w:rsidRPr="002D7C67" w:rsidRDefault="00DC0A5D" w:rsidP="00E13923">
            <w:pPr>
              <w:jc w:val="center"/>
              <w:rPr>
                <w:b/>
                <w:bCs/>
                <w:sz w:val="28"/>
                <w:szCs w:val="28"/>
              </w:rPr>
            </w:pPr>
            <w:r>
              <w:rPr>
                <w:b/>
                <w:bCs/>
                <w:sz w:val="28"/>
                <w:szCs w:val="28"/>
              </w:rPr>
              <w:t>VII</w:t>
            </w:r>
            <w:r w:rsidRPr="002D7C67">
              <w:rPr>
                <w:b/>
                <w:bCs/>
                <w:sz w:val="28"/>
                <w:szCs w:val="28"/>
              </w:rPr>
              <w:t>. Tiesību akta projekta izpildes nodrošināšana un tās ietekme uz institūcijām</w:t>
            </w:r>
          </w:p>
        </w:tc>
      </w:tr>
      <w:tr w:rsidR="00DC0A5D" w:rsidRPr="002D7C67" w:rsidTr="00E13923">
        <w:tc>
          <w:tcPr>
            <w:tcW w:w="568" w:type="dxa"/>
            <w:tcBorders>
              <w:top w:val="outset" w:sz="6" w:space="0" w:color="000000"/>
              <w:left w:val="outset" w:sz="6" w:space="0" w:color="000000"/>
              <w:bottom w:val="outset" w:sz="6" w:space="0" w:color="000000"/>
              <w:right w:val="outset" w:sz="6" w:space="0" w:color="000000"/>
            </w:tcBorders>
          </w:tcPr>
          <w:p w:rsidR="00DC0A5D" w:rsidRPr="002D7C67" w:rsidRDefault="00DC0A5D" w:rsidP="00E13923">
            <w:pPr>
              <w:rPr>
                <w:sz w:val="28"/>
                <w:szCs w:val="28"/>
              </w:rPr>
            </w:pPr>
            <w:r w:rsidRPr="002D7C67">
              <w:rPr>
                <w:sz w:val="28"/>
                <w:szCs w:val="28"/>
              </w:rPr>
              <w:t>1.</w:t>
            </w:r>
          </w:p>
        </w:tc>
        <w:tc>
          <w:tcPr>
            <w:tcW w:w="4110" w:type="dxa"/>
            <w:tcBorders>
              <w:top w:val="outset" w:sz="6" w:space="0" w:color="000000"/>
              <w:left w:val="outset" w:sz="6" w:space="0" w:color="000000"/>
              <w:bottom w:val="outset" w:sz="6" w:space="0" w:color="000000"/>
              <w:right w:val="outset" w:sz="6" w:space="0" w:color="000000"/>
            </w:tcBorders>
          </w:tcPr>
          <w:p w:rsidR="00DC0A5D" w:rsidRPr="002D7C67" w:rsidRDefault="00DC0A5D" w:rsidP="00E13923">
            <w:pPr>
              <w:rPr>
                <w:sz w:val="28"/>
                <w:szCs w:val="28"/>
              </w:rPr>
            </w:pPr>
            <w:r w:rsidRPr="002D7C67">
              <w:rPr>
                <w:sz w:val="28"/>
                <w:szCs w:val="28"/>
              </w:rPr>
              <w:t>Projekta izpildē iesaistītās institūcijas</w:t>
            </w:r>
          </w:p>
        </w:tc>
        <w:tc>
          <w:tcPr>
            <w:tcW w:w="4820" w:type="dxa"/>
            <w:tcBorders>
              <w:top w:val="outset" w:sz="6" w:space="0" w:color="000000"/>
              <w:left w:val="outset" w:sz="6" w:space="0" w:color="000000"/>
              <w:bottom w:val="outset" w:sz="6" w:space="0" w:color="000000"/>
              <w:right w:val="outset" w:sz="6" w:space="0" w:color="000000"/>
            </w:tcBorders>
          </w:tcPr>
          <w:p w:rsidR="00DC0A5D" w:rsidRPr="002D7C67" w:rsidRDefault="00390FB0" w:rsidP="00BF6CC2">
            <w:pPr>
              <w:ind w:right="112"/>
              <w:jc w:val="both"/>
              <w:rPr>
                <w:sz w:val="28"/>
                <w:szCs w:val="28"/>
              </w:rPr>
            </w:pPr>
            <w:r>
              <w:rPr>
                <w:sz w:val="28"/>
                <w:szCs w:val="28"/>
              </w:rPr>
              <w:t>Nacionālais veselības dienests</w:t>
            </w:r>
          </w:p>
        </w:tc>
      </w:tr>
      <w:tr w:rsidR="00DC0A5D" w:rsidRPr="002D7C67" w:rsidTr="00E13923">
        <w:tc>
          <w:tcPr>
            <w:tcW w:w="568" w:type="dxa"/>
            <w:tcBorders>
              <w:top w:val="outset" w:sz="6" w:space="0" w:color="000000"/>
              <w:left w:val="outset" w:sz="6" w:space="0" w:color="000000"/>
              <w:bottom w:val="outset" w:sz="6" w:space="0" w:color="000000"/>
              <w:right w:val="outset" w:sz="6" w:space="0" w:color="000000"/>
            </w:tcBorders>
          </w:tcPr>
          <w:p w:rsidR="00DC0A5D" w:rsidRPr="002D7C67" w:rsidRDefault="00DC0A5D" w:rsidP="00E13923">
            <w:pPr>
              <w:rPr>
                <w:sz w:val="28"/>
                <w:szCs w:val="28"/>
              </w:rPr>
            </w:pPr>
            <w:r w:rsidRPr="002D7C67">
              <w:rPr>
                <w:sz w:val="28"/>
                <w:szCs w:val="28"/>
              </w:rPr>
              <w:t>2.</w:t>
            </w:r>
          </w:p>
        </w:tc>
        <w:tc>
          <w:tcPr>
            <w:tcW w:w="4110" w:type="dxa"/>
            <w:tcBorders>
              <w:top w:val="outset" w:sz="6" w:space="0" w:color="000000"/>
              <w:left w:val="outset" w:sz="6" w:space="0" w:color="000000"/>
              <w:bottom w:val="outset" w:sz="6" w:space="0" w:color="000000"/>
              <w:right w:val="outset" w:sz="6" w:space="0" w:color="000000"/>
            </w:tcBorders>
          </w:tcPr>
          <w:p w:rsidR="00DC0A5D" w:rsidRPr="002D7C67" w:rsidRDefault="00DC0A5D" w:rsidP="001770EE">
            <w:pPr>
              <w:rPr>
                <w:sz w:val="28"/>
                <w:szCs w:val="28"/>
              </w:rPr>
            </w:pPr>
            <w:r w:rsidRPr="002D7C67">
              <w:rPr>
                <w:sz w:val="28"/>
                <w:szCs w:val="28"/>
              </w:rPr>
              <w:t>Projekta izpildes ietekme uz pārvaldes funkcijām</w:t>
            </w:r>
            <w:r>
              <w:rPr>
                <w:sz w:val="28"/>
                <w:szCs w:val="28"/>
              </w:rPr>
              <w:t xml:space="preserve"> un </w:t>
            </w:r>
            <w:r w:rsidRPr="002D7C67">
              <w:rPr>
                <w:sz w:val="28"/>
                <w:szCs w:val="28"/>
              </w:rPr>
              <w:t>institucionālo struktūru.</w:t>
            </w:r>
          </w:p>
        </w:tc>
        <w:tc>
          <w:tcPr>
            <w:tcW w:w="4820" w:type="dxa"/>
            <w:tcBorders>
              <w:top w:val="outset" w:sz="6" w:space="0" w:color="000000"/>
              <w:left w:val="outset" w:sz="6" w:space="0" w:color="000000"/>
              <w:bottom w:val="outset" w:sz="6" w:space="0" w:color="000000"/>
              <w:right w:val="outset" w:sz="6" w:space="0" w:color="000000"/>
            </w:tcBorders>
          </w:tcPr>
          <w:p w:rsidR="00DC0A5D" w:rsidRPr="002D7C67" w:rsidRDefault="00390FB0" w:rsidP="001770EE">
            <w:pPr>
              <w:jc w:val="both"/>
              <w:rPr>
                <w:sz w:val="28"/>
                <w:szCs w:val="28"/>
              </w:rPr>
            </w:pPr>
            <w:r>
              <w:rPr>
                <w:sz w:val="28"/>
                <w:szCs w:val="28"/>
              </w:rPr>
              <w:t xml:space="preserve">Likumprojekts neietekmē pārvaldes funkcijas un institucionālo struktūru. </w:t>
            </w:r>
          </w:p>
        </w:tc>
      </w:tr>
      <w:tr w:rsidR="001770EE" w:rsidRPr="002D7C67" w:rsidTr="00E13923">
        <w:tc>
          <w:tcPr>
            <w:tcW w:w="568" w:type="dxa"/>
            <w:tcBorders>
              <w:top w:val="outset" w:sz="6" w:space="0" w:color="000000"/>
              <w:left w:val="outset" w:sz="6" w:space="0" w:color="000000"/>
              <w:bottom w:val="outset" w:sz="6" w:space="0" w:color="000000"/>
              <w:right w:val="outset" w:sz="6" w:space="0" w:color="000000"/>
            </w:tcBorders>
          </w:tcPr>
          <w:p w:rsidR="001770EE" w:rsidRPr="002D7C67" w:rsidRDefault="001770EE" w:rsidP="00E13923">
            <w:pPr>
              <w:rPr>
                <w:sz w:val="28"/>
                <w:szCs w:val="28"/>
              </w:rPr>
            </w:pPr>
            <w:r>
              <w:rPr>
                <w:sz w:val="28"/>
                <w:szCs w:val="28"/>
              </w:rPr>
              <w:t>3.</w:t>
            </w:r>
          </w:p>
        </w:tc>
        <w:tc>
          <w:tcPr>
            <w:tcW w:w="4110" w:type="dxa"/>
            <w:tcBorders>
              <w:top w:val="outset" w:sz="6" w:space="0" w:color="000000"/>
              <w:left w:val="outset" w:sz="6" w:space="0" w:color="000000"/>
              <w:bottom w:val="outset" w:sz="6" w:space="0" w:color="000000"/>
              <w:right w:val="outset" w:sz="6" w:space="0" w:color="000000"/>
            </w:tcBorders>
          </w:tcPr>
          <w:p w:rsidR="001770EE" w:rsidRPr="002D7C67" w:rsidRDefault="001770EE" w:rsidP="00E13923">
            <w:pPr>
              <w:rPr>
                <w:sz w:val="28"/>
                <w:szCs w:val="28"/>
              </w:rPr>
            </w:pPr>
            <w:r w:rsidRPr="002D7C67">
              <w:rPr>
                <w:sz w:val="28"/>
                <w:szCs w:val="28"/>
              </w:rPr>
              <w:t>Jaunu institūciju izveide</w:t>
            </w:r>
            <w:r>
              <w:rPr>
                <w:sz w:val="28"/>
                <w:szCs w:val="28"/>
              </w:rPr>
              <w:t>, e</w:t>
            </w:r>
            <w:r w:rsidRPr="002D7C67">
              <w:rPr>
                <w:sz w:val="28"/>
                <w:szCs w:val="28"/>
              </w:rPr>
              <w:t>sošu institūciju likvidācija</w:t>
            </w:r>
            <w:r>
              <w:rPr>
                <w:sz w:val="28"/>
                <w:szCs w:val="28"/>
              </w:rPr>
              <w:t xml:space="preserve"> vai reorganizācija, to ietekme uz institūcijas cilvēkresursiem</w:t>
            </w:r>
          </w:p>
        </w:tc>
        <w:tc>
          <w:tcPr>
            <w:tcW w:w="4820" w:type="dxa"/>
            <w:tcBorders>
              <w:top w:val="outset" w:sz="6" w:space="0" w:color="000000"/>
              <w:left w:val="outset" w:sz="6" w:space="0" w:color="000000"/>
              <w:bottom w:val="outset" w:sz="6" w:space="0" w:color="000000"/>
              <w:right w:val="outset" w:sz="6" w:space="0" w:color="000000"/>
            </w:tcBorders>
          </w:tcPr>
          <w:p w:rsidR="001770EE" w:rsidRDefault="001770EE" w:rsidP="00E13923">
            <w:pPr>
              <w:jc w:val="both"/>
              <w:rPr>
                <w:sz w:val="28"/>
                <w:szCs w:val="28"/>
              </w:rPr>
            </w:pPr>
            <w:r>
              <w:rPr>
                <w:sz w:val="28"/>
                <w:szCs w:val="28"/>
              </w:rPr>
              <w:t>Likumprojekta izpilde tiks nodrošināta esošo cilvēkresursu ietvaros.</w:t>
            </w:r>
          </w:p>
        </w:tc>
      </w:tr>
      <w:tr w:rsidR="00DC0A5D" w:rsidRPr="002D7C67" w:rsidTr="00E13923">
        <w:tc>
          <w:tcPr>
            <w:tcW w:w="568" w:type="dxa"/>
            <w:tcBorders>
              <w:top w:val="outset" w:sz="6" w:space="0" w:color="000000"/>
              <w:left w:val="outset" w:sz="6" w:space="0" w:color="000000"/>
              <w:bottom w:val="outset" w:sz="6" w:space="0" w:color="000000"/>
              <w:right w:val="outset" w:sz="6" w:space="0" w:color="000000"/>
            </w:tcBorders>
          </w:tcPr>
          <w:p w:rsidR="00DC0A5D" w:rsidRPr="002D7C67" w:rsidRDefault="00DC0A5D" w:rsidP="00E13923">
            <w:pPr>
              <w:rPr>
                <w:sz w:val="28"/>
                <w:szCs w:val="28"/>
              </w:rPr>
            </w:pPr>
            <w:r>
              <w:rPr>
                <w:sz w:val="28"/>
                <w:szCs w:val="28"/>
              </w:rPr>
              <w:t>4</w:t>
            </w:r>
            <w:r w:rsidRPr="002D7C67">
              <w:rPr>
                <w:sz w:val="28"/>
                <w:szCs w:val="28"/>
              </w:rPr>
              <w:t>.</w:t>
            </w:r>
          </w:p>
        </w:tc>
        <w:tc>
          <w:tcPr>
            <w:tcW w:w="4110" w:type="dxa"/>
            <w:tcBorders>
              <w:top w:val="outset" w:sz="6" w:space="0" w:color="000000"/>
              <w:left w:val="outset" w:sz="6" w:space="0" w:color="000000"/>
              <w:bottom w:val="outset" w:sz="6" w:space="0" w:color="000000"/>
              <w:right w:val="outset" w:sz="6" w:space="0" w:color="000000"/>
            </w:tcBorders>
          </w:tcPr>
          <w:p w:rsidR="00DC0A5D" w:rsidRPr="002D7C67" w:rsidRDefault="00DC0A5D" w:rsidP="00E13923">
            <w:pPr>
              <w:rPr>
                <w:sz w:val="28"/>
                <w:szCs w:val="28"/>
              </w:rPr>
            </w:pPr>
            <w:r w:rsidRPr="002D7C67">
              <w:rPr>
                <w:sz w:val="28"/>
                <w:szCs w:val="28"/>
              </w:rPr>
              <w:t>Cita informācija</w:t>
            </w:r>
          </w:p>
        </w:tc>
        <w:tc>
          <w:tcPr>
            <w:tcW w:w="4820" w:type="dxa"/>
            <w:tcBorders>
              <w:top w:val="outset" w:sz="6" w:space="0" w:color="000000"/>
              <w:left w:val="outset" w:sz="6" w:space="0" w:color="000000"/>
              <w:bottom w:val="outset" w:sz="6" w:space="0" w:color="000000"/>
              <w:right w:val="outset" w:sz="6" w:space="0" w:color="000000"/>
            </w:tcBorders>
          </w:tcPr>
          <w:p w:rsidR="00DC0A5D" w:rsidRPr="002D7C67" w:rsidRDefault="00DC0A5D" w:rsidP="00E13923">
            <w:pPr>
              <w:rPr>
                <w:sz w:val="28"/>
                <w:szCs w:val="28"/>
              </w:rPr>
            </w:pPr>
            <w:r w:rsidRPr="002D7C67">
              <w:rPr>
                <w:sz w:val="28"/>
                <w:szCs w:val="28"/>
              </w:rPr>
              <w:t>Nav</w:t>
            </w:r>
          </w:p>
        </w:tc>
      </w:tr>
    </w:tbl>
    <w:p w:rsidR="00DC0A5D" w:rsidRDefault="00DC0A5D" w:rsidP="00DC0A5D">
      <w:pPr>
        <w:jc w:val="both"/>
        <w:rPr>
          <w:sz w:val="28"/>
          <w:szCs w:val="28"/>
        </w:rPr>
      </w:pPr>
    </w:p>
    <w:p w:rsidR="00DC0A5D" w:rsidRDefault="00DC0A5D" w:rsidP="00DC0A5D">
      <w:pPr>
        <w:jc w:val="both"/>
        <w:rPr>
          <w:sz w:val="28"/>
          <w:szCs w:val="28"/>
        </w:rPr>
      </w:pPr>
    </w:p>
    <w:p w:rsidR="00DC0A5D" w:rsidRDefault="00DC0A5D" w:rsidP="00DC0A5D">
      <w:pPr>
        <w:pStyle w:val="naisf"/>
        <w:rPr>
          <w:sz w:val="28"/>
          <w:szCs w:val="28"/>
        </w:rPr>
      </w:pPr>
    </w:p>
    <w:p w:rsidR="00DC0A5D" w:rsidRDefault="00DC0A5D" w:rsidP="00DC0A5D">
      <w:pPr>
        <w:pStyle w:val="naisf"/>
        <w:rPr>
          <w:sz w:val="28"/>
          <w:szCs w:val="28"/>
        </w:rPr>
      </w:pPr>
      <w:r w:rsidRPr="008B1B89">
        <w:rPr>
          <w:sz w:val="28"/>
          <w:szCs w:val="28"/>
        </w:rPr>
        <w:t>Veselības</w:t>
      </w:r>
      <w:r>
        <w:rPr>
          <w:sz w:val="28"/>
          <w:szCs w:val="28"/>
        </w:rPr>
        <w:t xml:space="preserve"> ministrs                                            </w:t>
      </w:r>
      <w:r w:rsidR="005E1DA3">
        <w:rPr>
          <w:sz w:val="28"/>
          <w:szCs w:val="28"/>
        </w:rPr>
        <w:t xml:space="preserve">                              </w:t>
      </w:r>
      <w:r>
        <w:rPr>
          <w:sz w:val="28"/>
          <w:szCs w:val="28"/>
        </w:rPr>
        <w:t>G</w:t>
      </w:r>
      <w:r w:rsidR="005E1DA3">
        <w:rPr>
          <w:sz w:val="28"/>
          <w:szCs w:val="28"/>
        </w:rPr>
        <w:t xml:space="preserve">untis </w:t>
      </w:r>
      <w:r>
        <w:rPr>
          <w:sz w:val="28"/>
          <w:szCs w:val="28"/>
        </w:rPr>
        <w:t>Belēvičs</w:t>
      </w:r>
    </w:p>
    <w:p w:rsidR="00D73523" w:rsidRDefault="00D73523" w:rsidP="00DC0A5D">
      <w:pPr>
        <w:pStyle w:val="naisf"/>
        <w:rPr>
          <w:sz w:val="28"/>
          <w:szCs w:val="28"/>
        </w:rPr>
      </w:pPr>
    </w:p>
    <w:p w:rsidR="00D73523" w:rsidRDefault="00D73523" w:rsidP="00DC0A5D">
      <w:pPr>
        <w:pStyle w:val="naisf"/>
        <w:rPr>
          <w:sz w:val="28"/>
          <w:szCs w:val="28"/>
        </w:rPr>
      </w:pPr>
    </w:p>
    <w:p w:rsidR="00D73523" w:rsidRPr="008B1B89" w:rsidRDefault="00D73523" w:rsidP="00DC0A5D">
      <w:pPr>
        <w:pStyle w:val="naisf"/>
        <w:rPr>
          <w:sz w:val="28"/>
          <w:szCs w:val="28"/>
        </w:rPr>
      </w:pPr>
      <w:r>
        <w:rPr>
          <w:sz w:val="28"/>
          <w:szCs w:val="28"/>
        </w:rPr>
        <w:t>Vīza</w:t>
      </w:r>
      <w:r w:rsidR="005E1DA3">
        <w:rPr>
          <w:sz w:val="28"/>
          <w:szCs w:val="28"/>
        </w:rPr>
        <w:t>:</w:t>
      </w:r>
      <w:r w:rsidR="005E1DA3">
        <w:rPr>
          <w:sz w:val="28"/>
          <w:szCs w:val="28"/>
        </w:rPr>
        <w:tab/>
        <w:t>Valsts sekretāre</w:t>
      </w:r>
      <w:r w:rsidR="005E1DA3">
        <w:rPr>
          <w:sz w:val="28"/>
          <w:szCs w:val="28"/>
        </w:rPr>
        <w:tab/>
      </w:r>
      <w:r w:rsidR="005E1DA3">
        <w:rPr>
          <w:sz w:val="28"/>
          <w:szCs w:val="28"/>
        </w:rPr>
        <w:tab/>
      </w:r>
      <w:r w:rsidR="005E1DA3">
        <w:rPr>
          <w:sz w:val="28"/>
          <w:szCs w:val="28"/>
        </w:rPr>
        <w:tab/>
      </w:r>
      <w:r w:rsidR="005E1DA3">
        <w:rPr>
          <w:sz w:val="28"/>
          <w:szCs w:val="28"/>
        </w:rPr>
        <w:tab/>
      </w:r>
      <w:r w:rsidR="005E1DA3">
        <w:rPr>
          <w:sz w:val="28"/>
          <w:szCs w:val="28"/>
        </w:rPr>
        <w:tab/>
      </w:r>
      <w:r w:rsidR="005E1DA3">
        <w:rPr>
          <w:sz w:val="28"/>
          <w:szCs w:val="28"/>
        </w:rPr>
        <w:tab/>
        <w:t xml:space="preserve">        </w:t>
      </w:r>
      <w:r>
        <w:rPr>
          <w:sz w:val="28"/>
          <w:szCs w:val="28"/>
        </w:rPr>
        <w:t xml:space="preserve"> S</w:t>
      </w:r>
      <w:r w:rsidR="005E1DA3">
        <w:rPr>
          <w:sz w:val="28"/>
          <w:szCs w:val="28"/>
        </w:rPr>
        <w:t xml:space="preserve">olvita </w:t>
      </w:r>
      <w:r>
        <w:rPr>
          <w:sz w:val="28"/>
          <w:szCs w:val="28"/>
        </w:rPr>
        <w:t>Zvidriņa</w:t>
      </w:r>
    </w:p>
    <w:p w:rsidR="00DC0A5D" w:rsidRDefault="00DC0A5D" w:rsidP="00DC0A5D">
      <w:pPr>
        <w:pStyle w:val="naisf"/>
      </w:pPr>
    </w:p>
    <w:p w:rsidR="00CE3DDA" w:rsidRDefault="00CE3DDA" w:rsidP="00DC0A5D">
      <w:pPr>
        <w:pStyle w:val="naisf"/>
      </w:pPr>
    </w:p>
    <w:p w:rsidR="00DC0A5D" w:rsidRPr="0059771E" w:rsidRDefault="003753CE" w:rsidP="00DC0A5D">
      <w:pPr>
        <w:pStyle w:val="naisf"/>
        <w:rPr>
          <w:sz w:val="24"/>
          <w:szCs w:val="24"/>
        </w:rPr>
      </w:pPr>
      <w:bookmarkStart w:id="12" w:name="_GoBack"/>
      <w:bookmarkEnd w:id="12"/>
      <w:r>
        <w:rPr>
          <w:sz w:val="24"/>
          <w:szCs w:val="24"/>
        </w:rPr>
        <w:t>0</w:t>
      </w:r>
      <w:r w:rsidR="005E1DA3">
        <w:rPr>
          <w:sz w:val="24"/>
          <w:szCs w:val="24"/>
        </w:rPr>
        <w:t>2</w:t>
      </w:r>
      <w:r w:rsidR="00DC0A5D" w:rsidRPr="0059771E">
        <w:rPr>
          <w:sz w:val="24"/>
          <w:szCs w:val="24"/>
        </w:rPr>
        <w:t>.</w:t>
      </w:r>
      <w:r w:rsidR="00C01FF7">
        <w:rPr>
          <w:sz w:val="24"/>
          <w:szCs w:val="24"/>
        </w:rPr>
        <w:t>0</w:t>
      </w:r>
      <w:r>
        <w:rPr>
          <w:sz w:val="24"/>
          <w:szCs w:val="24"/>
        </w:rPr>
        <w:t>3</w:t>
      </w:r>
      <w:r w:rsidR="00DC0A5D" w:rsidRPr="0059771E">
        <w:rPr>
          <w:sz w:val="24"/>
          <w:szCs w:val="24"/>
        </w:rPr>
        <w:t>.201</w:t>
      </w:r>
      <w:r w:rsidR="00C01FF7">
        <w:rPr>
          <w:sz w:val="24"/>
          <w:szCs w:val="24"/>
        </w:rPr>
        <w:t>6</w:t>
      </w:r>
      <w:r w:rsidR="00DC0A5D" w:rsidRPr="0059771E">
        <w:rPr>
          <w:sz w:val="24"/>
          <w:szCs w:val="24"/>
        </w:rPr>
        <w:t xml:space="preserve"> </w:t>
      </w:r>
      <w:r w:rsidR="00CA603B">
        <w:rPr>
          <w:sz w:val="24"/>
          <w:szCs w:val="24"/>
        </w:rPr>
        <w:t>1</w:t>
      </w:r>
      <w:r w:rsidR="005E1DA3">
        <w:rPr>
          <w:sz w:val="24"/>
          <w:szCs w:val="24"/>
        </w:rPr>
        <w:t>1</w:t>
      </w:r>
      <w:r w:rsidR="00DC0A5D" w:rsidRPr="0059771E">
        <w:rPr>
          <w:sz w:val="24"/>
          <w:szCs w:val="24"/>
        </w:rPr>
        <w:t>:</w:t>
      </w:r>
      <w:r w:rsidR="005E1DA3">
        <w:rPr>
          <w:sz w:val="24"/>
          <w:szCs w:val="24"/>
        </w:rPr>
        <w:t>53</w:t>
      </w:r>
    </w:p>
    <w:p w:rsidR="00DC0A5D" w:rsidRPr="0059771E" w:rsidRDefault="00C01FF7" w:rsidP="00DC0A5D">
      <w:pPr>
        <w:pStyle w:val="naisf"/>
        <w:rPr>
          <w:sz w:val="24"/>
          <w:szCs w:val="24"/>
        </w:rPr>
      </w:pPr>
      <w:r>
        <w:rPr>
          <w:sz w:val="24"/>
          <w:szCs w:val="24"/>
        </w:rPr>
        <w:t>2</w:t>
      </w:r>
      <w:r w:rsidR="00932EA1">
        <w:rPr>
          <w:sz w:val="24"/>
          <w:szCs w:val="24"/>
        </w:rPr>
        <w:t>64</w:t>
      </w:r>
      <w:r w:rsidR="005E1DA3">
        <w:rPr>
          <w:sz w:val="24"/>
          <w:szCs w:val="24"/>
        </w:rPr>
        <w:t>3</w:t>
      </w:r>
    </w:p>
    <w:p w:rsidR="00CA603B" w:rsidRDefault="00FD4949" w:rsidP="006325CC">
      <w:pPr>
        <w:jc w:val="both"/>
        <w:rPr>
          <w:color w:val="000000"/>
        </w:rPr>
      </w:pPr>
      <w:r>
        <w:rPr>
          <w:color w:val="000000"/>
        </w:rPr>
        <w:t>G.Jermacāne</w:t>
      </w:r>
      <w:r w:rsidR="00CA603B">
        <w:rPr>
          <w:color w:val="000000"/>
        </w:rPr>
        <w:t xml:space="preserve">, </w:t>
      </w:r>
      <w:r>
        <w:rPr>
          <w:color w:val="000000"/>
        </w:rPr>
        <w:t>67876167</w:t>
      </w:r>
    </w:p>
    <w:p w:rsidR="00E13923" w:rsidRDefault="00587E21" w:rsidP="006325CC">
      <w:pPr>
        <w:jc w:val="both"/>
      </w:pPr>
      <w:hyperlink r:id="rId8" w:history="1">
        <w:r w:rsidR="00FD4949" w:rsidRPr="000F373E">
          <w:rPr>
            <w:rStyle w:val="Hyperlink"/>
            <w:color w:val="auto"/>
            <w:u w:val="none"/>
          </w:rPr>
          <w:t>guna.jermacane@vm.gov.lv</w:t>
        </w:r>
      </w:hyperlink>
    </w:p>
    <w:p w:rsidR="002867F3" w:rsidRDefault="002867F3" w:rsidP="006325CC">
      <w:pPr>
        <w:jc w:val="both"/>
      </w:pPr>
      <w:r>
        <w:t>A.Valdmane, 67876097</w:t>
      </w:r>
    </w:p>
    <w:p w:rsidR="002867F3" w:rsidRPr="000F373E" w:rsidRDefault="002867F3" w:rsidP="006325CC">
      <w:pPr>
        <w:jc w:val="both"/>
      </w:pPr>
      <w:r>
        <w:t>antra.valdmane@vm.gov.lv</w:t>
      </w:r>
    </w:p>
    <w:p w:rsidR="00D73523" w:rsidRPr="00D73523" w:rsidRDefault="00D73523" w:rsidP="00D73523">
      <w:pPr>
        <w:tabs>
          <w:tab w:val="left" w:pos="3855"/>
        </w:tabs>
        <w:jc w:val="both"/>
        <w:rPr>
          <w:lang w:val="en-US"/>
        </w:rPr>
      </w:pPr>
      <w:r w:rsidRPr="00D73523">
        <w:rPr>
          <w:lang w:val="en-US"/>
        </w:rPr>
        <w:t>K.Kļaviņa, 67876094</w:t>
      </w:r>
    </w:p>
    <w:p w:rsidR="000A6E1A" w:rsidRDefault="00587E21" w:rsidP="00CE3DDA">
      <w:pPr>
        <w:tabs>
          <w:tab w:val="left" w:pos="3855"/>
        </w:tabs>
        <w:jc w:val="both"/>
      </w:pPr>
      <w:hyperlink r:id="rId9" w:history="1">
        <w:r w:rsidR="00D73523" w:rsidRPr="00D73523">
          <w:rPr>
            <w:lang w:val="en-US"/>
          </w:rPr>
          <w:t>kristine.klavina@vm.gov.lv</w:t>
        </w:r>
      </w:hyperlink>
    </w:p>
    <w:p w:rsidR="00C01FF7" w:rsidRPr="00125ABF" w:rsidRDefault="00C01FF7" w:rsidP="00C01FF7">
      <w:pPr>
        <w:tabs>
          <w:tab w:val="left" w:pos="3855"/>
        </w:tabs>
        <w:jc w:val="both"/>
      </w:pPr>
      <w:r w:rsidRPr="00125ABF">
        <w:t>D.Roga, 67876093</w:t>
      </w:r>
    </w:p>
    <w:p w:rsidR="00C01FF7" w:rsidRDefault="00C01FF7" w:rsidP="00CE3DDA">
      <w:pPr>
        <w:tabs>
          <w:tab w:val="left" w:pos="3855"/>
        </w:tabs>
        <w:jc w:val="both"/>
      </w:pPr>
      <w:r>
        <w:t>d</w:t>
      </w:r>
      <w:r w:rsidRPr="00125ABF">
        <w:t>ace.roga@vm.gov.lv</w:t>
      </w:r>
    </w:p>
    <w:sectPr w:rsidR="00C01FF7" w:rsidSect="003753CE">
      <w:headerReference w:type="default" r:id="rId10"/>
      <w:footerReference w:type="default" r:id="rId11"/>
      <w:footerReference w:type="first" r:id="rId12"/>
      <w:pgSz w:w="11906" w:h="16838" w:code="9"/>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030" w:rsidRDefault="00E50030" w:rsidP="00DC0A5D">
      <w:r>
        <w:separator/>
      </w:r>
    </w:p>
  </w:endnote>
  <w:endnote w:type="continuationSeparator" w:id="0">
    <w:p w:rsidR="00E50030" w:rsidRDefault="00E50030" w:rsidP="00DC0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30" w:rsidRPr="00FD4949" w:rsidRDefault="00E50030" w:rsidP="00623D6C">
    <w:pPr>
      <w:jc w:val="both"/>
    </w:pPr>
    <w:r>
      <w:t>VMa</w:t>
    </w:r>
    <w:r w:rsidRPr="00FD4949">
      <w:t>not_</w:t>
    </w:r>
    <w:r>
      <w:t>0</w:t>
    </w:r>
    <w:r w:rsidR="005E1DA3">
      <w:t>2</w:t>
    </w:r>
    <w:r>
      <w:t>0316</w:t>
    </w:r>
    <w:r w:rsidRPr="00FD4949">
      <w:t>_</w:t>
    </w:r>
    <w:r>
      <w:t>AL</w:t>
    </w:r>
    <w:r w:rsidR="00142E58">
      <w:t xml:space="preserve"> </w:t>
    </w:r>
    <w:r w:rsidRPr="00FD4949">
      <w:t>; Likumprojekta „Grozījum</w:t>
    </w:r>
    <w:r>
      <w:t>i</w:t>
    </w:r>
    <w:r w:rsidRPr="00FD4949">
      <w:t xml:space="preserve"> </w:t>
    </w:r>
    <w:r>
      <w:t>Ārstniecības</w:t>
    </w:r>
    <w:r w:rsidRPr="00FD4949">
      <w:t xml:space="preserve"> likumā”</w:t>
    </w:r>
    <w:r w:rsidRPr="00FD4949">
      <w:rPr>
        <w:bCs/>
      </w:rPr>
      <w:t xml:space="preserve"> </w:t>
    </w:r>
    <w:r w:rsidRPr="00FD4949">
      <w:t>sākotnējās ietekmes novērtējuma ziņojums</w:t>
    </w:r>
    <w:r w:rsidRPr="00FD4949">
      <w:rPr>
        <w:b/>
      </w:rPr>
      <w:t xml:space="preserve"> </w:t>
    </w:r>
    <w:r w:rsidRPr="00FD4949">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30" w:rsidRPr="00FD4949" w:rsidRDefault="00E50030" w:rsidP="00E13923">
    <w:pPr>
      <w:jc w:val="both"/>
    </w:pPr>
    <w:r w:rsidRPr="00FD4949">
      <w:t>VM</w:t>
    </w:r>
    <w:r>
      <w:t>a</w:t>
    </w:r>
    <w:r w:rsidRPr="00FD4949">
      <w:t>not_</w:t>
    </w:r>
    <w:r>
      <w:t>0</w:t>
    </w:r>
    <w:r w:rsidR="005E1DA3">
      <w:t>2</w:t>
    </w:r>
    <w:r>
      <w:t>0316_AL</w:t>
    </w:r>
    <w:r w:rsidR="00142E58">
      <w:t xml:space="preserve"> </w:t>
    </w:r>
    <w:r w:rsidRPr="00FD4949">
      <w:t>; Likumprojekta „Grozījum</w:t>
    </w:r>
    <w:r>
      <w:t>i</w:t>
    </w:r>
    <w:r w:rsidRPr="00FD4949">
      <w:t xml:space="preserve"> </w:t>
    </w:r>
    <w:r>
      <w:t>Ārstniecības</w:t>
    </w:r>
    <w:r w:rsidRPr="00FD4949">
      <w:t xml:space="preserve"> likumā”</w:t>
    </w:r>
    <w:r w:rsidRPr="00FD4949">
      <w:rPr>
        <w:bCs/>
      </w:rPr>
      <w:t xml:space="preserve"> </w:t>
    </w:r>
    <w:r w:rsidRPr="00FD4949">
      <w:t>sākotnējās ietekmes novērtējuma ziņojums</w:t>
    </w:r>
    <w:r w:rsidRPr="00FD4949">
      <w:rPr>
        <w:b/>
      </w:rPr>
      <w:t xml:space="preserve"> </w:t>
    </w:r>
    <w:r w:rsidRPr="00FD4949">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030" w:rsidRDefault="00E50030" w:rsidP="00DC0A5D">
      <w:r>
        <w:separator/>
      </w:r>
    </w:p>
  </w:footnote>
  <w:footnote w:type="continuationSeparator" w:id="0">
    <w:p w:rsidR="00E50030" w:rsidRDefault="00E50030" w:rsidP="00DC0A5D">
      <w:r>
        <w:continuationSeparator/>
      </w:r>
    </w:p>
  </w:footnote>
  <w:footnote w:id="1">
    <w:p w:rsidR="00E50030" w:rsidRDefault="00E50030" w:rsidP="007626EC">
      <w:pPr>
        <w:pStyle w:val="FootnoteText"/>
        <w:jc w:val="both"/>
      </w:pPr>
      <w:r>
        <w:rPr>
          <w:rStyle w:val="FootnoteReference"/>
        </w:rPr>
        <w:footnoteRef/>
      </w:r>
      <w:r>
        <w:t xml:space="preserve"> </w:t>
      </w:r>
      <w:r w:rsidRPr="00DD25D1">
        <w:t>Ministru kabineta 2009. gada 24.marta noteikumi Nr.268 „Noteikumi par ārstniecības personu un studējošo, kuri apgūst pirmā vai otrā līmeņa profesionālās augstākās medicīniskās izglītības programmas, kompetenci ārstniecībā un šo personu teorētisko un praktisko zināšanu apjomu”</w:t>
      </w:r>
    </w:p>
  </w:footnote>
  <w:footnote w:id="2">
    <w:p w:rsidR="00E50030" w:rsidRDefault="00E50030" w:rsidP="007626EC">
      <w:pPr>
        <w:pStyle w:val="FootnoteText"/>
        <w:jc w:val="both"/>
      </w:pPr>
      <w:r>
        <w:rPr>
          <w:rStyle w:val="FootnoteReference"/>
        </w:rPr>
        <w:footnoteRef/>
      </w:r>
      <w:r>
        <w:t xml:space="preserve"> </w:t>
      </w:r>
      <w:r w:rsidRPr="00DD25D1">
        <w:t>Ministru kabineta 2009.gada 24.februāra noteikumi Nr.192 „Ārstniecības personu un ārstniecības atbalsta personu reģistra izveides, papildināšanas un uzturēšanas kārtība”</w:t>
      </w:r>
    </w:p>
    <w:p w:rsidR="00E50030" w:rsidRDefault="00E50030" w:rsidP="007626E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5801"/>
      <w:docPartObj>
        <w:docPartGallery w:val="Page Numbers (Top of Page)"/>
        <w:docPartUnique/>
      </w:docPartObj>
    </w:sdtPr>
    <w:sdtContent>
      <w:p w:rsidR="00E50030" w:rsidRDefault="00587E21">
        <w:pPr>
          <w:pStyle w:val="Header"/>
          <w:jc w:val="center"/>
        </w:pPr>
        <w:fldSimple w:instr=" PAGE   \* MERGEFORMAT ">
          <w:r w:rsidR="005E1DA3">
            <w:rPr>
              <w:noProof/>
            </w:rPr>
            <w:t>11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2F9C"/>
    <w:multiLevelType w:val="hybridMultilevel"/>
    <w:tmpl w:val="80FCA5F8"/>
    <w:lvl w:ilvl="0" w:tplc="BAB43764">
      <w:start w:val="1"/>
      <w:numFmt w:val="decimal"/>
      <w:lvlText w:val="%1)"/>
      <w:lvlJc w:val="left"/>
      <w:pPr>
        <w:ind w:left="435" w:hanging="43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23716FC7"/>
    <w:multiLevelType w:val="multilevel"/>
    <w:tmpl w:val="A616113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490274"/>
    <w:multiLevelType w:val="hybridMultilevel"/>
    <w:tmpl w:val="8B386BB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3F89244A"/>
    <w:multiLevelType w:val="hybridMultilevel"/>
    <w:tmpl w:val="6276B6C6"/>
    <w:lvl w:ilvl="0" w:tplc="44CA5ED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nsid w:val="3FF846FE"/>
    <w:multiLevelType w:val="hybridMultilevel"/>
    <w:tmpl w:val="6922A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151E9"/>
    <w:multiLevelType w:val="hybridMultilevel"/>
    <w:tmpl w:val="26BE8D2A"/>
    <w:lvl w:ilvl="0" w:tplc="DD024C8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6AA7A88"/>
    <w:multiLevelType w:val="hybridMultilevel"/>
    <w:tmpl w:val="BAE6A65E"/>
    <w:lvl w:ilvl="0" w:tplc="DDB2AD0A">
      <w:numFmt w:val="bullet"/>
      <w:lvlText w:val="-"/>
      <w:lvlJc w:val="left"/>
      <w:pPr>
        <w:ind w:left="420" w:hanging="360"/>
      </w:pPr>
      <w:rPr>
        <w:rFonts w:ascii="Times New Roman" w:eastAsia="Calibri" w:hAnsi="Times New Roman" w:cs="Times New Roman" w:hint="default"/>
        <w:color w:val="auto"/>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nsid w:val="620C2C3B"/>
    <w:multiLevelType w:val="hybridMultilevel"/>
    <w:tmpl w:val="AB0092F2"/>
    <w:lvl w:ilvl="0" w:tplc="0D20D36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76BE37B9"/>
    <w:multiLevelType w:val="hybridMultilevel"/>
    <w:tmpl w:val="AFAE4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6"/>
  </w:num>
  <w:num w:numId="5">
    <w:abstractNumId w:val="4"/>
  </w:num>
  <w:num w:numId="6">
    <w:abstractNumId w:val="3"/>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C0A5D"/>
    <w:rsid w:val="000057B6"/>
    <w:rsid w:val="00005AF8"/>
    <w:rsid w:val="00010836"/>
    <w:rsid w:val="00011BD8"/>
    <w:rsid w:val="00015E97"/>
    <w:rsid w:val="000172B0"/>
    <w:rsid w:val="00026AC6"/>
    <w:rsid w:val="000425AB"/>
    <w:rsid w:val="00043AA5"/>
    <w:rsid w:val="000462DD"/>
    <w:rsid w:val="00061FE5"/>
    <w:rsid w:val="00070B83"/>
    <w:rsid w:val="00086212"/>
    <w:rsid w:val="000A2859"/>
    <w:rsid w:val="000A6E1A"/>
    <w:rsid w:val="000E0431"/>
    <w:rsid w:val="000E1F28"/>
    <w:rsid w:val="000F373E"/>
    <w:rsid w:val="0010193B"/>
    <w:rsid w:val="0010263C"/>
    <w:rsid w:val="001041C1"/>
    <w:rsid w:val="00106EE4"/>
    <w:rsid w:val="00115D86"/>
    <w:rsid w:val="001242BF"/>
    <w:rsid w:val="0012511E"/>
    <w:rsid w:val="001416B6"/>
    <w:rsid w:val="00142E58"/>
    <w:rsid w:val="0015738E"/>
    <w:rsid w:val="00170383"/>
    <w:rsid w:val="00171761"/>
    <w:rsid w:val="001770EE"/>
    <w:rsid w:val="00192115"/>
    <w:rsid w:val="0019745C"/>
    <w:rsid w:val="001A08C5"/>
    <w:rsid w:val="001A49B0"/>
    <w:rsid w:val="001A65E5"/>
    <w:rsid w:val="001B1970"/>
    <w:rsid w:val="001C7727"/>
    <w:rsid w:val="001D57DA"/>
    <w:rsid w:val="001F2B19"/>
    <w:rsid w:val="00205DAC"/>
    <w:rsid w:val="00211C6C"/>
    <w:rsid w:val="00211D6F"/>
    <w:rsid w:val="00212BCD"/>
    <w:rsid w:val="00212E3D"/>
    <w:rsid w:val="002201F0"/>
    <w:rsid w:val="00222F78"/>
    <w:rsid w:val="00223C2C"/>
    <w:rsid w:val="00260A4F"/>
    <w:rsid w:val="002721FE"/>
    <w:rsid w:val="00277B5A"/>
    <w:rsid w:val="002867F3"/>
    <w:rsid w:val="002920C1"/>
    <w:rsid w:val="002A424B"/>
    <w:rsid w:val="002D238A"/>
    <w:rsid w:val="002F0C89"/>
    <w:rsid w:val="002F3533"/>
    <w:rsid w:val="00314BFD"/>
    <w:rsid w:val="00332D88"/>
    <w:rsid w:val="00335523"/>
    <w:rsid w:val="00344F35"/>
    <w:rsid w:val="00352D7A"/>
    <w:rsid w:val="003547E9"/>
    <w:rsid w:val="0036337A"/>
    <w:rsid w:val="0037099E"/>
    <w:rsid w:val="003728E1"/>
    <w:rsid w:val="003753CE"/>
    <w:rsid w:val="003779FC"/>
    <w:rsid w:val="00390241"/>
    <w:rsid w:val="0039073D"/>
    <w:rsid w:val="00390FB0"/>
    <w:rsid w:val="0039188E"/>
    <w:rsid w:val="003A59BD"/>
    <w:rsid w:val="003B5140"/>
    <w:rsid w:val="003E0F0B"/>
    <w:rsid w:val="003E2DB3"/>
    <w:rsid w:val="003F31AD"/>
    <w:rsid w:val="003F609B"/>
    <w:rsid w:val="00413B27"/>
    <w:rsid w:val="0041763B"/>
    <w:rsid w:val="00421709"/>
    <w:rsid w:val="00421E0E"/>
    <w:rsid w:val="00432C91"/>
    <w:rsid w:val="0044308C"/>
    <w:rsid w:val="0044735E"/>
    <w:rsid w:val="00447CD3"/>
    <w:rsid w:val="00456C3E"/>
    <w:rsid w:val="0046217C"/>
    <w:rsid w:val="004660E3"/>
    <w:rsid w:val="0046792A"/>
    <w:rsid w:val="00477EF8"/>
    <w:rsid w:val="00497854"/>
    <w:rsid w:val="004B477B"/>
    <w:rsid w:val="004D7466"/>
    <w:rsid w:val="004E23C2"/>
    <w:rsid w:val="004E4B9C"/>
    <w:rsid w:val="004E7F36"/>
    <w:rsid w:val="004F1FAB"/>
    <w:rsid w:val="00513221"/>
    <w:rsid w:val="00514959"/>
    <w:rsid w:val="00525E24"/>
    <w:rsid w:val="00543394"/>
    <w:rsid w:val="00562381"/>
    <w:rsid w:val="00575FBC"/>
    <w:rsid w:val="0057716E"/>
    <w:rsid w:val="00587E21"/>
    <w:rsid w:val="0059560D"/>
    <w:rsid w:val="005A0C5F"/>
    <w:rsid w:val="005B4CCF"/>
    <w:rsid w:val="005E0CFC"/>
    <w:rsid w:val="005E1807"/>
    <w:rsid w:val="005E1DA3"/>
    <w:rsid w:val="005F69C8"/>
    <w:rsid w:val="00607ED0"/>
    <w:rsid w:val="00610CDD"/>
    <w:rsid w:val="00623D6C"/>
    <w:rsid w:val="00630C8C"/>
    <w:rsid w:val="006325CC"/>
    <w:rsid w:val="00642B0E"/>
    <w:rsid w:val="00687F4B"/>
    <w:rsid w:val="00690BDB"/>
    <w:rsid w:val="00693DEA"/>
    <w:rsid w:val="006C1269"/>
    <w:rsid w:val="006C42EB"/>
    <w:rsid w:val="006C7175"/>
    <w:rsid w:val="006D1D50"/>
    <w:rsid w:val="006D583D"/>
    <w:rsid w:val="006E14CC"/>
    <w:rsid w:val="006F786D"/>
    <w:rsid w:val="007032BA"/>
    <w:rsid w:val="007215DC"/>
    <w:rsid w:val="00724017"/>
    <w:rsid w:val="0072513A"/>
    <w:rsid w:val="0074380F"/>
    <w:rsid w:val="00745156"/>
    <w:rsid w:val="0076215C"/>
    <w:rsid w:val="007626EC"/>
    <w:rsid w:val="00763942"/>
    <w:rsid w:val="00777E9A"/>
    <w:rsid w:val="007849E2"/>
    <w:rsid w:val="00791E99"/>
    <w:rsid w:val="00797384"/>
    <w:rsid w:val="007D0AF4"/>
    <w:rsid w:val="007D7F82"/>
    <w:rsid w:val="007E1458"/>
    <w:rsid w:val="007E1BC4"/>
    <w:rsid w:val="007E2ADA"/>
    <w:rsid w:val="007F007E"/>
    <w:rsid w:val="007F0606"/>
    <w:rsid w:val="00801F7D"/>
    <w:rsid w:val="00814361"/>
    <w:rsid w:val="00815066"/>
    <w:rsid w:val="00815712"/>
    <w:rsid w:val="00831BD2"/>
    <w:rsid w:val="0084143A"/>
    <w:rsid w:val="00844209"/>
    <w:rsid w:val="00855487"/>
    <w:rsid w:val="00870F6B"/>
    <w:rsid w:val="008929AA"/>
    <w:rsid w:val="008945D4"/>
    <w:rsid w:val="008A4694"/>
    <w:rsid w:val="008D7EDA"/>
    <w:rsid w:val="008E4253"/>
    <w:rsid w:val="0091472D"/>
    <w:rsid w:val="00923A88"/>
    <w:rsid w:val="00932EA1"/>
    <w:rsid w:val="009559AB"/>
    <w:rsid w:val="00956867"/>
    <w:rsid w:val="009744BD"/>
    <w:rsid w:val="00980FEF"/>
    <w:rsid w:val="0098773C"/>
    <w:rsid w:val="009B29CA"/>
    <w:rsid w:val="009B34AE"/>
    <w:rsid w:val="009D1D29"/>
    <w:rsid w:val="009D3E20"/>
    <w:rsid w:val="009D5349"/>
    <w:rsid w:val="009D75A5"/>
    <w:rsid w:val="009F2816"/>
    <w:rsid w:val="00A05A1F"/>
    <w:rsid w:val="00A11BF7"/>
    <w:rsid w:val="00A262D3"/>
    <w:rsid w:val="00A43D17"/>
    <w:rsid w:val="00A87D6D"/>
    <w:rsid w:val="00AA19AD"/>
    <w:rsid w:val="00AA2A77"/>
    <w:rsid w:val="00AA50B2"/>
    <w:rsid w:val="00AA7A3C"/>
    <w:rsid w:val="00AB7377"/>
    <w:rsid w:val="00AC066D"/>
    <w:rsid w:val="00AD7813"/>
    <w:rsid w:val="00AE1183"/>
    <w:rsid w:val="00AF4958"/>
    <w:rsid w:val="00B27D6F"/>
    <w:rsid w:val="00B30ED0"/>
    <w:rsid w:val="00B37DD4"/>
    <w:rsid w:val="00B465C7"/>
    <w:rsid w:val="00B5446B"/>
    <w:rsid w:val="00B66C4A"/>
    <w:rsid w:val="00B735EB"/>
    <w:rsid w:val="00B8029D"/>
    <w:rsid w:val="00B95977"/>
    <w:rsid w:val="00BB08A2"/>
    <w:rsid w:val="00BB7554"/>
    <w:rsid w:val="00BC37B5"/>
    <w:rsid w:val="00BC4498"/>
    <w:rsid w:val="00BD5837"/>
    <w:rsid w:val="00BE2F07"/>
    <w:rsid w:val="00BF6CC2"/>
    <w:rsid w:val="00C01177"/>
    <w:rsid w:val="00C01FF7"/>
    <w:rsid w:val="00C06C92"/>
    <w:rsid w:val="00C44AD0"/>
    <w:rsid w:val="00C52D1D"/>
    <w:rsid w:val="00C539CB"/>
    <w:rsid w:val="00C67297"/>
    <w:rsid w:val="00CA603B"/>
    <w:rsid w:val="00CB1FC1"/>
    <w:rsid w:val="00CB4242"/>
    <w:rsid w:val="00CC6865"/>
    <w:rsid w:val="00CC6A92"/>
    <w:rsid w:val="00CD4D9E"/>
    <w:rsid w:val="00CD6C88"/>
    <w:rsid w:val="00CD70B1"/>
    <w:rsid w:val="00CE3DDA"/>
    <w:rsid w:val="00D0071C"/>
    <w:rsid w:val="00D062C8"/>
    <w:rsid w:val="00D12872"/>
    <w:rsid w:val="00D129AD"/>
    <w:rsid w:val="00D27B0B"/>
    <w:rsid w:val="00D32AC8"/>
    <w:rsid w:val="00D339E4"/>
    <w:rsid w:val="00D412E3"/>
    <w:rsid w:val="00D55693"/>
    <w:rsid w:val="00D5609A"/>
    <w:rsid w:val="00D66004"/>
    <w:rsid w:val="00D73042"/>
    <w:rsid w:val="00D73523"/>
    <w:rsid w:val="00D859F3"/>
    <w:rsid w:val="00D879FE"/>
    <w:rsid w:val="00DA11C7"/>
    <w:rsid w:val="00DA3FA9"/>
    <w:rsid w:val="00DB62B4"/>
    <w:rsid w:val="00DC0A5D"/>
    <w:rsid w:val="00DC5045"/>
    <w:rsid w:val="00DC7054"/>
    <w:rsid w:val="00DD0D51"/>
    <w:rsid w:val="00DE02DE"/>
    <w:rsid w:val="00DF6813"/>
    <w:rsid w:val="00E00F25"/>
    <w:rsid w:val="00E13923"/>
    <w:rsid w:val="00E27ADD"/>
    <w:rsid w:val="00E40025"/>
    <w:rsid w:val="00E41B05"/>
    <w:rsid w:val="00E46AC1"/>
    <w:rsid w:val="00E50030"/>
    <w:rsid w:val="00E51F74"/>
    <w:rsid w:val="00E60DE7"/>
    <w:rsid w:val="00E72FC4"/>
    <w:rsid w:val="00E83598"/>
    <w:rsid w:val="00EA1AD8"/>
    <w:rsid w:val="00EA3202"/>
    <w:rsid w:val="00EC0782"/>
    <w:rsid w:val="00EE0F90"/>
    <w:rsid w:val="00EF7C67"/>
    <w:rsid w:val="00F13824"/>
    <w:rsid w:val="00F313AB"/>
    <w:rsid w:val="00F35ABE"/>
    <w:rsid w:val="00F6333A"/>
    <w:rsid w:val="00F814FB"/>
    <w:rsid w:val="00F8474B"/>
    <w:rsid w:val="00F8523E"/>
    <w:rsid w:val="00F86BF3"/>
    <w:rsid w:val="00FA39B1"/>
    <w:rsid w:val="00FB7FB2"/>
    <w:rsid w:val="00FC5154"/>
    <w:rsid w:val="00FD4949"/>
    <w:rsid w:val="00FE36B0"/>
    <w:rsid w:val="00FF334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A5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A5D"/>
    <w:pPr>
      <w:tabs>
        <w:tab w:val="center" w:pos="4153"/>
        <w:tab w:val="right" w:pos="8306"/>
      </w:tabs>
    </w:pPr>
  </w:style>
  <w:style w:type="character" w:customStyle="1" w:styleId="HeaderChar">
    <w:name w:val="Header Char"/>
    <w:basedOn w:val="DefaultParagraphFont"/>
    <w:link w:val="Header"/>
    <w:uiPriority w:val="99"/>
    <w:rsid w:val="00DC0A5D"/>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DC0A5D"/>
    <w:pPr>
      <w:tabs>
        <w:tab w:val="center" w:pos="4153"/>
        <w:tab w:val="right" w:pos="8306"/>
      </w:tabs>
    </w:pPr>
  </w:style>
  <w:style w:type="character" w:customStyle="1" w:styleId="FooterChar">
    <w:name w:val="Footer Char"/>
    <w:basedOn w:val="DefaultParagraphFont"/>
    <w:link w:val="Footer"/>
    <w:uiPriority w:val="99"/>
    <w:rsid w:val="00DC0A5D"/>
    <w:rPr>
      <w:rFonts w:ascii="Times New Roman" w:eastAsia="Times New Roman" w:hAnsi="Times New Roman" w:cs="Times New Roman"/>
      <w:sz w:val="24"/>
      <w:szCs w:val="24"/>
      <w:lang w:eastAsia="lv-LV"/>
    </w:rPr>
  </w:style>
  <w:style w:type="paragraph" w:customStyle="1" w:styleId="naisf">
    <w:name w:val="naisf"/>
    <w:basedOn w:val="Normal"/>
    <w:rsid w:val="00DC0A5D"/>
    <w:pPr>
      <w:tabs>
        <w:tab w:val="left" w:pos="720"/>
      </w:tabs>
      <w:jc w:val="both"/>
    </w:pPr>
    <w:rPr>
      <w:color w:val="000000"/>
      <w:sz w:val="20"/>
      <w:szCs w:val="20"/>
    </w:rPr>
  </w:style>
  <w:style w:type="paragraph" w:customStyle="1" w:styleId="naisnod">
    <w:name w:val="naisnod"/>
    <w:basedOn w:val="Normal"/>
    <w:rsid w:val="00DC0A5D"/>
    <w:pPr>
      <w:spacing w:before="150" w:after="150"/>
      <w:jc w:val="center"/>
    </w:pPr>
    <w:rPr>
      <w:rFonts w:eastAsia="Calibri"/>
      <w:b/>
      <w:bCs/>
    </w:rPr>
  </w:style>
  <w:style w:type="paragraph" w:customStyle="1" w:styleId="naiskr">
    <w:name w:val="naiskr"/>
    <w:basedOn w:val="Normal"/>
    <w:rsid w:val="00DC0A5D"/>
    <w:pPr>
      <w:spacing w:before="75" w:after="75"/>
    </w:pPr>
    <w:rPr>
      <w:rFonts w:eastAsia="Calibri"/>
    </w:rPr>
  </w:style>
  <w:style w:type="character" w:styleId="Hyperlink">
    <w:name w:val="Hyperlink"/>
    <w:basedOn w:val="DefaultParagraphFont"/>
    <w:uiPriority w:val="99"/>
    <w:rsid w:val="00DC0A5D"/>
    <w:rPr>
      <w:color w:val="0000FF"/>
      <w:u w:val="single"/>
    </w:rPr>
  </w:style>
  <w:style w:type="paragraph" w:styleId="FootnoteText">
    <w:name w:val="footnote text"/>
    <w:basedOn w:val="Normal"/>
    <w:link w:val="FootnoteTextChar"/>
    <w:uiPriority w:val="99"/>
    <w:rsid w:val="00DC0A5D"/>
    <w:rPr>
      <w:sz w:val="20"/>
      <w:szCs w:val="20"/>
    </w:rPr>
  </w:style>
  <w:style w:type="character" w:customStyle="1" w:styleId="FootnoteTextChar">
    <w:name w:val="Footnote Text Char"/>
    <w:basedOn w:val="DefaultParagraphFont"/>
    <w:link w:val="FootnoteText"/>
    <w:rsid w:val="00DC0A5D"/>
    <w:rPr>
      <w:rFonts w:ascii="Times New Roman" w:eastAsia="Times New Roman" w:hAnsi="Times New Roman" w:cs="Times New Roman"/>
      <w:sz w:val="20"/>
      <w:szCs w:val="20"/>
      <w:lang w:eastAsia="lv-LV"/>
    </w:rPr>
  </w:style>
  <w:style w:type="paragraph" w:styleId="NoSpacing">
    <w:name w:val="No Spacing"/>
    <w:uiPriority w:val="1"/>
    <w:qFormat/>
    <w:rsid w:val="00DC0A5D"/>
    <w:pPr>
      <w:spacing w:after="0"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semiHidden/>
    <w:unhideWhenUsed/>
    <w:rsid w:val="00DC0A5D"/>
    <w:rPr>
      <w:vertAlign w:val="superscript"/>
    </w:rPr>
  </w:style>
  <w:style w:type="paragraph" w:customStyle="1" w:styleId="Default">
    <w:name w:val="Default"/>
    <w:rsid w:val="00DC0A5D"/>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tvhtml">
    <w:name w:val="tv_html"/>
    <w:basedOn w:val="Normal"/>
    <w:rsid w:val="00DC0A5D"/>
    <w:pPr>
      <w:spacing w:before="100" w:beforeAutospacing="1" w:after="100" w:afterAutospacing="1"/>
    </w:pPr>
    <w:rPr>
      <w:rFonts w:ascii="Verdana" w:hAnsi="Verdana"/>
      <w:sz w:val="18"/>
      <w:szCs w:val="18"/>
      <w:lang w:val="en-US" w:eastAsia="en-US" w:bidi="lo-LA"/>
    </w:rPr>
  </w:style>
  <w:style w:type="table" w:styleId="TableGrid">
    <w:name w:val="Table Grid"/>
    <w:basedOn w:val="TableNormal"/>
    <w:uiPriority w:val="59"/>
    <w:rsid w:val="00DC0A5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0A5D"/>
    <w:pPr>
      <w:ind w:left="720"/>
      <w:contextualSpacing/>
    </w:pPr>
  </w:style>
  <w:style w:type="paragraph" w:styleId="NormalWeb">
    <w:name w:val="Normal (Web)"/>
    <w:basedOn w:val="Normal"/>
    <w:uiPriority w:val="99"/>
    <w:rsid w:val="00DC0A5D"/>
    <w:pPr>
      <w:spacing w:before="100" w:beforeAutospacing="1" w:after="100" w:afterAutospacing="1"/>
    </w:pPr>
    <w:rPr>
      <w:lang w:val="en-US" w:eastAsia="en-US"/>
    </w:rPr>
  </w:style>
  <w:style w:type="paragraph" w:customStyle="1" w:styleId="ListParagraph1">
    <w:name w:val="List Paragraph1"/>
    <w:basedOn w:val="Normal"/>
    <w:rsid w:val="00DC0A5D"/>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4E7F36"/>
    <w:rPr>
      <w:sz w:val="16"/>
      <w:szCs w:val="16"/>
    </w:rPr>
  </w:style>
  <w:style w:type="paragraph" w:customStyle="1" w:styleId="tv2132">
    <w:name w:val="tv2132"/>
    <w:basedOn w:val="Normal"/>
    <w:rsid w:val="00390241"/>
    <w:pPr>
      <w:spacing w:line="360" w:lineRule="auto"/>
      <w:ind w:firstLine="300"/>
    </w:pPr>
    <w:rPr>
      <w:color w:val="414142"/>
      <w:sz w:val="20"/>
      <w:szCs w:val="20"/>
      <w:lang w:val="en-US" w:eastAsia="en-US"/>
    </w:rPr>
  </w:style>
  <w:style w:type="paragraph" w:styleId="CommentText">
    <w:name w:val="annotation text"/>
    <w:basedOn w:val="Normal"/>
    <w:link w:val="CommentTextChar"/>
    <w:uiPriority w:val="99"/>
    <w:unhideWhenUsed/>
    <w:rsid w:val="00456C3E"/>
    <w:pPr>
      <w:spacing w:after="200"/>
    </w:pPr>
    <w:rPr>
      <w:rFonts w:ascii="Calibri" w:hAnsi="Calibri"/>
      <w:sz w:val="20"/>
      <w:szCs w:val="20"/>
    </w:rPr>
  </w:style>
  <w:style w:type="character" w:customStyle="1" w:styleId="CommentTextChar">
    <w:name w:val="Comment Text Char"/>
    <w:basedOn w:val="DefaultParagraphFont"/>
    <w:link w:val="CommentText"/>
    <w:uiPriority w:val="99"/>
    <w:rsid w:val="00456C3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373E"/>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0F373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F373E"/>
    <w:rPr>
      <w:rFonts w:ascii="Tahoma" w:hAnsi="Tahoma" w:cs="Tahoma"/>
      <w:sz w:val="16"/>
      <w:szCs w:val="16"/>
    </w:rPr>
  </w:style>
  <w:style w:type="character" w:customStyle="1" w:styleId="BalloonTextChar">
    <w:name w:val="Balloon Text Char"/>
    <w:basedOn w:val="DefaultParagraphFont"/>
    <w:link w:val="BalloonText"/>
    <w:uiPriority w:val="99"/>
    <w:semiHidden/>
    <w:rsid w:val="000F373E"/>
    <w:rPr>
      <w:rFonts w:ascii="Tahoma" w:eastAsia="Times New Roman" w:hAnsi="Tahoma" w:cs="Tahoma"/>
      <w:sz w:val="16"/>
      <w:szCs w:val="16"/>
      <w:lang w:eastAsia="lv-LV"/>
    </w:rPr>
  </w:style>
  <w:style w:type="character" w:styleId="Emphasis">
    <w:name w:val="Emphasis"/>
    <w:basedOn w:val="DefaultParagraphFont"/>
    <w:uiPriority w:val="20"/>
    <w:qFormat/>
    <w:rsid w:val="00D55693"/>
    <w:rPr>
      <w:b/>
      <w:bCs/>
      <w:i w:val="0"/>
      <w:iCs w:val="0"/>
    </w:rPr>
  </w:style>
  <w:style w:type="character" w:customStyle="1" w:styleId="st">
    <w:name w:val="st"/>
    <w:basedOn w:val="DefaultParagraphFont"/>
    <w:rsid w:val="00D55693"/>
  </w:style>
  <w:style w:type="character" w:customStyle="1" w:styleId="apple-converted-space">
    <w:name w:val="apple-converted-space"/>
    <w:basedOn w:val="DefaultParagraphFont"/>
    <w:rsid w:val="00B8029D"/>
  </w:style>
  <w:style w:type="paragraph" w:customStyle="1" w:styleId="naispant">
    <w:name w:val="naispant"/>
    <w:basedOn w:val="Normal"/>
    <w:uiPriority w:val="99"/>
    <w:rsid w:val="00E41B05"/>
    <w:pPr>
      <w:spacing w:before="75" w:after="75"/>
      <w:ind w:left="375" w:firstLine="375"/>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9573378">
      <w:bodyDiv w:val="1"/>
      <w:marLeft w:val="0"/>
      <w:marRight w:val="0"/>
      <w:marTop w:val="0"/>
      <w:marBottom w:val="0"/>
      <w:divBdr>
        <w:top w:val="none" w:sz="0" w:space="0" w:color="auto"/>
        <w:left w:val="none" w:sz="0" w:space="0" w:color="auto"/>
        <w:bottom w:val="none" w:sz="0" w:space="0" w:color="auto"/>
        <w:right w:val="none" w:sz="0" w:space="0" w:color="auto"/>
      </w:divBdr>
      <w:divsChild>
        <w:div w:id="1163161158">
          <w:marLeft w:val="0"/>
          <w:marRight w:val="0"/>
          <w:marTop w:val="0"/>
          <w:marBottom w:val="0"/>
          <w:divBdr>
            <w:top w:val="none" w:sz="0" w:space="0" w:color="auto"/>
            <w:left w:val="none" w:sz="0" w:space="0" w:color="auto"/>
            <w:bottom w:val="none" w:sz="0" w:space="0" w:color="auto"/>
            <w:right w:val="none" w:sz="0" w:space="0" w:color="auto"/>
          </w:divBdr>
          <w:divsChild>
            <w:div w:id="155918997">
              <w:marLeft w:val="0"/>
              <w:marRight w:val="0"/>
              <w:marTop w:val="0"/>
              <w:marBottom w:val="0"/>
              <w:divBdr>
                <w:top w:val="none" w:sz="0" w:space="0" w:color="auto"/>
                <w:left w:val="none" w:sz="0" w:space="0" w:color="auto"/>
                <w:bottom w:val="none" w:sz="0" w:space="0" w:color="auto"/>
                <w:right w:val="none" w:sz="0" w:space="0" w:color="auto"/>
              </w:divBdr>
              <w:divsChild>
                <w:div w:id="8566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61481">
      <w:bodyDiv w:val="1"/>
      <w:marLeft w:val="0"/>
      <w:marRight w:val="0"/>
      <w:marTop w:val="0"/>
      <w:marBottom w:val="0"/>
      <w:divBdr>
        <w:top w:val="none" w:sz="0" w:space="0" w:color="auto"/>
        <w:left w:val="none" w:sz="0" w:space="0" w:color="auto"/>
        <w:bottom w:val="none" w:sz="0" w:space="0" w:color="auto"/>
        <w:right w:val="none" w:sz="0" w:space="0" w:color="auto"/>
      </w:divBdr>
    </w:div>
    <w:div w:id="1788885958">
      <w:bodyDiv w:val="1"/>
      <w:marLeft w:val="0"/>
      <w:marRight w:val="0"/>
      <w:marTop w:val="0"/>
      <w:marBottom w:val="0"/>
      <w:divBdr>
        <w:top w:val="none" w:sz="0" w:space="0" w:color="auto"/>
        <w:left w:val="none" w:sz="0" w:space="0" w:color="auto"/>
        <w:bottom w:val="none" w:sz="0" w:space="0" w:color="auto"/>
        <w:right w:val="none" w:sz="0" w:space="0" w:color="auto"/>
      </w:divBdr>
    </w:div>
    <w:div w:id="1983999237">
      <w:bodyDiv w:val="1"/>
      <w:marLeft w:val="0"/>
      <w:marRight w:val="0"/>
      <w:marTop w:val="0"/>
      <w:marBottom w:val="0"/>
      <w:divBdr>
        <w:top w:val="none" w:sz="0" w:space="0" w:color="auto"/>
        <w:left w:val="none" w:sz="0" w:space="0" w:color="auto"/>
        <w:bottom w:val="none" w:sz="0" w:space="0" w:color="auto"/>
        <w:right w:val="none" w:sz="0" w:space="0" w:color="auto"/>
      </w:divBdr>
      <w:divsChild>
        <w:div w:id="1530100741">
          <w:marLeft w:val="0"/>
          <w:marRight w:val="0"/>
          <w:marTop w:val="0"/>
          <w:marBottom w:val="0"/>
          <w:divBdr>
            <w:top w:val="none" w:sz="0" w:space="0" w:color="auto"/>
            <w:left w:val="none" w:sz="0" w:space="0" w:color="auto"/>
            <w:bottom w:val="none" w:sz="0" w:space="0" w:color="auto"/>
            <w:right w:val="none" w:sz="0" w:space="0" w:color="auto"/>
          </w:divBdr>
          <w:divsChild>
            <w:div w:id="622228514">
              <w:marLeft w:val="0"/>
              <w:marRight w:val="0"/>
              <w:marTop w:val="0"/>
              <w:marBottom w:val="0"/>
              <w:divBdr>
                <w:top w:val="none" w:sz="0" w:space="0" w:color="auto"/>
                <w:left w:val="none" w:sz="0" w:space="0" w:color="auto"/>
                <w:bottom w:val="none" w:sz="0" w:space="0" w:color="auto"/>
                <w:right w:val="none" w:sz="0" w:space="0" w:color="auto"/>
              </w:divBdr>
              <w:divsChild>
                <w:div w:id="2113472146">
                  <w:marLeft w:val="0"/>
                  <w:marRight w:val="0"/>
                  <w:marTop w:val="0"/>
                  <w:marBottom w:val="0"/>
                  <w:divBdr>
                    <w:top w:val="none" w:sz="0" w:space="0" w:color="auto"/>
                    <w:left w:val="none" w:sz="0" w:space="0" w:color="auto"/>
                    <w:bottom w:val="none" w:sz="0" w:space="0" w:color="auto"/>
                    <w:right w:val="none" w:sz="0" w:space="0" w:color="auto"/>
                  </w:divBdr>
                  <w:divsChild>
                    <w:div w:id="762800882">
                      <w:marLeft w:val="0"/>
                      <w:marRight w:val="0"/>
                      <w:marTop w:val="0"/>
                      <w:marBottom w:val="0"/>
                      <w:divBdr>
                        <w:top w:val="none" w:sz="0" w:space="0" w:color="auto"/>
                        <w:left w:val="none" w:sz="0" w:space="0" w:color="auto"/>
                        <w:bottom w:val="none" w:sz="0" w:space="0" w:color="auto"/>
                        <w:right w:val="none" w:sz="0" w:space="0" w:color="auto"/>
                      </w:divBdr>
                      <w:divsChild>
                        <w:div w:id="2009601604">
                          <w:marLeft w:val="0"/>
                          <w:marRight w:val="0"/>
                          <w:marTop w:val="0"/>
                          <w:marBottom w:val="0"/>
                          <w:divBdr>
                            <w:top w:val="none" w:sz="0" w:space="0" w:color="auto"/>
                            <w:left w:val="none" w:sz="0" w:space="0" w:color="auto"/>
                            <w:bottom w:val="none" w:sz="0" w:space="0" w:color="auto"/>
                            <w:right w:val="none" w:sz="0" w:space="0" w:color="auto"/>
                          </w:divBdr>
                          <w:divsChild>
                            <w:div w:id="5149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994">
      <w:bodyDiv w:val="1"/>
      <w:marLeft w:val="0"/>
      <w:marRight w:val="0"/>
      <w:marTop w:val="0"/>
      <w:marBottom w:val="0"/>
      <w:divBdr>
        <w:top w:val="none" w:sz="0" w:space="0" w:color="auto"/>
        <w:left w:val="none" w:sz="0" w:space="0" w:color="auto"/>
        <w:bottom w:val="none" w:sz="0" w:space="0" w:color="auto"/>
        <w:right w:val="none" w:sz="0" w:space="0" w:color="auto"/>
      </w:divBdr>
      <w:divsChild>
        <w:div w:id="1114053517">
          <w:marLeft w:val="0"/>
          <w:marRight w:val="0"/>
          <w:marTop w:val="0"/>
          <w:marBottom w:val="0"/>
          <w:divBdr>
            <w:top w:val="none" w:sz="0" w:space="0" w:color="auto"/>
            <w:left w:val="none" w:sz="0" w:space="0" w:color="auto"/>
            <w:bottom w:val="none" w:sz="0" w:space="0" w:color="auto"/>
            <w:right w:val="none" w:sz="0" w:space="0" w:color="auto"/>
          </w:divBdr>
          <w:divsChild>
            <w:div w:id="153569807">
              <w:marLeft w:val="0"/>
              <w:marRight w:val="0"/>
              <w:marTop w:val="0"/>
              <w:marBottom w:val="0"/>
              <w:divBdr>
                <w:top w:val="none" w:sz="0" w:space="0" w:color="auto"/>
                <w:left w:val="none" w:sz="0" w:space="0" w:color="auto"/>
                <w:bottom w:val="none" w:sz="0" w:space="0" w:color="auto"/>
                <w:right w:val="none" w:sz="0" w:space="0" w:color="auto"/>
              </w:divBdr>
              <w:divsChild>
                <w:div w:id="925917474">
                  <w:marLeft w:val="0"/>
                  <w:marRight w:val="0"/>
                  <w:marTop w:val="0"/>
                  <w:marBottom w:val="0"/>
                  <w:divBdr>
                    <w:top w:val="none" w:sz="0" w:space="0" w:color="auto"/>
                    <w:left w:val="none" w:sz="0" w:space="0" w:color="auto"/>
                    <w:bottom w:val="none" w:sz="0" w:space="0" w:color="auto"/>
                    <w:right w:val="none" w:sz="0" w:space="0" w:color="auto"/>
                  </w:divBdr>
                  <w:divsChild>
                    <w:div w:id="1998413645">
                      <w:marLeft w:val="0"/>
                      <w:marRight w:val="0"/>
                      <w:marTop w:val="0"/>
                      <w:marBottom w:val="0"/>
                      <w:divBdr>
                        <w:top w:val="none" w:sz="0" w:space="0" w:color="auto"/>
                        <w:left w:val="none" w:sz="0" w:space="0" w:color="auto"/>
                        <w:bottom w:val="none" w:sz="0" w:space="0" w:color="auto"/>
                        <w:right w:val="none" w:sz="0" w:space="0" w:color="auto"/>
                      </w:divBdr>
                      <w:divsChild>
                        <w:div w:id="2063095013">
                          <w:marLeft w:val="0"/>
                          <w:marRight w:val="0"/>
                          <w:marTop w:val="0"/>
                          <w:marBottom w:val="0"/>
                          <w:divBdr>
                            <w:top w:val="none" w:sz="0" w:space="0" w:color="auto"/>
                            <w:left w:val="none" w:sz="0" w:space="0" w:color="auto"/>
                            <w:bottom w:val="none" w:sz="0" w:space="0" w:color="auto"/>
                            <w:right w:val="none" w:sz="0" w:space="0" w:color="auto"/>
                          </w:divBdr>
                          <w:divsChild>
                            <w:div w:id="15880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na.jermacan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klavin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9B9B0-11BA-4B17-9EFE-9AC16AE2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Likumprojekta „Grozījumi Ārstniecības likumā” sākotnējās ietekmes novērtējuma ziņojums (anotācija)</vt:lpstr>
    </vt:vector>
  </TitlesOfParts>
  <Company>Veselības ministrija</Company>
  <LinksUpToDate>false</LinksUpToDate>
  <CharactersWithSpaces>22365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Ārstniecības likumā” sākotnējās ietekmes novērtējuma ziņojums (anotācija)</dc:title>
  <dc:subject>Likumprojekta anotācija</dc:subject>
  <dc:creator>Guna Jermacāne</dc:creator>
  <dc:description>guna.jermacane@vm.gov.lv, 67876167</dc:description>
  <cp:lastModifiedBy>gjermacane</cp:lastModifiedBy>
  <cp:revision>6</cp:revision>
  <cp:lastPrinted>2016-01-06T11:22:00Z</cp:lastPrinted>
  <dcterms:created xsi:type="dcterms:W3CDTF">2016-02-18T13:34:00Z</dcterms:created>
  <dcterms:modified xsi:type="dcterms:W3CDTF">2016-03-02T09:53:00Z</dcterms:modified>
</cp:coreProperties>
</file>