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1C" w:rsidRPr="004F4C11" w:rsidRDefault="006E3768" w:rsidP="004F4C11">
      <w:pPr>
        <w:jc w:val="center"/>
        <w:rPr>
          <w:rFonts w:eastAsia="Times New Roman" w:cs="Times New Roman"/>
          <w:b/>
          <w:bCs/>
          <w:szCs w:val="26"/>
          <w:lang w:eastAsia="lv-LV"/>
        </w:rPr>
      </w:pPr>
      <w:bookmarkStart w:id="0" w:name="OLE_LINK1"/>
      <w:bookmarkStart w:id="1" w:name="OLE_LINK2"/>
      <w:r w:rsidRPr="004F4C11">
        <w:rPr>
          <w:rFonts w:eastAsia="Times New Roman" w:cs="Times New Roman"/>
          <w:b/>
          <w:bCs/>
          <w:szCs w:val="26"/>
          <w:lang w:eastAsia="lv-LV"/>
        </w:rPr>
        <w:t>Ministru kabineta</w:t>
      </w:r>
      <w:r w:rsidR="004F4C11" w:rsidRPr="004F4C11">
        <w:rPr>
          <w:rFonts w:eastAsia="Times New Roman" w:cs="Times New Roman"/>
          <w:b/>
          <w:bCs/>
          <w:szCs w:val="26"/>
          <w:lang w:eastAsia="lv-LV"/>
        </w:rPr>
        <w:t xml:space="preserve"> noteikumu projekta „Grozījumi Ministru kabineta 2013.gada 17.decembra noteikumos Nr.1529 „Veselības aprūpes organizēšanas un finansēšanas kārtība”</w:t>
      </w:r>
      <w:r w:rsidR="00765F7F">
        <w:rPr>
          <w:rFonts w:eastAsia="Times New Roman" w:cs="Times New Roman"/>
          <w:b/>
          <w:bCs/>
          <w:szCs w:val="26"/>
          <w:lang w:eastAsia="lv-LV"/>
        </w:rPr>
        <w:t>”</w:t>
      </w:r>
      <w:r w:rsidR="004F4C11" w:rsidRPr="004F4C11">
        <w:rPr>
          <w:rFonts w:eastAsia="Times New Roman" w:cs="Times New Roman"/>
          <w:b/>
          <w:bCs/>
          <w:szCs w:val="26"/>
          <w:lang w:eastAsia="lv-LV"/>
        </w:rPr>
        <w:t xml:space="preserve"> sākotnējās ietekmes novērtējuma ziņojums (anotācija</w:t>
      </w:r>
      <w:bookmarkEnd w:id="0"/>
      <w:bookmarkEnd w:id="1"/>
      <w:r w:rsidR="004F4C11" w:rsidRPr="004F4C11">
        <w:rPr>
          <w:rFonts w:eastAsia="Times New Roman" w:cs="Times New Roman"/>
          <w:b/>
          <w:bCs/>
          <w:szCs w:val="26"/>
          <w:lang w:eastAsia="lv-LV"/>
        </w:rPr>
        <w:t>)</w:t>
      </w:r>
    </w:p>
    <w:p w:rsidR="006E3768" w:rsidRPr="002B7FAB" w:rsidRDefault="006E3768" w:rsidP="006E3768">
      <w:pPr>
        <w:jc w:val="center"/>
        <w:rPr>
          <w:rFonts w:eastAsia="Times New Roman" w:cs="Times New Roman"/>
          <w:b/>
          <w:bCs/>
          <w:color w:val="44546A" w:themeColor="text2"/>
          <w:sz w:val="26"/>
          <w:szCs w:val="26"/>
          <w:lang w:eastAsia="lv-LV"/>
        </w:rPr>
      </w:pPr>
    </w:p>
    <w:tbl>
      <w:tblPr>
        <w:tblW w:w="5356"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
        <w:gridCol w:w="235"/>
        <w:gridCol w:w="352"/>
        <w:gridCol w:w="1633"/>
        <w:gridCol w:w="153"/>
        <w:gridCol w:w="509"/>
        <w:gridCol w:w="1099"/>
        <w:gridCol w:w="1796"/>
        <w:gridCol w:w="1264"/>
        <w:gridCol w:w="1371"/>
        <w:gridCol w:w="1275"/>
        <w:gridCol w:w="45"/>
      </w:tblGrid>
      <w:tr w:rsidR="003E6B1C" w:rsidRPr="002B7FAB" w:rsidTr="003411EB">
        <w:trPr>
          <w:gridAfter w:val="1"/>
          <w:wAfter w:w="23" w:type="pct"/>
          <w:trHeight w:val="235"/>
        </w:trPr>
        <w:tc>
          <w:tcPr>
            <w:tcW w:w="4977" w:type="pct"/>
            <w:gridSpan w:val="11"/>
            <w:tcBorders>
              <w:top w:val="outset" w:sz="6" w:space="0" w:color="auto"/>
              <w:left w:val="outset" w:sz="6" w:space="0" w:color="auto"/>
              <w:bottom w:val="outset" w:sz="6" w:space="0" w:color="auto"/>
              <w:right w:val="outset" w:sz="6" w:space="0" w:color="auto"/>
            </w:tcBorders>
            <w:vAlign w:val="center"/>
            <w:hideMark/>
          </w:tcPr>
          <w:p w:rsidR="003E6B1C" w:rsidRPr="004F4C11" w:rsidRDefault="003E6B1C" w:rsidP="002B7FAB">
            <w:pPr>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3E6B1C" w:rsidRPr="002B7FAB" w:rsidTr="003411EB">
        <w:trPr>
          <w:gridAfter w:val="1"/>
          <w:wAfter w:w="23" w:type="pct"/>
          <w:trHeight w:val="405"/>
        </w:trPr>
        <w:tc>
          <w:tcPr>
            <w:tcW w:w="145" w:type="pct"/>
            <w:gridSpan w:val="2"/>
            <w:tcBorders>
              <w:top w:val="outset" w:sz="6" w:space="0" w:color="auto"/>
              <w:left w:val="outset" w:sz="6" w:space="0" w:color="auto"/>
              <w:bottom w:val="outset" w:sz="6" w:space="0" w:color="auto"/>
              <w:right w:val="outset" w:sz="6" w:space="0" w:color="auto"/>
            </w:tcBorders>
            <w:hideMark/>
          </w:tcPr>
          <w:p w:rsidR="003E6B1C" w:rsidRPr="002757B9" w:rsidRDefault="003E6B1C" w:rsidP="002B7FAB">
            <w:pPr>
              <w:rPr>
                <w:rFonts w:eastAsia="Times New Roman" w:cs="Times New Roman"/>
                <w:szCs w:val="24"/>
                <w:lang w:eastAsia="lv-LV"/>
              </w:rPr>
            </w:pPr>
            <w:r w:rsidRPr="002757B9">
              <w:rPr>
                <w:rFonts w:eastAsia="Times New Roman" w:cs="Times New Roman"/>
                <w:szCs w:val="24"/>
                <w:lang w:eastAsia="lv-LV"/>
              </w:rPr>
              <w:t>1.</w:t>
            </w:r>
          </w:p>
        </w:tc>
        <w:tc>
          <w:tcPr>
            <w:tcW w:w="1015" w:type="pct"/>
            <w:gridSpan w:val="2"/>
            <w:tcBorders>
              <w:top w:val="outset" w:sz="6" w:space="0" w:color="auto"/>
              <w:left w:val="outset" w:sz="6" w:space="0" w:color="auto"/>
              <w:bottom w:val="outset" w:sz="6" w:space="0" w:color="auto"/>
              <w:right w:val="outset" w:sz="6" w:space="0" w:color="auto"/>
            </w:tcBorders>
            <w:hideMark/>
          </w:tcPr>
          <w:p w:rsidR="003E6B1C" w:rsidRPr="002757B9" w:rsidRDefault="003E6B1C" w:rsidP="002B7FAB">
            <w:pPr>
              <w:rPr>
                <w:rFonts w:eastAsia="Times New Roman" w:cs="Times New Roman"/>
                <w:szCs w:val="24"/>
                <w:lang w:eastAsia="lv-LV"/>
              </w:rPr>
            </w:pPr>
            <w:r w:rsidRPr="002757B9">
              <w:rPr>
                <w:rFonts w:eastAsia="Times New Roman" w:cs="Times New Roman"/>
                <w:szCs w:val="24"/>
                <w:lang w:eastAsia="lv-LV"/>
              </w:rPr>
              <w:t>Pamatojums</w:t>
            </w:r>
          </w:p>
        </w:tc>
        <w:tc>
          <w:tcPr>
            <w:tcW w:w="3817" w:type="pct"/>
            <w:gridSpan w:val="7"/>
            <w:tcBorders>
              <w:top w:val="outset" w:sz="6" w:space="0" w:color="auto"/>
              <w:left w:val="outset" w:sz="6" w:space="0" w:color="auto"/>
              <w:bottom w:val="outset" w:sz="6" w:space="0" w:color="auto"/>
              <w:right w:val="outset" w:sz="6" w:space="0" w:color="auto"/>
            </w:tcBorders>
            <w:hideMark/>
          </w:tcPr>
          <w:p w:rsidR="006E679D" w:rsidRPr="002757B9" w:rsidRDefault="004F4C11" w:rsidP="006C1F04">
            <w:pPr>
              <w:ind w:firstLine="336"/>
              <w:rPr>
                <w:rFonts w:cs="Times New Roman"/>
              </w:rPr>
            </w:pPr>
            <w:r w:rsidRPr="002757B9">
              <w:rPr>
                <w:rFonts w:cs="Times New Roman"/>
              </w:rPr>
              <w:t>Ārstniecības likuma 4.panta pirmā daļa.</w:t>
            </w:r>
          </w:p>
        </w:tc>
      </w:tr>
      <w:tr w:rsidR="003E6B1C" w:rsidRPr="002B7FAB" w:rsidTr="003411EB">
        <w:trPr>
          <w:gridAfter w:val="1"/>
          <w:wAfter w:w="23" w:type="pct"/>
          <w:trHeight w:val="465"/>
        </w:trPr>
        <w:tc>
          <w:tcPr>
            <w:tcW w:w="145" w:type="pct"/>
            <w:gridSpan w:val="2"/>
            <w:tcBorders>
              <w:top w:val="outset" w:sz="6" w:space="0" w:color="auto"/>
              <w:left w:val="outset" w:sz="6" w:space="0" w:color="auto"/>
              <w:bottom w:val="outset" w:sz="6" w:space="0" w:color="auto"/>
              <w:right w:val="outset" w:sz="6" w:space="0" w:color="auto"/>
            </w:tcBorders>
            <w:hideMark/>
          </w:tcPr>
          <w:p w:rsidR="003E6B1C" w:rsidRPr="002757B9" w:rsidRDefault="003E6B1C" w:rsidP="002B7FAB">
            <w:pPr>
              <w:spacing w:before="75" w:after="75"/>
              <w:rPr>
                <w:rFonts w:eastAsia="Times New Roman" w:cs="Times New Roman"/>
                <w:szCs w:val="24"/>
                <w:lang w:eastAsia="lv-LV"/>
              </w:rPr>
            </w:pPr>
            <w:r w:rsidRPr="002757B9">
              <w:rPr>
                <w:rFonts w:eastAsia="Times New Roman" w:cs="Times New Roman"/>
                <w:szCs w:val="24"/>
                <w:lang w:eastAsia="lv-LV"/>
              </w:rPr>
              <w:t>2.</w:t>
            </w:r>
          </w:p>
        </w:tc>
        <w:tc>
          <w:tcPr>
            <w:tcW w:w="1015" w:type="pct"/>
            <w:gridSpan w:val="2"/>
            <w:tcBorders>
              <w:top w:val="outset" w:sz="6" w:space="0" w:color="auto"/>
              <w:left w:val="outset" w:sz="6" w:space="0" w:color="auto"/>
              <w:bottom w:val="outset" w:sz="6" w:space="0" w:color="auto"/>
              <w:right w:val="outset" w:sz="6" w:space="0" w:color="auto"/>
            </w:tcBorders>
            <w:hideMark/>
          </w:tcPr>
          <w:p w:rsidR="0086332E" w:rsidRPr="002757B9" w:rsidRDefault="003E6B1C" w:rsidP="002B7FAB">
            <w:pPr>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3E6B1C" w:rsidRPr="002757B9" w:rsidRDefault="003E6B1C" w:rsidP="002B7FAB">
            <w:pPr>
              <w:rPr>
                <w:rFonts w:eastAsia="Times New Roman" w:cs="Times New Roman"/>
                <w:szCs w:val="24"/>
                <w:lang w:eastAsia="lv-LV"/>
              </w:rPr>
            </w:pPr>
          </w:p>
        </w:tc>
        <w:tc>
          <w:tcPr>
            <w:tcW w:w="3817" w:type="pct"/>
            <w:gridSpan w:val="7"/>
            <w:tcBorders>
              <w:top w:val="outset" w:sz="6" w:space="0" w:color="auto"/>
              <w:left w:val="outset" w:sz="6" w:space="0" w:color="auto"/>
              <w:bottom w:val="outset" w:sz="6" w:space="0" w:color="auto"/>
              <w:right w:val="outset" w:sz="6" w:space="0" w:color="auto"/>
            </w:tcBorders>
            <w:hideMark/>
          </w:tcPr>
          <w:p w:rsidR="004F4C11" w:rsidRPr="002757B9" w:rsidRDefault="004F4C11" w:rsidP="004F4C11">
            <w:pPr>
              <w:ind w:firstLine="252"/>
              <w:jc w:val="both"/>
            </w:pPr>
            <w:r w:rsidRPr="002757B9">
              <w:t>Kārtību, kādā iedzīvotāji saņem valsts apmaksātos veselības aprūpes pakalpojumus nosaka Ministru kabineta 2013.gada 17.decembra noteikumi Nr.1529 „Veselības aprūpes organizēšanas un finansēšanas kārtība”</w:t>
            </w:r>
            <w:r w:rsidRPr="002757B9">
              <w:rPr>
                <w:bCs/>
              </w:rPr>
              <w:t xml:space="preserve"> (turpmāk – noteikumi).</w:t>
            </w:r>
            <w:r w:rsidRPr="002757B9">
              <w:t xml:space="preserve"> </w:t>
            </w:r>
          </w:p>
          <w:p w:rsidR="004F4C11" w:rsidRDefault="004F4C11" w:rsidP="004F4C11">
            <w:pPr>
              <w:ind w:firstLine="252"/>
              <w:jc w:val="both"/>
            </w:pPr>
            <w:r w:rsidRPr="002757B9">
              <w:t xml:space="preserve">Veselības ministrija noteiktā kārtībā ir sagatavojusi Ministru kabineta noteikumu projektu „Grozījumi Ministru kabineta 2013.gada 17.decembra noteikumos Nr.1529 „Veselības aprūpes organizēšanas un finansēšanas kārtība” (turpmāk – noteikumu projekts) ar mērķi pilnveidot noteikumos iekļautās normas atbilstoši </w:t>
            </w:r>
            <w:r w:rsidRPr="005905C4">
              <w:t>ekonomiskai un finanšu</w:t>
            </w:r>
            <w:r w:rsidRPr="002757B9">
              <w:t xml:space="preserve"> situācijai veselības aprūpes nozarē. Noteikumu projektā ietverti šādi grozījumi:</w:t>
            </w:r>
          </w:p>
          <w:p w:rsidR="00A53FF9" w:rsidRPr="002757B9" w:rsidRDefault="00A53FF9" w:rsidP="00A53FF9">
            <w:pPr>
              <w:ind w:firstLine="335"/>
              <w:jc w:val="both"/>
            </w:pPr>
            <w:r>
              <w:t>Noteikumu 13.3.1.apakšpunkts izteikts jaunā redakcijā atbilstoši Valsts un pašvaldību institūciju amatpersonu un darbinieku atlīdzības likuma 39.pantā noteiktajam</w:t>
            </w:r>
            <w:r w:rsidR="00A57A69">
              <w:t>,</w:t>
            </w:r>
            <w:r>
              <w:t xml:space="preserve"> precizējot, ka valsts apmaksāta veselības aprūpe tiek nodrošināta Iekšlietu ministrijas sistēmas iestāžu un Tieslietu ministrijas Ieslodzījuma vietu pārvaldes amatpersonām ar speciālajām dienesta pakāpēm.</w:t>
            </w:r>
          </w:p>
          <w:p w:rsidR="00FA1923" w:rsidRPr="00FA1923" w:rsidRDefault="00FA1923" w:rsidP="00FA7ABA">
            <w:pPr>
              <w:ind w:firstLine="336"/>
              <w:jc w:val="both"/>
              <w:rPr>
                <w:rFonts w:cs="Times New Roman"/>
              </w:rPr>
            </w:pPr>
            <w:r>
              <w:rPr>
                <w:rFonts w:cs="Times New Roman"/>
              </w:rPr>
              <w:t>Noteikumi papildināti ar jaunu 13.</w:t>
            </w:r>
            <w:r w:rsidRPr="00FA1923">
              <w:rPr>
                <w:rFonts w:cs="Times New Roman"/>
                <w:vertAlign w:val="superscript"/>
              </w:rPr>
              <w:t>1</w:t>
            </w:r>
            <w:r>
              <w:rPr>
                <w:rFonts w:cs="Times New Roman"/>
              </w:rPr>
              <w:t xml:space="preserve">punktu, nosakot valsts apmaksātu veselības aprūpes pakalpojumu apjomu, kas piešķirams patvēruma meklētājiem. </w:t>
            </w:r>
          </w:p>
          <w:p w:rsidR="00143BB1" w:rsidRPr="00A53FF9" w:rsidRDefault="00765F7F" w:rsidP="005B4E0D">
            <w:pPr>
              <w:ind w:firstLine="336"/>
              <w:jc w:val="both"/>
              <w:rPr>
                <w:rFonts w:cs="Times New Roman"/>
                <w:szCs w:val="24"/>
              </w:rPr>
            </w:pPr>
            <w:r>
              <w:rPr>
                <w:rFonts w:cs="Times New Roman"/>
              </w:rPr>
              <w:t xml:space="preserve">Noteikumu projekts papildināts ar </w:t>
            </w:r>
            <w:r w:rsidR="00143BB1" w:rsidRPr="00143BB1">
              <w:rPr>
                <w:rFonts w:cs="Times New Roman"/>
              </w:rPr>
              <w:t>13.</w:t>
            </w:r>
            <w:r w:rsidR="00143BB1" w:rsidRPr="00143BB1">
              <w:rPr>
                <w:rFonts w:cs="Times New Roman"/>
                <w:vertAlign w:val="superscript"/>
              </w:rPr>
              <w:t>1</w:t>
            </w:r>
            <w:r w:rsidR="00143BB1" w:rsidRPr="00143BB1">
              <w:rPr>
                <w:rFonts w:cs="Times New Roman"/>
              </w:rPr>
              <w:t>punktu pamatojoties uz Patvēruma likuma jauno redakciju, kas stājās spēkā 2016.gada 19.janvārī un 2015.gada 2.decembrī ar Rīkojumu Nr. 759 apstiprināto „Rīcības plāns personu, kurām nepieciešama starptautiskā aizsardzība, pārvietošanai un uzņemšanai Latvijā” (turpmāk – Plāns), kura mērķis ir Latvijas apstākļiem piemērotas sistēmas izveide patvēruma meklētāju uzņemšanai</w:t>
            </w:r>
            <w:r w:rsidR="00A53FF9">
              <w:rPr>
                <w:rFonts w:cs="Times New Roman"/>
              </w:rPr>
              <w:t>. Veselības ministrija ir atbildīga par noteikumu 13.</w:t>
            </w:r>
            <w:r w:rsidR="00A53FF9" w:rsidRPr="00A53FF9">
              <w:rPr>
                <w:rFonts w:cs="Times New Roman"/>
                <w:vertAlign w:val="superscript"/>
              </w:rPr>
              <w:t>1</w:t>
            </w:r>
            <w:r w:rsidR="00A53FF9">
              <w:rPr>
                <w:rFonts w:cs="Times New Roman"/>
              </w:rPr>
              <w:t>punktā minēto veselības aprūpes pakalpojumu nodrošināšanu.</w:t>
            </w:r>
          </w:p>
          <w:p w:rsidR="002A61E8" w:rsidRDefault="008E263D" w:rsidP="00120848">
            <w:pPr>
              <w:ind w:firstLine="336"/>
              <w:jc w:val="both"/>
              <w:rPr>
                <w:rFonts w:cs="Times New Roman"/>
              </w:rPr>
            </w:pPr>
            <w:r w:rsidRPr="00161F59">
              <w:rPr>
                <w:rFonts w:cs="Times New Roman"/>
              </w:rPr>
              <w:t>DRG</w:t>
            </w:r>
            <w:r w:rsidR="00143BB1">
              <w:rPr>
                <w:rFonts w:cs="Times New Roman"/>
              </w:rPr>
              <w:t xml:space="preserve"> </w:t>
            </w:r>
            <w:r w:rsidR="00143BB1" w:rsidRPr="00143BB1">
              <w:rPr>
                <w:rFonts w:cs="Times New Roman"/>
                <w:i/>
              </w:rPr>
              <w:t>(</w:t>
            </w:r>
            <w:proofErr w:type="spellStart"/>
            <w:r w:rsidR="00143BB1" w:rsidRPr="00143BB1">
              <w:rPr>
                <w:rFonts w:cs="Times New Roman"/>
                <w:i/>
              </w:rPr>
              <w:t>Diagnosis</w:t>
            </w:r>
            <w:proofErr w:type="spellEnd"/>
            <w:r w:rsidR="00143BB1" w:rsidRPr="00143BB1">
              <w:rPr>
                <w:rFonts w:cs="Times New Roman"/>
                <w:i/>
              </w:rPr>
              <w:t xml:space="preserve"> </w:t>
            </w:r>
            <w:proofErr w:type="spellStart"/>
            <w:r w:rsidR="00143BB1" w:rsidRPr="00143BB1">
              <w:rPr>
                <w:rFonts w:cs="Times New Roman"/>
                <w:i/>
              </w:rPr>
              <w:t>Related</w:t>
            </w:r>
            <w:proofErr w:type="spellEnd"/>
            <w:r w:rsidR="00143BB1" w:rsidRPr="00143BB1">
              <w:rPr>
                <w:rFonts w:cs="Times New Roman"/>
                <w:i/>
              </w:rPr>
              <w:t xml:space="preserve"> </w:t>
            </w:r>
            <w:proofErr w:type="spellStart"/>
            <w:r w:rsidR="00143BB1" w:rsidRPr="00143BB1">
              <w:rPr>
                <w:rFonts w:cs="Times New Roman"/>
                <w:i/>
              </w:rPr>
              <w:t>Groups</w:t>
            </w:r>
            <w:proofErr w:type="spellEnd"/>
            <w:r w:rsidR="00143BB1" w:rsidRPr="00143BB1">
              <w:rPr>
                <w:rFonts w:cs="Times New Roman"/>
                <w:i/>
              </w:rPr>
              <w:t>)</w:t>
            </w:r>
            <w:r w:rsidR="00143BB1">
              <w:rPr>
                <w:rFonts w:cs="Times New Roman"/>
              </w:rPr>
              <w:t xml:space="preserve"> </w:t>
            </w:r>
            <w:r w:rsidRPr="00161F59">
              <w:rPr>
                <w:rFonts w:cs="Times New Roman"/>
              </w:rPr>
              <w:t>ir detalizēta, diagnozēm piesaistīta </w:t>
            </w:r>
            <w:r w:rsidRPr="00161F59">
              <w:rPr>
                <w:rFonts w:cs="Times New Roman"/>
                <w:bCs/>
              </w:rPr>
              <w:t>veselības aprūpes pakalpojumu uzskaites un apmaksas sistēma</w:t>
            </w:r>
            <w:r w:rsidRPr="00161F59">
              <w:rPr>
                <w:rFonts w:cs="Times New Roman"/>
              </w:rPr>
              <w:t>, kura tiek izmantota, lai varētu veikt uzskaiti un apmaksu par pacientiem sniegtajiem valsts apmaksātajiem veselība</w:t>
            </w:r>
            <w:r>
              <w:rPr>
                <w:rFonts w:cs="Times New Roman"/>
              </w:rPr>
              <w:t>s aprūpes pakalpojumiem slimnīcā</w:t>
            </w:r>
            <w:r w:rsidRPr="00161F59">
              <w:rPr>
                <w:rFonts w:cs="Times New Roman"/>
              </w:rPr>
              <w:t>s.</w:t>
            </w:r>
            <w:r>
              <w:rPr>
                <w:rFonts w:cs="Times New Roman"/>
              </w:rPr>
              <w:t xml:space="preserve"> </w:t>
            </w:r>
            <w:r w:rsidR="00ED7C60">
              <w:rPr>
                <w:rFonts w:cs="Times New Roman"/>
              </w:rPr>
              <w:t>K</w:t>
            </w:r>
            <w:r w:rsidR="001E3EB8">
              <w:rPr>
                <w:rFonts w:cs="Times New Roman"/>
              </w:rPr>
              <w:t>ārtību saskaņā ar kuru Nacionālais veselības dienests aprēķina un izmaksā maksājumus ārstniecības iestādēm par DRG grupas programmas ieviešanu</w:t>
            </w:r>
            <w:r w:rsidR="00ED7C60">
              <w:rPr>
                <w:rFonts w:cs="Times New Roman"/>
              </w:rPr>
              <w:t>, nosaka noteikumu 360.punkts.</w:t>
            </w:r>
            <w:r w:rsidR="001E3EB8">
              <w:rPr>
                <w:rFonts w:cs="Times New Roman"/>
              </w:rPr>
              <w:t xml:space="preserve"> </w:t>
            </w:r>
            <w:r w:rsidR="00F04366" w:rsidRPr="003112F8">
              <w:rPr>
                <w:rFonts w:cs="Times New Roman"/>
              </w:rPr>
              <w:t>Izmaiņas</w:t>
            </w:r>
            <w:r w:rsidR="00F04366">
              <w:rPr>
                <w:rFonts w:cs="Times New Roman"/>
              </w:rPr>
              <w:t xml:space="preserve"> noteikumu </w:t>
            </w:r>
            <w:r w:rsidR="00F04366" w:rsidRPr="002A61E8">
              <w:rPr>
                <w:rFonts w:cs="Times New Roman"/>
              </w:rPr>
              <w:t>360.punktā</w:t>
            </w:r>
            <w:r w:rsidR="00F04366">
              <w:rPr>
                <w:rFonts w:cs="Times New Roman"/>
              </w:rPr>
              <w:t xml:space="preserve"> </w:t>
            </w:r>
            <w:r w:rsidR="000726EC">
              <w:rPr>
                <w:rFonts w:cs="Times New Roman"/>
              </w:rPr>
              <w:t xml:space="preserve">veiktas </w:t>
            </w:r>
            <w:r w:rsidR="002A61E8">
              <w:rPr>
                <w:rFonts w:cs="Times New Roman"/>
              </w:rPr>
              <w:t xml:space="preserve">lai veiktu stacionāro veselības aprūpes pakalpojumu sniedzēju līgumu plānošanu </w:t>
            </w:r>
            <w:r w:rsidR="006E679D">
              <w:rPr>
                <w:rFonts w:cs="Times New Roman"/>
              </w:rPr>
              <w:t>lai preciz</w:t>
            </w:r>
            <w:r w:rsidR="00B87F06">
              <w:rPr>
                <w:rFonts w:cs="Times New Roman"/>
              </w:rPr>
              <w:t>ētu stacionā</w:t>
            </w:r>
            <w:r w:rsidR="006E679D">
              <w:rPr>
                <w:rFonts w:cs="Times New Roman"/>
              </w:rPr>
              <w:t xml:space="preserve">ro pakalpojumu plānošanas nosacījumus, kas nodrošinātu ārstniecības iestāžu veiktā darba apmaksu DRG ieviešanas </w:t>
            </w:r>
            <w:r w:rsidR="00B87F06">
              <w:rPr>
                <w:rFonts w:cs="Times New Roman"/>
              </w:rPr>
              <w:t>periodā</w:t>
            </w:r>
            <w:r w:rsidR="002A61E8">
              <w:rPr>
                <w:rFonts w:cs="Times New Roman"/>
              </w:rPr>
              <w:t>.</w:t>
            </w:r>
          </w:p>
          <w:p w:rsidR="002F05D3" w:rsidRDefault="002F05D3" w:rsidP="00120848">
            <w:pPr>
              <w:ind w:firstLine="336"/>
              <w:jc w:val="both"/>
              <w:rPr>
                <w:rFonts w:cs="Times New Roman"/>
              </w:rPr>
            </w:pPr>
            <w:r>
              <w:rPr>
                <w:rFonts w:cs="Times New Roman"/>
              </w:rPr>
              <w:t>Grozījumi pielikumos:</w:t>
            </w:r>
          </w:p>
          <w:p w:rsidR="00D04A25" w:rsidRPr="002757B9" w:rsidRDefault="00142019" w:rsidP="006C51D5">
            <w:pPr>
              <w:ind w:firstLine="336"/>
              <w:jc w:val="both"/>
              <w:rPr>
                <w:rFonts w:cs="Times New Roman"/>
              </w:rPr>
            </w:pPr>
            <w:r>
              <w:rPr>
                <w:rFonts w:cs="Times New Roman"/>
              </w:rPr>
              <w:t>3.pielikuma 2.1.28.2., 2.1.41.</w:t>
            </w:r>
            <w:r w:rsidR="006C51D5">
              <w:rPr>
                <w:rFonts w:cs="Times New Roman"/>
              </w:rPr>
              <w:t xml:space="preserve"> un 3.2.28.2.</w:t>
            </w:r>
            <w:r>
              <w:rPr>
                <w:rFonts w:cs="Times New Roman"/>
              </w:rPr>
              <w:t>apakšpunktā</w:t>
            </w:r>
            <w:r w:rsidR="006C51D5">
              <w:rPr>
                <w:rFonts w:cs="Times New Roman"/>
              </w:rPr>
              <w:t>,</w:t>
            </w:r>
            <w:r>
              <w:rPr>
                <w:rFonts w:cs="Times New Roman"/>
              </w:rPr>
              <w:t xml:space="preserve"> </w:t>
            </w:r>
            <w:r w:rsidR="006C51D5">
              <w:rPr>
                <w:rFonts w:cs="Times New Roman"/>
              </w:rPr>
              <w:t>16.pielikuma 1179. un 1180.punktā un 22.pielikuma 1.punktā</w:t>
            </w:r>
            <w:r>
              <w:rPr>
                <w:rFonts w:cs="Times New Roman"/>
              </w:rPr>
              <w:t xml:space="preserve"> veiktas redakcionālas </w:t>
            </w:r>
            <w:r>
              <w:rPr>
                <w:rFonts w:cs="Times New Roman"/>
              </w:rPr>
              <w:lastRenderedPageBreak/>
              <w:t xml:space="preserve">izmaiņas, lai varētu nodrošināt </w:t>
            </w:r>
            <w:proofErr w:type="spellStart"/>
            <w:r w:rsidRPr="00CC4855">
              <w:rPr>
                <w:rFonts w:cs="Times New Roman"/>
              </w:rPr>
              <w:t>endoprotezēšanas</w:t>
            </w:r>
            <w:proofErr w:type="spellEnd"/>
            <w:r w:rsidRPr="00CC4855">
              <w:rPr>
                <w:rFonts w:cs="Times New Roman"/>
              </w:rPr>
              <w:t xml:space="preserve"> pakalpojumu</w:t>
            </w:r>
            <w:r w:rsidR="006C51D5">
              <w:rPr>
                <w:rFonts w:cs="Times New Roman"/>
              </w:rPr>
              <w:t>s</w:t>
            </w:r>
            <w:r w:rsidRPr="00CC4855">
              <w:rPr>
                <w:rFonts w:cs="Times New Roman"/>
              </w:rPr>
              <w:t xml:space="preserve"> un veikt apmaksu par pacientiem, kuriem medicīnisku indikāciju dēļ pie primārās lielo locītavu </w:t>
            </w:r>
            <w:proofErr w:type="spellStart"/>
            <w:r w:rsidRPr="00CC4855">
              <w:rPr>
                <w:rFonts w:cs="Times New Roman"/>
              </w:rPr>
              <w:t>endoprotezēšanas</w:t>
            </w:r>
            <w:proofErr w:type="spellEnd"/>
            <w:r w:rsidRPr="00CC4855">
              <w:rPr>
                <w:rFonts w:cs="Times New Roman"/>
              </w:rPr>
              <w:t xml:space="preserve"> ir nepieciešami revīz</w:t>
            </w:r>
            <w:r>
              <w:rPr>
                <w:rFonts w:cs="Times New Roman"/>
              </w:rPr>
              <w:t>ijas implanti un to sastāvdaļas</w:t>
            </w:r>
            <w:r w:rsidR="006C51D5">
              <w:rPr>
                <w:rFonts w:cs="Times New Roman"/>
              </w:rPr>
              <w:t>.</w:t>
            </w:r>
          </w:p>
        </w:tc>
      </w:tr>
      <w:tr w:rsidR="003E6B1C" w:rsidRPr="002B7FAB" w:rsidTr="003411EB">
        <w:trPr>
          <w:gridAfter w:val="1"/>
          <w:wAfter w:w="23" w:type="pct"/>
          <w:trHeight w:val="465"/>
        </w:trPr>
        <w:tc>
          <w:tcPr>
            <w:tcW w:w="145" w:type="pct"/>
            <w:gridSpan w:val="2"/>
            <w:tcBorders>
              <w:top w:val="outset" w:sz="6" w:space="0" w:color="auto"/>
              <w:left w:val="outset" w:sz="6" w:space="0" w:color="auto"/>
              <w:bottom w:val="outset" w:sz="6" w:space="0" w:color="auto"/>
              <w:right w:val="outset" w:sz="6" w:space="0" w:color="auto"/>
            </w:tcBorders>
            <w:hideMark/>
          </w:tcPr>
          <w:p w:rsidR="003E6B1C" w:rsidRPr="006D1F1C" w:rsidRDefault="003E6B1C" w:rsidP="002B7FAB">
            <w:pPr>
              <w:spacing w:before="75" w:after="75"/>
              <w:rPr>
                <w:rFonts w:eastAsia="Times New Roman" w:cs="Times New Roman"/>
                <w:szCs w:val="24"/>
                <w:lang w:eastAsia="lv-LV"/>
              </w:rPr>
            </w:pPr>
            <w:r w:rsidRPr="006D1F1C">
              <w:rPr>
                <w:rFonts w:eastAsia="Times New Roman" w:cs="Times New Roman"/>
                <w:szCs w:val="24"/>
                <w:lang w:eastAsia="lv-LV"/>
              </w:rPr>
              <w:lastRenderedPageBreak/>
              <w:t>3.</w:t>
            </w:r>
          </w:p>
        </w:tc>
        <w:tc>
          <w:tcPr>
            <w:tcW w:w="1015" w:type="pct"/>
            <w:gridSpan w:val="2"/>
            <w:tcBorders>
              <w:top w:val="outset" w:sz="6" w:space="0" w:color="auto"/>
              <w:left w:val="outset" w:sz="6" w:space="0" w:color="auto"/>
              <w:bottom w:val="outset" w:sz="6" w:space="0" w:color="auto"/>
              <w:right w:val="outset" w:sz="6" w:space="0" w:color="auto"/>
            </w:tcBorders>
            <w:hideMark/>
          </w:tcPr>
          <w:p w:rsidR="003E6B1C" w:rsidRPr="006D1F1C" w:rsidRDefault="003E6B1C" w:rsidP="002B7FAB">
            <w:pPr>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17" w:type="pct"/>
            <w:gridSpan w:val="7"/>
            <w:tcBorders>
              <w:top w:val="outset" w:sz="6" w:space="0" w:color="auto"/>
              <w:left w:val="outset" w:sz="6" w:space="0" w:color="auto"/>
              <w:bottom w:val="outset" w:sz="6" w:space="0" w:color="auto"/>
              <w:right w:val="outset" w:sz="6" w:space="0" w:color="auto"/>
            </w:tcBorders>
            <w:hideMark/>
          </w:tcPr>
          <w:p w:rsidR="003E6B1C" w:rsidRPr="006D1F1C" w:rsidRDefault="006D1F1C" w:rsidP="00CD4936">
            <w:pPr>
              <w:rPr>
                <w:rFonts w:eastAsia="Times New Roman" w:cs="Times New Roman"/>
                <w:szCs w:val="24"/>
                <w:lang w:eastAsia="lv-LV"/>
              </w:rPr>
            </w:pPr>
            <w:r>
              <w:rPr>
                <w:rFonts w:eastAsia="Times New Roman" w:cs="Times New Roman"/>
                <w:szCs w:val="24"/>
                <w:lang w:eastAsia="lv-LV"/>
              </w:rPr>
              <w:t>Nacionālais veselības dienests, Latvijas Laboratoriju speciālistu biedrība, Latvijas Hematologu asociācija, Latvijas Endokrinologu asociācija, Bērnu klīniskās universitātes slimnīca, Latvijas pediatru</w:t>
            </w:r>
            <w:r w:rsidR="00CD4936">
              <w:rPr>
                <w:rFonts w:eastAsia="Times New Roman" w:cs="Times New Roman"/>
                <w:szCs w:val="24"/>
                <w:lang w:eastAsia="lv-LV"/>
              </w:rPr>
              <w:t xml:space="preserve"> </w:t>
            </w:r>
            <w:proofErr w:type="spellStart"/>
            <w:r w:rsidR="00CD4936">
              <w:rPr>
                <w:rFonts w:eastAsia="Times New Roman" w:cs="Times New Roman"/>
                <w:szCs w:val="24"/>
                <w:lang w:eastAsia="lv-LV"/>
              </w:rPr>
              <w:t>reimatologu</w:t>
            </w:r>
            <w:proofErr w:type="spellEnd"/>
            <w:r w:rsidR="00CD4936">
              <w:rPr>
                <w:rFonts w:eastAsia="Times New Roman" w:cs="Times New Roman"/>
                <w:szCs w:val="24"/>
                <w:lang w:eastAsia="lv-LV"/>
              </w:rPr>
              <w:t xml:space="preserve"> biedrība</w:t>
            </w:r>
            <w:r>
              <w:rPr>
                <w:rFonts w:eastAsia="Times New Roman" w:cs="Times New Roman"/>
                <w:szCs w:val="24"/>
                <w:lang w:eastAsia="lv-LV"/>
              </w:rPr>
              <w:t xml:space="preserve"> </w:t>
            </w:r>
          </w:p>
        </w:tc>
      </w:tr>
      <w:tr w:rsidR="003E6B1C" w:rsidRPr="002B7FAB" w:rsidTr="003411EB">
        <w:trPr>
          <w:gridAfter w:val="1"/>
          <w:wAfter w:w="23" w:type="pct"/>
        </w:trPr>
        <w:tc>
          <w:tcPr>
            <w:tcW w:w="145" w:type="pct"/>
            <w:gridSpan w:val="2"/>
            <w:tcBorders>
              <w:top w:val="outset" w:sz="6" w:space="0" w:color="auto"/>
              <w:left w:val="outset" w:sz="6" w:space="0" w:color="auto"/>
              <w:bottom w:val="outset" w:sz="6" w:space="0" w:color="auto"/>
              <w:right w:val="outset" w:sz="6" w:space="0" w:color="auto"/>
            </w:tcBorders>
            <w:hideMark/>
          </w:tcPr>
          <w:p w:rsidR="003E6B1C" w:rsidRPr="006D1F1C" w:rsidRDefault="003E6B1C" w:rsidP="002B7FAB">
            <w:pPr>
              <w:spacing w:before="75" w:after="75"/>
              <w:rPr>
                <w:rFonts w:eastAsia="Times New Roman" w:cs="Times New Roman"/>
                <w:szCs w:val="24"/>
                <w:lang w:eastAsia="lv-LV"/>
              </w:rPr>
            </w:pPr>
            <w:r w:rsidRPr="006D1F1C">
              <w:rPr>
                <w:rFonts w:eastAsia="Times New Roman" w:cs="Times New Roman"/>
                <w:szCs w:val="24"/>
                <w:lang w:eastAsia="lv-LV"/>
              </w:rPr>
              <w:t>4.</w:t>
            </w:r>
          </w:p>
        </w:tc>
        <w:tc>
          <w:tcPr>
            <w:tcW w:w="1015" w:type="pct"/>
            <w:gridSpan w:val="2"/>
            <w:tcBorders>
              <w:top w:val="outset" w:sz="6" w:space="0" w:color="auto"/>
              <w:left w:val="outset" w:sz="6" w:space="0" w:color="auto"/>
              <w:bottom w:val="outset" w:sz="6" w:space="0" w:color="auto"/>
              <w:right w:val="outset" w:sz="6" w:space="0" w:color="auto"/>
            </w:tcBorders>
            <w:hideMark/>
          </w:tcPr>
          <w:p w:rsidR="003E6B1C" w:rsidRPr="006D1F1C" w:rsidRDefault="003E6B1C" w:rsidP="002B7FAB">
            <w:pPr>
              <w:rPr>
                <w:rFonts w:eastAsia="Times New Roman" w:cs="Times New Roman"/>
                <w:szCs w:val="24"/>
                <w:lang w:eastAsia="lv-LV"/>
              </w:rPr>
            </w:pPr>
            <w:r w:rsidRPr="006D1F1C">
              <w:rPr>
                <w:rFonts w:eastAsia="Times New Roman" w:cs="Times New Roman"/>
                <w:szCs w:val="24"/>
                <w:lang w:eastAsia="lv-LV"/>
              </w:rPr>
              <w:t>Cita informācija</w:t>
            </w:r>
          </w:p>
        </w:tc>
        <w:tc>
          <w:tcPr>
            <w:tcW w:w="3817" w:type="pct"/>
            <w:gridSpan w:val="7"/>
            <w:tcBorders>
              <w:top w:val="outset" w:sz="6" w:space="0" w:color="auto"/>
              <w:left w:val="outset" w:sz="6" w:space="0" w:color="auto"/>
              <w:bottom w:val="outset" w:sz="6" w:space="0" w:color="auto"/>
              <w:right w:val="outset" w:sz="6" w:space="0" w:color="auto"/>
            </w:tcBorders>
            <w:hideMark/>
          </w:tcPr>
          <w:p w:rsidR="00DF5AD0" w:rsidRPr="006D1F1C" w:rsidRDefault="00C93517" w:rsidP="002B7FAB">
            <w:pPr>
              <w:pStyle w:val="NormalWeb"/>
            </w:pPr>
            <w:r w:rsidRPr="006D1F1C">
              <w:t>Nav.</w:t>
            </w:r>
          </w:p>
        </w:tc>
      </w:tr>
      <w:tr w:rsidR="003E6B1C" w:rsidRPr="002B7FAB" w:rsidTr="00822F53">
        <w:tblPrEx>
          <w:jc w:val="center"/>
        </w:tblPrEx>
        <w:trPr>
          <w:gridBefore w:val="1"/>
          <w:wBefore w:w="25" w:type="pct"/>
          <w:trHeight w:val="360"/>
          <w:jc w:val="center"/>
        </w:trPr>
        <w:tc>
          <w:tcPr>
            <w:tcW w:w="4975" w:type="pct"/>
            <w:gridSpan w:val="11"/>
            <w:tcBorders>
              <w:top w:val="outset" w:sz="6" w:space="0" w:color="auto"/>
              <w:left w:val="nil"/>
              <w:bottom w:val="outset" w:sz="6" w:space="0" w:color="auto"/>
              <w:right w:val="nil"/>
            </w:tcBorders>
            <w:vAlign w:val="center"/>
            <w:hideMark/>
          </w:tcPr>
          <w:p w:rsidR="002F425F" w:rsidRPr="002B7FAB" w:rsidRDefault="002F425F" w:rsidP="002B7FAB">
            <w:pPr>
              <w:spacing w:before="75" w:after="75"/>
              <w:rPr>
                <w:rFonts w:eastAsia="Times New Roman" w:cs="Times New Roman"/>
                <w:color w:val="44546A" w:themeColor="text2"/>
                <w:szCs w:val="24"/>
                <w:lang w:eastAsia="lv-LV"/>
              </w:rPr>
            </w:pPr>
          </w:p>
        </w:tc>
      </w:tr>
      <w:tr w:rsidR="0093650A" w:rsidRPr="00857BA9" w:rsidTr="00341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23" w:type="pct"/>
        </w:trPr>
        <w:tc>
          <w:tcPr>
            <w:tcW w:w="4977" w:type="pct"/>
            <w:gridSpan w:val="11"/>
          </w:tcPr>
          <w:p w:rsidR="0093650A" w:rsidRPr="00857BA9" w:rsidRDefault="0093650A" w:rsidP="0093650A">
            <w:pPr>
              <w:jc w:val="center"/>
            </w:pPr>
            <w:r w:rsidRPr="00DD3994">
              <w:rPr>
                <w:b/>
                <w:bCs/>
                <w:lang w:val="fi-FI"/>
              </w:rPr>
              <w:t>II. Tiesību akta projekta ietekme uz sabiedrību, tautsaimniecības attīstību un administratīvo slogu</w:t>
            </w:r>
          </w:p>
        </w:tc>
      </w:tr>
      <w:tr w:rsidR="0093650A" w:rsidRPr="00857BA9" w:rsidTr="00341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23" w:type="pct"/>
        </w:trPr>
        <w:tc>
          <w:tcPr>
            <w:tcW w:w="325" w:type="pct"/>
            <w:gridSpan w:val="3"/>
          </w:tcPr>
          <w:p w:rsidR="0093650A" w:rsidRPr="00857BA9" w:rsidRDefault="0093650A" w:rsidP="0093650A">
            <w:r w:rsidRPr="00857BA9">
              <w:t>1.</w:t>
            </w:r>
          </w:p>
        </w:tc>
        <w:tc>
          <w:tcPr>
            <w:tcW w:w="1173" w:type="pct"/>
            <w:gridSpan w:val="3"/>
          </w:tcPr>
          <w:p w:rsidR="0093650A" w:rsidRPr="00857BA9" w:rsidRDefault="0093650A" w:rsidP="0093650A">
            <w:pPr>
              <w:ind w:left="-42" w:right="-108"/>
            </w:pPr>
            <w:r w:rsidRPr="00857BA9">
              <w:t>Sabiedrības mērķgrupas, kuras tiesiskais regulējums ietekmē vai varētu ietekmēt</w:t>
            </w:r>
          </w:p>
        </w:tc>
        <w:tc>
          <w:tcPr>
            <w:tcW w:w="3479" w:type="pct"/>
            <w:gridSpan w:val="5"/>
          </w:tcPr>
          <w:p w:rsidR="0093650A" w:rsidRDefault="00DD3994" w:rsidP="0093650A">
            <w:pPr>
              <w:jc w:val="both"/>
            </w:pPr>
            <w:r>
              <w:t>Ārstniecības iestādes</w:t>
            </w:r>
          </w:p>
          <w:p w:rsidR="00DD3994" w:rsidRDefault="00DD3994" w:rsidP="0093650A">
            <w:pPr>
              <w:jc w:val="both"/>
            </w:pPr>
            <w:r>
              <w:t>Latvijas iedzīvotāji</w:t>
            </w:r>
          </w:p>
          <w:p w:rsidR="00DD3994" w:rsidRPr="00857BA9" w:rsidRDefault="00DD3994" w:rsidP="0093650A">
            <w:pPr>
              <w:jc w:val="both"/>
            </w:pPr>
            <w:r>
              <w:t>Nacionālais veselības dienests</w:t>
            </w:r>
          </w:p>
        </w:tc>
      </w:tr>
      <w:tr w:rsidR="0093650A" w:rsidRPr="00857BA9" w:rsidTr="00341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23" w:type="pct"/>
        </w:trPr>
        <w:tc>
          <w:tcPr>
            <w:tcW w:w="325" w:type="pct"/>
            <w:gridSpan w:val="3"/>
          </w:tcPr>
          <w:p w:rsidR="0093650A" w:rsidRPr="00857BA9" w:rsidRDefault="0093650A" w:rsidP="0093650A">
            <w:r w:rsidRPr="00857BA9">
              <w:t>2.</w:t>
            </w:r>
          </w:p>
        </w:tc>
        <w:tc>
          <w:tcPr>
            <w:tcW w:w="1173" w:type="pct"/>
            <w:gridSpan w:val="3"/>
          </w:tcPr>
          <w:p w:rsidR="0093650A" w:rsidRPr="00857BA9" w:rsidRDefault="0093650A" w:rsidP="0093650A">
            <w:pPr>
              <w:ind w:left="-42" w:right="-108"/>
            </w:pPr>
            <w:r w:rsidRPr="00857BA9">
              <w:t>Tiesiskā regulējuma ietekme uz tautsaimniecību un administratīvo slogu</w:t>
            </w:r>
          </w:p>
        </w:tc>
        <w:tc>
          <w:tcPr>
            <w:tcW w:w="3479" w:type="pct"/>
            <w:gridSpan w:val="5"/>
          </w:tcPr>
          <w:p w:rsidR="0093650A" w:rsidRPr="00EF3FA3" w:rsidRDefault="00822F53" w:rsidP="00822F53">
            <w:pPr>
              <w:jc w:val="both"/>
              <w:rPr>
                <w:color w:val="000000" w:themeColor="text1"/>
              </w:rPr>
            </w:pPr>
            <w:r>
              <w:rPr>
                <w:color w:val="000000" w:themeColor="text1"/>
              </w:rPr>
              <w:t>Nav.</w:t>
            </w:r>
          </w:p>
        </w:tc>
      </w:tr>
      <w:tr w:rsidR="0093650A" w:rsidRPr="00857BA9" w:rsidTr="00341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23" w:type="pct"/>
        </w:trPr>
        <w:tc>
          <w:tcPr>
            <w:tcW w:w="325" w:type="pct"/>
            <w:gridSpan w:val="3"/>
          </w:tcPr>
          <w:p w:rsidR="0093650A" w:rsidRPr="00857BA9" w:rsidRDefault="0093650A" w:rsidP="0093650A">
            <w:r w:rsidRPr="00857BA9">
              <w:t>3.</w:t>
            </w:r>
          </w:p>
        </w:tc>
        <w:tc>
          <w:tcPr>
            <w:tcW w:w="1173" w:type="pct"/>
            <w:gridSpan w:val="3"/>
          </w:tcPr>
          <w:p w:rsidR="0093650A" w:rsidRPr="00857BA9" w:rsidRDefault="0093650A" w:rsidP="0093650A">
            <w:pPr>
              <w:ind w:left="-42" w:right="-108"/>
            </w:pPr>
            <w:r w:rsidRPr="00857BA9">
              <w:t>Administratīvo izmaksu monetārs novērtējums</w:t>
            </w:r>
          </w:p>
        </w:tc>
        <w:tc>
          <w:tcPr>
            <w:tcW w:w="3479" w:type="pct"/>
            <w:gridSpan w:val="5"/>
          </w:tcPr>
          <w:p w:rsidR="0093650A" w:rsidRPr="00822F53" w:rsidRDefault="00822F53" w:rsidP="0093650A">
            <w:pPr>
              <w:jc w:val="both"/>
            </w:pPr>
            <w:r w:rsidRPr="00822F53">
              <w:t>Nav</w:t>
            </w:r>
            <w:r>
              <w:t>.</w:t>
            </w:r>
          </w:p>
        </w:tc>
      </w:tr>
      <w:tr w:rsidR="0093650A" w:rsidRPr="00857BA9" w:rsidTr="00341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23" w:type="pct"/>
        </w:trPr>
        <w:tc>
          <w:tcPr>
            <w:tcW w:w="325" w:type="pct"/>
            <w:gridSpan w:val="3"/>
          </w:tcPr>
          <w:p w:rsidR="0093650A" w:rsidRPr="00857BA9" w:rsidRDefault="0093650A" w:rsidP="0093650A">
            <w:r w:rsidRPr="00857BA9">
              <w:t>4.</w:t>
            </w:r>
          </w:p>
        </w:tc>
        <w:tc>
          <w:tcPr>
            <w:tcW w:w="1173" w:type="pct"/>
            <w:gridSpan w:val="3"/>
          </w:tcPr>
          <w:p w:rsidR="0093650A" w:rsidRPr="00857BA9" w:rsidRDefault="0093650A" w:rsidP="0093650A">
            <w:pPr>
              <w:ind w:left="-42" w:right="-108"/>
            </w:pPr>
            <w:r w:rsidRPr="00857BA9">
              <w:t>Cita informācija</w:t>
            </w:r>
          </w:p>
        </w:tc>
        <w:tc>
          <w:tcPr>
            <w:tcW w:w="3479" w:type="pct"/>
            <w:gridSpan w:val="5"/>
          </w:tcPr>
          <w:p w:rsidR="0093650A" w:rsidRPr="00857BA9" w:rsidRDefault="00822F53" w:rsidP="00822F53">
            <w:pPr>
              <w:jc w:val="both"/>
              <w:rPr>
                <w:highlight w:val="yellow"/>
              </w:rPr>
            </w:pPr>
            <w:r w:rsidRPr="00822F53">
              <w:t>Nav.</w:t>
            </w:r>
          </w:p>
        </w:tc>
      </w:tr>
      <w:tr w:rsidR="0093650A" w:rsidRPr="002B7FAB" w:rsidTr="00822F53">
        <w:tblPrEx>
          <w:jc w:val="center"/>
        </w:tblPrEx>
        <w:trPr>
          <w:gridBefore w:val="1"/>
          <w:wBefore w:w="25" w:type="pct"/>
          <w:trHeight w:val="360"/>
          <w:jc w:val="center"/>
        </w:trPr>
        <w:tc>
          <w:tcPr>
            <w:tcW w:w="4975" w:type="pct"/>
            <w:gridSpan w:val="11"/>
            <w:tcBorders>
              <w:top w:val="outset" w:sz="6" w:space="0" w:color="auto"/>
              <w:left w:val="nil"/>
              <w:bottom w:val="outset" w:sz="6" w:space="0" w:color="auto"/>
              <w:right w:val="nil"/>
            </w:tcBorders>
            <w:vAlign w:val="center"/>
            <w:hideMark/>
          </w:tcPr>
          <w:p w:rsidR="0093650A" w:rsidRDefault="0093650A" w:rsidP="002B7FAB">
            <w:pPr>
              <w:spacing w:before="75" w:after="75"/>
              <w:rPr>
                <w:rFonts w:eastAsia="Times New Roman" w:cs="Times New Roman"/>
                <w:color w:val="44546A" w:themeColor="text2"/>
                <w:szCs w:val="24"/>
                <w:lang w:eastAsia="lv-LV"/>
              </w:rPr>
            </w:pPr>
          </w:p>
        </w:tc>
      </w:tr>
      <w:tr w:rsidR="00DE0605" w:rsidRPr="006D1F1C" w:rsidTr="00822F53">
        <w:tblPrEx>
          <w:jc w:val="center"/>
        </w:tblPrEx>
        <w:trPr>
          <w:gridBefore w:val="1"/>
          <w:wBefore w:w="25" w:type="pct"/>
          <w:jc w:val="center"/>
        </w:trPr>
        <w:tc>
          <w:tcPr>
            <w:tcW w:w="4975" w:type="pct"/>
            <w:gridSpan w:val="11"/>
            <w:tcBorders>
              <w:top w:val="outset" w:sz="6" w:space="0" w:color="auto"/>
              <w:left w:val="outset" w:sz="6" w:space="0" w:color="auto"/>
              <w:bottom w:val="outset" w:sz="6" w:space="0" w:color="auto"/>
              <w:right w:val="outset" w:sz="6" w:space="0" w:color="auto"/>
            </w:tcBorders>
            <w:vAlign w:val="center"/>
          </w:tcPr>
          <w:p w:rsidR="00DE0605" w:rsidRPr="006D1F1C" w:rsidRDefault="00DE0605" w:rsidP="002B7FAB">
            <w:pPr>
              <w:spacing w:before="75" w:after="75"/>
              <w:jc w:val="center"/>
              <w:rPr>
                <w:rFonts w:eastAsia="Times New Roman" w:cs="Times New Roman"/>
                <w:szCs w:val="24"/>
                <w:lang w:eastAsia="lv-LV"/>
              </w:rPr>
            </w:pPr>
            <w:r w:rsidRPr="006D1F1C">
              <w:rPr>
                <w:rFonts w:eastAsia="Times New Roman" w:cs="Times New Roman"/>
                <w:b/>
                <w:bCs/>
                <w:szCs w:val="24"/>
                <w:lang w:eastAsia="lv-LV"/>
              </w:rPr>
              <w:t>III. Tiesību akta projekta ietekme uz valsts budžetu un pašvaldību budžetiem</w:t>
            </w:r>
          </w:p>
        </w:tc>
      </w:tr>
      <w:tr w:rsidR="00DE0605" w:rsidRPr="006D1F1C" w:rsidTr="003411EB">
        <w:tblPrEx>
          <w:jc w:val="center"/>
        </w:tblPrEx>
        <w:trPr>
          <w:gridBefore w:val="1"/>
          <w:wBefore w:w="25" w:type="pct"/>
          <w:jc w:val="center"/>
        </w:trPr>
        <w:tc>
          <w:tcPr>
            <w:tcW w:w="1213"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Cs w:val="24"/>
                <w:lang w:eastAsia="lv-LV"/>
              </w:rPr>
            </w:pPr>
            <w:r w:rsidRPr="006D1F1C">
              <w:rPr>
                <w:rFonts w:eastAsia="Times New Roman" w:cs="Times New Roman"/>
                <w:b/>
                <w:bCs/>
                <w:szCs w:val="24"/>
                <w:lang w:eastAsia="lv-LV"/>
              </w:rPr>
              <w:t>Rādītāji</w:t>
            </w:r>
          </w:p>
        </w:tc>
        <w:tc>
          <w:tcPr>
            <w:tcW w:w="174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1625B2">
            <w:pPr>
              <w:spacing w:before="75" w:after="75"/>
              <w:rPr>
                <w:rFonts w:eastAsia="Times New Roman" w:cs="Times New Roman"/>
                <w:szCs w:val="24"/>
                <w:lang w:eastAsia="lv-LV"/>
              </w:rPr>
            </w:pPr>
            <w:r w:rsidRPr="006D1F1C">
              <w:rPr>
                <w:rFonts w:eastAsia="Times New Roman" w:cs="Times New Roman"/>
                <w:b/>
                <w:bCs/>
                <w:szCs w:val="24"/>
                <w:lang w:eastAsia="lv-LV"/>
              </w:rPr>
              <w:t>201</w:t>
            </w:r>
            <w:r w:rsidR="001625B2">
              <w:rPr>
                <w:rFonts w:eastAsia="Times New Roman" w:cs="Times New Roman"/>
                <w:b/>
                <w:bCs/>
                <w:szCs w:val="24"/>
                <w:lang w:eastAsia="lv-LV"/>
              </w:rPr>
              <w:t>6</w:t>
            </w:r>
            <w:r w:rsidRPr="006D1F1C">
              <w:rPr>
                <w:rFonts w:eastAsia="Times New Roman" w:cs="Times New Roman"/>
                <w:b/>
                <w:bCs/>
                <w:szCs w:val="24"/>
                <w:lang w:eastAsia="lv-LV"/>
              </w:rPr>
              <w:t>. gads</w:t>
            </w:r>
          </w:p>
        </w:tc>
        <w:tc>
          <w:tcPr>
            <w:tcW w:w="2022" w:type="pct"/>
            <w:gridSpan w:val="4"/>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Cs w:val="24"/>
                <w:lang w:eastAsia="lv-LV"/>
              </w:rPr>
            </w:pPr>
            <w:r w:rsidRPr="006D1F1C">
              <w:rPr>
                <w:rFonts w:eastAsia="Times New Roman" w:cs="Times New Roman"/>
                <w:szCs w:val="24"/>
                <w:lang w:eastAsia="lv-LV"/>
              </w:rPr>
              <w:t>Turpmākie trīs gadi (</w:t>
            </w:r>
            <w:r w:rsidRPr="006D1F1C">
              <w:rPr>
                <w:rFonts w:eastAsia="Times New Roman" w:cs="Times New Roman"/>
                <w:i/>
                <w:szCs w:val="24"/>
                <w:lang w:eastAsia="lv-LV"/>
              </w:rPr>
              <w:t>euro</w:t>
            </w:r>
            <w:r w:rsidRPr="006D1F1C">
              <w:rPr>
                <w:rFonts w:eastAsia="Times New Roman" w:cs="Times New Roman"/>
                <w:szCs w:val="24"/>
                <w:lang w:eastAsia="lv-LV"/>
              </w:rPr>
              <w:t>)</w:t>
            </w:r>
          </w:p>
        </w:tc>
      </w:tr>
      <w:tr w:rsidR="00DE0605" w:rsidRPr="006D1F1C" w:rsidTr="003411EB">
        <w:tblPrEx>
          <w:jc w:val="center"/>
        </w:tblPrEx>
        <w:trPr>
          <w:gridBefore w:val="1"/>
          <w:wBefore w:w="25" w:type="pct"/>
          <w:jc w:val="center"/>
        </w:trPr>
        <w:tc>
          <w:tcPr>
            <w:tcW w:w="1213" w:type="pct"/>
            <w:gridSpan w:val="4"/>
            <w:vMerge/>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rPr>
                <w:rFonts w:eastAsia="Times New Roman" w:cs="Times New Roman"/>
                <w:szCs w:val="24"/>
                <w:lang w:eastAsia="lv-LV"/>
              </w:rPr>
            </w:pPr>
          </w:p>
        </w:tc>
        <w:tc>
          <w:tcPr>
            <w:tcW w:w="1740" w:type="pct"/>
            <w:gridSpan w:val="3"/>
            <w:vMerge/>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rPr>
                <w:rFonts w:eastAsia="Times New Roman" w:cs="Times New Roman"/>
                <w:szCs w:val="24"/>
                <w:lang w:eastAsia="lv-LV"/>
              </w:rPr>
            </w:pPr>
          </w:p>
        </w:tc>
        <w:tc>
          <w:tcPr>
            <w:tcW w:w="646" w:type="pc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1625B2">
            <w:pPr>
              <w:spacing w:before="75" w:after="75"/>
              <w:rPr>
                <w:rFonts w:eastAsia="Times New Roman" w:cs="Times New Roman"/>
                <w:szCs w:val="24"/>
                <w:lang w:eastAsia="lv-LV"/>
              </w:rPr>
            </w:pPr>
            <w:r w:rsidRPr="006D1F1C">
              <w:rPr>
                <w:rFonts w:eastAsia="Times New Roman" w:cs="Times New Roman"/>
                <w:b/>
                <w:bCs/>
                <w:szCs w:val="24"/>
                <w:lang w:eastAsia="lv-LV"/>
              </w:rPr>
              <w:t>201</w:t>
            </w:r>
            <w:r w:rsidR="001625B2">
              <w:rPr>
                <w:rFonts w:eastAsia="Times New Roman" w:cs="Times New Roman"/>
                <w:b/>
                <w:bCs/>
                <w:szCs w:val="24"/>
                <w:lang w:eastAsia="lv-LV"/>
              </w:rPr>
              <w:t>7</w:t>
            </w:r>
          </w:p>
        </w:tc>
        <w:tc>
          <w:tcPr>
            <w:tcW w:w="701" w:type="pc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1625B2">
            <w:pPr>
              <w:spacing w:before="75" w:after="75"/>
              <w:rPr>
                <w:rFonts w:eastAsia="Times New Roman" w:cs="Times New Roman"/>
                <w:szCs w:val="24"/>
                <w:lang w:eastAsia="lv-LV"/>
              </w:rPr>
            </w:pPr>
            <w:r w:rsidRPr="006D1F1C">
              <w:rPr>
                <w:rFonts w:eastAsia="Times New Roman" w:cs="Times New Roman"/>
                <w:b/>
                <w:bCs/>
                <w:szCs w:val="24"/>
                <w:lang w:eastAsia="lv-LV"/>
              </w:rPr>
              <w:t>201</w:t>
            </w:r>
            <w:r w:rsidR="001625B2">
              <w:rPr>
                <w:rFonts w:eastAsia="Times New Roman" w:cs="Times New Roman"/>
                <w:b/>
                <w:bCs/>
                <w:szCs w:val="24"/>
                <w:lang w:eastAsia="lv-LV"/>
              </w:rPr>
              <w:t>8</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1625B2">
            <w:pPr>
              <w:spacing w:before="75" w:after="75"/>
              <w:rPr>
                <w:rFonts w:eastAsia="Times New Roman" w:cs="Times New Roman"/>
                <w:szCs w:val="24"/>
                <w:lang w:eastAsia="lv-LV"/>
              </w:rPr>
            </w:pPr>
            <w:r w:rsidRPr="006D1F1C">
              <w:rPr>
                <w:rFonts w:eastAsia="Times New Roman" w:cs="Times New Roman"/>
                <w:b/>
                <w:bCs/>
                <w:szCs w:val="24"/>
                <w:lang w:eastAsia="lv-LV"/>
              </w:rPr>
              <w:t>201</w:t>
            </w:r>
            <w:r w:rsidR="001625B2">
              <w:rPr>
                <w:rFonts w:eastAsia="Times New Roman" w:cs="Times New Roman"/>
                <w:b/>
                <w:bCs/>
                <w:szCs w:val="24"/>
                <w:lang w:eastAsia="lv-LV"/>
              </w:rPr>
              <w:t>9</w:t>
            </w:r>
          </w:p>
        </w:tc>
      </w:tr>
      <w:tr w:rsidR="00DE0605" w:rsidRPr="006D1F1C" w:rsidTr="003411EB">
        <w:tblPrEx>
          <w:jc w:val="center"/>
        </w:tblPrEx>
        <w:trPr>
          <w:gridBefore w:val="1"/>
          <w:wBefore w:w="25" w:type="pct"/>
          <w:jc w:val="center"/>
        </w:trPr>
        <w:tc>
          <w:tcPr>
            <w:tcW w:w="1213" w:type="pct"/>
            <w:gridSpan w:val="4"/>
            <w:vMerge/>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rPr>
                <w:rFonts w:eastAsia="Times New Roman" w:cs="Times New Roman"/>
                <w:szCs w:val="24"/>
                <w:lang w:eastAsia="lv-LV"/>
              </w:rPr>
            </w:pPr>
          </w:p>
        </w:tc>
        <w:tc>
          <w:tcPr>
            <w:tcW w:w="822" w:type="pct"/>
            <w:gridSpan w:val="2"/>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Cs w:val="24"/>
                <w:lang w:eastAsia="lv-LV"/>
              </w:rPr>
            </w:pPr>
            <w:r w:rsidRPr="006D1F1C">
              <w:rPr>
                <w:rFonts w:eastAsia="Times New Roman" w:cs="Times New Roman"/>
                <w:szCs w:val="24"/>
                <w:lang w:eastAsia="lv-LV"/>
              </w:rPr>
              <w:t>saskaņā ar valsts budžetu kārtējam gadam</w:t>
            </w:r>
          </w:p>
        </w:tc>
        <w:tc>
          <w:tcPr>
            <w:tcW w:w="918" w:type="pc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Cs w:val="24"/>
                <w:lang w:eastAsia="lv-LV"/>
              </w:rPr>
            </w:pPr>
            <w:r w:rsidRPr="006D1F1C">
              <w:rPr>
                <w:rFonts w:eastAsia="Times New Roman" w:cs="Times New Roman"/>
                <w:szCs w:val="24"/>
                <w:lang w:eastAsia="lv-LV"/>
              </w:rPr>
              <w:t>izmaiņas kārtējā gadā, salīdzinot ar valsts budžetu kārtējam gadam</w:t>
            </w:r>
          </w:p>
        </w:tc>
        <w:tc>
          <w:tcPr>
            <w:tcW w:w="646" w:type="pc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w:t>
            </w:r>
            <w:r w:rsidR="00F24940" w:rsidRPr="006D1F1C">
              <w:rPr>
                <w:rFonts w:eastAsia="Times New Roman" w:cs="Times New Roman"/>
                <w:szCs w:val="24"/>
                <w:lang w:eastAsia="lv-LV"/>
              </w:rPr>
              <w:t>n</w:t>
            </w:r>
            <w:r w:rsidRPr="006D1F1C">
              <w:rPr>
                <w:rFonts w:eastAsia="Times New Roman" w:cs="Times New Roman"/>
                <w:szCs w:val="24"/>
                <w:lang w:eastAsia="lv-LV"/>
              </w:rPr>
              <w:t>) gadu</w:t>
            </w:r>
          </w:p>
        </w:tc>
        <w:tc>
          <w:tcPr>
            <w:tcW w:w="701" w:type="pc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r>
      <w:tr w:rsidR="00DE0605" w:rsidRPr="006D1F1C" w:rsidTr="003411EB">
        <w:tblPrEx>
          <w:jc w:val="center"/>
        </w:tblPrEx>
        <w:trPr>
          <w:gridBefore w:val="1"/>
          <w:wBefore w:w="25" w:type="pct"/>
          <w:trHeight w:val="346"/>
          <w:jc w:val="center"/>
        </w:trPr>
        <w:tc>
          <w:tcPr>
            <w:tcW w:w="1213" w:type="pct"/>
            <w:gridSpan w:val="4"/>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 w:val="20"/>
                <w:szCs w:val="20"/>
                <w:lang w:eastAsia="lv-LV"/>
              </w:rPr>
            </w:pPr>
            <w:r w:rsidRPr="006D1F1C">
              <w:rPr>
                <w:rFonts w:eastAsia="Times New Roman" w:cs="Times New Roman"/>
                <w:sz w:val="20"/>
                <w:szCs w:val="20"/>
                <w:lang w:eastAsia="lv-LV"/>
              </w:rPr>
              <w:t>1</w:t>
            </w:r>
          </w:p>
        </w:tc>
        <w:tc>
          <w:tcPr>
            <w:tcW w:w="822" w:type="pct"/>
            <w:gridSpan w:val="2"/>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 w:val="20"/>
                <w:szCs w:val="20"/>
                <w:lang w:eastAsia="lv-LV"/>
              </w:rPr>
            </w:pPr>
            <w:r w:rsidRPr="006D1F1C">
              <w:rPr>
                <w:rFonts w:eastAsia="Times New Roman" w:cs="Times New Roman"/>
                <w:sz w:val="20"/>
                <w:szCs w:val="20"/>
                <w:lang w:eastAsia="lv-LV"/>
              </w:rPr>
              <w:t>2</w:t>
            </w:r>
          </w:p>
        </w:tc>
        <w:tc>
          <w:tcPr>
            <w:tcW w:w="918" w:type="pc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 w:val="20"/>
                <w:szCs w:val="20"/>
                <w:lang w:eastAsia="lv-LV"/>
              </w:rPr>
            </w:pPr>
            <w:r w:rsidRPr="006D1F1C">
              <w:rPr>
                <w:rFonts w:eastAsia="Times New Roman" w:cs="Times New Roman"/>
                <w:sz w:val="20"/>
                <w:szCs w:val="20"/>
                <w:lang w:eastAsia="lv-LV"/>
              </w:rPr>
              <w:t>3</w:t>
            </w:r>
          </w:p>
        </w:tc>
        <w:tc>
          <w:tcPr>
            <w:tcW w:w="646" w:type="pc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 w:val="20"/>
                <w:szCs w:val="20"/>
                <w:lang w:eastAsia="lv-LV"/>
              </w:rPr>
            </w:pPr>
            <w:r w:rsidRPr="006D1F1C">
              <w:rPr>
                <w:rFonts w:eastAsia="Times New Roman" w:cs="Times New Roman"/>
                <w:sz w:val="20"/>
                <w:szCs w:val="20"/>
                <w:lang w:eastAsia="lv-LV"/>
              </w:rPr>
              <w:t>4</w:t>
            </w:r>
          </w:p>
        </w:tc>
        <w:tc>
          <w:tcPr>
            <w:tcW w:w="701" w:type="pct"/>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 w:val="20"/>
                <w:szCs w:val="20"/>
                <w:lang w:eastAsia="lv-LV"/>
              </w:rPr>
            </w:pPr>
            <w:r w:rsidRPr="006D1F1C">
              <w:rPr>
                <w:rFonts w:eastAsia="Times New Roman" w:cs="Times New Roman"/>
                <w:sz w:val="20"/>
                <w:szCs w:val="20"/>
                <w:lang w:eastAsia="lv-LV"/>
              </w:rPr>
              <w:t>5</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spacing w:before="75" w:after="75"/>
              <w:rPr>
                <w:rFonts w:eastAsia="Times New Roman" w:cs="Times New Roman"/>
                <w:sz w:val="20"/>
                <w:szCs w:val="20"/>
                <w:lang w:eastAsia="lv-LV"/>
              </w:rPr>
            </w:pPr>
            <w:r w:rsidRPr="006D1F1C">
              <w:rPr>
                <w:rFonts w:eastAsia="Times New Roman" w:cs="Times New Roman"/>
                <w:sz w:val="20"/>
                <w:szCs w:val="20"/>
                <w:lang w:eastAsia="lv-LV"/>
              </w:rPr>
              <w:t>6</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b/>
                <w:bCs/>
                <w:szCs w:val="24"/>
              </w:rPr>
            </w:pPr>
            <w:r w:rsidRPr="006D1F1C">
              <w:rPr>
                <w:rFonts w:cs="Times New Roman"/>
                <w:b/>
                <w:bCs/>
              </w:rPr>
              <w:t>1. Budžeta ieņēmumi:</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8E263D" w:rsidP="00CA793F">
            <w:pPr>
              <w:rPr>
                <w:rFonts w:eastAsia="Times New Roman" w:cs="Times New Roman"/>
                <w:b/>
                <w:sz w:val="22"/>
                <w:lang w:eastAsia="lv-LV"/>
              </w:rPr>
            </w:pPr>
            <w:r>
              <w:rPr>
                <w:rFonts w:eastAsia="Times New Roman" w:cs="Times New Roman"/>
                <w:b/>
                <w:sz w:val="22"/>
                <w:lang w:eastAsia="lv-LV"/>
              </w:rPr>
              <w:t>518 </w:t>
            </w:r>
            <w:r w:rsidR="00CA793F">
              <w:rPr>
                <w:rFonts w:eastAsia="Times New Roman" w:cs="Times New Roman"/>
                <w:b/>
                <w:sz w:val="22"/>
                <w:lang w:eastAsia="lv-LV"/>
              </w:rPr>
              <w:t>190</w:t>
            </w:r>
            <w:r>
              <w:rPr>
                <w:rFonts w:eastAsia="Times New Roman" w:cs="Times New Roman"/>
                <w:b/>
                <w:sz w:val="22"/>
                <w:lang w:eastAsia="lv-LV"/>
              </w:rPr>
              <w:t> </w:t>
            </w:r>
            <w:r w:rsidR="00CA793F">
              <w:rPr>
                <w:rFonts w:eastAsia="Times New Roman" w:cs="Times New Roman"/>
                <w:b/>
                <w:sz w:val="22"/>
                <w:lang w:eastAsia="lv-LV"/>
              </w:rPr>
              <w:t>610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b/>
                <w:sz w:val="22"/>
                <w:lang w:eastAsia="lv-LV"/>
              </w:rPr>
            </w:pPr>
            <w:r w:rsidRPr="006D1F1C">
              <w:rPr>
                <w:rFonts w:eastAsia="Times New Roman" w:cs="Times New Roman"/>
                <w:b/>
                <w:sz w:val="22"/>
                <w:lang w:eastAsia="lv-LV"/>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b/>
                <w:sz w:val="22"/>
                <w:lang w:eastAsia="lv-LV"/>
              </w:rPr>
            </w:pPr>
            <w:r w:rsidRPr="006D1F1C">
              <w:rPr>
                <w:rFonts w:eastAsia="Times New Roman" w:cs="Times New Roman"/>
                <w:b/>
                <w:sz w:val="22"/>
                <w:lang w:eastAsia="lv-LV"/>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b/>
                <w:sz w:val="22"/>
                <w:lang w:eastAsia="lv-LV"/>
              </w:rPr>
            </w:pPr>
            <w:r w:rsidRPr="006D1F1C">
              <w:rPr>
                <w:rFonts w:eastAsia="Times New Roman" w:cs="Times New Roman"/>
                <w:b/>
                <w:sz w:val="22"/>
                <w:lang w:eastAsia="lv-LV"/>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b/>
                <w:sz w:val="22"/>
                <w:lang w:eastAsia="lv-LV"/>
              </w:rPr>
            </w:pPr>
            <w:r w:rsidRPr="006D1F1C">
              <w:rPr>
                <w:rFonts w:eastAsia="Times New Roman" w:cs="Times New Roman"/>
                <w:b/>
                <w:sz w:val="22"/>
                <w:lang w:eastAsia="lv-LV"/>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Cs w:val="24"/>
              </w:rPr>
            </w:pPr>
            <w:r w:rsidRPr="006D1F1C">
              <w:rPr>
                <w:rFonts w:cs="Times New Roman"/>
              </w:rPr>
              <w:t>1.1. valsts pamatbudžets, tai skaitā ieņēmumi no maksas pakalpojumiem un citi pašu ieņēmumi</w:t>
            </w:r>
          </w:p>
        </w:tc>
        <w:tc>
          <w:tcPr>
            <w:tcW w:w="822" w:type="pct"/>
            <w:gridSpan w:val="2"/>
            <w:tcBorders>
              <w:top w:val="outset" w:sz="6" w:space="0" w:color="auto"/>
              <w:left w:val="outset" w:sz="6" w:space="0" w:color="auto"/>
              <w:bottom w:val="outset" w:sz="6" w:space="0" w:color="auto"/>
              <w:right w:val="outset" w:sz="6" w:space="0" w:color="auto"/>
            </w:tcBorders>
            <w:hideMark/>
          </w:tcPr>
          <w:p w:rsidR="008E263D" w:rsidRDefault="008E263D" w:rsidP="008E263D">
            <w:pPr>
              <w:rPr>
                <w:rFonts w:eastAsia="Times New Roman" w:cs="Times New Roman"/>
                <w:sz w:val="22"/>
                <w:lang w:eastAsia="lv-LV"/>
              </w:rPr>
            </w:pPr>
            <w:r>
              <w:rPr>
                <w:rFonts w:eastAsia="Times New Roman" w:cs="Times New Roman"/>
                <w:sz w:val="22"/>
                <w:lang w:eastAsia="lv-LV"/>
              </w:rPr>
              <w:t>518 </w:t>
            </w:r>
            <w:r w:rsidR="00CA793F">
              <w:rPr>
                <w:rFonts w:eastAsia="Times New Roman" w:cs="Times New Roman"/>
                <w:sz w:val="22"/>
                <w:lang w:eastAsia="lv-LV"/>
              </w:rPr>
              <w:t>190</w:t>
            </w:r>
            <w:r>
              <w:rPr>
                <w:rFonts w:eastAsia="Times New Roman" w:cs="Times New Roman"/>
                <w:sz w:val="22"/>
                <w:lang w:eastAsia="lv-LV"/>
              </w:rPr>
              <w:t> </w:t>
            </w:r>
            <w:r w:rsidR="00CA793F">
              <w:rPr>
                <w:rFonts w:eastAsia="Times New Roman" w:cs="Times New Roman"/>
                <w:sz w:val="22"/>
                <w:lang w:eastAsia="lv-LV"/>
              </w:rPr>
              <w:t>610</w:t>
            </w:r>
          </w:p>
          <w:p w:rsidR="008E263D" w:rsidRDefault="008E263D" w:rsidP="008E263D">
            <w:pPr>
              <w:jc w:val="right"/>
              <w:rPr>
                <w:rFonts w:eastAsia="Times New Roman" w:cs="Times New Roman"/>
                <w:sz w:val="22"/>
                <w:lang w:eastAsia="lv-LV"/>
              </w:rPr>
            </w:pPr>
          </w:p>
          <w:p w:rsidR="00DE0605" w:rsidRPr="006D1F1C" w:rsidRDefault="008E263D" w:rsidP="008E263D">
            <w:pPr>
              <w:rPr>
                <w:rFonts w:eastAsia="Times New Roman" w:cs="Times New Roman"/>
                <w:sz w:val="22"/>
                <w:lang w:eastAsia="lv-LV"/>
              </w:rPr>
            </w:pPr>
            <w:r>
              <w:rPr>
                <w:rFonts w:eastAsia="Times New Roman" w:cs="Times New Roman"/>
                <w:sz w:val="22"/>
                <w:lang w:eastAsia="lv-LV"/>
              </w:rPr>
              <w:t>1 087 074</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Cs w:val="24"/>
              </w:rPr>
            </w:pPr>
            <w:r w:rsidRPr="006D1F1C">
              <w:rPr>
                <w:rFonts w:cs="Times New Roman"/>
              </w:rPr>
              <w:t>1.2. valsts speciālais budžets</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Cs w:val="24"/>
              </w:rPr>
            </w:pPr>
            <w:r w:rsidRPr="006D1F1C">
              <w:rPr>
                <w:rFonts w:cs="Times New Roman"/>
              </w:rPr>
              <w:lastRenderedPageBreak/>
              <w:t>1.3. pašvaldību budžets</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b/>
                <w:bCs/>
                <w:szCs w:val="24"/>
              </w:rPr>
            </w:pPr>
            <w:r w:rsidRPr="006D1F1C">
              <w:rPr>
                <w:rFonts w:cs="Times New Roman"/>
                <w:b/>
                <w:bCs/>
              </w:rPr>
              <w:t>2. Budžeta izdevumi:</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8E263D" w:rsidP="00CA793F">
            <w:pPr>
              <w:rPr>
                <w:rFonts w:eastAsia="Times New Roman" w:cs="Times New Roman"/>
                <w:b/>
                <w:sz w:val="22"/>
                <w:lang w:eastAsia="lv-LV"/>
              </w:rPr>
            </w:pPr>
            <w:r>
              <w:rPr>
                <w:rFonts w:eastAsia="Times New Roman" w:cs="Times New Roman"/>
                <w:b/>
                <w:sz w:val="22"/>
                <w:lang w:eastAsia="lv-LV"/>
              </w:rPr>
              <w:t>518 </w:t>
            </w:r>
            <w:r w:rsidR="00CA793F">
              <w:rPr>
                <w:rFonts w:eastAsia="Times New Roman" w:cs="Times New Roman"/>
                <w:b/>
                <w:sz w:val="22"/>
                <w:lang w:eastAsia="lv-LV"/>
              </w:rPr>
              <w:t>190</w:t>
            </w:r>
            <w:r>
              <w:rPr>
                <w:rFonts w:eastAsia="Times New Roman" w:cs="Times New Roman"/>
                <w:b/>
                <w:sz w:val="22"/>
                <w:lang w:eastAsia="lv-LV"/>
              </w:rPr>
              <w:t xml:space="preserve"> </w:t>
            </w:r>
            <w:r w:rsidR="00CA793F">
              <w:rPr>
                <w:rFonts w:eastAsia="Times New Roman" w:cs="Times New Roman"/>
                <w:b/>
                <w:sz w:val="22"/>
                <w:lang w:eastAsia="lv-LV"/>
              </w:rPr>
              <w:t>610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b/>
                <w:sz w:val="22"/>
                <w:lang w:eastAsia="lv-LV"/>
              </w:rPr>
            </w:pPr>
            <w:r w:rsidRPr="006D1F1C">
              <w:rPr>
                <w:rFonts w:eastAsia="Times New Roman" w:cs="Times New Roman"/>
                <w:b/>
                <w:sz w:val="22"/>
                <w:lang w:eastAsia="lv-LV"/>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b/>
                <w:sz w:val="22"/>
                <w:lang w:eastAsia="lv-LV"/>
              </w:rPr>
            </w:pPr>
            <w:r w:rsidRPr="006D1F1C">
              <w:rPr>
                <w:rFonts w:eastAsia="Times New Roman" w:cs="Times New Roman"/>
                <w:b/>
                <w:sz w:val="22"/>
                <w:lang w:eastAsia="lv-LV"/>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b/>
                <w:sz w:val="22"/>
                <w:lang w:eastAsia="lv-LV"/>
              </w:rPr>
            </w:pPr>
            <w:r w:rsidRPr="006D1F1C">
              <w:rPr>
                <w:rFonts w:eastAsia="Times New Roman" w:cs="Times New Roman"/>
                <w:b/>
                <w:sz w:val="22"/>
                <w:lang w:eastAsia="lv-LV"/>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b/>
                <w:sz w:val="22"/>
                <w:lang w:eastAsia="lv-LV"/>
              </w:rPr>
            </w:pPr>
            <w:r w:rsidRPr="006D1F1C">
              <w:rPr>
                <w:rFonts w:eastAsia="Times New Roman" w:cs="Times New Roman"/>
                <w:b/>
                <w:sz w:val="22"/>
                <w:lang w:eastAsia="lv-LV"/>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Cs w:val="24"/>
              </w:rPr>
            </w:pPr>
            <w:r w:rsidRPr="006D1F1C">
              <w:rPr>
                <w:rFonts w:cs="Times New Roman"/>
              </w:rPr>
              <w:t>2.1. valsts pamatbudžets</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8E263D" w:rsidP="00CA793F">
            <w:pPr>
              <w:rPr>
                <w:rFonts w:eastAsia="Times New Roman" w:cs="Times New Roman"/>
                <w:sz w:val="22"/>
                <w:lang w:eastAsia="lv-LV"/>
              </w:rPr>
            </w:pPr>
            <w:r w:rsidRPr="0059509E">
              <w:rPr>
                <w:rFonts w:eastAsia="Times New Roman" w:cs="Times New Roman"/>
                <w:sz w:val="22"/>
                <w:lang w:eastAsia="lv-LV"/>
              </w:rPr>
              <w:t>518 </w:t>
            </w:r>
            <w:r w:rsidR="00CA793F">
              <w:rPr>
                <w:rFonts w:eastAsia="Times New Roman" w:cs="Times New Roman"/>
                <w:sz w:val="22"/>
                <w:lang w:eastAsia="lv-LV"/>
              </w:rPr>
              <w:t>190</w:t>
            </w:r>
            <w:r w:rsidRPr="0059509E">
              <w:rPr>
                <w:rFonts w:eastAsia="Times New Roman" w:cs="Times New Roman"/>
                <w:sz w:val="22"/>
                <w:lang w:eastAsia="lv-LV"/>
              </w:rPr>
              <w:t xml:space="preserve"> </w:t>
            </w:r>
            <w:r w:rsidR="00CA793F">
              <w:rPr>
                <w:rFonts w:eastAsia="Times New Roman" w:cs="Times New Roman"/>
                <w:sz w:val="22"/>
                <w:lang w:eastAsia="lv-LV"/>
              </w:rPr>
              <w:t>610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 w:val="22"/>
                <w:lang w:eastAsia="lv-LV"/>
              </w:rPr>
            </w:pPr>
            <w:r w:rsidRPr="006D1F1C">
              <w:rPr>
                <w:rFonts w:eastAsia="Times New Roman" w:cs="Times New Roman"/>
                <w:sz w:val="22"/>
                <w:lang w:eastAsia="lv-LV"/>
              </w:rPr>
              <w:t>0</w:t>
            </w:r>
          </w:p>
        </w:tc>
      </w:tr>
      <w:tr w:rsidR="008F105E"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8F105E" w:rsidRDefault="008F105E" w:rsidP="002B7FAB">
            <w:pPr>
              <w:rPr>
                <w:rFonts w:cs="Times New Roman"/>
              </w:rPr>
            </w:pPr>
            <w:r>
              <w:rPr>
                <w:rFonts w:cs="Times New Roman"/>
              </w:rPr>
              <w:t xml:space="preserve">apakšprogramma 33.01.00 </w:t>
            </w:r>
          </w:p>
          <w:p w:rsidR="008F105E" w:rsidRPr="006D1F1C" w:rsidRDefault="008F105E" w:rsidP="002B7FAB">
            <w:pPr>
              <w:rPr>
                <w:rFonts w:cs="Times New Roman"/>
              </w:rPr>
            </w:pPr>
            <w:r>
              <w:rPr>
                <w:rFonts w:cs="Times New Roman"/>
              </w:rPr>
              <w:t>„Ārstniecība”</w:t>
            </w:r>
          </w:p>
        </w:tc>
        <w:tc>
          <w:tcPr>
            <w:tcW w:w="822" w:type="pct"/>
            <w:gridSpan w:val="2"/>
            <w:tcBorders>
              <w:top w:val="outset" w:sz="6" w:space="0" w:color="auto"/>
              <w:left w:val="outset" w:sz="6" w:space="0" w:color="auto"/>
              <w:bottom w:val="outset" w:sz="6" w:space="0" w:color="auto"/>
              <w:right w:val="outset" w:sz="6" w:space="0" w:color="auto"/>
            </w:tcBorders>
            <w:hideMark/>
          </w:tcPr>
          <w:p w:rsidR="008F105E" w:rsidRDefault="00CA793F" w:rsidP="002B7FAB">
            <w:pPr>
              <w:rPr>
                <w:rFonts w:eastAsia="Times New Roman" w:cs="Times New Roman"/>
                <w:sz w:val="22"/>
                <w:lang w:eastAsia="lv-LV"/>
              </w:rPr>
            </w:pPr>
            <w:r w:rsidRPr="0059509E">
              <w:rPr>
                <w:rFonts w:eastAsia="Times New Roman" w:cs="Times New Roman"/>
                <w:sz w:val="22"/>
                <w:lang w:eastAsia="lv-LV"/>
              </w:rPr>
              <w:t>518 </w:t>
            </w:r>
            <w:r>
              <w:rPr>
                <w:rFonts w:eastAsia="Times New Roman" w:cs="Times New Roman"/>
                <w:sz w:val="22"/>
                <w:lang w:eastAsia="lv-LV"/>
              </w:rPr>
              <w:t>190</w:t>
            </w:r>
            <w:r w:rsidRPr="0059509E">
              <w:rPr>
                <w:rFonts w:eastAsia="Times New Roman" w:cs="Times New Roman"/>
                <w:sz w:val="22"/>
                <w:lang w:eastAsia="lv-LV"/>
              </w:rPr>
              <w:t xml:space="preserve"> </w:t>
            </w:r>
            <w:r>
              <w:rPr>
                <w:rFonts w:eastAsia="Times New Roman" w:cs="Times New Roman"/>
                <w:sz w:val="22"/>
                <w:lang w:eastAsia="lv-LV"/>
              </w:rPr>
              <w:t>610</w:t>
            </w:r>
          </w:p>
        </w:tc>
        <w:tc>
          <w:tcPr>
            <w:tcW w:w="918" w:type="pct"/>
            <w:tcBorders>
              <w:top w:val="outset" w:sz="6" w:space="0" w:color="auto"/>
              <w:left w:val="outset" w:sz="6" w:space="0" w:color="auto"/>
              <w:bottom w:val="outset" w:sz="6" w:space="0" w:color="auto"/>
              <w:right w:val="outset" w:sz="6" w:space="0" w:color="auto"/>
            </w:tcBorders>
            <w:hideMark/>
          </w:tcPr>
          <w:p w:rsidR="008F105E" w:rsidRPr="006D1F1C" w:rsidRDefault="008F105E" w:rsidP="002B7FAB">
            <w:pPr>
              <w:rPr>
                <w:rFonts w:eastAsia="Times New Roman" w:cs="Times New Roman"/>
                <w:sz w:val="22"/>
                <w:lang w:eastAsia="lv-LV"/>
              </w:rPr>
            </w:pPr>
          </w:p>
        </w:tc>
        <w:tc>
          <w:tcPr>
            <w:tcW w:w="646" w:type="pct"/>
            <w:tcBorders>
              <w:top w:val="outset" w:sz="6" w:space="0" w:color="auto"/>
              <w:left w:val="outset" w:sz="6" w:space="0" w:color="auto"/>
              <w:bottom w:val="outset" w:sz="6" w:space="0" w:color="auto"/>
              <w:right w:val="outset" w:sz="6" w:space="0" w:color="auto"/>
            </w:tcBorders>
            <w:hideMark/>
          </w:tcPr>
          <w:p w:rsidR="008F105E" w:rsidRPr="006D1F1C" w:rsidRDefault="008F105E" w:rsidP="002B7FAB">
            <w:pPr>
              <w:rPr>
                <w:rFonts w:eastAsia="Times New Roman" w:cs="Times New Roman"/>
                <w:sz w:val="22"/>
                <w:lang w:eastAsia="lv-LV"/>
              </w:rPr>
            </w:pPr>
          </w:p>
        </w:tc>
        <w:tc>
          <w:tcPr>
            <w:tcW w:w="701" w:type="pct"/>
            <w:tcBorders>
              <w:top w:val="outset" w:sz="6" w:space="0" w:color="auto"/>
              <w:left w:val="outset" w:sz="6" w:space="0" w:color="auto"/>
              <w:bottom w:val="outset" w:sz="6" w:space="0" w:color="auto"/>
              <w:right w:val="outset" w:sz="6" w:space="0" w:color="auto"/>
            </w:tcBorders>
            <w:hideMark/>
          </w:tcPr>
          <w:p w:rsidR="008F105E" w:rsidRPr="006D1F1C" w:rsidRDefault="008F105E" w:rsidP="002B7FAB">
            <w:pPr>
              <w:rPr>
                <w:rFonts w:eastAsia="Times New Roman" w:cs="Times New Roman"/>
                <w:sz w:val="22"/>
                <w:lang w:eastAsia="lv-LV"/>
              </w:rPr>
            </w:pPr>
          </w:p>
        </w:tc>
        <w:tc>
          <w:tcPr>
            <w:tcW w:w="675" w:type="pct"/>
            <w:gridSpan w:val="2"/>
            <w:tcBorders>
              <w:top w:val="outset" w:sz="6" w:space="0" w:color="auto"/>
              <w:left w:val="outset" w:sz="6" w:space="0" w:color="auto"/>
              <w:bottom w:val="outset" w:sz="6" w:space="0" w:color="auto"/>
              <w:right w:val="outset" w:sz="6" w:space="0" w:color="auto"/>
            </w:tcBorders>
            <w:hideMark/>
          </w:tcPr>
          <w:p w:rsidR="008F105E" w:rsidRPr="006D1F1C" w:rsidRDefault="008F105E" w:rsidP="002B7FAB">
            <w:pPr>
              <w:rPr>
                <w:rFonts w:eastAsia="Times New Roman" w:cs="Times New Roman"/>
                <w:sz w:val="22"/>
                <w:lang w:eastAsia="lv-LV"/>
              </w:rPr>
            </w:pP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Cs w:val="24"/>
              </w:rPr>
            </w:pPr>
            <w:r w:rsidRPr="006D1F1C">
              <w:rPr>
                <w:rFonts w:cs="Times New Roman"/>
              </w:rPr>
              <w:t>2.2. valsts speciālais budžets</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Cs w:val="24"/>
              </w:rPr>
            </w:pPr>
            <w:r w:rsidRPr="006D1F1C">
              <w:rPr>
                <w:rFonts w:cs="Times New Roman"/>
              </w:rPr>
              <w:t xml:space="preserve">2.3. pašvaldību budžets </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b/>
                <w:szCs w:val="24"/>
              </w:rPr>
            </w:pPr>
            <w:r w:rsidRPr="006D1F1C">
              <w:rPr>
                <w:rFonts w:cs="Times New Roman"/>
                <w:b/>
              </w:rPr>
              <w:t>3. Finansiālā ietekme:</w:t>
            </w:r>
          </w:p>
        </w:tc>
        <w:tc>
          <w:tcPr>
            <w:tcW w:w="822" w:type="pct"/>
            <w:gridSpan w:val="2"/>
            <w:tcBorders>
              <w:top w:val="outset" w:sz="6" w:space="0" w:color="auto"/>
              <w:left w:val="outset" w:sz="6" w:space="0" w:color="auto"/>
              <w:bottom w:val="outset" w:sz="6" w:space="0" w:color="auto"/>
              <w:right w:val="outset" w:sz="6" w:space="0" w:color="auto"/>
            </w:tcBorders>
            <w:vAlign w:val="bottom"/>
            <w:hideMark/>
          </w:tcPr>
          <w:p w:rsidR="00DE0605" w:rsidRPr="006D1F1C" w:rsidRDefault="00DE0605" w:rsidP="002B7FAB">
            <w:pPr>
              <w:rPr>
                <w:rFonts w:cs="Times New Roman"/>
                <w:b/>
                <w:sz w:val="22"/>
              </w:rPr>
            </w:pPr>
            <w:r w:rsidRPr="006D1F1C">
              <w:rPr>
                <w:rFonts w:cs="Times New Roman"/>
                <w:b/>
                <w:sz w:val="22"/>
              </w:rPr>
              <w:t>0</w:t>
            </w:r>
          </w:p>
        </w:tc>
        <w:tc>
          <w:tcPr>
            <w:tcW w:w="918" w:type="pct"/>
            <w:tcBorders>
              <w:top w:val="outset" w:sz="6" w:space="0" w:color="auto"/>
              <w:left w:val="outset" w:sz="6" w:space="0" w:color="auto"/>
              <w:bottom w:val="outset" w:sz="6" w:space="0" w:color="auto"/>
              <w:right w:val="outset" w:sz="6" w:space="0" w:color="auto"/>
            </w:tcBorders>
            <w:vAlign w:val="bottom"/>
            <w:hideMark/>
          </w:tcPr>
          <w:p w:rsidR="00DE0605" w:rsidRPr="006D1F1C" w:rsidRDefault="00DE0605" w:rsidP="002B7FAB">
            <w:pPr>
              <w:rPr>
                <w:rFonts w:cs="Times New Roman"/>
                <w:b/>
                <w:sz w:val="22"/>
              </w:rPr>
            </w:pPr>
            <w:r w:rsidRPr="006D1F1C">
              <w:rPr>
                <w:rFonts w:cs="Times New Roman"/>
                <w:b/>
                <w:sz w:val="22"/>
              </w:rPr>
              <w:t>0</w:t>
            </w:r>
          </w:p>
        </w:tc>
        <w:tc>
          <w:tcPr>
            <w:tcW w:w="646" w:type="pct"/>
            <w:tcBorders>
              <w:top w:val="outset" w:sz="6" w:space="0" w:color="auto"/>
              <w:left w:val="outset" w:sz="6" w:space="0" w:color="auto"/>
              <w:bottom w:val="outset" w:sz="6" w:space="0" w:color="auto"/>
              <w:right w:val="outset" w:sz="6" w:space="0" w:color="auto"/>
            </w:tcBorders>
            <w:vAlign w:val="bottom"/>
            <w:hideMark/>
          </w:tcPr>
          <w:p w:rsidR="00DE0605" w:rsidRPr="006D1F1C" w:rsidRDefault="00DE0605" w:rsidP="002B7FAB">
            <w:pPr>
              <w:rPr>
                <w:rFonts w:cs="Times New Roman"/>
                <w:b/>
                <w:sz w:val="22"/>
              </w:rPr>
            </w:pPr>
            <w:r w:rsidRPr="006D1F1C">
              <w:rPr>
                <w:rFonts w:cs="Times New Roman"/>
                <w:b/>
                <w:sz w:val="22"/>
              </w:rPr>
              <w:t>0</w:t>
            </w:r>
          </w:p>
        </w:tc>
        <w:tc>
          <w:tcPr>
            <w:tcW w:w="701" w:type="pct"/>
            <w:tcBorders>
              <w:top w:val="outset" w:sz="6" w:space="0" w:color="auto"/>
              <w:left w:val="outset" w:sz="6" w:space="0" w:color="auto"/>
              <w:bottom w:val="outset" w:sz="6" w:space="0" w:color="auto"/>
              <w:right w:val="outset" w:sz="6" w:space="0" w:color="auto"/>
            </w:tcBorders>
            <w:vAlign w:val="bottom"/>
            <w:hideMark/>
          </w:tcPr>
          <w:p w:rsidR="00DE0605" w:rsidRPr="006D1F1C" w:rsidRDefault="00DE0605" w:rsidP="002B7FAB">
            <w:pPr>
              <w:rPr>
                <w:rFonts w:cs="Times New Roman"/>
                <w:b/>
                <w:sz w:val="22"/>
              </w:rPr>
            </w:pPr>
            <w:r w:rsidRPr="006D1F1C">
              <w:rPr>
                <w:rFonts w:cs="Times New Roman"/>
                <w:b/>
                <w:sz w:val="22"/>
              </w:rPr>
              <w:t>0</w:t>
            </w:r>
          </w:p>
        </w:tc>
        <w:tc>
          <w:tcPr>
            <w:tcW w:w="675" w:type="pct"/>
            <w:gridSpan w:val="2"/>
            <w:tcBorders>
              <w:top w:val="outset" w:sz="6" w:space="0" w:color="auto"/>
              <w:left w:val="outset" w:sz="6" w:space="0" w:color="auto"/>
              <w:bottom w:val="outset" w:sz="6" w:space="0" w:color="auto"/>
              <w:right w:val="outset" w:sz="6" w:space="0" w:color="auto"/>
            </w:tcBorders>
            <w:vAlign w:val="bottom"/>
            <w:hideMark/>
          </w:tcPr>
          <w:p w:rsidR="00DE0605" w:rsidRPr="006D1F1C" w:rsidRDefault="00DE0605" w:rsidP="002B7FAB">
            <w:pPr>
              <w:rPr>
                <w:rFonts w:cs="Times New Roman"/>
                <w:b/>
                <w:sz w:val="22"/>
              </w:rPr>
            </w:pPr>
            <w:r w:rsidRPr="006D1F1C">
              <w:rPr>
                <w:rFonts w:cs="Times New Roman"/>
                <w:b/>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Cs w:val="24"/>
              </w:rPr>
            </w:pPr>
            <w:r w:rsidRPr="006D1F1C">
              <w:rPr>
                <w:rFonts w:cs="Times New Roman"/>
              </w:rPr>
              <w:t>3.1. valsts pamatbudžets</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3.2. speciālais budžets</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 xml:space="preserve">3.3. pašvaldību budžets </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trHeight w:val="1380"/>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4. Finanšu līdzekļi papildu izdevumu finansēšanai (kompensējošu izdevumu samazinājumu norāda ar "+" zīmi)</w:t>
            </w:r>
          </w:p>
        </w:tc>
        <w:tc>
          <w:tcPr>
            <w:tcW w:w="822"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spacing w:before="75" w:after="75"/>
              <w:rPr>
                <w:rFonts w:eastAsia="Times New Roman" w:cs="Times New Roman"/>
                <w:sz w:val="22"/>
                <w:lang w:eastAsia="lv-LV"/>
              </w:rPr>
            </w:pPr>
            <w:r w:rsidRPr="006D1F1C">
              <w:rPr>
                <w:rFonts w:eastAsia="Times New Roman" w:cs="Times New Roman"/>
                <w:sz w:val="22"/>
                <w:lang w:eastAsia="lv-LV"/>
              </w:rPr>
              <w:t>X</w:t>
            </w:r>
          </w:p>
        </w:tc>
        <w:tc>
          <w:tcPr>
            <w:tcW w:w="918" w:type="pct"/>
            <w:tcBorders>
              <w:top w:val="outset" w:sz="6" w:space="0" w:color="auto"/>
              <w:left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5. Precizēta finansiālā ietekme:</w:t>
            </w:r>
          </w:p>
        </w:tc>
        <w:tc>
          <w:tcPr>
            <w:tcW w:w="822" w:type="pct"/>
            <w:gridSpan w:val="2"/>
            <w:vMerge w:val="restar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spacing w:before="75" w:after="75"/>
              <w:rPr>
                <w:rFonts w:eastAsia="Times New Roman" w:cs="Times New Roman"/>
                <w:sz w:val="22"/>
                <w:lang w:eastAsia="lv-LV"/>
              </w:rPr>
            </w:pPr>
            <w:r w:rsidRPr="006D1F1C">
              <w:rPr>
                <w:rFonts w:eastAsia="Times New Roman" w:cs="Times New Roman"/>
                <w:sz w:val="22"/>
                <w:lang w:eastAsia="lv-LV"/>
              </w:rPr>
              <w:t>X</w:t>
            </w: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5.1. valsts pamatbudžets</w:t>
            </w:r>
          </w:p>
        </w:tc>
        <w:tc>
          <w:tcPr>
            <w:tcW w:w="822" w:type="pct"/>
            <w:gridSpan w:val="2"/>
            <w:vMerge/>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rPr>
                <w:rFonts w:eastAsia="Times New Roman" w:cs="Times New Roman"/>
                <w:sz w:val="22"/>
                <w:lang w:eastAsia="lv-LV"/>
              </w:rPr>
            </w:pP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5.2. speciālais budžets</w:t>
            </w:r>
          </w:p>
        </w:tc>
        <w:tc>
          <w:tcPr>
            <w:tcW w:w="822" w:type="pct"/>
            <w:gridSpan w:val="2"/>
            <w:vMerge/>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rPr>
                <w:rFonts w:eastAsia="Times New Roman" w:cs="Times New Roman"/>
                <w:sz w:val="22"/>
                <w:lang w:eastAsia="lv-LV"/>
              </w:rPr>
            </w:pP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 xml:space="preserve">5.3. pašvaldību budžets </w:t>
            </w:r>
          </w:p>
        </w:tc>
        <w:tc>
          <w:tcPr>
            <w:tcW w:w="822" w:type="pct"/>
            <w:gridSpan w:val="2"/>
            <w:vMerge/>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rPr>
                <w:rFonts w:eastAsia="Times New Roman" w:cs="Times New Roman"/>
                <w:szCs w:val="24"/>
                <w:lang w:eastAsia="lv-LV"/>
              </w:rPr>
            </w:pPr>
          </w:p>
        </w:tc>
        <w:tc>
          <w:tcPr>
            <w:tcW w:w="918"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46"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701" w:type="pct"/>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c>
          <w:tcPr>
            <w:tcW w:w="675" w:type="pct"/>
            <w:gridSpan w:val="2"/>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cs="Times New Roman"/>
                <w:sz w:val="22"/>
              </w:rPr>
            </w:pPr>
            <w:r w:rsidRPr="006D1F1C">
              <w:rPr>
                <w:rFonts w:cs="Times New Roman"/>
                <w:sz w:val="22"/>
              </w:rPr>
              <w:t>0</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6. Detalizēts ieņēmumu un izdevumu aprēķins (ja nepieciešams, detalizētu ieņēmumu un izdevumu aprēķinu var pievienot anotācijas pielikumā):</w:t>
            </w:r>
          </w:p>
        </w:tc>
        <w:tc>
          <w:tcPr>
            <w:tcW w:w="376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8E263D" w:rsidRPr="004B7B3A" w:rsidRDefault="008E263D" w:rsidP="008E263D">
            <w:pPr>
              <w:spacing w:before="120" w:after="120"/>
              <w:ind w:right="142"/>
              <w:jc w:val="both"/>
              <w:rPr>
                <w:rFonts w:eastAsia="Times New Roman" w:cs="Times New Roman"/>
                <w:noProof/>
                <w:szCs w:val="24"/>
                <w:lang w:eastAsia="lv-LV"/>
              </w:rPr>
            </w:pPr>
            <w:r w:rsidRPr="004B7B3A">
              <w:rPr>
                <w:rFonts w:eastAsia="Times New Roman" w:cs="Times New Roman"/>
                <w:b/>
                <w:noProof/>
                <w:szCs w:val="24"/>
                <w:lang w:eastAsia="lv-LV"/>
              </w:rPr>
              <w:t>Atbilstoši likumam „Par valsts budžetu 2016.gadam”:</w:t>
            </w:r>
          </w:p>
          <w:p w:rsidR="008E263D" w:rsidRPr="004B7B3A" w:rsidRDefault="008E263D" w:rsidP="008E263D">
            <w:pPr>
              <w:widowControl w:val="0"/>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Nacionālā veselības dienesta administrētais finansējums</w:t>
            </w:r>
            <w:r w:rsidRPr="004B7B3A">
              <w:rPr>
                <w:rFonts w:eastAsia="Times New Roman" w:cs="Times New Roman"/>
                <w:color w:val="000000"/>
                <w:shd w:val="clear" w:color="auto" w:fill="FFFFFF"/>
                <w:lang w:eastAsia="lv-LV" w:bidi="lv-LV"/>
              </w:rPr>
              <w:t xml:space="preserve"> Veselības ministrijas budžeta programmas </w:t>
            </w:r>
            <w:r>
              <w:rPr>
                <w:rFonts w:eastAsia="Times New Roman" w:cs="Times New Roman"/>
                <w:color w:val="000000"/>
                <w:shd w:val="clear" w:color="auto" w:fill="FFFFFF"/>
                <w:lang w:eastAsia="lv-LV" w:bidi="lv-LV"/>
              </w:rPr>
              <w:t>33</w:t>
            </w:r>
            <w:r w:rsidRPr="004B7B3A">
              <w:rPr>
                <w:rFonts w:eastAsia="Times New Roman" w:cs="Times New Roman"/>
                <w:color w:val="000000"/>
                <w:shd w:val="clear" w:color="auto" w:fill="FFFFFF"/>
                <w:lang w:eastAsia="lv-LV" w:bidi="lv-LV"/>
              </w:rPr>
              <w:t>.00.00 „</w:t>
            </w:r>
            <w:r>
              <w:rPr>
                <w:rFonts w:eastAsia="Times New Roman" w:cs="Times New Roman"/>
                <w:color w:val="000000"/>
                <w:shd w:val="clear" w:color="auto" w:fill="FFFFFF"/>
                <w:lang w:eastAsia="lv-LV" w:bidi="lv-LV"/>
              </w:rPr>
              <w:t>Veselības aprūpes nodrošināšana</w:t>
            </w:r>
            <w:r w:rsidRPr="004B7B3A">
              <w:rPr>
                <w:rFonts w:eastAsia="Times New Roman" w:cs="Times New Roman"/>
                <w:color w:val="000000"/>
                <w:shd w:val="clear" w:color="auto" w:fill="FFFFFF"/>
                <w:lang w:eastAsia="lv-LV" w:bidi="lv-LV"/>
              </w:rPr>
              <w:t xml:space="preserve">” apakšprogrammā </w:t>
            </w:r>
            <w:r>
              <w:rPr>
                <w:rFonts w:eastAsia="Times New Roman" w:cs="Times New Roman"/>
                <w:color w:val="000000"/>
                <w:shd w:val="clear" w:color="auto" w:fill="FFFFFF"/>
                <w:lang w:eastAsia="lv-LV" w:bidi="lv-LV"/>
              </w:rPr>
              <w:t>33</w:t>
            </w:r>
            <w:r w:rsidRPr="004B7B3A">
              <w:rPr>
                <w:rFonts w:eastAsia="Times New Roman" w:cs="Times New Roman"/>
                <w:color w:val="000000"/>
                <w:shd w:val="clear" w:color="auto" w:fill="FFFFFF"/>
                <w:lang w:eastAsia="lv-LV" w:bidi="lv-LV"/>
              </w:rPr>
              <w:t>.0</w:t>
            </w:r>
            <w:r>
              <w:rPr>
                <w:rFonts w:eastAsia="Times New Roman" w:cs="Times New Roman"/>
                <w:color w:val="000000"/>
                <w:shd w:val="clear" w:color="auto" w:fill="FFFFFF"/>
                <w:lang w:eastAsia="lv-LV" w:bidi="lv-LV"/>
              </w:rPr>
              <w:t>1</w:t>
            </w:r>
            <w:r w:rsidRPr="004B7B3A">
              <w:rPr>
                <w:rFonts w:eastAsia="Times New Roman" w:cs="Times New Roman"/>
                <w:color w:val="000000"/>
                <w:shd w:val="clear" w:color="auto" w:fill="FFFFFF"/>
                <w:lang w:eastAsia="lv-LV" w:bidi="lv-LV"/>
              </w:rPr>
              <w:t>.00 „</w:t>
            </w:r>
            <w:r>
              <w:rPr>
                <w:rFonts w:eastAsia="Times New Roman" w:cs="Times New Roman"/>
                <w:color w:val="000000"/>
                <w:shd w:val="clear" w:color="auto" w:fill="FFFFFF"/>
                <w:lang w:eastAsia="lv-LV" w:bidi="lv-LV"/>
              </w:rPr>
              <w:t>Ārstniecība</w:t>
            </w:r>
            <w:r w:rsidRPr="004B7B3A">
              <w:rPr>
                <w:rFonts w:eastAsia="Times New Roman" w:cs="Times New Roman"/>
                <w:color w:val="000000"/>
                <w:shd w:val="clear" w:color="auto" w:fill="FFFFFF"/>
                <w:lang w:eastAsia="lv-LV" w:bidi="lv-LV"/>
              </w:rPr>
              <w:t>”:</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Resursi izdevumu segšanai </w:t>
            </w:r>
            <w:r>
              <w:rPr>
                <w:rFonts w:eastAsia="Times New Roman" w:cs="Times New Roman"/>
                <w:color w:val="000000"/>
                <w:shd w:val="clear" w:color="auto" w:fill="FFFFFF"/>
                <w:lang w:eastAsia="lv-LV" w:bidi="lv-LV"/>
              </w:rPr>
              <w:t>518</w:t>
            </w:r>
            <w:r w:rsidRPr="004B7B3A">
              <w:rPr>
                <w:rFonts w:eastAsia="Times New Roman" w:cs="Times New Roman"/>
                <w:color w:val="000000"/>
                <w:shd w:val="clear" w:color="auto" w:fill="FFFFFF"/>
                <w:lang w:eastAsia="lv-LV" w:bidi="lv-LV"/>
              </w:rPr>
              <w:t> 19</w:t>
            </w:r>
            <w:r>
              <w:rPr>
                <w:rFonts w:eastAsia="Times New Roman" w:cs="Times New Roman"/>
                <w:color w:val="000000"/>
                <w:shd w:val="clear" w:color="auto" w:fill="FFFFFF"/>
                <w:lang w:eastAsia="lv-LV" w:bidi="lv-LV"/>
              </w:rPr>
              <w:t>0</w:t>
            </w:r>
            <w:r w:rsidRPr="004B7B3A">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610</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w:t>
            </w:r>
            <w:r w:rsidRPr="004B7B3A">
              <w:rPr>
                <w:rFonts w:eastAsia="Times New Roman" w:cs="Times New Roman"/>
                <w:noProof/>
                <w:szCs w:val="24"/>
                <w:lang w:eastAsia="lv-LV"/>
              </w:rPr>
              <w:t xml:space="preserve"> ieņēmumi no maksas pakalpojumiem </w:t>
            </w:r>
            <w:r>
              <w:rPr>
                <w:rFonts w:eastAsia="Times New Roman" w:cs="Times New Roman"/>
                <w:color w:val="000000"/>
                <w:shd w:val="clear" w:color="auto" w:fill="FFFFFF"/>
                <w:lang w:eastAsia="lv-LV" w:bidi="lv-LV"/>
              </w:rPr>
              <w:t xml:space="preserve">1 087 074 </w:t>
            </w:r>
            <w:r w:rsidRPr="004B7B3A">
              <w:rPr>
                <w:rFonts w:eastAsia="Times New Roman" w:cs="Times New Roman"/>
                <w:i/>
                <w:noProof/>
                <w:szCs w:val="24"/>
                <w:lang w:eastAsia="lv-LV"/>
              </w:rPr>
              <w:t>euro</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w:t>
            </w:r>
            <w:r w:rsidRPr="004B7B3A">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517</w:t>
            </w:r>
            <w:r w:rsidRPr="004B7B3A">
              <w:rPr>
                <w:rFonts w:eastAsia="Times New Roman" w:cs="Times New Roman"/>
                <w:color w:val="000000"/>
                <w:shd w:val="clear" w:color="auto" w:fill="FFFFFF"/>
                <w:lang w:eastAsia="lv-LV" w:bidi="lv-LV"/>
              </w:rPr>
              <w:t> 1</w:t>
            </w:r>
            <w:r>
              <w:rPr>
                <w:rFonts w:eastAsia="Times New Roman" w:cs="Times New Roman"/>
                <w:color w:val="000000"/>
                <w:shd w:val="clear" w:color="auto" w:fill="FFFFFF"/>
                <w:lang w:eastAsia="lv-LV" w:bidi="lv-LV"/>
              </w:rPr>
              <w:t>03</w:t>
            </w:r>
            <w:r w:rsidRPr="004B7B3A">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536</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r w:rsidRPr="004B7B3A">
              <w:rPr>
                <w:rFonts w:eastAsia="Times New Roman" w:cs="Times New Roman"/>
                <w:noProof/>
                <w:szCs w:val="24"/>
                <w:lang w:eastAsia="lv-LV"/>
              </w:rPr>
              <w:t xml:space="preserve"> </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518</w:t>
            </w:r>
            <w:r w:rsidRPr="004B7B3A">
              <w:rPr>
                <w:rFonts w:eastAsia="Times New Roman" w:cs="Times New Roman"/>
                <w:color w:val="000000"/>
                <w:shd w:val="clear" w:color="auto" w:fill="FFFFFF"/>
                <w:lang w:eastAsia="lv-LV" w:bidi="lv-LV"/>
              </w:rPr>
              <w:t> 19</w:t>
            </w:r>
            <w:r>
              <w:rPr>
                <w:rFonts w:eastAsia="Times New Roman" w:cs="Times New Roman"/>
                <w:color w:val="000000"/>
                <w:shd w:val="clear" w:color="auto" w:fill="FFFFFF"/>
                <w:lang w:eastAsia="lv-LV" w:bidi="lv-LV"/>
              </w:rPr>
              <w:t>0 610</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r w:rsidRPr="004B7B3A">
              <w:rPr>
                <w:rFonts w:eastAsia="Times New Roman" w:cs="Times New Roman"/>
                <w:noProof/>
                <w:szCs w:val="24"/>
                <w:lang w:eastAsia="lv-LV"/>
              </w:rPr>
              <w:t>, tai skaitā:</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w:t>
            </w:r>
            <w:r w:rsidRPr="004B7B3A">
              <w:rPr>
                <w:rFonts w:eastAsia="Times New Roman" w:cs="Times New Roman"/>
                <w:noProof/>
                <w:szCs w:val="24"/>
                <w:lang w:eastAsia="lv-LV"/>
              </w:rPr>
              <w:t xml:space="preserve"> </w:t>
            </w:r>
            <w:r>
              <w:rPr>
                <w:rFonts w:eastAsia="Times New Roman" w:cs="Times New Roman"/>
                <w:noProof/>
                <w:szCs w:val="24"/>
                <w:lang w:eastAsia="lv-LV"/>
              </w:rPr>
              <w:t>subsīdijas un dotācijas</w:t>
            </w:r>
            <w:r w:rsidRPr="004B7B3A">
              <w:rPr>
                <w:rFonts w:eastAsia="Times New Roman" w:cs="Times New Roman"/>
                <w:noProof/>
                <w:szCs w:val="24"/>
                <w:lang w:eastAsia="lv-LV"/>
              </w:rPr>
              <w:t xml:space="preserve"> </w:t>
            </w:r>
            <w:r>
              <w:rPr>
                <w:rFonts w:eastAsia="Times New Roman" w:cs="Times New Roman"/>
                <w:color w:val="000000"/>
                <w:shd w:val="clear" w:color="auto" w:fill="FFFFFF"/>
                <w:lang w:eastAsia="lv-LV" w:bidi="lv-LV"/>
              </w:rPr>
              <w:t>517 113 392</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Default="008E263D" w:rsidP="008E263D">
            <w:pPr>
              <w:ind w:right="142"/>
              <w:rPr>
                <w:rFonts w:eastAsia="Times New Roman" w:cs="Times New Roman"/>
                <w:noProof/>
                <w:szCs w:val="24"/>
                <w:lang w:eastAsia="lv-LV"/>
              </w:rPr>
            </w:pPr>
            <w:r>
              <w:rPr>
                <w:rFonts w:eastAsia="Times New Roman" w:cs="Times New Roman"/>
                <w:noProof/>
                <w:szCs w:val="24"/>
                <w:lang w:eastAsia="lv-LV"/>
              </w:rPr>
              <w:t xml:space="preserve">   valsts budžeta uzturēšanas izdevumu transferti pašvaldībām</w:t>
            </w:r>
          </w:p>
          <w:p w:rsidR="008E263D" w:rsidRPr="004B7B3A" w:rsidRDefault="008E263D" w:rsidP="008E263D">
            <w:pPr>
              <w:ind w:right="142"/>
              <w:rPr>
                <w:rFonts w:eastAsia="Times New Roman" w:cs="Times New Roman"/>
                <w:i/>
                <w:noProof/>
                <w:szCs w:val="24"/>
                <w:lang w:eastAsia="lv-LV"/>
              </w:rPr>
            </w:pPr>
            <w:r>
              <w:rPr>
                <w:rFonts w:eastAsia="Times New Roman" w:cs="Times New Roman"/>
                <w:noProof/>
                <w:szCs w:val="24"/>
                <w:lang w:eastAsia="lv-LV"/>
              </w:rPr>
              <w:t xml:space="preserve">    noteiktam mērķim</w:t>
            </w:r>
            <w:r w:rsidRPr="004B7B3A">
              <w:rPr>
                <w:rFonts w:eastAsia="Times New Roman" w:cs="Times New Roman"/>
                <w:noProof/>
                <w:szCs w:val="24"/>
                <w:lang w:eastAsia="lv-LV"/>
              </w:rPr>
              <w:t xml:space="preserve"> </w:t>
            </w:r>
            <w:r w:rsidRPr="004B7B3A">
              <w:rPr>
                <w:rFonts w:eastAsia="Times New Roman" w:cs="Times New Roman"/>
                <w:color w:val="000000"/>
                <w:shd w:val="clear" w:color="auto" w:fill="FFFFFF"/>
                <w:lang w:eastAsia="lv-LV" w:bidi="lv-LV"/>
              </w:rPr>
              <w:t>1 </w:t>
            </w:r>
            <w:r>
              <w:rPr>
                <w:rFonts w:eastAsia="Times New Roman" w:cs="Times New Roman"/>
                <w:color w:val="000000"/>
                <w:shd w:val="clear" w:color="auto" w:fill="FFFFFF"/>
                <w:lang w:eastAsia="lv-LV" w:bidi="lv-LV"/>
              </w:rPr>
              <w:t>077</w:t>
            </w:r>
            <w:r w:rsidRPr="004B7B3A">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218</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Pr="004B7B3A" w:rsidRDefault="008E263D" w:rsidP="008E263D">
            <w:pPr>
              <w:jc w:val="both"/>
              <w:rPr>
                <w:rFonts w:eastAsia="Times New Roman" w:cs="Times New Roman"/>
                <w:noProof/>
                <w:szCs w:val="24"/>
                <w:highlight w:val="yellow"/>
                <w:lang w:eastAsia="lv-LV"/>
              </w:rPr>
            </w:pPr>
          </w:p>
          <w:p w:rsidR="008E263D" w:rsidRPr="004B7B3A" w:rsidRDefault="008E263D" w:rsidP="008E263D">
            <w:pPr>
              <w:ind w:right="142"/>
              <w:rPr>
                <w:rFonts w:eastAsia="Times New Roman" w:cs="Times New Roman"/>
                <w:noProof/>
                <w:szCs w:val="24"/>
                <w:lang w:eastAsia="lv-LV"/>
              </w:rPr>
            </w:pPr>
            <w:r w:rsidRPr="004B7B3A">
              <w:rPr>
                <w:rFonts w:eastAsia="Times New Roman" w:cs="Times New Roman"/>
                <w:b/>
                <w:noProof/>
                <w:szCs w:val="24"/>
                <w:lang w:eastAsia="lv-LV"/>
              </w:rPr>
              <w:t>Atbilstoši Ministru kabinetā 2016.gada 1.martā apstiprināta</w:t>
            </w:r>
            <w:r>
              <w:rPr>
                <w:rFonts w:eastAsia="Times New Roman" w:cs="Times New Roman"/>
                <w:b/>
                <w:noProof/>
                <w:szCs w:val="24"/>
                <w:lang w:eastAsia="lv-LV"/>
              </w:rPr>
              <w:t>ja</w:t>
            </w:r>
            <w:r w:rsidRPr="004B7B3A">
              <w:rPr>
                <w:rFonts w:eastAsia="Times New Roman" w:cs="Times New Roman"/>
                <w:b/>
                <w:noProof/>
                <w:szCs w:val="24"/>
                <w:lang w:eastAsia="lv-LV"/>
              </w:rPr>
              <w:t xml:space="preserve">i valsts pamatbudžeta bāzei 2017., 2018. un 2019.gadam </w:t>
            </w:r>
            <w:r w:rsidRPr="004B7B3A">
              <w:rPr>
                <w:rFonts w:eastAsia="Times New Roman" w:cs="Times New Roman"/>
                <w:noProof/>
                <w:szCs w:val="24"/>
                <w:lang w:eastAsia="lv-LV"/>
              </w:rPr>
              <w:t xml:space="preserve">(protokols Nr.10, </w:t>
            </w:r>
            <w:r>
              <w:rPr>
                <w:rFonts w:eastAsia="Times New Roman" w:cs="Times New Roman"/>
                <w:noProof/>
                <w:szCs w:val="24"/>
                <w:lang w:eastAsia="lv-LV"/>
              </w:rPr>
              <w:t>51.</w:t>
            </w:r>
            <w:r w:rsidRPr="004B7B3A">
              <w:rPr>
                <w:rFonts w:eastAsia="Times New Roman" w:cs="Times New Roman"/>
                <w:noProof/>
                <w:szCs w:val="24"/>
                <w:lang w:eastAsia="lv-LV"/>
              </w:rPr>
              <w:t>§):</w:t>
            </w:r>
          </w:p>
          <w:p w:rsidR="008E263D" w:rsidRPr="004B7B3A" w:rsidRDefault="008E263D" w:rsidP="008E263D">
            <w:pPr>
              <w:widowControl w:val="0"/>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lastRenderedPageBreak/>
              <w:t>Nacionālā veselības dienesta administrētais finansējums</w:t>
            </w:r>
            <w:r w:rsidRPr="004B7B3A">
              <w:rPr>
                <w:rFonts w:eastAsia="Times New Roman" w:cs="Times New Roman"/>
                <w:color w:val="000000"/>
                <w:shd w:val="clear" w:color="auto" w:fill="FFFFFF"/>
                <w:lang w:eastAsia="lv-LV" w:bidi="lv-LV"/>
              </w:rPr>
              <w:t xml:space="preserve"> Veselības ministrijas budžeta programmas </w:t>
            </w:r>
            <w:r>
              <w:rPr>
                <w:rFonts w:eastAsia="Times New Roman" w:cs="Times New Roman"/>
                <w:color w:val="000000"/>
                <w:shd w:val="clear" w:color="auto" w:fill="FFFFFF"/>
                <w:lang w:eastAsia="lv-LV" w:bidi="lv-LV"/>
              </w:rPr>
              <w:t>33</w:t>
            </w:r>
            <w:r w:rsidRPr="004B7B3A">
              <w:rPr>
                <w:rFonts w:eastAsia="Times New Roman" w:cs="Times New Roman"/>
                <w:color w:val="000000"/>
                <w:shd w:val="clear" w:color="auto" w:fill="FFFFFF"/>
                <w:lang w:eastAsia="lv-LV" w:bidi="lv-LV"/>
              </w:rPr>
              <w:t>.00.00 „</w:t>
            </w:r>
            <w:r>
              <w:rPr>
                <w:rFonts w:eastAsia="Times New Roman" w:cs="Times New Roman"/>
                <w:color w:val="000000"/>
                <w:shd w:val="clear" w:color="auto" w:fill="FFFFFF"/>
                <w:lang w:eastAsia="lv-LV" w:bidi="lv-LV"/>
              </w:rPr>
              <w:t>Veselības aprūpes nodrošināšana</w:t>
            </w:r>
            <w:r w:rsidRPr="004B7B3A">
              <w:rPr>
                <w:rFonts w:eastAsia="Times New Roman" w:cs="Times New Roman"/>
                <w:color w:val="000000"/>
                <w:shd w:val="clear" w:color="auto" w:fill="FFFFFF"/>
                <w:lang w:eastAsia="lv-LV" w:bidi="lv-LV"/>
              </w:rPr>
              <w:t xml:space="preserve">” apakšprogrammā </w:t>
            </w:r>
            <w:r>
              <w:rPr>
                <w:rFonts w:eastAsia="Times New Roman" w:cs="Times New Roman"/>
                <w:color w:val="000000"/>
                <w:shd w:val="clear" w:color="auto" w:fill="FFFFFF"/>
                <w:lang w:eastAsia="lv-LV" w:bidi="lv-LV"/>
              </w:rPr>
              <w:t>33</w:t>
            </w:r>
            <w:r w:rsidRPr="004B7B3A">
              <w:rPr>
                <w:rFonts w:eastAsia="Times New Roman" w:cs="Times New Roman"/>
                <w:color w:val="000000"/>
                <w:shd w:val="clear" w:color="auto" w:fill="FFFFFF"/>
                <w:lang w:eastAsia="lv-LV" w:bidi="lv-LV"/>
              </w:rPr>
              <w:t>.0</w:t>
            </w:r>
            <w:r>
              <w:rPr>
                <w:rFonts w:eastAsia="Times New Roman" w:cs="Times New Roman"/>
                <w:color w:val="000000"/>
                <w:shd w:val="clear" w:color="auto" w:fill="FFFFFF"/>
                <w:lang w:eastAsia="lv-LV" w:bidi="lv-LV"/>
              </w:rPr>
              <w:t>1</w:t>
            </w:r>
            <w:r w:rsidRPr="004B7B3A">
              <w:rPr>
                <w:rFonts w:eastAsia="Times New Roman" w:cs="Times New Roman"/>
                <w:color w:val="000000"/>
                <w:shd w:val="clear" w:color="auto" w:fill="FFFFFF"/>
                <w:lang w:eastAsia="lv-LV" w:bidi="lv-LV"/>
              </w:rPr>
              <w:t>.00 „</w:t>
            </w:r>
            <w:r>
              <w:rPr>
                <w:rFonts w:eastAsia="Times New Roman" w:cs="Times New Roman"/>
                <w:color w:val="000000"/>
                <w:shd w:val="clear" w:color="auto" w:fill="FFFFFF"/>
                <w:lang w:eastAsia="lv-LV" w:bidi="lv-LV"/>
              </w:rPr>
              <w:t>Ārstniecība</w:t>
            </w:r>
            <w:r w:rsidRPr="004B7B3A">
              <w:rPr>
                <w:rFonts w:eastAsia="Times New Roman" w:cs="Times New Roman"/>
                <w:color w:val="000000"/>
                <w:shd w:val="clear" w:color="auto" w:fill="FFFFFF"/>
                <w:lang w:eastAsia="lv-LV" w:bidi="lv-LV"/>
              </w:rPr>
              <w:t>”:</w:t>
            </w:r>
          </w:p>
          <w:p w:rsidR="008E263D" w:rsidRPr="004B7B3A" w:rsidRDefault="008E263D" w:rsidP="008E263D">
            <w:pPr>
              <w:widowControl w:val="0"/>
              <w:rPr>
                <w:rFonts w:eastAsia="Times New Roman" w:cs="Times New Roman"/>
                <w:color w:val="000000"/>
                <w:shd w:val="clear" w:color="auto" w:fill="FFFFFF"/>
                <w:lang w:eastAsia="lv-LV" w:bidi="lv-LV"/>
              </w:rPr>
            </w:pPr>
          </w:p>
          <w:p w:rsidR="008E263D" w:rsidRPr="004B7B3A" w:rsidRDefault="008E263D" w:rsidP="008E263D">
            <w:pPr>
              <w:spacing w:before="120"/>
              <w:ind w:right="142"/>
              <w:jc w:val="both"/>
              <w:rPr>
                <w:rFonts w:eastAsia="Times New Roman" w:cs="Times New Roman"/>
                <w:b/>
                <w:noProof/>
                <w:szCs w:val="24"/>
                <w:lang w:eastAsia="lv-LV"/>
              </w:rPr>
            </w:pPr>
            <w:r w:rsidRPr="004B7B3A">
              <w:rPr>
                <w:rFonts w:eastAsia="Times New Roman" w:cs="Times New Roman"/>
                <w:b/>
                <w:noProof/>
                <w:szCs w:val="24"/>
                <w:lang w:eastAsia="lv-LV"/>
              </w:rPr>
              <w:t>2017.gadā:</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Resursi izdevumu segšanai </w:t>
            </w:r>
            <w:r>
              <w:rPr>
                <w:rFonts w:eastAsia="Times New Roman" w:cs="Times New Roman"/>
                <w:color w:val="000000"/>
                <w:shd w:val="clear" w:color="auto" w:fill="FFFFFF"/>
                <w:lang w:eastAsia="lv-LV" w:bidi="lv-LV"/>
              </w:rPr>
              <w:t>518</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055</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110</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w:t>
            </w:r>
            <w:r w:rsidRPr="004B7B3A">
              <w:rPr>
                <w:rFonts w:eastAsia="Times New Roman" w:cs="Times New Roman"/>
                <w:noProof/>
                <w:szCs w:val="24"/>
                <w:lang w:eastAsia="lv-LV"/>
              </w:rPr>
              <w:t xml:space="preserve"> ieņēmumi no maksas pakalpojumiem </w:t>
            </w:r>
            <w:r>
              <w:rPr>
                <w:rFonts w:eastAsia="Times New Roman" w:cs="Times New Roman"/>
                <w:color w:val="000000"/>
                <w:shd w:val="clear" w:color="auto" w:fill="FFFFFF"/>
                <w:lang w:eastAsia="lv-LV" w:bidi="lv-LV"/>
              </w:rPr>
              <w:t xml:space="preserve">1 087 074 </w:t>
            </w:r>
            <w:r w:rsidRPr="004B7B3A">
              <w:rPr>
                <w:rFonts w:eastAsia="Times New Roman" w:cs="Times New Roman"/>
                <w:i/>
                <w:noProof/>
                <w:szCs w:val="24"/>
                <w:lang w:eastAsia="lv-LV"/>
              </w:rPr>
              <w:t>euro</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w:t>
            </w:r>
            <w:r w:rsidRPr="004B7B3A">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51</w:t>
            </w:r>
            <w:r w:rsidR="00CA793F">
              <w:rPr>
                <w:rFonts w:eastAsia="Times New Roman" w:cs="Times New Roman"/>
                <w:color w:val="000000"/>
                <w:shd w:val="clear" w:color="auto" w:fill="FFFFFF"/>
                <w:lang w:eastAsia="lv-LV" w:bidi="lv-LV"/>
              </w:rPr>
              <w:t>6</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968</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036</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r w:rsidRPr="004B7B3A">
              <w:rPr>
                <w:rFonts w:eastAsia="Times New Roman" w:cs="Times New Roman"/>
                <w:noProof/>
                <w:szCs w:val="24"/>
                <w:lang w:eastAsia="lv-LV"/>
              </w:rPr>
              <w:t xml:space="preserve"> </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518</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055</w:t>
            </w:r>
            <w:r>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110</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r w:rsidRPr="004B7B3A">
              <w:rPr>
                <w:rFonts w:eastAsia="Times New Roman" w:cs="Times New Roman"/>
                <w:noProof/>
                <w:szCs w:val="24"/>
                <w:lang w:eastAsia="lv-LV"/>
              </w:rPr>
              <w:t>, tai skaitā:</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subsīdijas un dotācijas</w:t>
            </w:r>
            <w:r w:rsidRPr="004B7B3A">
              <w:rPr>
                <w:rFonts w:eastAsia="Times New Roman" w:cs="Times New Roman"/>
                <w:noProof/>
                <w:szCs w:val="24"/>
                <w:lang w:eastAsia="lv-LV"/>
              </w:rPr>
              <w:t xml:space="preserve"> </w:t>
            </w:r>
            <w:r>
              <w:rPr>
                <w:rFonts w:eastAsia="Times New Roman" w:cs="Times New Roman"/>
                <w:color w:val="000000"/>
                <w:shd w:val="clear" w:color="auto" w:fill="FFFFFF"/>
                <w:lang w:eastAsia="lv-LV" w:bidi="lv-LV"/>
              </w:rPr>
              <w:t>51</w:t>
            </w:r>
            <w:r w:rsidR="00CA793F">
              <w:rPr>
                <w:rFonts w:eastAsia="Times New Roman" w:cs="Times New Roman"/>
                <w:color w:val="000000"/>
                <w:shd w:val="clear" w:color="auto" w:fill="FFFFFF"/>
                <w:lang w:eastAsia="lv-LV" w:bidi="lv-LV"/>
              </w:rPr>
              <w:t>6</w:t>
            </w:r>
            <w:r>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997</w:t>
            </w:r>
            <w:r>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892</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Default="008E263D" w:rsidP="008E263D">
            <w:pPr>
              <w:ind w:right="142"/>
              <w:rPr>
                <w:rFonts w:eastAsia="Times New Roman" w:cs="Times New Roman"/>
                <w:noProof/>
                <w:szCs w:val="24"/>
                <w:lang w:eastAsia="lv-LV"/>
              </w:rPr>
            </w:pPr>
            <w:r>
              <w:rPr>
                <w:rFonts w:eastAsia="Times New Roman" w:cs="Times New Roman"/>
                <w:noProof/>
                <w:szCs w:val="24"/>
                <w:lang w:eastAsia="lv-LV"/>
              </w:rPr>
              <w:t xml:space="preserve">   valsts budžeta uzturēšanas izdevumu transferti pašvaldībām</w:t>
            </w:r>
          </w:p>
          <w:p w:rsidR="008E263D" w:rsidRPr="004B7B3A" w:rsidRDefault="008E263D" w:rsidP="008E263D">
            <w:pPr>
              <w:ind w:right="142"/>
              <w:rPr>
                <w:rFonts w:eastAsia="Times New Roman" w:cs="Times New Roman"/>
                <w:i/>
                <w:noProof/>
                <w:szCs w:val="24"/>
                <w:lang w:eastAsia="lv-LV"/>
              </w:rPr>
            </w:pPr>
            <w:r>
              <w:rPr>
                <w:rFonts w:eastAsia="Times New Roman" w:cs="Times New Roman"/>
                <w:noProof/>
                <w:szCs w:val="24"/>
                <w:lang w:eastAsia="lv-LV"/>
              </w:rPr>
              <w:t xml:space="preserve">    noteiktam mērķim</w:t>
            </w:r>
            <w:r w:rsidRPr="004B7B3A">
              <w:rPr>
                <w:rFonts w:eastAsia="Times New Roman" w:cs="Times New Roman"/>
                <w:noProof/>
                <w:szCs w:val="24"/>
                <w:lang w:eastAsia="lv-LV"/>
              </w:rPr>
              <w:t xml:space="preserve"> </w:t>
            </w:r>
            <w:r w:rsidRPr="004B7B3A">
              <w:rPr>
                <w:rFonts w:eastAsia="Times New Roman" w:cs="Times New Roman"/>
                <w:color w:val="000000"/>
                <w:shd w:val="clear" w:color="auto" w:fill="FFFFFF"/>
                <w:lang w:eastAsia="lv-LV" w:bidi="lv-LV"/>
              </w:rPr>
              <w:t>1 </w:t>
            </w:r>
            <w:r>
              <w:rPr>
                <w:rFonts w:eastAsia="Times New Roman" w:cs="Times New Roman"/>
                <w:color w:val="000000"/>
                <w:shd w:val="clear" w:color="auto" w:fill="FFFFFF"/>
                <w:lang w:eastAsia="lv-LV" w:bidi="lv-LV"/>
              </w:rPr>
              <w:t>077</w:t>
            </w:r>
            <w:r w:rsidRPr="004B7B3A">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218</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Pr="004B7B3A" w:rsidRDefault="008E263D" w:rsidP="008E263D">
            <w:pPr>
              <w:spacing w:before="120"/>
              <w:ind w:right="142"/>
              <w:jc w:val="both"/>
              <w:rPr>
                <w:rFonts w:eastAsia="Times New Roman" w:cs="Times New Roman"/>
                <w:b/>
                <w:noProof/>
                <w:szCs w:val="24"/>
                <w:lang w:eastAsia="lv-LV"/>
              </w:rPr>
            </w:pPr>
            <w:r w:rsidRPr="004B7B3A">
              <w:rPr>
                <w:rFonts w:eastAsia="Times New Roman" w:cs="Times New Roman"/>
                <w:b/>
                <w:noProof/>
                <w:szCs w:val="24"/>
                <w:lang w:eastAsia="lv-LV"/>
              </w:rPr>
              <w:t>2018.gadā:</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Resursi izdevumu segšanai </w:t>
            </w:r>
            <w:r>
              <w:rPr>
                <w:rFonts w:eastAsia="Times New Roman" w:cs="Times New Roman"/>
                <w:color w:val="000000"/>
                <w:shd w:val="clear" w:color="auto" w:fill="FFFFFF"/>
                <w:lang w:eastAsia="lv-LV" w:bidi="lv-LV"/>
              </w:rPr>
              <w:t>518</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055</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110</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w:t>
            </w:r>
            <w:r w:rsidRPr="004B7B3A">
              <w:rPr>
                <w:rFonts w:eastAsia="Times New Roman" w:cs="Times New Roman"/>
                <w:noProof/>
                <w:szCs w:val="24"/>
                <w:lang w:eastAsia="lv-LV"/>
              </w:rPr>
              <w:t xml:space="preserve">ieņēmumi no maksas pakalpojumiem </w:t>
            </w:r>
            <w:r>
              <w:rPr>
                <w:rFonts w:eastAsia="Times New Roman" w:cs="Times New Roman"/>
                <w:color w:val="000000"/>
                <w:shd w:val="clear" w:color="auto" w:fill="FFFFFF"/>
                <w:lang w:eastAsia="lv-LV" w:bidi="lv-LV"/>
              </w:rPr>
              <w:t xml:space="preserve">1 087 074 </w:t>
            </w:r>
            <w:r w:rsidRPr="004B7B3A">
              <w:rPr>
                <w:rFonts w:eastAsia="Times New Roman" w:cs="Times New Roman"/>
                <w:i/>
                <w:noProof/>
                <w:szCs w:val="24"/>
                <w:lang w:eastAsia="lv-LV"/>
              </w:rPr>
              <w:t>euro</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w:t>
            </w:r>
            <w:r w:rsidRPr="004B7B3A">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51</w:t>
            </w:r>
            <w:r w:rsidR="00CA793F">
              <w:rPr>
                <w:rFonts w:eastAsia="Times New Roman" w:cs="Times New Roman"/>
                <w:color w:val="000000"/>
                <w:shd w:val="clear" w:color="auto" w:fill="FFFFFF"/>
                <w:lang w:eastAsia="lv-LV" w:bidi="lv-LV"/>
              </w:rPr>
              <w:t>6</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968</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036</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r w:rsidRPr="004B7B3A">
              <w:rPr>
                <w:rFonts w:eastAsia="Times New Roman" w:cs="Times New Roman"/>
                <w:noProof/>
                <w:szCs w:val="24"/>
                <w:lang w:eastAsia="lv-LV"/>
              </w:rPr>
              <w:t xml:space="preserve"> </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518</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055</w:t>
            </w:r>
            <w:r>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110</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r w:rsidRPr="004B7B3A">
              <w:rPr>
                <w:rFonts w:eastAsia="Times New Roman" w:cs="Times New Roman"/>
                <w:noProof/>
                <w:szCs w:val="24"/>
                <w:lang w:eastAsia="lv-LV"/>
              </w:rPr>
              <w:t>, tai skaitā:</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subsīdijas un dotācijas</w:t>
            </w:r>
            <w:r w:rsidRPr="004B7B3A">
              <w:rPr>
                <w:rFonts w:eastAsia="Times New Roman" w:cs="Times New Roman"/>
                <w:noProof/>
                <w:szCs w:val="24"/>
                <w:lang w:eastAsia="lv-LV"/>
              </w:rPr>
              <w:t xml:space="preserve"> </w:t>
            </w:r>
            <w:r>
              <w:rPr>
                <w:rFonts w:eastAsia="Times New Roman" w:cs="Times New Roman"/>
                <w:color w:val="000000"/>
                <w:shd w:val="clear" w:color="auto" w:fill="FFFFFF"/>
                <w:lang w:eastAsia="lv-LV" w:bidi="lv-LV"/>
              </w:rPr>
              <w:t>51</w:t>
            </w:r>
            <w:r w:rsidR="00CA793F">
              <w:rPr>
                <w:rFonts w:eastAsia="Times New Roman" w:cs="Times New Roman"/>
                <w:color w:val="000000"/>
                <w:shd w:val="clear" w:color="auto" w:fill="FFFFFF"/>
                <w:lang w:eastAsia="lv-LV" w:bidi="lv-LV"/>
              </w:rPr>
              <w:t>6</w:t>
            </w:r>
            <w:r>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997</w:t>
            </w:r>
            <w:r>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892</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Default="008E263D" w:rsidP="008E263D">
            <w:pPr>
              <w:ind w:right="142"/>
              <w:rPr>
                <w:rFonts w:eastAsia="Times New Roman" w:cs="Times New Roman"/>
                <w:noProof/>
                <w:szCs w:val="24"/>
                <w:lang w:eastAsia="lv-LV"/>
              </w:rPr>
            </w:pPr>
            <w:r>
              <w:rPr>
                <w:rFonts w:eastAsia="Times New Roman" w:cs="Times New Roman"/>
                <w:noProof/>
                <w:szCs w:val="24"/>
                <w:lang w:eastAsia="lv-LV"/>
              </w:rPr>
              <w:t xml:space="preserve">   valsts budžeta uzturēšanas izdevumu transferti pašvaldībām</w:t>
            </w:r>
          </w:p>
          <w:p w:rsidR="008E263D" w:rsidRPr="004B7B3A" w:rsidRDefault="008E263D" w:rsidP="008E263D">
            <w:pPr>
              <w:ind w:right="142"/>
              <w:rPr>
                <w:rFonts w:eastAsia="Times New Roman" w:cs="Times New Roman"/>
                <w:i/>
                <w:noProof/>
                <w:szCs w:val="24"/>
                <w:lang w:eastAsia="lv-LV"/>
              </w:rPr>
            </w:pPr>
            <w:r>
              <w:rPr>
                <w:rFonts w:eastAsia="Times New Roman" w:cs="Times New Roman"/>
                <w:noProof/>
                <w:szCs w:val="24"/>
                <w:lang w:eastAsia="lv-LV"/>
              </w:rPr>
              <w:t xml:space="preserve">    noteiktam mērķim</w:t>
            </w:r>
            <w:r w:rsidRPr="004B7B3A">
              <w:rPr>
                <w:rFonts w:eastAsia="Times New Roman" w:cs="Times New Roman"/>
                <w:noProof/>
                <w:szCs w:val="24"/>
                <w:lang w:eastAsia="lv-LV"/>
              </w:rPr>
              <w:t xml:space="preserve"> </w:t>
            </w:r>
            <w:r w:rsidRPr="004B7B3A">
              <w:rPr>
                <w:rFonts w:eastAsia="Times New Roman" w:cs="Times New Roman"/>
                <w:color w:val="000000"/>
                <w:shd w:val="clear" w:color="auto" w:fill="FFFFFF"/>
                <w:lang w:eastAsia="lv-LV" w:bidi="lv-LV"/>
              </w:rPr>
              <w:t>1 </w:t>
            </w:r>
            <w:r>
              <w:rPr>
                <w:rFonts w:eastAsia="Times New Roman" w:cs="Times New Roman"/>
                <w:color w:val="000000"/>
                <w:shd w:val="clear" w:color="auto" w:fill="FFFFFF"/>
                <w:lang w:eastAsia="lv-LV" w:bidi="lv-LV"/>
              </w:rPr>
              <w:t>077</w:t>
            </w:r>
            <w:r w:rsidRPr="004B7B3A">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218</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Pr="004B7B3A" w:rsidRDefault="008E263D" w:rsidP="008E263D">
            <w:pPr>
              <w:spacing w:before="120"/>
              <w:ind w:right="142"/>
              <w:jc w:val="both"/>
              <w:rPr>
                <w:rFonts w:eastAsia="Times New Roman" w:cs="Times New Roman"/>
                <w:b/>
                <w:noProof/>
                <w:szCs w:val="24"/>
                <w:lang w:eastAsia="lv-LV"/>
              </w:rPr>
            </w:pPr>
            <w:r w:rsidRPr="004B7B3A">
              <w:rPr>
                <w:rFonts w:eastAsia="Times New Roman" w:cs="Times New Roman"/>
                <w:b/>
                <w:noProof/>
                <w:szCs w:val="24"/>
                <w:lang w:eastAsia="lv-LV"/>
              </w:rPr>
              <w:t>2019.gadā:</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Resursi izdevumu segšanai </w:t>
            </w:r>
            <w:r>
              <w:rPr>
                <w:rFonts w:eastAsia="Times New Roman" w:cs="Times New Roman"/>
                <w:color w:val="000000"/>
                <w:shd w:val="clear" w:color="auto" w:fill="FFFFFF"/>
                <w:lang w:eastAsia="lv-LV" w:bidi="lv-LV"/>
              </w:rPr>
              <w:t>518</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055</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110</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w:t>
            </w:r>
            <w:r w:rsidRPr="004B7B3A">
              <w:rPr>
                <w:rFonts w:eastAsia="Times New Roman" w:cs="Times New Roman"/>
                <w:noProof/>
                <w:szCs w:val="24"/>
                <w:lang w:eastAsia="lv-LV"/>
              </w:rPr>
              <w:t xml:space="preserve">ieņēmumi no maksas pakalpojumiem </w:t>
            </w:r>
            <w:r>
              <w:rPr>
                <w:rFonts w:eastAsia="Times New Roman" w:cs="Times New Roman"/>
                <w:color w:val="000000"/>
                <w:shd w:val="clear" w:color="auto" w:fill="FFFFFF"/>
                <w:lang w:eastAsia="lv-LV" w:bidi="lv-LV"/>
              </w:rPr>
              <w:t xml:space="preserve">1 087 074 </w:t>
            </w:r>
            <w:r w:rsidRPr="004B7B3A">
              <w:rPr>
                <w:rFonts w:eastAsia="Times New Roman" w:cs="Times New Roman"/>
                <w:i/>
                <w:noProof/>
                <w:szCs w:val="24"/>
                <w:lang w:eastAsia="lv-LV"/>
              </w:rPr>
              <w:t>euro</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w:t>
            </w:r>
            <w:r w:rsidRPr="004B7B3A">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51</w:t>
            </w:r>
            <w:r w:rsidR="00CA793F">
              <w:rPr>
                <w:rFonts w:eastAsia="Times New Roman" w:cs="Times New Roman"/>
                <w:color w:val="000000"/>
                <w:shd w:val="clear" w:color="auto" w:fill="FFFFFF"/>
                <w:lang w:eastAsia="lv-LV" w:bidi="lv-LV"/>
              </w:rPr>
              <w:t>6</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968</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036</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r w:rsidRPr="004B7B3A">
              <w:rPr>
                <w:rFonts w:eastAsia="Times New Roman" w:cs="Times New Roman"/>
                <w:noProof/>
                <w:szCs w:val="24"/>
                <w:lang w:eastAsia="lv-LV"/>
              </w:rPr>
              <w:t xml:space="preserve"> </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518</w:t>
            </w:r>
            <w:r w:rsidRPr="004B7B3A">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055</w:t>
            </w:r>
            <w:r>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110</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r w:rsidRPr="004B7B3A">
              <w:rPr>
                <w:rFonts w:eastAsia="Times New Roman" w:cs="Times New Roman"/>
                <w:noProof/>
                <w:szCs w:val="24"/>
                <w:lang w:eastAsia="lv-LV"/>
              </w:rPr>
              <w:t>, tai skaitā:</w:t>
            </w:r>
          </w:p>
          <w:p w:rsidR="008E263D" w:rsidRPr="004B7B3A" w:rsidRDefault="008E263D" w:rsidP="008E263D">
            <w:pPr>
              <w:ind w:right="142"/>
              <w:jc w:val="both"/>
              <w:rPr>
                <w:rFonts w:eastAsia="Times New Roman" w:cs="Times New Roman"/>
                <w:noProof/>
                <w:szCs w:val="24"/>
                <w:lang w:eastAsia="lv-LV"/>
              </w:rPr>
            </w:pPr>
            <w:r w:rsidRPr="004B7B3A">
              <w:rPr>
                <w:rFonts w:eastAsia="Times New Roman" w:cs="Times New Roman"/>
                <w:noProof/>
                <w:szCs w:val="24"/>
                <w:lang w:eastAsia="lv-LV"/>
              </w:rPr>
              <w:t xml:space="preserve">  </w:t>
            </w:r>
            <w:r>
              <w:rPr>
                <w:rFonts w:eastAsia="Times New Roman" w:cs="Times New Roman"/>
                <w:noProof/>
                <w:szCs w:val="24"/>
                <w:lang w:eastAsia="lv-LV"/>
              </w:rPr>
              <w:t xml:space="preserve"> subsīdijas un dotācijas</w:t>
            </w:r>
            <w:r w:rsidRPr="004B7B3A">
              <w:rPr>
                <w:rFonts w:eastAsia="Times New Roman" w:cs="Times New Roman"/>
                <w:noProof/>
                <w:szCs w:val="24"/>
                <w:lang w:eastAsia="lv-LV"/>
              </w:rPr>
              <w:t xml:space="preserve"> </w:t>
            </w:r>
            <w:r>
              <w:rPr>
                <w:rFonts w:eastAsia="Times New Roman" w:cs="Times New Roman"/>
                <w:color w:val="000000"/>
                <w:shd w:val="clear" w:color="auto" w:fill="FFFFFF"/>
                <w:lang w:eastAsia="lv-LV" w:bidi="lv-LV"/>
              </w:rPr>
              <w:t>51</w:t>
            </w:r>
            <w:r w:rsidR="00CA793F">
              <w:rPr>
                <w:rFonts w:eastAsia="Times New Roman" w:cs="Times New Roman"/>
                <w:color w:val="000000"/>
                <w:shd w:val="clear" w:color="auto" w:fill="FFFFFF"/>
                <w:lang w:eastAsia="lv-LV" w:bidi="lv-LV"/>
              </w:rPr>
              <w:t>6</w:t>
            </w:r>
            <w:r>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997</w:t>
            </w:r>
            <w:r>
              <w:rPr>
                <w:rFonts w:eastAsia="Times New Roman" w:cs="Times New Roman"/>
                <w:color w:val="000000"/>
                <w:shd w:val="clear" w:color="auto" w:fill="FFFFFF"/>
                <w:lang w:eastAsia="lv-LV" w:bidi="lv-LV"/>
              </w:rPr>
              <w:t> </w:t>
            </w:r>
            <w:r w:rsidR="00CA793F">
              <w:rPr>
                <w:rFonts w:eastAsia="Times New Roman" w:cs="Times New Roman"/>
                <w:color w:val="000000"/>
                <w:shd w:val="clear" w:color="auto" w:fill="FFFFFF"/>
                <w:lang w:eastAsia="lv-LV" w:bidi="lv-LV"/>
              </w:rPr>
              <w:t>892</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Default="008E263D" w:rsidP="008E263D">
            <w:pPr>
              <w:ind w:right="142"/>
              <w:rPr>
                <w:rFonts w:eastAsia="Times New Roman" w:cs="Times New Roman"/>
                <w:noProof/>
                <w:szCs w:val="24"/>
                <w:lang w:eastAsia="lv-LV"/>
              </w:rPr>
            </w:pPr>
            <w:r>
              <w:rPr>
                <w:rFonts w:eastAsia="Times New Roman" w:cs="Times New Roman"/>
                <w:noProof/>
                <w:szCs w:val="24"/>
                <w:lang w:eastAsia="lv-LV"/>
              </w:rPr>
              <w:t xml:space="preserve">   valsts budžeta uzturēšanas izdevumu transferti pašvaldībām</w:t>
            </w:r>
          </w:p>
          <w:p w:rsidR="008E263D" w:rsidRPr="004B7B3A" w:rsidRDefault="008E263D" w:rsidP="008E263D">
            <w:pPr>
              <w:ind w:right="142"/>
              <w:rPr>
                <w:rFonts w:eastAsia="Times New Roman" w:cs="Times New Roman"/>
                <w:i/>
                <w:noProof/>
                <w:szCs w:val="24"/>
                <w:lang w:eastAsia="lv-LV"/>
              </w:rPr>
            </w:pPr>
            <w:r>
              <w:rPr>
                <w:rFonts w:eastAsia="Times New Roman" w:cs="Times New Roman"/>
                <w:noProof/>
                <w:szCs w:val="24"/>
                <w:lang w:eastAsia="lv-LV"/>
              </w:rPr>
              <w:t xml:space="preserve">    noteiktam mērķim</w:t>
            </w:r>
            <w:r w:rsidRPr="004B7B3A">
              <w:rPr>
                <w:rFonts w:eastAsia="Times New Roman" w:cs="Times New Roman"/>
                <w:noProof/>
                <w:szCs w:val="24"/>
                <w:lang w:eastAsia="lv-LV"/>
              </w:rPr>
              <w:t xml:space="preserve"> </w:t>
            </w:r>
            <w:r w:rsidRPr="004B7B3A">
              <w:rPr>
                <w:rFonts w:eastAsia="Times New Roman" w:cs="Times New Roman"/>
                <w:color w:val="000000"/>
                <w:shd w:val="clear" w:color="auto" w:fill="FFFFFF"/>
                <w:lang w:eastAsia="lv-LV" w:bidi="lv-LV"/>
              </w:rPr>
              <w:t>1 </w:t>
            </w:r>
            <w:r>
              <w:rPr>
                <w:rFonts w:eastAsia="Times New Roman" w:cs="Times New Roman"/>
                <w:color w:val="000000"/>
                <w:shd w:val="clear" w:color="auto" w:fill="FFFFFF"/>
                <w:lang w:eastAsia="lv-LV" w:bidi="lv-LV"/>
              </w:rPr>
              <w:t>077</w:t>
            </w:r>
            <w:r w:rsidRPr="004B7B3A">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218</w:t>
            </w:r>
            <w:r w:rsidRPr="004B7B3A">
              <w:rPr>
                <w:rFonts w:eastAsia="Times New Roman" w:cs="Times New Roman"/>
                <w:color w:val="000000"/>
                <w:shd w:val="clear" w:color="auto" w:fill="FFFFFF"/>
                <w:lang w:eastAsia="lv-LV" w:bidi="lv-LV"/>
              </w:rPr>
              <w:t xml:space="preserve"> </w:t>
            </w:r>
            <w:r w:rsidRPr="004B7B3A">
              <w:rPr>
                <w:rFonts w:eastAsia="Times New Roman" w:cs="Times New Roman"/>
                <w:i/>
                <w:noProof/>
                <w:szCs w:val="24"/>
                <w:lang w:eastAsia="lv-LV"/>
              </w:rPr>
              <w:t>euro</w:t>
            </w:r>
          </w:p>
          <w:p w:rsidR="008E263D" w:rsidRDefault="008E263D" w:rsidP="008E263D">
            <w:pPr>
              <w:pStyle w:val="NoSpacing"/>
              <w:ind w:left="-86" w:right="-1"/>
              <w:rPr>
                <w:lang w:eastAsia="lv-LV"/>
              </w:rPr>
            </w:pPr>
          </w:p>
          <w:p w:rsidR="00292431" w:rsidRDefault="00292431" w:rsidP="00292431">
            <w:pPr>
              <w:pStyle w:val="NoSpacing"/>
              <w:jc w:val="both"/>
              <w:rPr>
                <w:lang w:eastAsia="lv-LV"/>
              </w:rPr>
            </w:pPr>
            <w:r w:rsidRPr="00292431">
              <w:rPr>
                <w:lang w:eastAsia="lv-LV"/>
              </w:rPr>
              <w:t xml:space="preserve">Ministru kabineta noteikumu grozījumu </w:t>
            </w:r>
            <w:r w:rsidR="002D5532">
              <w:rPr>
                <w:lang w:eastAsia="lv-LV"/>
              </w:rPr>
              <w:t>2</w:t>
            </w:r>
            <w:r w:rsidRPr="00292431">
              <w:rPr>
                <w:lang w:eastAsia="lv-LV"/>
              </w:rPr>
              <w:t>.punktā paredzēto pasākumu izpildei 2016. un 2017.gadā atbilstoši Ministru kabineta 2015.gada 3.novembra sēdes protokola Nr.57 58§ 8.punktā noteiktajam, Veselības ministrija normatīvajos aktos noteiktajā kārtībā sagatavos pamatotus pieprasījumus atbilstoši faktiskajiem izdevumiem no budžeta resora "74.Gadskārtējā valsts budžeta izpildes procesā pārdalāmais finansējums" valsts budžeta programmas 02.00.00 "Līdzekļi neparedzētiem gadījumiem".</w:t>
            </w:r>
          </w:p>
          <w:p w:rsidR="00292431" w:rsidRDefault="00292431" w:rsidP="00292431">
            <w:pPr>
              <w:pStyle w:val="NoSpacing"/>
              <w:jc w:val="both"/>
              <w:rPr>
                <w:lang w:eastAsia="lv-LV"/>
              </w:rPr>
            </w:pPr>
          </w:p>
          <w:p w:rsidR="00292431" w:rsidRPr="006D1F1C" w:rsidRDefault="00292431" w:rsidP="00292431">
            <w:pPr>
              <w:pStyle w:val="NoSpacing"/>
              <w:spacing w:after="120"/>
              <w:ind w:left="57"/>
              <w:jc w:val="both"/>
              <w:rPr>
                <w:lang w:eastAsia="lv-LV"/>
              </w:rPr>
            </w:pPr>
            <w:r>
              <w:rPr>
                <w:lang w:eastAsia="lv-LV"/>
              </w:rPr>
              <w:t xml:space="preserve">Pārējie Ministru kabineta noteikumu grozījumi ir precizējoša rakstura attiecībā uz ārstniecības iestāžu un ārstniecības personu kompetencēm, un to </w:t>
            </w:r>
            <w:r>
              <w:t xml:space="preserve">mērķis ir </w:t>
            </w:r>
            <w:r w:rsidRPr="002757B9">
              <w:t xml:space="preserve">pilnveidot noteikumos iekļautās normas atbilstoši </w:t>
            </w:r>
            <w:r w:rsidRPr="005905C4">
              <w:t>ekonomiskai un finanšu</w:t>
            </w:r>
            <w:r w:rsidRPr="002757B9">
              <w:t xml:space="preserve"> situācijai veselības aprūpes nozarē</w:t>
            </w:r>
            <w:r>
              <w:t xml:space="preserve">, veicinot racionālu un efektīvu </w:t>
            </w:r>
            <w:r>
              <w:rPr>
                <w:lang w:eastAsia="lv-LV"/>
              </w:rPr>
              <w:t xml:space="preserve">piešķiro valsts budžeta līdzekļu izlietojumu un līdz ar to </w:t>
            </w:r>
            <w:r w:rsidRPr="001F46B2">
              <w:rPr>
                <w:u w:val="single"/>
                <w:lang w:eastAsia="lv-LV"/>
              </w:rPr>
              <w:t xml:space="preserve">neatstāj </w:t>
            </w:r>
            <w:r>
              <w:rPr>
                <w:u w:val="single"/>
                <w:lang w:eastAsia="lv-LV"/>
              </w:rPr>
              <w:t xml:space="preserve">finansiālu </w:t>
            </w:r>
            <w:r w:rsidRPr="001F46B2">
              <w:rPr>
                <w:u w:val="single"/>
                <w:lang w:eastAsia="lv-LV"/>
              </w:rPr>
              <w:t>ietekmi</w:t>
            </w:r>
            <w:r>
              <w:rPr>
                <w:lang w:eastAsia="lv-LV"/>
              </w:rPr>
              <w:t xml:space="preserve"> uz 2016.gada un turpmāko gadu valsts budžeta izdevumiem.</w:t>
            </w: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6.1. detalizēts ieņēmumu aprēķins</w:t>
            </w:r>
          </w:p>
        </w:tc>
        <w:tc>
          <w:tcPr>
            <w:tcW w:w="3762" w:type="pct"/>
            <w:gridSpan w:val="7"/>
            <w:vMerge/>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rPr>
                <w:rFonts w:eastAsia="Times New Roman" w:cs="Times New Roman"/>
                <w:szCs w:val="24"/>
                <w:lang w:eastAsia="lv-LV"/>
              </w:rPr>
            </w:pPr>
          </w:p>
        </w:tc>
      </w:tr>
      <w:tr w:rsidR="00DE0605" w:rsidRPr="006D1F1C" w:rsidTr="003411EB">
        <w:tblPrEx>
          <w:jc w:val="center"/>
        </w:tblPrEx>
        <w:trPr>
          <w:gridBefore w:val="1"/>
          <w:wBefore w:w="25" w:type="pct"/>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t>6.2. detalizēts izdevumu aprēķins</w:t>
            </w:r>
          </w:p>
        </w:tc>
        <w:tc>
          <w:tcPr>
            <w:tcW w:w="3762" w:type="pct"/>
            <w:gridSpan w:val="7"/>
            <w:vMerge/>
            <w:tcBorders>
              <w:top w:val="outset" w:sz="6" w:space="0" w:color="auto"/>
              <w:left w:val="outset" w:sz="6" w:space="0" w:color="auto"/>
              <w:bottom w:val="outset" w:sz="6" w:space="0" w:color="auto"/>
              <w:right w:val="outset" w:sz="6" w:space="0" w:color="auto"/>
            </w:tcBorders>
            <w:vAlign w:val="center"/>
            <w:hideMark/>
          </w:tcPr>
          <w:p w:rsidR="00DE0605" w:rsidRPr="006D1F1C" w:rsidRDefault="00DE0605" w:rsidP="002B7FAB">
            <w:pPr>
              <w:rPr>
                <w:rFonts w:eastAsia="Times New Roman" w:cs="Times New Roman"/>
                <w:szCs w:val="24"/>
                <w:lang w:eastAsia="lv-LV"/>
              </w:rPr>
            </w:pPr>
          </w:p>
        </w:tc>
      </w:tr>
      <w:tr w:rsidR="00DE0605" w:rsidRPr="006D1F1C" w:rsidTr="003411EB">
        <w:tblPrEx>
          <w:jc w:val="center"/>
        </w:tblPrEx>
        <w:trPr>
          <w:gridBefore w:val="1"/>
          <w:wBefore w:w="25" w:type="pct"/>
          <w:trHeight w:val="555"/>
          <w:jc w:val="center"/>
        </w:trPr>
        <w:tc>
          <w:tcPr>
            <w:tcW w:w="1213" w:type="pct"/>
            <w:gridSpan w:val="4"/>
            <w:tcBorders>
              <w:top w:val="outset" w:sz="6" w:space="0" w:color="auto"/>
              <w:left w:val="outset" w:sz="6" w:space="0" w:color="auto"/>
              <w:bottom w:val="outset" w:sz="6" w:space="0" w:color="auto"/>
              <w:right w:val="outset" w:sz="6" w:space="0" w:color="auto"/>
            </w:tcBorders>
            <w:hideMark/>
          </w:tcPr>
          <w:p w:rsidR="00DE0605" w:rsidRPr="006D1F1C" w:rsidRDefault="00DE0605" w:rsidP="002B7FAB">
            <w:pPr>
              <w:rPr>
                <w:rFonts w:eastAsia="Times New Roman" w:cs="Times New Roman"/>
                <w:szCs w:val="24"/>
                <w:lang w:eastAsia="lv-LV"/>
              </w:rPr>
            </w:pPr>
            <w:r w:rsidRPr="006D1F1C">
              <w:rPr>
                <w:rFonts w:eastAsia="Times New Roman" w:cs="Times New Roman"/>
                <w:szCs w:val="24"/>
                <w:lang w:eastAsia="lv-LV"/>
              </w:rPr>
              <w:lastRenderedPageBreak/>
              <w:t>7. Cita informācija</w:t>
            </w:r>
          </w:p>
        </w:tc>
        <w:tc>
          <w:tcPr>
            <w:tcW w:w="3762" w:type="pct"/>
            <w:gridSpan w:val="7"/>
            <w:tcBorders>
              <w:top w:val="outset" w:sz="6" w:space="0" w:color="auto"/>
              <w:left w:val="outset" w:sz="6" w:space="0" w:color="auto"/>
              <w:bottom w:val="outset" w:sz="6" w:space="0" w:color="auto"/>
              <w:right w:val="outset" w:sz="6" w:space="0" w:color="auto"/>
            </w:tcBorders>
            <w:hideMark/>
          </w:tcPr>
          <w:p w:rsidR="00DE0605" w:rsidRPr="006D1F1C" w:rsidRDefault="008F105E" w:rsidP="008F105E">
            <w:pPr>
              <w:rPr>
                <w:rFonts w:eastAsia="Times New Roman" w:cs="Times New Roman"/>
                <w:szCs w:val="24"/>
                <w:lang w:eastAsia="lv-LV"/>
              </w:rPr>
            </w:pPr>
            <w:r>
              <w:rPr>
                <w:rFonts w:eastAsia="Times New Roman" w:cs="Times New Roman"/>
                <w:szCs w:val="24"/>
                <w:lang w:eastAsia="lv-LV"/>
              </w:rPr>
              <w:t>Nav.</w:t>
            </w:r>
          </w:p>
        </w:tc>
      </w:tr>
    </w:tbl>
    <w:p w:rsidR="00EF0B31" w:rsidRPr="006D1F1C" w:rsidRDefault="00EF0B31" w:rsidP="003E6B1C">
      <w:pPr>
        <w:rPr>
          <w:rFonts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050"/>
        <w:gridCol w:w="6946"/>
      </w:tblGrid>
      <w:tr w:rsidR="00A90D50" w:rsidRPr="00857BA9" w:rsidTr="00A90D50">
        <w:tc>
          <w:tcPr>
            <w:tcW w:w="9640" w:type="dxa"/>
            <w:gridSpan w:val="3"/>
          </w:tcPr>
          <w:p w:rsidR="00A90D50" w:rsidRPr="00857BA9" w:rsidRDefault="00A90D50" w:rsidP="00414B1C">
            <w:pPr>
              <w:jc w:val="center"/>
            </w:pPr>
            <w:r w:rsidRPr="00857BA9">
              <w:rPr>
                <w:b/>
                <w:bCs/>
              </w:rPr>
              <w:t>VI. Sabiedrības līdzdalība un komunikācijas aktivitātes</w:t>
            </w:r>
          </w:p>
        </w:tc>
      </w:tr>
      <w:tr w:rsidR="00A90D50" w:rsidRPr="00857BA9" w:rsidTr="00A90D50">
        <w:tc>
          <w:tcPr>
            <w:tcW w:w="644" w:type="dxa"/>
          </w:tcPr>
          <w:p w:rsidR="00A90D50" w:rsidRPr="00857BA9" w:rsidRDefault="00A90D50" w:rsidP="00414B1C">
            <w:r w:rsidRPr="00857BA9">
              <w:t>1.</w:t>
            </w:r>
          </w:p>
        </w:tc>
        <w:tc>
          <w:tcPr>
            <w:tcW w:w="2050" w:type="dxa"/>
          </w:tcPr>
          <w:p w:rsidR="00A90D50" w:rsidRPr="00857BA9" w:rsidRDefault="00A90D50" w:rsidP="00414B1C">
            <w:r w:rsidRPr="00857BA9">
              <w:t>Plānotās sabiedrības līdzdalības un komunikācijas aktivitātes saistībā ar projektu</w:t>
            </w:r>
          </w:p>
        </w:tc>
        <w:tc>
          <w:tcPr>
            <w:tcW w:w="6946" w:type="dxa"/>
          </w:tcPr>
          <w:p w:rsidR="00A90D50" w:rsidRPr="00A90D50" w:rsidRDefault="00A90D50" w:rsidP="00414B1C">
            <w:pPr>
              <w:jc w:val="both"/>
            </w:pPr>
            <w:r w:rsidRPr="00A90D50">
              <w:t>2016.gada 3.martā tika organizēta tikšanās ar Latvijas Slimnīcu biedrību.</w:t>
            </w:r>
          </w:p>
        </w:tc>
      </w:tr>
      <w:tr w:rsidR="00A90D50" w:rsidRPr="00857BA9" w:rsidTr="00A90D50">
        <w:tc>
          <w:tcPr>
            <w:tcW w:w="644" w:type="dxa"/>
          </w:tcPr>
          <w:p w:rsidR="00A90D50" w:rsidRPr="00857BA9" w:rsidRDefault="00A90D50" w:rsidP="00414B1C">
            <w:r w:rsidRPr="00857BA9">
              <w:t>2.</w:t>
            </w:r>
          </w:p>
        </w:tc>
        <w:tc>
          <w:tcPr>
            <w:tcW w:w="2050" w:type="dxa"/>
          </w:tcPr>
          <w:p w:rsidR="00A90D50" w:rsidRPr="00857BA9" w:rsidRDefault="00A90D50" w:rsidP="00414B1C">
            <w:r w:rsidRPr="00857BA9">
              <w:t>Sabiedrības līdzdalība projekta izstrādē</w:t>
            </w:r>
          </w:p>
        </w:tc>
        <w:tc>
          <w:tcPr>
            <w:tcW w:w="6946" w:type="dxa"/>
          </w:tcPr>
          <w:p w:rsidR="00A90D50" w:rsidRPr="00A90D50" w:rsidRDefault="00A90D50" w:rsidP="00414B1C">
            <w:pPr>
              <w:jc w:val="both"/>
            </w:pPr>
            <w:r w:rsidRPr="00A90D50">
              <w:t>Tikšanās laikā ar Latvijas Slimnīcu biedrību tika diskutēts par stacionāro pakalpojumu apmaksas kārtību.</w:t>
            </w:r>
          </w:p>
        </w:tc>
      </w:tr>
      <w:tr w:rsidR="00A90D50" w:rsidRPr="00857BA9" w:rsidTr="00A90D50">
        <w:tc>
          <w:tcPr>
            <w:tcW w:w="644" w:type="dxa"/>
          </w:tcPr>
          <w:p w:rsidR="00A90D50" w:rsidRPr="00857BA9" w:rsidRDefault="00A90D50" w:rsidP="00414B1C">
            <w:r w:rsidRPr="00857BA9">
              <w:t>3.</w:t>
            </w:r>
          </w:p>
        </w:tc>
        <w:tc>
          <w:tcPr>
            <w:tcW w:w="2050" w:type="dxa"/>
          </w:tcPr>
          <w:p w:rsidR="00A90D50" w:rsidRPr="00857BA9" w:rsidRDefault="00A90D50" w:rsidP="00414B1C">
            <w:r w:rsidRPr="00857BA9">
              <w:t>Sabiedrības līdzdalības rezultāti</w:t>
            </w:r>
          </w:p>
        </w:tc>
        <w:tc>
          <w:tcPr>
            <w:tcW w:w="6946" w:type="dxa"/>
          </w:tcPr>
          <w:p w:rsidR="00A90D50" w:rsidRPr="00A90D50" w:rsidRDefault="00A90D50" w:rsidP="00414B1C">
            <w:pPr>
              <w:jc w:val="both"/>
            </w:pPr>
            <w:r w:rsidRPr="00A90D50">
              <w:t>Atbilstoši apspriestajiem jautājumiem, precizēts noteikumu projekts.</w:t>
            </w:r>
          </w:p>
        </w:tc>
      </w:tr>
      <w:tr w:rsidR="00A90D50" w:rsidRPr="00857BA9" w:rsidTr="00A90D50">
        <w:tc>
          <w:tcPr>
            <w:tcW w:w="644" w:type="dxa"/>
          </w:tcPr>
          <w:p w:rsidR="00A90D50" w:rsidRPr="00857BA9" w:rsidRDefault="00A90D50" w:rsidP="00414B1C">
            <w:r w:rsidRPr="00857BA9">
              <w:t>4.</w:t>
            </w:r>
          </w:p>
        </w:tc>
        <w:tc>
          <w:tcPr>
            <w:tcW w:w="2050" w:type="dxa"/>
          </w:tcPr>
          <w:p w:rsidR="00A90D50" w:rsidRPr="00857BA9" w:rsidRDefault="00A90D50" w:rsidP="00414B1C">
            <w:r w:rsidRPr="00857BA9">
              <w:t>Cita informācija</w:t>
            </w:r>
          </w:p>
        </w:tc>
        <w:tc>
          <w:tcPr>
            <w:tcW w:w="6946" w:type="dxa"/>
          </w:tcPr>
          <w:p w:rsidR="00A90D50" w:rsidRPr="00857BA9" w:rsidRDefault="00A90D50" w:rsidP="00414B1C">
            <w:r w:rsidRPr="00857BA9">
              <w:t>Nav</w:t>
            </w:r>
            <w:r>
              <w:t>.</w:t>
            </w:r>
          </w:p>
        </w:tc>
      </w:tr>
    </w:tbl>
    <w:p w:rsidR="00DD3994" w:rsidRDefault="00DD3994" w:rsidP="00B174DE">
      <w:pPr>
        <w:spacing w:after="480"/>
        <w:rPr>
          <w:rFonts w:cs="Times New Roman"/>
          <w:szCs w:val="24"/>
        </w:rPr>
      </w:pPr>
    </w:p>
    <w:tbl>
      <w:tblPr>
        <w:tblW w:w="5298" w:type="pct"/>
        <w:jc w:val="center"/>
        <w:tblInd w:w="-1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4"/>
        <w:gridCol w:w="3727"/>
        <w:gridCol w:w="5364"/>
      </w:tblGrid>
      <w:tr w:rsidR="00A90D50" w:rsidRPr="006D1F1C" w:rsidTr="00A90D50">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A90D50" w:rsidRPr="006D1F1C" w:rsidRDefault="00A90D50" w:rsidP="00414B1C">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A90D50" w:rsidRPr="006D1F1C" w:rsidTr="00A90D50">
        <w:trPr>
          <w:trHeight w:val="420"/>
          <w:jc w:val="center"/>
        </w:trPr>
        <w:tc>
          <w:tcPr>
            <w:tcW w:w="302" w:type="pct"/>
            <w:tcBorders>
              <w:top w:val="outset" w:sz="6" w:space="0" w:color="auto"/>
              <w:left w:val="outset" w:sz="6" w:space="0" w:color="auto"/>
              <w:bottom w:val="outset" w:sz="6" w:space="0" w:color="auto"/>
              <w:right w:val="outset" w:sz="6" w:space="0" w:color="auto"/>
            </w:tcBorders>
            <w:hideMark/>
          </w:tcPr>
          <w:p w:rsidR="00A90D50" w:rsidRPr="006D1F1C" w:rsidRDefault="00A90D50" w:rsidP="00414B1C">
            <w:pPr>
              <w:rPr>
                <w:rFonts w:eastAsia="Times New Roman" w:cs="Times New Roman"/>
                <w:szCs w:val="24"/>
                <w:lang w:eastAsia="lv-LV"/>
              </w:rPr>
            </w:pPr>
            <w:r w:rsidRPr="006D1F1C">
              <w:rPr>
                <w:rFonts w:eastAsia="Times New Roman" w:cs="Times New Roman"/>
                <w:szCs w:val="24"/>
                <w:lang w:eastAsia="lv-LV"/>
              </w:rPr>
              <w:t>1.</w:t>
            </w:r>
          </w:p>
        </w:tc>
        <w:tc>
          <w:tcPr>
            <w:tcW w:w="1926" w:type="pct"/>
            <w:tcBorders>
              <w:top w:val="outset" w:sz="6" w:space="0" w:color="auto"/>
              <w:left w:val="outset" w:sz="6" w:space="0" w:color="auto"/>
              <w:bottom w:val="outset" w:sz="6" w:space="0" w:color="auto"/>
              <w:right w:val="outset" w:sz="6" w:space="0" w:color="auto"/>
            </w:tcBorders>
            <w:hideMark/>
          </w:tcPr>
          <w:p w:rsidR="00A90D50" w:rsidRPr="006D1F1C" w:rsidRDefault="00A90D50" w:rsidP="00414B1C">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772" w:type="pct"/>
            <w:tcBorders>
              <w:top w:val="outset" w:sz="6" w:space="0" w:color="auto"/>
              <w:left w:val="outset" w:sz="6" w:space="0" w:color="auto"/>
              <w:bottom w:val="outset" w:sz="6" w:space="0" w:color="auto"/>
              <w:right w:val="outset" w:sz="6" w:space="0" w:color="auto"/>
            </w:tcBorders>
            <w:hideMark/>
          </w:tcPr>
          <w:p w:rsidR="00A90D50" w:rsidRPr="006D1F1C" w:rsidRDefault="00A90D50" w:rsidP="00414B1C">
            <w:pPr>
              <w:rPr>
                <w:rFonts w:eastAsia="Times New Roman" w:cs="Times New Roman"/>
                <w:szCs w:val="24"/>
                <w:lang w:eastAsia="lv-LV"/>
              </w:rPr>
            </w:pPr>
            <w:r>
              <w:rPr>
                <w:rFonts w:eastAsia="Times New Roman" w:cs="Times New Roman"/>
                <w:szCs w:val="24"/>
                <w:lang w:eastAsia="lv-LV"/>
              </w:rPr>
              <w:t>Nacionālais veselības dienests</w:t>
            </w:r>
          </w:p>
        </w:tc>
      </w:tr>
      <w:tr w:rsidR="00A90D50" w:rsidRPr="006D1F1C" w:rsidTr="00A90D50">
        <w:trPr>
          <w:trHeight w:val="450"/>
          <w:jc w:val="center"/>
        </w:trPr>
        <w:tc>
          <w:tcPr>
            <w:tcW w:w="302" w:type="pct"/>
            <w:tcBorders>
              <w:top w:val="outset" w:sz="6" w:space="0" w:color="auto"/>
              <w:left w:val="outset" w:sz="6" w:space="0" w:color="auto"/>
              <w:bottom w:val="outset" w:sz="6" w:space="0" w:color="auto"/>
              <w:right w:val="outset" w:sz="6" w:space="0" w:color="auto"/>
            </w:tcBorders>
            <w:hideMark/>
          </w:tcPr>
          <w:p w:rsidR="00A90D50" w:rsidRPr="006D1F1C" w:rsidRDefault="00A90D50" w:rsidP="00414B1C">
            <w:pPr>
              <w:rPr>
                <w:rFonts w:eastAsia="Times New Roman" w:cs="Times New Roman"/>
                <w:szCs w:val="24"/>
                <w:lang w:eastAsia="lv-LV"/>
              </w:rPr>
            </w:pPr>
            <w:r w:rsidRPr="006D1F1C">
              <w:rPr>
                <w:rFonts w:eastAsia="Times New Roman" w:cs="Times New Roman"/>
                <w:szCs w:val="24"/>
                <w:lang w:eastAsia="lv-LV"/>
              </w:rPr>
              <w:t>2.</w:t>
            </w:r>
          </w:p>
        </w:tc>
        <w:tc>
          <w:tcPr>
            <w:tcW w:w="1926" w:type="pct"/>
            <w:tcBorders>
              <w:top w:val="outset" w:sz="6" w:space="0" w:color="auto"/>
              <w:left w:val="outset" w:sz="6" w:space="0" w:color="auto"/>
              <w:bottom w:val="outset" w:sz="6" w:space="0" w:color="auto"/>
              <w:right w:val="outset" w:sz="6" w:space="0" w:color="auto"/>
            </w:tcBorders>
            <w:hideMark/>
          </w:tcPr>
          <w:p w:rsidR="00A90D50" w:rsidRPr="006D1F1C" w:rsidRDefault="00A90D50" w:rsidP="00414B1C">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A90D50" w:rsidRPr="006D1F1C" w:rsidRDefault="00A90D50" w:rsidP="00414B1C">
            <w:pPr>
              <w:spacing w:before="75" w:after="75"/>
              <w:ind w:firstLine="3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772" w:type="pct"/>
            <w:tcBorders>
              <w:top w:val="outset" w:sz="6" w:space="0" w:color="auto"/>
              <w:left w:val="outset" w:sz="6" w:space="0" w:color="auto"/>
              <w:bottom w:val="outset" w:sz="6" w:space="0" w:color="auto"/>
              <w:right w:val="outset" w:sz="6" w:space="0" w:color="auto"/>
            </w:tcBorders>
            <w:hideMark/>
          </w:tcPr>
          <w:p w:rsidR="00A90D50" w:rsidRPr="006D1F1C" w:rsidRDefault="00A90D50" w:rsidP="00414B1C">
            <w:pPr>
              <w:spacing w:before="75" w:after="75"/>
              <w:rPr>
                <w:rFonts w:eastAsia="Times New Roman" w:cs="Times New Roman"/>
                <w:szCs w:val="24"/>
                <w:lang w:eastAsia="lv-LV"/>
              </w:rPr>
            </w:pPr>
            <w:r>
              <w:rPr>
                <w:rFonts w:eastAsia="Times New Roman" w:cs="Times New Roman"/>
                <w:szCs w:val="24"/>
                <w:lang w:eastAsia="lv-LV"/>
              </w:rPr>
              <w:t>Nav.</w:t>
            </w:r>
          </w:p>
        </w:tc>
      </w:tr>
      <w:tr w:rsidR="00A90D50" w:rsidRPr="006D1F1C" w:rsidTr="00A90D50">
        <w:trPr>
          <w:trHeight w:val="390"/>
          <w:jc w:val="center"/>
        </w:trPr>
        <w:tc>
          <w:tcPr>
            <w:tcW w:w="302" w:type="pct"/>
            <w:tcBorders>
              <w:top w:val="outset" w:sz="6" w:space="0" w:color="auto"/>
              <w:left w:val="outset" w:sz="6" w:space="0" w:color="auto"/>
              <w:bottom w:val="outset" w:sz="6" w:space="0" w:color="auto"/>
              <w:right w:val="outset" w:sz="6" w:space="0" w:color="auto"/>
            </w:tcBorders>
            <w:hideMark/>
          </w:tcPr>
          <w:p w:rsidR="00A90D50" w:rsidRPr="006D1F1C" w:rsidRDefault="00A90D50" w:rsidP="00414B1C">
            <w:pPr>
              <w:rPr>
                <w:rFonts w:eastAsia="Times New Roman" w:cs="Times New Roman"/>
                <w:szCs w:val="24"/>
                <w:lang w:eastAsia="lv-LV"/>
              </w:rPr>
            </w:pPr>
            <w:r w:rsidRPr="006D1F1C">
              <w:rPr>
                <w:rFonts w:eastAsia="Times New Roman" w:cs="Times New Roman"/>
                <w:szCs w:val="24"/>
                <w:lang w:eastAsia="lv-LV"/>
              </w:rPr>
              <w:t>3.</w:t>
            </w:r>
          </w:p>
        </w:tc>
        <w:tc>
          <w:tcPr>
            <w:tcW w:w="1926" w:type="pct"/>
            <w:tcBorders>
              <w:top w:val="outset" w:sz="6" w:space="0" w:color="auto"/>
              <w:left w:val="outset" w:sz="6" w:space="0" w:color="auto"/>
              <w:bottom w:val="outset" w:sz="6" w:space="0" w:color="auto"/>
              <w:right w:val="outset" w:sz="6" w:space="0" w:color="auto"/>
            </w:tcBorders>
            <w:hideMark/>
          </w:tcPr>
          <w:p w:rsidR="00A90D50" w:rsidRPr="006D1F1C" w:rsidRDefault="00A90D50" w:rsidP="00414B1C">
            <w:pPr>
              <w:rPr>
                <w:rFonts w:eastAsia="Times New Roman" w:cs="Times New Roman"/>
                <w:szCs w:val="24"/>
                <w:lang w:eastAsia="lv-LV"/>
              </w:rPr>
            </w:pPr>
            <w:r w:rsidRPr="006D1F1C">
              <w:rPr>
                <w:rFonts w:eastAsia="Times New Roman" w:cs="Times New Roman"/>
                <w:szCs w:val="24"/>
                <w:lang w:eastAsia="lv-LV"/>
              </w:rPr>
              <w:t>Cita informācija</w:t>
            </w:r>
          </w:p>
        </w:tc>
        <w:tc>
          <w:tcPr>
            <w:tcW w:w="2772" w:type="pct"/>
            <w:tcBorders>
              <w:top w:val="outset" w:sz="6" w:space="0" w:color="auto"/>
              <w:left w:val="outset" w:sz="6" w:space="0" w:color="auto"/>
              <w:bottom w:val="outset" w:sz="6" w:space="0" w:color="auto"/>
              <w:right w:val="outset" w:sz="6" w:space="0" w:color="auto"/>
            </w:tcBorders>
            <w:hideMark/>
          </w:tcPr>
          <w:p w:rsidR="00A90D50" w:rsidRPr="006D1F1C" w:rsidRDefault="00A90D50" w:rsidP="00414B1C">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2D5532" w:rsidRDefault="002D5532" w:rsidP="00036D2F">
      <w:pPr>
        <w:spacing w:after="480"/>
        <w:contextualSpacing/>
        <w:rPr>
          <w:rFonts w:cs="Times New Roman"/>
          <w:szCs w:val="24"/>
        </w:rPr>
      </w:pPr>
    </w:p>
    <w:p w:rsidR="00EF5ED9" w:rsidRPr="00036D2F" w:rsidRDefault="0093650A" w:rsidP="00036D2F">
      <w:pPr>
        <w:spacing w:after="480"/>
        <w:rPr>
          <w:rFonts w:cs="Times New Roman"/>
        </w:rPr>
      </w:pPr>
      <w:r w:rsidRPr="00DD3994">
        <w:rPr>
          <w:rFonts w:cs="Times New Roman"/>
          <w:szCs w:val="24"/>
        </w:rPr>
        <w:t>Anotācijas</w:t>
      </w:r>
      <w:r w:rsidR="00A90D50">
        <w:rPr>
          <w:rFonts w:cs="Times New Roman"/>
          <w:szCs w:val="24"/>
        </w:rPr>
        <w:t xml:space="preserve">, IV un V sadaļa </w:t>
      </w:r>
      <w:r w:rsidR="008E7EA4" w:rsidRPr="00DD3994">
        <w:rPr>
          <w:rFonts w:cs="Times New Roman"/>
          <w:szCs w:val="24"/>
        </w:rPr>
        <w:t>–</w:t>
      </w:r>
      <w:r w:rsidR="00F24940" w:rsidRPr="00DD3994">
        <w:rPr>
          <w:rFonts w:cs="Times New Roman"/>
          <w:szCs w:val="24"/>
        </w:rPr>
        <w:t xml:space="preserve"> </w:t>
      </w:r>
      <w:r w:rsidR="00F24940" w:rsidRPr="00DD3994">
        <w:rPr>
          <w:rFonts w:cs="Times New Roman"/>
        </w:rPr>
        <w:t>P</w:t>
      </w:r>
      <w:r w:rsidR="008E7EA4" w:rsidRPr="00DD3994">
        <w:rPr>
          <w:rFonts w:cs="Times New Roman"/>
        </w:rPr>
        <w:t>rojekts šīs jomas neskar.</w:t>
      </w:r>
    </w:p>
    <w:p w:rsidR="00E34BBA" w:rsidRDefault="00E34BBA" w:rsidP="002D5532">
      <w:pPr>
        <w:tabs>
          <w:tab w:val="left" w:pos="7230"/>
        </w:tabs>
        <w:spacing w:after="720"/>
        <w:ind w:right="-765"/>
        <w:contextualSpacing/>
        <w:rPr>
          <w:rFonts w:eastAsia="Calibri" w:cs="Times New Roman"/>
          <w:sz w:val="28"/>
          <w:szCs w:val="28"/>
        </w:rPr>
      </w:pPr>
    </w:p>
    <w:p w:rsidR="00B174DE" w:rsidRPr="00B174DE" w:rsidRDefault="00492F76" w:rsidP="00492F76">
      <w:pPr>
        <w:tabs>
          <w:tab w:val="left" w:pos="7230"/>
        </w:tabs>
        <w:spacing w:after="720"/>
        <w:ind w:right="-766"/>
        <w:rPr>
          <w:rFonts w:eastAsia="Calibri" w:cs="Times New Roman"/>
          <w:sz w:val="28"/>
          <w:szCs w:val="28"/>
        </w:rPr>
      </w:pPr>
      <w:r>
        <w:rPr>
          <w:rFonts w:eastAsia="Calibri" w:cs="Times New Roman"/>
          <w:sz w:val="28"/>
          <w:szCs w:val="28"/>
        </w:rPr>
        <w:t>Veselības ministrs</w:t>
      </w:r>
      <w:r>
        <w:rPr>
          <w:rFonts w:eastAsia="Calibri" w:cs="Times New Roman"/>
          <w:sz w:val="28"/>
          <w:szCs w:val="28"/>
        </w:rPr>
        <w:tab/>
      </w:r>
      <w:r w:rsidRPr="00B174DE">
        <w:rPr>
          <w:rFonts w:eastAsia="Calibri" w:cs="Times New Roman"/>
          <w:sz w:val="28"/>
          <w:szCs w:val="28"/>
        </w:rPr>
        <w:t>G</w:t>
      </w:r>
      <w:r>
        <w:rPr>
          <w:rFonts w:eastAsia="Calibri" w:cs="Times New Roman"/>
          <w:sz w:val="28"/>
          <w:szCs w:val="28"/>
        </w:rPr>
        <w:t xml:space="preserve">untis </w:t>
      </w:r>
      <w:proofErr w:type="spellStart"/>
      <w:r w:rsidRPr="00B174DE">
        <w:rPr>
          <w:rFonts w:eastAsia="Calibri" w:cs="Times New Roman"/>
          <w:sz w:val="28"/>
          <w:szCs w:val="28"/>
        </w:rPr>
        <w:t>Belēvičs</w:t>
      </w:r>
      <w:proofErr w:type="spellEnd"/>
      <w:r w:rsidR="00B174DE" w:rsidRPr="00B174DE">
        <w:rPr>
          <w:rFonts w:eastAsia="Calibri" w:cs="Times New Roman"/>
          <w:sz w:val="28"/>
          <w:szCs w:val="28"/>
        </w:rPr>
        <w:tab/>
      </w:r>
    </w:p>
    <w:p w:rsidR="00B174DE" w:rsidRDefault="00B174DE" w:rsidP="00492F76">
      <w:pPr>
        <w:tabs>
          <w:tab w:val="right" w:pos="9072"/>
        </w:tabs>
        <w:ind w:right="-1"/>
        <w:rPr>
          <w:rFonts w:eastAsia="Calibri" w:cs="Times New Roman"/>
          <w:sz w:val="28"/>
          <w:szCs w:val="28"/>
        </w:rPr>
      </w:pPr>
      <w:r w:rsidRPr="00B174DE">
        <w:rPr>
          <w:rFonts w:eastAsia="Calibri" w:cs="Times New Roman"/>
          <w:sz w:val="28"/>
          <w:szCs w:val="28"/>
        </w:rPr>
        <w:t xml:space="preserve">Vīza: Valsts sekretāre                                           </w:t>
      </w:r>
      <w:r w:rsidR="00492F76">
        <w:rPr>
          <w:rFonts w:eastAsia="Calibri" w:cs="Times New Roman"/>
          <w:sz w:val="28"/>
          <w:szCs w:val="28"/>
        </w:rPr>
        <w:t xml:space="preserve">                         </w:t>
      </w:r>
      <w:r w:rsidRPr="00B174DE">
        <w:rPr>
          <w:rFonts w:eastAsia="Calibri" w:cs="Times New Roman"/>
          <w:sz w:val="28"/>
          <w:szCs w:val="28"/>
        </w:rPr>
        <w:t>S</w:t>
      </w:r>
      <w:r w:rsidR="00492F76">
        <w:rPr>
          <w:rFonts w:eastAsia="Calibri" w:cs="Times New Roman"/>
          <w:sz w:val="28"/>
          <w:szCs w:val="28"/>
        </w:rPr>
        <w:t xml:space="preserve">olvita </w:t>
      </w:r>
      <w:r w:rsidRPr="00B174DE">
        <w:rPr>
          <w:rFonts w:eastAsia="Calibri" w:cs="Times New Roman"/>
          <w:sz w:val="28"/>
          <w:szCs w:val="28"/>
        </w:rPr>
        <w:t>Zvidriņa</w:t>
      </w:r>
    </w:p>
    <w:p w:rsidR="00E34BBA" w:rsidRDefault="00E34BBA" w:rsidP="000B636C">
      <w:pPr>
        <w:ind w:right="-3228"/>
        <w:rPr>
          <w:rFonts w:eastAsia="Calibri" w:cs="Times New Roman"/>
          <w:sz w:val="28"/>
          <w:szCs w:val="28"/>
        </w:rPr>
      </w:pPr>
    </w:p>
    <w:p w:rsidR="00E34BBA" w:rsidRDefault="00E34BBA" w:rsidP="000B636C">
      <w:pPr>
        <w:ind w:right="-3228"/>
        <w:rPr>
          <w:rFonts w:eastAsia="Times New Roman" w:cs="Times New Roman"/>
          <w:sz w:val="20"/>
          <w:szCs w:val="20"/>
          <w:lang w:eastAsia="lv-LV"/>
        </w:rPr>
      </w:pPr>
    </w:p>
    <w:p w:rsidR="00E34BBA" w:rsidRDefault="00E34BBA" w:rsidP="000B636C">
      <w:pPr>
        <w:ind w:right="-3228"/>
        <w:rPr>
          <w:rFonts w:eastAsia="Times New Roman" w:cs="Times New Roman"/>
          <w:sz w:val="20"/>
          <w:szCs w:val="20"/>
          <w:lang w:eastAsia="lv-LV"/>
        </w:rPr>
      </w:pPr>
    </w:p>
    <w:p w:rsidR="00E34BBA" w:rsidRDefault="00E34BBA" w:rsidP="000B636C">
      <w:pPr>
        <w:ind w:right="-3228"/>
        <w:rPr>
          <w:rFonts w:eastAsia="Times New Roman" w:cs="Times New Roman"/>
          <w:sz w:val="20"/>
          <w:szCs w:val="20"/>
          <w:lang w:eastAsia="lv-LV"/>
        </w:rPr>
      </w:pPr>
    </w:p>
    <w:p w:rsidR="00E34BBA" w:rsidRDefault="00E34BBA" w:rsidP="000B636C">
      <w:pPr>
        <w:ind w:right="-3228"/>
        <w:rPr>
          <w:rFonts w:eastAsia="Times New Roman" w:cs="Times New Roman"/>
          <w:sz w:val="20"/>
          <w:szCs w:val="20"/>
          <w:lang w:eastAsia="lv-LV"/>
        </w:rPr>
      </w:pPr>
    </w:p>
    <w:p w:rsidR="000B636C" w:rsidRPr="00E00105" w:rsidRDefault="00E83325" w:rsidP="000B636C">
      <w:pPr>
        <w:ind w:right="-3228"/>
        <w:rPr>
          <w:rFonts w:eastAsia="Calibri" w:cs="Times New Roman"/>
          <w:sz w:val="20"/>
          <w:szCs w:val="20"/>
        </w:rPr>
      </w:pPr>
      <w:r>
        <w:rPr>
          <w:rFonts w:eastAsia="Times New Roman" w:cs="Times New Roman"/>
          <w:sz w:val="20"/>
          <w:szCs w:val="20"/>
          <w:lang w:eastAsia="lv-LV"/>
        </w:rPr>
        <w:t>3</w:t>
      </w:r>
      <w:r w:rsidR="00036D2F">
        <w:rPr>
          <w:rFonts w:eastAsia="Times New Roman" w:cs="Times New Roman"/>
          <w:sz w:val="20"/>
          <w:szCs w:val="20"/>
          <w:lang w:eastAsia="lv-LV"/>
        </w:rPr>
        <w:t>1</w:t>
      </w:r>
      <w:r w:rsidR="000B636C" w:rsidRPr="00E00105">
        <w:rPr>
          <w:rFonts w:eastAsia="Times New Roman" w:cs="Times New Roman"/>
          <w:sz w:val="20"/>
          <w:szCs w:val="20"/>
          <w:lang w:eastAsia="lv-LV"/>
        </w:rPr>
        <w:t>.</w:t>
      </w:r>
      <w:r w:rsidR="00E00105" w:rsidRPr="00E00105">
        <w:rPr>
          <w:rFonts w:eastAsia="Times New Roman" w:cs="Times New Roman"/>
          <w:sz w:val="20"/>
          <w:szCs w:val="20"/>
          <w:lang w:eastAsia="lv-LV"/>
        </w:rPr>
        <w:t>0</w:t>
      </w:r>
      <w:r w:rsidR="00552BE2">
        <w:rPr>
          <w:rFonts w:eastAsia="Times New Roman" w:cs="Times New Roman"/>
          <w:sz w:val="20"/>
          <w:szCs w:val="20"/>
          <w:lang w:eastAsia="lv-LV"/>
        </w:rPr>
        <w:t>3</w:t>
      </w:r>
      <w:r w:rsidR="000B636C" w:rsidRPr="00E00105">
        <w:rPr>
          <w:rFonts w:eastAsia="Times New Roman" w:cs="Times New Roman"/>
          <w:sz w:val="20"/>
          <w:szCs w:val="20"/>
          <w:lang w:eastAsia="lv-LV"/>
        </w:rPr>
        <w:t>.201</w:t>
      </w:r>
      <w:r w:rsidR="00E00105" w:rsidRPr="00E00105">
        <w:rPr>
          <w:rFonts w:eastAsia="Times New Roman" w:cs="Times New Roman"/>
          <w:sz w:val="20"/>
          <w:szCs w:val="20"/>
          <w:lang w:eastAsia="lv-LV"/>
        </w:rPr>
        <w:t>6</w:t>
      </w:r>
      <w:r w:rsidR="000B636C" w:rsidRPr="00E00105">
        <w:rPr>
          <w:rFonts w:eastAsia="Times New Roman" w:cs="Times New Roman"/>
          <w:sz w:val="20"/>
          <w:szCs w:val="20"/>
          <w:lang w:eastAsia="lv-LV"/>
        </w:rPr>
        <w:t xml:space="preserve"> </w:t>
      </w:r>
      <w:r w:rsidR="002D5532">
        <w:rPr>
          <w:rFonts w:eastAsia="Times New Roman" w:cs="Times New Roman"/>
          <w:sz w:val="20"/>
          <w:szCs w:val="20"/>
          <w:lang w:eastAsia="lv-LV"/>
        </w:rPr>
        <w:t>1</w:t>
      </w:r>
      <w:r w:rsidR="001E570F">
        <w:rPr>
          <w:rFonts w:eastAsia="Times New Roman" w:cs="Times New Roman"/>
          <w:sz w:val="20"/>
          <w:szCs w:val="20"/>
          <w:lang w:eastAsia="lv-LV"/>
        </w:rPr>
        <w:t>3</w:t>
      </w:r>
      <w:r w:rsidR="00CA793F">
        <w:rPr>
          <w:rFonts w:eastAsia="Times New Roman" w:cs="Times New Roman"/>
          <w:sz w:val="20"/>
          <w:szCs w:val="20"/>
          <w:lang w:eastAsia="lv-LV"/>
        </w:rPr>
        <w:t>.</w:t>
      </w:r>
      <w:r w:rsidR="00B347E9">
        <w:rPr>
          <w:rFonts w:eastAsia="Times New Roman" w:cs="Times New Roman"/>
          <w:sz w:val="20"/>
          <w:szCs w:val="20"/>
          <w:lang w:eastAsia="lv-LV"/>
        </w:rPr>
        <w:t>40</w:t>
      </w:r>
    </w:p>
    <w:p w:rsidR="000B636C" w:rsidRPr="00E00105" w:rsidRDefault="005B4E0D" w:rsidP="000B636C">
      <w:pPr>
        <w:ind w:right="-3228"/>
        <w:rPr>
          <w:rFonts w:eastAsia="Times New Roman" w:cs="Times New Roman"/>
          <w:sz w:val="20"/>
          <w:szCs w:val="20"/>
          <w:lang w:eastAsia="lv-LV"/>
        </w:rPr>
      </w:pPr>
      <w:r>
        <w:rPr>
          <w:rFonts w:eastAsia="Times New Roman" w:cs="Times New Roman"/>
          <w:sz w:val="20"/>
          <w:szCs w:val="20"/>
          <w:lang w:eastAsia="lv-LV"/>
        </w:rPr>
        <w:t>1</w:t>
      </w:r>
      <w:r w:rsidR="001E570F">
        <w:rPr>
          <w:rFonts w:eastAsia="Times New Roman" w:cs="Times New Roman"/>
          <w:sz w:val="20"/>
          <w:szCs w:val="20"/>
          <w:lang w:eastAsia="lv-LV"/>
        </w:rPr>
        <w:t>191</w:t>
      </w:r>
    </w:p>
    <w:p w:rsidR="000B636C" w:rsidRPr="00E00105" w:rsidRDefault="00E00105" w:rsidP="000B636C">
      <w:pPr>
        <w:ind w:right="-3228"/>
        <w:rPr>
          <w:rFonts w:eastAsia="Calibri" w:cs="Times New Roman"/>
          <w:sz w:val="20"/>
          <w:szCs w:val="20"/>
        </w:rPr>
      </w:pPr>
      <w:proofErr w:type="spellStart"/>
      <w:r w:rsidRPr="00E00105">
        <w:rPr>
          <w:rFonts w:eastAsia="Calibri" w:cs="Times New Roman"/>
          <w:sz w:val="20"/>
          <w:szCs w:val="20"/>
        </w:rPr>
        <w:t>A</w:t>
      </w:r>
      <w:r w:rsidR="000B636C" w:rsidRPr="00E00105">
        <w:rPr>
          <w:rFonts w:eastAsia="Calibri" w:cs="Times New Roman"/>
          <w:sz w:val="20"/>
          <w:szCs w:val="20"/>
        </w:rPr>
        <w:t>.</w:t>
      </w:r>
      <w:r w:rsidRPr="00E00105">
        <w:rPr>
          <w:rFonts w:eastAsia="Calibri" w:cs="Times New Roman"/>
          <w:sz w:val="20"/>
          <w:szCs w:val="20"/>
        </w:rPr>
        <w:t>Bless</w:t>
      </w:r>
      <w:proofErr w:type="spellEnd"/>
    </w:p>
    <w:p w:rsidR="009F42B0" w:rsidRPr="00E00105" w:rsidRDefault="000B636C" w:rsidP="001B0642">
      <w:pPr>
        <w:rPr>
          <w:rFonts w:cs="Times New Roman"/>
          <w:sz w:val="20"/>
          <w:szCs w:val="20"/>
        </w:rPr>
      </w:pPr>
      <w:r w:rsidRPr="00E00105">
        <w:rPr>
          <w:rFonts w:eastAsia="Times New Roman" w:cs="Times New Roman"/>
          <w:sz w:val="20"/>
          <w:lang w:eastAsia="lv-LV"/>
        </w:rPr>
        <w:t>67876</w:t>
      </w:r>
      <w:r w:rsidR="00E00105" w:rsidRPr="00E00105">
        <w:rPr>
          <w:rFonts w:eastAsia="Times New Roman" w:cs="Times New Roman"/>
          <w:sz w:val="20"/>
          <w:lang w:eastAsia="lv-LV"/>
        </w:rPr>
        <w:t>122</w:t>
      </w:r>
      <w:r w:rsidRPr="00E00105">
        <w:rPr>
          <w:rFonts w:eastAsia="Times New Roman" w:cs="Times New Roman"/>
          <w:sz w:val="20"/>
          <w:lang w:eastAsia="lv-LV"/>
        </w:rPr>
        <w:t>,</w:t>
      </w:r>
      <w:r w:rsidR="00217DD8">
        <w:rPr>
          <w:rFonts w:eastAsia="Times New Roman" w:cs="Times New Roman"/>
          <w:sz w:val="20"/>
          <w:lang w:eastAsia="lv-LV"/>
        </w:rPr>
        <w:t xml:space="preserve"> </w:t>
      </w:r>
      <w:r w:rsidR="007B5977">
        <w:rPr>
          <w:rFonts w:eastAsia="Times New Roman" w:cs="Times New Roman"/>
          <w:sz w:val="20"/>
          <w:lang w:eastAsia="lv-LV"/>
        </w:rPr>
        <w:t>A</w:t>
      </w:r>
      <w:r w:rsidR="00E00105" w:rsidRPr="00E00105">
        <w:rPr>
          <w:rFonts w:eastAsia="Times New Roman" w:cs="Times New Roman"/>
          <w:sz w:val="20"/>
          <w:lang w:eastAsia="lv-LV"/>
        </w:rPr>
        <w:t>lvis</w:t>
      </w:r>
      <w:r w:rsidRPr="00E00105">
        <w:rPr>
          <w:rFonts w:eastAsia="Times New Roman" w:cs="Times New Roman"/>
          <w:sz w:val="20"/>
          <w:lang w:eastAsia="lv-LV"/>
        </w:rPr>
        <w:t>.</w:t>
      </w:r>
      <w:r w:rsidR="007B5977">
        <w:rPr>
          <w:rFonts w:eastAsia="Times New Roman" w:cs="Times New Roman"/>
          <w:sz w:val="20"/>
          <w:lang w:eastAsia="lv-LV"/>
        </w:rPr>
        <w:t>B</w:t>
      </w:r>
      <w:r w:rsidR="00E00105" w:rsidRPr="00E00105">
        <w:rPr>
          <w:rFonts w:eastAsia="Times New Roman" w:cs="Times New Roman"/>
          <w:sz w:val="20"/>
          <w:lang w:eastAsia="lv-LV"/>
        </w:rPr>
        <w:t>less</w:t>
      </w:r>
      <w:r w:rsidRPr="00E00105">
        <w:rPr>
          <w:rFonts w:eastAsia="Times New Roman" w:cs="Times New Roman"/>
          <w:sz w:val="20"/>
          <w:lang w:eastAsia="lv-LV"/>
        </w:rPr>
        <w:t>@vm.gov.lv</w:t>
      </w:r>
    </w:p>
    <w:sectPr w:rsidR="009F42B0" w:rsidRPr="00E00105" w:rsidSect="00E4482B">
      <w:headerReference w:type="default" r:id="rId8"/>
      <w:footerReference w:type="default" r:id="rId9"/>
      <w:footerReference w:type="first" r:id="rId10"/>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FD" w:rsidRDefault="00F33EFD" w:rsidP="0086332E">
      <w:r>
        <w:separator/>
      </w:r>
    </w:p>
  </w:endnote>
  <w:endnote w:type="continuationSeparator" w:id="0">
    <w:p w:rsidR="00F33EFD" w:rsidRDefault="00F33EFD"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31" w:rsidRPr="009D242A" w:rsidRDefault="00292431" w:rsidP="00E00105">
    <w:pPr>
      <w:pStyle w:val="Footer"/>
      <w:jc w:val="both"/>
      <w:rPr>
        <w:sz w:val="20"/>
        <w:szCs w:val="24"/>
      </w:rPr>
    </w:pPr>
    <w:r w:rsidRPr="009D242A">
      <w:rPr>
        <w:sz w:val="20"/>
        <w:szCs w:val="24"/>
      </w:rPr>
      <w:t>VManot_</w:t>
    </w:r>
    <w:r>
      <w:rPr>
        <w:sz w:val="20"/>
        <w:szCs w:val="24"/>
      </w:rPr>
      <w:t>3</w:t>
    </w:r>
    <w:r w:rsidR="00E34BBA">
      <w:rPr>
        <w:sz w:val="20"/>
        <w:szCs w:val="24"/>
      </w:rPr>
      <w:t>1</w:t>
    </w:r>
    <w:r w:rsidRPr="009D242A">
      <w:rPr>
        <w:sz w:val="20"/>
        <w:szCs w:val="24"/>
      </w:rPr>
      <w:t xml:space="preserve">0316_not1529 ; </w:t>
    </w:r>
    <w:r w:rsidRPr="00BE208B">
      <w:rPr>
        <w:rFonts w:eastAsia="Times New Roman" w:cs="Times New Roman"/>
        <w:sz w:val="20"/>
        <w:szCs w:val="24"/>
        <w:lang w:eastAsia="lv-LV"/>
      </w:rPr>
      <w:t>Ministru kabineta noteikumu projekt</w:t>
    </w:r>
    <w:r>
      <w:rPr>
        <w:rFonts w:eastAsia="Times New Roman" w:cs="Times New Roman"/>
        <w:sz w:val="20"/>
        <w:szCs w:val="24"/>
        <w:lang w:eastAsia="lv-LV"/>
      </w:rPr>
      <w:t>a</w:t>
    </w:r>
    <w:r w:rsidRPr="00BE208B">
      <w:rPr>
        <w:rFonts w:eastAsia="Times New Roman" w:cs="Times New Roman"/>
        <w:sz w:val="20"/>
        <w:szCs w:val="24"/>
        <w:lang w:eastAsia="lv-LV"/>
      </w:rPr>
      <w:t xml:space="preserve"> </w:t>
    </w:r>
    <w:r w:rsidRPr="00BE208B">
      <w:rPr>
        <w:rFonts w:eastAsia="Times New Roman" w:cs="Times New Roman"/>
        <w:bCs/>
        <w:sz w:val="20"/>
        <w:szCs w:val="24"/>
        <w:lang w:eastAsia="lv-LV"/>
      </w:rPr>
      <w:t>”Grozījumi Ministru kabineta 2013.gada 17.decembra noteikumos Nr.1529 ”Veselības aprūpes organizēšanas un finansēšanas kārtība””</w:t>
    </w:r>
    <w:r>
      <w:rPr>
        <w:rFonts w:eastAsia="Times New Roman" w:cs="Times New Roman"/>
        <w:bCs/>
        <w:sz w:val="20"/>
        <w:szCs w:val="24"/>
        <w:lang w:eastAsia="lv-LV"/>
      </w:rPr>
      <w:t xml:space="preserve"> </w:t>
    </w:r>
    <w:r w:rsidRPr="009D242A">
      <w:rPr>
        <w:sz w:val="20"/>
        <w:szCs w:val="24"/>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31" w:rsidRPr="009D242A" w:rsidRDefault="00292431" w:rsidP="00E00105">
    <w:pPr>
      <w:pStyle w:val="Footer"/>
      <w:jc w:val="both"/>
      <w:rPr>
        <w:sz w:val="20"/>
        <w:szCs w:val="24"/>
      </w:rPr>
    </w:pPr>
    <w:r w:rsidRPr="009D242A">
      <w:rPr>
        <w:sz w:val="20"/>
        <w:szCs w:val="24"/>
      </w:rPr>
      <w:t>VManot_</w:t>
    </w:r>
    <w:r>
      <w:rPr>
        <w:sz w:val="20"/>
        <w:szCs w:val="24"/>
      </w:rPr>
      <w:t>3</w:t>
    </w:r>
    <w:r w:rsidR="00E34BBA">
      <w:rPr>
        <w:sz w:val="20"/>
        <w:szCs w:val="24"/>
      </w:rPr>
      <w:t>1</w:t>
    </w:r>
    <w:r w:rsidRPr="009D242A">
      <w:rPr>
        <w:sz w:val="20"/>
        <w:szCs w:val="24"/>
      </w:rPr>
      <w:t xml:space="preserve">0316_not1529 ; </w:t>
    </w:r>
    <w:r w:rsidRPr="00BE208B">
      <w:rPr>
        <w:rFonts w:eastAsia="Times New Roman" w:cs="Times New Roman"/>
        <w:sz w:val="20"/>
        <w:szCs w:val="24"/>
        <w:lang w:eastAsia="lv-LV"/>
      </w:rPr>
      <w:t>Ministru kabineta noteikumu projekt</w:t>
    </w:r>
    <w:r>
      <w:rPr>
        <w:rFonts w:eastAsia="Times New Roman" w:cs="Times New Roman"/>
        <w:sz w:val="20"/>
        <w:szCs w:val="24"/>
        <w:lang w:eastAsia="lv-LV"/>
      </w:rPr>
      <w:t>a</w:t>
    </w:r>
    <w:r w:rsidRPr="00BE208B">
      <w:rPr>
        <w:rFonts w:eastAsia="Times New Roman" w:cs="Times New Roman"/>
        <w:sz w:val="20"/>
        <w:szCs w:val="24"/>
        <w:lang w:eastAsia="lv-LV"/>
      </w:rPr>
      <w:t xml:space="preserve"> </w:t>
    </w:r>
    <w:r w:rsidRPr="00BE208B">
      <w:rPr>
        <w:rFonts w:eastAsia="Times New Roman" w:cs="Times New Roman"/>
        <w:bCs/>
        <w:sz w:val="20"/>
        <w:szCs w:val="24"/>
        <w:lang w:eastAsia="lv-LV"/>
      </w:rPr>
      <w:t>”Grozījumi Ministru kabineta 2013.gada 17.decembra noteikumos Nr.1529 ”Veselības aprūpes organizēšanas un finansēšanas kārtība””</w:t>
    </w:r>
    <w:r w:rsidRPr="009D242A">
      <w:rPr>
        <w:sz w:val="20"/>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FD" w:rsidRDefault="00F33EFD" w:rsidP="0086332E">
      <w:r>
        <w:separator/>
      </w:r>
    </w:p>
  </w:footnote>
  <w:footnote w:type="continuationSeparator" w:id="0">
    <w:p w:rsidR="00F33EFD" w:rsidRDefault="00F33EFD"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292431" w:rsidRDefault="00CF392F">
        <w:pPr>
          <w:pStyle w:val="Header"/>
          <w:jc w:val="center"/>
        </w:pPr>
        <w:fldSimple w:instr=" PAGE   \* MERGEFORMAT ">
          <w:r w:rsidR="00B347E9">
            <w:rPr>
              <w:noProof/>
            </w:rPr>
            <w:t>5</w:t>
          </w:r>
        </w:fldSimple>
      </w:p>
    </w:sdtContent>
  </w:sdt>
  <w:p w:rsidR="00292431" w:rsidRDefault="00292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5">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8">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6"/>
  </w:num>
  <w:num w:numId="3">
    <w:abstractNumId w:val="13"/>
  </w:num>
  <w:num w:numId="4">
    <w:abstractNumId w:val="1"/>
  </w:num>
  <w:num w:numId="5">
    <w:abstractNumId w:val="11"/>
  </w:num>
  <w:num w:numId="6">
    <w:abstractNumId w:val="15"/>
  </w:num>
  <w:num w:numId="7">
    <w:abstractNumId w:val="5"/>
  </w:num>
  <w:num w:numId="8">
    <w:abstractNumId w:val="17"/>
  </w:num>
  <w:num w:numId="9">
    <w:abstractNumId w:val="8"/>
  </w:num>
  <w:num w:numId="10">
    <w:abstractNumId w:val="6"/>
  </w:num>
  <w:num w:numId="11">
    <w:abstractNumId w:val="18"/>
  </w:num>
  <w:num w:numId="12">
    <w:abstractNumId w:val="3"/>
  </w:num>
  <w:num w:numId="13">
    <w:abstractNumId w:val="12"/>
  </w:num>
  <w:num w:numId="14">
    <w:abstractNumId w:val="7"/>
  </w:num>
  <w:num w:numId="15">
    <w:abstractNumId w:val="10"/>
  </w:num>
  <w:num w:numId="16">
    <w:abstractNumId w:val="4"/>
  </w:num>
  <w:num w:numId="17">
    <w:abstractNumId w:val="9"/>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E22E0E"/>
    <w:rsid w:val="000035C3"/>
    <w:rsid w:val="00003A8A"/>
    <w:rsid w:val="000066EB"/>
    <w:rsid w:val="00010D20"/>
    <w:rsid w:val="000120C1"/>
    <w:rsid w:val="00013DD6"/>
    <w:rsid w:val="000141CB"/>
    <w:rsid w:val="00015658"/>
    <w:rsid w:val="000171E8"/>
    <w:rsid w:val="00021042"/>
    <w:rsid w:val="0002435A"/>
    <w:rsid w:val="000264F4"/>
    <w:rsid w:val="00030701"/>
    <w:rsid w:val="00031732"/>
    <w:rsid w:val="0003263E"/>
    <w:rsid w:val="00033CB5"/>
    <w:rsid w:val="00033D70"/>
    <w:rsid w:val="00034596"/>
    <w:rsid w:val="0003524C"/>
    <w:rsid w:val="000352CD"/>
    <w:rsid w:val="00036818"/>
    <w:rsid w:val="00036D2F"/>
    <w:rsid w:val="0004518E"/>
    <w:rsid w:val="000456D5"/>
    <w:rsid w:val="00047682"/>
    <w:rsid w:val="00051113"/>
    <w:rsid w:val="000559F1"/>
    <w:rsid w:val="00056CAC"/>
    <w:rsid w:val="00066DE3"/>
    <w:rsid w:val="000726EC"/>
    <w:rsid w:val="00075A85"/>
    <w:rsid w:val="00080A03"/>
    <w:rsid w:val="00081E93"/>
    <w:rsid w:val="000830E7"/>
    <w:rsid w:val="0008538E"/>
    <w:rsid w:val="00090786"/>
    <w:rsid w:val="00090FEE"/>
    <w:rsid w:val="00096763"/>
    <w:rsid w:val="000A3F41"/>
    <w:rsid w:val="000A45D5"/>
    <w:rsid w:val="000B32FD"/>
    <w:rsid w:val="000B3589"/>
    <w:rsid w:val="000B4256"/>
    <w:rsid w:val="000B4B45"/>
    <w:rsid w:val="000B636C"/>
    <w:rsid w:val="000B6647"/>
    <w:rsid w:val="000C0A0E"/>
    <w:rsid w:val="000C15CD"/>
    <w:rsid w:val="000C20E7"/>
    <w:rsid w:val="000C3C12"/>
    <w:rsid w:val="000D0B2F"/>
    <w:rsid w:val="000D191D"/>
    <w:rsid w:val="000D339F"/>
    <w:rsid w:val="000D74E3"/>
    <w:rsid w:val="000E47D4"/>
    <w:rsid w:val="000E5651"/>
    <w:rsid w:val="000E683A"/>
    <w:rsid w:val="000F4C05"/>
    <w:rsid w:val="00100D1D"/>
    <w:rsid w:val="001012F1"/>
    <w:rsid w:val="00101358"/>
    <w:rsid w:val="00101396"/>
    <w:rsid w:val="00103139"/>
    <w:rsid w:val="00103C6D"/>
    <w:rsid w:val="00104C6D"/>
    <w:rsid w:val="001127A7"/>
    <w:rsid w:val="00114EB2"/>
    <w:rsid w:val="00116A18"/>
    <w:rsid w:val="00116D83"/>
    <w:rsid w:val="0011774E"/>
    <w:rsid w:val="00117C74"/>
    <w:rsid w:val="00120848"/>
    <w:rsid w:val="00120D5C"/>
    <w:rsid w:val="00123E23"/>
    <w:rsid w:val="00123EFF"/>
    <w:rsid w:val="00127C3A"/>
    <w:rsid w:val="001311A7"/>
    <w:rsid w:val="00132257"/>
    <w:rsid w:val="001379A6"/>
    <w:rsid w:val="00141987"/>
    <w:rsid w:val="00142019"/>
    <w:rsid w:val="00143BB1"/>
    <w:rsid w:val="00151EC5"/>
    <w:rsid w:val="00153272"/>
    <w:rsid w:val="00153D74"/>
    <w:rsid w:val="001550F8"/>
    <w:rsid w:val="00155614"/>
    <w:rsid w:val="001575D0"/>
    <w:rsid w:val="001625B2"/>
    <w:rsid w:val="00167659"/>
    <w:rsid w:val="0017043D"/>
    <w:rsid w:val="00171C46"/>
    <w:rsid w:val="00171DC0"/>
    <w:rsid w:val="00172819"/>
    <w:rsid w:val="00176EE5"/>
    <w:rsid w:val="00180360"/>
    <w:rsid w:val="00181EE3"/>
    <w:rsid w:val="00184715"/>
    <w:rsid w:val="0018644C"/>
    <w:rsid w:val="001874AB"/>
    <w:rsid w:val="001913A4"/>
    <w:rsid w:val="0019170E"/>
    <w:rsid w:val="001A0995"/>
    <w:rsid w:val="001A1E54"/>
    <w:rsid w:val="001A25F1"/>
    <w:rsid w:val="001A4EE2"/>
    <w:rsid w:val="001B0642"/>
    <w:rsid w:val="001B0A2D"/>
    <w:rsid w:val="001B0AD9"/>
    <w:rsid w:val="001B41D7"/>
    <w:rsid w:val="001B6CB6"/>
    <w:rsid w:val="001C08FF"/>
    <w:rsid w:val="001C150F"/>
    <w:rsid w:val="001C442D"/>
    <w:rsid w:val="001C7CA6"/>
    <w:rsid w:val="001D4F5E"/>
    <w:rsid w:val="001D7A97"/>
    <w:rsid w:val="001E0057"/>
    <w:rsid w:val="001E135E"/>
    <w:rsid w:val="001E367B"/>
    <w:rsid w:val="001E3EB8"/>
    <w:rsid w:val="001E434A"/>
    <w:rsid w:val="001E570F"/>
    <w:rsid w:val="001E5BF4"/>
    <w:rsid w:val="001F1AA4"/>
    <w:rsid w:val="001F282E"/>
    <w:rsid w:val="001F4288"/>
    <w:rsid w:val="001F692A"/>
    <w:rsid w:val="002008F8"/>
    <w:rsid w:val="00201C13"/>
    <w:rsid w:val="00204175"/>
    <w:rsid w:val="0020540B"/>
    <w:rsid w:val="002054B8"/>
    <w:rsid w:val="00206679"/>
    <w:rsid w:val="00214BB5"/>
    <w:rsid w:val="00216242"/>
    <w:rsid w:val="00217DD8"/>
    <w:rsid w:val="00221A74"/>
    <w:rsid w:val="00222DF7"/>
    <w:rsid w:val="00223576"/>
    <w:rsid w:val="00225970"/>
    <w:rsid w:val="002265F6"/>
    <w:rsid w:val="00227AE6"/>
    <w:rsid w:val="00233469"/>
    <w:rsid w:val="00234D5C"/>
    <w:rsid w:val="002367B8"/>
    <w:rsid w:val="00241B38"/>
    <w:rsid w:val="002432EB"/>
    <w:rsid w:val="0024387C"/>
    <w:rsid w:val="002515AB"/>
    <w:rsid w:val="002525AC"/>
    <w:rsid w:val="00252842"/>
    <w:rsid w:val="002534AE"/>
    <w:rsid w:val="002609B9"/>
    <w:rsid w:val="002657F0"/>
    <w:rsid w:val="002658B6"/>
    <w:rsid w:val="0026767A"/>
    <w:rsid w:val="00270A64"/>
    <w:rsid w:val="002723AC"/>
    <w:rsid w:val="002757B9"/>
    <w:rsid w:val="00281E41"/>
    <w:rsid w:val="0028334D"/>
    <w:rsid w:val="00284711"/>
    <w:rsid w:val="00292431"/>
    <w:rsid w:val="002924B2"/>
    <w:rsid w:val="00292B71"/>
    <w:rsid w:val="00292E9A"/>
    <w:rsid w:val="00294CCF"/>
    <w:rsid w:val="0029603C"/>
    <w:rsid w:val="002A09BA"/>
    <w:rsid w:val="002A13A4"/>
    <w:rsid w:val="002A2A5D"/>
    <w:rsid w:val="002A438D"/>
    <w:rsid w:val="002A5C22"/>
    <w:rsid w:val="002A5F9D"/>
    <w:rsid w:val="002A61E8"/>
    <w:rsid w:val="002A76E5"/>
    <w:rsid w:val="002B013D"/>
    <w:rsid w:val="002B2F25"/>
    <w:rsid w:val="002B4BF8"/>
    <w:rsid w:val="002B4EAD"/>
    <w:rsid w:val="002B560E"/>
    <w:rsid w:val="002B6B80"/>
    <w:rsid w:val="002B757B"/>
    <w:rsid w:val="002B7FAB"/>
    <w:rsid w:val="002C18BA"/>
    <w:rsid w:val="002C2548"/>
    <w:rsid w:val="002C40BD"/>
    <w:rsid w:val="002C4AAC"/>
    <w:rsid w:val="002C4F0B"/>
    <w:rsid w:val="002C534A"/>
    <w:rsid w:val="002C607B"/>
    <w:rsid w:val="002C690A"/>
    <w:rsid w:val="002D5532"/>
    <w:rsid w:val="002D5F3E"/>
    <w:rsid w:val="002E1DB7"/>
    <w:rsid w:val="002E2CD4"/>
    <w:rsid w:val="002E74DB"/>
    <w:rsid w:val="002F05D3"/>
    <w:rsid w:val="002F1CE3"/>
    <w:rsid w:val="002F425F"/>
    <w:rsid w:val="002F4292"/>
    <w:rsid w:val="002F4AD7"/>
    <w:rsid w:val="002F4DF8"/>
    <w:rsid w:val="002F667E"/>
    <w:rsid w:val="00307C86"/>
    <w:rsid w:val="00307E73"/>
    <w:rsid w:val="003112F8"/>
    <w:rsid w:val="003116C6"/>
    <w:rsid w:val="003125FD"/>
    <w:rsid w:val="003169E3"/>
    <w:rsid w:val="00320622"/>
    <w:rsid w:val="0032160E"/>
    <w:rsid w:val="00323EB3"/>
    <w:rsid w:val="00327064"/>
    <w:rsid w:val="00327AC0"/>
    <w:rsid w:val="00330C19"/>
    <w:rsid w:val="0033152B"/>
    <w:rsid w:val="00332CD9"/>
    <w:rsid w:val="00332D9B"/>
    <w:rsid w:val="003411EB"/>
    <w:rsid w:val="003455BE"/>
    <w:rsid w:val="0034791D"/>
    <w:rsid w:val="00353D19"/>
    <w:rsid w:val="00355DBD"/>
    <w:rsid w:val="00357997"/>
    <w:rsid w:val="00360F96"/>
    <w:rsid w:val="003722A8"/>
    <w:rsid w:val="00373090"/>
    <w:rsid w:val="00381CD0"/>
    <w:rsid w:val="00382ED7"/>
    <w:rsid w:val="003834CC"/>
    <w:rsid w:val="00387F99"/>
    <w:rsid w:val="003945F1"/>
    <w:rsid w:val="003A2A12"/>
    <w:rsid w:val="003A3EAE"/>
    <w:rsid w:val="003A506B"/>
    <w:rsid w:val="003A50DD"/>
    <w:rsid w:val="003A5EFA"/>
    <w:rsid w:val="003A7C8E"/>
    <w:rsid w:val="003B07F1"/>
    <w:rsid w:val="003C18AF"/>
    <w:rsid w:val="003C6F1D"/>
    <w:rsid w:val="003D358A"/>
    <w:rsid w:val="003D75F1"/>
    <w:rsid w:val="003D7B5D"/>
    <w:rsid w:val="003E0D69"/>
    <w:rsid w:val="003E24E3"/>
    <w:rsid w:val="003E6B1C"/>
    <w:rsid w:val="003E7893"/>
    <w:rsid w:val="003E7F07"/>
    <w:rsid w:val="003F185E"/>
    <w:rsid w:val="0040494F"/>
    <w:rsid w:val="00405081"/>
    <w:rsid w:val="00405DF3"/>
    <w:rsid w:val="0040735E"/>
    <w:rsid w:val="00414B1C"/>
    <w:rsid w:val="00416095"/>
    <w:rsid w:val="00417376"/>
    <w:rsid w:val="00417868"/>
    <w:rsid w:val="00420F59"/>
    <w:rsid w:val="00421FDC"/>
    <w:rsid w:val="004278E8"/>
    <w:rsid w:val="004300DA"/>
    <w:rsid w:val="004311EC"/>
    <w:rsid w:val="00432A54"/>
    <w:rsid w:val="00433180"/>
    <w:rsid w:val="004340AF"/>
    <w:rsid w:val="0043520B"/>
    <w:rsid w:val="00435744"/>
    <w:rsid w:val="00440676"/>
    <w:rsid w:val="00441187"/>
    <w:rsid w:val="004428D2"/>
    <w:rsid w:val="004479D2"/>
    <w:rsid w:val="00454089"/>
    <w:rsid w:val="00455D90"/>
    <w:rsid w:val="00456684"/>
    <w:rsid w:val="0045713E"/>
    <w:rsid w:val="0046310D"/>
    <w:rsid w:val="00467E9B"/>
    <w:rsid w:val="004704C6"/>
    <w:rsid w:val="0047092A"/>
    <w:rsid w:val="00472F14"/>
    <w:rsid w:val="00474DEF"/>
    <w:rsid w:val="00475B11"/>
    <w:rsid w:val="00477977"/>
    <w:rsid w:val="0048046E"/>
    <w:rsid w:val="00481DE1"/>
    <w:rsid w:val="00482D6B"/>
    <w:rsid w:val="00483A07"/>
    <w:rsid w:val="00484824"/>
    <w:rsid w:val="00484F87"/>
    <w:rsid w:val="00486F81"/>
    <w:rsid w:val="00492A4E"/>
    <w:rsid w:val="00492F76"/>
    <w:rsid w:val="004A5E02"/>
    <w:rsid w:val="004A5E44"/>
    <w:rsid w:val="004A62E6"/>
    <w:rsid w:val="004B66BE"/>
    <w:rsid w:val="004B66E4"/>
    <w:rsid w:val="004B7814"/>
    <w:rsid w:val="004C00A6"/>
    <w:rsid w:val="004C64F1"/>
    <w:rsid w:val="004C70F0"/>
    <w:rsid w:val="004C795B"/>
    <w:rsid w:val="004D0702"/>
    <w:rsid w:val="004D0A5D"/>
    <w:rsid w:val="004E3F68"/>
    <w:rsid w:val="004E3F79"/>
    <w:rsid w:val="004E49C8"/>
    <w:rsid w:val="004E4E8A"/>
    <w:rsid w:val="004E6E67"/>
    <w:rsid w:val="004F0331"/>
    <w:rsid w:val="004F349E"/>
    <w:rsid w:val="004F4C11"/>
    <w:rsid w:val="005038E2"/>
    <w:rsid w:val="00507B65"/>
    <w:rsid w:val="00507F94"/>
    <w:rsid w:val="00512815"/>
    <w:rsid w:val="00512E81"/>
    <w:rsid w:val="005130D4"/>
    <w:rsid w:val="00515BC0"/>
    <w:rsid w:val="005161CC"/>
    <w:rsid w:val="00520072"/>
    <w:rsid w:val="00520AC5"/>
    <w:rsid w:val="00521073"/>
    <w:rsid w:val="00522724"/>
    <w:rsid w:val="00522DD2"/>
    <w:rsid w:val="00523431"/>
    <w:rsid w:val="00524F53"/>
    <w:rsid w:val="00530AEF"/>
    <w:rsid w:val="00531DAA"/>
    <w:rsid w:val="00532D6B"/>
    <w:rsid w:val="00536114"/>
    <w:rsid w:val="00537356"/>
    <w:rsid w:val="005406EC"/>
    <w:rsid w:val="00540BC8"/>
    <w:rsid w:val="005410F5"/>
    <w:rsid w:val="0054191E"/>
    <w:rsid w:val="00543A13"/>
    <w:rsid w:val="00544C6F"/>
    <w:rsid w:val="005469AA"/>
    <w:rsid w:val="00550EA0"/>
    <w:rsid w:val="005522F3"/>
    <w:rsid w:val="00552BE2"/>
    <w:rsid w:val="005573D8"/>
    <w:rsid w:val="005601EA"/>
    <w:rsid w:val="00561D76"/>
    <w:rsid w:val="00562490"/>
    <w:rsid w:val="00563208"/>
    <w:rsid w:val="00567312"/>
    <w:rsid w:val="005677B3"/>
    <w:rsid w:val="0057245E"/>
    <w:rsid w:val="00576263"/>
    <w:rsid w:val="00582B57"/>
    <w:rsid w:val="005831F6"/>
    <w:rsid w:val="00585F70"/>
    <w:rsid w:val="005868C0"/>
    <w:rsid w:val="005905C4"/>
    <w:rsid w:val="00592AE3"/>
    <w:rsid w:val="00592DE4"/>
    <w:rsid w:val="00593FD4"/>
    <w:rsid w:val="005943E2"/>
    <w:rsid w:val="00597C42"/>
    <w:rsid w:val="005A12D1"/>
    <w:rsid w:val="005A239A"/>
    <w:rsid w:val="005A6A86"/>
    <w:rsid w:val="005A6F70"/>
    <w:rsid w:val="005A71CA"/>
    <w:rsid w:val="005B170B"/>
    <w:rsid w:val="005B266D"/>
    <w:rsid w:val="005B2FA2"/>
    <w:rsid w:val="005B4E0D"/>
    <w:rsid w:val="005B56CC"/>
    <w:rsid w:val="005C0354"/>
    <w:rsid w:val="005D5F2F"/>
    <w:rsid w:val="005D69A9"/>
    <w:rsid w:val="005E100A"/>
    <w:rsid w:val="005E1B69"/>
    <w:rsid w:val="005E2F64"/>
    <w:rsid w:val="005E3599"/>
    <w:rsid w:val="005E7616"/>
    <w:rsid w:val="005F2AE2"/>
    <w:rsid w:val="005F7217"/>
    <w:rsid w:val="005F73B1"/>
    <w:rsid w:val="00605A96"/>
    <w:rsid w:val="0061716C"/>
    <w:rsid w:val="00623083"/>
    <w:rsid w:val="0062313B"/>
    <w:rsid w:val="00630076"/>
    <w:rsid w:val="0063167B"/>
    <w:rsid w:val="0063406C"/>
    <w:rsid w:val="006365FA"/>
    <w:rsid w:val="006369F5"/>
    <w:rsid w:val="00643CE5"/>
    <w:rsid w:val="00645CF7"/>
    <w:rsid w:val="00654C6F"/>
    <w:rsid w:val="00657E22"/>
    <w:rsid w:val="0066546D"/>
    <w:rsid w:val="006668C5"/>
    <w:rsid w:val="00667703"/>
    <w:rsid w:val="00671B95"/>
    <w:rsid w:val="00672E5B"/>
    <w:rsid w:val="0067594F"/>
    <w:rsid w:val="0068108B"/>
    <w:rsid w:val="0068174F"/>
    <w:rsid w:val="0068214A"/>
    <w:rsid w:val="00687F7E"/>
    <w:rsid w:val="006912EE"/>
    <w:rsid w:val="0069140D"/>
    <w:rsid w:val="006945D8"/>
    <w:rsid w:val="00695489"/>
    <w:rsid w:val="006968B8"/>
    <w:rsid w:val="006978AC"/>
    <w:rsid w:val="006A1673"/>
    <w:rsid w:val="006A33B4"/>
    <w:rsid w:val="006A6D74"/>
    <w:rsid w:val="006A6F38"/>
    <w:rsid w:val="006B00D1"/>
    <w:rsid w:val="006B0936"/>
    <w:rsid w:val="006B25B5"/>
    <w:rsid w:val="006B335D"/>
    <w:rsid w:val="006B6B40"/>
    <w:rsid w:val="006B7697"/>
    <w:rsid w:val="006B7EBB"/>
    <w:rsid w:val="006C1F04"/>
    <w:rsid w:val="006C51D5"/>
    <w:rsid w:val="006C5621"/>
    <w:rsid w:val="006D1ED9"/>
    <w:rsid w:val="006D1F1C"/>
    <w:rsid w:val="006D5FC3"/>
    <w:rsid w:val="006D6025"/>
    <w:rsid w:val="006D65EC"/>
    <w:rsid w:val="006D714A"/>
    <w:rsid w:val="006E3768"/>
    <w:rsid w:val="006E497D"/>
    <w:rsid w:val="006E4CEB"/>
    <w:rsid w:val="006E679D"/>
    <w:rsid w:val="006E78D5"/>
    <w:rsid w:val="006F2308"/>
    <w:rsid w:val="006F4879"/>
    <w:rsid w:val="006F48D3"/>
    <w:rsid w:val="006F5F7A"/>
    <w:rsid w:val="006F6C9E"/>
    <w:rsid w:val="006F6D3E"/>
    <w:rsid w:val="00701573"/>
    <w:rsid w:val="00701EB2"/>
    <w:rsid w:val="0070371F"/>
    <w:rsid w:val="00704C0D"/>
    <w:rsid w:val="007067C0"/>
    <w:rsid w:val="00706D60"/>
    <w:rsid w:val="00710E4E"/>
    <w:rsid w:val="00713AA2"/>
    <w:rsid w:val="00717E65"/>
    <w:rsid w:val="00720FEF"/>
    <w:rsid w:val="00721AE1"/>
    <w:rsid w:val="00722434"/>
    <w:rsid w:val="00723FA8"/>
    <w:rsid w:val="00724509"/>
    <w:rsid w:val="00724D5C"/>
    <w:rsid w:val="00724F3B"/>
    <w:rsid w:val="00727B07"/>
    <w:rsid w:val="007304CC"/>
    <w:rsid w:val="00736011"/>
    <w:rsid w:val="007373AF"/>
    <w:rsid w:val="0073776D"/>
    <w:rsid w:val="00740483"/>
    <w:rsid w:val="00742A2B"/>
    <w:rsid w:val="00743C5E"/>
    <w:rsid w:val="00744208"/>
    <w:rsid w:val="0075046B"/>
    <w:rsid w:val="00751AAF"/>
    <w:rsid w:val="00753648"/>
    <w:rsid w:val="00761B1F"/>
    <w:rsid w:val="00763D7A"/>
    <w:rsid w:val="00765F7F"/>
    <w:rsid w:val="0076636D"/>
    <w:rsid w:val="00766DBC"/>
    <w:rsid w:val="007678DA"/>
    <w:rsid w:val="007729FF"/>
    <w:rsid w:val="00774271"/>
    <w:rsid w:val="00782C1B"/>
    <w:rsid w:val="00783BAB"/>
    <w:rsid w:val="00785E5E"/>
    <w:rsid w:val="00786B26"/>
    <w:rsid w:val="00786FAC"/>
    <w:rsid w:val="00790280"/>
    <w:rsid w:val="00790545"/>
    <w:rsid w:val="00792B5A"/>
    <w:rsid w:val="00795F8E"/>
    <w:rsid w:val="007A00BE"/>
    <w:rsid w:val="007A04A4"/>
    <w:rsid w:val="007A069C"/>
    <w:rsid w:val="007A33F1"/>
    <w:rsid w:val="007B4B6E"/>
    <w:rsid w:val="007B5977"/>
    <w:rsid w:val="007B6658"/>
    <w:rsid w:val="007C062D"/>
    <w:rsid w:val="007C3432"/>
    <w:rsid w:val="007C654E"/>
    <w:rsid w:val="007C6F77"/>
    <w:rsid w:val="007D16D9"/>
    <w:rsid w:val="007D2AFB"/>
    <w:rsid w:val="007D2F6A"/>
    <w:rsid w:val="007D4AEA"/>
    <w:rsid w:val="007E0722"/>
    <w:rsid w:val="007E0E52"/>
    <w:rsid w:val="007E28E7"/>
    <w:rsid w:val="007E34A8"/>
    <w:rsid w:val="007E6993"/>
    <w:rsid w:val="007F04F1"/>
    <w:rsid w:val="007F0FBF"/>
    <w:rsid w:val="007F1C2E"/>
    <w:rsid w:val="00801409"/>
    <w:rsid w:val="0080544C"/>
    <w:rsid w:val="008062E4"/>
    <w:rsid w:val="00807AF0"/>
    <w:rsid w:val="0081028A"/>
    <w:rsid w:val="008103A2"/>
    <w:rsid w:val="00810812"/>
    <w:rsid w:val="00811E95"/>
    <w:rsid w:val="00813984"/>
    <w:rsid w:val="00822EFB"/>
    <w:rsid w:val="00822F53"/>
    <w:rsid w:val="008234A2"/>
    <w:rsid w:val="00825031"/>
    <w:rsid w:val="008272D5"/>
    <w:rsid w:val="00830343"/>
    <w:rsid w:val="00830605"/>
    <w:rsid w:val="00833A11"/>
    <w:rsid w:val="00840837"/>
    <w:rsid w:val="00842C37"/>
    <w:rsid w:val="00842D09"/>
    <w:rsid w:val="00850D87"/>
    <w:rsid w:val="00850F1E"/>
    <w:rsid w:val="00857DFC"/>
    <w:rsid w:val="00861A4E"/>
    <w:rsid w:val="0086332E"/>
    <w:rsid w:val="00865784"/>
    <w:rsid w:val="008664C9"/>
    <w:rsid w:val="00870AAB"/>
    <w:rsid w:val="0087322C"/>
    <w:rsid w:val="0087555E"/>
    <w:rsid w:val="008768D1"/>
    <w:rsid w:val="0087780C"/>
    <w:rsid w:val="00877A02"/>
    <w:rsid w:val="00884341"/>
    <w:rsid w:val="00890D27"/>
    <w:rsid w:val="00892DF5"/>
    <w:rsid w:val="008931B2"/>
    <w:rsid w:val="00893BCB"/>
    <w:rsid w:val="00894F25"/>
    <w:rsid w:val="00895B7E"/>
    <w:rsid w:val="00895B94"/>
    <w:rsid w:val="008A09C8"/>
    <w:rsid w:val="008A19B3"/>
    <w:rsid w:val="008A391D"/>
    <w:rsid w:val="008A51EB"/>
    <w:rsid w:val="008A6750"/>
    <w:rsid w:val="008B5839"/>
    <w:rsid w:val="008B6EC7"/>
    <w:rsid w:val="008B7795"/>
    <w:rsid w:val="008C0D46"/>
    <w:rsid w:val="008C4183"/>
    <w:rsid w:val="008C4E6C"/>
    <w:rsid w:val="008C58C7"/>
    <w:rsid w:val="008C6A76"/>
    <w:rsid w:val="008C701C"/>
    <w:rsid w:val="008D1D50"/>
    <w:rsid w:val="008D3964"/>
    <w:rsid w:val="008D427D"/>
    <w:rsid w:val="008D4ED0"/>
    <w:rsid w:val="008D7337"/>
    <w:rsid w:val="008E238F"/>
    <w:rsid w:val="008E263D"/>
    <w:rsid w:val="008E2CA1"/>
    <w:rsid w:val="008E4145"/>
    <w:rsid w:val="008E46B7"/>
    <w:rsid w:val="008E46FC"/>
    <w:rsid w:val="008E7083"/>
    <w:rsid w:val="008E7EA4"/>
    <w:rsid w:val="008F07A2"/>
    <w:rsid w:val="008F105E"/>
    <w:rsid w:val="008F6048"/>
    <w:rsid w:val="008F7901"/>
    <w:rsid w:val="0090304F"/>
    <w:rsid w:val="00906688"/>
    <w:rsid w:val="00906C5F"/>
    <w:rsid w:val="00914BC7"/>
    <w:rsid w:val="00916380"/>
    <w:rsid w:val="00917CD1"/>
    <w:rsid w:val="00917E0F"/>
    <w:rsid w:val="00921E81"/>
    <w:rsid w:val="00924B69"/>
    <w:rsid w:val="00927B58"/>
    <w:rsid w:val="009309B4"/>
    <w:rsid w:val="00930E41"/>
    <w:rsid w:val="0093650A"/>
    <w:rsid w:val="0093792C"/>
    <w:rsid w:val="009407DB"/>
    <w:rsid w:val="00943C38"/>
    <w:rsid w:val="009458E8"/>
    <w:rsid w:val="009475EC"/>
    <w:rsid w:val="00952E0A"/>
    <w:rsid w:val="00955AAA"/>
    <w:rsid w:val="00956EB4"/>
    <w:rsid w:val="00956F84"/>
    <w:rsid w:val="009572B9"/>
    <w:rsid w:val="00962FBD"/>
    <w:rsid w:val="00967E9A"/>
    <w:rsid w:val="009706FF"/>
    <w:rsid w:val="009711AF"/>
    <w:rsid w:val="009728D8"/>
    <w:rsid w:val="009737D8"/>
    <w:rsid w:val="00973B96"/>
    <w:rsid w:val="009747DA"/>
    <w:rsid w:val="009756DB"/>
    <w:rsid w:val="00975736"/>
    <w:rsid w:val="00982035"/>
    <w:rsid w:val="0098413F"/>
    <w:rsid w:val="00987233"/>
    <w:rsid w:val="00987DC4"/>
    <w:rsid w:val="0099061D"/>
    <w:rsid w:val="00991065"/>
    <w:rsid w:val="00991302"/>
    <w:rsid w:val="00991E5E"/>
    <w:rsid w:val="0099244C"/>
    <w:rsid w:val="009936B3"/>
    <w:rsid w:val="00994049"/>
    <w:rsid w:val="00997BC7"/>
    <w:rsid w:val="009A167F"/>
    <w:rsid w:val="009A52DC"/>
    <w:rsid w:val="009C4D99"/>
    <w:rsid w:val="009D0D59"/>
    <w:rsid w:val="009D242A"/>
    <w:rsid w:val="009D42EA"/>
    <w:rsid w:val="009E0857"/>
    <w:rsid w:val="009E42C2"/>
    <w:rsid w:val="009F42B0"/>
    <w:rsid w:val="009F465D"/>
    <w:rsid w:val="009F4976"/>
    <w:rsid w:val="009F6B68"/>
    <w:rsid w:val="009F7D1A"/>
    <w:rsid w:val="00A10911"/>
    <w:rsid w:val="00A11421"/>
    <w:rsid w:val="00A1644E"/>
    <w:rsid w:val="00A170BE"/>
    <w:rsid w:val="00A178EB"/>
    <w:rsid w:val="00A2261B"/>
    <w:rsid w:val="00A23A68"/>
    <w:rsid w:val="00A24E5C"/>
    <w:rsid w:val="00A26F0E"/>
    <w:rsid w:val="00A326B6"/>
    <w:rsid w:val="00A340CF"/>
    <w:rsid w:val="00A3502F"/>
    <w:rsid w:val="00A35B79"/>
    <w:rsid w:val="00A378DD"/>
    <w:rsid w:val="00A43AFA"/>
    <w:rsid w:val="00A450C7"/>
    <w:rsid w:val="00A45B4F"/>
    <w:rsid w:val="00A51A8F"/>
    <w:rsid w:val="00A53FF9"/>
    <w:rsid w:val="00A56848"/>
    <w:rsid w:val="00A57A69"/>
    <w:rsid w:val="00A633A2"/>
    <w:rsid w:val="00A660A2"/>
    <w:rsid w:val="00A71127"/>
    <w:rsid w:val="00A82F22"/>
    <w:rsid w:val="00A9083A"/>
    <w:rsid w:val="00A90D50"/>
    <w:rsid w:val="00A9526F"/>
    <w:rsid w:val="00A96536"/>
    <w:rsid w:val="00AA1626"/>
    <w:rsid w:val="00AA5D9E"/>
    <w:rsid w:val="00AA7911"/>
    <w:rsid w:val="00AB0A3B"/>
    <w:rsid w:val="00AB0E3B"/>
    <w:rsid w:val="00AB3542"/>
    <w:rsid w:val="00AB6680"/>
    <w:rsid w:val="00AC380F"/>
    <w:rsid w:val="00AD14EA"/>
    <w:rsid w:val="00AD5243"/>
    <w:rsid w:val="00AD5C6F"/>
    <w:rsid w:val="00AD66C5"/>
    <w:rsid w:val="00AE0B42"/>
    <w:rsid w:val="00AE39F7"/>
    <w:rsid w:val="00AE46B9"/>
    <w:rsid w:val="00AE5EAA"/>
    <w:rsid w:val="00AE7861"/>
    <w:rsid w:val="00AF0F55"/>
    <w:rsid w:val="00AF2E1B"/>
    <w:rsid w:val="00AF4801"/>
    <w:rsid w:val="00B0134F"/>
    <w:rsid w:val="00B014F4"/>
    <w:rsid w:val="00B036D3"/>
    <w:rsid w:val="00B04543"/>
    <w:rsid w:val="00B04DA3"/>
    <w:rsid w:val="00B05831"/>
    <w:rsid w:val="00B10090"/>
    <w:rsid w:val="00B111B2"/>
    <w:rsid w:val="00B15E34"/>
    <w:rsid w:val="00B174DE"/>
    <w:rsid w:val="00B219D7"/>
    <w:rsid w:val="00B23C14"/>
    <w:rsid w:val="00B24532"/>
    <w:rsid w:val="00B25758"/>
    <w:rsid w:val="00B27EE1"/>
    <w:rsid w:val="00B3218D"/>
    <w:rsid w:val="00B3364A"/>
    <w:rsid w:val="00B347E9"/>
    <w:rsid w:val="00B35675"/>
    <w:rsid w:val="00B40078"/>
    <w:rsid w:val="00B41596"/>
    <w:rsid w:val="00B41CA8"/>
    <w:rsid w:val="00B42D1B"/>
    <w:rsid w:val="00B458F1"/>
    <w:rsid w:val="00B4797C"/>
    <w:rsid w:val="00B51B35"/>
    <w:rsid w:val="00B532F4"/>
    <w:rsid w:val="00B55BE5"/>
    <w:rsid w:val="00B607AF"/>
    <w:rsid w:val="00B60F04"/>
    <w:rsid w:val="00B615B2"/>
    <w:rsid w:val="00B650F5"/>
    <w:rsid w:val="00B710AB"/>
    <w:rsid w:val="00B730EC"/>
    <w:rsid w:val="00B743FE"/>
    <w:rsid w:val="00B761C3"/>
    <w:rsid w:val="00B77ACF"/>
    <w:rsid w:val="00B83ED8"/>
    <w:rsid w:val="00B871CD"/>
    <w:rsid w:val="00B87E10"/>
    <w:rsid w:val="00B87F06"/>
    <w:rsid w:val="00B90EEB"/>
    <w:rsid w:val="00B93692"/>
    <w:rsid w:val="00B93B00"/>
    <w:rsid w:val="00BA1573"/>
    <w:rsid w:val="00BA470B"/>
    <w:rsid w:val="00BA5DB6"/>
    <w:rsid w:val="00BB0CBE"/>
    <w:rsid w:val="00BB4C8D"/>
    <w:rsid w:val="00BB5413"/>
    <w:rsid w:val="00BB69DB"/>
    <w:rsid w:val="00BC24A0"/>
    <w:rsid w:val="00BC2EFA"/>
    <w:rsid w:val="00BC38F5"/>
    <w:rsid w:val="00BC3BFF"/>
    <w:rsid w:val="00BD048D"/>
    <w:rsid w:val="00BD2497"/>
    <w:rsid w:val="00BD290A"/>
    <w:rsid w:val="00BD7A96"/>
    <w:rsid w:val="00BD7BDE"/>
    <w:rsid w:val="00BD7D7C"/>
    <w:rsid w:val="00BE48E2"/>
    <w:rsid w:val="00BE49E0"/>
    <w:rsid w:val="00BE5914"/>
    <w:rsid w:val="00BE7249"/>
    <w:rsid w:val="00BF0519"/>
    <w:rsid w:val="00BF0E25"/>
    <w:rsid w:val="00BF29DA"/>
    <w:rsid w:val="00BF2DF7"/>
    <w:rsid w:val="00BF3177"/>
    <w:rsid w:val="00BF4644"/>
    <w:rsid w:val="00C00AB3"/>
    <w:rsid w:val="00C01FD2"/>
    <w:rsid w:val="00C04100"/>
    <w:rsid w:val="00C111BE"/>
    <w:rsid w:val="00C235BB"/>
    <w:rsid w:val="00C33367"/>
    <w:rsid w:val="00C3398F"/>
    <w:rsid w:val="00C35777"/>
    <w:rsid w:val="00C40DEA"/>
    <w:rsid w:val="00C43288"/>
    <w:rsid w:val="00C442AB"/>
    <w:rsid w:val="00C44772"/>
    <w:rsid w:val="00C4707A"/>
    <w:rsid w:val="00C47FAD"/>
    <w:rsid w:val="00C52D75"/>
    <w:rsid w:val="00C55328"/>
    <w:rsid w:val="00C601BF"/>
    <w:rsid w:val="00C63035"/>
    <w:rsid w:val="00C6339E"/>
    <w:rsid w:val="00C6378F"/>
    <w:rsid w:val="00C71569"/>
    <w:rsid w:val="00C7311D"/>
    <w:rsid w:val="00C73406"/>
    <w:rsid w:val="00C74B38"/>
    <w:rsid w:val="00C74E06"/>
    <w:rsid w:val="00C83201"/>
    <w:rsid w:val="00C8794D"/>
    <w:rsid w:val="00C908BF"/>
    <w:rsid w:val="00C916FE"/>
    <w:rsid w:val="00C93517"/>
    <w:rsid w:val="00C94B3D"/>
    <w:rsid w:val="00C96B9D"/>
    <w:rsid w:val="00CA0A53"/>
    <w:rsid w:val="00CA3970"/>
    <w:rsid w:val="00CA48E2"/>
    <w:rsid w:val="00CA70A9"/>
    <w:rsid w:val="00CA793F"/>
    <w:rsid w:val="00CB065D"/>
    <w:rsid w:val="00CB1FD1"/>
    <w:rsid w:val="00CB3BF7"/>
    <w:rsid w:val="00CB503A"/>
    <w:rsid w:val="00CB5C0F"/>
    <w:rsid w:val="00CB6C25"/>
    <w:rsid w:val="00CC0378"/>
    <w:rsid w:val="00CC0A14"/>
    <w:rsid w:val="00CC12B6"/>
    <w:rsid w:val="00CC17CB"/>
    <w:rsid w:val="00CC1BD0"/>
    <w:rsid w:val="00CC4855"/>
    <w:rsid w:val="00CC66B7"/>
    <w:rsid w:val="00CD2BE5"/>
    <w:rsid w:val="00CD3904"/>
    <w:rsid w:val="00CD4936"/>
    <w:rsid w:val="00CD493C"/>
    <w:rsid w:val="00CD4BD0"/>
    <w:rsid w:val="00CE2E62"/>
    <w:rsid w:val="00CE545B"/>
    <w:rsid w:val="00CE5A84"/>
    <w:rsid w:val="00CF06AA"/>
    <w:rsid w:val="00CF2162"/>
    <w:rsid w:val="00CF3834"/>
    <w:rsid w:val="00CF392F"/>
    <w:rsid w:val="00CF7D5F"/>
    <w:rsid w:val="00CF7F09"/>
    <w:rsid w:val="00D00366"/>
    <w:rsid w:val="00D02E66"/>
    <w:rsid w:val="00D04A25"/>
    <w:rsid w:val="00D06111"/>
    <w:rsid w:val="00D115AD"/>
    <w:rsid w:val="00D11F2E"/>
    <w:rsid w:val="00D15E42"/>
    <w:rsid w:val="00D16C5D"/>
    <w:rsid w:val="00D23A93"/>
    <w:rsid w:val="00D250BB"/>
    <w:rsid w:val="00D26309"/>
    <w:rsid w:val="00D3047B"/>
    <w:rsid w:val="00D3658C"/>
    <w:rsid w:val="00D440F1"/>
    <w:rsid w:val="00D4536F"/>
    <w:rsid w:val="00D453F3"/>
    <w:rsid w:val="00D4656F"/>
    <w:rsid w:val="00D536FD"/>
    <w:rsid w:val="00D550B9"/>
    <w:rsid w:val="00D6433C"/>
    <w:rsid w:val="00D66CA8"/>
    <w:rsid w:val="00D71102"/>
    <w:rsid w:val="00D73CA2"/>
    <w:rsid w:val="00D772F5"/>
    <w:rsid w:val="00D80F9F"/>
    <w:rsid w:val="00D81CCB"/>
    <w:rsid w:val="00D8223A"/>
    <w:rsid w:val="00D836CA"/>
    <w:rsid w:val="00D9419D"/>
    <w:rsid w:val="00D97591"/>
    <w:rsid w:val="00DA0C1C"/>
    <w:rsid w:val="00DA19CD"/>
    <w:rsid w:val="00DA56D1"/>
    <w:rsid w:val="00DA5EC7"/>
    <w:rsid w:val="00DB41AE"/>
    <w:rsid w:val="00DB4914"/>
    <w:rsid w:val="00DB5D1E"/>
    <w:rsid w:val="00DB6FF2"/>
    <w:rsid w:val="00DB73B3"/>
    <w:rsid w:val="00DC0AF6"/>
    <w:rsid w:val="00DC21B3"/>
    <w:rsid w:val="00DC552C"/>
    <w:rsid w:val="00DC7459"/>
    <w:rsid w:val="00DD3994"/>
    <w:rsid w:val="00DD41C4"/>
    <w:rsid w:val="00DD7687"/>
    <w:rsid w:val="00DE0605"/>
    <w:rsid w:val="00DE69E4"/>
    <w:rsid w:val="00DE6AF9"/>
    <w:rsid w:val="00DE716F"/>
    <w:rsid w:val="00DF3C0E"/>
    <w:rsid w:val="00DF5AD0"/>
    <w:rsid w:val="00DF6E8E"/>
    <w:rsid w:val="00E00105"/>
    <w:rsid w:val="00E013D8"/>
    <w:rsid w:val="00E01697"/>
    <w:rsid w:val="00E025C1"/>
    <w:rsid w:val="00E0290D"/>
    <w:rsid w:val="00E07B9A"/>
    <w:rsid w:val="00E10D1B"/>
    <w:rsid w:val="00E13E7E"/>
    <w:rsid w:val="00E148B5"/>
    <w:rsid w:val="00E20E5F"/>
    <w:rsid w:val="00E21961"/>
    <w:rsid w:val="00E22E0E"/>
    <w:rsid w:val="00E24B99"/>
    <w:rsid w:val="00E30750"/>
    <w:rsid w:val="00E3248E"/>
    <w:rsid w:val="00E346BB"/>
    <w:rsid w:val="00E34714"/>
    <w:rsid w:val="00E34BBA"/>
    <w:rsid w:val="00E37CFC"/>
    <w:rsid w:val="00E4482B"/>
    <w:rsid w:val="00E44967"/>
    <w:rsid w:val="00E46DE9"/>
    <w:rsid w:val="00E4789E"/>
    <w:rsid w:val="00E51C46"/>
    <w:rsid w:val="00E52197"/>
    <w:rsid w:val="00E53BAF"/>
    <w:rsid w:val="00E54058"/>
    <w:rsid w:val="00E601B8"/>
    <w:rsid w:val="00E61595"/>
    <w:rsid w:val="00E660A0"/>
    <w:rsid w:val="00E66BF8"/>
    <w:rsid w:val="00E700D4"/>
    <w:rsid w:val="00E7499C"/>
    <w:rsid w:val="00E75134"/>
    <w:rsid w:val="00E759C7"/>
    <w:rsid w:val="00E77298"/>
    <w:rsid w:val="00E77542"/>
    <w:rsid w:val="00E77780"/>
    <w:rsid w:val="00E81D73"/>
    <w:rsid w:val="00E82D57"/>
    <w:rsid w:val="00E83325"/>
    <w:rsid w:val="00E835C9"/>
    <w:rsid w:val="00E906EE"/>
    <w:rsid w:val="00E91D3C"/>
    <w:rsid w:val="00E96F95"/>
    <w:rsid w:val="00E97264"/>
    <w:rsid w:val="00EA3333"/>
    <w:rsid w:val="00EA45B9"/>
    <w:rsid w:val="00EA51B5"/>
    <w:rsid w:val="00EB0E5C"/>
    <w:rsid w:val="00EB1B37"/>
    <w:rsid w:val="00EB25B7"/>
    <w:rsid w:val="00EB2F9A"/>
    <w:rsid w:val="00EC213A"/>
    <w:rsid w:val="00EC2899"/>
    <w:rsid w:val="00EC51F3"/>
    <w:rsid w:val="00EC6C29"/>
    <w:rsid w:val="00EC6E3E"/>
    <w:rsid w:val="00ED0062"/>
    <w:rsid w:val="00ED0729"/>
    <w:rsid w:val="00ED1480"/>
    <w:rsid w:val="00ED2B8F"/>
    <w:rsid w:val="00ED3E69"/>
    <w:rsid w:val="00ED6C32"/>
    <w:rsid w:val="00ED7C60"/>
    <w:rsid w:val="00EE2C5D"/>
    <w:rsid w:val="00EF0B31"/>
    <w:rsid w:val="00EF2BEA"/>
    <w:rsid w:val="00EF303F"/>
    <w:rsid w:val="00EF5ED9"/>
    <w:rsid w:val="00F007D9"/>
    <w:rsid w:val="00F00AFE"/>
    <w:rsid w:val="00F00EF2"/>
    <w:rsid w:val="00F0113B"/>
    <w:rsid w:val="00F03275"/>
    <w:rsid w:val="00F04366"/>
    <w:rsid w:val="00F103B3"/>
    <w:rsid w:val="00F1159A"/>
    <w:rsid w:val="00F138D9"/>
    <w:rsid w:val="00F147A7"/>
    <w:rsid w:val="00F16840"/>
    <w:rsid w:val="00F24591"/>
    <w:rsid w:val="00F24940"/>
    <w:rsid w:val="00F27B98"/>
    <w:rsid w:val="00F3113E"/>
    <w:rsid w:val="00F31A70"/>
    <w:rsid w:val="00F33EFD"/>
    <w:rsid w:val="00F37C15"/>
    <w:rsid w:val="00F4053C"/>
    <w:rsid w:val="00F40D5B"/>
    <w:rsid w:val="00F417E2"/>
    <w:rsid w:val="00F418DA"/>
    <w:rsid w:val="00F41D15"/>
    <w:rsid w:val="00F42361"/>
    <w:rsid w:val="00F43E59"/>
    <w:rsid w:val="00F457A7"/>
    <w:rsid w:val="00F46A94"/>
    <w:rsid w:val="00F50796"/>
    <w:rsid w:val="00F55564"/>
    <w:rsid w:val="00F57060"/>
    <w:rsid w:val="00F579A3"/>
    <w:rsid w:val="00F605B9"/>
    <w:rsid w:val="00F63624"/>
    <w:rsid w:val="00F63D77"/>
    <w:rsid w:val="00F647D3"/>
    <w:rsid w:val="00F7127D"/>
    <w:rsid w:val="00F722D5"/>
    <w:rsid w:val="00F72D04"/>
    <w:rsid w:val="00F750C4"/>
    <w:rsid w:val="00F75383"/>
    <w:rsid w:val="00F779D0"/>
    <w:rsid w:val="00F83C17"/>
    <w:rsid w:val="00F83E55"/>
    <w:rsid w:val="00F869D9"/>
    <w:rsid w:val="00F90429"/>
    <w:rsid w:val="00F93031"/>
    <w:rsid w:val="00F96725"/>
    <w:rsid w:val="00FA1923"/>
    <w:rsid w:val="00FA2553"/>
    <w:rsid w:val="00FA2C24"/>
    <w:rsid w:val="00FA3A14"/>
    <w:rsid w:val="00FA74E4"/>
    <w:rsid w:val="00FA7ABA"/>
    <w:rsid w:val="00FB214F"/>
    <w:rsid w:val="00FB2307"/>
    <w:rsid w:val="00FB2B7D"/>
    <w:rsid w:val="00FB6F5A"/>
    <w:rsid w:val="00FB7689"/>
    <w:rsid w:val="00FC2AE0"/>
    <w:rsid w:val="00FC385B"/>
    <w:rsid w:val="00FC4212"/>
    <w:rsid w:val="00FC4BB5"/>
    <w:rsid w:val="00FC4C7F"/>
    <w:rsid w:val="00FC4E0F"/>
    <w:rsid w:val="00FC4E51"/>
    <w:rsid w:val="00FD0D72"/>
    <w:rsid w:val="00FE2FF7"/>
    <w:rsid w:val="00FE5E4F"/>
    <w:rsid w:val="00FE7FB7"/>
    <w:rsid w:val="00FF2921"/>
    <w:rsid w:val="00FF44D3"/>
    <w:rsid w:val="00FF4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iPriority w:val="99"/>
    <w:semiHidden/>
    <w:unhideWhenUsed/>
    <w:rsid w:val="008E7EA4"/>
    <w:rPr>
      <w:sz w:val="20"/>
      <w:szCs w:val="20"/>
    </w:rPr>
  </w:style>
  <w:style w:type="character" w:customStyle="1" w:styleId="CommentTextChar">
    <w:name w:val="Comment Text Char"/>
    <w:basedOn w:val="DefaultParagraphFont"/>
    <w:link w:val="CommentText"/>
    <w:uiPriority w:val="99"/>
    <w:semiHidden/>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askontrolei\Paraugi\Anotacija\VManot_281015_PV_budz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C866C-7B00-4061-BF50-340D37CA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VManot_281015_PV_budzets</Template>
  <TotalTime>1</TotalTime>
  <Pages>5</Pages>
  <Words>6021</Words>
  <Characters>3432</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17.decembra noteikumos Nr.1529 „Veselības aprūpes organizēšanas un finansēšanas kārtība”" sākotnējās ietekmes novērtējuma ziņojums (anotācija)</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Alvis Bless</dc:creator>
  <dc:description>A.Bless, 67876122
Alvis.Bless@vm.gov.lv</dc:description>
  <cp:lastModifiedBy>abless</cp:lastModifiedBy>
  <cp:revision>3</cp:revision>
  <cp:lastPrinted>2016-03-31T05:44:00Z</cp:lastPrinted>
  <dcterms:created xsi:type="dcterms:W3CDTF">2016-03-31T10:38:00Z</dcterms:created>
  <dcterms:modified xsi:type="dcterms:W3CDTF">2016-03-31T10:40:00Z</dcterms:modified>
</cp:coreProperties>
</file>