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B41B04" w:rsidRDefault="00DA55F2" w:rsidP="00D67CFE">
      <w:pPr>
        <w:shd w:val="clear" w:color="auto" w:fill="FFFFFF"/>
        <w:jc w:val="center"/>
        <w:rPr>
          <w:rFonts w:cs="Times New Roman"/>
          <w:b/>
          <w:bCs/>
          <w:sz w:val="24"/>
          <w:szCs w:val="24"/>
          <w:lang w:val="lv-LV" w:eastAsia="lv-LV" w:bidi="ar-SA"/>
        </w:rPr>
      </w:pPr>
      <w:r w:rsidRPr="00B41B04">
        <w:rPr>
          <w:rFonts w:cs="Times New Roman"/>
          <w:b/>
          <w:bCs/>
          <w:sz w:val="24"/>
          <w:szCs w:val="24"/>
          <w:lang w:val="lv-LV" w:eastAsia="lv-LV" w:bidi="ar-SA"/>
        </w:rPr>
        <w:t xml:space="preserve">Likumprojekta „Grozījumi </w:t>
      </w:r>
      <w:r w:rsidR="00B574A0" w:rsidRPr="00B41B04">
        <w:rPr>
          <w:rFonts w:cs="Times New Roman"/>
          <w:b/>
          <w:bCs/>
          <w:sz w:val="24"/>
          <w:szCs w:val="24"/>
          <w:lang w:val="lv-LV" w:eastAsia="lv-LV" w:bidi="ar-SA"/>
        </w:rPr>
        <w:t>Karatiesu likumā</w:t>
      </w:r>
      <w:r w:rsidRPr="00B41B04">
        <w:rPr>
          <w:rFonts w:cs="Times New Roman"/>
          <w:b/>
          <w:bCs/>
          <w:sz w:val="24"/>
          <w:szCs w:val="24"/>
          <w:lang w:val="lv-LV" w:eastAsia="lv-LV" w:bidi="ar-SA"/>
        </w:rPr>
        <w:t>” sākotnējās ietekmes novērtējuma ziņojums (anotācija)</w:t>
      </w:r>
    </w:p>
    <w:p w:rsidR="00DA55F2" w:rsidRPr="00B41B04"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B41B04"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I. Tiesību akta projekta izstrādes nepieciešamība</w:t>
            </w:r>
          </w:p>
        </w:tc>
      </w:tr>
      <w:tr w:rsidR="00065F37" w:rsidRPr="00B41B04"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jc w:val="center"/>
              <w:rPr>
                <w:rFonts w:cs="Times New Roman"/>
                <w:sz w:val="24"/>
                <w:szCs w:val="24"/>
                <w:lang w:val="lv-LV" w:eastAsia="lv-LV" w:bidi="ar-SA"/>
              </w:rPr>
            </w:pPr>
            <w:r w:rsidRPr="00B41B04">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B41B04" w:rsidRDefault="000442F7" w:rsidP="000442F7">
            <w:pPr>
              <w:jc w:val="both"/>
              <w:rPr>
                <w:rFonts w:cs="Times New Roman"/>
                <w:sz w:val="24"/>
                <w:szCs w:val="24"/>
                <w:lang w:val="lv-LV" w:eastAsia="lv-LV" w:bidi="ar-SA"/>
              </w:rPr>
            </w:pPr>
            <w:r w:rsidRPr="00B41B04">
              <w:rPr>
                <w:rFonts w:cs="Times New Roman"/>
                <w:sz w:val="24"/>
                <w:szCs w:val="24"/>
                <w:lang w:val="lv-LV"/>
              </w:rPr>
              <w:t>Likumprojekts izstrādāts, pamatojoties uz Tieslietu ministrijas un Aizsardzības ministrijas iniciatīvu</w:t>
            </w:r>
            <w:r w:rsidR="00650AAC" w:rsidRPr="00B41B04">
              <w:rPr>
                <w:rFonts w:cs="Times New Roman"/>
                <w:sz w:val="24"/>
                <w:szCs w:val="24"/>
                <w:lang w:val="lv-LV"/>
              </w:rPr>
              <w:t xml:space="preserve">.   </w:t>
            </w:r>
          </w:p>
        </w:tc>
      </w:tr>
      <w:tr w:rsidR="00065F37" w:rsidRPr="00B41B0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jc w:val="center"/>
              <w:rPr>
                <w:rFonts w:cs="Times New Roman"/>
                <w:sz w:val="24"/>
                <w:szCs w:val="24"/>
                <w:lang w:val="lv-LV" w:eastAsia="lv-LV" w:bidi="ar-SA"/>
              </w:rPr>
            </w:pPr>
            <w:r w:rsidRPr="00B41B04">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66337C" w:rsidRPr="00B41B04" w:rsidRDefault="005B67C9" w:rsidP="003349EF">
            <w:pPr>
              <w:pStyle w:val="naiskr"/>
              <w:spacing w:before="0" w:after="0"/>
              <w:jc w:val="both"/>
              <w:rPr>
                <w:u w:val="single"/>
              </w:rPr>
            </w:pPr>
            <w:r w:rsidRPr="00B41B04">
              <w:rPr>
                <w:u w:val="single"/>
              </w:rPr>
              <w:t>Karatiesu likuma 3.pants.</w:t>
            </w:r>
          </w:p>
          <w:p w:rsidR="005B67C9" w:rsidRPr="00B41B04" w:rsidRDefault="00C805B9" w:rsidP="00C805B9">
            <w:pPr>
              <w:pStyle w:val="naiskr"/>
              <w:spacing w:before="0" w:after="0"/>
              <w:jc w:val="both"/>
            </w:pPr>
            <w:r w:rsidRPr="00B41B04">
              <w:t>Atbilsto</w:t>
            </w:r>
            <w:r w:rsidR="004541E7" w:rsidRPr="00B41B04">
              <w:t>ši K</w:t>
            </w:r>
            <w:r w:rsidRPr="00B41B04">
              <w:t xml:space="preserve">aratiesu likuma 3.panta 2.punkta “a” un “e” apakšpunktam, karatiesām piekrīt </w:t>
            </w:r>
            <w:r w:rsidR="00DC6C5C" w:rsidRPr="00B41B04">
              <w:t xml:space="preserve">lietas par noziedzīgiem nodarījumiem, ko izņēmuma stāvokļa vai kara laikā izdarījušas civilpersonas pret militāru darbinieku kustamu vai nekustam mantu, kuru lieto bruņotie spēku, kā arī noziedzīgu nodarījumu izdarījuši militārie darbinieki. </w:t>
            </w:r>
          </w:p>
          <w:p w:rsidR="00DC6C5C" w:rsidRPr="00B41B04" w:rsidRDefault="00C57B32" w:rsidP="005C4D3A">
            <w:pPr>
              <w:pStyle w:val="naisc"/>
              <w:spacing w:before="0" w:after="0"/>
              <w:ind w:firstLine="34"/>
              <w:jc w:val="both"/>
            </w:pPr>
            <w:r w:rsidRPr="00B41B04">
              <w:t>Atbilstoši Militārā dienesta likuma 61. panta pirmajai daļai (sk. likuma redakciju, kas bija spēkā līdz 2013.</w:t>
            </w:r>
            <w:r w:rsidR="00934B21" w:rsidRPr="00B41B04">
              <w:t xml:space="preserve"> </w:t>
            </w:r>
            <w:r w:rsidRPr="00B41B04">
              <w:t>gada 12.</w:t>
            </w:r>
            <w:r w:rsidR="00934B21" w:rsidRPr="00B41B04">
              <w:t xml:space="preserve"> </w:t>
            </w:r>
            <w:r w:rsidRPr="00B41B04">
              <w:t>martam) militārie darbinieki bija civilpersonas, kas uz darba līguma pamata pildīja karavīru amatu pienākumus, kurus vienībās (apakšvienībās) objektīvu apstākļu dēļ nebija iespējams nokomplektēt ar karavīriem. Ar militāro darbinieku slēdza līgumu uz noteiktu laiku – līdz brīdim, kad amatā iecēla karavīru. Saskaņā ar Nacionālo bruņoto spēku likuma pārejas noteikumu 7.</w:t>
            </w:r>
            <w:r w:rsidR="00FA04AB" w:rsidRPr="00B41B04">
              <w:t xml:space="preserve"> </w:t>
            </w:r>
            <w:r w:rsidRPr="00B41B04">
              <w:t>punktu no 2012. gada 1. janvāra militārie darbinieki vairs neietilpst Nacionālo bruņoto spēku</w:t>
            </w:r>
            <w:r w:rsidRPr="00B41B04">
              <w:rPr>
                <w:rFonts w:eastAsia="Calibri"/>
                <w:lang w:eastAsia="en-US"/>
              </w:rPr>
              <w:t xml:space="preserve"> </w:t>
            </w:r>
            <w:r w:rsidRPr="00B41B04">
              <w:t>personālsastāvā.</w:t>
            </w:r>
            <w:r w:rsidR="00C26741" w:rsidRPr="00B41B04">
              <w:t xml:space="preserve"> Tādēļ nepieciešams </w:t>
            </w:r>
            <w:r w:rsidR="00E105F6" w:rsidRPr="00B41B04">
              <w:t xml:space="preserve">izslēgt norādi uz militārajiem darbiniekiem </w:t>
            </w:r>
            <w:r w:rsidR="005C4D3A" w:rsidRPr="00B41B04">
              <w:t>K</w:t>
            </w:r>
            <w:r w:rsidR="00E105F6" w:rsidRPr="00B41B04">
              <w:t>aratiesu likumā.</w:t>
            </w:r>
          </w:p>
          <w:p w:rsidR="0038159D" w:rsidRPr="00B41B04" w:rsidRDefault="0038159D" w:rsidP="005C4D3A">
            <w:pPr>
              <w:pStyle w:val="naisc"/>
              <w:spacing w:before="0" w:after="0"/>
              <w:ind w:firstLine="34"/>
              <w:jc w:val="both"/>
              <w:rPr>
                <w:u w:val="single"/>
              </w:rPr>
            </w:pPr>
            <w:r w:rsidRPr="00B41B04">
              <w:rPr>
                <w:u w:val="single"/>
              </w:rPr>
              <w:t>Karatiesu likuma</w:t>
            </w:r>
            <w:r w:rsidR="008175B5" w:rsidRPr="00B41B04">
              <w:rPr>
                <w:u w:val="single"/>
              </w:rPr>
              <w:t xml:space="preserve"> 9.pants</w:t>
            </w:r>
          </w:p>
          <w:p w:rsidR="008175B5" w:rsidRPr="00B41B04" w:rsidRDefault="004541E7" w:rsidP="00F56B96">
            <w:pPr>
              <w:pStyle w:val="naisc"/>
              <w:spacing w:before="0" w:after="0"/>
              <w:ind w:firstLine="34"/>
              <w:jc w:val="both"/>
            </w:pPr>
            <w:r w:rsidRPr="00B41B04">
              <w:t>Atbilstoši Karatiesu likuma 9.pantam Tieslietu ministrija sadarbībā ar Zvērinātu advokātu padomi izveido un uztur to advokātu reģistru, kuriem pēc tam, kad paziņots tieslietu ministra rīkojums par karatiesu darbības uzsākšanu, jāveic advokātu funkcijas karatiesām piekritīgās lietās.</w:t>
            </w:r>
            <w:r w:rsidR="0088161A" w:rsidRPr="00B41B04">
              <w:t xml:space="preserve"> Šāds likumā minētais reģistrs nav izveidots. Tādēļ pēc Tieslietu ministrijas un Zvērinātu advokātu padomes ierosinājuma</w:t>
            </w:r>
            <w:r w:rsidR="00226300" w:rsidRPr="00B41B04">
              <w:t xml:space="preserve"> Karatiesu likuma 9.pants tiek izteikts jaunā redakcijā, nosakot, ka </w:t>
            </w:r>
            <w:r w:rsidR="00762BB5" w:rsidRPr="00B41B04">
              <w:t xml:space="preserve">advokātu reģistru izveido un uztur Zvērinātu advokātu padome. </w:t>
            </w:r>
            <w:r w:rsidR="00114099" w:rsidRPr="00B41B04">
              <w:t xml:space="preserve">Vienlaikus tiek noteikts, ka zvērināti advokāti tāpat, kā tiesneši un prokurori tiek apmācīti darbam </w:t>
            </w:r>
            <w:r w:rsidR="00F71127" w:rsidRPr="00B41B04">
              <w:t>ar karatiesām piekritīgām lietām.</w:t>
            </w:r>
          </w:p>
        </w:tc>
      </w:tr>
      <w:tr w:rsidR="00065F37" w:rsidRPr="00B41B0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jc w:val="center"/>
              <w:rPr>
                <w:rFonts w:cs="Times New Roman"/>
                <w:sz w:val="24"/>
                <w:szCs w:val="24"/>
                <w:lang w:val="lv-LV" w:eastAsia="lv-LV" w:bidi="ar-SA"/>
              </w:rPr>
            </w:pPr>
            <w:r w:rsidRPr="00B41B04">
              <w:rPr>
                <w:rFonts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B41B04" w:rsidRDefault="001F2472" w:rsidP="000D70AD">
            <w:pPr>
              <w:jc w:val="both"/>
              <w:rPr>
                <w:rFonts w:cs="Times New Roman"/>
                <w:sz w:val="24"/>
                <w:szCs w:val="24"/>
                <w:lang w:val="lv-LV" w:eastAsia="lv-LV" w:bidi="ar-SA"/>
              </w:rPr>
            </w:pPr>
            <w:r w:rsidRPr="00B41B04">
              <w:rPr>
                <w:rFonts w:cs="Times New Roman"/>
                <w:sz w:val="24"/>
                <w:szCs w:val="24"/>
                <w:lang w:val="lv-LV" w:eastAsia="lv-LV" w:bidi="ar-SA"/>
              </w:rPr>
              <w:t>Aizsardzības ministrija</w:t>
            </w:r>
            <w:r w:rsidR="003618A2" w:rsidRPr="00B41B04">
              <w:rPr>
                <w:rFonts w:cs="Times New Roman"/>
                <w:sz w:val="24"/>
                <w:szCs w:val="24"/>
                <w:lang w:val="lv-LV" w:eastAsia="lv-LV" w:bidi="ar-SA"/>
              </w:rPr>
              <w:t>, Tieslietu ministrija</w:t>
            </w:r>
            <w:r w:rsidR="002D4384" w:rsidRPr="00B41B04">
              <w:rPr>
                <w:rFonts w:cs="Times New Roman"/>
                <w:sz w:val="24"/>
                <w:szCs w:val="24"/>
                <w:lang w:val="lv-LV" w:eastAsia="lv-LV" w:bidi="ar-SA"/>
              </w:rPr>
              <w:t>,</w:t>
            </w:r>
            <w:r w:rsidRPr="00B41B04">
              <w:rPr>
                <w:rFonts w:cs="Times New Roman"/>
                <w:sz w:val="24"/>
                <w:szCs w:val="24"/>
                <w:lang w:val="lv-LV" w:eastAsia="lv-LV" w:bidi="ar-SA"/>
              </w:rPr>
              <w:t xml:space="preserve"> </w:t>
            </w:r>
            <w:r w:rsidR="002D4384" w:rsidRPr="00B41B04">
              <w:rPr>
                <w:rFonts w:cs="Times New Roman"/>
                <w:sz w:val="24"/>
                <w:szCs w:val="24"/>
                <w:lang w:val="lv-LV" w:eastAsia="lv-LV" w:bidi="ar-SA"/>
              </w:rPr>
              <w:t xml:space="preserve">Ģenerālprokuratūra, Nacionālie bruņotie spēki, </w:t>
            </w:r>
            <w:r w:rsidR="003618A2" w:rsidRPr="00B41B04">
              <w:rPr>
                <w:rFonts w:cs="Times New Roman"/>
                <w:sz w:val="24"/>
                <w:szCs w:val="24"/>
                <w:lang w:val="lv-LV" w:eastAsia="lv-LV" w:bidi="ar-SA"/>
              </w:rPr>
              <w:t>Latvijas Zvērinātu advokātu padome</w:t>
            </w:r>
          </w:p>
        </w:tc>
      </w:tr>
      <w:tr w:rsidR="00065F37" w:rsidRPr="00B41B04"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jc w:val="center"/>
              <w:rPr>
                <w:rFonts w:cs="Times New Roman"/>
                <w:sz w:val="24"/>
                <w:szCs w:val="24"/>
                <w:lang w:val="lv-LV" w:eastAsia="lv-LV" w:bidi="ar-SA"/>
              </w:rPr>
            </w:pPr>
            <w:r w:rsidRPr="00B41B04">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B41B04" w:rsidRDefault="0091793F" w:rsidP="0091793F">
            <w:pPr>
              <w:jc w:val="both"/>
              <w:rPr>
                <w:rFonts w:cs="Times New Roman"/>
                <w:sz w:val="24"/>
                <w:szCs w:val="24"/>
                <w:lang w:val="lv-LV"/>
              </w:rPr>
            </w:pPr>
            <w:r w:rsidRPr="00B41B04">
              <w:rPr>
                <w:rFonts w:cs="Times New Roman"/>
                <w:sz w:val="24"/>
                <w:szCs w:val="24"/>
                <w:lang w:val="lv-LV"/>
              </w:rPr>
              <w:t>Likumprojektā norādīto advokātu apmācību Aizsardzības ministrija nodrošinās tai piešķirto valsts budžeta līdzekļu ietvaros.</w:t>
            </w:r>
          </w:p>
          <w:p w:rsidR="00374AA4" w:rsidRPr="00B41B04" w:rsidRDefault="00374AA4" w:rsidP="0091793F">
            <w:pPr>
              <w:jc w:val="both"/>
              <w:rPr>
                <w:rFonts w:cs="Times New Roman"/>
                <w:sz w:val="24"/>
                <w:szCs w:val="24"/>
                <w:lang w:val="lv-LV" w:eastAsia="lv-LV" w:bidi="ar-SA"/>
              </w:rPr>
            </w:pPr>
            <w:r w:rsidRPr="00B41B04">
              <w:rPr>
                <w:rFonts w:cs="Times New Roman"/>
                <w:sz w:val="24"/>
                <w:szCs w:val="24"/>
                <w:lang w:val="lv-LV"/>
              </w:rPr>
              <w:t xml:space="preserve">Likumprojektā norādīto advokātu reģistru izveidos un </w:t>
            </w:r>
            <w:r w:rsidRPr="00B41B04">
              <w:rPr>
                <w:rFonts w:cs="Times New Roman"/>
                <w:sz w:val="24"/>
                <w:szCs w:val="24"/>
                <w:lang w:val="lv-LV"/>
              </w:rPr>
              <w:lastRenderedPageBreak/>
              <w:t>uzturēs Latvijas Zvērinātu advokātu padome sava budžeta līdzekļu ietvaros.</w:t>
            </w:r>
          </w:p>
        </w:tc>
      </w:tr>
    </w:tbl>
    <w:p w:rsidR="00DA55F2" w:rsidRPr="00B41B04" w:rsidRDefault="00DA55F2" w:rsidP="00E61F4F">
      <w:pPr>
        <w:shd w:val="clear" w:color="auto" w:fill="FFFFFF"/>
        <w:ind w:firstLine="301"/>
        <w:rPr>
          <w:rFonts w:cs="Times New Roman"/>
          <w:sz w:val="24"/>
          <w:szCs w:val="24"/>
          <w:lang w:val="lv-LV" w:eastAsia="lv-LV" w:bidi="ar-SA"/>
        </w:rPr>
      </w:pPr>
      <w:r w:rsidRPr="00B41B04">
        <w:rPr>
          <w:rFonts w:cs="Times New Roman"/>
          <w:sz w:val="24"/>
          <w:szCs w:val="24"/>
          <w:lang w:val="lv-LV" w:eastAsia="lv-LV" w:bidi="ar-SA"/>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B41B04"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II. Tiesību akta projekta ietekme uz sabiedrību, tautsaimniecības attīstību un administratīvo slogu</w:t>
            </w:r>
          </w:p>
        </w:tc>
      </w:tr>
      <w:tr w:rsidR="00065F37" w:rsidRPr="00B41B04"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41B04" w:rsidRDefault="00343422" w:rsidP="009B41E9">
            <w:pPr>
              <w:rPr>
                <w:rFonts w:cs="Times New Roman"/>
                <w:sz w:val="24"/>
                <w:szCs w:val="24"/>
                <w:lang w:val="lv-LV" w:eastAsia="lv-LV" w:bidi="ar-SA"/>
              </w:rPr>
            </w:pPr>
            <w:r w:rsidRPr="00B41B04">
              <w:rPr>
                <w:rFonts w:cs="Times New Roman"/>
                <w:sz w:val="24"/>
                <w:szCs w:val="24"/>
                <w:lang w:val="lv-LV" w:eastAsia="lv-LV" w:bidi="ar-SA"/>
              </w:rPr>
              <w:t>Advokāti</w:t>
            </w:r>
          </w:p>
        </w:tc>
      </w:tr>
      <w:tr w:rsidR="00065F37" w:rsidRPr="00B41B0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41B04" w:rsidRDefault="002B625D" w:rsidP="00FC63AD">
            <w:pPr>
              <w:jc w:val="both"/>
              <w:rPr>
                <w:rFonts w:cs="Times New Roman"/>
                <w:sz w:val="24"/>
                <w:szCs w:val="24"/>
                <w:lang w:val="lv-LV" w:eastAsia="lv-LV" w:bidi="ar-SA"/>
              </w:rPr>
            </w:pPr>
            <w:r w:rsidRPr="00B41B04">
              <w:rPr>
                <w:rFonts w:cs="Times New Roman"/>
                <w:sz w:val="24"/>
                <w:szCs w:val="24"/>
                <w:lang w:val="lv-LV" w:eastAsia="lv-LV" w:bidi="ar-SA"/>
              </w:rPr>
              <w:t>Administratīvais slogs nemainās. Likumprojekta tiesiskais regulējums</w:t>
            </w:r>
            <w:r w:rsidR="008C0621" w:rsidRPr="00B41B04">
              <w:rPr>
                <w:rFonts w:cs="Times New Roman"/>
                <w:sz w:val="24"/>
                <w:szCs w:val="24"/>
                <w:lang w:val="lv-LV" w:eastAsia="lv-LV" w:bidi="ar-SA"/>
              </w:rPr>
              <w:t xml:space="preserve"> nemaina Latvijas Zvērinātu advokātu padomes tiesības un pienākumus, kā arī veicamās darbības.</w:t>
            </w:r>
          </w:p>
        </w:tc>
      </w:tr>
      <w:tr w:rsidR="00065F37" w:rsidRPr="00B41B0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41B04" w:rsidRDefault="00C24669" w:rsidP="00FC63AD">
            <w:pPr>
              <w:jc w:val="both"/>
              <w:rPr>
                <w:rFonts w:cs="Times New Roman"/>
                <w:sz w:val="24"/>
                <w:szCs w:val="24"/>
                <w:lang w:val="lv-LV" w:eastAsia="lv-LV" w:bidi="ar-SA"/>
              </w:rPr>
            </w:pPr>
            <w:r w:rsidRPr="00B41B04">
              <w:rPr>
                <w:rFonts w:cs="Times New Roman"/>
                <w:sz w:val="24"/>
                <w:szCs w:val="24"/>
                <w:lang w:val="lv-LV" w:eastAsia="lv-LV" w:bidi="ar-SA"/>
              </w:rPr>
              <w:t>Likumprojekt</w:t>
            </w:r>
            <w:r w:rsidR="00F86398">
              <w:rPr>
                <w:rFonts w:cs="Times New Roman"/>
                <w:sz w:val="24"/>
                <w:szCs w:val="24"/>
                <w:lang w:val="lv-LV" w:eastAsia="lv-LV" w:bidi="ar-SA"/>
              </w:rPr>
              <w:t>ā</w:t>
            </w:r>
            <w:r w:rsidRPr="00B41B04">
              <w:rPr>
                <w:rFonts w:cs="Times New Roman"/>
                <w:sz w:val="24"/>
                <w:szCs w:val="24"/>
                <w:lang w:val="lv-LV" w:eastAsia="lv-LV" w:bidi="ar-SA"/>
              </w:rPr>
              <w:t xml:space="preserve"> ietvertais tiesiskais regulējums administratīvās izmaksas neietekmē un tās paliek nemainīgas. Finanšu līdzekļi</w:t>
            </w:r>
            <w:r w:rsidR="0046241A" w:rsidRPr="00B41B04">
              <w:rPr>
                <w:rFonts w:cs="Times New Roman"/>
                <w:sz w:val="24"/>
                <w:szCs w:val="24"/>
                <w:lang w:val="lv-LV" w:eastAsia="lv-LV" w:bidi="ar-SA"/>
              </w:rPr>
              <w:t>, lai nodrošinātu likumprojektā paredzēto informācijas pieņemšanas, apstrādes, uzglabāšanas un sniegšan</w:t>
            </w:r>
            <w:r w:rsidR="003C7A33" w:rsidRPr="00B41B04">
              <w:rPr>
                <w:rFonts w:cs="Times New Roman"/>
                <w:sz w:val="24"/>
                <w:szCs w:val="24"/>
                <w:lang w:val="lv-LV" w:eastAsia="lv-LV" w:bidi="ar-SA"/>
              </w:rPr>
              <w:t>as pienākumu, tiek rasti Latvijas Zvērinātu advokātu padomes budžetā.</w:t>
            </w:r>
          </w:p>
          <w:p w:rsidR="003C7A33" w:rsidRPr="00B41B04" w:rsidRDefault="000F13E0" w:rsidP="000F13E0">
            <w:pPr>
              <w:jc w:val="both"/>
              <w:rPr>
                <w:rFonts w:cs="Times New Roman"/>
                <w:sz w:val="24"/>
                <w:szCs w:val="24"/>
                <w:lang w:val="lv-LV" w:eastAsia="lv-LV" w:bidi="ar-SA"/>
              </w:rPr>
            </w:pPr>
            <w:r w:rsidRPr="00B41B04">
              <w:rPr>
                <w:rFonts w:cs="Times New Roman"/>
                <w:sz w:val="24"/>
                <w:szCs w:val="24"/>
                <w:lang w:val="lv-LV"/>
              </w:rPr>
              <w:t xml:space="preserve">Administratīvās izmaksas mērķgrupai, ko veido </w:t>
            </w:r>
            <w:r w:rsidRPr="00B41B04">
              <w:rPr>
                <w:rFonts w:cs="Times New Roman"/>
                <w:sz w:val="24"/>
                <w:szCs w:val="24"/>
                <w:lang w:val="lv-LV"/>
              </w:rPr>
              <w:t>juridiskā persona</w:t>
            </w:r>
            <w:r w:rsidRPr="00B41B04">
              <w:rPr>
                <w:rFonts w:cs="Times New Roman"/>
                <w:sz w:val="24"/>
                <w:szCs w:val="24"/>
                <w:lang w:val="lv-LV"/>
              </w:rPr>
              <w:t>, nepārsniedz 200</w:t>
            </w:r>
            <w:r w:rsidRPr="00B41B04">
              <w:rPr>
                <w:rFonts w:cs="Times New Roman"/>
                <w:sz w:val="24"/>
                <w:szCs w:val="24"/>
                <w:lang w:val="lv-LV"/>
              </w:rPr>
              <w:t>0</w:t>
            </w:r>
            <w:r w:rsidRPr="00B41B04">
              <w:rPr>
                <w:rFonts w:cs="Times New Roman"/>
                <w:sz w:val="24"/>
                <w:szCs w:val="24"/>
                <w:lang w:val="lv-LV"/>
              </w:rPr>
              <w:t xml:space="preserve"> </w:t>
            </w:r>
            <w:proofErr w:type="spellStart"/>
            <w:r w:rsidRPr="00B41B04">
              <w:rPr>
                <w:rFonts w:cs="Times New Roman"/>
                <w:i/>
                <w:iCs/>
                <w:sz w:val="24"/>
                <w:szCs w:val="24"/>
                <w:lang w:val="lv-LV"/>
              </w:rPr>
              <w:t>euro</w:t>
            </w:r>
            <w:proofErr w:type="spellEnd"/>
            <w:r w:rsidRPr="00B41B04">
              <w:rPr>
                <w:rFonts w:cs="Times New Roman"/>
                <w:i/>
                <w:iCs/>
                <w:sz w:val="24"/>
                <w:szCs w:val="24"/>
                <w:lang w:val="lv-LV"/>
              </w:rPr>
              <w:t xml:space="preserve"> </w:t>
            </w:r>
            <w:r w:rsidRPr="00B41B04">
              <w:rPr>
                <w:rFonts w:cs="Times New Roman"/>
                <w:iCs/>
                <w:sz w:val="24"/>
                <w:szCs w:val="24"/>
                <w:lang w:val="lv-LV"/>
              </w:rPr>
              <w:t>gadā.</w:t>
            </w:r>
          </w:p>
        </w:tc>
      </w:tr>
      <w:tr w:rsidR="00065F37" w:rsidRPr="00B41B04"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rPr>
                <w:rFonts w:cs="Times New Roman"/>
                <w:sz w:val="24"/>
                <w:szCs w:val="24"/>
                <w:lang w:val="lv-LV" w:eastAsia="lv-LV" w:bidi="ar-SA"/>
              </w:rPr>
            </w:pPr>
            <w:r w:rsidRPr="00B41B04">
              <w:rPr>
                <w:rFonts w:cs="Times New Roman"/>
                <w:sz w:val="24"/>
                <w:szCs w:val="24"/>
                <w:lang w:val="lv-LV" w:eastAsia="lv-LV" w:bidi="ar-SA"/>
              </w:rPr>
              <w:t>Nav</w:t>
            </w:r>
            <w:r w:rsidR="00D50FA7" w:rsidRPr="00B41B04">
              <w:rPr>
                <w:rFonts w:cs="Times New Roman"/>
                <w:sz w:val="24"/>
                <w:szCs w:val="24"/>
                <w:lang w:val="lv-LV" w:eastAsia="lv-LV" w:bidi="ar-SA"/>
              </w:rPr>
              <w:t>.</w:t>
            </w:r>
          </w:p>
        </w:tc>
      </w:tr>
    </w:tbl>
    <w:p w:rsidR="00BF7D46" w:rsidRPr="00B41B04" w:rsidRDefault="00DA55F2" w:rsidP="00E61F4F">
      <w:pPr>
        <w:shd w:val="clear" w:color="auto" w:fill="FFFFFF"/>
        <w:ind w:firstLine="301"/>
        <w:rPr>
          <w:rFonts w:cs="Times New Roman"/>
          <w:sz w:val="24"/>
          <w:szCs w:val="24"/>
          <w:lang w:val="lv-LV" w:eastAsia="lv-LV" w:bidi="ar-SA"/>
        </w:rPr>
      </w:pPr>
      <w:r w:rsidRPr="00B41B04">
        <w:rPr>
          <w:rFonts w:cs="Times New Roman"/>
          <w:sz w:val="24"/>
          <w:szCs w:val="24"/>
          <w:lang w:val="lv-LV" w:eastAsia="lv-LV" w:bidi="ar-SA"/>
        </w:rPr>
        <w:t> </w:t>
      </w:r>
    </w:p>
    <w:tbl>
      <w:tblPr>
        <w:tblW w:w="8432" w:type="dxa"/>
        <w:jc w:val="center"/>
        <w:tblInd w:w="37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432"/>
      </w:tblGrid>
      <w:tr w:rsidR="00BF7D46" w:rsidRPr="00B41B04" w:rsidTr="00343422">
        <w:trPr>
          <w:trHeight w:val="189"/>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BF7D46" w:rsidRPr="00B41B04"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B41B04">
              <w:rPr>
                <w:rFonts w:eastAsia="Calibri" w:cs="Times New Roman"/>
                <w:b/>
                <w:bCs/>
                <w:sz w:val="24"/>
                <w:szCs w:val="24"/>
                <w:lang w:val="lv-LV" w:eastAsia="lv-LV" w:bidi="ar-SA"/>
              </w:rPr>
              <w:t>III. Tiesību akta projekta ietekme uz valsts budžetu un pašvaldību budžetiem</w:t>
            </w:r>
          </w:p>
        </w:tc>
      </w:tr>
      <w:tr w:rsidR="00343422" w:rsidRPr="00B41B04" w:rsidTr="00343422">
        <w:trPr>
          <w:trHeight w:val="517"/>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343422" w:rsidRPr="00B41B04" w:rsidRDefault="00343422" w:rsidP="00F72A41">
            <w:pPr>
              <w:widowControl w:val="0"/>
              <w:spacing w:after="200" w:line="276" w:lineRule="auto"/>
              <w:jc w:val="center"/>
              <w:rPr>
                <w:rFonts w:eastAsia="Calibri" w:cs="Times New Roman"/>
                <w:sz w:val="24"/>
                <w:szCs w:val="24"/>
                <w:lang w:val="lv-LV" w:eastAsia="lv-LV" w:bidi="ar-SA"/>
              </w:rPr>
            </w:pPr>
            <w:r w:rsidRPr="00B41B04">
              <w:rPr>
                <w:rFonts w:cs="Times New Roman"/>
                <w:sz w:val="24"/>
                <w:szCs w:val="24"/>
                <w:lang w:val="lv-LV" w:eastAsia="lv-LV" w:bidi="ar-SA"/>
              </w:rPr>
              <w:t>Projekts šo jomu neskar.</w:t>
            </w:r>
          </w:p>
        </w:tc>
      </w:tr>
    </w:tbl>
    <w:p w:rsidR="00DA55F2" w:rsidRPr="00B41B04" w:rsidRDefault="00DA55F2"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B41B04"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IV. Tiesību akta projekta ietekme uz spēkā esošo tiesību normu sistēmu</w:t>
            </w:r>
          </w:p>
        </w:tc>
      </w:tr>
      <w:tr w:rsidR="00065F37" w:rsidRPr="00B41B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3031A" w:rsidRPr="00B41B04" w:rsidRDefault="008179F4" w:rsidP="00B3031A">
            <w:pPr>
              <w:pStyle w:val="ListParagraph"/>
              <w:tabs>
                <w:tab w:val="left" w:pos="292"/>
              </w:tabs>
              <w:ind w:left="0"/>
              <w:jc w:val="both"/>
              <w:rPr>
                <w:rFonts w:cs="Times New Roman"/>
                <w:sz w:val="24"/>
                <w:szCs w:val="24"/>
                <w:lang w:val="lv-LV" w:eastAsia="lv-LV" w:bidi="ar-SA"/>
              </w:rPr>
            </w:pPr>
            <w:r w:rsidRPr="00B41B04">
              <w:rPr>
                <w:rFonts w:cs="Times New Roman"/>
                <w:sz w:val="24"/>
                <w:szCs w:val="24"/>
                <w:lang w:val="lv-LV" w:eastAsia="lv-LV" w:bidi="ar-SA"/>
              </w:rPr>
              <w:t>Projekts šo jomu neskar.</w:t>
            </w:r>
          </w:p>
        </w:tc>
      </w:tr>
      <w:tr w:rsidR="00065F37" w:rsidRPr="00B41B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41B04" w:rsidRDefault="00DD0703" w:rsidP="00046473">
            <w:pPr>
              <w:jc w:val="both"/>
              <w:rPr>
                <w:rFonts w:cs="Times New Roman"/>
                <w:sz w:val="24"/>
                <w:szCs w:val="24"/>
                <w:lang w:val="lv-LV" w:eastAsia="lv-LV" w:bidi="ar-SA"/>
              </w:rPr>
            </w:pPr>
            <w:r w:rsidRPr="00B41B04">
              <w:rPr>
                <w:rFonts w:cs="Times New Roman"/>
                <w:sz w:val="24"/>
                <w:szCs w:val="24"/>
                <w:lang w:val="lv-LV" w:eastAsia="lv-LV" w:bidi="ar-SA"/>
              </w:rPr>
              <w:t>Aizsardzības ministrija,</w:t>
            </w:r>
            <w:r w:rsidR="003E0077" w:rsidRPr="00B41B04">
              <w:rPr>
                <w:rFonts w:cs="Times New Roman"/>
                <w:sz w:val="24"/>
                <w:szCs w:val="24"/>
                <w:lang w:val="lv-LV" w:eastAsia="lv-LV" w:bidi="ar-SA"/>
              </w:rPr>
              <w:t xml:space="preserve"> </w:t>
            </w:r>
            <w:r w:rsidR="008179F4" w:rsidRPr="00B41B04">
              <w:rPr>
                <w:rFonts w:cs="Times New Roman"/>
                <w:sz w:val="24"/>
                <w:szCs w:val="24"/>
                <w:lang w:val="lv-LV" w:eastAsia="lv-LV" w:bidi="ar-SA"/>
              </w:rPr>
              <w:t xml:space="preserve">Tieslietu ministrija, </w:t>
            </w:r>
            <w:r w:rsidR="00FB29BC" w:rsidRPr="00B41B04">
              <w:rPr>
                <w:rFonts w:cs="Times New Roman"/>
                <w:sz w:val="24"/>
                <w:szCs w:val="24"/>
                <w:lang w:val="lv-LV" w:eastAsia="lv-LV" w:bidi="ar-SA"/>
              </w:rPr>
              <w:t xml:space="preserve">Latvijas Zvērinātu advokātu padome, </w:t>
            </w:r>
            <w:r w:rsidR="00344FC3" w:rsidRPr="00B41B04">
              <w:rPr>
                <w:rFonts w:cs="Times New Roman"/>
                <w:sz w:val="24"/>
                <w:szCs w:val="24"/>
                <w:lang w:val="lv-LV" w:eastAsia="lv-LV" w:bidi="ar-SA"/>
              </w:rPr>
              <w:t>Nacionālie bruņotie spēki</w:t>
            </w:r>
            <w:r w:rsidR="00FB29BC" w:rsidRPr="00B41B04">
              <w:rPr>
                <w:rFonts w:cs="Times New Roman"/>
                <w:sz w:val="24"/>
                <w:szCs w:val="24"/>
                <w:lang w:val="lv-LV" w:eastAsia="lv-LV" w:bidi="ar-SA"/>
              </w:rPr>
              <w:t>.</w:t>
            </w:r>
          </w:p>
        </w:tc>
      </w:tr>
      <w:tr w:rsidR="00065F37" w:rsidRPr="00B41B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rPr>
                <w:rFonts w:cs="Times New Roman"/>
                <w:sz w:val="24"/>
                <w:szCs w:val="24"/>
                <w:lang w:val="lv-LV" w:eastAsia="lv-LV" w:bidi="ar-SA"/>
              </w:rPr>
            </w:pPr>
            <w:r w:rsidRPr="00B41B04">
              <w:rPr>
                <w:rFonts w:cs="Times New Roman"/>
                <w:sz w:val="24"/>
                <w:szCs w:val="24"/>
                <w:lang w:val="lv-LV" w:eastAsia="lv-LV" w:bidi="ar-SA"/>
              </w:rPr>
              <w:t>Nav</w:t>
            </w:r>
            <w:r w:rsidR="00DD0703" w:rsidRPr="00B41B04">
              <w:rPr>
                <w:rFonts w:cs="Times New Roman"/>
                <w:sz w:val="24"/>
                <w:szCs w:val="24"/>
                <w:lang w:val="lv-LV" w:eastAsia="lv-LV" w:bidi="ar-SA"/>
              </w:rPr>
              <w:t>.</w:t>
            </w:r>
          </w:p>
        </w:tc>
      </w:tr>
    </w:tbl>
    <w:p w:rsidR="00DA55F2" w:rsidRPr="00B41B04" w:rsidRDefault="00DA55F2" w:rsidP="00E61F4F">
      <w:pPr>
        <w:shd w:val="clear" w:color="auto" w:fill="FFFFFF"/>
        <w:ind w:firstLine="301"/>
        <w:rPr>
          <w:rFonts w:cs="Times New Roman"/>
          <w:sz w:val="24"/>
          <w:szCs w:val="24"/>
          <w:lang w:val="lv-LV" w:eastAsia="lv-LV" w:bidi="ar-SA"/>
        </w:rPr>
      </w:pPr>
      <w:r w:rsidRPr="00B41B04">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B41B04"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V. Tiesību akta projekta atbilstība Latvijas Republikas starptautiskajām saistībām</w:t>
            </w:r>
          </w:p>
        </w:tc>
      </w:tr>
      <w:tr w:rsidR="00065F37" w:rsidRPr="00B41B04"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B41B04" w:rsidRDefault="00DD0703" w:rsidP="00DA55F2">
            <w:pPr>
              <w:spacing w:before="100" w:beforeAutospacing="1" w:after="100" w:afterAutospacing="1" w:line="315" w:lineRule="atLeast"/>
              <w:jc w:val="center"/>
              <w:rPr>
                <w:rFonts w:cs="Times New Roman"/>
                <w:bCs/>
                <w:sz w:val="24"/>
                <w:szCs w:val="24"/>
                <w:lang w:val="lv-LV" w:eastAsia="lv-LV" w:bidi="ar-SA"/>
              </w:rPr>
            </w:pPr>
            <w:r w:rsidRPr="00B41B04">
              <w:rPr>
                <w:rFonts w:cs="Times New Roman"/>
                <w:bCs/>
                <w:sz w:val="24"/>
                <w:szCs w:val="24"/>
                <w:lang w:val="lv-LV" w:eastAsia="lv-LV" w:bidi="ar-SA"/>
              </w:rPr>
              <w:t>Projekts šo jomu neskar.</w:t>
            </w:r>
          </w:p>
        </w:tc>
      </w:tr>
    </w:tbl>
    <w:p w:rsidR="00DA55F2" w:rsidRPr="00B41B04" w:rsidRDefault="00DA55F2" w:rsidP="00E61F4F">
      <w:pPr>
        <w:shd w:val="clear" w:color="auto" w:fill="FFFFFF"/>
        <w:ind w:firstLine="301"/>
        <w:rPr>
          <w:rFonts w:cs="Times New Roman"/>
          <w:sz w:val="24"/>
          <w:szCs w:val="24"/>
          <w:lang w:val="lv-LV" w:eastAsia="lv-LV" w:bidi="ar-SA"/>
        </w:rPr>
      </w:pPr>
      <w:r w:rsidRPr="00B41B0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B41B0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VI. Sabiedrības līdzdalība un komunikācijas aktivitātes</w:t>
            </w:r>
          </w:p>
        </w:tc>
      </w:tr>
      <w:tr w:rsidR="00065F37" w:rsidRPr="00B41B0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B41B04" w:rsidRDefault="00DD0703" w:rsidP="00DA55F2">
            <w:pPr>
              <w:spacing w:before="100" w:beforeAutospacing="1" w:after="100" w:afterAutospacing="1" w:line="315" w:lineRule="atLeast"/>
              <w:jc w:val="center"/>
              <w:rPr>
                <w:rFonts w:cs="Times New Roman"/>
                <w:bCs/>
                <w:sz w:val="24"/>
                <w:szCs w:val="24"/>
                <w:lang w:val="lv-LV" w:eastAsia="lv-LV" w:bidi="ar-SA"/>
              </w:rPr>
            </w:pPr>
            <w:r w:rsidRPr="00B41B04">
              <w:rPr>
                <w:rFonts w:cs="Times New Roman"/>
                <w:bCs/>
                <w:sz w:val="24"/>
                <w:szCs w:val="24"/>
                <w:lang w:val="lv-LV" w:eastAsia="lv-LV" w:bidi="ar-SA"/>
              </w:rPr>
              <w:t>Projekts šo jomu neskar.</w:t>
            </w:r>
          </w:p>
        </w:tc>
      </w:tr>
    </w:tbl>
    <w:p w:rsidR="00DA55F2" w:rsidRPr="00B41B04" w:rsidRDefault="00DA55F2" w:rsidP="00E61F4F">
      <w:pPr>
        <w:shd w:val="clear" w:color="auto" w:fill="FFFFFF"/>
        <w:ind w:firstLine="301"/>
        <w:rPr>
          <w:rFonts w:cs="Times New Roman"/>
          <w:sz w:val="24"/>
          <w:szCs w:val="24"/>
          <w:lang w:val="lv-LV" w:eastAsia="lv-LV" w:bidi="ar-SA"/>
        </w:rPr>
      </w:pPr>
      <w:r w:rsidRPr="00B41B0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B41B04"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41B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B41B04">
              <w:rPr>
                <w:rFonts w:cs="Times New Roman"/>
                <w:b/>
                <w:bCs/>
                <w:sz w:val="24"/>
                <w:szCs w:val="24"/>
                <w:lang w:val="lv-LV" w:eastAsia="lv-LV" w:bidi="ar-SA"/>
              </w:rPr>
              <w:t>VII. Tiesību akta projekta izpildes nodrošināšana un tās ietekme uz institūcijām</w:t>
            </w:r>
          </w:p>
        </w:tc>
      </w:tr>
      <w:tr w:rsidR="00065F37" w:rsidRPr="00B41B0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B41B04" w:rsidRDefault="00F72A41" w:rsidP="000D70AD">
            <w:pPr>
              <w:jc w:val="both"/>
              <w:rPr>
                <w:rFonts w:cs="Times New Roman"/>
                <w:sz w:val="24"/>
                <w:szCs w:val="24"/>
                <w:lang w:val="lv-LV" w:eastAsia="lv-LV" w:bidi="ar-SA"/>
              </w:rPr>
            </w:pPr>
            <w:r w:rsidRPr="00B41B04">
              <w:rPr>
                <w:rFonts w:cs="Times New Roman"/>
                <w:sz w:val="24"/>
                <w:szCs w:val="24"/>
                <w:lang w:val="lv-LV" w:eastAsia="lv-LV" w:bidi="ar-SA"/>
              </w:rPr>
              <w:t>Aizsardzības ministrija, Tieslietu ministrija, Latvijas Zvērinātu advokātu padome, Nacionāl</w:t>
            </w:r>
            <w:r w:rsidR="00811765" w:rsidRPr="00B41B04">
              <w:rPr>
                <w:rFonts w:cs="Times New Roman"/>
                <w:sz w:val="24"/>
                <w:szCs w:val="24"/>
                <w:lang w:val="lv-LV" w:eastAsia="lv-LV" w:bidi="ar-SA"/>
              </w:rPr>
              <w:t>ie</w:t>
            </w:r>
            <w:r w:rsidRPr="00B41B04">
              <w:rPr>
                <w:rFonts w:cs="Times New Roman"/>
                <w:sz w:val="24"/>
                <w:szCs w:val="24"/>
                <w:lang w:val="lv-LV" w:eastAsia="lv-LV" w:bidi="ar-SA"/>
              </w:rPr>
              <w:t xml:space="preserve"> </w:t>
            </w:r>
            <w:r w:rsidR="00811765" w:rsidRPr="00B41B04">
              <w:rPr>
                <w:rFonts w:cs="Times New Roman"/>
                <w:sz w:val="24"/>
                <w:szCs w:val="24"/>
                <w:lang w:val="lv-LV" w:eastAsia="lv-LV" w:bidi="ar-SA"/>
              </w:rPr>
              <w:lastRenderedPageBreak/>
              <w:t>bruņotie spēki</w:t>
            </w:r>
            <w:r w:rsidRPr="00B41B04">
              <w:rPr>
                <w:rFonts w:cs="Times New Roman"/>
                <w:sz w:val="24"/>
                <w:szCs w:val="24"/>
                <w:lang w:val="lv-LV" w:eastAsia="lv-LV" w:bidi="ar-SA"/>
              </w:rPr>
              <w:t>.</w:t>
            </w:r>
          </w:p>
        </w:tc>
      </w:tr>
      <w:tr w:rsidR="00065F37" w:rsidRPr="00B41B04"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Projekta izpildes ietekme uz pārvaldes funkcijām un institucionālo struktūru.</w:t>
            </w:r>
          </w:p>
          <w:p w:rsidR="00DA55F2" w:rsidRPr="00B41B04" w:rsidRDefault="00DA55F2" w:rsidP="00DA55F2">
            <w:pPr>
              <w:spacing w:before="100" w:beforeAutospacing="1" w:after="100" w:afterAutospacing="1" w:line="315" w:lineRule="atLeast"/>
              <w:rPr>
                <w:rFonts w:cs="Times New Roman"/>
                <w:sz w:val="24"/>
                <w:szCs w:val="24"/>
                <w:lang w:val="lv-LV" w:eastAsia="lv-LV" w:bidi="ar-SA"/>
              </w:rPr>
            </w:pPr>
            <w:r w:rsidRPr="00B41B04">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B41B04" w:rsidRDefault="004A61D5" w:rsidP="00793251">
            <w:pPr>
              <w:jc w:val="both"/>
              <w:rPr>
                <w:rFonts w:cs="Times New Roman"/>
                <w:sz w:val="24"/>
                <w:szCs w:val="24"/>
                <w:lang w:val="lv-LV" w:eastAsia="lv-LV" w:bidi="ar-SA"/>
              </w:rPr>
            </w:pPr>
            <w:r w:rsidRPr="00B41B04">
              <w:rPr>
                <w:rFonts w:cs="Times New Roman"/>
                <w:sz w:val="24"/>
                <w:szCs w:val="24"/>
                <w:lang w:val="lv-LV" w:eastAsia="lv-LV" w:bidi="ar-SA"/>
              </w:rPr>
              <w:t>Vienlaikus ar tiesnešiem un prokuroriem d</w:t>
            </w:r>
            <w:r w:rsidR="001C3328" w:rsidRPr="00B41B04">
              <w:rPr>
                <w:rFonts w:cs="Times New Roman"/>
                <w:sz w:val="24"/>
                <w:szCs w:val="24"/>
                <w:lang w:val="lv-LV" w:eastAsia="lv-LV" w:bidi="ar-SA"/>
              </w:rPr>
              <w:t>arba karatiesās tiks apmācīti arī advokāti.</w:t>
            </w:r>
          </w:p>
          <w:p w:rsidR="00DD0703" w:rsidRPr="00B41B04" w:rsidRDefault="00DD0703" w:rsidP="009213E1">
            <w:pPr>
              <w:jc w:val="both"/>
              <w:rPr>
                <w:rFonts w:cs="Times New Roman"/>
                <w:sz w:val="24"/>
                <w:szCs w:val="24"/>
                <w:lang w:val="lv-LV" w:eastAsia="lv-LV" w:bidi="ar-SA"/>
              </w:rPr>
            </w:pPr>
          </w:p>
        </w:tc>
      </w:tr>
      <w:tr w:rsidR="00DA55F2" w:rsidRPr="00B41B04"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rPr>
                <w:rFonts w:cs="Times New Roman"/>
                <w:sz w:val="24"/>
                <w:szCs w:val="24"/>
                <w:lang w:val="lv-LV" w:eastAsia="lv-LV" w:bidi="ar-SA"/>
              </w:rPr>
            </w:pPr>
            <w:r w:rsidRPr="00B41B04">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B41B04" w:rsidRDefault="00DA55F2" w:rsidP="00DA55F2">
            <w:pPr>
              <w:spacing w:before="100" w:beforeAutospacing="1" w:after="100" w:afterAutospacing="1" w:line="315" w:lineRule="atLeast"/>
              <w:rPr>
                <w:rFonts w:cs="Times New Roman"/>
                <w:sz w:val="24"/>
                <w:szCs w:val="24"/>
                <w:lang w:val="lv-LV" w:eastAsia="lv-LV" w:bidi="ar-SA"/>
              </w:rPr>
            </w:pPr>
            <w:r w:rsidRPr="00B41B04">
              <w:rPr>
                <w:rFonts w:cs="Times New Roman"/>
                <w:sz w:val="24"/>
                <w:szCs w:val="24"/>
                <w:lang w:val="lv-LV" w:eastAsia="lv-LV" w:bidi="ar-SA"/>
              </w:rPr>
              <w:t>Nav.</w:t>
            </w:r>
          </w:p>
        </w:tc>
      </w:tr>
    </w:tbl>
    <w:p w:rsidR="0026236D" w:rsidRDefault="0026236D">
      <w:pPr>
        <w:rPr>
          <w:rFonts w:cs="Times New Roman"/>
          <w:sz w:val="24"/>
          <w:szCs w:val="24"/>
          <w:lang w:val="lv-LV"/>
        </w:rPr>
      </w:pPr>
    </w:p>
    <w:p w:rsidR="00794D4C" w:rsidRDefault="00794D4C">
      <w:pPr>
        <w:rPr>
          <w:rFonts w:cs="Times New Roman"/>
          <w:sz w:val="24"/>
          <w:szCs w:val="24"/>
          <w:lang w:val="lv-LV"/>
        </w:rPr>
      </w:pPr>
    </w:p>
    <w:p w:rsidR="00794D4C" w:rsidRDefault="00794D4C">
      <w:pPr>
        <w:rPr>
          <w:rFonts w:cs="Times New Roman"/>
          <w:sz w:val="24"/>
          <w:szCs w:val="24"/>
          <w:lang w:val="lv-LV"/>
        </w:rPr>
      </w:pPr>
    </w:p>
    <w:p w:rsidR="00794D4C" w:rsidRDefault="00794D4C">
      <w:pPr>
        <w:rPr>
          <w:rFonts w:cs="Times New Roman"/>
          <w:sz w:val="24"/>
          <w:szCs w:val="24"/>
          <w:lang w:val="lv-LV"/>
        </w:rPr>
      </w:pPr>
    </w:p>
    <w:p w:rsidR="00794D4C" w:rsidRPr="00B41B04" w:rsidRDefault="00794D4C">
      <w:pPr>
        <w:rPr>
          <w:rFonts w:cs="Times New Roman"/>
          <w:sz w:val="24"/>
          <w:szCs w:val="24"/>
          <w:lang w:val="lv-LV"/>
        </w:rPr>
      </w:pPr>
    </w:p>
    <w:p w:rsidR="004600D1" w:rsidRPr="00B41B04" w:rsidRDefault="004600D1" w:rsidP="00DD0703">
      <w:pPr>
        <w:tabs>
          <w:tab w:val="right" w:pos="9074"/>
        </w:tabs>
        <w:rPr>
          <w:rFonts w:cs="Times New Roman"/>
          <w:sz w:val="24"/>
          <w:szCs w:val="24"/>
          <w:lang w:val="lv-LV"/>
        </w:rPr>
      </w:pPr>
    </w:p>
    <w:p w:rsidR="004600D1" w:rsidRPr="00B41B04" w:rsidRDefault="004600D1" w:rsidP="00DD0703">
      <w:pPr>
        <w:tabs>
          <w:tab w:val="right" w:pos="9074"/>
        </w:tabs>
        <w:rPr>
          <w:rFonts w:cs="Times New Roman"/>
          <w:sz w:val="24"/>
          <w:szCs w:val="24"/>
          <w:lang w:val="lv-LV"/>
        </w:rPr>
      </w:pPr>
    </w:p>
    <w:p w:rsidR="00DD0703" w:rsidRPr="00B41B04" w:rsidRDefault="00DD0703" w:rsidP="00172AF9">
      <w:pPr>
        <w:tabs>
          <w:tab w:val="right" w:pos="9074"/>
        </w:tabs>
        <w:rPr>
          <w:rFonts w:cs="Times New Roman"/>
          <w:sz w:val="24"/>
          <w:szCs w:val="24"/>
          <w:lang w:val="lv-LV"/>
        </w:rPr>
      </w:pPr>
      <w:r w:rsidRPr="00B41B04">
        <w:rPr>
          <w:rFonts w:cs="Times New Roman"/>
          <w:sz w:val="24"/>
          <w:szCs w:val="24"/>
          <w:lang w:val="lv-LV"/>
        </w:rPr>
        <w:t xml:space="preserve">Aizsardzības </w:t>
      </w:r>
      <w:r w:rsidR="00172AF9" w:rsidRPr="00B41B04">
        <w:rPr>
          <w:rFonts w:cs="Times New Roman"/>
          <w:sz w:val="24"/>
          <w:szCs w:val="24"/>
          <w:lang w:val="lv-LV"/>
        </w:rPr>
        <w:t>ministrs</w:t>
      </w:r>
      <w:r w:rsidRPr="00B41B04">
        <w:rPr>
          <w:rFonts w:cs="Times New Roman"/>
          <w:sz w:val="24"/>
          <w:szCs w:val="24"/>
          <w:lang w:val="lv-LV"/>
        </w:rPr>
        <w:tab/>
      </w:r>
      <w:r w:rsidR="00172AF9" w:rsidRPr="00B41B04">
        <w:rPr>
          <w:rFonts w:cs="Times New Roman"/>
          <w:sz w:val="24"/>
          <w:szCs w:val="24"/>
          <w:lang w:val="lv-LV"/>
        </w:rPr>
        <w:t>R.</w:t>
      </w:r>
      <w:r w:rsidR="001B3074" w:rsidRPr="00B41B04">
        <w:rPr>
          <w:rFonts w:cs="Times New Roman"/>
          <w:sz w:val="24"/>
          <w:szCs w:val="24"/>
          <w:lang w:val="lv-LV"/>
        </w:rPr>
        <w:t>Bergmanis</w:t>
      </w:r>
    </w:p>
    <w:p w:rsidR="004600D1" w:rsidRPr="00B41B04" w:rsidRDefault="004600D1" w:rsidP="00DD0703">
      <w:pPr>
        <w:tabs>
          <w:tab w:val="right" w:pos="9000"/>
        </w:tabs>
        <w:jc w:val="both"/>
        <w:rPr>
          <w:rFonts w:cs="Times New Roman"/>
          <w:sz w:val="24"/>
          <w:szCs w:val="24"/>
          <w:lang w:val="lv-LV"/>
        </w:rPr>
      </w:pPr>
    </w:p>
    <w:p w:rsidR="004600D1" w:rsidRPr="00B41B04"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794D4C" w:rsidRDefault="00794D4C" w:rsidP="00DD0703">
      <w:pPr>
        <w:tabs>
          <w:tab w:val="right" w:pos="9000"/>
        </w:tabs>
        <w:jc w:val="both"/>
        <w:rPr>
          <w:rFonts w:cs="Times New Roman"/>
          <w:sz w:val="24"/>
          <w:szCs w:val="24"/>
          <w:lang w:val="lv-LV"/>
        </w:rPr>
      </w:pPr>
    </w:p>
    <w:p w:rsidR="00794D4C" w:rsidRDefault="00794D4C" w:rsidP="00DD0703">
      <w:pPr>
        <w:tabs>
          <w:tab w:val="right" w:pos="9000"/>
        </w:tabs>
        <w:jc w:val="both"/>
        <w:rPr>
          <w:rFonts w:cs="Times New Roman"/>
          <w:sz w:val="24"/>
          <w:szCs w:val="24"/>
          <w:lang w:val="lv-LV"/>
        </w:rPr>
      </w:pPr>
    </w:p>
    <w:p w:rsidR="00794D4C" w:rsidRDefault="00794D4C" w:rsidP="00DD0703">
      <w:pPr>
        <w:tabs>
          <w:tab w:val="right" w:pos="9000"/>
        </w:tabs>
        <w:jc w:val="both"/>
        <w:rPr>
          <w:rFonts w:cs="Times New Roman"/>
          <w:sz w:val="24"/>
          <w:szCs w:val="24"/>
          <w:lang w:val="lv-LV"/>
        </w:rPr>
      </w:pPr>
    </w:p>
    <w:p w:rsidR="00794D4C" w:rsidRDefault="00794D4C" w:rsidP="00DD0703">
      <w:pPr>
        <w:tabs>
          <w:tab w:val="right" w:pos="9000"/>
        </w:tabs>
        <w:jc w:val="both"/>
        <w:rPr>
          <w:rFonts w:cs="Times New Roman"/>
          <w:sz w:val="24"/>
          <w:szCs w:val="24"/>
          <w:lang w:val="lv-LV"/>
        </w:rPr>
      </w:pPr>
    </w:p>
    <w:p w:rsidR="00794D4C" w:rsidRPr="00B41B04" w:rsidRDefault="00794D4C" w:rsidP="00DD0703">
      <w:pPr>
        <w:tabs>
          <w:tab w:val="right" w:pos="9000"/>
        </w:tabs>
        <w:jc w:val="both"/>
        <w:rPr>
          <w:rFonts w:cs="Times New Roman"/>
          <w:sz w:val="24"/>
          <w:szCs w:val="24"/>
          <w:lang w:val="lv-LV"/>
        </w:rPr>
      </w:pPr>
    </w:p>
    <w:p w:rsidR="001701FF" w:rsidRPr="00B41B04" w:rsidRDefault="001701FF" w:rsidP="00DD0703">
      <w:pPr>
        <w:tabs>
          <w:tab w:val="right" w:pos="9000"/>
        </w:tabs>
        <w:jc w:val="both"/>
        <w:rPr>
          <w:rFonts w:cs="Times New Roman"/>
          <w:sz w:val="24"/>
          <w:szCs w:val="24"/>
          <w:lang w:val="lv-LV"/>
        </w:rPr>
      </w:pPr>
    </w:p>
    <w:p w:rsidR="00DD0703" w:rsidRPr="00B41B04" w:rsidRDefault="00DD0703" w:rsidP="00DD0703">
      <w:pPr>
        <w:tabs>
          <w:tab w:val="right" w:pos="9000"/>
        </w:tabs>
        <w:jc w:val="both"/>
        <w:rPr>
          <w:rFonts w:cs="Times New Roman"/>
          <w:sz w:val="24"/>
          <w:szCs w:val="24"/>
          <w:lang w:val="lv-LV"/>
        </w:rPr>
      </w:pPr>
      <w:r w:rsidRPr="00B41B04">
        <w:rPr>
          <w:rFonts w:cs="Times New Roman"/>
          <w:sz w:val="24"/>
          <w:szCs w:val="24"/>
          <w:lang w:val="lv-LV"/>
        </w:rPr>
        <w:t>Vīza: valsts sekretār</w:t>
      </w:r>
      <w:r w:rsidR="000D70AD">
        <w:rPr>
          <w:rFonts w:cs="Times New Roman"/>
          <w:sz w:val="24"/>
          <w:szCs w:val="24"/>
          <w:lang w:val="lv-LV"/>
        </w:rPr>
        <w:t>s</w:t>
      </w:r>
      <w:r w:rsidRPr="00B41B04">
        <w:rPr>
          <w:rFonts w:cs="Times New Roman"/>
          <w:sz w:val="24"/>
          <w:szCs w:val="24"/>
          <w:lang w:val="lv-LV"/>
        </w:rPr>
        <w:tab/>
      </w:r>
      <w:proofErr w:type="spellStart"/>
      <w:r w:rsidR="000D70AD">
        <w:rPr>
          <w:rFonts w:cs="Times New Roman"/>
          <w:sz w:val="24"/>
          <w:szCs w:val="24"/>
          <w:lang w:val="lv-LV"/>
        </w:rPr>
        <w:t>J.Garisons</w:t>
      </w:r>
      <w:proofErr w:type="spellEnd"/>
    </w:p>
    <w:p w:rsidR="001701FF" w:rsidRPr="00B41B04" w:rsidRDefault="001701FF" w:rsidP="00DD0703">
      <w:pPr>
        <w:tabs>
          <w:tab w:val="left" w:pos="1560"/>
        </w:tabs>
        <w:rPr>
          <w:rFonts w:cs="Times New Roman"/>
          <w:sz w:val="24"/>
          <w:szCs w:val="24"/>
          <w:lang w:val="lv-LV"/>
        </w:rPr>
      </w:pPr>
    </w:p>
    <w:p w:rsidR="001701FF" w:rsidRPr="00B41B04" w:rsidRDefault="001701FF" w:rsidP="00DD0703">
      <w:pPr>
        <w:tabs>
          <w:tab w:val="left" w:pos="1560"/>
        </w:tabs>
        <w:rPr>
          <w:rFonts w:cs="Times New Roman"/>
          <w:sz w:val="24"/>
          <w:szCs w:val="24"/>
          <w:lang w:val="lv-LV"/>
        </w:rPr>
      </w:pPr>
    </w:p>
    <w:p w:rsidR="001701FF" w:rsidRPr="00B41B04" w:rsidRDefault="001701FF" w:rsidP="00DD0703">
      <w:pPr>
        <w:tabs>
          <w:tab w:val="left" w:pos="1560"/>
        </w:tabs>
        <w:rPr>
          <w:rFonts w:cs="Times New Roman"/>
          <w:sz w:val="24"/>
          <w:szCs w:val="24"/>
          <w:lang w:val="lv-LV"/>
        </w:rPr>
      </w:pPr>
    </w:p>
    <w:p w:rsidR="001701FF" w:rsidRPr="00B41B04" w:rsidRDefault="001701FF"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0F6BAA" w:rsidRPr="00B41B04" w:rsidRDefault="000F6BAA" w:rsidP="00DD0703">
      <w:pPr>
        <w:tabs>
          <w:tab w:val="left" w:pos="1560"/>
        </w:tabs>
        <w:rPr>
          <w:rFonts w:cs="Times New Roman"/>
          <w:sz w:val="24"/>
          <w:szCs w:val="24"/>
          <w:lang w:val="lv-LV"/>
        </w:rPr>
      </w:pPr>
    </w:p>
    <w:p w:rsidR="001701FF" w:rsidRPr="00B41B04" w:rsidRDefault="001701FF" w:rsidP="00DD0703">
      <w:pPr>
        <w:tabs>
          <w:tab w:val="left" w:pos="1560"/>
        </w:tabs>
        <w:rPr>
          <w:rFonts w:cs="Times New Roman"/>
          <w:sz w:val="24"/>
          <w:szCs w:val="24"/>
          <w:lang w:val="lv-LV"/>
        </w:rPr>
      </w:pPr>
    </w:p>
    <w:p w:rsidR="001701FF" w:rsidRPr="00B41B04" w:rsidRDefault="001701FF" w:rsidP="00DD0703">
      <w:pPr>
        <w:tabs>
          <w:tab w:val="left" w:pos="1560"/>
        </w:tabs>
        <w:rPr>
          <w:rFonts w:cs="Times New Roman"/>
          <w:sz w:val="24"/>
          <w:szCs w:val="24"/>
          <w:lang w:val="lv-LV"/>
        </w:rPr>
      </w:pPr>
    </w:p>
    <w:p w:rsidR="004600D1" w:rsidRPr="00794D4C" w:rsidRDefault="00794D4C" w:rsidP="004600D1">
      <w:pPr>
        <w:tabs>
          <w:tab w:val="left" w:pos="1560"/>
        </w:tabs>
        <w:rPr>
          <w:rFonts w:cs="Times New Roman"/>
          <w:sz w:val="18"/>
          <w:szCs w:val="18"/>
        </w:rPr>
      </w:pPr>
      <w:r>
        <w:rPr>
          <w:rFonts w:cs="Times New Roman"/>
          <w:sz w:val="18"/>
          <w:szCs w:val="18"/>
        </w:rPr>
        <w:t>14</w:t>
      </w:r>
      <w:r w:rsidR="000F6BAA" w:rsidRPr="00794D4C">
        <w:rPr>
          <w:rFonts w:cs="Times New Roman"/>
          <w:sz w:val="18"/>
          <w:szCs w:val="18"/>
        </w:rPr>
        <w:t>.0</w:t>
      </w:r>
      <w:r>
        <w:rPr>
          <w:rFonts w:cs="Times New Roman"/>
          <w:sz w:val="18"/>
          <w:szCs w:val="18"/>
        </w:rPr>
        <w:t>4</w:t>
      </w:r>
      <w:r w:rsidR="000F6BAA" w:rsidRPr="00794D4C">
        <w:rPr>
          <w:rFonts w:cs="Times New Roman"/>
          <w:sz w:val="18"/>
          <w:szCs w:val="18"/>
        </w:rPr>
        <w:t>.2016</w:t>
      </w:r>
      <w:r w:rsidR="004600D1" w:rsidRPr="00794D4C">
        <w:rPr>
          <w:rFonts w:cs="Times New Roman"/>
          <w:sz w:val="18"/>
          <w:szCs w:val="18"/>
        </w:rPr>
        <w:t xml:space="preserve">.   </w:t>
      </w:r>
      <w:r w:rsidR="008E0CDA" w:rsidRPr="00794D4C">
        <w:rPr>
          <w:rFonts w:cs="Times New Roman"/>
          <w:sz w:val="18"/>
          <w:szCs w:val="18"/>
        </w:rPr>
        <w:t>1</w:t>
      </w:r>
      <w:r w:rsidR="00136D5E">
        <w:rPr>
          <w:rFonts w:cs="Times New Roman"/>
          <w:sz w:val="18"/>
          <w:szCs w:val="18"/>
        </w:rPr>
        <w:t>3</w:t>
      </w:r>
      <w:r w:rsidR="008E0CDA" w:rsidRPr="00794D4C">
        <w:rPr>
          <w:rFonts w:cs="Times New Roman"/>
          <w:sz w:val="18"/>
          <w:szCs w:val="18"/>
        </w:rPr>
        <w:t>:</w:t>
      </w:r>
      <w:r w:rsidR="00136D5E">
        <w:rPr>
          <w:rFonts w:cs="Times New Roman"/>
          <w:sz w:val="18"/>
          <w:szCs w:val="18"/>
        </w:rPr>
        <w:t>54</w:t>
      </w:r>
      <w:bookmarkStart w:id="0" w:name="_GoBack"/>
      <w:bookmarkEnd w:id="0"/>
    </w:p>
    <w:p w:rsidR="004600D1" w:rsidRPr="00794D4C" w:rsidRDefault="000C2BAC" w:rsidP="004600D1">
      <w:pPr>
        <w:pStyle w:val="Header"/>
        <w:rPr>
          <w:sz w:val="18"/>
          <w:szCs w:val="18"/>
        </w:rPr>
      </w:pPr>
      <w:r w:rsidRPr="00794D4C">
        <w:rPr>
          <w:sz w:val="18"/>
          <w:szCs w:val="18"/>
        </w:rPr>
        <w:t>5</w:t>
      </w:r>
      <w:r w:rsidR="00136D5E">
        <w:rPr>
          <w:sz w:val="18"/>
          <w:szCs w:val="18"/>
        </w:rPr>
        <w:t>69</w:t>
      </w:r>
    </w:p>
    <w:p w:rsidR="0051227D" w:rsidRPr="00794D4C" w:rsidRDefault="0051227D" w:rsidP="004600D1">
      <w:pPr>
        <w:pStyle w:val="Header"/>
        <w:rPr>
          <w:sz w:val="18"/>
          <w:szCs w:val="18"/>
        </w:rPr>
      </w:pPr>
      <w:r w:rsidRPr="00794D4C">
        <w:rPr>
          <w:sz w:val="18"/>
          <w:szCs w:val="18"/>
        </w:rPr>
        <w:t>Vita Upeniece</w:t>
      </w:r>
    </w:p>
    <w:p w:rsidR="0051227D" w:rsidRPr="00794D4C" w:rsidRDefault="00136D5E" w:rsidP="004600D1">
      <w:pPr>
        <w:pStyle w:val="Header"/>
        <w:rPr>
          <w:sz w:val="18"/>
          <w:szCs w:val="18"/>
        </w:rPr>
      </w:pPr>
      <w:hyperlink r:id="rId9" w:history="1">
        <w:r w:rsidR="0051227D" w:rsidRPr="00794D4C">
          <w:rPr>
            <w:rStyle w:val="Hyperlink"/>
            <w:sz w:val="18"/>
            <w:szCs w:val="18"/>
          </w:rPr>
          <w:t>Vita.Upeniece@mod.gov.lv</w:t>
        </w:r>
      </w:hyperlink>
      <w:r w:rsidR="0051227D" w:rsidRPr="00794D4C">
        <w:rPr>
          <w:sz w:val="18"/>
          <w:szCs w:val="18"/>
        </w:rPr>
        <w:t>; 67335077</w:t>
      </w:r>
    </w:p>
    <w:sectPr w:rsidR="0051227D" w:rsidRPr="00794D4C"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AC4E51">
    <w:pPr>
      <w:pStyle w:val="Footer"/>
      <w:jc w:val="both"/>
      <w:rPr>
        <w:lang w:val="lv-LV"/>
      </w:rPr>
    </w:pPr>
    <w:r>
      <w:rPr>
        <w:lang w:val="lv-LV"/>
      </w:rPr>
      <w:t>AIMAnot_</w:t>
    </w:r>
    <w:r w:rsidR="00201206">
      <w:rPr>
        <w:lang w:val="lv-LV"/>
      </w:rPr>
      <w:t>1</w:t>
    </w:r>
    <w:r w:rsidR="00A10D4D">
      <w:rPr>
        <w:lang w:val="lv-LV"/>
      </w:rPr>
      <w:t>4</w:t>
    </w:r>
    <w:r w:rsidR="00A87557">
      <w:rPr>
        <w:lang w:val="lv-LV"/>
      </w:rPr>
      <w:t>0</w:t>
    </w:r>
    <w:r w:rsidR="00A10D4D">
      <w:rPr>
        <w:lang w:val="lv-LV"/>
      </w:rPr>
      <w:t>4</w:t>
    </w:r>
    <w:r w:rsidR="00AC4E51">
      <w:rPr>
        <w:lang w:val="lv-LV"/>
      </w:rPr>
      <w:t>16_KT</w:t>
    </w:r>
    <w:r>
      <w:rPr>
        <w:lang w:val="lv-LV"/>
      </w:rPr>
      <w:t xml:space="preserve">L; Likumprojekta „Grozījumi </w:t>
    </w:r>
    <w:r w:rsidR="00AC4E51">
      <w:rPr>
        <w:lang w:val="lv-LV"/>
      </w:rPr>
      <w:t>Karatiesu</w:t>
    </w:r>
    <w:r>
      <w:rPr>
        <w:lang w:val="lv-LV"/>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136D5E">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947"/>
    <w:rsid w:val="000442F7"/>
    <w:rsid w:val="00046473"/>
    <w:rsid w:val="000637B5"/>
    <w:rsid w:val="00065F37"/>
    <w:rsid w:val="00085465"/>
    <w:rsid w:val="00086FA2"/>
    <w:rsid w:val="000874A0"/>
    <w:rsid w:val="00090C83"/>
    <w:rsid w:val="000A1D45"/>
    <w:rsid w:val="000C2BAC"/>
    <w:rsid w:val="000D70AD"/>
    <w:rsid w:val="000F0597"/>
    <w:rsid w:val="000F13E0"/>
    <w:rsid w:val="000F24DA"/>
    <w:rsid w:val="000F5E0C"/>
    <w:rsid w:val="000F6BAA"/>
    <w:rsid w:val="00103E34"/>
    <w:rsid w:val="00114099"/>
    <w:rsid w:val="001312D8"/>
    <w:rsid w:val="00136D5E"/>
    <w:rsid w:val="0016559B"/>
    <w:rsid w:val="001701FF"/>
    <w:rsid w:val="00172AF9"/>
    <w:rsid w:val="0017553A"/>
    <w:rsid w:val="00175983"/>
    <w:rsid w:val="001919C8"/>
    <w:rsid w:val="00193650"/>
    <w:rsid w:val="0019390A"/>
    <w:rsid w:val="00194D40"/>
    <w:rsid w:val="001A42A1"/>
    <w:rsid w:val="001B3074"/>
    <w:rsid w:val="001C12F3"/>
    <w:rsid w:val="001C25DB"/>
    <w:rsid w:val="001C3328"/>
    <w:rsid w:val="001D7DAF"/>
    <w:rsid w:val="001E4F19"/>
    <w:rsid w:val="001E777A"/>
    <w:rsid w:val="001F2472"/>
    <w:rsid w:val="001F32D9"/>
    <w:rsid w:val="00201206"/>
    <w:rsid w:val="0022395F"/>
    <w:rsid w:val="00224D82"/>
    <w:rsid w:val="00226300"/>
    <w:rsid w:val="00237EC9"/>
    <w:rsid w:val="00254A93"/>
    <w:rsid w:val="0026236D"/>
    <w:rsid w:val="002768AB"/>
    <w:rsid w:val="002809EE"/>
    <w:rsid w:val="00297668"/>
    <w:rsid w:val="002A24A5"/>
    <w:rsid w:val="002B269F"/>
    <w:rsid w:val="002B625D"/>
    <w:rsid w:val="002B7A3C"/>
    <w:rsid w:val="002D4384"/>
    <w:rsid w:val="002E1F0E"/>
    <w:rsid w:val="002E384D"/>
    <w:rsid w:val="00302D0B"/>
    <w:rsid w:val="00304507"/>
    <w:rsid w:val="00304C07"/>
    <w:rsid w:val="003349EF"/>
    <w:rsid w:val="00343422"/>
    <w:rsid w:val="00344FC3"/>
    <w:rsid w:val="003618A2"/>
    <w:rsid w:val="00374AA4"/>
    <w:rsid w:val="00377CD5"/>
    <w:rsid w:val="0038159D"/>
    <w:rsid w:val="003819FD"/>
    <w:rsid w:val="003A2021"/>
    <w:rsid w:val="003A30C8"/>
    <w:rsid w:val="003A4B6F"/>
    <w:rsid w:val="003B1EE2"/>
    <w:rsid w:val="003B5312"/>
    <w:rsid w:val="003C7A33"/>
    <w:rsid w:val="003D1AF7"/>
    <w:rsid w:val="003E0077"/>
    <w:rsid w:val="003E2675"/>
    <w:rsid w:val="003F48C9"/>
    <w:rsid w:val="0041665F"/>
    <w:rsid w:val="004307F9"/>
    <w:rsid w:val="0043361D"/>
    <w:rsid w:val="004336E9"/>
    <w:rsid w:val="00442DD2"/>
    <w:rsid w:val="00451CFB"/>
    <w:rsid w:val="004541E7"/>
    <w:rsid w:val="004600D1"/>
    <w:rsid w:val="0046241A"/>
    <w:rsid w:val="004630A0"/>
    <w:rsid w:val="00482454"/>
    <w:rsid w:val="004831D3"/>
    <w:rsid w:val="00490576"/>
    <w:rsid w:val="004917C2"/>
    <w:rsid w:val="0049671E"/>
    <w:rsid w:val="004A1D43"/>
    <w:rsid w:val="004A61D5"/>
    <w:rsid w:val="004B4277"/>
    <w:rsid w:val="004B5818"/>
    <w:rsid w:val="004D5115"/>
    <w:rsid w:val="00504AE1"/>
    <w:rsid w:val="0051227D"/>
    <w:rsid w:val="00551A8D"/>
    <w:rsid w:val="00573EFC"/>
    <w:rsid w:val="0057546D"/>
    <w:rsid w:val="005B176D"/>
    <w:rsid w:val="005B67C9"/>
    <w:rsid w:val="005C4D3A"/>
    <w:rsid w:val="005E086C"/>
    <w:rsid w:val="005E2B7A"/>
    <w:rsid w:val="005E5934"/>
    <w:rsid w:val="005F1F40"/>
    <w:rsid w:val="0063540A"/>
    <w:rsid w:val="00642A4A"/>
    <w:rsid w:val="006502FA"/>
    <w:rsid w:val="00650AAC"/>
    <w:rsid w:val="0066337C"/>
    <w:rsid w:val="0066667B"/>
    <w:rsid w:val="006956F2"/>
    <w:rsid w:val="006B7B3D"/>
    <w:rsid w:val="006C0AB6"/>
    <w:rsid w:val="006C36FE"/>
    <w:rsid w:val="006C3A52"/>
    <w:rsid w:val="006D6267"/>
    <w:rsid w:val="006F7C61"/>
    <w:rsid w:val="00702C3D"/>
    <w:rsid w:val="007370A5"/>
    <w:rsid w:val="0075182F"/>
    <w:rsid w:val="007533A4"/>
    <w:rsid w:val="00762BB5"/>
    <w:rsid w:val="007635F3"/>
    <w:rsid w:val="00793251"/>
    <w:rsid w:val="00794D4C"/>
    <w:rsid w:val="00797A20"/>
    <w:rsid w:val="007A1F6C"/>
    <w:rsid w:val="007B4C36"/>
    <w:rsid w:val="007B5EE0"/>
    <w:rsid w:val="007C2B83"/>
    <w:rsid w:val="007D778F"/>
    <w:rsid w:val="007F1D73"/>
    <w:rsid w:val="00811765"/>
    <w:rsid w:val="008118E4"/>
    <w:rsid w:val="00813D92"/>
    <w:rsid w:val="008175B5"/>
    <w:rsid w:val="008179F4"/>
    <w:rsid w:val="00830351"/>
    <w:rsid w:val="008530E8"/>
    <w:rsid w:val="008804EF"/>
    <w:rsid w:val="0088161A"/>
    <w:rsid w:val="00890568"/>
    <w:rsid w:val="008914F7"/>
    <w:rsid w:val="008C0621"/>
    <w:rsid w:val="008D4F6E"/>
    <w:rsid w:val="008E0711"/>
    <w:rsid w:val="008E0CDA"/>
    <w:rsid w:val="0091793F"/>
    <w:rsid w:val="009213E1"/>
    <w:rsid w:val="0093126B"/>
    <w:rsid w:val="009316C1"/>
    <w:rsid w:val="00934B21"/>
    <w:rsid w:val="00961EAA"/>
    <w:rsid w:val="00963455"/>
    <w:rsid w:val="00966A51"/>
    <w:rsid w:val="00971470"/>
    <w:rsid w:val="00972D20"/>
    <w:rsid w:val="009730C6"/>
    <w:rsid w:val="00976F2C"/>
    <w:rsid w:val="0099597E"/>
    <w:rsid w:val="009A48D6"/>
    <w:rsid w:val="009B0629"/>
    <w:rsid w:val="009B32A9"/>
    <w:rsid w:val="009B41E9"/>
    <w:rsid w:val="009B4565"/>
    <w:rsid w:val="009B7AA7"/>
    <w:rsid w:val="009D176E"/>
    <w:rsid w:val="009E6E78"/>
    <w:rsid w:val="009F1792"/>
    <w:rsid w:val="00A10D4D"/>
    <w:rsid w:val="00A16DD5"/>
    <w:rsid w:val="00A242E1"/>
    <w:rsid w:val="00A26527"/>
    <w:rsid w:val="00A44F5A"/>
    <w:rsid w:val="00A50AF5"/>
    <w:rsid w:val="00A50D61"/>
    <w:rsid w:val="00A669D6"/>
    <w:rsid w:val="00A8328B"/>
    <w:rsid w:val="00A87557"/>
    <w:rsid w:val="00A93B9C"/>
    <w:rsid w:val="00AA7611"/>
    <w:rsid w:val="00AC4E51"/>
    <w:rsid w:val="00AE68BD"/>
    <w:rsid w:val="00AF3AC3"/>
    <w:rsid w:val="00B03CDB"/>
    <w:rsid w:val="00B3031A"/>
    <w:rsid w:val="00B343DE"/>
    <w:rsid w:val="00B41B04"/>
    <w:rsid w:val="00B432E8"/>
    <w:rsid w:val="00B47AF6"/>
    <w:rsid w:val="00B57057"/>
    <w:rsid w:val="00B574A0"/>
    <w:rsid w:val="00B64B56"/>
    <w:rsid w:val="00B80259"/>
    <w:rsid w:val="00B82F46"/>
    <w:rsid w:val="00B85D17"/>
    <w:rsid w:val="00B91C5E"/>
    <w:rsid w:val="00B924BD"/>
    <w:rsid w:val="00BA0458"/>
    <w:rsid w:val="00BA6DC0"/>
    <w:rsid w:val="00BB5B9D"/>
    <w:rsid w:val="00BD2AED"/>
    <w:rsid w:val="00BE3302"/>
    <w:rsid w:val="00BF7D46"/>
    <w:rsid w:val="00C042E0"/>
    <w:rsid w:val="00C04E7D"/>
    <w:rsid w:val="00C15175"/>
    <w:rsid w:val="00C24669"/>
    <w:rsid w:val="00C25BF3"/>
    <w:rsid w:val="00C26741"/>
    <w:rsid w:val="00C366C1"/>
    <w:rsid w:val="00C53718"/>
    <w:rsid w:val="00C57B32"/>
    <w:rsid w:val="00C6134E"/>
    <w:rsid w:val="00C70134"/>
    <w:rsid w:val="00C729FB"/>
    <w:rsid w:val="00C77BDB"/>
    <w:rsid w:val="00C805B9"/>
    <w:rsid w:val="00CA3C67"/>
    <w:rsid w:val="00CB7EEF"/>
    <w:rsid w:val="00D30F08"/>
    <w:rsid w:val="00D30F88"/>
    <w:rsid w:val="00D50FA7"/>
    <w:rsid w:val="00D544B0"/>
    <w:rsid w:val="00D57145"/>
    <w:rsid w:val="00D67CFE"/>
    <w:rsid w:val="00DA12B7"/>
    <w:rsid w:val="00DA43BA"/>
    <w:rsid w:val="00DA55F2"/>
    <w:rsid w:val="00DC2CFC"/>
    <w:rsid w:val="00DC56F9"/>
    <w:rsid w:val="00DC6C5C"/>
    <w:rsid w:val="00DD0703"/>
    <w:rsid w:val="00DF263E"/>
    <w:rsid w:val="00DF2944"/>
    <w:rsid w:val="00DF74D1"/>
    <w:rsid w:val="00E105F6"/>
    <w:rsid w:val="00E13BC8"/>
    <w:rsid w:val="00E14053"/>
    <w:rsid w:val="00E20B65"/>
    <w:rsid w:val="00E22005"/>
    <w:rsid w:val="00E57635"/>
    <w:rsid w:val="00E61F4F"/>
    <w:rsid w:val="00E64ADC"/>
    <w:rsid w:val="00E65F9E"/>
    <w:rsid w:val="00E97F41"/>
    <w:rsid w:val="00EB4C92"/>
    <w:rsid w:val="00EB5489"/>
    <w:rsid w:val="00F22346"/>
    <w:rsid w:val="00F41B10"/>
    <w:rsid w:val="00F44D94"/>
    <w:rsid w:val="00F52B0B"/>
    <w:rsid w:val="00F56B96"/>
    <w:rsid w:val="00F6466F"/>
    <w:rsid w:val="00F64DAF"/>
    <w:rsid w:val="00F71127"/>
    <w:rsid w:val="00F72A41"/>
    <w:rsid w:val="00F74DE5"/>
    <w:rsid w:val="00F86398"/>
    <w:rsid w:val="00F87C69"/>
    <w:rsid w:val="00F87F12"/>
    <w:rsid w:val="00FA04AB"/>
    <w:rsid w:val="00FA69E4"/>
    <w:rsid w:val="00FB02C4"/>
    <w:rsid w:val="00FB29BC"/>
    <w:rsid w:val="00FB485B"/>
    <w:rsid w:val="00FB785B"/>
    <w:rsid w:val="00FC63AD"/>
    <w:rsid w:val="00FD02ED"/>
    <w:rsid w:val="00FD216B"/>
    <w:rsid w:val="00FD24CA"/>
    <w:rsid w:val="00FD3BFE"/>
    <w:rsid w:val="00FD5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5D0B-07CC-4997-99C9-5176AD15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77533EC3.dotm</Template>
  <TotalTime>313</TotalTime>
  <Pages>3</Pages>
  <Words>569</Words>
  <Characters>4295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Vita Upeniece</cp:lastModifiedBy>
  <cp:revision>148</cp:revision>
  <cp:lastPrinted>2015-05-15T08:58:00Z</cp:lastPrinted>
  <dcterms:created xsi:type="dcterms:W3CDTF">2014-07-01T13:07:00Z</dcterms:created>
  <dcterms:modified xsi:type="dcterms:W3CDTF">2016-04-14T10:54:00Z</dcterms:modified>
</cp:coreProperties>
</file>